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9F2A" w14:textId="77777777" w:rsidR="00395B24" w:rsidRDefault="00F63E31" w:rsidP="00A22932">
      <w:pPr>
        <w:pStyle w:val="CourtTitle"/>
      </w:pPr>
      <w:r>
        <w:fldChar w:fldCharType="begin"/>
      </w:r>
      <w:r>
        <w:instrText xml:space="preserve"> DOCPROPERTY  Court  \* MERGEFORMAT </w:instrText>
      </w:r>
      <w:r>
        <w:fldChar w:fldCharType="separate"/>
      </w:r>
      <w:r w:rsidR="00E77505">
        <w:t>Federal Court of Australia</w:t>
      </w:r>
      <w:r>
        <w:fldChar w:fldCharType="end"/>
      </w:r>
    </w:p>
    <w:p w14:paraId="3828ACE7" w14:textId="77777777" w:rsidR="004D7950" w:rsidRDefault="004D7950">
      <w:pPr>
        <w:pStyle w:val="NormalHeadings"/>
        <w:jc w:val="center"/>
        <w:rPr>
          <w:sz w:val="32"/>
        </w:rPr>
      </w:pPr>
    </w:p>
    <w:bookmarkStart w:id="0" w:name="MNC"/>
    <w:p w14:paraId="0B7DFEED" w14:textId="5FD22E2B" w:rsidR="00374CC4" w:rsidRDefault="00884149" w:rsidP="001A2B40">
      <w:pPr>
        <w:pStyle w:val="MNC"/>
      </w:pPr>
      <w:sdt>
        <w:sdtPr>
          <w:alias w:val="MNC"/>
          <w:tag w:val="MNC"/>
          <w:id w:val="343289786"/>
          <w:lock w:val="sdtLocked"/>
          <w:placeholder>
            <w:docPart w:val="FE8A709295B74D77B7E1D96608968CB9"/>
          </w:placeholder>
          <w:dataBinding w:prefixMappings="xmlns:ns0='http://schemas.globalmacros.com/FCA'" w:xpath="/ns0:root[1]/ns0:Name[1]" w:storeItemID="{687E7CCB-4AA5-44E7-B148-17BA2B6F57C0}"/>
          <w:text w:multiLine="1"/>
        </w:sdtPr>
        <w:sdtEndPr/>
        <w:sdtContent>
          <w:r w:rsidR="0077671C">
            <w:t xml:space="preserve">Mensink v Registrar of the Federal Court of Australia [2022] FCAFC 102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E77505" w14:paraId="20D4391D" w14:textId="77777777" w:rsidTr="0052246A">
        <w:tc>
          <w:tcPr>
            <w:tcW w:w="3083" w:type="dxa"/>
            <w:shd w:val="clear" w:color="auto" w:fill="auto"/>
          </w:tcPr>
          <w:p w14:paraId="7BA98EE1" w14:textId="77777777" w:rsidR="00E77505" w:rsidRDefault="00E7750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32DB4433" w14:textId="77777777" w:rsidR="00E77505" w:rsidRDefault="00DA72E4" w:rsidP="002539B3">
            <w:pPr>
              <w:pStyle w:val="CasesLegislationAppealFrom"/>
              <w:spacing w:after="60"/>
            </w:pPr>
            <w:r>
              <w:fldChar w:fldCharType="begin"/>
            </w:r>
            <w:r>
              <w:instrText xml:space="preserve"> DOCPROPERTY  AppealFrom  \* MERGEFORMAT </w:instrText>
            </w:r>
            <w:r>
              <w:fldChar w:fldCharType="separate"/>
            </w:r>
            <w:r w:rsidR="00E77505" w:rsidRPr="00E77505">
              <w:rPr>
                <w:i/>
              </w:rPr>
              <w:t xml:space="preserve">Registrar of the Federal Court of Australia v </w:t>
            </w:r>
            <w:proofErr w:type="spellStart"/>
            <w:r w:rsidR="00E77505" w:rsidRPr="00E77505">
              <w:rPr>
                <w:i/>
              </w:rPr>
              <w:t>Mensink</w:t>
            </w:r>
            <w:proofErr w:type="spellEnd"/>
            <w:r w:rsidR="00E77505" w:rsidRPr="00E77505">
              <w:rPr>
                <w:i/>
              </w:rPr>
              <w:t xml:space="preserve"> </w:t>
            </w:r>
            <w:r w:rsidR="00E77505">
              <w:t>[2021] FCA 1152</w:t>
            </w:r>
            <w:r>
              <w:fldChar w:fldCharType="end"/>
            </w:r>
          </w:p>
        </w:tc>
      </w:tr>
      <w:tr w:rsidR="00E77505" w14:paraId="55F9D9AF" w14:textId="77777777" w:rsidTr="0052246A">
        <w:tc>
          <w:tcPr>
            <w:tcW w:w="3083" w:type="dxa"/>
            <w:shd w:val="clear" w:color="auto" w:fill="auto"/>
          </w:tcPr>
          <w:p w14:paraId="089FC62F" w14:textId="77777777" w:rsidR="00E77505" w:rsidRDefault="00E77505" w:rsidP="00663878">
            <w:pPr>
              <w:pStyle w:val="Normal1linespace"/>
              <w:widowControl w:val="0"/>
              <w:jc w:val="left"/>
            </w:pPr>
          </w:p>
        </w:tc>
        <w:tc>
          <w:tcPr>
            <w:tcW w:w="5989" w:type="dxa"/>
            <w:shd w:val="clear" w:color="auto" w:fill="auto"/>
          </w:tcPr>
          <w:p w14:paraId="7482B8D6" w14:textId="77777777" w:rsidR="00E77505" w:rsidRDefault="00E77505" w:rsidP="00663878">
            <w:pPr>
              <w:pStyle w:val="Normal1linespace"/>
              <w:widowControl w:val="0"/>
              <w:jc w:val="left"/>
            </w:pPr>
          </w:p>
        </w:tc>
      </w:tr>
      <w:bookmarkEnd w:id="1"/>
      <w:tr w:rsidR="00395B24" w14:paraId="2E047C58" w14:textId="77777777" w:rsidTr="0052246A">
        <w:tc>
          <w:tcPr>
            <w:tcW w:w="3083" w:type="dxa"/>
            <w:shd w:val="clear" w:color="auto" w:fill="auto"/>
          </w:tcPr>
          <w:p w14:paraId="6D20F6CC" w14:textId="77777777" w:rsidR="00395B24" w:rsidRDefault="002C7385" w:rsidP="00663878">
            <w:pPr>
              <w:pStyle w:val="Normal1linespace"/>
              <w:widowControl w:val="0"/>
              <w:jc w:val="left"/>
            </w:pPr>
            <w:r>
              <w:t>File number(s):</w:t>
            </w:r>
          </w:p>
        </w:tc>
        <w:tc>
          <w:tcPr>
            <w:tcW w:w="5989" w:type="dxa"/>
            <w:shd w:val="clear" w:color="auto" w:fill="auto"/>
          </w:tcPr>
          <w:p w14:paraId="24A8E35A" w14:textId="77777777" w:rsidR="00E77505" w:rsidRPr="00E77505" w:rsidRDefault="00A56E77" w:rsidP="00E77505">
            <w:pPr>
              <w:pStyle w:val="Normal1linespace"/>
              <w:jc w:val="left"/>
            </w:pPr>
            <w:r w:rsidRPr="00E77505">
              <w:fldChar w:fldCharType="begin" w:fldLock="1"/>
            </w:r>
            <w:r w:rsidRPr="00E77505">
              <w:instrText xml:space="preserve"> REF  FileNo  \* MERGEFORMAT </w:instrText>
            </w:r>
            <w:r w:rsidRPr="00E77505">
              <w:fldChar w:fldCharType="separate"/>
            </w:r>
            <w:r w:rsidR="00E77505" w:rsidRPr="00E77505">
              <w:t>QUD 53 of 2021</w:t>
            </w:r>
          </w:p>
          <w:p w14:paraId="7E26B541" w14:textId="77777777" w:rsidR="00395B24" w:rsidRPr="001B1053" w:rsidRDefault="00E77505" w:rsidP="00E77505">
            <w:pPr>
              <w:pStyle w:val="Normal1linespace"/>
              <w:jc w:val="left"/>
            </w:pPr>
            <w:r w:rsidRPr="00E77505">
              <w:t>QUD 361 of 2021</w:t>
            </w:r>
            <w:r w:rsidR="00A56E77" w:rsidRPr="00E77505">
              <w:fldChar w:fldCharType="end"/>
            </w:r>
          </w:p>
        </w:tc>
      </w:tr>
      <w:tr w:rsidR="00395B24" w14:paraId="01507AED" w14:textId="77777777" w:rsidTr="0052246A">
        <w:tc>
          <w:tcPr>
            <w:tcW w:w="3083" w:type="dxa"/>
            <w:shd w:val="clear" w:color="auto" w:fill="auto"/>
          </w:tcPr>
          <w:p w14:paraId="7D230E03" w14:textId="77777777" w:rsidR="00395B24" w:rsidRDefault="00395B24" w:rsidP="00663878">
            <w:pPr>
              <w:pStyle w:val="Normal1linespace"/>
              <w:widowControl w:val="0"/>
              <w:jc w:val="left"/>
            </w:pPr>
          </w:p>
        </w:tc>
        <w:tc>
          <w:tcPr>
            <w:tcW w:w="5989" w:type="dxa"/>
            <w:shd w:val="clear" w:color="auto" w:fill="auto"/>
          </w:tcPr>
          <w:p w14:paraId="44DD8552" w14:textId="77777777" w:rsidR="00395B24" w:rsidRDefault="00395B24" w:rsidP="00663878">
            <w:pPr>
              <w:pStyle w:val="Normal1linespace"/>
              <w:widowControl w:val="0"/>
              <w:jc w:val="left"/>
            </w:pPr>
          </w:p>
        </w:tc>
      </w:tr>
      <w:tr w:rsidR="00395B24" w14:paraId="799AA746" w14:textId="77777777" w:rsidTr="0052246A">
        <w:tc>
          <w:tcPr>
            <w:tcW w:w="3083" w:type="dxa"/>
            <w:shd w:val="clear" w:color="auto" w:fill="auto"/>
          </w:tcPr>
          <w:p w14:paraId="07888B4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C54BB1A" w14:textId="4A5E73D4" w:rsidR="00395B24" w:rsidRDefault="002C7385" w:rsidP="00663878">
            <w:pPr>
              <w:pStyle w:val="Normal1linespace"/>
              <w:widowControl w:val="0"/>
              <w:jc w:val="left"/>
              <w:rPr>
                <w:b/>
              </w:rPr>
            </w:pPr>
            <w:r w:rsidRPr="00E77505">
              <w:rPr>
                <w:b/>
              </w:rPr>
              <w:fldChar w:fldCharType="begin" w:fldLock="1"/>
            </w:r>
            <w:r w:rsidRPr="00E77505">
              <w:rPr>
                <w:b/>
              </w:rPr>
              <w:instrText xml:space="preserve"> REF  Judge  \* MERGEFORMAT </w:instrText>
            </w:r>
            <w:r w:rsidRPr="00E77505">
              <w:rPr>
                <w:b/>
              </w:rPr>
              <w:fldChar w:fldCharType="separate"/>
            </w:r>
            <w:r w:rsidR="00A07C23">
              <w:rPr>
                <w:b/>
                <w:caps/>
                <w:szCs w:val="24"/>
              </w:rPr>
              <w:t>BROMWICH, LEE AND</w:t>
            </w:r>
            <w:r w:rsidR="00E77505" w:rsidRPr="00E77505">
              <w:rPr>
                <w:b/>
                <w:caps/>
                <w:szCs w:val="24"/>
              </w:rPr>
              <w:t xml:space="preserve"> THAWLEY JJ</w:t>
            </w:r>
            <w:r w:rsidRPr="00E77505">
              <w:rPr>
                <w:b/>
              </w:rPr>
              <w:fldChar w:fldCharType="end"/>
            </w:r>
          </w:p>
        </w:tc>
      </w:tr>
      <w:tr w:rsidR="00395B24" w14:paraId="2C2BAFE0" w14:textId="77777777" w:rsidTr="0052246A">
        <w:tc>
          <w:tcPr>
            <w:tcW w:w="3083" w:type="dxa"/>
            <w:shd w:val="clear" w:color="auto" w:fill="auto"/>
          </w:tcPr>
          <w:p w14:paraId="3D103449" w14:textId="77777777" w:rsidR="00395B24" w:rsidRDefault="00395B24" w:rsidP="00663878">
            <w:pPr>
              <w:pStyle w:val="Normal1linespace"/>
              <w:widowControl w:val="0"/>
              <w:jc w:val="left"/>
            </w:pPr>
          </w:p>
        </w:tc>
        <w:tc>
          <w:tcPr>
            <w:tcW w:w="5989" w:type="dxa"/>
            <w:shd w:val="clear" w:color="auto" w:fill="auto"/>
          </w:tcPr>
          <w:p w14:paraId="31B29C87" w14:textId="77777777" w:rsidR="00395B24" w:rsidRDefault="00395B24" w:rsidP="00663878">
            <w:pPr>
              <w:pStyle w:val="Normal1linespace"/>
              <w:widowControl w:val="0"/>
              <w:jc w:val="left"/>
            </w:pPr>
          </w:p>
        </w:tc>
      </w:tr>
      <w:tr w:rsidR="00395B24" w14:paraId="075371FD" w14:textId="77777777" w:rsidTr="0052246A">
        <w:tc>
          <w:tcPr>
            <w:tcW w:w="3083" w:type="dxa"/>
            <w:shd w:val="clear" w:color="auto" w:fill="auto"/>
          </w:tcPr>
          <w:p w14:paraId="2306ED22" w14:textId="77777777" w:rsidR="00395B24" w:rsidRDefault="002C7385" w:rsidP="00663878">
            <w:pPr>
              <w:pStyle w:val="Normal1linespace"/>
              <w:widowControl w:val="0"/>
              <w:jc w:val="left"/>
            </w:pPr>
            <w:r>
              <w:t>Date of judgment:</w:t>
            </w:r>
          </w:p>
        </w:tc>
        <w:tc>
          <w:tcPr>
            <w:tcW w:w="5989" w:type="dxa"/>
            <w:shd w:val="clear" w:color="auto" w:fill="auto"/>
          </w:tcPr>
          <w:p w14:paraId="5BC3F323" w14:textId="77777777" w:rsidR="00395B24" w:rsidRDefault="0069736A" w:rsidP="0069736A">
            <w:pPr>
              <w:pStyle w:val="Normal1linespace"/>
              <w:widowControl w:val="0"/>
              <w:jc w:val="left"/>
            </w:pPr>
            <w:bookmarkStart w:id="2" w:name="JudgmentDate"/>
            <w:r w:rsidRPr="00CB46C3">
              <w:t>9</w:t>
            </w:r>
            <w:bookmarkEnd w:id="2"/>
            <w:r w:rsidR="008374C7">
              <w:t xml:space="preserve"> </w:t>
            </w:r>
            <w:r w:rsidR="008374C7" w:rsidRPr="0016793F">
              <w:t>June</w:t>
            </w:r>
            <w:r w:rsidR="008374C7">
              <w:t xml:space="preserve"> 2022</w:t>
            </w:r>
          </w:p>
        </w:tc>
      </w:tr>
      <w:tr w:rsidR="00395B24" w14:paraId="32D41B41" w14:textId="77777777" w:rsidTr="0052246A">
        <w:tc>
          <w:tcPr>
            <w:tcW w:w="3083" w:type="dxa"/>
            <w:shd w:val="clear" w:color="auto" w:fill="auto"/>
          </w:tcPr>
          <w:p w14:paraId="2748BC72" w14:textId="77777777" w:rsidR="00395B24" w:rsidRDefault="00395B24" w:rsidP="00663878">
            <w:pPr>
              <w:pStyle w:val="Normal1linespace"/>
              <w:widowControl w:val="0"/>
              <w:jc w:val="left"/>
            </w:pPr>
          </w:p>
        </w:tc>
        <w:tc>
          <w:tcPr>
            <w:tcW w:w="5989" w:type="dxa"/>
            <w:shd w:val="clear" w:color="auto" w:fill="auto"/>
          </w:tcPr>
          <w:p w14:paraId="2C722A78" w14:textId="77777777" w:rsidR="00395B24" w:rsidRDefault="00395B24" w:rsidP="00663878">
            <w:pPr>
              <w:pStyle w:val="Normal1linespace"/>
              <w:widowControl w:val="0"/>
              <w:jc w:val="left"/>
            </w:pPr>
          </w:p>
        </w:tc>
      </w:tr>
      <w:tr w:rsidR="00395B24" w14:paraId="3351631C" w14:textId="77777777" w:rsidTr="0052246A">
        <w:tc>
          <w:tcPr>
            <w:tcW w:w="3083" w:type="dxa"/>
            <w:shd w:val="clear" w:color="auto" w:fill="auto"/>
          </w:tcPr>
          <w:p w14:paraId="0E266867" w14:textId="77777777" w:rsidR="00395B24" w:rsidRDefault="002C7385" w:rsidP="00663878">
            <w:pPr>
              <w:pStyle w:val="Normal1linespace"/>
              <w:widowControl w:val="0"/>
              <w:jc w:val="left"/>
            </w:pPr>
            <w:r>
              <w:t>Catchwords:</w:t>
            </w:r>
          </w:p>
        </w:tc>
        <w:tc>
          <w:tcPr>
            <w:tcW w:w="5989" w:type="dxa"/>
            <w:shd w:val="clear" w:color="auto" w:fill="auto"/>
          </w:tcPr>
          <w:p w14:paraId="727FFE72" w14:textId="5117A1B4" w:rsidR="00395B24" w:rsidRDefault="00434D04" w:rsidP="00443CCD">
            <w:pPr>
              <w:pStyle w:val="Normal1linespace"/>
              <w:widowControl w:val="0"/>
              <w:jc w:val="left"/>
            </w:pPr>
            <w:bookmarkStart w:id="3" w:name="Catchwords"/>
            <w:r w:rsidRPr="0016793F">
              <w:rPr>
                <w:b/>
              </w:rPr>
              <w:t>CONTEMPT OF COURT</w:t>
            </w:r>
            <w:r>
              <w:t xml:space="preserve"> – where Registrar appointed by primary judge to continue conduct of contempt charges originally brought by special purpose liquidator after settlement of </w:t>
            </w:r>
            <w:r w:rsidR="00443CCD">
              <w:t xml:space="preserve">principle </w:t>
            </w:r>
            <w:r>
              <w:t xml:space="preserve">claim </w:t>
            </w:r>
            <w:r w:rsidR="0077671C">
              <w:t xml:space="preserve">– whether a denial of procedural fairness because of an asserted lack of opportunity to be heard </w:t>
            </w:r>
            <w:r w:rsidR="001F43A2">
              <w:t>– whether there was power to appoint the Registrar to continue the proceeding –</w:t>
            </w:r>
            <w:r w:rsidR="0077671C">
              <w:t xml:space="preserve"> whether </w:t>
            </w:r>
            <w:proofErr w:type="spellStart"/>
            <w:r w:rsidR="0077671C">
              <w:t>rr</w:t>
            </w:r>
            <w:proofErr w:type="spellEnd"/>
            <w:r w:rsidR="0077671C">
              <w:t xml:space="preserve"> 42.11 and 42.16 of the </w:t>
            </w:r>
            <w:r w:rsidR="0077671C">
              <w:rPr>
                <w:i/>
              </w:rPr>
              <w:t xml:space="preserve">Federal Court </w:t>
            </w:r>
            <w:r w:rsidR="0077671C" w:rsidRPr="00AE7BF0">
              <w:rPr>
                <w:i/>
              </w:rPr>
              <w:t>Rules</w:t>
            </w:r>
            <w:r w:rsidR="0077671C">
              <w:rPr>
                <w:i/>
              </w:rPr>
              <w:t xml:space="preserve"> 2011 </w:t>
            </w:r>
            <w:r w:rsidR="0077671C">
              <w:t>(</w:t>
            </w:r>
            <w:proofErr w:type="spellStart"/>
            <w:r w:rsidR="0077671C">
              <w:t>Cth</w:t>
            </w:r>
            <w:proofErr w:type="spellEnd"/>
            <w:r w:rsidR="0077671C">
              <w:t xml:space="preserve">) set out an exhaustive list of procedures for contempt proceedings – </w:t>
            </w:r>
            <w:r w:rsidR="001F43A2">
              <w:t>whether the Registrar was competent to continue the proceeding – whether settlement merged contempt proceeding and could not be continued</w:t>
            </w:r>
            <w:r w:rsidR="0077671C">
              <w:t>– where suppression orders made in related matter with no fixed end date</w:t>
            </w:r>
            <w:r w:rsidR="002C7385">
              <w:t xml:space="preserve"> </w:t>
            </w:r>
            <w:bookmarkEnd w:id="3"/>
          </w:p>
        </w:tc>
      </w:tr>
      <w:tr w:rsidR="00395B24" w14:paraId="09A733DB" w14:textId="77777777" w:rsidTr="0052246A">
        <w:tc>
          <w:tcPr>
            <w:tcW w:w="3083" w:type="dxa"/>
            <w:shd w:val="clear" w:color="auto" w:fill="auto"/>
          </w:tcPr>
          <w:p w14:paraId="54540136" w14:textId="77777777" w:rsidR="00395B24" w:rsidRDefault="00395B24" w:rsidP="00663878">
            <w:pPr>
              <w:pStyle w:val="Normal1linespace"/>
              <w:widowControl w:val="0"/>
              <w:jc w:val="left"/>
            </w:pPr>
          </w:p>
        </w:tc>
        <w:tc>
          <w:tcPr>
            <w:tcW w:w="5989" w:type="dxa"/>
            <w:shd w:val="clear" w:color="auto" w:fill="auto"/>
          </w:tcPr>
          <w:p w14:paraId="35BF5EDE" w14:textId="77777777" w:rsidR="00395B24" w:rsidRDefault="00395B24" w:rsidP="00663878">
            <w:pPr>
              <w:pStyle w:val="Normal1linespace"/>
              <w:widowControl w:val="0"/>
              <w:jc w:val="left"/>
            </w:pPr>
          </w:p>
        </w:tc>
      </w:tr>
      <w:tr w:rsidR="00395B24" w14:paraId="13108D64" w14:textId="77777777" w:rsidTr="0052246A">
        <w:tc>
          <w:tcPr>
            <w:tcW w:w="3083" w:type="dxa"/>
            <w:shd w:val="clear" w:color="auto" w:fill="auto"/>
          </w:tcPr>
          <w:p w14:paraId="6E7D1DCA" w14:textId="77777777" w:rsidR="00395B24" w:rsidRDefault="002C7385" w:rsidP="00663878">
            <w:pPr>
              <w:pStyle w:val="Normal1linespace"/>
              <w:widowControl w:val="0"/>
              <w:jc w:val="left"/>
            </w:pPr>
            <w:r>
              <w:t>Legislation:</w:t>
            </w:r>
          </w:p>
        </w:tc>
        <w:tc>
          <w:tcPr>
            <w:tcW w:w="5989" w:type="dxa"/>
            <w:shd w:val="clear" w:color="auto" w:fill="auto"/>
          </w:tcPr>
          <w:p w14:paraId="50ECC84A" w14:textId="77777777" w:rsidR="00434D04" w:rsidRDefault="00434D04" w:rsidP="00434D04">
            <w:pPr>
              <w:pStyle w:val="CasesLegislationAppealFrom"/>
              <w:spacing w:after="60"/>
              <w:rPr>
                <w:lang w:eastAsia="en-AU"/>
              </w:rPr>
            </w:pPr>
            <w:bookmarkStart w:id="4" w:name="Legislation"/>
            <w:r w:rsidRPr="00434D04">
              <w:rPr>
                <w:i/>
              </w:rPr>
              <w:t>Corporations Act 2011</w:t>
            </w:r>
            <w:r w:rsidRPr="00434D04">
              <w:t xml:space="preserve"> (</w:t>
            </w:r>
            <w:proofErr w:type="spellStart"/>
            <w:r w:rsidRPr="00434D04">
              <w:t>Cth</w:t>
            </w:r>
            <w:proofErr w:type="spellEnd"/>
            <w:r w:rsidRPr="00434D04">
              <w:t>)</w:t>
            </w:r>
            <w:r>
              <w:t xml:space="preserve"> </w:t>
            </w:r>
            <w:proofErr w:type="spellStart"/>
            <w:r w:rsidRPr="00434D04">
              <w:rPr>
                <w:lang w:eastAsia="en-AU"/>
              </w:rPr>
              <w:t>s</w:t>
            </w:r>
            <w:r>
              <w:rPr>
                <w:lang w:eastAsia="en-AU"/>
              </w:rPr>
              <w:t>s</w:t>
            </w:r>
            <w:proofErr w:type="spellEnd"/>
            <w:r w:rsidRPr="00434D04">
              <w:rPr>
                <w:lang w:eastAsia="en-AU"/>
              </w:rPr>
              <w:t> 596A, 596B, 596D and 597(9)</w:t>
            </w:r>
          </w:p>
          <w:p w14:paraId="26CCAD1B" w14:textId="58D8EA67" w:rsidR="00434D04" w:rsidRPr="00434D04" w:rsidRDefault="00434D04" w:rsidP="00434D04">
            <w:pPr>
              <w:pStyle w:val="CasesLegislationAppealFrom"/>
              <w:spacing w:after="60"/>
            </w:pPr>
            <w:r w:rsidRPr="00434D04">
              <w:rPr>
                <w:i/>
              </w:rPr>
              <w:t>Federal Court of Australia Act 1976</w:t>
            </w:r>
            <w:r w:rsidRPr="00434D04">
              <w:t xml:space="preserve"> (</w:t>
            </w:r>
            <w:proofErr w:type="spellStart"/>
            <w:r w:rsidRPr="00434D04">
              <w:t>Cth</w:t>
            </w:r>
            <w:proofErr w:type="spellEnd"/>
            <w:r w:rsidRPr="00434D04">
              <w:t xml:space="preserve">) </w:t>
            </w:r>
            <w:proofErr w:type="spellStart"/>
            <w:r w:rsidRPr="00434D04">
              <w:t>s</w:t>
            </w:r>
            <w:r>
              <w:t>s</w:t>
            </w:r>
            <w:proofErr w:type="spellEnd"/>
            <w:r w:rsidRPr="00434D04">
              <w:t> 23</w:t>
            </w:r>
            <w:r>
              <w:t>,</w:t>
            </w:r>
            <w:r w:rsidR="008050C3">
              <w:t xml:space="preserve"> 24(1C),</w:t>
            </w:r>
            <w:r w:rsidRPr="00434D04">
              <w:t> 51(1)</w:t>
            </w:r>
            <w:r>
              <w:t xml:space="preserve">, </w:t>
            </w:r>
            <w:r w:rsidRPr="00434D04">
              <w:t>59(1)</w:t>
            </w:r>
          </w:p>
          <w:p w14:paraId="15199FB5" w14:textId="0F1DC210" w:rsidR="00434D04" w:rsidRPr="00434D04" w:rsidRDefault="00434D04" w:rsidP="008050C3">
            <w:pPr>
              <w:pStyle w:val="CasesLegislationAppealFrom"/>
              <w:spacing w:after="60"/>
            </w:pPr>
            <w:r w:rsidRPr="00434D04">
              <w:rPr>
                <w:i/>
              </w:rPr>
              <w:t xml:space="preserve">Federal Court </w:t>
            </w:r>
            <w:r w:rsidRPr="0016793F">
              <w:rPr>
                <w:i/>
              </w:rPr>
              <w:t>Rules</w:t>
            </w:r>
            <w:r w:rsidRPr="00434D04">
              <w:rPr>
                <w:i/>
              </w:rPr>
              <w:t xml:space="preserve"> 2011 </w:t>
            </w:r>
            <w:r w:rsidRPr="00A42F43">
              <w:t>(</w:t>
            </w:r>
            <w:proofErr w:type="spellStart"/>
            <w:r w:rsidRPr="00A42F43">
              <w:t>Cth</w:t>
            </w:r>
            <w:proofErr w:type="spellEnd"/>
            <w:r w:rsidRPr="00A42F43">
              <w:t>)</w:t>
            </w:r>
            <w:r w:rsidRPr="00434D04">
              <w:t xml:space="preserve"> </w:t>
            </w:r>
            <w:proofErr w:type="spellStart"/>
            <w:r w:rsidRPr="00434D04">
              <w:t>r</w:t>
            </w:r>
            <w:r>
              <w:t>r</w:t>
            </w:r>
            <w:proofErr w:type="spellEnd"/>
            <w:r w:rsidRPr="00434D04">
              <w:t xml:space="preserve"> 1.04</w:t>
            </w:r>
            <w:r>
              <w:t xml:space="preserve">, </w:t>
            </w:r>
            <w:r w:rsidRPr="00434D04">
              <w:t>1.32</w:t>
            </w:r>
            <w:r>
              <w:t>,</w:t>
            </w:r>
            <w:r w:rsidR="008050C3">
              <w:t xml:space="preserve"> 1.34,</w:t>
            </w:r>
            <w:r>
              <w:t xml:space="preserve"> </w:t>
            </w:r>
            <w:r w:rsidRPr="00434D04">
              <w:t>1.35</w:t>
            </w:r>
            <w:r>
              <w:t xml:space="preserve">, </w:t>
            </w:r>
            <w:r w:rsidRPr="00434D04">
              <w:t>1.37</w:t>
            </w:r>
            <w:r>
              <w:t xml:space="preserve">, </w:t>
            </w:r>
            <w:r w:rsidRPr="00434D04">
              <w:t>26.12</w:t>
            </w:r>
            <w:r>
              <w:t xml:space="preserve">, </w:t>
            </w:r>
            <w:r w:rsidRPr="00434D04">
              <w:t>42.11</w:t>
            </w:r>
            <w:r>
              <w:t>,</w:t>
            </w:r>
            <w:r w:rsidRPr="00434D04">
              <w:t xml:space="preserve"> 42.16</w:t>
            </w:r>
            <w:bookmarkEnd w:id="4"/>
          </w:p>
        </w:tc>
      </w:tr>
      <w:tr w:rsidR="00395B24" w14:paraId="3C524AE7" w14:textId="77777777" w:rsidTr="0052246A">
        <w:tc>
          <w:tcPr>
            <w:tcW w:w="3083" w:type="dxa"/>
            <w:shd w:val="clear" w:color="auto" w:fill="auto"/>
          </w:tcPr>
          <w:p w14:paraId="7D0CF65D" w14:textId="77777777" w:rsidR="00395B24" w:rsidRDefault="00395B24" w:rsidP="00663878">
            <w:pPr>
              <w:pStyle w:val="Normal1linespace"/>
              <w:widowControl w:val="0"/>
              <w:jc w:val="left"/>
            </w:pPr>
          </w:p>
        </w:tc>
        <w:tc>
          <w:tcPr>
            <w:tcW w:w="5989" w:type="dxa"/>
            <w:shd w:val="clear" w:color="auto" w:fill="auto"/>
          </w:tcPr>
          <w:p w14:paraId="75544119" w14:textId="77777777" w:rsidR="00395B24" w:rsidRDefault="00395B24" w:rsidP="00663878">
            <w:pPr>
              <w:pStyle w:val="Normal1linespace"/>
              <w:widowControl w:val="0"/>
              <w:jc w:val="left"/>
            </w:pPr>
          </w:p>
        </w:tc>
      </w:tr>
      <w:tr w:rsidR="00395B24" w14:paraId="5DF335A9" w14:textId="77777777" w:rsidTr="0052246A">
        <w:tc>
          <w:tcPr>
            <w:tcW w:w="3083" w:type="dxa"/>
            <w:shd w:val="clear" w:color="auto" w:fill="auto"/>
          </w:tcPr>
          <w:p w14:paraId="3C104C45" w14:textId="77777777" w:rsidR="00395B24" w:rsidRDefault="002C7385" w:rsidP="00663878">
            <w:pPr>
              <w:pStyle w:val="Normal1linespace"/>
              <w:widowControl w:val="0"/>
              <w:jc w:val="left"/>
            </w:pPr>
            <w:r>
              <w:t>Cases cited:</w:t>
            </w:r>
          </w:p>
        </w:tc>
        <w:tc>
          <w:tcPr>
            <w:tcW w:w="5989" w:type="dxa"/>
            <w:shd w:val="clear" w:color="auto" w:fill="auto"/>
          </w:tcPr>
          <w:p w14:paraId="7294A614" w14:textId="2EF031D7" w:rsidR="008C25E6" w:rsidRDefault="008C25E6" w:rsidP="00434D04">
            <w:pPr>
              <w:pStyle w:val="CasesLegislationAppealFrom"/>
              <w:spacing w:after="60"/>
              <w:rPr>
                <w:i/>
                <w:iCs/>
                <w:szCs w:val="24"/>
                <w:lang w:eastAsia="en-AU"/>
              </w:rPr>
            </w:pPr>
            <w:bookmarkStart w:id="5" w:name="Cases_Cited"/>
            <w:r w:rsidRPr="00A4192D">
              <w:rPr>
                <w:i/>
              </w:rPr>
              <w:t>Clayton v Bant</w:t>
            </w:r>
            <w:r w:rsidRPr="00A4192D">
              <w:t xml:space="preserve"> [2020] HCA 44; 95 ALJR 34</w:t>
            </w:r>
          </w:p>
          <w:p w14:paraId="7C54AC77" w14:textId="44969C11" w:rsidR="008C25E6" w:rsidRDefault="008C25E6" w:rsidP="00434D04">
            <w:pPr>
              <w:pStyle w:val="CasesLegislationAppealFrom"/>
              <w:spacing w:after="60"/>
            </w:pPr>
            <w:r>
              <w:rPr>
                <w:i/>
              </w:rPr>
              <w:t>Jackson v Goldsmith</w:t>
            </w:r>
            <w:r>
              <w:t xml:space="preserve"> (1950) 81 CLR 446 at 466</w:t>
            </w:r>
          </w:p>
          <w:p w14:paraId="60EE1D54" w14:textId="29E80199" w:rsidR="008C25E6" w:rsidRDefault="008C25E6" w:rsidP="00434D04">
            <w:pPr>
              <w:pStyle w:val="CasesLegislationAppealFrom"/>
              <w:spacing w:after="60"/>
              <w:rPr>
                <w:i/>
                <w:iCs/>
                <w:szCs w:val="24"/>
                <w:lang w:eastAsia="en-AU"/>
              </w:rPr>
            </w:pPr>
            <w:proofErr w:type="spellStart"/>
            <w:r w:rsidRPr="008C25E6">
              <w:rPr>
                <w:i/>
              </w:rPr>
              <w:t>Kazal</w:t>
            </w:r>
            <w:proofErr w:type="spellEnd"/>
            <w:r w:rsidRPr="008C25E6">
              <w:rPr>
                <w:i/>
              </w:rPr>
              <w:t xml:space="preserve"> </w:t>
            </w:r>
            <w:r w:rsidRPr="00E31DD0">
              <w:rPr>
                <w:i/>
              </w:rPr>
              <w:t xml:space="preserve">v Thunder Studios </w:t>
            </w:r>
            <w:proofErr w:type="spellStart"/>
            <w:r w:rsidRPr="00E31DD0">
              <w:rPr>
                <w:i/>
              </w:rPr>
              <w:t>Inc</w:t>
            </w:r>
            <w:proofErr w:type="spellEnd"/>
            <w:r w:rsidRPr="00E31DD0">
              <w:rPr>
                <w:i/>
              </w:rPr>
              <w:t xml:space="preserve"> (California)</w:t>
            </w:r>
            <w:r>
              <w:t xml:space="preserve"> [2017] FCAFC 111; 256 FCR 90</w:t>
            </w:r>
          </w:p>
          <w:p w14:paraId="584AD06D" w14:textId="0B6DC7F0" w:rsidR="00434D04" w:rsidRDefault="00434D04" w:rsidP="00434D04">
            <w:pPr>
              <w:pStyle w:val="CasesLegislationAppealFrom"/>
              <w:spacing w:after="60"/>
              <w:rPr>
                <w:szCs w:val="24"/>
                <w:lang w:eastAsia="en-AU"/>
              </w:rPr>
            </w:pPr>
            <w:proofErr w:type="spellStart"/>
            <w:r w:rsidRPr="00434D04">
              <w:rPr>
                <w:i/>
                <w:iCs/>
                <w:szCs w:val="24"/>
                <w:lang w:eastAsia="en-AU"/>
              </w:rPr>
              <w:t>Mensink</w:t>
            </w:r>
            <w:proofErr w:type="spellEnd"/>
            <w:r w:rsidRPr="00434D04">
              <w:rPr>
                <w:i/>
                <w:iCs/>
                <w:szCs w:val="24"/>
                <w:lang w:eastAsia="en-AU"/>
              </w:rPr>
              <w:t xml:space="preserve"> v </w:t>
            </w:r>
            <w:proofErr w:type="spellStart"/>
            <w:r w:rsidRPr="00434D04">
              <w:rPr>
                <w:i/>
                <w:iCs/>
                <w:szCs w:val="24"/>
                <w:lang w:eastAsia="en-AU"/>
              </w:rPr>
              <w:t>Parbery</w:t>
            </w:r>
            <w:proofErr w:type="spellEnd"/>
            <w:r w:rsidRPr="00434D04">
              <w:rPr>
                <w:szCs w:val="24"/>
                <w:lang w:eastAsia="en-AU"/>
              </w:rPr>
              <w:t xml:space="preserve"> [2018] FCAFC 101; 264 FCR 265</w:t>
            </w:r>
          </w:p>
          <w:p w14:paraId="0D9C0A46" w14:textId="3642C8DE" w:rsidR="008C25E6" w:rsidRPr="00434D04" w:rsidRDefault="008C25E6" w:rsidP="00434D04">
            <w:pPr>
              <w:pStyle w:val="CasesLegislationAppealFrom"/>
              <w:spacing w:after="60"/>
              <w:rPr>
                <w:szCs w:val="24"/>
                <w:lang w:eastAsia="en-AU"/>
              </w:rPr>
            </w:pPr>
            <w:r w:rsidRPr="00601042">
              <w:rPr>
                <w:bCs/>
                <w:i/>
                <w:color w:val="212121"/>
              </w:rPr>
              <w:t>NHB Enterprises Pty Ltd v Corry (No 8)</w:t>
            </w:r>
            <w:r>
              <w:rPr>
                <w:bCs/>
                <w:color w:val="212121"/>
              </w:rPr>
              <w:t xml:space="preserve"> [2022] NSWSC 97</w:t>
            </w:r>
          </w:p>
          <w:p w14:paraId="492ACBE0" w14:textId="1A920FCF" w:rsidR="00434D04" w:rsidRDefault="00434D04" w:rsidP="00434D04">
            <w:pPr>
              <w:pStyle w:val="CasesLegislationAppealFrom"/>
              <w:spacing w:after="60"/>
            </w:pPr>
            <w:proofErr w:type="spellStart"/>
            <w:r w:rsidRPr="00434D04">
              <w:rPr>
                <w:i/>
              </w:rPr>
              <w:t>Parbery</w:t>
            </w:r>
            <w:proofErr w:type="spellEnd"/>
            <w:r w:rsidRPr="00434D04">
              <w:rPr>
                <w:i/>
              </w:rPr>
              <w:t xml:space="preserve"> (Liquidator), in the matter of Queensland Nickel Pty Ltd (in liquidation) (No 2)</w:t>
            </w:r>
            <w:r w:rsidRPr="00434D04">
              <w:t xml:space="preserve"> [2022] FCA 101</w:t>
            </w:r>
          </w:p>
          <w:p w14:paraId="707534AB" w14:textId="5C8F6DD7" w:rsidR="008C25E6" w:rsidRPr="00434D04" w:rsidRDefault="008C25E6" w:rsidP="00434D04">
            <w:pPr>
              <w:pStyle w:val="CasesLegislationAppealFrom"/>
              <w:spacing w:after="60"/>
            </w:pPr>
            <w:r w:rsidRPr="000A40EC">
              <w:rPr>
                <w:i/>
              </w:rPr>
              <w:t xml:space="preserve">Port of Melbourne Authority v </w:t>
            </w:r>
            <w:proofErr w:type="spellStart"/>
            <w:r w:rsidRPr="008C25E6">
              <w:rPr>
                <w:i/>
              </w:rPr>
              <w:t>Anshun</w:t>
            </w:r>
            <w:proofErr w:type="spellEnd"/>
            <w:r w:rsidRPr="000A40EC">
              <w:rPr>
                <w:i/>
              </w:rPr>
              <w:t xml:space="preserve"> Pty Ltd</w:t>
            </w:r>
            <w:r w:rsidRPr="000A40EC">
              <w:t xml:space="preserve"> [1981] HCA </w:t>
            </w:r>
            <w:r w:rsidRPr="000A40EC">
              <w:lastRenderedPageBreak/>
              <w:t>45; 147 CLR 589</w:t>
            </w:r>
          </w:p>
          <w:p w14:paraId="1102CBB4" w14:textId="334D7396" w:rsidR="008C25E6" w:rsidRDefault="008C25E6" w:rsidP="00434D04">
            <w:pPr>
              <w:pStyle w:val="CasesLegislationAppealFrom"/>
              <w:spacing w:after="60"/>
              <w:rPr>
                <w:i/>
              </w:rPr>
            </w:pPr>
            <w:r w:rsidRPr="00A4192D">
              <w:rPr>
                <w:i/>
              </w:rPr>
              <w:t xml:space="preserve">Ramsay v </w:t>
            </w:r>
            <w:proofErr w:type="spellStart"/>
            <w:r w:rsidRPr="00A4192D">
              <w:rPr>
                <w:i/>
              </w:rPr>
              <w:t>Pigram</w:t>
            </w:r>
            <w:proofErr w:type="spellEnd"/>
            <w:r>
              <w:t xml:space="preserve"> (1968) 118 CLR 271</w:t>
            </w:r>
          </w:p>
          <w:p w14:paraId="16ABB2B5" w14:textId="7825FBBD" w:rsidR="00434D04" w:rsidRDefault="00434D04" w:rsidP="00434D04">
            <w:pPr>
              <w:pStyle w:val="CasesLegislationAppealFrom"/>
              <w:spacing w:after="60"/>
            </w:pPr>
            <w:r w:rsidRPr="00434D04">
              <w:rPr>
                <w:i/>
              </w:rPr>
              <w:t>Registrar of the Federal Court of Australia v Mensink</w:t>
            </w:r>
            <w:r w:rsidRPr="00434D04">
              <w:t xml:space="preserve"> [2021] FCA 1152</w:t>
            </w:r>
            <w:bookmarkEnd w:id="5"/>
          </w:p>
          <w:p w14:paraId="64377D4A" w14:textId="16460278" w:rsidR="00422F19" w:rsidRDefault="00422F19" w:rsidP="00434D04">
            <w:pPr>
              <w:pStyle w:val="CasesLegislationAppealFrom"/>
              <w:spacing w:after="60"/>
            </w:pPr>
            <w:r w:rsidRPr="00F2371D">
              <w:rPr>
                <w:i/>
                <w:lang w:eastAsia="en-AU"/>
              </w:rPr>
              <w:t>Re Minister for Immigration and Multicultural Affairs; Ex parte Lam</w:t>
            </w:r>
            <w:r>
              <w:rPr>
                <w:lang w:eastAsia="en-AU"/>
              </w:rPr>
              <w:t xml:space="preserve"> </w:t>
            </w:r>
            <w:r w:rsidRPr="00F2371D">
              <w:rPr>
                <w:szCs w:val="24"/>
                <w:lang w:eastAsia="en-AU"/>
              </w:rPr>
              <w:t xml:space="preserve">[2003] HCA 6; </w:t>
            </w:r>
            <w:r>
              <w:rPr>
                <w:lang w:eastAsia="en-AU"/>
              </w:rPr>
              <w:t>214 CLR 1</w:t>
            </w:r>
          </w:p>
          <w:p w14:paraId="015AEB20" w14:textId="22F16070" w:rsidR="008C25E6" w:rsidRDefault="008C25E6" w:rsidP="00434D04">
            <w:pPr>
              <w:pStyle w:val="CasesLegislationAppealFrom"/>
              <w:spacing w:after="60"/>
            </w:pPr>
            <w:r w:rsidRPr="00A4192D">
              <w:rPr>
                <w:i/>
              </w:rPr>
              <w:t>Tomlinson v Ramsay Food Processing Pty Ltd</w:t>
            </w:r>
            <w:r>
              <w:t xml:space="preserve"> [2015] HCA 28; 256 CLR 501</w:t>
            </w:r>
          </w:p>
          <w:p w14:paraId="210D5FD6" w14:textId="19226298" w:rsidR="008C25E6" w:rsidRDefault="008C25E6" w:rsidP="00434D04">
            <w:pPr>
              <w:pStyle w:val="CasesLegislationAppealFrom"/>
              <w:spacing w:after="60"/>
            </w:pPr>
            <w:r w:rsidRPr="00E31DD0">
              <w:rPr>
                <w:i/>
              </w:rPr>
              <w:t>Witham v Holloway</w:t>
            </w:r>
            <w:r>
              <w:t xml:space="preserve"> (1995) 183 CLR 525 at 530–534</w:t>
            </w:r>
          </w:p>
          <w:p w14:paraId="09DC27E5" w14:textId="6C487410" w:rsidR="008C25E6" w:rsidRPr="00434D04" w:rsidRDefault="008C25E6" w:rsidP="00434D04">
            <w:pPr>
              <w:pStyle w:val="CasesLegislationAppealFrom"/>
              <w:spacing w:after="60"/>
            </w:pPr>
            <w:proofErr w:type="spellStart"/>
            <w:r w:rsidRPr="00082D77">
              <w:rPr>
                <w:i/>
              </w:rPr>
              <w:t>Zavarco</w:t>
            </w:r>
            <w:proofErr w:type="spellEnd"/>
            <w:r w:rsidRPr="00082D77">
              <w:rPr>
                <w:i/>
              </w:rPr>
              <w:t xml:space="preserve"> PLC v Nasir</w:t>
            </w:r>
            <w:r w:rsidRPr="00082D77">
              <w:t xml:space="preserve"> [2021] EWCA </w:t>
            </w:r>
            <w:proofErr w:type="spellStart"/>
            <w:r w:rsidRPr="00082D77">
              <w:t>Civ</w:t>
            </w:r>
            <w:proofErr w:type="spellEnd"/>
            <w:r w:rsidRPr="00082D77">
              <w:t xml:space="preserve"> 1217; [2022] </w:t>
            </w:r>
            <w:proofErr w:type="spellStart"/>
            <w:r w:rsidRPr="00082D77">
              <w:t>Ch</w:t>
            </w:r>
            <w:proofErr w:type="spellEnd"/>
            <w:r w:rsidRPr="00082D77">
              <w:t xml:space="preserve"> 105</w:t>
            </w:r>
          </w:p>
        </w:tc>
      </w:tr>
      <w:tr w:rsidR="00E77505" w14:paraId="7EF4D228" w14:textId="77777777" w:rsidTr="0052246A">
        <w:tc>
          <w:tcPr>
            <w:tcW w:w="3083" w:type="dxa"/>
            <w:shd w:val="clear" w:color="auto" w:fill="auto"/>
          </w:tcPr>
          <w:p w14:paraId="565E7A72" w14:textId="77777777" w:rsidR="00E77505" w:rsidRDefault="00E77505" w:rsidP="001917FD">
            <w:pPr>
              <w:pStyle w:val="Normal1linespace"/>
              <w:widowControl w:val="0"/>
            </w:pPr>
          </w:p>
        </w:tc>
        <w:tc>
          <w:tcPr>
            <w:tcW w:w="5989" w:type="dxa"/>
            <w:shd w:val="clear" w:color="auto" w:fill="auto"/>
          </w:tcPr>
          <w:p w14:paraId="018C5065" w14:textId="77777777" w:rsidR="00E77505" w:rsidRDefault="00E77505" w:rsidP="001917FD">
            <w:pPr>
              <w:pStyle w:val="Normal1linespace"/>
              <w:widowControl w:val="0"/>
              <w:jc w:val="left"/>
            </w:pPr>
          </w:p>
        </w:tc>
      </w:tr>
      <w:tr w:rsidR="00E77505" w14:paraId="6F5E3841" w14:textId="77777777" w:rsidTr="0052246A">
        <w:tc>
          <w:tcPr>
            <w:tcW w:w="3083" w:type="dxa"/>
            <w:shd w:val="clear" w:color="auto" w:fill="auto"/>
          </w:tcPr>
          <w:p w14:paraId="112F53D4" w14:textId="77777777" w:rsidR="00E77505" w:rsidRDefault="00E77505" w:rsidP="00501A12">
            <w:pPr>
              <w:pStyle w:val="Normal1linespace"/>
              <w:widowControl w:val="0"/>
            </w:pPr>
            <w:r>
              <w:t>Division:</w:t>
            </w:r>
          </w:p>
        </w:tc>
        <w:tc>
          <w:tcPr>
            <w:tcW w:w="5989" w:type="dxa"/>
            <w:shd w:val="clear" w:color="auto" w:fill="auto"/>
          </w:tcPr>
          <w:p w14:paraId="5FAF9E71" w14:textId="77777777" w:rsidR="00E77505" w:rsidRPr="00F17599" w:rsidRDefault="00884149" w:rsidP="00501A12">
            <w:pPr>
              <w:pStyle w:val="Normal1linespace"/>
              <w:widowControl w:val="0"/>
              <w:jc w:val="left"/>
            </w:pPr>
            <w:r>
              <w:fldChar w:fldCharType="begin"/>
            </w:r>
            <w:r>
              <w:instrText xml:space="preserve"> DOCPROPERTY  Division </w:instrText>
            </w:r>
            <w:r>
              <w:fldChar w:fldCharType="separate"/>
            </w:r>
            <w:r w:rsidR="00E77505">
              <w:t>General Division</w:t>
            </w:r>
            <w:r>
              <w:fldChar w:fldCharType="end"/>
            </w:r>
          </w:p>
        </w:tc>
      </w:tr>
      <w:tr w:rsidR="00E77505" w14:paraId="09D84F46" w14:textId="77777777" w:rsidTr="0052246A">
        <w:tc>
          <w:tcPr>
            <w:tcW w:w="3083" w:type="dxa"/>
            <w:shd w:val="clear" w:color="auto" w:fill="auto"/>
          </w:tcPr>
          <w:p w14:paraId="0CA10256" w14:textId="77777777" w:rsidR="00E77505" w:rsidRDefault="00E77505" w:rsidP="00501A12">
            <w:pPr>
              <w:pStyle w:val="Normal1linespace"/>
              <w:widowControl w:val="0"/>
            </w:pPr>
            <w:bookmarkStart w:id="6" w:name="Registry_rows" w:colFirst="0" w:colLast="1"/>
          </w:p>
        </w:tc>
        <w:tc>
          <w:tcPr>
            <w:tcW w:w="5989" w:type="dxa"/>
            <w:shd w:val="clear" w:color="auto" w:fill="auto"/>
          </w:tcPr>
          <w:p w14:paraId="17E3664D" w14:textId="77777777" w:rsidR="00E77505" w:rsidRDefault="00E77505" w:rsidP="00501A12">
            <w:pPr>
              <w:pStyle w:val="Normal1linespace"/>
              <w:widowControl w:val="0"/>
              <w:jc w:val="left"/>
            </w:pPr>
          </w:p>
        </w:tc>
      </w:tr>
      <w:tr w:rsidR="00E77505" w14:paraId="3E558730" w14:textId="77777777" w:rsidTr="0052246A">
        <w:tc>
          <w:tcPr>
            <w:tcW w:w="3083" w:type="dxa"/>
            <w:shd w:val="clear" w:color="auto" w:fill="auto"/>
          </w:tcPr>
          <w:p w14:paraId="4A65E5DA" w14:textId="77777777" w:rsidR="00E77505" w:rsidRDefault="00E77505" w:rsidP="00501A12">
            <w:pPr>
              <w:pStyle w:val="Normal1linespace"/>
              <w:widowControl w:val="0"/>
            </w:pPr>
            <w:r>
              <w:t>Registry:</w:t>
            </w:r>
          </w:p>
        </w:tc>
        <w:tc>
          <w:tcPr>
            <w:tcW w:w="5989" w:type="dxa"/>
            <w:shd w:val="clear" w:color="auto" w:fill="auto"/>
          </w:tcPr>
          <w:p w14:paraId="422FC997" w14:textId="73722C72" w:rsidR="00E77505" w:rsidRPr="00F17599" w:rsidRDefault="00A07C23" w:rsidP="00AD2BCE">
            <w:pPr>
              <w:pStyle w:val="Normal1linespace"/>
              <w:widowControl w:val="0"/>
              <w:jc w:val="left"/>
            </w:pPr>
            <w:r>
              <w:t>Queensland</w:t>
            </w:r>
          </w:p>
        </w:tc>
      </w:tr>
      <w:tr w:rsidR="00E77505" w14:paraId="3B211E6E" w14:textId="77777777" w:rsidTr="0052246A">
        <w:tc>
          <w:tcPr>
            <w:tcW w:w="3083" w:type="dxa"/>
            <w:shd w:val="clear" w:color="auto" w:fill="auto"/>
          </w:tcPr>
          <w:p w14:paraId="72301467" w14:textId="77777777" w:rsidR="00E77505" w:rsidRDefault="00E77505" w:rsidP="00501A12">
            <w:pPr>
              <w:pStyle w:val="Normal1linespace"/>
              <w:widowControl w:val="0"/>
            </w:pPr>
            <w:bookmarkStart w:id="7" w:name="NPARow" w:colFirst="0" w:colLast="1"/>
            <w:bookmarkEnd w:id="6"/>
          </w:p>
        </w:tc>
        <w:tc>
          <w:tcPr>
            <w:tcW w:w="5989" w:type="dxa"/>
            <w:shd w:val="clear" w:color="auto" w:fill="auto"/>
          </w:tcPr>
          <w:p w14:paraId="398B96B3" w14:textId="77777777" w:rsidR="00E77505" w:rsidRPr="00F17599" w:rsidRDefault="00E77505" w:rsidP="00501A12">
            <w:pPr>
              <w:pStyle w:val="Normal1linespace"/>
              <w:widowControl w:val="0"/>
              <w:jc w:val="left"/>
              <w:rPr>
                <w:b/>
              </w:rPr>
            </w:pPr>
          </w:p>
        </w:tc>
      </w:tr>
      <w:tr w:rsidR="00E77505" w14:paraId="00CE8048" w14:textId="77777777" w:rsidTr="0052246A">
        <w:tc>
          <w:tcPr>
            <w:tcW w:w="3083" w:type="dxa"/>
            <w:shd w:val="clear" w:color="auto" w:fill="auto"/>
          </w:tcPr>
          <w:p w14:paraId="00992DCB" w14:textId="77777777" w:rsidR="00E77505" w:rsidRDefault="00E77505" w:rsidP="00501A12">
            <w:pPr>
              <w:pStyle w:val="Normal1linespace"/>
              <w:widowControl w:val="0"/>
            </w:pPr>
            <w:r>
              <w:t>National Practice Area:</w:t>
            </w:r>
          </w:p>
        </w:tc>
        <w:tc>
          <w:tcPr>
            <w:tcW w:w="5989" w:type="dxa"/>
            <w:shd w:val="clear" w:color="auto" w:fill="auto"/>
          </w:tcPr>
          <w:p w14:paraId="0F7E7155" w14:textId="77777777" w:rsidR="00E77505" w:rsidRPr="00F17599" w:rsidRDefault="00A3470C" w:rsidP="001917FD">
            <w:pPr>
              <w:pStyle w:val="Normal1linespace"/>
              <w:widowControl w:val="0"/>
              <w:jc w:val="left"/>
              <w:rPr>
                <w:b/>
              </w:rPr>
            </w:pPr>
            <w:fldSimple w:instr=" DOCPROPERTY  &quot;Practice Area&quot;  \* MERGEFORMAT ">
              <w:r w:rsidR="00E77505">
                <w:t>Federal Crime and Related Proceedings</w:t>
              </w:r>
            </w:fldSimple>
          </w:p>
        </w:tc>
      </w:tr>
      <w:bookmarkEnd w:id="7"/>
      <w:tr w:rsidR="00E77505" w14:paraId="61FE8800" w14:textId="77777777" w:rsidTr="0052246A">
        <w:tc>
          <w:tcPr>
            <w:tcW w:w="3083" w:type="dxa"/>
            <w:shd w:val="clear" w:color="auto" w:fill="auto"/>
          </w:tcPr>
          <w:p w14:paraId="0D1C0431" w14:textId="77777777" w:rsidR="00E77505" w:rsidRDefault="00E77505" w:rsidP="00501A12">
            <w:pPr>
              <w:pStyle w:val="Normal1linespace"/>
              <w:widowControl w:val="0"/>
            </w:pPr>
          </w:p>
        </w:tc>
        <w:tc>
          <w:tcPr>
            <w:tcW w:w="5989" w:type="dxa"/>
            <w:shd w:val="clear" w:color="auto" w:fill="auto"/>
          </w:tcPr>
          <w:p w14:paraId="06D98636" w14:textId="77777777" w:rsidR="00E77505" w:rsidRDefault="00E77505" w:rsidP="00501A12">
            <w:pPr>
              <w:pStyle w:val="Normal1linespace"/>
              <w:widowControl w:val="0"/>
              <w:jc w:val="left"/>
            </w:pPr>
          </w:p>
        </w:tc>
      </w:tr>
      <w:tr w:rsidR="00E77505" w14:paraId="0DDAB16C" w14:textId="77777777" w:rsidTr="0052246A">
        <w:tc>
          <w:tcPr>
            <w:tcW w:w="3083" w:type="dxa"/>
            <w:shd w:val="clear" w:color="auto" w:fill="auto"/>
          </w:tcPr>
          <w:p w14:paraId="7CB465A7" w14:textId="77777777" w:rsidR="00E77505" w:rsidRDefault="00E77505" w:rsidP="00501A12">
            <w:pPr>
              <w:pStyle w:val="Normal1linespace"/>
              <w:widowControl w:val="0"/>
            </w:pPr>
            <w:r>
              <w:t>Number of paragraphs:</w:t>
            </w:r>
          </w:p>
        </w:tc>
        <w:tc>
          <w:tcPr>
            <w:tcW w:w="5989" w:type="dxa"/>
            <w:shd w:val="clear" w:color="auto" w:fill="auto"/>
          </w:tcPr>
          <w:p w14:paraId="2FACA8F6" w14:textId="533914B8" w:rsidR="00E77505" w:rsidRDefault="00E611D8" w:rsidP="00E611D8">
            <w:pPr>
              <w:pStyle w:val="Normal1linespace"/>
              <w:widowControl w:val="0"/>
              <w:jc w:val="left"/>
            </w:pPr>
            <w:bookmarkStart w:id="8" w:name="PlaceCategoryParagraphs"/>
            <w:r>
              <w:t>81</w:t>
            </w:r>
            <w:bookmarkEnd w:id="8"/>
          </w:p>
        </w:tc>
      </w:tr>
      <w:tr w:rsidR="00E77505" w14:paraId="36A9BA54" w14:textId="77777777" w:rsidTr="0052246A">
        <w:tc>
          <w:tcPr>
            <w:tcW w:w="3083" w:type="dxa"/>
            <w:shd w:val="clear" w:color="auto" w:fill="auto"/>
          </w:tcPr>
          <w:p w14:paraId="19D53DB9" w14:textId="77777777" w:rsidR="00E77505" w:rsidRDefault="00E77505" w:rsidP="00E77505">
            <w:pPr>
              <w:pStyle w:val="Normal1linespace"/>
              <w:widowControl w:val="0"/>
              <w:jc w:val="left"/>
            </w:pPr>
          </w:p>
        </w:tc>
        <w:tc>
          <w:tcPr>
            <w:tcW w:w="5989" w:type="dxa"/>
            <w:shd w:val="clear" w:color="auto" w:fill="auto"/>
          </w:tcPr>
          <w:p w14:paraId="24ADB29B" w14:textId="77777777" w:rsidR="00E77505" w:rsidRDefault="00E77505" w:rsidP="00E77505">
            <w:pPr>
              <w:pStyle w:val="Normal1linespace"/>
              <w:widowControl w:val="0"/>
              <w:jc w:val="left"/>
            </w:pPr>
          </w:p>
        </w:tc>
      </w:tr>
      <w:tr w:rsidR="00E77505" w14:paraId="5D29A800" w14:textId="77777777" w:rsidTr="0052246A">
        <w:tc>
          <w:tcPr>
            <w:tcW w:w="3083" w:type="dxa"/>
            <w:shd w:val="clear" w:color="auto" w:fill="auto"/>
          </w:tcPr>
          <w:p w14:paraId="285DF013" w14:textId="77777777" w:rsidR="00E77505" w:rsidRDefault="00E77505" w:rsidP="00CF6EE5">
            <w:pPr>
              <w:pStyle w:val="Normal1linespace"/>
              <w:widowControl w:val="0"/>
              <w:jc w:val="left"/>
            </w:pPr>
            <w:r>
              <w:t>Date of last submissions:</w:t>
            </w:r>
          </w:p>
        </w:tc>
        <w:tc>
          <w:tcPr>
            <w:tcW w:w="5989" w:type="dxa"/>
            <w:shd w:val="clear" w:color="auto" w:fill="auto"/>
          </w:tcPr>
          <w:p w14:paraId="36CFCE49" w14:textId="77777777" w:rsidR="00E77505" w:rsidRDefault="00CF6EE5" w:rsidP="00E77505">
            <w:pPr>
              <w:pStyle w:val="Normal1linespace"/>
              <w:widowControl w:val="0"/>
              <w:jc w:val="left"/>
            </w:pPr>
            <w:r>
              <w:t>14 May 2022</w:t>
            </w:r>
          </w:p>
        </w:tc>
      </w:tr>
      <w:tr w:rsidR="00E77505" w14:paraId="79813213" w14:textId="77777777" w:rsidTr="0052246A">
        <w:tc>
          <w:tcPr>
            <w:tcW w:w="3083" w:type="dxa"/>
            <w:shd w:val="clear" w:color="auto" w:fill="auto"/>
          </w:tcPr>
          <w:p w14:paraId="221EEDE8" w14:textId="77777777" w:rsidR="00E77505" w:rsidRDefault="00E77505" w:rsidP="00E77505">
            <w:pPr>
              <w:pStyle w:val="Normal1linespace"/>
              <w:widowControl w:val="0"/>
              <w:jc w:val="left"/>
            </w:pPr>
          </w:p>
        </w:tc>
        <w:tc>
          <w:tcPr>
            <w:tcW w:w="5989" w:type="dxa"/>
            <w:shd w:val="clear" w:color="auto" w:fill="auto"/>
          </w:tcPr>
          <w:p w14:paraId="179991F5" w14:textId="77777777" w:rsidR="00E77505" w:rsidRDefault="00E77505" w:rsidP="00E77505">
            <w:pPr>
              <w:pStyle w:val="Normal1linespace"/>
              <w:widowControl w:val="0"/>
              <w:jc w:val="left"/>
            </w:pPr>
          </w:p>
        </w:tc>
      </w:tr>
      <w:tr w:rsidR="00E77505" w14:paraId="4141E0EE" w14:textId="77777777" w:rsidTr="0052246A">
        <w:tc>
          <w:tcPr>
            <w:tcW w:w="3083" w:type="dxa"/>
            <w:shd w:val="clear" w:color="auto" w:fill="auto"/>
          </w:tcPr>
          <w:p w14:paraId="6C6B0D71" w14:textId="77777777" w:rsidR="00E77505" w:rsidRDefault="00E77505" w:rsidP="00E77505">
            <w:pPr>
              <w:pStyle w:val="Normal1linespace"/>
              <w:widowControl w:val="0"/>
              <w:jc w:val="left"/>
            </w:pPr>
            <w:bookmarkStart w:id="9" w:name="CounselDate" w:colFirst="0" w:colLast="2"/>
            <w:r w:rsidRPr="006A24E3">
              <w:t>Date of hearing:</w:t>
            </w:r>
          </w:p>
        </w:tc>
        <w:tc>
          <w:tcPr>
            <w:tcW w:w="5989" w:type="dxa"/>
            <w:shd w:val="clear" w:color="auto" w:fill="auto"/>
          </w:tcPr>
          <w:p w14:paraId="61EFA2B5" w14:textId="77777777" w:rsidR="00E77505" w:rsidRDefault="00E77505" w:rsidP="00E77505">
            <w:pPr>
              <w:pStyle w:val="Normal1linespace"/>
              <w:widowControl w:val="0"/>
              <w:jc w:val="left"/>
            </w:pPr>
            <w:bookmarkStart w:id="10" w:name="HearingDate"/>
            <w:r>
              <w:t xml:space="preserve">11 – 12 May 2022 </w:t>
            </w:r>
            <w:bookmarkEnd w:id="10"/>
          </w:p>
        </w:tc>
      </w:tr>
      <w:tr w:rsidR="00E77505" w14:paraId="5B1CE1A9" w14:textId="77777777" w:rsidTr="0052246A">
        <w:tc>
          <w:tcPr>
            <w:tcW w:w="3083" w:type="dxa"/>
            <w:shd w:val="clear" w:color="auto" w:fill="auto"/>
          </w:tcPr>
          <w:p w14:paraId="175EE8E0" w14:textId="77777777" w:rsidR="00E77505" w:rsidRDefault="00E77505" w:rsidP="00E77505">
            <w:pPr>
              <w:pStyle w:val="Normal1linespace"/>
              <w:widowControl w:val="0"/>
              <w:jc w:val="left"/>
            </w:pPr>
          </w:p>
        </w:tc>
        <w:tc>
          <w:tcPr>
            <w:tcW w:w="5989" w:type="dxa"/>
            <w:shd w:val="clear" w:color="auto" w:fill="auto"/>
          </w:tcPr>
          <w:p w14:paraId="2F1887C2" w14:textId="77777777" w:rsidR="00E77505" w:rsidRDefault="00E77505" w:rsidP="00E77505">
            <w:pPr>
              <w:pStyle w:val="Normal1linespace"/>
              <w:widowControl w:val="0"/>
              <w:jc w:val="left"/>
            </w:pPr>
          </w:p>
        </w:tc>
      </w:tr>
      <w:tr w:rsidR="00E77505" w14:paraId="2991CD96" w14:textId="77777777" w:rsidTr="0052246A">
        <w:tc>
          <w:tcPr>
            <w:tcW w:w="3083" w:type="dxa"/>
            <w:shd w:val="clear" w:color="auto" w:fill="auto"/>
          </w:tcPr>
          <w:p w14:paraId="7E09F578" w14:textId="0858A297" w:rsidR="00E77505" w:rsidRDefault="00E77505" w:rsidP="00A07C23">
            <w:pPr>
              <w:pStyle w:val="Normal1linespace"/>
              <w:widowControl w:val="0"/>
              <w:jc w:val="left"/>
            </w:pPr>
            <w:bookmarkStart w:id="11" w:name="Counsel" w:colFirst="0" w:colLast="2"/>
            <w:bookmarkEnd w:id="9"/>
            <w:r>
              <w:t>Counsel for the App</w:t>
            </w:r>
            <w:r w:rsidR="00A07C23">
              <w:t>ellant</w:t>
            </w:r>
            <w:r>
              <w:t>:</w:t>
            </w:r>
          </w:p>
        </w:tc>
        <w:tc>
          <w:tcPr>
            <w:tcW w:w="5989" w:type="dxa"/>
            <w:shd w:val="clear" w:color="auto" w:fill="auto"/>
          </w:tcPr>
          <w:p w14:paraId="5F1AFE11" w14:textId="77777777" w:rsidR="00E77505" w:rsidRDefault="00E77505" w:rsidP="00E77505">
            <w:pPr>
              <w:pStyle w:val="Normal1linespace"/>
              <w:widowControl w:val="0"/>
              <w:jc w:val="left"/>
            </w:pPr>
            <w:bookmarkStart w:id="12" w:name="AppCounsel"/>
            <w:bookmarkEnd w:id="12"/>
            <w:r>
              <w:t xml:space="preserve">P Dunning QC, K </w:t>
            </w:r>
            <w:proofErr w:type="spellStart"/>
            <w:r>
              <w:t>Juhasz</w:t>
            </w:r>
            <w:proofErr w:type="spellEnd"/>
            <w:r>
              <w:t>, K Byrne</w:t>
            </w:r>
          </w:p>
        </w:tc>
      </w:tr>
      <w:tr w:rsidR="00F3791F" w14:paraId="23ADC32F" w14:textId="77777777" w:rsidTr="0052246A">
        <w:tc>
          <w:tcPr>
            <w:tcW w:w="3083" w:type="dxa"/>
            <w:shd w:val="clear" w:color="auto" w:fill="auto"/>
          </w:tcPr>
          <w:p w14:paraId="44FAC439" w14:textId="77777777" w:rsidR="00F3791F" w:rsidRDefault="00F3791F" w:rsidP="00E77505">
            <w:pPr>
              <w:pStyle w:val="Normal1linespace"/>
              <w:widowControl w:val="0"/>
              <w:jc w:val="left"/>
            </w:pPr>
          </w:p>
        </w:tc>
        <w:tc>
          <w:tcPr>
            <w:tcW w:w="5989" w:type="dxa"/>
            <w:shd w:val="clear" w:color="auto" w:fill="auto"/>
          </w:tcPr>
          <w:p w14:paraId="634686C9" w14:textId="77777777" w:rsidR="00F3791F" w:rsidRDefault="00F3791F" w:rsidP="00E77505">
            <w:pPr>
              <w:pStyle w:val="Normal1linespace"/>
              <w:widowControl w:val="0"/>
              <w:jc w:val="left"/>
            </w:pPr>
          </w:p>
        </w:tc>
      </w:tr>
      <w:tr w:rsidR="00F3791F" w14:paraId="470C945D" w14:textId="77777777" w:rsidTr="0052246A">
        <w:tc>
          <w:tcPr>
            <w:tcW w:w="3083" w:type="dxa"/>
            <w:shd w:val="clear" w:color="auto" w:fill="auto"/>
          </w:tcPr>
          <w:p w14:paraId="57A20592" w14:textId="2DB6B21C" w:rsidR="00F3791F" w:rsidRDefault="00F3791F" w:rsidP="00DC4D5E">
            <w:pPr>
              <w:pStyle w:val="Normal1linespace"/>
              <w:widowControl w:val="0"/>
              <w:jc w:val="left"/>
            </w:pPr>
            <w:r>
              <w:t>Solicitor for the App</w:t>
            </w:r>
            <w:r w:rsidR="00A07C23">
              <w:t>ellant</w:t>
            </w:r>
            <w:r>
              <w:t>:</w:t>
            </w:r>
          </w:p>
        </w:tc>
        <w:tc>
          <w:tcPr>
            <w:tcW w:w="5989" w:type="dxa"/>
            <w:shd w:val="clear" w:color="auto" w:fill="auto"/>
          </w:tcPr>
          <w:p w14:paraId="7DBC977D" w14:textId="4718613E" w:rsidR="00F3791F" w:rsidRDefault="00F3791F" w:rsidP="00E77505">
            <w:pPr>
              <w:pStyle w:val="Normal1linespace"/>
              <w:widowControl w:val="0"/>
              <w:jc w:val="left"/>
            </w:pPr>
            <w:r>
              <w:t>Alexander Law</w:t>
            </w:r>
          </w:p>
        </w:tc>
      </w:tr>
      <w:tr w:rsidR="00E77505" w14:paraId="31411285" w14:textId="77777777" w:rsidTr="0052246A">
        <w:tc>
          <w:tcPr>
            <w:tcW w:w="3083" w:type="dxa"/>
            <w:shd w:val="clear" w:color="auto" w:fill="auto"/>
          </w:tcPr>
          <w:p w14:paraId="5988AD30" w14:textId="77777777" w:rsidR="00E77505" w:rsidRDefault="00E77505" w:rsidP="00E77505">
            <w:pPr>
              <w:pStyle w:val="Normal1linespace"/>
              <w:widowControl w:val="0"/>
              <w:jc w:val="left"/>
            </w:pPr>
          </w:p>
        </w:tc>
        <w:tc>
          <w:tcPr>
            <w:tcW w:w="5989" w:type="dxa"/>
            <w:shd w:val="clear" w:color="auto" w:fill="auto"/>
          </w:tcPr>
          <w:p w14:paraId="6B68DF07" w14:textId="77777777" w:rsidR="00E77505" w:rsidRDefault="00E77505" w:rsidP="00E77505">
            <w:pPr>
              <w:pStyle w:val="Normal1linespace"/>
              <w:widowControl w:val="0"/>
              <w:jc w:val="left"/>
            </w:pPr>
          </w:p>
        </w:tc>
      </w:tr>
      <w:tr w:rsidR="00E77505" w14:paraId="093459D6" w14:textId="77777777" w:rsidTr="0052246A">
        <w:tc>
          <w:tcPr>
            <w:tcW w:w="3083" w:type="dxa"/>
            <w:shd w:val="clear" w:color="auto" w:fill="auto"/>
          </w:tcPr>
          <w:p w14:paraId="28703F46" w14:textId="77777777" w:rsidR="00E77505" w:rsidRDefault="00E77505" w:rsidP="00E77505">
            <w:pPr>
              <w:pStyle w:val="Normal1linespace"/>
              <w:widowControl w:val="0"/>
              <w:jc w:val="left"/>
            </w:pPr>
            <w:r>
              <w:t>Counsel for the Respondent:</w:t>
            </w:r>
          </w:p>
        </w:tc>
        <w:tc>
          <w:tcPr>
            <w:tcW w:w="5989" w:type="dxa"/>
            <w:shd w:val="clear" w:color="auto" w:fill="auto"/>
          </w:tcPr>
          <w:p w14:paraId="75383ACA" w14:textId="77777777" w:rsidR="00E77505" w:rsidRDefault="00CF6EE5" w:rsidP="00E77505">
            <w:pPr>
              <w:pStyle w:val="Normal1linespace"/>
              <w:widowControl w:val="0"/>
              <w:jc w:val="left"/>
            </w:pPr>
            <w:r>
              <w:t>M Copley</w:t>
            </w:r>
            <w:r w:rsidR="00E77505">
              <w:t xml:space="preserve"> QC, A Hughes</w:t>
            </w:r>
          </w:p>
        </w:tc>
      </w:tr>
      <w:tr w:rsidR="00F3791F" w14:paraId="7CE6976B" w14:textId="77777777" w:rsidTr="0052246A">
        <w:tc>
          <w:tcPr>
            <w:tcW w:w="3083" w:type="dxa"/>
            <w:shd w:val="clear" w:color="auto" w:fill="auto"/>
          </w:tcPr>
          <w:p w14:paraId="68141EE7" w14:textId="77777777" w:rsidR="00F3791F" w:rsidRDefault="00F3791F" w:rsidP="00E77505">
            <w:pPr>
              <w:pStyle w:val="Normal1linespace"/>
              <w:widowControl w:val="0"/>
              <w:jc w:val="left"/>
            </w:pPr>
          </w:p>
        </w:tc>
        <w:tc>
          <w:tcPr>
            <w:tcW w:w="5989" w:type="dxa"/>
            <w:shd w:val="clear" w:color="auto" w:fill="auto"/>
          </w:tcPr>
          <w:p w14:paraId="66F26A58" w14:textId="77777777" w:rsidR="00F3791F" w:rsidRDefault="00F3791F" w:rsidP="00E77505">
            <w:pPr>
              <w:pStyle w:val="Normal1linespace"/>
              <w:widowControl w:val="0"/>
              <w:jc w:val="left"/>
            </w:pPr>
          </w:p>
        </w:tc>
      </w:tr>
      <w:tr w:rsidR="00F3791F" w14:paraId="3C603A58" w14:textId="77777777" w:rsidTr="0052246A">
        <w:tc>
          <w:tcPr>
            <w:tcW w:w="3083" w:type="dxa"/>
            <w:shd w:val="clear" w:color="auto" w:fill="auto"/>
          </w:tcPr>
          <w:p w14:paraId="52BC1DF1" w14:textId="0FD8E0F1" w:rsidR="00F3791F" w:rsidRDefault="00F3791F" w:rsidP="00E77505">
            <w:pPr>
              <w:pStyle w:val="Normal1linespace"/>
              <w:widowControl w:val="0"/>
              <w:jc w:val="left"/>
            </w:pPr>
            <w:r>
              <w:t>Solicitor for the Respondent:</w:t>
            </w:r>
          </w:p>
        </w:tc>
        <w:tc>
          <w:tcPr>
            <w:tcW w:w="5989" w:type="dxa"/>
            <w:shd w:val="clear" w:color="auto" w:fill="auto"/>
          </w:tcPr>
          <w:p w14:paraId="15D58BC8" w14:textId="7AD99489" w:rsidR="00F3791F" w:rsidRDefault="00F3791F" w:rsidP="00E77505">
            <w:pPr>
              <w:pStyle w:val="Normal1linespace"/>
              <w:widowControl w:val="0"/>
              <w:jc w:val="left"/>
            </w:pPr>
            <w:r>
              <w:t>Australian Government Solicitor</w:t>
            </w:r>
          </w:p>
        </w:tc>
      </w:tr>
      <w:bookmarkEnd w:id="11"/>
    </w:tbl>
    <w:p w14:paraId="3867235C" w14:textId="77777777" w:rsidR="007470BD" w:rsidRDefault="007470BD">
      <w:pPr>
        <w:pStyle w:val="Normal1linespace"/>
      </w:pPr>
    </w:p>
    <w:p w14:paraId="67C4583C" w14:textId="77777777" w:rsidR="00E94CBF" w:rsidRDefault="00E94CBF">
      <w:pPr>
        <w:pStyle w:val="Normal1linespace"/>
      </w:pPr>
    </w:p>
    <w:p w14:paraId="7279F180"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B32B76E"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B9364C4" w14:textId="77777777" w:rsidTr="00E81DA6">
        <w:tc>
          <w:tcPr>
            <w:tcW w:w="6912" w:type="dxa"/>
            <w:gridSpan w:val="2"/>
          </w:tcPr>
          <w:p w14:paraId="73B3E195" w14:textId="77777777" w:rsidR="00A46CCC" w:rsidRPr="001765E0" w:rsidRDefault="00A46CCC" w:rsidP="00525A49">
            <w:pPr>
              <w:pStyle w:val="NormalHeadings"/>
            </w:pPr>
          </w:p>
        </w:tc>
        <w:tc>
          <w:tcPr>
            <w:tcW w:w="2330" w:type="dxa"/>
          </w:tcPr>
          <w:p w14:paraId="56E1FD2D" w14:textId="77777777" w:rsidR="00E77505" w:rsidRDefault="00E77505" w:rsidP="00F92355">
            <w:pPr>
              <w:pStyle w:val="NormalHeadings"/>
              <w:jc w:val="right"/>
            </w:pPr>
            <w:bookmarkStart w:id="13" w:name="FileNo"/>
            <w:r>
              <w:t>QUD 53 of 2021</w:t>
            </w:r>
          </w:p>
          <w:p w14:paraId="36BA7E7D" w14:textId="77777777" w:rsidR="00A46CCC" w:rsidRDefault="00E77505" w:rsidP="00F92355">
            <w:pPr>
              <w:pStyle w:val="NormalHeadings"/>
              <w:jc w:val="right"/>
            </w:pPr>
            <w:r>
              <w:t>QUD 361 of 2021</w:t>
            </w:r>
            <w:bookmarkEnd w:id="13"/>
          </w:p>
        </w:tc>
      </w:tr>
      <w:tr w:rsidR="00A76C13" w14:paraId="6093FA3D" w14:textId="77777777" w:rsidTr="001917FD">
        <w:tc>
          <w:tcPr>
            <w:tcW w:w="9242" w:type="dxa"/>
            <w:gridSpan w:val="3"/>
          </w:tcPr>
          <w:p w14:paraId="508D877F" w14:textId="77777777" w:rsidR="00A76C13" w:rsidRPr="00A76C13" w:rsidRDefault="00E77505" w:rsidP="00E77505">
            <w:pPr>
              <w:pStyle w:val="NormalHeadings"/>
              <w:jc w:val="left"/>
            </w:pPr>
            <w:bookmarkStart w:id="14" w:name="InTheMatterOf"/>
            <w:r>
              <w:t xml:space="preserve"> </w:t>
            </w:r>
            <w:bookmarkEnd w:id="14"/>
          </w:p>
        </w:tc>
      </w:tr>
      <w:tr w:rsidR="00A46CCC" w14:paraId="02F632E5" w14:textId="77777777" w:rsidTr="001917FD">
        <w:trPr>
          <w:trHeight w:val="386"/>
        </w:trPr>
        <w:tc>
          <w:tcPr>
            <w:tcW w:w="2376" w:type="dxa"/>
          </w:tcPr>
          <w:p w14:paraId="27F3CD9A" w14:textId="77777777" w:rsidR="00A46CCC" w:rsidRDefault="00A46CCC" w:rsidP="001917FD">
            <w:pPr>
              <w:pStyle w:val="NormalHeadings"/>
              <w:jc w:val="left"/>
              <w:rPr>
                <w:caps/>
                <w:szCs w:val="24"/>
              </w:rPr>
            </w:pPr>
            <w:bookmarkStart w:id="15" w:name="Parties"/>
            <w:r>
              <w:rPr>
                <w:caps/>
                <w:szCs w:val="24"/>
              </w:rPr>
              <w:t>BETWEEN:</w:t>
            </w:r>
          </w:p>
        </w:tc>
        <w:tc>
          <w:tcPr>
            <w:tcW w:w="6866" w:type="dxa"/>
            <w:gridSpan w:val="2"/>
          </w:tcPr>
          <w:p w14:paraId="4F2365CF" w14:textId="77777777" w:rsidR="00E77505" w:rsidRDefault="00E77505" w:rsidP="00E77505">
            <w:pPr>
              <w:pStyle w:val="NormalHeadings"/>
              <w:jc w:val="left"/>
            </w:pPr>
            <w:bookmarkStart w:id="16" w:name="Applicant"/>
            <w:r>
              <w:t>CLIVE THEODORE MENSINK</w:t>
            </w:r>
          </w:p>
          <w:p w14:paraId="1C05A060" w14:textId="77777777" w:rsidR="00E77505" w:rsidRDefault="00E77505" w:rsidP="00E77505">
            <w:pPr>
              <w:pStyle w:val="PartyType"/>
            </w:pPr>
            <w:r>
              <w:t>App</w:t>
            </w:r>
            <w:r w:rsidR="003F6050">
              <w:t>ell</w:t>
            </w:r>
            <w:r>
              <w:t>ant</w:t>
            </w:r>
          </w:p>
          <w:bookmarkEnd w:id="16"/>
          <w:p w14:paraId="1EE6451D" w14:textId="77777777" w:rsidR="00A46CCC" w:rsidRPr="006555B4" w:rsidRDefault="00A46CCC" w:rsidP="001917FD">
            <w:pPr>
              <w:pStyle w:val="NormalHeadings"/>
              <w:jc w:val="left"/>
            </w:pPr>
          </w:p>
        </w:tc>
      </w:tr>
      <w:tr w:rsidR="00A46CCC" w14:paraId="26A2520C" w14:textId="77777777" w:rsidTr="001917FD">
        <w:trPr>
          <w:trHeight w:val="386"/>
        </w:trPr>
        <w:tc>
          <w:tcPr>
            <w:tcW w:w="2376" w:type="dxa"/>
          </w:tcPr>
          <w:p w14:paraId="3A0B2800" w14:textId="77777777" w:rsidR="00A46CCC" w:rsidRDefault="00A46CCC" w:rsidP="001917FD">
            <w:pPr>
              <w:pStyle w:val="NormalHeadings"/>
              <w:jc w:val="left"/>
              <w:rPr>
                <w:caps/>
                <w:szCs w:val="24"/>
              </w:rPr>
            </w:pPr>
            <w:r>
              <w:rPr>
                <w:caps/>
                <w:szCs w:val="24"/>
              </w:rPr>
              <w:t>AND:</w:t>
            </w:r>
          </w:p>
        </w:tc>
        <w:tc>
          <w:tcPr>
            <w:tcW w:w="6866" w:type="dxa"/>
            <w:gridSpan w:val="2"/>
          </w:tcPr>
          <w:p w14:paraId="590A534E" w14:textId="77777777" w:rsidR="00E77505" w:rsidRDefault="00E77505" w:rsidP="00E77505">
            <w:pPr>
              <w:pStyle w:val="NormalHeadings"/>
              <w:jc w:val="left"/>
            </w:pPr>
            <w:bookmarkStart w:id="17" w:name="Respondent"/>
            <w:r>
              <w:t>REGISTRAR OF THE FEDERAL COURT OF AUSTRALIA</w:t>
            </w:r>
          </w:p>
          <w:p w14:paraId="7C2AB6DE" w14:textId="77777777" w:rsidR="00E77505" w:rsidRDefault="00E77505" w:rsidP="00E77505">
            <w:pPr>
              <w:pStyle w:val="PartyType"/>
            </w:pPr>
            <w:r>
              <w:t>Respondent</w:t>
            </w:r>
          </w:p>
          <w:bookmarkEnd w:id="17"/>
          <w:p w14:paraId="0DB65332" w14:textId="77777777" w:rsidR="00A46CCC" w:rsidRPr="006555B4" w:rsidRDefault="00A46CCC" w:rsidP="001917FD">
            <w:pPr>
              <w:pStyle w:val="NormalHeadings"/>
              <w:jc w:val="left"/>
            </w:pPr>
          </w:p>
        </w:tc>
      </w:tr>
    </w:tbl>
    <w:p w14:paraId="3C3268A2"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7BBEA01D" w14:textId="77777777">
        <w:tc>
          <w:tcPr>
            <w:tcW w:w="2376" w:type="dxa"/>
          </w:tcPr>
          <w:p w14:paraId="74E4D342"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098984F7" w14:textId="0C04E4DA" w:rsidR="00395B24" w:rsidRDefault="005235EC">
            <w:pPr>
              <w:pStyle w:val="NormalHeadings"/>
              <w:jc w:val="left"/>
              <w:rPr>
                <w:caps/>
                <w:szCs w:val="24"/>
              </w:rPr>
            </w:pPr>
            <w:bookmarkStart w:id="20" w:name="Judge"/>
            <w:r>
              <w:rPr>
                <w:caps/>
                <w:szCs w:val="24"/>
              </w:rPr>
              <w:t>BROMWICH, LEE AND</w:t>
            </w:r>
            <w:r w:rsidR="00E77505">
              <w:rPr>
                <w:caps/>
                <w:szCs w:val="24"/>
              </w:rPr>
              <w:t xml:space="preserve"> THAWLEY JJ</w:t>
            </w:r>
            <w:bookmarkEnd w:id="20"/>
          </w:p>
        </w:tc>
      </w:tr>
      <w:tr w:rsidR="00395B24" w14:paraId="673E5D5D" w14:textId="77777777">
        <w:tc>
          <w:tcPr>
            <w:tcW w:w="2376" w:type="dxa"/>
          </w:tcPr>
          <w:p w14:paraId="5B117511" w14:textId="77777777" w:rsidR="00395B24" w:rsidRDefault="002C7385">
            <w:pPr>
              <w:pStyle w:val="NormalHeadings"/>
              <w:spacing w:after="120"/>
              <w:jc w:val="left"/>
              <w:rPr>
                <w:caps/>
                <w:szCs w:val="24"/>
              </w:rPr>
            </w:pPr>
            <w:r>
              <w:rPr>
                <w:caps/>
                <w:szCs w:val="24"/>
              </w:rPr>
              <w:t>DATE OF ORDER:</w:t>
            </w:r>
          </w:p>
        </w:tc>
        <w:tc>
          <w:tcPr>
            <w:tcW w:w="6866" w:type="dxa"/>
          </w:tcPr>
          <w:p w14:paraId="47C4E2D2" w14:textId="77777777" w:rsidR="00395B24" w:rsidRDefault="0069736A" w:rsidP="0069736A">
            <w:pPr>
              <w:pStyle w:val="NormalHeadings"/>
              <w:jc w:val="left"/>
              <w:rPr>
                <w:caps/>
                <w:szCs w:val="24"/>
              </w:rPr>
            </w:pPr>
            <w:bookmarkStart w:id="21" w:name="Judgment_Dated"/>
            <w:r w:rsidRPr="00CB46C3">
              <w:rPr>
                <w:caps/>
                <w:szCs w:val="24"/>
              </w:rPr>
              <w:t>9</w:t>
            </w:r>
            <w:bookmarkEnd w:id="21"/>
            <w:r w:rsidR="008374C7">
              <w:rPr>
                <w:caps/>
                <w:szCs w:val="24"/>
              </w:rPr>
              <w:t xml:space="preserve"> </w:t>
            </w:r>
            <w:r w:rsidR="008374C7" w:rsidRPr="0016793F">
              <w:rPr>
                <w:caps/>
                <w:szCs w:val="24"/>
              </w:rPr>
              <w:t>june</w:t>
            </w:r>
            <w:r w:rsidR="008374C7">
              <w:rPr>
                <w:caps/>
                <w:szCs w:val="24"/>
              </w:rPr>
              <w:t xml:space="preserve"> 2022</w:t>
            </w:r>
          </w:p>
        </w:tc>
      </w:tr>
    </w:tbl>
    <w:p w14:paraId="5E90B923" w14:textId="77777777" w:rsidR="00395B24" w:rsidRDefault="00395B24">
      <w:pPr>
        <w:pStyle w:val="NormalHeadings"/>
        <w:rPr>
          <w:b w:val="0"/>
        </w:rPr>
      </w:pPr>
    </w:p>
    <w:p w14:paraId="711B5352" w14:textId="77777777" w:rsidR="008D1617" w:rsidRDefault="008D1617">
      <w:pPr>
        <w:pStyle w:val="NormalHeadings"/>
        <w:rPr>
          <w:b w:val="0"/>
        </w:rPr>
      </w:pPr>
    </w:p>
    <w:p w14:paraId="4058684D" w14:textId="77777777" w:rsidR="00395B24" w:rsidRDefault="002C7385">
      <w:pPr>
        <w:pStyle w:val="NormalHeadings"/>
      </w:pPr>
      <w:r>
        <w:t>THE COURT ORDERS THAT:</w:t>
      </w:r>
    </w:p>
    <w:p w14:paraId="1AA62106" w14:textId="77777777" w:rsidR="007F60DF" w:rsidRDefault="007F60DF" w:rsidP="00243E5E">
      <w:pPr>
        <w:pStyle w:val="NormalHeadings"/>
      </w:pPr>
    </w:p>
    <w:p w14:paraId="724DAEDB" w14:textId="51E6164F" w:rsidR="003F6050" w:rsidRDefault="003F6050" w:rsidP="001A6C52">
      <w:pPr>
        <w:pStyle w:val="Order1"/>
      </w:pPr>
      <w:r>
        <w:t xml:space="preserve">The application for an extension of time and leave to appeal in QUD 53 of 2021 be </w:t>
      </w:r>
      <w:r w:rsidR="0016793F">
        <w:t xml:space="preserve">refused as to ground 1, and be </w:t>
      </w:r>
      <w:r>
        <w:t>granted</w:t>
      </w:r>
      <w:r w:rsidR="0016793F">
        <w:t xml:space="preserve"> as to ground 2</w:t>
      </w:r>
      <w:r>
        <w:t>.</w:t>
      </w:r>
    </w:p>
    <w:p w14:paraId="02F2B330" w14:textId="68F8FBC0" w:rsidR="00443CCD" w:rsidRDefault="00443CCD" w:rsidP="001A6C52">
      <w:pPr>
        <w:pStyle w:val="Order1"/>
      </w:pPr>
      <w:r>
        <w:t xml:space="preserve">The draft notice of appeal in QUD 53 of 2021 contained within the appeal book be treated as a notice of appeal as to ground 2.  </w:t>
      </w:r>
    </w:p>
    <w:p w14:paraId="2939F2EF" w14:textId="77777777" w:rsidR="001A6C52" w:rsidRDefault="003F6050" w:rsidP="001A6C52">
      <w:pPr>
        <w:pStyle w:val="Order1"/>
      </w:pPr>
      <w:r>
        <w:t xml:space="preserve">The appeal in QUD 53 of 2021 be dismissed. </w:t>
      </w:r>
    </w:p>
    <w:p w14:paraId="2F29798A" w14:textId="77777777" w:rsidR="003F6050" w:rsidRDefault="003F6050" w:rsidP="001A6C52">
      <w:pPr>
        <w:pStyle w:val="Order1"/>
      </w:pPr>
      <w:r>
        <w:t>The appeal in QUD 361 of 2021 be dismissed.</w:t>
      </w:r>
    </w:p>
    <w:p w14:paraId="65287E3E" w14:textId="3C686263" w:rsidR="003F6050" w:rsidRDefault="003F6050" w:rsidP="001A6C52">
      <w:pPr>
        <w:pStyle w:val="Order1"/>
      </w:pPr>
      <w:r>
        <w:t>The appellant pay the respondent’s costs of the</w:t>
      </w:r>
      <w:r w:rsidR="006C43EF">
        <w:t xml:space="preserve"> application for an extension of time and leave to appeal, and the</w:t>
      </w:r>
      <w:r>
        <w:t xml:space="preserve"> appeals</w:t>
      </w:r>
      <w:r w:rsidR="006C43EF">
        <w:t>,</w:t>
      </w:r>
      <w:r>
        <w:t xml:space="preserve"> as assessed or agreed.</w:t>
      </w:r>
    </w:p>
    <w:p w14:paraId="5D800BEE" w14:textId="77777777" w:rsidR="001A6C52" w:rsidRDefault="001A6C52" w:rsidP="001A6C52">
      <w:pPr>
        <w:pStyle w:val="BodyText"/>
      </w:pPr>
    </w:p>
    <w:p w14:paraId="14568986" w14:textId="77777777" w:rsidR="00A431E6" w:rsidRDefault="00A431E6" w:rsidP="001A6C52">
      <w:pPr>
        <w:pStyle w:val="BodyText"/>
      </w:pPr>
    </w:p>
    <w:p w14:paraId="56E687E9" w14:textId="77777777" w:rsidR="0050309C" w:rsidRDefault="00E77505"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4F8D241" w14:textId="77777777" w:rsidR="00E23577" w:rsidRDefault="00E23577" w:rsidP="002B0E91">
      <w:pPr>
        <w:pStyle w:val="BodyText"/>
      </w:pPr>
    </w:p>
    <w:p w14:paraId="38A6F4EF"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780F4F2F"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7E5DC085" w14:textId="77777777" w:rsidR="00694BEB" w:rsidRDefault="00E77505" w:rsidP="005E0510">
      <w:pPr>
        <w:pStyle w:val="NormalHeadings"/>
        <w:spacing w:line="360" w:lineRule="auto"/>
        <w:jc w:val="left"/>
        <w:rPr>
          <w:sz w:val="26"/>
          <w:szCs w:val="26"/>
        </w:rPr>
      </w:pPr>
      <w:r>
        <w:rPr>
          <w:sz w:val="26"/>
          <w:szCs w:val="26"/>
        </w:rPr>
        <w:t>THE COURT:</w:t>
      </w:r>
    </w:p>
    <w:p w14:paraId="6DAFB7A8" w14:textId="30B7AEE4" w:rsidR="00C43C40" w:rsidRPr="00C43C40" w:rsidRDefault="00C43C40" w:rsidP="00497FCF">
      <w:pPr>
        <w:pStyle w:val="ParaNumbering"/>
        <w:tabs>
          <w:tab w:val="clear" w:pos="720"/>
        </w:tabs>
        <w:rPr>
          <w:szCs w:val="24"/>
        </w:rPr>
      </w:pPr>
      <w:r>
        <w:t xml:space="preserve">Clive Theodore Mensink brings two appeal proceedings against orders made by two judges of the </w:t>
      </w:r>
      <w:r w:rsidR="00017E43">
        <w:t xml:space="preserve">Federal </w:t>
      </w:r>
      <w:r>
        <w:t>Court</w:t>
      </w:r>
      <w:r w:rsidR="0016793F">
        <w:t xml:space="preserve"> of Australia</w:t>
      </w:r>
      <w:r w:rsidR="00017E43">
        <w:t>,</w:t>
      </w:r>
      <w:r>
        <w:t xml:space="preserve"> concerning </w:t>
      </w:r>
      <w:r w:rsidR="00CE5C47">
        <w:t xml:space="preserve">a </w:t>
      </w:r>
      <w:r>
        <w:t xml:space="preserve">contempt </w:t>
      </w:r>
      <w:r w:rsidR="007F3DB5">
        <w:t xml:space="preserve">of court </w:t>
      </w:r>
      <w:r>
        <w:t xml:space="preserve">proceeding brought against him </w:t>
      </w:r>
      <w:r w:rsidR="008374C7">
        <w:t xml:space="preserve">by special purpose liquidators </w:t>
      </w:r>
      <w:r w:rsidR="007F3DB5">
        <w:t>(</w:t>
      </w:r>
      <w:r w:rsidR="007F3DB5" w:rsidRPr="007F3DB5">
        <w:rPr>
          <w:b/>
        </w:rPr>
        <w:t>SPL</w:t>
      </w:r>
      <w:r w:rsidR="007F3DB5">
        <w:t xml:space="preserve">s) </w:t>
      </w:r>
      <w:r w:rsidR="008374C7">
        <w:t xml:space="preserve">of the company </w:t>
      </w:r>
      <w:r w:rsidR="00017E43">
        <w:t>for which he was</w:t>
      </w:r>
      <w:r w:rsidR="008374C7">
        <w:t xml:space="preserve"> the sole director at the time it went into voluntary administration</w:t>
      </w:r>
      <w:r w:rsidR="00CE5C47">
        <w:t xml:space="preserve"> in January 2016</w:t>
      </w:r>
      <w:r w:rsidR="008374C7">
        <w:t xml:space="preserve">, </w:t>
      </w:r>
      <w:r w:rsidR="007F3DB5" w:rsidRPr="00823305">
        <w:rPr>
          <w:b/>
        </w:rPr>
        <w:t>Queensland Nickel</w:t>
      </w:r>
      <w:r w:rsidR="007F3DB5" w:rsidRPr="000D297A">
        <w:t xml:space="preserve"> Pty Ltd</w:t>
      </w:r>
      <w:r w:rsidR="007F3DB5">
        <w:t xml:space="preserve">.  </w:t>
      </w:r>
      <w:r w:rsidR="00CE5C47">
        <w:t xml:space="preserve">It is alleged that </w:t>
      </w:r>
      <w:r w:rsidR="006C43EF">
        <w:t xml:space="preserve">Mr </w:t>
      </w:r>
      <w:proofErr w:type="spellStart"/>
      <w:r w:rsidR="006C43EF">
        <w:t>Mensink</w:t>
      </w:r>
      <w:proofErr w:type="spellEnd"/>
      <w:r w:rsidR="006C43EF">
        <w:t xml:space="preserve"> </w:t>
      </w:r>
      <w:r w:rsidR="00CE5C47">
        <w:t xml:space="preserve">committed </w:t>
      </w:r>
      <w:r w:rsidR="007F3DB5">
        <w:t xml:space="preserve">two </w:t>
      </w:r>
      <w:proofErr w:type="spellStart"/>
      <w:r w:rsidR="007F3DB5">
        <w:t>contempts</w:t>
      </w:r>
      <w:proofErr w:type="spellEnd"/>
      <w:r w:rsidR="007F3DB5">
        <w:t xml:space="preserve"> of court </w:t>
      </w:r>
      <w:r w:rsidR="00CE5C47">
        <w:t xml:space="preserve">by reason of </w:t>
      </w:r>
      <w:r>
        <w:t xml:space="preserve">his failure to </w:t>
      </w:r>
      <w:r w:rsidR="00CE5C47">
        <w:t>comply</w:t>
      </w:r>
      <w:r w:rsidR="004519D5">
        <w:t xml:space="preserve"> </w:t>
      </w:r>
      <w:r w:rsidR="00CE5C47">
        <w:t xml:space="preserve">with a summons to </w:t>
      </w:r>
      <w:r>
        <w:t>appear</w:t>
      </w:r>
      <w:r w:rsidR="00CE5C47">
        <w:t xml:space="preserve"> </w:t>
      </w:r>
      <w:r>
        <w:t>at a</w:t>
      </w:r>
      <w:r w:rsidR="008374C7">
        <w:t>n</w:t>
      </w:r>
      <w:r>
        <w:t xml:space="preserve"> examination</w:t>
      </w:r>
      <w:r w:rsidR="008374C7">
        <w:t xml:space="preserve"> under the </w:t>
      </w:r>
      <w:r w:rsidR="008374C7" w:rsidRPr="00434D04">
        <w:rPr>
          <w:i/>
        </w:rPr>
        <w:t>Corporations Act 2011</w:t>
      </w:r>
      <w:r w:rsidR="008374C7" w:rsidRPr="00434D04">
        <w:t xml:space="preserve"> (</w:t>
      </w:r>
      <w:proofErr w:type="spellStart"/>
      <w:r w:rsidR="008374C7" w:rsidRPr="00434D04">
        <w:t>Cth</w:t>
      </w:r>
      <w:proofErr w:type="spellEnd"/>
      <w:r w:rsidR="008374C7" w:rsidRPr="00434D04">
        <w:t>)</w:t>
      </w:r>
      <w:r w:rsidR="004519D5">
        <w:t xml:space="preserve"> on two separate occasions in February and March 2017.</w:t>
      </w:r>
    </w:p>
    <w:p w14:paraId="0925A64A" w14:textId="5FDAC6C0" w:rsidR="00C43C40" w:rsidRPr="0052246A" w:rsidRDefault="00C43C40" w:rsidP="00B92CB6">
      <w:pPr>
        <w:pStyle w:val="ParaNumbering"/>
        <w:rPr>
          <w:szCs w:val="24"/>
        </w:rPr>
      </w:pPr>
      <w:r w:rsidRPr="0052246A">
        <w:t xml:space="preserve">The first appeal proceeding </w:t>
      </w:r>
      <w:r w:rsidR="008374C7" w:rsidRPr="0052246A">
        <w:t xml:space="preserve">(QUD 53 of 2021) </w:t>
      </w:r>
      <w:r w:rsidRPr="0052246A">
        <w:t xml:space="preserve">concerns an order made </w:t>
      </w:r>
      <w:r w:rsidR="008374C7" w:rsidRPr="0052246A">
        <w:t>on 5 August 2020</w:t>
      </w:r>
      <w:r w:rsidR="00D71847" w:rsidRPr="0052246A">
        <w:t xml:space="preserve"> by Reeves</w:t>
      </w:r>
      <w:r w:rsidR="0016793F" w:rsidRPr="0052246A">
        <w:t> </w:t>
      </w:r>
      <w:r w:rsidR="00D71847" w:rsidRPr="0052246A">
        <w:t>J</w:t>
      </w:r>
      <w:r w:rsidR="008374C7" w:rsidRPr="0052246A">
        <w:t xml:space="preserve"> </w:t>
      </w:r>
      <w:r w:rsidRPr="0052246A">
        <w:t xml:space="preserve">that the </w:t>
      </w:r>
      <w:r w:rsidR="008374C7" w:rsidRPr="0052246A">
        <w:t xml:space="preserve">Registrar </w:t>
      </w:r>
      <w:r w:rsidRPr="0052246A">
        <w:t>take over the contempt proceedings</w:t>
      </w:r>
      <w:r w:rsidR="00017E43" w:rsidRPr="0052246A">
        <w:t xml:space="preserve">. </w:t>
      </w:r>
      <w:r w:rsidR="0016793F" w:rsidRPr="0052246A">
        <w:t xml:space="preserve"> </w:t>
      </w:r>
      <w:r w:rsidR="00017E43" w:rsidRPr="0052246A">
        <w:t>This</w:t>
      </w:r>
      <w:r w:rsidRPr="0052246A">
        <w:t xml:space="preserve"> follow</w:t>
      </w:r>
      <w:r w:rsidR="00017E43" w:rsidRPr="0052246A">
        <w:t>ed</w:t>
      </w:r>
      <w:r w:rsidRPr="0052246A">
        <w:t xml:space="preserve"> the settlement of </w:t>
      </w:r>
      <w:r w:rsidR="00AC5C02" w:rsidRPr="0052246A">
        <w:t xml:space="preserve">a </w:t>
      </w:r>
      <w:r w:rsidRPr="0052246A">
        <w:t xml:space="preserve">proceeding </w:t>
      </w:r>
      <w:r w:rsidR="003A3316" w:rsidRPr="0052246A">
        <w:t xml:space="preserve">brought by the SPLs </w:t>
      </w:r>
      <w:r w:rsidRPr="0052246A">
        <w:t xml:space="preserve">in the Queensland Supreme Court to which </w:t>
      </w:r>
      <w:r w:rsidR="007F3DB5" w:rsidRPr="0052246A">
        <w:t>Mr Mensink</w:t>
      </w:r>
      <w:r w:rsidRPr="0052246A">
        <w:t xml:space="preserve"> was a party</w:t>
      </w:r>
      <w:r w:rsidR="007F3DB5" w:rsidRPr="0052246A">
        <w:t xml:space="preserve"> and the corresponding lack of </w:t>
      </w:r>
      <w:r w:rsidR="003A3316" w:rsidRPr="0052246A">
        <w:t>intention</w:t>
      </w:r>
      <w:r w:rsidR="007F3DB5" w:rsidRPr="0052246A">
        <w:t xml:space="preserve"> on the part of the SPLs to </w:t>
      </w:r>
      <w:r w:rsidR="00636C1D" w:rsidRPr="0052246A">
        <w:rPr>
          <w:szCs w:val="24"/>
        </w:rPr>
        <w:t xml:space="preserve">take any further steps in the contempt proceeding.  </w:t>
      </w:r>
      <w:r w:rsidR="00636C1D" w:rsidRPr="0052246A">
        <w:t xml:space="preserve">Mr Mensink </w:t>
      </w:r>
      <w:r w:rsidRPr="0052246A">
        <w:t>contends that the deed of settlement had the collateral effect of bringing the contempt proceeding to an end and otherwise precluding that</w:t>
      </w:r>
      <w:r w:rsidR="003B420F" w:rsidRPr="0052246A">
        <w:t>,</w:t>
      </w:r>
      <w:r w:rsidRPr="0052246A">
        <w:t xml:space="preserve"> or any other</w:t>
      </w:r>
      <w:r w:rsidR="006C43EF">
        <w:t>,</w:t>
      </w:r>
      <w:r w:rsidRPr="0052246A">
        <w:t xml:space="preserve"> contempt proceeding being maintained or brought against him.  </w:t>
      </w:r>
      <w:r w:rsidR="00782456" w:rsidRPr="0052246A">
        <w:t xml:space="preserve">He requires an extension of time and </w:t>
      </w:r>
      <w:r w:rsidRPr="0052246A">
        <w:t xml:space="preserve">leave to appeal from </w:t>
      </w:r>
      <w:r w:rsidR="007F3DB5" w:rsidRPr="0052246A">
        <w:t>that order</w:t>
      </w:r>
      <w:r w:rsidR="003A3316" w:rsidRPr="0052246A">
        <w:t xml:space="preserve"> on either of the two grounds advanced</w:t>
      </w:r>
      <w:r w:rsidRPr="0052246A">
        <w:t>.</w:t>
      </w:r>
      <w:r w:rsidR="00782456" w:rsidRPr="0052246A">
        <w:t xml:space="preserve"> </w:t>
      </w:r>
      <w:r w:rsidR="004D5E85" w:rsidRPr="0052246A">
        <w:t xml:space="preserve"> </w:t>
      </w:r>
      <w:r w:rsidR="00C66824" w:rsidRPr="0052246A">
        <w:t xml:space="preserve">In case it could be argued that leave was not required, we deal with this appeal proceeding upon the alternative basis of there being no such requirement. </w:t>
      </w:r>
    </w:p>
    <w:p w14:paraId="04691AE9" w14:textId="77777777" w:rsidR="00C43C40" w:rsidRPr="00AC5C02" w:rsidRDefault="00C43C40" w:rsidP="00B92CB6">
      <w:pPr>
        <w:pStyle w:val="ParaNumbering"/>
        <w:rPr>
          <w:szCs w:val="24"/>
        </w:rPr>
      </w:pPr>
      <w:r>
        <w:t xml:space="preserve">The second appeal proceeding </w:t>
      </w:r>
      <w:r w:rsidR="008374C7">
        <w:t xml:space="preserve">(QUD 361 of 2021) </w:t>
      </w:r>
      <w:r>
        <w:t>concerns the dismissal</w:t>
      </w:r>
      <w:r w:rsidR="008374C7">
        <w:t>,</w:t>
      </w:r>
      <w:r>
        <w:t xml:space="preserve"> </w:t>
      </w:r>
      <w:r w:rsidR="008374C7">
        <w:t xml:space="preserve">on </w:t>
      </w:r>
      <w:r w:rsidR="00295B17">
        <w:t>24 September 2021</w:t>
      </w:r>
      <w:r w:rsidR="008374C7">
        <w:t xml:space="preserve">, </w:t>
      </w:r>
      <w:r>
        <w:t>of a</w:t>
      </w:r>
      <w:r w:rsidR="007312BD">
        <w:t>n</w:t>
      </w:r>
      <w:r>
        <w:t xml:space="preserve"> </w:t>
      </w:r>
      <w:r w:rsidR="00782456">
        <w:t xml:space="preserve">amended interlocutory </w:t>
      </w:r>
      <w:r>
        <w:t>application for summary judgment</w:t>
      </w:r>
      <w:r w:rsidR="007312BD">
        <w:t>.</w:t>
      </w:r>
      <w:r w:rsidR="003A3316">
        <w:t xml:space="preserve">  It was common ground that leave to appeal was not required by reason of s </w:t>
      </w:r>
      <w:r w:rsidR="00017E43" w:rsidRPr="00434D04">
        <w:t>24(1C)</w:t>
      </w:r>
      <w:r w:rsidR="0016793F">
        <w:t>(b)</w:t>
      </w:r>
      <w:r w:rsidR="003A3316" w:rsidRPr="00434D04">
        <w:t xml:space="preserve"> of the </w:t>
      </w:r>
      <w:r w:rsidR="003A3316" w:rsidRPr="00434D04">
        <w:rPr>
          <w:i/>
        </w:rPr>
        <w:t>Federal Court of Australia Act 1976</w:t>
      </w:r>
      <w:r w:rsidR="003A3316" w:rsidRPr="00434D04">
        <w:t xml:space="preserve"> (</w:t>
      </w:r>
      <w:proofErr w:type="spellStart"/>
      <w:r w:rsidR="003A3316" w:rsidRPr="00434D04">
        <w:t>Cth</w:t>
      </w:r>
      <w:proofErr w:type="spellEnd"/>
      <w:r w:rsidR="003A3316" w:rsidRPr="00434D04">
        <w:t xml:space="preserve">) </w:t>
      </w:r>
      <w:r w:rsidR="003A3316">
        <w:t>(</w:t>
      </w:r>
      <w:r w:rsidR="003A3316" w:rsidRPr="004C56D1">
        <w:rPr>
          <w:b/>
          <w:i/>
        </w:rPr>
        <w:t>Act</w:t>
      </w:r>
      <w:r w:rsidR="003A3316">
        <w:t>)</w:t>
      </w:r>
      <w:r w:rsidR="0016793F">
        <w:t>, which dispenses with the need for leave to appeal from an interlocutory judgment of a single judge in original jurisdiction in a proceeding relating to contempt of court.</w:t>
      </w:r>
      <w:r w:rsidR="003A3316">
        <w:t xml:space="preserve">  </w:t>
      </w:r>
    </w:p>
    <w:p w14:paraId="4F3A0EB2" w14:textId="77777777" w:rsidR="00B92CB6" w:rsidRDefault="00B92CB6" w:rsidP="00B92CB6">
      <w:pPr>
        <w:pStyle w:val="Heading2"/>
      </w:pPr>
      <w:r>
        <w:t>Chronology of key events</w:t>
      </w:r>
    </w:p>
    <w:p w14:paraId="0152A965" w14:textId="77777777" w:rsidR="00B95508" w:rsidRPr="00B95508" w:rsidRDefault="000D297A" w:rsidP="001917FD">
      <w:pPr>
        <w:pStyle w:val="ParaNumbering"/>
      </w:pPr>
      <w:r>
        <w:t xml:space="preserve">On 18 January 2016 </w:t>
      </w:r>
      <w:r w:rsidRPr="0044513D">
        <w:t>Queensland Nickel</w:t>
      </w:r>
      <w:r w:rsidRPr="000D297A">
        <w:t xml:space="preserve"> </w:t>
      </w:r>
      <w:r>
        <w:t>was placed into voluntary administration</w:t>
      </w:r>
      <w:r w:rsidR="00017E43">
        <w:t>.</w:t>
      </w:r>
      <w:r w:rsidR="00497FCF">
        <w:t xml:space="preserve"> </w:t>
      </w:r>
      <w:r w:rsidR="00BA03C2">
        <w:t xml:space="preserve"> </w:t>
      </w:r>
      <w:r w:rsidR="00017E43">
        <w:t xml:space="preserve">The </w:t>
      </w:r>
      <w:r w:rsidR="00497FCF">
        <w:t xml:space="preserve">sole director </w:t>
      </w:r>
      <w:r w:rsidR="00B820F9">
        <w:t xml:space="preserve">at that time </w:t>
      </w:r>
      <w:r w:rsidR="00017E43">
        <w:t xml:space="preserve">was </w:t>
      </w:r>
      <w:r w:rsidR="00497FCF" w:rsidRPr="00497FCF">
        <w:t>Mr Mensink</w:t>
      </w:r>
      <w:r w:rsidR="00497FCF">
        <w:t>.</w:t>
      </w:r>
      <w:r>
        <w:t xml:space="preserve">  </w:t>
      </w:r>
      <w:r w:rsidR="00497FCF">
        <w:t xml:space="preserve">On 22 April 2016, creditors resolved that </w:t>
      </w:r>
      <w:r w:rsidR="00497FCF" w:rsidRPr="00823305">
        <w:rPr>
          <w:iCs/>
          <w:szCs w:val="24"/>
        </w:rPr>
        <w:t xml:space="preserve">Queensland Nickel be wound up.  The voluntary administrators </w:t>
      </w:r>
      <w:r w:rsidR="00CD186E">
        <w:rPr>
          <w:iCs/>
          <w:szCs w:val="24"/>
        </w:rPr>
        <w:t xml:space="preserve">subsequently </w:t>
      </w:r>
      <w:r w:rsidR="00497FCF" w:rsidRPr="00823305">
        <w:rPr>
          <w:iCs/>
          <w:szCs w:val="24"/>
        </w:rPr>
        <w:t xml:space="preserve">became general purpose liquidators.  </w:t>
      </w:r>
    </w:p>
    <w:p w14:paraId="5B393C4A" w14:textId="77777777" w:rsidR="00497FCF" w:rsidRPr="00497FCF" w:rsidRDefault="00497FCF" w:rsidP="001917FD">
      <w:pPr>
        <w:pStyle w:val="ParaNumbering"/>
      </w:pPr>
      <w:r w:rsidRPr="00823305">
        <w:rPr>
          <w:iCs/>
          <w:szCs w:val="24"/>
        </w:rPr>
        <w:lastRenderedPageBreak/>
        <w:t xml:space="preserve">On 18 May 2016, </w:t>
      </w:r>
      <w:r>
        <w:t>Mess</w:t>
      </w:r>
      <w:r w:rsidRPr="00497FCF">
        <w:t xml:space="preserve">rs </w:t>
      </w:r>
      <w:proofErr w:type="spellStart"/>
      <w:r w:rsidRPr="00497FCF">
        <w:t>Parbery</w:t>
      </w:r>
      <w:proofErr w:type="spellEnd"/>
      <w:r w:rsidRPr="00497FCF">
        <w:t xml:space="preserve">, Ayres and Owen </w:t>
      </w:r>
      <w:r w:rsidR="00CD186E">
        <w:t xml:space="preserve">were </w:t>
      </w:r>
      <w:r>
        <w:t xml:space="preserve">appointed by Dowsett J </w:t>
      </w:r>
      <w:r w:rsidRPr="00497FCF">
        <w:t>as special purpose liquidators (</w:t>
      </w:r>
      <w:r w:rsidRPr="00823305">
        <w:rPr>
          <w:b/>
        </w:rPr>
        <w:t>SPL</w:t>
      </w:r>
      <w:r w:rsidRPr="00497FCF">
        <w:t xml:space="preserve">s) </w:t>
      </w:r>
      <w:r w:rsidR="00B820F9">
        <w:t xml:space="preserve">on the application of the Commonwealth of Australia </w:t>
      </w:r>
      <w:r w:rsidRPr="00497FCF">
        <w:t>to investigate</w:t>
      </w:r>
      <w:r>
        <w:t xml:space="preserve"> certain dealings or transactions of </w:t>
      </w:r>
      <w:r w:rsidRPr="00823305">
        <w:rPr>
          <w:iCs/>
          <w:szCs w:val="24"/>
        </w:rPr>
        <w:t>Queensland Nickel</w:t>
      </w:r>
      <w:r w:rsidR="00C75F75">
        <w:rPr>
          <w:iCs/>
          <w:szCs w:val="24"/>
        </w:rPr>
        <w:t xml:space="preserve"> concerning the entitlements of former employees</w:t>
      </w:r>
      <w:r w:rsidRPr="00823305">
        <w:rPr>
          <w:iCs/>
          <w:szCs w:val="24"/>
        </w:rPr>
        <w:t xml:space="preserve">.  </w:t>
      </w:r>
    </w:p>
    <w:p w14:paraId="3DCAD05B" w14:textId="40962D60" w:rsidR="00636C1D" w:rsidRDefault="00636C1D" w:rsidP="00C574E9">
      <w:pPr>
        <w:pStyle w:val="ParaNumbering"/>
      </w:pPr>
      <w:r>
        <w:t xml:space="preserve">On about 6 June 2016, </w:t>
      </w:r>
      <w:r w:rsidRPr="00576314">
        <w:t>Mr Mensink</w:t>
      </w:r>
      <w:r>
        <w:t xml:space="preserve"> left Australia.  He has not returned </w:t>
      </w:r>
      <w:r w:rsidR="00F15DBA">
        <w:t xml:space="preserve">in the six years </w:t>
      </w:r>
      <w:r>
        <w:t>since</w:t>
      </w:r>
      <w:r w:rsidR="00F15DBA">
        <w:t xml:space="preserve"> then</w:t>
      </w:r>
      <w:r>
        <w:t xml:space="preserve">.  </w:t>
      </w:r>
    </w:p>
    <w:p w14:paraId="28A80076" w14:textId="093DF010" w:rsidR="002A4F64" w:rsidRPr="0052246A" w:rsidRDefault="002A4F64" w:rsidP="00C574E9">
      <w:pPr>
        <w:pStyle w:val="ParaNumbering"/>
      </w:pPr>
      <w:r w:rsidRPr="0052246A">
        <w:t xml:space="preserve">On 28 July 2016, the SPLs filed an originating application </w:t>
      </w:r>
      <w:r w:rsidR="00C75F75" w:rsidRPr="0052246A">
        <w:t xml:space="preserve">in this Court under provisions of Part 9 of the </w:t>
      </w:r>
      <w:r w:rsidR="00C75F75" w:rsidRPr="0052246A">
        <w:rPr>
          <w:i/>
          <w:lang w:eastAsia="en-AU"/>
        </w:rPr>
        <w:t xml:space="preserve">Corporations Act </w:t>
      </w:r>
      <w:r w:rsidR="00C75F75" w:rsidRPr="0052246A">
        <w:rPr>
          <w:lang w:eastAsia="en-AU"/>
        </w:rPr>
        <w:t xml:space="preserve">dealing with examinations </w:t>
      </w:r>
      <w:r w:rsidR="007172AB" w:rsidRPr="0052246A">
        <w:rPr>
          <w:lang w:eastAsia="en-AU"/>
        </w:rPr>
        <w:t>and the production of documents</w:t>
      </w:r>
      <w:r w:rsidR="00636C1D" w:rsidRPr="0052246A">
        <w:rPr>
          <w:lang w:eastAsia="en-AU"/>
        </w:rPr>
        <w:t xml:space="preserve">, </w:t>
      </w:r>
      <w:r w:rsidR="00C75F75" w:rsidRPr="0052246A">
        <w:rPr>
          <w:lang w:eastAsia="en-AU"/>
        </w:rPr>
        <w:t xml:space="preserve">specifically </w:t>
      </w:r>
      <w:proofErr w:type="spellStart"/>
      <w:r w:rsidR="00C75F75" w:rsidRPr="0052246A">
        <w:rPr>
          <w:lang w:eastAsia="en-AU"/>
        </w:rPr>
        <w:t>ss</w:t>
      </w:r>
      <w:proofErr w:type="spellEnd"/>
      <w:r w:rsidR="00C75F75" w:rsidRPr="0052246A">
        <w:rPr>
          <w:lang w:eastAsia="en-AU"/>
        </w:rPr>
        <w:t> 596A, 596B, 596D and 597(9).  That application</w:t>
      </w:r>
      <w:r w:rsidR="004700D7" w:rsidRPr="0052246A">
        <w:rPr>
          <w:lang w:eastAsia="en-AU"/>
        </w:rPr>
        <w:t xml:space="preserve"> (QUD 580 of 2016)</w:t>
      </w:r>
      <w:r w:rsidR="00C75F75" w:rsidRPr="0052246A">
        <w:rPr>
          <w:lang w:eastAsia="en-AU"/>
        </w:rPr>
        <w:t xml:space="preserve"> sought orders summoning five individuals for examination</w:t>
      </w:r>
      <w:r w:rsidR="007B5DE1" w:rsidRPr="0052246A">
        <w:rPr>
          <w:lang w:eastAsia="en-AU"/>
        </w:rPr>
        <w:t xml:space="preserve"> and to produce documents</w:t>
      </w:r>
      <w:r w:rsidR="00C75F75" w:rsidRPr="0052246A">
        <w:rPr>
          <w:lang w:eastAsia="en-AU"/>
        </w:rPr>
        <w:t xml:space="preserve">, including Mr Mensink, as well as orders for summoning or otherwise producing documents by other individuals and entities.  </w:t>
      </w:r>
      <w:r w:rsidR="007B5DE1" w:rsidRPr="0052246A">
        <w:rPr>
          <w:lang w:eastAsia="en-AU"/>
        </w:rPr>
        <w:t>The summons for Mr Mensink was sought to be made returnable on 19 August 2016 at which time the documents were to be produced, and the</w:t>
      </w:r>
      <w:r w:rsidR="00636C1D" w:rsidRPr="0052246A">
        <w:rPr>
          <w:lang w:eastAsia="en-AU"/>
        </w:rPr>
        <w:t xml:space="preserve"> summons was then </w:t>
      </w:r>
      <w:r w:rsidR="007B5DE1" w:rsidRPr="0052246A">
        <w:rPr>
          <w:lang w:eastAsia="en-AU"/>
        </w:rPr>
        <w:t>to be adjourned to a date to be fixed for the examination to take place.</w:t>
      </w:r>
      <w:r w:rsidR="007172AB" w:rsidRPr="0052246A">
        <w:rPr>
          <w:lang w:eastAsia="en-AU"/>
        </w:rPr>
        <w:t xml:space="preserve"> </w:t>
      </w:r>
    </w:p>
    <w:p w14:paraId="50267AB2" w14:textId="038983F5" w:rsidR="007B5DE1" w:rsidRDefault="00497FCF" w:rsidP="00C574E9">
      <w:pPr>
        <w:pStyle w:val="ParaNumbering"/>
      </w:pPr>
      <w:r w:rsidRPr="00CD186E">
        <w:rPr>
          <w:iCs/>
          <w:szCs w:val="24"/>
        </w:rPr>
        <w:t xml:space="preserve">On 3 August 2016, </w:t>
      </w:r>
      <w:r w:rsidR="00720C6C">
        <w:rPr>
          <w:iCs/>
          <w:szCs w:val="24"/>
        </w:rPr>
        <w:t>as sought by the SPLs</w:t>
      </w:r>
      <w:r w:rsidR="00E27FBE">
        <w:rPr>
          <w:iCs/>
          <w:szCs w:val="24"/>
        </w:rPr>
        <w:t>’ originating application,</w:t>
      </w:r>
      <w:r w:rsidR="00720C6C" w:rsidRPr="00CD186E">
        <w:rPr>
          <w:iCs/>
          <w:szCs w:val="24"/>
        </w:rPr>
        <w:t xml:space="preserve"> </w:t>
      </w:r>
      <w:r w:rsidRPr="00CD186E">
        <w:rPr>
          <w:iCs/>
          <w:szCs w:val="24"/>
        </w:rPr>
        <w:t xml:space="preserve">a summons </w:t>
      </w:r>
      <w:r w:rsidR="00720C6C" w:rsidRPr="00CD186E">
        <w:rPr>
          <w:iCs/>
          <w:szCs w:val="24"/>
        </w:rPr>
        <w:t xml:space="preserve">was issued </w:t>
      </w:r>
      <w:r w:rsidRPr="00CD186E">
        <w:rPr>
          <w:iCs/>
          <w:szCs w:val="24"/>
        </w:rPr>
        <w:t>for the examination of Mr Mensink</w:t>
      </w:r>
      <w:r w:rsidR="007B5DE1">
        <w:rPr>
          <w:iCs/>
          <w:szCs w:val="24"/>
        </w:rPr>
        <w:t xml:space="preserve"> and for the production of documents by him,</w:t>
      </w:r>
      <w:r w:rsidRPr="00CD186E">
        <w:rPr>
          <w:iCs/>
          <w:szCs w:val="24"/>
        </w:rPr>
        <w:t xml:space="preserve"> with a return date of 19 August 2016.  On 15 August 2016, that summons was adjourned to 30</w:t>
      </w:r>
      <w:r w:rsidR="00823305">
        <w:t> </w:t>
      </w:r>
      <w:r w:rsidRPr="00CD186E">
        <w:rPr>
          <w:iCs/>
          <w:szCs w:val="24"/>
        </w:rPr>
        <w:t xml:space="preserve">August 2016.  On 15 December 2016, the summons was amended and the return date adjourned to 22 February 2017, with orders for substituted service also being made designed to </w:t>
      </w:r>
      <w:r w:rsidR="004A62B6" w:rsidRPr="00CD186E">
        <w:rPr>
          <w:iCs/>
          <w:szCs w:val="24"/>
        </w:rPr>
        <w:t>bring the summons to the attention of Mr Mensink</w:t>
      </w:r>
      <w:r w:rsidRPr="00CD186E">
        <w:rPr>
          <w:iCs/>
          <w:szCs w:val="24"/>
        </w:rPr>
        <w:t>.</w:t>
      </w:r>
      <w:r w:rsidR="004A62B6" w:rsidRPr="00CD186E">
        <w:rPr>
          <w:iCs/>
          <w:szCs w:val="24"/>
        </w:rPr>
        <w:t xml:space="preserve">  </w:t>
      </w:r>
      <w:r w:rsidR="004A62B6" w:rsidRPr="00576314">
        <w:t>Mr Mensink</w:t>
      </w:r>
      <w:r w:rsidR="004A62B6">
        <w:t xml:space="preserve"> did not attend the examination on 22 February 2017.  </w:t>
      </w:r>
    </w:p>
    <w:p w14:paraId="6F3DD19B" w14:textId="77777777" w:rsidR="00823305" w:rsidRDefault="004A62B6" w:rsidP="004C7580">
      <w:pPr>
        <w:pStyle w:val="ParaNumbering"/>
      </w:pPr>
      <w:r>
        <w:t xml:space="preserve">On 27 February 2017, Dowsett J ordered </w:t>
      </w:r>
      <w:r w:rsidRPr="00576314">
        <w:t>Mr Mensink</w:t>
      </w:r>
      <w:r>
        <w:t xml:space="preserve"> to appear before a Deputy Registrar on 27 March 2017 for the purpose of </w:t>
      </w:r>
      <w:r w:rsidR="00CD186E">
        <w:t xml:space="preserve">his </w:t>
      </w:r>
      <w:r>
        <w:t>examination.</w:t>
      </w:r>
      <w:r w:rsidR="00823305">
        <w:t xml:space="preserve">  </w:t>
      </w:r>
      <w:r>
        <w:t xml:space="preserve">On 27 March 2017, </w:t>
      </w:r>
      <w:r w:rsidRPr="00576314">
        <w:t>Mr Mensink</w:t>
      </w:r>
      <w:r>
        <w:t xml:space="preserve"> did not appear in accordance with the 27 February 2017 orders.  Justice Dowsett made further orders that a warrant be issued for the arrest of </w:t>
      </w:r>
      <w:r w:rsidRPr="00576314">
        <w:t>Mr Mensink</w:t>
      </w:r>
      <w:r>
        <w:t xml:space="preserve"> to bring him to court for the purposes of </w:t>
      </w:r>
      <w:r w:rsidR="00CD186E">
        <w:t xml:space="preserve">his </w:t>
      </w:r>
      <w:r>
        <w:t>examination.</w:t>
      </w:r>
      <w:r w:rsidR="00823305">
        <w:t xml:space="preserve">  </w:t>
      </w:r>
    </w:p>
    <w:p w14:paraId="319F2A6F" w14:textId="77777777" w:rsidR="00CD186E" w:rsidRDefault="004A62B6" w:rsidP="001917FD">
      <w:pPr>
        <w:pStyle w:val="ParaNumbering"/>
      </w:pPr>
      <w:r>
        <w:t xml:space="preserve">On 28 March 2017, the SPLs filed an interlocutory application </w:t>
      </w:r>
      <w:r w:rsidR="007B4018">
        <w:t xml:space="preserve">seeking that </w:t>
      </w:r>
      <w:r w:rsidR="007B4018" w:rsidRPr="00576314">
        <w:t>Mr Mensink</w:t>
      </w:r>
      <w:r w:rsidR="007B4018">
        <w:t xml:space="preserve"> be punished for contempt.  </w:t>
      </w:r>
      <w:r w:rsidR="00DF3921">
        <w:t xml:space="preserve">On that day, </w:t>
      </w:r>
      <w:r w:rsidR="007B4018">
        <w:t xml:space="preserve">Justice Dowsett signed </w:t>
      </w:r>
      <w:r w:rsidR="00165752">
        <w:t>a</w:t>
      </w:r>
      <w:r w:rsidR="007B4018">
        <w:t xml:space="preserve"> statement of charge </w:t>
      </w:r>
      <w:r w:rsidR="00165752">
        <w:t xml:space="preserve">for two charges of contempt of court, </w:t>
      </w:r>
      <w:r w:rsidR="00DF3921">
        <w:t xml:space="preserve">relating to </w:t>
      </w:r>
      <w:r w:rsidR="00DF3921" w:rsidRPr="00576314">
        <w:t>Mr </w:t>
      </w:r>
      <w:proofErr w:type="spellStart"/>
      <w:r w:rsidR="00DF3921" w:rsidRPr="00576314">
        <w:t>Mensink</w:t>
      </w:r>
      <w:r w:rsidR="00DF3921">
        <w:t>’s</w:t>
      </w:r>
      <w:proofErr w:type="spellEnd"/>
      <w:r w:rsidR="00DF3921">
        <w:t xml:space="preserve"> failure to attend for examination </w:t>
      </w:r>
      <w:r w:rsidR="004615CB">
        <w:t xml:space="preserve">in accordance with the summons </w:t>
      </w:r>
      <w:r w:rsidR="00DF3921">
        <w:t>on 22</w:t>
      </w:r>
      <w:r w:rsidR="000C3C59">
        <w:t> </w:t>
      </w:r>
      <w:r w:rsidR="00DF3921">
        <w:t xml:space="preserve">February 2017 </w:t>
      </w:r>
      <w:r w:rsidR="00165752">
        <w:t xml:space="preserve">and </w:t>
      </w:r>
      <w:r w:rsidR="00DF3921">
        <w:t>on 27 March 2017</w:t>
      </w:r>
      <w:r w:rsidR="00A17D0C">
        <w:t xml:space="preserve"> (</w:t>
      </w:r>
      <w:r w:rsidR="00A17D0C" w:rsidRPr="0060226B">
        <w:rPr>
          <w:b/>
        </w:rPr>
        <w:t>contempt proceeding</w:t>
      </w:r>
      <w:r w:rsidR="00A17D0C">
        <w:t>)</w:t>
      </w:r>
      <w:r w:rsidR="00DF3921">
        <w:t xml:space="preserve">, and </w:t>
      </w:r>
      <w:r w:rsidR="00165752">
        <w:t xml:space="preserve">made an order that a warrant issue for </w:t>
      </w:r>
      <w:r w:rsidR="00DF3921">
        <w:t>his</w:t>
      </w:r>
      <w:r w:rsidR="00165752">
        <w:t xml:space="preserve"> arrest.</w:t>
      </w:r>
      <w:r w:rsidR="00823305">
        <w:t xml:space="preserve">  </w:t>
      </w:r>
    </w:p>
    <w:p w14:paraId="422BB95E" w14:textId="77777777" w:rsidR="00A17D0C" w:rsidRDefault="00165752" w:rsidP="000849D4">
      <w:pPr>
        <w:pStyle w:val="ParaNumbering"/>
      </w:pPr>
      <w:r>
        <w:lastRenderedPageBreak/>
        <w:t>On 29</w:t>
      </w:r>
      <w:r w:rsidR="00823305">
        <w:t> </w:t>
      </w:r>
      <w:r>
        <w:t xml:space="preserve">March 2017, the </w:t>
      </w:r>
      <w:r w:rsidR="00DF3921">
        <w:t xml:space="preserve">arrest </w:t>
      </w:r>
      <w:r>
        <w:t xml:space="preserve">warrants for the examination and for </w:t>
      </w:r>
      <w:r w:rsidR="00DF3921">
        <w:t xml:space="preserve">the </w:t>
      </w:r>
      <w:r>
        <w:t xml:space="preserve">contempt </w:t>
      </w:r>
      <w:r w:rsidR="00DF3921">
        <w:t xml:space="preserve">charges </w:t>
      </w:r>
      <w:r w:rsidR="00E27FBE">
        <w:t>were</w:t>
      </w:r>
      <w:r>
        <w:t xml:space="preserve"> issued.</w:t>
      </w:r>
      <w:r w:rsidR="00CD186E">
        <w:t xml:space="preserve">  </w:t>
      </w:r>
    </w:p>
    <w:p w14:paraId="22732B35" w14:textId="77777777" w:rsidR="00165752" w:rsidRPr="00165752" w:rsidRDefault="00CD186E" w:rsidP="000849D4">
      <w:pPr>
        <w:pStyle w:val="ParaNumbering"/>
      </w:pPr>
      <w:r>
        <w:t xml:space="preserve">On </w:t>
      </w:r>
      <w:r w:rsidR="00165752">
        <w:t xml:space="preserve">28 June 2018, an appeal </w:t>
      </w:r>
      <w:r>
        <w:t xml:space="preserve">brought by </w:t>
      </w:r>
      <w:r w:rsidRPr="00576314">
        <w:t>Mr Mensink</w:t>
      </w:r>
      <w:r>
        <w:t xml:space="preserve"> </w:t>
      </w:r>
      <w:r w:rsidR="00165752">
        <w:t xml:space="preserve">challenging the validity of the orders by which the two </w:t>
      </w:r>
      <w:r w:rsidR="007A5D7C">
        <w:t xml:space="preserve">arrest </w:t>
      </w:r>
      <w:r w:rsidR="00165752">
        <w:t xml:space="preserve">warrants were issued was dismissed: </w:t>
      </w:r>
      <w:proofErr w:type="spellStart"/>
      <w:r w:rsidR="00165752" w:rsidRPr="00434D04">
        <w:rPr>
          <w:i/>
          <w:iCs/>
          <w:szCs w:val="24"/>
          <w:lang w:eastAsia="en-AU"/>
        </w:rPr>
        <w:t>Mensink</w:t>
      </w:r>
      <w:proofErr w:type="spellEnd"/>
      <w:r w:rsidR="00165752" w:rsidRPr="00434D04">
        <w:rPr>
          <w:i/>
          <w:iCs/>
          <w:szCs w:val="24"/>
          <w:lang w:eastAsia="en-AU"/>
        </w:rPr>
        <w:t xml:space="preserve"> v </w:t>
      </w:r>
      <w:proofErr w:type="spellStart"/>
      <w:r w:rsidR="00165752" w:rsidRPr="00434D04">
        <w:rPr>
          <w:i/>
          <w:iCs/>
          <w:szCs w:val="24"/>
          <w:lang w:eastAsia="en-AU"/>
        </w:rPr>
        <w:t>Parbery</w:t>
      </w:r>
      <w:proofErr w:type="spellEnd"/>
      <w:r w:rsidR="00165752" w:rsidRPr="00434D04">
        <w:rPr>
          <w:szCs w:val="24"/>
          <w:lang w:eastAsia="en-AU"/>
        </w:rPr>
        <w:t xml:space="preserve"> [2018] FCAFC 101; 264 FCR 265</w:t>
      </w:r>
      <w:r w:rsidR="00823305" w:rsidRPr="004615CB">
        <w:rPr>
          <w:szCs w:val="24"/>
          <w:lang w:eastAsia="en-AU"/>
        </w:rPr>
        <w:t>.</w:t>
      </w:r>
    </w:p>
    <w:p w14:paraId="374D64D9" w14:textId="3F03A2F3" w:rsidR="00E27FBE" w:rsidRPr="0052246A" w:rsidRDefault="00165752" w:rsidP="000F3AA6">
      <w:pPr>
        <w:pStyle w:val="ParaNumbering"/>
      </w:pPr>
      <w:r w:rsidRPr="0052246A">
        <w:t>On 3 August 2019, the SPLs, Mr Mensink and others entered into a settlement deed</w:t>
      </w:r>
      <w:r w:rsidR="00436B36" w:rsidRPr="0052246A">
        <w:t xml:space="preserve"> principally addressed to resolving proceedings brought in the Supreme Court of Queensland by the SPLs</w:t>
      </w:r>
      <w:r w:rsidRPr="0052246A">
        <w:t>.</w:t>
      </w:r>
      <w:r w:rsidR="00E27FBE" w:rsidRPr="0052246A">
        <w:t xml:space="preserve"> </w:t>
      </w:r>
      <w:r w:rsidRPr="0052246A">
        <w:t xml:space="preserve"> </w:t>
      </w:r>
      <w:r w:rsidR="00436B36" w:rsidRPr="0052246A">
        <w:t xml:space="preserve">Mr Mensink was </w:t>
      </w:r>
      <w:r w:rsidR="00F15DBA">
        <w:t xml:space="preserve">also </w:t>
      </w:r>
      <w:r w:rsidR="00436B36" w:rsidRPr="0052246A">
        <w:t xml:space="preserve">a party to those proceedings.  </w:t>
      </w:r>
      <w:r w:rsidR="00E27FBE" w:rsidRPr="0052246A">
        <w:t>The settlement deed was approved by Justice Greenwood at a duty hearing on 5 August 2019 in matter QUD 473 of 2019</w:t>
      </w:r>
      <w:r w:rsidR="00D35FFB" w:rsidRPr="0052246A">
        <w:t>, but</w:t>
      </w:r>
      <w:r w:rsidR="0069736A" w:rsidRPr="0052246A">
        <w:t xml:space="preserve"> as </w:t>
      </w:r>
      <w:r w:rsidR="00443CCD">
        <w:t>is</w:t>
      </w:r>
      <w:r w:rsidR="002549F3">
        <w:t xml:space="preserve"> </w:t>
      </w:r>
      <w:r w:rsidR="0069736A" w:rsidRPr="0052246A">
        <w:t>addressed below,</w:t>
      </w:r>
      <w:r w:rsidR="00D35FFB" w:rsidRPr="0052246A">
        <w:t xml:space="preserve"> reasons were </w:t>
      </w:r>
      <w:r w:rsidR="0069736A" w:rsidRPr="0052246A">
        <w:t xml:space="preserve">not </w:t>
      </w:r>
      <w:r w:rsidR="00140C15" w:rsidRPr="0052246A">
        <w:t>published</w:t>
      </w:r>
      <w:r w:rsidR="0069736A" w:rsidRPr="0052246A">
        <w:t xml:space="preserve"> until 14 February 2022</w:t>
      </w:r>
      <w:r w:rsidR="00E27FBE" w:rsidRPr="0052246A">
        <w:t xml:space="preserve">. </w:t>
      </w:r>
    </w:p>
    <w:p w14:paraId="2F22B572" w14:textId="4FE7C336" w:rsidR="00401C96" w:rsidRDefault="000F3AA6" w:rsidP="000F3AA6">
      <w:pPr>
        <w:pStyle w:val="ParaNumbering"/>
      </w:pPr>
      <w:r>
        <w:t xml:space="preserve">At the hearing of these appeal proceedings the argument advanced on behalf of </w:t>
      </w:r>
      <w:r w:rsidRPr="00576314">
        <w:t>Mr Mensink</w:t>
      </w:r>
      <w:r>
        <w:t xml:space="preserve"> was that </w:t>
      </w:r>
      <w:r w:rsidR="00E27FBE">
        <w:t xml:space="preserve">the settlement </w:t>
      </w:r>
      <w:r>
        <w:t>deed in terms</w:t>
      </w:r>
      <w:r w:rsidR="006D7B4C">
        <w:t>, by its extended operation,</w:t>
      </w:r>
      <w:r>
        <w:t xml:space="preserve"> settled the entirety of the proceedings brought by the SPLs</w:t>
      </w:r>
      <w:r w:rsidR="007172AB">
        <w:t xml:space="preserve"> without any further step</w:t>
      </w:r>
      <w:r w:rsidR="002549F3">
        <w:t xml:space="preserve"> needing to</w:t>
      </w:r>
      <w:r w:rsidR="007172AB">
        <w:t xml:space="preserve"> be taken</w:t>
      </w:r>
      <w:r w:rsidR="009E79FC">
        <w:t xml:space="preserve"> in this Court</w:t>
      </w:r>
      <w:r w:rsidR="004700D7">
        <w:t>.</w:t>
      </w:r>
      <w:r>
        <w:t xml:space="preserve"> </w:t>
      </w:r>
      <w:r w:rsidR="004700D7">
        <w:t>A</w:t>
      </w:r>
      <w:r>
        <w:t>ccordingly</w:t>
      </w:r>
      <w:r w:rsidR="00E27FBE">
        <w:t>, he contends</w:t>
      </w:r>
      <w:r w:rsidR="00DE027C">
        <w:t xml:space="preserve"> that</w:t>
      </w:r>
      <w:r>
        <w:t xml:space="preserve"> </w:t>
      </w:r>
      <w:r w:rsidR="00E27FBE">
        <w:t xml:space="preserve">the deed of its own force </w:t>
      </w:r>
      <w:r>
        <w:t xml:space="preserve">settled </w:t>
      </w:r>
      <w:r w:rsidR="007172AB">
        <w:t xml:space="preserve">and concluded </w:t>
      </w:r>
      <w:r>
        <w:t xml:space="preserve">the contempt proceeding brought </w:t>
      </w:r>
      <w:r w:rsidR="007172AB">
        <w:t xml:space="preserve">against him </w:t>
      </w:r>
      <w:r>
        <w:t xml:space="preserve">by the SPLs.  </w:t>
      </w:r>
      <w:r w:rsidR="00CD186E">
        <w:t>We return to that argument below.</w:t>
      </w:r>
    </w:p>
    <w:p w14:paraId="61979D5F" w14:textId="77777777" w:rsidR="00C43C40" w:rsidRPr="00823305" w:rsidRDefault="00C43C40" w:rsidP="00C43C40">
      <w:pPr>
        <w:pStyle w:val="ParaNumbering"/>
      </w:pPr>
      <w:r>
        <w:rPr>
          <w:szCs w:val="24"/>
        </w:rPr>
        <w:t>O</w:t>
      </w:r>
      <w:r w:rsidRPr="0060133E">
        <w:rPr>
          <w:szCs w:val="24"/>
        </w:rPr>
        <w:t>n 11 September 2019</w:t>
      </w:r>
      <w:r w:rsidR="00CD186E">
        <w:rPr>
          <w:szCs w:val="24"/>
        </w:rPr>
        <w:t xml:space="preserve"> </w:t>
      </w:r>
      <w:r>
        <w:rPr>
          <w:szCs w:val="24"/>
        </w:rPr>
        <w:t>t</w:t>
      </w:r>
      <w:r w:rsidRPr="0060133E">
        <w:rPr>
          <w:szCs w:val="24"/>
        </w:rPr>
        <w:t xml:space="preserve">he summons </w:t>
      </w:r>
      <w:r w:rsidR="007172AB">
        <w:rPr>
          <w:szCs w:val="24"/>
        </w:rPr>
        <w:t xml:space="preserve">addressed to </w:t>
      </w:r>
      <w:r w:rsidR="007172AB" w:rsidRPr="007172AB">
        <w:rPr>
          <w:szCs w:val="24"/>
        </w:rPr>
        <w:t>Mr Mensink</w:t>
      </w:r>
      <w:r w:rsidR="007172AB">
        <w:rPr>
          <w:szCs w:val="24"/>
        </w:rPr>
        <w:t xml:space="preserve"> </w:t>
      </w:r>
      <w:r w:rsidR="00636C1D">
        <w:rPr>
          <w:szCs w:val="24"/>
        </w:rPr>
        <w:t xml:space="preserve">requiring him to attend for examination </w:t>
      </w:r>
      <w:r w:rsidRPr="0060133E">
        <w:rPr>
          <w:szCs w:val="24"/>
        </w:rPr>
        <w:t xml:space="preserve">was discharged by </w:t>
      </w:r>
      <w:r>
        <w:rPr>
          <w:szCs w:val="24"/>
        </w:rPr>
        <w:t xml:space="preserve">a </w:t>
      </w:r>
      <w:r w:rsidR="00D21F72">
        <w:rPr>
          <w:szCs w:val="24"/>
        </w:rPr>
        <w:t>R</w:t>
      </w:r>
      <w:r>
        <w:rPr>
          <w:szCs w:val="24"/>
        </w:rPr>
        <w:t>egistrar.</w:t>
      </w:r>
    </w:p>
    <w:p w14:paraId="107D1FE1" w14:textId="131E7ADB" w:rsidR="00FA0B1C" w:rsidRPr="0052246A" w:rsidRDefault="00FA0B1C" w:rsidP="00783300">
      <w:pPr>
        <w:pStyle w:val="ParaNumbering"/>
        <w:rPr>
          <w:szCs w:val="24"/>
        </w:rPr>
      </w:pPr>
      <w:r w:rsidRPr="0052246A">
        <w:rPr>
          <w:szCs w:val="24"/>
        </w:rPr>
        <w:t xml:space="preserve">On 20 September 2019, eight notices of discontinuance were filed in </w:t>
      </w:r>
      <w:r w:rsidR="00352165" w:rsidRPr="0052246A">
        <w:rPr>
          <w:szCs w:val="24"/>
        </w:rPr>
        <w:t xml:space="preserve">QUD 580 of 2016 in </w:t>
      </w:r>
      <w:r w:rsidRPr="0052246A">
        <w:rPr>
          <w:szCs w:val="24"/>
        </w:rPr>
        <w:t>relation to eight bills of costs, including three involving Mr Mensink.  Each was dated 12</w:t>
      </w:r>
      <w:r w:rsidR="00F15DBA">
        <w:rPr>
          <w:szCs w:val="24"/>
        </w:rPr>
        <w:t> </w:t>
      </w:r>
      <w:r w:rsidRPr="0052246A">
        <w:rPr>
          <w:szCs w:val="24"/>
        </w:rPr>
        <w:t xml:space="preserve">September 2019, </w:t>
      </w:r>
      <w:r w:rsidR="00783300" w:rsidRPr="0052246A">
        <w:t xml:space="preserve">signed by the solicitors for the SPLs and signed by Mr </w:t>
      </w:r>
      <w:proofErr w:type="spellStart"/>
      <w:r w:rsidR="00783300" w:rsidRPr="0052246A">
        <w:t>Sameh</w:t>
      </w:r>
      <w:proofErr w:type="spellEnd"/>
      <w:r w:rsidR="00783300" w:rsidRPr="0052246A">
        <w:t xml:space="preserve"> </w:t>
      </w:r>
      <w:proofErr w:type="spellStart"/>
      <w:r w:rsidR="00783300" w:rsidRPr="0052246A">
        <w:t>Iskander</w:t>
      </w:r>
      <w:proofErr w:type="spellEnd"/>
      <w:r w:rsidR="00783300" w:rsidRPr="0052246A">
        <w:t xml:space="preserve">, in his capacity as the solicitor for Mr Mensink or for another examinee.  </w:t>
      </w:r>
      <w:r w:rsidR="00C97984" w:rsidRPr="0052246A">
        <w:t>Although not in the appeal books, r</w:t>
      </w:r>
      <w:r w:rsidR="00FE3B21" w:rsidRPr="0052246A">
        <w:t xml:space="preserve">eference was made to these notices of discontinuance in the course of legal argument on the second day of the appeal hearing.  </w:t>
      </w:r>
      <w:r w:rsidR="00CA6187" w:rsidRPr="0052246A">
        <w:rPr>
          <w:szCs w:val="24"/>
        </w:rPr>
        <w:t>No other notice of discontinuance has been filed</w:t>
      </w:r>
      <w:r w:rsidR="002374AE" w:rsidRPr="0052246A">
        <w:rPr>
          <w:szCs w:val="24"/>
        </w:rPr>
        <w:t xml:space="preserve">.  </w:t>
      </w:r>
    </w:p>
    <w:p w14:paraId="2B3CB077" w14:textId="5E383CBD" w:rsidR="006D7B4C" w:rsidRDefault="00C43C40" w:rsidP="00C43C40">
      <w:pPr>
        <w:pStyle w:val="ParaNumbering"/>
        <w:rPr>
          <w:szCs w:val="24"/>
        </w:rPr>
      </w:pPr>
      <w:r w:rsidRPr="00CB501D">
        <w:rPr>
          <w:szCs w:val="24"/>
        </w:rPr>
        <w:t>On 5 June 2020, Mr Mensink filed an interlocutory application</w:t>
      </w:r>
      <w:r w:rsidR="00DE027C">
        <w:rPr>
          <w:szCs w:val="24"/>
        </w:rPr>
        <w:t xml:space="preserve"> in QUD 580 of 2016,</w:t>
      </w:r>
      <w:r w:rsidRPr="00CB501D">
        <w:rPr>
          <w:szCs w:val="24"/>
        </w:rPr>
        <w:t xml:space="preserve"> seeking </w:t>
      </w:r>
      <w:r w:rsidR="00FC7AA8">
        <w:rPr>
          <w:szCs w:val="24"/>
        </w:rPr>
        <w:t xml:space="preserve">to have </w:t>
      </w:r>
      <w:r w:rsidRPr="00CB501D">
        <w:rPr>
          <w:szCs w:val="24"/>
        </w:rPr>
        <w:t>the orders made by Dowsett J on 27 February 2017 and the two warrants discharged</w:t>
      </w:r>
      <w:r w:rsidR="00DE027C">
        <w:rPr>
          <w:szCs w:val="24"/>
        </w:rPr>
        <w:t xml:space="preserve"> </w:t>
      </w:r>
      <w:r w:rsidR="006D7B4C">
        <w:rPr>
          <w:szCs w:val="24"/>
        </w:rPr>
        <w:t xml:space="preserve"> but not addressing the underlying contempt proceeding</w:t>
      </w:r>
      <w:r w:rsidRPr="00CB501D">
        <w:rPr>
          <w:szCs w:val="24"/>
        </w:rPr>
        <w:t>.  On 23 July 2020, a case management hearing took place before Reeves J, at which his Honour indicated that he would not deal with the issue concerning the contempt of court warrant until Mr </w:t>
      </w:r>
      <w:proofErr w:type="spellStart"/>
      <w:r w:rsidRPr="00CB501D">
        <w:rPr>
          <w:szCs w:val="24"/>
        </w:rPr>
        <w:t>Mensink’s</w:t>
      </w:r>
      <w:proofErr w:type="spellEnd"/>
      <w:r w:rsidRPr="00CB501D">
        <w:rPr>
          <w:szCs w:val="24"/>
        </w:rPr>
        <w:t xml:space="preserve"> approach to the underlying contempt proceeding itself was made clear.  </w:t>
      </w:r>
    </w:p>
    <w:p w14:paraId="524A81C6" w14:textId="4D5535B7" w:rsidR="00C43C40" w:rsidRPr="00CB501D" w:rsidRDefault="00C43C40" w:rsidP="00C43C40">
      <w:pPr>
        <w:pStyle w:val="ParaNumbering"/>
        <w:rPr>
          <w:szCs w:val="24"/>
        </w:rPr>
      </w:pPr>
      <w:r w:rsidRPr="00CB501D">
        <w:rPr>
          <w:szCs w:val="24"/>
        </w:rPr>
        <w:lastRenderedPageBreak/>
        <w:t>On 5 August 2020, at a further case management hearing</w:t>
      </w:r>
      <w:r w:rsidR="006D7B4C">
        <w:rPr>
          <w:szCs w:val="24"/>
        </w:rPr>
        <w:t xml:space="preserve"> for the 5 June 2020 interlocutory application</w:t>
      </w:r>
      <w:r w:rsidRPr="00CB501D">
        <w:rPr>
          <w:szCs w:val="24"/>
        </w:rPr>
        <w:t xml:space="preserve">, the SPLs indicated that they would not be taking further steps in the contempt proceeding.  </w:t>
      </w:r>
      <w:r w:rsidR="006D7B4C">
        <w:rPr>
          <w:szCs w:val="24"/>
        </w:rPr>
        <w:t xml:space="preserve">After </w:t>
      </w:r>
      <w:r w:rsidRPr="00CB501D">
        <w:rPr>
          <w:szCs w:val="24"/>
        </w:rPr>
        <w:t xml:space="preserve">Reeves </w:t>
      </w:r>
      <w:r w:rsidR="006D7B4C">
        <w:rPr>
          <w:szCs w:val="24"/>
        </w:rPr>
        <w:t xml:space="preserve">J </w:t>
      </w:r>
      <w:r w:rsidR="00FC7AA8">
        <w:rPr>
          <w:szCs w:val="24"/>
        </w:rPr>
        <w:t xml:space="preserve">referred to the need for there to be a contradictor in relation to the contempt proceeding, his Honour </w:t>
      </w:r>
      <w:r w:rsidRPr="00CB501D">
        <w:rPr>
          <w:szCs w:val="24"/>
        </w:rPr>
        <w:t>ordered that “</w:t>
      </w:r>
      <w:r w:rsidRPr="00E95987">
        <w:rPr>
          <w:szCs w:val="24"/>
          <w:lang w:eastAsia="en-AU"/>
        </w:rPr>
        <w:t>The Registrar of the Federal Court of Australia take over the prosecution of the statement of charge of contempt dated 28</w:t>
      </w:r>
      <w:r w:rsidR="00CB501D" w:rsidRPr="00E95987">
        <w:rPr>
          <w:szCs w:val="24"/>
          <w:lang w:eastAsia="en-AU"/>
        </w:rPr>
        <w:t> </w:t>
      </w:r>
      <w:r w:rsidRPr="00E95987">
        <w:rPr>
          <w:szCs w:val="24"/>
          <w:lang w:eastAsia="en-AU"/>
        </w:rPr>
        <w:t>March 2017</w:t>
      </w:r>
      <w:r w:rsidRPr="00CB501D">
        <w:rPr>
          <w:szCs w:val="24"/>
          <w:lang w:eastAsia="en-AU"/>
        </w:rPr>
        <w:t>”</w:t>
      </w:r>
      <w:r w:rsidR="0084131E">
        <w:rPr>
          <w:szCs w:val="24"/>
          <w:lang w:eastAsia="en-AU"/>
        </w:rPr>
        <w:t>.</w:t>
      </w:r>
      <w:r w:rsidRPr="00CB501D">
        <w:rPr>
          <w:szCs w:val="24"/>
          <w:lang w:eastAsia="en-AU"/>
        </w:rPr>
        <w:t xml:space="preserve"> </w:t>
      </w:r>
      <w:r w:rsidR="00F15DBA">
        <w:rPr>
          <w:szCs w:val="24"/>
          <w:lang w:eastAsia="en-AU"/>
        </w:rPr>
        <w:t xml:space="preserve"> </w:t>
      </w:r>
      <w:r w:rsidR="0084131E">
        <w:rPr>
          <w:szCs w:val="24"/>
          <w:lang w:eastAsia="en-AU"/>
        </w:rPr>
        <w:t xml:space="preserve">His Honour also made </w:t>
      </w:r>
      <w:r w:rsidRPr="00CB501D">
        <w:rPr>
          <w:szCs w:val="24"/>
          <w:lang w:eastAsia="en-AU"/>
        </w:rPr>
        <w:t>procedural orders directed to the contempt prosecution</w:t>
      </w:r>
      <w:r w:rsidR="00FC7AA8">
        <w:rPr>
          <w:szCs w:val="24"/>
          <w:lang w:eastAsia="en-AU"/>
        </w:rPr>
        <w:t xml:space="preserve">, including provision for written submissions </w:t>
      </w:r>
      <w:r w:rsidR="00F971AB">
        <w:rPr>
          <w:szCs w:val="24"/>
          <w:lang w:eastAsia="en-AU"/>
        </w:rPr>
        <w:t xml:space="preserve">to be made by Mr Mensink after </w:t>
      </w:r>
      <w:r w:rsidR="00F15DBA">
        <w:rPr>
          <w:szCs w:val="24"/>
          <w:lang w:eastAsia="en-AU"/>
        </w:rPr>
        <w:t xml:space="preserve">his </w:t>
      </w:r>
      <w:r w:rsidR="00F971AB">
        <w:rPr>
          <w:szCs w:val="24"/>
          <w:lang w:eastAsia="en-AU"/>
        </w:rPr>
        <w:t xml:space="preserve">counsel requested that he be able </w:t>
      </w:r>
      <w:r w:rsidR="00FC7AA8">
        <w:rPr>
          <w:szCs w:val="24"/>
          <w:lang w:eastAsia="en-AU"/>
        </w:rPr>
        <w:t xml:space="preserve">to be heard in relation </w:t>
      </w:r>
      <w:r w:rsidR="00F971AB">
        <w:rPr>
          <w:szCs w:val="24"/>
          <w:lang w:eastAsia="en-AU"/>
        </w:rPr>
        <w:t xml:space="preserve">to </w:t>
      </w:r>
      <w:r w:rsidR="00FC7AA8">
        <w:rPr>
          <w:szCs w:val="24"/>
          <w:lang w:eastAsia="en-AU"/>
        </w:rPr>
        <w:t>th</w:t>
      </w:r>
      <w:r w:rsidR="00F15DBA">
        <w:rPr>
          <w:szCs w:val="24"/>
          <w:lang w:eastAsia="en-AU"/>
        </w:rPr>
        <w:t>at</w:t>
      </w:r>
      <w:r w:rsidR="00FC7AA8">
        <w:rPr>
          <w:szCs w:val="24"/>
          <w:lang w:eastAsia="en-AU"/>
        </w:rPr>
        <w:t xml:space="preserve"> order</w:t>
      </w:r>
      <w:r w:rsidRPr="00CB501D">
        <w:rPr>
          <w:szCs w:val="24"/>
          <w:lang w:eastAsia="en-AU"/>
        </w:rPr>
        <w:t>.</w:t>
      </w:r>
      <w:r w:rsidR="00E17D22">
        <w:rPr>
          <w:szCs w:val="24"/>
          <w:lang w:eastAsia="en-AU"/>
        </w:rPr>
        <w:t xml:space="preserve">  </w:t>
      </w:r>
      <w:r w:rsidR="00CB501D">
        <w:rPr>
          <w:szCs w:val="24"/>
          <w:lang w:eastAsia="en-AU"/>
        </w:rPr>
        <w:t xml:space="preserve">Appeal proceeding </w:t>
      </w:r>
      <w:r w:rsidR="00CB501D">
        <w:t>QUD 53 of 2021 seeks an extension of time and leave to an appeal from that order</w:t>
      </w:r>
      <w:r w:rsidR="00720DF9">
        <w:t xml:space="preserve">, with the Registrar </w:t>
      </w:r>
      <w:r w:rsidR="00441A60">
        <w:t xml:space="preserve">of the Federal Court of Australia </w:t>
      </w:r>
      <w:r w:rsidR="00720DF9">
        <w:t>as respondent</w:t>
      </w:r>
      <w:r w:rsidR="00CB501D">
        <w:t>.</w:t>
      </w:r>
      <w:r w:rsidR="00720DF9">
        <w:t xml:space="preserve"> </w:t>
      </w:r>
    </w:p>
    <w:p w14:paraId="0F6159C8" w14:textId="205A9715" w:rsidR="00C43C40" w:rsidRDefault="00C43C40" w:rsidP="000849D4">
      <w:pPr>
        <w:pStyle w:val="ParaNumbering"/>
      </w:pPr>
      <w:r>
        <w:t xml:space="preserve">On 29 October 2020, </w:t>
      </w:r>
      <w:r w:rsidRPr="00576314">
        <w:t>Mr Mensink</w:t>
      </w:r>
      <w:r>
        <w:t xml:space="preserve"> filed an amended interlocutory application seeking</w:t>
      </w:r>
      <w:r w:rsidR="00CB501D">
        <w:t xml:space="preserve"> to have </w:t>
      </w:r>
      <w:r>
        <w:t xml:space="preserve">the contempt charge </w:t>
      </w:r>
      <w:r w:rsidR="001E2F37">
        <w:t xml:space="preserve">as </w:t>
      </w:r>
      <w:r>
        <w:t xml:space="preserve">prosecuted by the Registrar summarily dismissed upon the ground of there being no case to answer, and </w:t>
      </w:r>
      <w:r w:rsidR="00F15DBA">
        <w:t xml:space="preserve">to have </w:t>
      </w:r>
      <w:r>
        <w:t xml:space="preserve">the two </w:t>
      </w:r>
      <w:r w:rsidR="00CB501D">
        <w:t xml:space="preserve">arrest </w:t>
      </w:r>
      <w:r>
        <w:t xml:space="preserve">warrants discharged. </w:t>
      </w:r>
      <w:r w:rsidR="00CB501D">
        <w:t xml:space="preserve"> </w:t>
      </w:r>
      <w:r>
        <w:t xml:space="preserve">On 22 January 2021, Reeves J made orders for the hearing of the contempt charges and to hear the application to have the warrants discharged.  On 22 February 2021, </w:t>
      </w:r>
      <w:r w:rsidRPr="00576314">
        <w:t>Mr Mensink</w:t>
      </w:r>
      <w:r>
        <w:t xml:space="preserve"> filed an application for an extension of time in which to bring an appeal from those orders and a </w:t>
      </w:r>
      <w:r w:rsidR="00CA6187">
        <w:t xml:space="preserve">draft </w:t>
      </w:r>
      <w:r>
        <w:t>notice of appeal</w:t>
      </w:r>
      <w:r w:rsidR="00CB501D">
        <w:t xml:space="preserve"> (QUD 52 of 2021)</w:t>
      </w:r>
      <w:r>
        <w:t xml:space="preserve">.  That appeal proceeding was discontinued </w:t>
      </w:r>
      <w:r w:rsidR="00441A60">
        <w:t xml:space="preserve">by a notice dated </w:t>
      </w:r>
      <w:r w:rsidR="00A02DAD">
        <w:t>17</w:t>
      </w:r>
      <w:r w:rsidR="00782456">
        <w:t xml:space="preserve"> February 2022</w:t>
      </w:r>
      <w:r w:rsidR="00441A60">
        <w:t xml:space="preserve"> being filed on 18 February 2022</w:t>
      </w:r>
      <w:r>
        <w:t>.</w:t>
      </w:r>
    </w:p>
    <w:p w14:paraId="24BE00C2" w14:textId="77777777" w:rsidR="00C43C40" w:rsidRDefault="00C43C40" w:rsidP="00C43C40">
      <w:pPr>
        <w:pStyle w:val="ParaNumbering"/>
      </w:pPr>
      <w:r>
        <w:t xml:space="preserve">On 29 April 2021, </w:t>
      </w:r>
      <w:r w:rsidRPr="00576314">
        <w:t>Mr Mensink</w:t>
      </w:r>
      <w:r>
        <w:t xml:space="preserve"> filed a further interlocutory application seeking orders to permanently enjoin the </w:t>
      </w:r>
      <w:r w:rsidR="00720DF9">
        <w:t xml:space="preserve">Registrar </w:t>
      </w:r>
      <w:r>
        <w:t>from continuing the contempt proceeding</w:t>
      </w:r>
      <w:r w:rsidR="00D15E82">
        <w:t>,</w:t>
      </w:r>
      <w:r>
        <w:t xml:space="preserve"> and in the alternative</w:t>
      </w:r>
      <w:r w:rsidR="00D15E82">
        <w:t>,</w:t>
      </w:r>
      <w:r>
        <w:t xml:space="preserve"> that the statement of charge be discontinued and the two warrants be discharged.  On 10 June 2021, that application was replaced by an amended interlocutory application seeking summary judgment on the statement of charge for contempt upon the ground that the settlement deed had the effect of releasing or discharging the statement of charge and that judgment should therefore be given in his favour.  He also sought the discharge of the two </w:t>
      </w:r>
      <w:r w:rsidR="00436B36">
        <w:t xml:space="preserve">arrest </w:t>
      </w:r>
      <w:r>
        <w:t>warrants.</w:t>
      </w:r>
    </w:p>
    <w:p w14:paraId="282FE7AC" w14:textId="77777777" w:rsidR="00CB501D" w:rsidRDefault="00C43C40" w:rsidP="00C43C40">
      <w:pPr>
        <w:pStyle w:val="ParaNumbering"/>
      </w:pPr>
      <w:r>
        <w:t xml:space="preserve">The amended interlocutory application filed on 10 June 2021 was heard by Rangiah J on 10 September 2021, and dismissed on 24 September 2021: </w:t>
      </w:r>
      <w:r w:rsidRPr="00434D04">
        <w:rPr>
          <w:i/>
        </w:rPr>
        <w:t>Registrar of the Federal Court of Australia v Mensink</w:t>
      </w:r>
      <w:r w:rsidRPr="00434D04">
        <w:t xml:space="preserve"> [2021] FCA 1152</w:t>
      </w:r>
      <w:r>
        <w:t>.</w:t>
      </w:r>
      <w:r w:rsidR="00CB501D">
        <w:t xml:space="preserve">  Appeal proceeding QUD 361 of 2021 is an appeal from that </w:t>
      </w:r>
      <w:r w:rsidR="00295B17">
        <w:t>dismissal</w:t>
      </w:r>
      <w:r w:rsidR="00CB501D">
        <w:t xml:space="preserve">.  </w:t>
      </w:r>
    </w:p>
    <w:p w14:paraId="50D7791D" w14:textId="77777777" w:rsidR="00C43C40" w:rsidRDefault="00C43C40" w:rsidP="00C43C40">
      <w:pPr>
        <w:pStyle w:val="Heading2"/>
      </w:pPr>
      <w:r>
        <w:lastRenderedPageBreak/>
        <w:t xml:space="preserve">The grounds </w:t>
      </w:r>
      <w:r w:rsidR="002A4F64">
        <w:t xml:space="preserve">or proposed grounds </w:t>
      </w:r>
      <w:r>
        <w:t>of appeal</w:t>
      </w:r>
    </w:p>
    <w:p w14:paraId="754E403F" w14:textId="77777777" w:rsidR="00C43C40" w:rsidRDefault="00C43C40" w:rsidP="00C43C40">
      <w:pPr>
        <w:pStyle w:val="ParaNumbering"/>
      </w:pPr>
      <w:r w:rsidRPr="00576314">
        <w:t>Mr Mensink</w:t>
      </w:r>
      <w:r>
        <w:t xml:space="preserve"> appeals</w:t>
      </w:r>
      <w:r w:rsidR="00D15E82">
        <w:t>,</w:t>
      </w:r>
      <w:r w:rsidR="009A2E3C">
        <w:t xml:space="preserve"> or seeks to appeal</w:t>
      </w:r>
      <w:r w:rsidR="00D15E82">
        <w:t>,</w:t>
      </w:r>
      <w:r w:rsidR="009A2E3C">
        <w:t xml:space="preserve"> from</w:t>
      </w:r>
      <w:r>
        <w:t>:</w:t>
      </w:r>
    </w:p>
    <w:p w14:paraId="5603B49C" w14:textId="651ED90B" w:rsidR="00C43C40" w:rsidRDefault="00C43C40" w:rsidP="00E33023">
      <w:pPr>
        <w:pStyle w:val="ListNo1alt"/>
        <w:numPr>
          <w:ilvl w:val="0"/>
          <w:numId w:val="27"/>
        </w:numPr>
      </w:pPr>
      <w:r>
        <w:t xml:space="preserve">the order made by Reeves J on </w:t>
      </w:r>
      <w:r w:rsidRPr="00474099">
        <w:rPr>
          <w:szCs w:val="24"/>
        </w:rPr>
        <w:t xml:space="preserve">5 August 2020, that </w:t>
      </w:r>
      <w:r>
        <w:t>“</w:t>
      </w:r>
      <w:r w:rsidRPr="004A1A40">
        <w:rPr>
          <w:lang w:eastAsia="en-AU"/>
        </w:rPr>
        <w:t>The Registrar of the Federal Court of Australia take over the prosecution of the statement of charge of contempt dated 28</w:t>
      </w:r>
      <w:r w:rsidR="009A2E3C" w:rsidRPr="004A1A40">
        <w:rPr>
          <w:lang w:eastAsia="en-AU"/>
        </w:rPr>
        <w:t> </w:t>
      </w:r>
      <w:r w:rsidRPr="004A1A40">
        <w:rPr>
          <w:lang w:eastAsia="en-AU"/>
        </w:rPr>
        <w:t>March 2017</w:t>
      </w:r>
      <w:r w:rsidRPr="00474099">
        <w:rPr>
          <w:lang w:eastAsia="en-AU"/>
        </w:rPr>
        <w:t>”</w:t>
      </w:r>
      <w:r>
        <w:rPr>
          <w:lang w:eastAsia="en-AU"/>
        </w:rPr>
        <w:t>, pressing the following two grounds</w:t>
      </w:r>
      <w:r w:rsidR="009A2E3C">
        <w:rPr>
          <w:lang w:eastAsia="en-AU"/>
        </w:rPr>
        <w:t xml:space="preserve"> contained in </w:t>
      </w:r>
      <w:r w:rsidR="009A2E3C">
        <w:t>a draft notice of appeal</w:t>
      </w:r>
      <w:r w:rsidR="00443CCD">
        <w:t xml:space="preserve"> </w:t>
      </w:r>
      <w:r w:rsidR="002549F3">
        <w:t>dated 1 March 2021</w:t>
      </w:r>
      <w:r w:rsidR="009A2E3C">
        <w:t xml:space="preserve"> in appeal proceeding QUD 53 of 2021 (for which appeal an application for an extension of time was filed on </w:t>
      </w:r>
      <w:r w:rsidR="002549F3">
        <w:t>22 February 2021</w:t>
      </w:r>
      <w:r w:rsidR="009A2E3C">
        <w:t xml:space="preserve">): </w:t>
      </w:r>
    </w:p>
    <w:p w14:paraId="6734AB19" w14:textId="77777777" w:rsidR="00C43C40" w:rsidRPr="0078204C" w:rsidRDefault="00C43C40" w:rsidP="00A3470C">
      <w:pPr>
        <w:pStyle w:val="Quote2"/>
        <w:ind w:left="2160" w:hanging="720"/>
        <w:rPr>
          <w:lang w:eastAsia="en-AU"/>
        </w:rPr>
      </w:pPr>
      <w:r>
        <w:rPr>
          <w:color w:val="2A2A2A"/>
          <w:lang w:eastAsia="en-AU"/>
        </w:rPr>
        <w:t>[1]</w:t>
      </w:r>
      <w:r>
        <w:rPr>
          <w:color w:val="2A2A2A"/>
          <w:lang w:eastAsia="en-AU"/>
        </w:rPr>
        <w:tab/>
      </w:r>
      <w:r w:rsidRPr="0078204C">
        <w:rPr>
          <w:color w:val="2A2A2A"/>
          <w:lang w:eastAsia="en-AU"/>
        </w:rPr>
        <w:t xml:space="preserve">The learned primary Judge erred in making the orders of 5 August 2020 </w:t>
      </w:r>
      <w:r w:rsidRPr="0078204C">
        <w:rPr>
          <w:b/>
          <w:bCs/>
          <w:color w:val="2A2A2A"/>
          <w:lang w:eastAsia="en-AU"/>
        </w:rPr>
        <w:t xml:space="preserve">(Orders) </w:t>
      </w:r>
      <w:r w:rsidRPr="0078204C">
        <w:rPr>
          <w:color w:val="2A2A2A"/>
          <w:lang w:eastAsia="en-AU"/>
        </w:rPr>
        <w:t xml:space="preserve">in </w:t>
      </w:r>
      <w:r w:rsidRPr="0078204C">
        <w:rPr>
          <w:lang w:eastAsia="en-AU"/>
        </w:rPr>
        <w:t>that the Appellant was not provided any or any reasonable opportunity to present his case in respect of the Orders and the learned primary Judge did not provide him procedural fairness.</w:t>
      </w:r>
    </w:p>
    <w:p w14:paraId="6A94C388" w14:textId="4F8C48C2" w:rsidR="00C43C40" w:rsidRDefault="00C43C40" w:rsidP="00A3470C">
      <w:pPr>
        <w:pStyle w:val="Quote2"/>
        <w:ind w:left="2160" w:hanging="720"/>
        <w:rPr>
          <w:color w:val="222323"/>
          <w:lang w:eastAsia="en-AU"/>
        </w:rPr>
      </w:pPr>
      <w:r>
        <w:rPr>
          <w:lang w:eastAsia="en-AU"/>
        </w:rPr>
        <w:t>[</w:t>
      </w:r>
      <w:r w:rsidRPr="0078204C">
        <w:rPr>
          <w:lang w:eastAsia="en-AU"/>
        </w:rPr>
        <w:t>2</w:t>
      </w:r>
      <w:r>
        <w:rPr>
          <w:lang w:eastAsia="en-AU"/>
        </w:rPr>
        <w:t>]</w:t>
      </w:r>
      <w:r>
        <w:rPr>
          <w:lang w:eastAsia="en-AU"/>
        </w:rPr>
        <w:tab/>
      </w:r>
      <w:r w:rsidRPr="0078204C">
        <w:rPr>
          <w:lang w:eastAsia="en-AU"/>
        </w:rPr>
        <w:t xml:space="preserve">The learned primary Judge proceeded on an incorrect principle because there is no </w:t>
      </w:r>
      <w:r w:rsidRPr="0078204C">
        <w:rPr>
          <w:color w:val="222323"/>
          <w:lang w:eastAsia="en-AU"/>
        </w:rPr>
        <w:t>power to order that a Registrar 'take over' a contempt proceeding and/or the circumstances in which a Registrar may conduct a proceeding for contempt are exhaustively provided for in rule 42.16 and the learned primary Judge did not proceed under that rule.</w:t>
      </w:r>
    </w:p>
    <w:p w14:paraId="681E365C" w14:textId="77777777" w:rsidR="00C43C40" w:rsidRDefault="00C43C40" w:rsidP="00E33023">
      <w:pPr>
        <w:pStyle w:val="ListNo1alt"/>
        <w:numPr>
          <w:ilvl w:val="0"/>
          <w:numId w:val="27"/>
        </w:numPr>
      </w:pPr>
      <w:r>
        <w:t xml:space="preserve">the judgment of </w:t>
      </w:r>
      <w:proofErr w:type="spellStart"/>
      <w:r>
        <w:t>Rangiah</w:t>
      </w:r>
      <w:proofErr w:type="spellEnd"/>
      <w:r>
        <w:t xml:space="preserve"> J </w:t>
      </w:r>
      <w:r w:rsidR="009A2E3C">
        <w:t xml:space="preserve">dismissing his </w:t>
      </w:r>
      <w:r>
        <w:t xml:space="preserve">amended interlocutory application </w:t>
      </w:r>
      <w:r w:rsidR="009A2E3C">
        <w:t>seeking summary judgment</w:t>
      </w:r>
      <w:r>
        <w:t>, relying upon the following grounds</w:t>
      </w:r>
      <w:r w:rsidR="009A2E3C">
        <w:t xml:space="preserve"> </w:t>
      </w:r>
      <w:r w:rsidR="009A2E3C">
        <w:rPr>
          <w:lang w:eastAsia="en-AU"/>
        </w:rPr>
        <w:t xml:space="preserve">in </w:t>
      </w:r>
      <w:r w:rsidR="009A2E3C">
        <w:t>appeal proceeding QUD 361 of 2021 filed on 22 October 2021</w:t>
      </w:r>
      <w:r>
        <w:t>:</w:t>
      </w:r>
    </w:p>
    <w:p w14:paraId="6A184E39" w14:textId="77777777" w:rsidR="00C43C40" w:rsidRPr="00AF4B25" w:rsidRDefault="00C43C40" w:rsidP="006C43EF">
      <w:pPr>
        <w:pStyle w:val="Quote2"/>
        <w:ind w:left="2127" w:hanging="687"/>
        <w:rPr>
          <w:lang w:eastAsia="en-AU"/>
        </w:rPr>
      </w:pPr>
      <w:r>
        <w:rPr>
          <w:lang w:eastAsia="en-AU"/>
        </w:rPr>
        <w:t>[1]</w:t>
      </w:r>
      <w:r>
        <w:rPr>
          <w:lang w:eastAsia="en-AU"/>
        </w:rPr>
        <w:tab/>
      </w:r>
      <w:r w:rsidRPr="00AF4B25">
        <w:rPr>
          <w:lang w:eastAsia="en-AU"/>
        </w:rPr>
        <w:t xml:space="preserve">The learned primary Judge erred at [50] in holding that it was open to Reeves J to take a ‘hybrid’ of the procedures envisaged under rr42.11 and 42.16 of the </w:t>
      </w:r>
      <w:r w:rsidRPr="00AF4B25">
        <w:rPr>
          <w:i/>
          <w:iCs/>
          <w:lang w:eastAsia="en-AU"/>
        </w:rPr>
        <w:t xml:space="preserve">Federal Court Rules 2011 </w:t>
      </w:r>
      <w:r w:rsidRPr="00AF4B25">
        <w:rPr>
          <w:lang w:eastAsia="en-AU"/>
        </w:rPr>
        <w:t>(</w:t>
      </w:r>
      <w:proofErr w:type="spellStart"/>
      <w:r w:rsidRPr="00AF4B25">
        <w:rPr>
          <w:lang w:eastAsia="en-AU"/>
        </w:rPr>
        <w:t>Cth</w:t>
      </w:r>
      <w:proofErr w:type="spellEnd"/>
      <w:r w:rsidRPr="00AF4B25">
        <w:rPr>
          <w:lang w:eastAsia="en-AU"/>
        </w:rPr>
        <w:t xml:space="preserve">) to order the Registrar to ‘take over the prosecution of the statement of charge of contempt dated 28 March 2017’, as the </w:t>
      </w:r>
      <w:r w:rsidRPr="00AF4B25">
        <w:rPr>
          <w:i/>
          <w:iCs/>
          <w:lang w:eastAsia="en-AU"/>
        </w:rPr>
        <w:t xml:space="preserve">Federal Court Rules 2011 </w:t>
      </w:r>
      <w:r w:rsidRPr="00AF4B25">
        <w:rPr>
          <w:lang w:eastAsia="en-AU"/>
        </w:rPr>
        <w:t>(</w:t>
      </w:r>
      <w:proofErr w:type="spellStart"/>
      <w:r w:rsidRPr="00AF4B25">
        <w:rPr>
          <w:lang w:eastAsia="en-AU"/>
        </w:rPr>
        <w:t>Cth</w:t>
      </w:r>
      <w:proofErr w:type="spellEnd"/>
      <w:r w:rsidRPr="00AF4B25">
        <w:rPr>
          <w:lang w:eastAsia="en-AU"/>
        </w:rPr>
        <w:t>) confers no such power.</w:t>
      </w:r>
    </w:p>
    <w:p w14:paraId="417DC2A3" w14:textId="77777777" w:rsidR="00C43C40" w:rsidRPr="00AF4B25" w:rsidRDefault="00C43C40" w:rsidP="006C43EF">
      <w:pPr>
        <w:pStyle w:val="Quote2"/>
        <w:ind w:left="2127" w:hanging="687"/>
        <w:rPr>
          <w:lang w:eastAsia="en-AU"/>
        </w:rPr>
      </w:pPr>
      <w:r>
        <w:rPr>
          <w:lang w:eastAsia="en-AU"/>
        </w:rPr>
        <w:t>[</w:t>
      </w:r>
      <w:r w:rsidRPr="00AF4B25">
        <w:rPr>
          <w:lang w:eastAsia="en-AU"/>
        </w:rPr>
        <w:t>2</w:t>
      </w:r>
      <w:r>
        <w:rPr>
          <w:lang w:eastAsia="en-AU"/>
        </w:rPr>
        <w:t>]</w:t>
      </w:r>
      <w:r>
        <w:rPr>
          <w:lang w:eastAsia="en-AU"/>
        </w:rPr>
        <w:tab/>
      </w:r>
      <w:r w:rsidRPr="00AF4B25">
        <w:rPr>
          <w:lang w:eastAsia="en-AU"/>
        </w:rPr>
        <w:t xml:space="preserve">Having correctly held that: </w:t>
      </w:r>
    </w:p>
    <w:p w14:paraId="10A0D091" w14:textId="77777777" w:rsidR="00C43C40" w:rsidRPr="00AF4B25" w:rsidRDefault="00C43C40" w:rsidP="00A3470C">
      <w:pPr>
        <w:pStyle w:val="Quote3"/>
        <w:ind w:left="2880" w:hanging="720"/>
        <w:rPr>
          <w:lang w:eastAsia="en-AU"/>
        </w:rPr>
      </w:pPr>
      <w:proofErr w:type="gramStart"/>
      <w:r w:rsidRPr="00AF4B25">
        <w:rPr>
          <w:lang w:eastAsia="en-AU"/>
        </w:rPr>
        <w:t>a</w:t>
      </w:r>
      <w:proofErr w:type="gramEnd"/>
      <w:r w:rsidRPr="00AF4B25">
        <w:rPr>
          <w:lang w:eastAsia="en-AU"/>
        </w:rPr>
        <w:t>.</w:t>
      </w:r>
      <w:r>
        <w:rPr>
          <w:lang w:eastAsia="en-AU"/>
        </w:rPr>
        <w:tab/>
      </w:r>
      <w:r w:rsidRPr="00AF4B25">
        <w:rPr>
          <w:lang w:eastAsia="en-AU"/>
        </w:rPr>
        <w:t>the contempt proceeding brought by the SPL was capable of being compromised by the parties to it (namely, the SPL and Mr Mensink) (at [58]); and</w:t>
      </w:r>
    </w:p>
    <w:p w14:paraId="046E0CFE" w14:textId="77777777" w:rsidR="00C43C40" w:rsidRPr="00AF4B25" w:rsidRDefault="00C43C40" w:rsidP="00A3470C">
      <w:pPr>
        <w:pStyle w:val="Quote3"/>
        <w:ind w:left="2880" w:hanging="720"/>
        <w:rPr>
          <w:lang w:eastAsia="en-AU"/>
        </w:rPr>
      </w:pPr>
      <w:proofErr w:type="gramStart"/>
      <w:r w:rsidRPr="00AF4B25">
        <w:rPr>
          <w:lang w:eastAsia="en-AU"/>
        </w:rPr>
        <w:t>b</w:t>
      </w:r>
      <w:proofErr w:type="gramEnd"/>
      <w:r w:rsidRPr="00AF4B25">
        <w:rPr>
          <w:lang w:eastAsia="en-AU"/>
        </w:rPr>
        <w:t>.</w:t>
      </w:r>
      <w:r>
        <w:rPr>
          <w:lang w:eastAsia="en-AU"/>
        </w:rPr>
        <w:tab/>
      </w:r>
      <w:r w:rsidRPr="00AF4B25">
        <w:rPr>
          <w:lang w:eastAsia="en-AU"/>
        </w:rPr>
        <w:t>the Settlement Deed compromised the contempt proceeding brought by the SPL (at [57]),</w:t>
      </w:r>
    </w:p>
    <w:p w14:paraId="0CF5163D" w14:textId="77777777" w:rsidR="00C43C40" w:rsidRPr="00AF4B25" w:rsidRDefault="00C43C40" w:rsidP="006C43EF">
      <w:pPr>
        <w:pStyle w:val="Quote2"/>
        <w:ind w:left="2127"/>
        <w:rPr>
          <w:lang w:eastAsia="en-AU"/>
        </w:rPr>
      </w:pPr>
      <w:r w:rsidRPr="00AF4B25">
        <w:rPr>
          <w:lang w:eastAsia="en-AU"/>
        </w:rPr>
        <w:t>the learned primary Judge erred in not holding that the necessary legal consequence was that the right of, or cause of action claimed by, the SPL, merged in the Settlement Deed and no longer had an independent existence and no other proceedings could thereafter be maintained or ‘taken over’ on the same, now spent, cause of action by the Registrar.</w:t>
      </w:r>
    </w:p>
    <w:p w14:paraId="3162CAD9" w14:textId="77777777" w:rsidR="00C43C40" w:rsidRPr="00AF4B25" w:rsidRDefault="00C43C40" w:rsidP="006C43EF">
      <w:pPr>
        <w:pStyle w:val="Quote2"/>
        <w:ind w:left="2127" w:hanging="687"/>
        <w:rPr>
          <w:lang w:eastAsia="en-AU"/>
        </w:rPr>
      </w:pPr>
      <w:r>
        <w:rPr>
          <w:lang w:eastAsia="en-AU"/>
        </w:rPr>
        <w:t>[</w:t>
      </w:r>
      <w:r w:rsidRPr="00AF4B25">
        <w:rPr>
          <w:lang w:eastAsia="en-AU"/>
        </w:rPr>
        <w:t>3</w:t>
      </w:r>
      <w:r>
        <w:rPr>
          <w:lang w:eastAsia="en-AU"/>
        </w:rPr>
        <w:t>]</w:t>
      </w:r>
      <w:r>
        <w:rPr>
          <w:lang w:eastAsia="en-AU"/>
        </w:rPr>
        <w:tab/>
      </w:r>
      <w:r w:rsidRPr="00AF4B25">
        <w:rPr>
          <w:lang w:eastAsia="en-AU"/>
        </w:rPr>
        <w:t>The learned primary judge erred at [53</w:t>
      </w:r>
      <w:proofErr w:type="gramStart"/>
      <w:r w:rsidRPr="00AF4B25">
        <w:rPr>
          <w:lang w:eastAsia="en-AU"/>
        </w:rPr>
        <w:t>](</w:t>
      </w:r>
      <w:proofErr w:type="gramEnd"/>
      <w:r w:rsidRPr="00AF4B25">
        <w:rPr>
          <w:lang w:eastAsia="en-AU"/>
        </w:rPr>
        <w:t>a) in finding that the appellant abandoned the argument that the Settlement Deed was a complete bar to the prosecution of the statement of charge and contempt proceeding.</w:t>
      </w:r>
    </w:p>
    <w:p w14:paraId="360CB283" w14:textId="77777777" w:rsidR="00C43C40" w:rsidRPr="00AF4B25" w:rsidRDefault="00C43C40" w:rsidP="006C43EF">
      <w:pPr>
        <w:pStyle w:val="Quote2"/>
        <w:widowControl/>
        <w:spacing w:after="360"/>
        <w:ind w:left="2127" w:right="734" w:hanging="687"/>
        <w:rPr>
          <w:lang w:eastAsia="en-AU"/>
        </w:rPr>
      </w:pPr>
      <w:r>
        <w:rPr>
          <w:lang w:eastAsia="en-AU"/>
        </w:rPr>
        <w:lastRenderedPageBreak/>
        <w:t>[</w:t>
      </w:r>
      <w:r w:rsidRPr="00AF4B25">
        <w:rPr>
          <w:lang w:eastAsia="en-AU"/>
        </w:rPr>
        <w:t>4</w:t>
      </w:r>
      <w:r>
        <w:rPr>
          <w:lang w:eastAsia="en-AU"/>
        </w:rPr>
        <w:t>]</w:t>
      </w:r>
      <w:r>
        <w:rPr>
          <w:lang w:eastAsia="en-AU"/>
        </w:rPr>
        <w:tab/>
      </w:r>
      <w:r w:rsidRPr="00AF4B25">
        <w:rPr>
          <w:lang w:eastAsia="en-AU"/>
        </w:rPr>
        <w:t>The learned primary Judge erred at [66] to [71] in finding that it was competent for the Registrar to ‘take over’ the contempt proceeding on the grounds that a ‘purpose’ remained in the prosecution of the proceeding, namely to vindicate the public interest.</w:t>
      </w:r>
    </w:p>
    <w:p w14:paraId="2AA0C2B0" w14:textId="76110FF3" w:rsidR="00617652" w:rsidRDefault="00B7139D" w:rsidP="00617652">
      <w:pPr>
        <w:pStyle w:val="ParaNumbering"/>
      </w:pPr>
      <w:r>
        <w:t>T</w:t>
      </w:r>
      <w:r w:rsidR="0060226B">
        <w:t xml:space="preserve">he primary material that was </w:t>
      </w:r>
      <w:r w:rsidR="00441A60">
        <w:t xml:space="preserve">initially </w:t>
      </w:r>
      <w:r w:rsidR="000F3AA6">
        <w:t xml:space="preserve">before this Court </w:t>
      </w:r>
      <w:r w:rsidR="009A2E3C">
        <w:t xml:space="preserve">on appeal </w:t>
      </w:r>
      <w:r w:rsidR="000F3AA6">
        <w:t xml:space="preserve">in </w:t>
      </w:r>
      <w:r w:rsidR="0025465D">
        <w:t xml:space="preserve">relation to the </w:t>
      </w:r>
      <w:r w:rsidR="000F3AA6">
        <w:t xml:space="preserve">settlement approval </w:t>
      </w:r>
      <w:r w:rsidR="006A0A5C">
        <w:t xml:space="preserve">in proceeding QUD 473 of 2019 </w:t>
      </w:r>
      <w:r w:rsidR="0025465D">
        <w:t>was</w:t>
      </w:r>
      <w:r w:rsidR="00480BA6">
        <w:t xml:space="preserve"> confined to the following</w:t>
      </w:r>
      <w:r w:rsidR="00617652">
        <w:t>:</w:t>
      </w:r>
    </w:p>
    <w:p w14:paraId="2BAF01BA" w14:textId="559D047C" w:rsidR="008E5344" w:rsidRDefault="00480BA6" w:rsidP="00E33023">
      <w:pPr>
        <w:pStyle w:val="ListNo1alt"/>
        <w:numPr>
          <w:ilvl w:val="0"/>
          <w:numId w:val="32"/>
        </w:numPr>
      </w:pPr>
      <w:r>
        <w:t>I</w:t>
      </w:r>
      <w:r w:rsidR="006A0A5C">
        <w:t xml:space="preserve">n the appeal book Part C, </w:t>
      </w:r>
      <w:r w:rsidR="00E55D8B">
        <w:t>orders</w:t>
      </w:r>
      <w:r w:rsidR="00E55D8B" w:rsidRPr="00E55D8B">
        <w:t xml:space="preserve"> </w:t>
      </w:r>
      <w:r w:rsidR="00E55D8B">
        <w:t xml:space="preserve">made </w:t>
      </w:r>
      <w:r w:rsidR="006A0A5C">
        <w:t xml:space="preserve">by Greenwood J as duty judge </w:t>
      </w:r>
      <w:r w:rsidR="00E55D8B">
        <w:t>on 5 August 2019, with separate reasons, that</w:t>
      </w:r>
      <w:r w:rsidR="008E5344">
        <w:t>:</w:t>
      </w:r>
    </w:p>
    <w:p w14:paraId="07E3B09A" w14:textId="77777777" w:rsidR="008E5344" w:rsidRDefault="00E55D8B" w:rsidP="00E33023">
      <w:pPr>
        <w:pStyle w:val="ListNo2alt"/>
        <w:numPr>
          <w:ilvl w:val="1"/>
          <w:numId w:val="32"/>
        </w:numPr>
      </w:pPr>
      <w:r>
        <w:t>the settlement approval application be made in closed court</w:t>
      </w:r>
      <w:r w:rsidR="008E5344">
        <w:t>;</w:t>
      </w:r>
    </w:p>
    <w:p w14:paraId="589A73F0" w14:textId="77777777" w:rsidR="008E5344" w:rsidRDefault="00E55D8B" w:rsidP="00E33023">
      <w:pPr>
        <w:pStyle w:val="ListNo2alt"/>
        <w:numPr>
          <w:ilvl w:val="1"/>
          <w:numId w:val="32"/>
        </w:numPr>
      </w:pPr>
      <w:r>
        <w:t xml:space="preserve">the supporting affidavit and submissions </w:t>
      </w:r>
      <w:r w:rsidR="008E5344">
        <w:t>(</w:t>
      </w:r>
      <w:r w:rsidR="008E5344" w:rsidRPr="008E5344">
        <w:rPr>
          <w:b/>
        </w:rPr>
        <w:t>settlement approval documents</w:t>
      </w:r>
      <w:r w:rsidR="008E5344">
        <w:t xml:space="preserve">) </w:t>
      </w:r>
      <w:r>
        <w:t>be placed in a sealed envelope and not made available for inspection or be filed electronically</w:t>
      </w:r>
      <w:r w:rsidR="008E5344">
        <w:t>;</w:t>
      </w:r>
      <w:r>
        <w:t xml:space="preserve"> and </w:t>
      </w:r>
    </w:p>
    <w:p w14:paraId="3C833A0D" w14:textId="77777777" w:rsidR="00480BA6" w:rsidRPr="00480BA6" w:rsidRDefault="00E55D8B" w:rsidP="00E33023">
      <w:pPr>
        <w:pStyle w:val="ListNo2alt"/>
        <w:numPr>
          <w:ilvl w:val="1"/>
          <w:numId w:val="32"/>
        </w:numPr>
      </w:pPr>
      <w:proofErr w:type="gramStart"/>
      <w:r>
        <w:t>the</w:t>
      </w:r>
      <w:proofErr w:type="gramEnd"/>
      <w:r>
        <w:t xml:space="preserve"> reasons for judgment not be published until the earlier of judgment or discontinuance of the proceeding in the Supreme Court of Queensland: </w:t>
      </w:r>
      <w:proofErr w:type="spellStart"/>
      <w:r w:rsidRPr="008E5344">
        <w:rPr>
          <w:bCs/>
          <w:i/>
          <w:szCs w:val="24"/>
          <w:lang w:eastAsia="en-AU"/>
        </w:rPr>
        <w:t>Parbery</w:t>
      </w:r>
      <w:proofErr w:type="spellEnd"/>
      <w:r w:rsidRPr="008E5344">
        <w:rPr>
          <w:bCs/>
          <w:i/>
          <w:szCs w:val="24"/>
          <w:lang w:eastAsia="en-AU"/>
        </w:rPr>
        <w:t xml:space="preserve"> (Liquidator), in the matter of Queensland Nickel Pty Ltd (in liquidation) </w:t>
      </w:r>
      <w:r w:rsidRPr="008E5344">
        <w:rPr>
          <w:bCs/>
          <w:szCs w:val="24"/>
          <w:lang w:eastAsia="en-AU"/>
        </w:rPr>
        <w:t>[2019] FCA 1219</w:t>
      </w:r>
      <w:r w:rsidR="00480BA6">
        <w:rPr>
          <w:bCs/>
          <w:szCs w:val="24"/>
          <w:lang w:eastAsia="en-AU"/>
        </w:rPr>
        <w:t>.</w:t>
      </w:r>
    </w:p>
    <w:p w14:paraId="3D39CC7F" w14:textId="60AC04C6" w:rsidR="006A0A5C" w:rsidRPr="006A0A5C" w:rsidRDefault="00480BA6" w:rsidP="00480BA6">
      <w:pPr>
        <w:pStyle w:val="ListNo2alt"/>
        <w:numPr>
          <w:ilvl w:val="0"/>
          <w:numId w:val="0"/>
        </w:numPr>
        <w:ind w:left="720"/>
      </w:pPr>
      <w:r>
        <w:t xml:space="preserve">Those orders had the practical and legal effect of suppressing, until earlier this year, any details of the settlement that had been reached and the approval of that settlement that had been sought and granted.  </w:t>
      </w:r>
    </w:p>
    <w:p w14:paraId="6FB9A091" w14:textId="0185D0DF" w:rsidR="006A0A5C" w:rsidRDefault="00480BA6" w:rsidP="00E33023">
      <w:pPr>
        <w:pStyle w:val="ListNo1alt"/>
        <w:numPr>
          <w:ilvl w:val="0"/>
          <w:numId w:val="32"/>
        </w:numPr>
      </w:pPr>
      <w:r>
        <w:rPr>
          <w:bCs/>
          <w:szCs w:val="24"/>
          <w:lang w:eastAsia="en-AU"/>
        </w:rPr>
        <w:t>I</w:t>
      </w:r>
      <w:r w:rsidR="006A0A5C">
        <w:rPr>
          <w:bCs/>
          <w:szCs w:val="24"/>
          <w:lang w:eastAsia="en-AU"/>
        </w:rPr>
        <w:t xml:space="preserve">n the joint list and bundle of authorities, the judgment </w:t>
      </w:r>
      <w:r w:rsidR="006A0A5C" w:rsidRPr="006A0A5C">
        <w:rPr>
          <w:bCs/>
          <w:szCs w:val="24"/>
          <w:lang w:eastAsia="en-AU"/>
        </w:rPr>
        <w:t xml:space="preserve">published on </w:t>
      </w:r>
      <w:r w:rsidR="006A0A5C">
        <w:t xml:space="preserve">14 February 2022 by Greenwood J containing the text of the orders </w:t>
      </w:r>
      <w:r w:rsidR="008E5344">
        <w:t xml:space="preserve">made on 5 August 2019 </w:t>
      </w:r>
      <w:r w:rsidR="006A0A5C">
        <w:t>approving the settlement and his Honours reasons</w:t>
      </w:r>
      <w:r w:rsidR="008E5344">
        <w:t>:</w:t>
      </w:r>
      <w:r w:rsidR="006A0A5C" w:rsidRPr="006A0A5C">
        <w:rPr>
          <w:i/>
        </w:rPr>
        <w:t xml:space="preserve"> </w:t>
      </w:r>
      <w:proofErr w:type="spellStart"/>
      <w:r w:rsidR="006A0A5C" w:rsidRPr="006A0A5C">
        <w:rPr>
          <w:i/>
        </w:rPr>
        <w:t>Parbery</w:t>
      </w:r>
      <w:proofErr w:type="spellEnd"/>
      <w:r w:rsidR="006A0A5C" w:rsidRPr="006A0A5C">
        <w:rPr>
          <w:i/>
        </w:rPr>
        <w:t xml:space="preserve"> (Liquidator), in the matter of Queensland Nickel Pty Ltd (in liquidation) (No 2)</w:t>
      </w:r>
      <w:r w:rsidR="006A0A5C" w:rsidRPr="00434D04">
        <w:t xml:space="preserve"> [2022] FCA 101</w:t>
      </w:r>
      <w:r w:rsidR="006A0A5C">
        <w:t xml:space="preserve"> (</w:t>
      </w:r>
      <w:r w:rsidR="006A0A5C" w:rsidRPr="006A0A5C">
        <w:rPr>
          <w:b/>
        </w:rPr>
        <w:t>settlement</w:t>
      </w:r>
      <w:r w:rsidR="006A0A5C">
        <w:t xml:space="preserve"> </w:t>
      </w:r>
      <w:r w:rsidR="006A0A5C" w:rsidRPr="006A0A5C">
        <w:rPr>
          <w:b/>
        </w:rPr>
        <w:t>approval judgment</w:t>
      </w:r>
      <w:r w:rsidR="006A0A5C">
        <w:t>)</w:t>
      </w:r>
      <w:r>
        <w:t xml:space="preserve">.  </w:t>
      </w:r>
      <w:r w:rsidR="008E5344">
        <w:t xml:space="preserve">The settlement approval judgment was </w:t>
      </w:r>
      <w:r w:rsidR="006A0A5C">
        <w:t xml:space="preserve">delivered </w:t>
      </w:r>
      <w:r w:rsidR="008E5344">
        <w:t xml:space="preserve">after judgment had been given in the Supreme Court of Queensland </w:t>
      </w:r>
      <w:r w:rsidR="006A0A5C">
        <w:t xml:space="preserve">in the balance of the proceeding </w:t>
      </w:r>
      <w:r w:rsidR="008E5344">
        <w:t xml:space="preserve">in that Court, </w:t>
      </w:r>
      <w:r w:rsidR="006A0A5C">
        <w:t>and an appeal to the Queensland Court of Appeal had been dismissed.</w:t>
      </w:r>
    </w:p>
    <w:p w14:paraId="1BFBB3A7" w14:textId="567018B6" w:rsidR="00480BA6" w:rsidRDefault="006A0A5C" w:rsidP="006A0A5C">
      <w:pPr>
        <w:pStyle w:val="ParaNumbering"/>
      </w:pPr>
      <w:r>
        <w:t xml:space="preserve">The above sequence of events in relation to the settlement approval </w:t>
      </w:r>
      <w:r w:rsidR="006C43EF">
        <w:t xml:space="preserve">had the unfortunate result </w:t>
      </w:r>
      <w:r>
        <w:t>that neither the settlement approval judgment, nor the material upon which it was based</w:t>
      </w:r>
      <w:r w:rsidR="00480BA6">
        <w:t>,</w:t>
      </w:r>
      <w:r>
        <w:t xml:space="preserve"> was before either Reeves J or Rangiah J.  </w:t>
      </w:r>
      <w:r w:rsidR="00D75B03">
        <w:t xml:space="preserve">It may have been that parts of that material were appropriate candidates for a suppression order, but the course which was adopted had the result that consideration was not apparently given to the requirements of the </w:t>
      </w:r>
      <w:r w:rsidR="00D75B03">
        <w:rPr>
          <w:i/>
        </w:rPr>
        <w:t>Act</w:t>
      </w:r>
      <w:r w:rsidR="00D75B03">
        <w:t xml:space="preserve">, in particular, </w:t>
      </w:r>
      <w:proofErr w:type="spellStart"/>
      <w:r w:rsidR="00D75B03">
        <w:t>ss</w:t>
      </w:r>
      <w:proofErr w:type="spellEnd"/>
      <w:r w:rsidR="00D75B03">
        <w:t> 37AE, 37AF, 37AG and 37AJ.</w:t>
      </w:r>
    </w:p>
    <w:p w14:paraId="2B280AD7" w14:textId="08B37FDF" w:rsidR="006A0A5C" w:rsidRPr="006A0A5C" w:rsidRDefault="00480BA6" w:rsidP="00480BA6">
      <w:pPr>
        <w:pStyle w:val="ParaNumbering"/>
      </w:pPr>
      <w:r>
        <w:lastRenderedPageBreak/>
        <w:t>A</w:t>
      </w:r>
      <w:r w:rsidR="00617652">
        <w:t xml:space="preserve"> submission </w:t>
      </w:r>
      <w:r w:rsidR="006A0A5C">
        <w:t>was</w:t>
      </w:r>
      <w:r w:rsidR="00617652">
        <w:t xml:space="preserve"> made on behalf of </w:t>
      </w:r>
      <w:r w:rsidR="00617652" w:rsidRPr="00576314">
        <w:t>Mr Mensink</w:t>
      </w:r>
      <w:r w:rsidR="00617652">
        <w:t xml:space="preserve"> that</w:t>
      </w:r>
      <w:r w:rsidR="006A0A5C">
        <w:t xml:space="preserve"> </w:t>
      </w:r>
      <w:r w:rsidR="00617652">
        <w:t xml:space="preserve">the correctness of the discretionary decision to order the Registrar to take over the contempt proceeding was that </w:t>
      </w:r>
      <w:r w:rsidR="006A0A5C">
        <w:t>“</w:t>
      </w:r>
      <w:r w:rsidR="006A0A5C" w:rsidRPr="004A1A40">
        <w:rPr>
          <w:szCs w:val="24"/>
        </w:rPr>
        <w:t>the settlement deed could not be entered into without the sanction of a judge of this Court</w:t>
      </w:r>
      <w:r w:rsidR="006A0A5C" w:rsidRPr="00480BA6">
        <w:rPr>
          <w:szCs w:val="24"/>
        </w:rPr>
        <w:t xml:space="preserve">” and </w:t>
      </w:r>
      <w:r w:rsidR="008E5344" w:rsidRPr="00480BA6">
        <w:rPr>
          <w:szCs w:val="24"/>
        </w:rPr>
        <w:t>that “</w:t>
      </w:r>
      <w:r w:rsidR="006A0A5C" w:rsidRPr="004A1A40">
        <w:rPr>
          <w:szCs w:val="24"/>
        </w:rPr>
        <w:t>the knowledge that it was proposed to dispose of the contempt proceedings, along with all of the other proceedings, was a matter that was before Greenwood J when he determined whether to sanction the settlement</w:t>
      </w:r>
      <w:r w:rsidR="008E5344" w:rsidRPr="00480BA6">
        <w:rPr>
          <w:szCs w:val="24"/>
        </w:rPr>
        <w:t xml:space="preserve">”.  </w:t>
      </w:r>
      <w:r w:rsidRPr="00480BA6">
        <w:rPr>
          <w:szCs w:val="24"/>
        </w:rPr>
        <w:t xml:space="preserve">It was further submitted </w:t>
      </w:r>
      <w:r w:rsidR="00D64B1D">
        <w:rPr>
          <w:szCs w:val="24"/>
        </w:rPr>
        <w:t xml:space="preserve">that </w:t>
      </w:r>
      <w:r>
        <w:rPr>
          <w:szCs w:val="24"/>
        </w:rPr>
        <w:t>[38], [40] and [45]</w:t>
      </w:r>
      <w:r w:rsidRPr="00480BA6">
        <w:rPr>
          <w:szCs w:val="24"/>
        </w:rPr>
        <w:t xml:space="preserve"> of his Honour’s reasons in the </w:t>
      </w:r>
      <w:r>
        <w:t xml:space="preserve">settlement approval judgment </w:t>
      </w:r>
      <w:r w:rsidR="00D75B03">
        <w:t>(</w:t>
      </w:r>
      <w:r w:rsidR="00956B3D">
        <w:t>apparently prepared</w:t>
      </w:r>
      <w:r w:rsidR="00D75B03">
        <w:t xml:space="preserve"> over two years later) </w:t>
      </w:r>
      <w:r>
        <w:t>meant that “</w:t>
      </w:r>
      <w:r w:rsidRPr="004A1A40">
        <w:rPr>
          <w:szCs w:val="24"/>
        </w:rPr>
        <w:t>when his Honour is considering the settlement deed</w:t>
      </w:r>
      <w:r w:rsidR="004A1A40">
        <w:rPr>
          <w:szCs w:val="24"/>
        </w:rPr>
        <w:t xml:space="preserve"> …</w:t>
      </w:r>
      <w:r w:rsidRPr="004A1A40">
        <w:rPr>
          <w:szCs w:val="24"/>
        </w:rPr>
        <w:t xml:space="preserve"> he’s to be taken to be alive to the fact that it was dealing with the contempt proceedings</w:t>
      </w:r>
      <w:r w:rsidRPr="00480BA6">
        <w:rPr>
          <w:szCs w:val="24"/>
        </w:rPr>
        <w:t xml:space="preserve">”.  </w:t>
      </w:r>
    </w:p>
    <w:p w14:paraId="2029109A" w14:textId="68AC18F4" w:rsidR="00720DF9" w:rsidRDefault="00480BA6" w:rsidP="00617652">
      <w:pPr>
        <w:pStyle w:val="ParaNumbering"/>
      </w:pPr>
      <w:r>
        <w:t xml:space="preserve">In light of </w:t>
      </w:r>
      <w:r w:rsidR="00D64B1D">
        <w:t xml:space="preserve">these </w:t>
      </w:r>
      <w:r>
        <w:t>submission</w:t>
      </w:r>
      <w:r w:rsidR="00D64B1D">
        <w:t>s</w:t>
      </w:r>
      <w:r>
        <w:t xml:space="preserve">, </w:t>
      </w:r>
      <w:r w:rsidR="00D64B1D">
        <w:t>and having regard to Greenwood J having made no reference</w:t>
      </w:r>
      <w:r w:rsidR="00D75B03">
        <w:t xml:space="preserve"> in his judgment</w:t>
      </w:r>
      <w:r w:rsidR="00D64B1D">
        <w:t xml:space="preserve"> to the contempt proceeding, </w:t>
      </w:r>
      <w:r>
        <w:t>t</w:t>
      </w:r>
      <w:r w:rsidR="000F3AA6">
        <w:t>h</w:t>
      </w:r>
      <w:r w:rsidR="009A2E3C">
        <w:t>is</w:t>
      </w:r>
      <w:r w:rsidR="000F3AA6">
        <w:t xml:space="preserve"> Court was concerned as to whether </w:t>
      </w:r>
      <w:r w:rsidR="008F53E1">
        <w:t xml:space="preserve">or not </w:t>
      </w:r>
      <w:r w:rsidR="000F3AA6">
        <w:t>his Honour was expressly made a</w:t>
      </w:r>
      <w:r w:rsidR="008F53E1">
        <w:t>ware of the contempt proceeding</w:t>
      </w:r>
      <w:r w:rsidR="00B7139D">
        <w:t xml:space="preserve"> in granting settlement approval</w:t>
      </w:r>
      <w:r w:rsidR="008E5344">
        <w:t>.  As a result,</w:t>
      </w:r>
      <w:r w:rsidR="00D15E82">
        <w:t xml:space="preserve"> </w:t>
      </w:r>
      <w:r w:rsidR="007B622B">
        <w:t xml:space="preserve">copies of </w:t>
      </w:r>
      <w:r w:rsidR="000F3AA6">
        <w:t xml:space="preserve">the </w:t>
      </w:r>
      <w:r w:rsidR="00D15E82" w:rsidRPr="008E5344">
        <w:t>settlement approval documents</w:t>
      </w:r>
      <w:r w:rsidR="007B622B">
        <w:t xml:space="preserve"> were obtained without objection by the parties</w:t>
      </w:r>
      <w:r w:rsidR="00D35FFB">
        <w:t xml:space="preserve"> and following </w:t>
      </w:r>
      <w:r w:rsidR="008E5344">
        <w:t xml:space="preserve">a variation </w:t>
      </w:r>
      <w:r>
        <w:t xml:space="preserve">to </w:t>
      </w:r>
      <w:r w:rsidR="00D35FFB">
        <w:t>the order</w:t>
      </w:r>
      <w:r w:rsidR="00D64B1D">
        <w:t>s</w:t>
      </w:r>
      <w:r>
        <w:t xml:space="preserve"> made by Greenwood </w:t>
      </w:r>
      <w:r w:rsidR="00D75B03">
        <w:t xml:space="preserve">J </w:t>
      </w:r>
      <w:r>
        <w:t>on 5 August 2019</w:t>
      </w:r>
      <w:r w:rsidR="00D75B03">
        <w:t xml:space="preserve">, those orders being ones which had the effect of suppressing the whole of the material referred to earlier without in fact amounting to a suppression order made in accordance with the requirements of the </w:t>
      </w:r>
      <w:r w:rsidR="00D75B03" w:rsidRPr="008204C1">
        <w:rPr>
          <w:i/>
        </w:rPr>
        <w:t>Act</w:t>
      </w:r>
      <w:r>
        <w:t xml:space="preserve">.  </w:t>
      </w:r>
      <w:r w:rsidR="00060D5E">
        <w:t>Th</w:t>
      </w:r>
      <w:r w:rsidR="00D71468">
        <w:t>ose</w:t>
      </w:r>
      <w:r w:rsidR="00060D5E">
        <w:t xml:space="preserve"> documents </w:t>
      </w:r>
      <w:r w:rsidR="00D15E82">
        <w:t xml:space="preserve">were </w:t>
      </w:r>
      <w:r w:rsidR="000F3AA6">
        <w:t xml:space="preserve">obtained </w:t>
      </w:r>
      <w:r w:rsidR="00DF45E1">
        <w:t>on the morning of the second listed day of the appeal hearing, which had otherwise adjourned indefinitely</w:t>
      </w:r>
      <w:r w:rsidR="00D75B03">
        <w:t xml:space="preserve"> after the conclusion of submissions the day before</w:t>
      </w:r>
      <w:r w:rsidR="00DF45E1">
        <w:t>.</w:t>
      </w:r>
      <w:r w:rsidR="000F3AA6">
        <w:t xml:space="preserve">  </w:t>
      </w:r>
      <w:r w:rsidR="00DF45E1">
        <w:t>The</w:t>
      </w:r>
      <w:r w:rsidR="00060D5E">
        <w:t xml:space="preserve"> settlement approval documents</w:t>
      </w:r>
      <w:r w:rsidR="00DF45E1">
        <w:t xml:space="preserve"> were </w:t>
      </w:r>
      <w:r w:rsidR="00A33189">
        <w:t>subsequently</w:t>
      </w:r>
      <w:r w:rsidR="00060D5E">
        <w:t xml:space="preserve"> </w:t>
      </w:r>
      <w:r w:rsidR="000F3AA6">
        <w:t>furnished to the parties</w:t>
      </w:r>
      <w:r w:rsidR="00DF45E1">
        <w:t>,</w:t>
      </w:r>
      <w:r w:rsidR="000F3AA6">
        <w:t xml:space="preserve"> and the matter</w:t>
      </w:r>
      <w:r w:rsidR="00DF45E1">
        <w:t>s</w:t>
      </w:r>
      <w:r w:rsidR="000F3AA6">
        <w:t xml:space="preserve"> relisted </w:t>
      </w:r>
      <w:r w:rsidR="009A2E3C">
        <w:t xml:space="preserve">the same </w:t>
      </w:r>
      <w:r w:rsidR="000F3AA6">
        <w:t>afternoon</w:t>
      </w:r>
      <w:r w:rsidR="00956B3D">
        <w:t>,</w:t>
      </w:r>
      <w:r w:rsidR="000F3AA6">
        <w:t xml:space="preserve"> for the purpose of hearing submissions from the parties as to the scope of the settlement and the scope of Greenwood J’s settlement approval.</w:t>
      </w:r>
      <w:r w:rsidR="00C43C40">
        <w:t xml:space="preserve">  </w:t>
      </w:r>
      <w:r w:rsidR="0028452F">
        <w:t xml:space="preserve">We comment further upon the </w:t>
      </w:r>
      <w:r w:rsidR="00D71468">
        <w:t xml:space="preserve">effective </w:t>
      </w:r>
      <w:r w:rsidR="0028452F">
        <w:t>suppression order that was sought and made by his Honour below at [</w:t>
      </w:r>
      <w:r w:rsidR="0028452F" w:rsidRPr="00860D10">
        <w:t>7</w:t>
      </w:r>
      <w:r w:rsidR="00860D10" w:rsidRPr="00860D10">
        <w:t>6</w:t>
      </w:r>
      <w:r w:rsidR="0028452F" w:rsidRPr="00860D10">
        <w:t>]-[</w:t>
      </w:r>
      <w:r w:rsidR="00860D10" w:rsidRPr="00860D10">
        <w:t>80</w:t>
      </w:r>
      <w:r w:rsidR="0028452F">
        <w:t>].</w:t>
      </w:r>
    </w:p>
    <w:p w14:paraId="626EA295" w14:textId="09D6B11C" w:rsidR="007B622B" w:rsidRDefault="00720DF9" w:rsidP="000849D4">
      <w:pPr>
        <w:pStyle w:val="ParaNumbering"/>
      </w:pPr>
      <w:r>
        <w:t xml:space="preserve">The settlement approval documents were received </w:t>
      </w:r>
      <w:r w:rsidR="00956B3D">
        <w:t xml:space="preserve">without objection </w:t>
      </w:r>
      <w:r>
        <w:t>as part of the material before the Court on the</w:t>
      </w:r>
      <w:r w:rsidR="00060D5E">
        <w:t>se</w:t>
      </w:r>
      <w:r>
        <w:t xml:space="preserve"> appeals.  </w:t>
      </w:r>
      <w:r w:rsidR="008F53E1">
        <w:t xml:space="preserve">It is clear </w:t>
      </w:r>
      <w:r>
        <w:t xml:space="preserve">from those documents </w:t>
      </w:r>
      <w:r w:rsidR="008F53E1">
        <w:t xml:space="preserve">that </w:t>
      </w:r>
      <w:r w:rsidR="00DF45E1">
        <w:t xml:space="preserve">Greenwood </w:t>
      </w:r>
      <w:r>
        <w:t xml:space="preserve">J </w:t>
      </w:r>
      <w:r w:rsidR="008F53E1">
        <w:t xml:space="preserve">was not </w:t>
      </w:r>
      <w:r w:rsidR="00D35FFB">
        <w:t>told</w:t>
      </w:r>
      <w:r w:rsidR="008F53E1">
        <w:t xml:space="preserve"> that the proposed settlement either did, or may have had, any impact on the contempt proceeding.  </w:t>
      </w:r>
      <w:r w:rsidR="007B622B">
        <w:t>There is nothing to indicate that his Honour was otherwise aware of this</w:t>
      </w:r>
      <w:r w:rsidR="00D35FFB">
        <w:t xml:space="preserve"> suggestion </w:t>
      </w:r>
      <w:r w:rsidR="00C66824">
        <w:t xml:space="preserve">given that there is no reference to it in </w:t>
      </w:r>
      <w:r w:rsidR="00D35FFB">
        <w:t>the reasons published by his Honour</w:t>
      </w:r>
      <w:r w:rsidR="007B622B">
        <w:t xml:space="preserve">.  </w:t>
      </w:r>
    </w:p>
    <w:p w14:paraId="496028A3" w14:textId="0E8A75C4" w:rsidR="000F3AA6" w:rsidRDefault="0025465D" w:rsidP="000849D4">
      <w:pPr>
        <w:pStyle w:val="ParaNumbering"/>
      </w:pPr>
      <w:r w:rsidRPr="00576314">
        <w:t>Mr </w:t>
      </w:r>
      <w:proofErr w:type="spellStart"/>
      <w:r w:rsidRPr="00576314">
        <w:t>Mensink</w:t>
      </w:r>
      <w:r>
        <w:t>’s</w:t>
      </w:r>
      <w:proofErr w:type="spellEnd"/>
      <w:r>
        <w:t xml:space="preserve"> case on appeal</w:t>
      </w:r>
      <w:r w:rsidR="007B622B">
        <w:t xml:space="preserve">, </w:t>
      </w:r>
      <w:r>
        <w:t xml:space="preserve">as it </w:t>
      </w:r>
      <w:r w:rsidR="00914192">
        <w:t>was</w:t>
      </w:r>
      <w:r>
        <w:t xml:space="preserve"> before Rangiah J</w:t>
      </w:r>
      <w:r w:rsidR="007B622B">
        <w:t xml:space="preserve">, </w:t>
      </w:r>
      <w:r w:rsidR="00914192">
        <w:t xml:space="preserve">is </w:t>
      </w:r>
      <w:r>
        <w:t xml:space="preserve">that </w:t>
      </w:r>
      <w:r w:rsidR="00720DF9">
        <w:t xml:space="preserve">properly read and understood </w:t>
      </w:r>
      <w:r>
        <w:t xml:space="preserve">the settlement </w:t>
      </w:r>
      <w:r w:rsidR="00535238">
        <w:t xml:space="preserve">deed </w:t>
      </w:r>
      <w:r>
        <w:t xml:space="preserve">extended to the </w:t>
      </w:r>
      <w:r w:rsidR="002247B4">
        <w:t xml:space="preserve">contempt </w:t>
      </w:r>
      <w:r w:rsidR="000C3C59">
        <w:t xml:space="preserve">proceeding and that accordingly </w:t>
      </w:r>
      <w:r w:rsidR="00914192">
        <w:t>it concluded that proceeding</w:t>
      </w:r>
      <w:r w:rsidR="000C3C59">
        <w:t xml:space="preserve">.  </w:t>
      </w:r>
      <w:r w:rsidR="008F53E1">
        <w:t xml:space="preserve">He further submits that </w:t>
      </w:r>
      <w:r w:rsidR="00A33189">
        <w:t>Greenwood J</w:t>
      </w:r>
      <w:r w:rsidR="008F53E1">
        <w:t xml:space="preserve"> is taken to have approved the settlement </w:t>
      </w:r>
      <w:r w:rsidR="008F53E1">
        <w:lastRenderedPageBreak/>
        <w:t>according to its full effect, irrespective of whether this aspect was raised or was otherwise evident</w:t>
      </w:r>
      <w:r w:rsidR="00914192">
        <w:t xml:space="preserve"> when his Honour granted that approval</w:t>
      </w:r>
      <w:r w:rsidR="008F53E1">
        <w:t xml:space="preserve">.  </w:t>
      </w:r>
    </w:p>
    <w:p w14:paraId="0903CE62" w14:textId="77777777" w:rsidR="00860B24" w:rsidRDefault="00860B24" w:rsidP="00860B24">
      <w:pPr>
        <w:pStyle w:val="Heading2"/>
      </w:pPr>
      <w:r>
        <w:t>G</w:t>
      </w:r>
      <w:r w:rsidR="00745CDD">
        <w:t>round</w:t>
      </w:r>
      <w:r>
        <w:t xml:space="preserve"> </w:t>
      </w:r>
      <w:r w:rsidR="00745CDD">
        <w:t>1</w:t>
      </w:r>
      <w:r w:rsidR="00723EE9">
        <w:t xml:space="preserve">, </w:t>
      </w:r>
      <w:r>
        <w:t xml:space="preserve">QUD </w:t>
      </w:r>
      <w:r w:rsidR="00745CDD">
        <w:t>53</w:t>
      </w:r>
      <w:r>
        <w:t xml:space="preserve"> of 2021</w:t>
      </w:r>
      <w:r w:rsidR="00723EE9">
        <w:t xml:space="preserve">: </w:t>
      </w:r>
      <w:r w:rsidR="00E73D3D">
        <w:t>D</w:t>
      </w:r>
      <w:r w:rsidR="00723EE9">
        <w:t>enial of procedural fairness</w:t>
      </w:r>
    </w:p>
    <w:p w14:paraId="72113EEB" w14:textId="4EFA314B" w:rsidR="00745CDD" w:rsidRDefault="00745CDD" w:rsidP="00745CDD">
      <w:pPr>
        <w:pStyle w:val="ParaNumbering"/>
      </w:pPr>
      <w:r w:rsidRPr="00576314">
        <w:t>Mr Mensink</w:t>
      </w:r>
      <w:r>
        <w:t xml:space="preserve"> seeks </w:t>
      </w:r>
      <w:r w:rsidR="00C574E9">
        <w:t xml:space="preserve">leave </w:t>
      </w:r>
      <w:r>
        <w:t xml:space="preserve">to </w:t>
      </w:r>
      <w:r w:rsidR="00C574E9">
        <w:t xml:space="preserve">rely upon a ground of appeal </w:t>
      </w:r>
      <w:r>
        <w:t xml:space="preserve">that the primary judge erred in making </w:t>
      </w:r>
      <w:r w:rsidR="00914192">
        <w:t xml:space="preserve">the </w:t>
      </w:r>
      <w:r>
        <w:t>order on 5 August 2020 that “</w:t>
      </w:r>
      <w:r w:rsidRPr="00E95987">
        <w:rPr>
          <w:lang w:eastAsia="en-AU"/>
        </w:rPr>
        <w:t>The Registrar of the Federal Court of Australia take over the prosecution of the statement of charge of contempt dated 28 March 2017</w:t>
      </w:r>
      <w:r w:rsidRPr="00474099">
        <w:rPr>
          <w:lang w:eastAsia="en-AU"/>
        </w:rPr>
        <w:t>”</w:t>
      </w:r>
      <w:r>
        <w:rPr>
          <w:lang w:eastAsia="en-AU"/>
        </w:rPr>
        <w:t xml:space="preserve">, </w:t>
      </w:r>
      <w:r w:rsidR="003F282A">
        <w:rPr>
          <w:lang w:eastAsia="en-AU"/>
        </w:rPr>
        <w:t xml:space="preserve">because </w:t>
      </w:r>
      <w:r>
        <w:rPr>
          <w:lang w:eastAsia="en-AU"/>
        </w:rPr>
        <w:t xml:space="preserve">he </w:t>
      </w:r>
      <w:r w:rsidR="00A17D0C">
        <w:rPr>
          <w:lang w:eastAsia="en-AU"/>
        </w:rPr>
        <w:t xml:space="preserve">asserts that he </w:t>
      </w:r>
      <w:r>
        <w:rPr>
          <w:lang w:eastAsia="en-AU"/>
        </w:rPr>
        <w:t>was denied procedural fairness</w:t>
      </w:r>
      <w:r w:rsidR="003F282A">
        <w:rPr>
          <w:lang w:eastAsia="en-AU"/>
        </w:rPr>
        <w:t xml:space="preserve"> by reason of the </w:t>
      </w:r>
      <w:r>
        <w:rPr>
          <w:lang w:eastAsia="en-AU"/>
        </w:rPr>
        <w:t xml:space="preserve">order </w:t>
      </w:r>
      <w:r w:rsidR="00A17D0C">
        <w:rPr>
          <w:lang w:eastAsia="en-AU"/>
        </w:rPr>
        <w:t>being</w:t>
      </w:r>
      <w:r>
        <w:rPr>
          <w:lang w:eastAsia="en-AU"/>
        </w:rPr>
        <w:t xml:space="preserve"> made without giving him an opportunity to be heard.  </w:t>
      </w:r>
    </w:p>
    <w:p w14:paraId="1AA7BBDA" w14:textId="00ACE092" w:rsidR="000C5CB7" w:rsidRPr="0052246A" w:rsidRDefault="000C5CB7" w:rsidP="004C7580">
      <w:pPr>
        <w:pStyle w:val="ParaNumbering"/>
      </w:pPr>
      <w:r w:rsidRPr="0052246A">
        <w:t>The primary judge was confronted with the SPLs no longer wishing to continue the contempt proceeding as a consequence of the settlement of the proceedings in the Queensland Supreme Court out of which the deed arose, and the consequent practical end of any utility of the proceeding brought by the SPLs for examinations and the production of documents out of which the contempt proceeding arose.  The relief sought</w:t>
      </w:r>
      <w:r w:rsidR="00D71847" w:rsidRPr="0052246A">
        <w:t xml:space="preserve"> from Reeves J</w:t>
      </w:r>
      <w:r w:rsidRPr="0052246A">
        <w:t xml:space="preserve"> of setting aside the orders made by Dowsett J on 27 February 2017 concerning the examination order and examination warrant </w:t>
      </w:r>
      <w:r w:rsidR="001B4BB6" w:rsidRPr="0052246A">
        <w:t xml:space="preserve">did not in terms </w:t>
      </w:r>
      <w:r w:rsidR="00D71847" w:rsidRPr="0052246A">
        <w:t>address</w:t>
      </w:r>
      <w:r w:rsidRPr="0052246A">
        <w:t xml:space="preserve"> the statement of charge</w:t>
      </w:r>
      <w:r w:rsidR="00D71847" w:rsidRPr="0052246A">
        <w:t xml:space="preserve">. </w:t>
      </w:r>
      <w:r w:rsidR="001B4BB6" w:rsidRPr="0052246A">
        <w:t xml:space="preserve"> </w:t>
      </w:r>
      <w:r w:rsidR="00D71847" w:rsidRPr="0052246A">
        <w:t>Reeves J asked the parties who had prepared the statement of charge, and his Honour was informed it had been prepared by the SPLs</w:t>
      </w:r>
      <w:r w:rsidRPr="0052246A">
        <w:t>.</w:t>
      </w:r>
      <w:r w:rsidR="00D91140" w:rsidRPr="0052246A">
        <w:t xml:space="preserve"> </w:t>
      </w:r>
      <w:r w:rsidR="001B4BB6" w:rsidRPr="0052246A">
        <w:t xml:space="preserve"> </w:t>
      </w:r>
      <w:r w:rsidR="00D91140" w:rsidRPr="0052246A">
        <w:t xml:space="preserve">Counsel for </w:t>
      </w:r>
      <w:r w:rsidR="001B4BB6" w:rsidRPr="0052246A">
        <w:t xml:space="preserve">Mr Mensink </w:t>
      </w:r>
      <w:r w:rsidR="00D91140" w:rsidRPr="0052246A">
        <w:t>then put to his Honour that “</w:t>
      </w:r>
      <w:r w:rsidR="00D91140" w:rsidRPr="00E95987">
        <w:t xml:space="preserve">the more important question is </w:t>
      </w:r>
      <w:r w:rsidR="00D91140" w:rsidRPr="00E95987">
        <w:rPr>
          <w:szCs w:val="24"/>
        </w:rPr>
        <w:t>whether the contempt warrant ought to be allowed to stand so that it can be executed, a charge laid and a hearing held</w:t>
      </w:r>
      <w:r w:rsidR="00D91140" w:rsidRPr="0052246A">
        <w:rPr>
          <w:szCs w:val="24"/>
        </w:rPr>
        <w:t>”, and asked to make written submissions on the point.</w:t>
      </w:r>
      <w:r w:rsidR="00D71847" w:rsidRPr="0052246A">
        <w:t xml:space="preserve"> </w:t>
      </w:r>
      <w:r w:rsidR="001B4BB6" w:rsidRPr="0052246A">
        <w:t xml:space="preserve"> </w:t>
      </w:r>
    </w:p>
    <w:p w14:paraId="2FDE650D" w14:textId="5C2E3C97" w:rsidR="000C5CB7" w:rsidRDefault="00D001C2" w:rsidP="00921B7E">
      <w:pPr>
        <w:pStyle w:val="ParaNumbering"/>
      </w:pPr>
      <w:r>
        <w:t>The primary judge</w:t>
      </w:r>
      <w:r w:rsidR="000C5CB7" w:rsidRPr="000C5CB7">
        <w:t xml:space="preserve"> was </w:t>
      </w:r>
      <w:r w:rsidR="000C5CB7">
        <w:t xml:space="preserve">legitimately </w:t>
      </w:r>
      <w:r w:rsidR="000C5CB7" w:rsidRPr="000C5CB7">
        <w:t xml:space="preserve">concerned that there should be a contradictor as to the future </w:t>
      </w:r>
      <w:r>
        <w:t>course</w:t>
      </w:r>
      <w:r w:rsidR="000C5CB7" w:rsidRPr="000C5CB7">
        <w:t xml:space="preserve"> of the contempt proceeding</w:t>
      </w:r>
      <w:r>
        <w:t xml:space="preserve">.  </w:t>
      </w:r>
      <w:r w:rsidR="00921B7E">
        <w:t>On 5 August 2020, h</w:t>
      </w:r>
      <w:r>
        <w:t>is Honour</w:t>
      </w:r>
      <w:r w:rsidR="000C5CB7" w:rsidRPr="000C5CB7">
        <w:t xml:space="preserve"> ordered the </w:t>
      </w:r>
      <w:r w:rsidR="00E73D3D">
        <w:t>R</w:t>
      </w:r>
      <w:r w:rsidR="000C5CB7" w:rsidRPr="000C5CB7">
        <w:t>egistrar to take over that proceeding for that purpose</w:t>
      </w:r>
      <w:r w:rsidR="00E73D3D">
        <w:t>,</w:t>
      </w:r>
      <w:r>
        <w:t xml:space="preserve"> and </w:t>
      </w:r>
      <w:r w:rsidR="00E73D3D">
        <w:t xml:space="preserve">in line with the suggestion from </w:t>
      </w:r>
      <w:r w:rsidR="001B4BB6" w:rsidRPr="001B4BB6">
        <w:t>Mr </w:t>
      </w:r>
      <w:proofErr w:type="spellStart"/>
      <w:r w:rsidR="001B4BB6" w:rsidRPr="001B4BB6">
        <w:t>Mensink</w:t>
      </w:r>
      <w:r w:rsidR="001B4BB6">
        <w:t>’s</w:t>
      </w:r>
      <w:proofErr w:type="spellEnd"/>
      <w:r w:rsidR="001B4BB6">
        <w:t xml:space="preserve"> counsel</w:t>
      </w:r>
      <w:r w:rsidR="00E73D3D">
        <w:t xml:space="preserve">, </w:t>
      </w:r>
      <w:r w:rsidR="000C5CB7" w:rsidRPr="000C5CB7">
        <w:t xml:space="preserve">made </w:t>
      </w:r>
      <w:r>
        <w:t xml:space="preserve">procedural orders </w:t>
      </w:r>
      <w:r w:rsidR="000C5CB7" w:rsidRPr="000C5CB7">
        <w:t xml:space="preserve">for submissions, </w:t>
      </w:r>
      <w:r w:rsidR="00921B7E">
        <w:t>being “</w:t>
      </w:r>
      <w:r w:rsidR="00921B7E" w:rsidRPr="00E95987">
        <w:rPr>
          <w:szCs w:val="24"/>
        </w:rPr>
        <w:t>By close of business on 21 August 2020, Clive Mensink file an outline of submissions addressing the form of prosecution, limited to five pages</w:t>
      </w:r>
      <w:r w:rsidR="00921B7E">
        <w:rPr>
          <w:szCs w:val="24"/>
        </w:rPr>
        <w:t>”</w:t>
      </w:r>
      <w:r w:rsidR="00921B7E" w:rsidRPr="00921B7E">
        <w:rPr>
          <w:szCs w:val="24"/>
        </w:rPr>
        <w:t>.</w:t>
      </w:r>
      <w:r w:rsidR="00921B7E">
        <w:rPr>
          <w:szCs w:val="24"/>
        </w:rPr>
        <w:t xml:space="preserve"> </w:t>
      </w:r>
      <w:r w:rsidR="00D64B1D">
        <w:rPr>
          <w:szCs w:val="24"/>
        </w:rPr>
        <w:t xml:space="preserve"> </w:t>
      </w:r>
      <w:r w:rsidR="00921B7E">
        <w:rPr>
          <w:szCs w:val="24"/>
        </w:rPr>
        <w:t xml:space="preserve">This </w:t>
      </w:r>
      <w:r w:rsidR="000C5CB7" w:rsidRPr="000C5CB7">
        <w:t>necessarily enabled any submission to be made that the order be revoked</w:t>
      </w:r>
      <w:r w:rsidR="00F2371D">
        <w:t xml:space="preserve"> or that the contempt proceeding otherwise not continue</w:t>
      </w:r>
      <w:r w:rsidR="000C5CB7" w:rsidRPr="000C5CB7">
        <w:t xml:space="preserve">.  </w:t>
      </w:r>
    </w:p>
    <w:p w14:paraId="2609DB8A" w14:textId="4E98CE87" w:rsidR="007342C2" w:rsidRDefault="007342C2" w:rsidP="00B4757D">
      <w:pPr>
        <w:pStyle w:val="ParaNumbering"/>
      </w:pPr>
      <w:r>
        <w:t>Mr Mensink filed submissions on 21 August</w:t>
      </w:r>
      <w:r w:rsidR="0043503F">
        <w:t xml:space="preserve"> 2020</w:t>
      </w:r>
      <w:r>
        <w:t xml:space="preserve">. </w:t>
      </w:r>
      <w:r w:rsidR="003B55E3">
        <w:t xml:space="preserve"> </w:t>
      </w:r>
      <w:r>
        <w:t>Relevantly to the order currently under appeal</w:t>
      </w:r>
      <w:r w:rsidR="003B55E3">
        <w:t xml:space="preserve"> and reproduced at [29] above</w:t>
      </w:r>
      <w:r>
        <w:t xml:space="preserve">, the </w:t>
      </w:r>
      <w:r w:rsidR="00FB750A">
        <w:t xml:space="preserve">submissions </w:t>
      </w:r>
      <w:r w:rsidR="003B55E3">
        <w:t>furnished included the following</w:t>
      </w:r>
      <w:r w:rsidR="00FB750A">
        <w:t>:</w:t>
      </w:r>
    </w:p>
    <w:p w14:paraId="11CD5DB4" w14:textId="6F39AB2B" w:rsidR="00FB750A" w:rsidRPr="00D64B1D" w:rsidRDefault="00FB750A" w:rsidP="00D64B1D">
      <w:pPr>
        <w:pStyle w:val="Quote1"/>
        <w:rPr>
          <w:b/>
        </w:rPr>
      </w:pPr>
      <w:r>
        <w:rPr>
          <w:b/>
        </w:rPr>
        <w:t>Present Application</w:t>
      </w:r>
    </w:p>
    <w:p w14:paraId="733E5351" w14:textId="77777777" w:rsidR="007342C2" w:rsidRDefault="007342C2" w:rsidP="007342C2">
      <w:pPr>
        <w:pStyle w:val="Quote1"/>
      </w:pPr>
      <w:r>
        <w:t>27. The Registrar has been appointed to appear as contradictor to this application.</w:t>
      </w:r>
    </w:p>
    <w:p w14:paraId="1A419927" w14:textId="53D18232" w:rsidR="007342C2" w:rsidRDefault="007342C2" w:rsidP="007342C2">
      <w:pPr>
        <w:pStyle w:val="Quote1"/>
      </w:pPr>
      <w:r>
        <w:lastRenderedPageBreak/>
        <w:t xml:space="preserve">28. The applicant is able to bring this application notwithstanding that the warrant has not been executed pursuant to Rule 1.40 </w:t>
      </w:r>
      <w:proofErr w:type="spellStart"/>
      <w:r w:rsidRPr="00D64B1D">
        <w:rPr>
          <w:i/>
        </w:rPr>
        <w:t>Mulhern</w:t>
      </w:r>
      <w:proofErr w:type="spellEnd"/>
      <w:r w:rsidRPr="00D64B1D">
        <w:rPr>
          <w:i/>
        </w:rPr>
        <w:t xml:space="preserve"> v Morgan </w:t>
      </w:r>
      <w:r>
        <w:t>[2017] FCA 1183.</w:t>
      </w:r>
    </w:p>
    <w:p w14:paraId="6CE4E853" w14:textId="3081CC6E" w:rsidR="007342C2" w:rsidRDefault="007342C2" w:rsidP="00D64B1D">
      <w:pPr>
        <w:pStyle w:val="Quote1"/>
      </w:pPr>
      <w:r>
        <w:t xml:space="preserve">29. The Court has power to: </w:t>
      </w:r>
    </w:p>
    <w:p w14:paraId="7E8C59E5" w14:textId="52931E32" w:rsidR="007342C2" w:rsidRDefault="007342C2" w:rsidP="00D64B1D">
      <w:pPr>
        <w:pStyle w:val="Quote2"/>
        <w:rPr>
          <w:lang w:eastAsia="en-AU"/>
        </w:rPr>
      </w:pPr>
      <w:r>
        <w:t xml:space="preserve">a. </w:t>
      </w:r>
      <w:r>
        <w:rPr>
          <w:lang w:eastAsia="en-AU"/>
        </w:rPr>
        <w:t xml:space="preserve">Make an order under rl.40 FCR prohibiting prosecution on the grounds that it has no reasonable prospect of success under r 26.0l(l)(a) </w:t>
      </w:r>
      <w:proofErr w:type="spellStart"/>
      <w:r>
        <w:rPr>
          <w:i/>
          <w:iCs/>
          <w:sz w:val="23"/>
          <w:szCs w:val="23"/>
          <w:lang w:eastAsia="en-AU"/>
        </w:rPr>
        <w:t>Mulhern</w:t>
      </w:r>
      <w:proofErr w:type="spellEnd"/>
      <w:r>
        <w:rPr>
          <w:i/>
          <w:iCs/>
          <w:sz w:val="23"/>
          <w:szCs w:val="23"/>
          <w:lang w:eastAsia="en-AU"/>
        </w:rPr>
        <w:t xml:space="preserve"> v Morgan </w:t>
      </w:r>
      <w:r>
        <w:rPr>
          <w:lang w:eastAsia="en-AU"/>
        </w:rPr>
        <w:t>[2017] FCA 1183 at 11.</w:t>
      </w:r>
    </w:p>
    <w:p w14:paraId="70FA341C" w14:textId="2668B2F1" w:rsidR="007342C2" w:rsidRDefault="007342C2" w:rsidP="00D64B1D">
      <w:pPr>
        <w:pStyle w:val="Quote2"/>
        <w:rPr>
          <w:lang w:eastAsia="en-AU"/>
        </w:rPr>
      </w:pPr>
      <w:r>
        <w:rPr>
          <w:lang w:eastAsia="en-AU"/>
        </w:rPr>
        <w:t xml:space="preserve">b. Set aside an order that the Registrar prosecute for contempt of court, again on the basis that there is no reasonable prospect that he will be able to prove beyond reasonable doubt the allegation of contempt </w:t>
      </w:r>
      <w:r>
        <w:rPr>
          <w:i/>
          <w:iCs/>
          <w:sz w:val="23"/>
          <w:szCs w:val="23"/>
          <w:lang w:eastAsia="en-AU"/>
        </w:rPr>
        <w:t xml:space="preserve">Bob Jane Corporation Pty Ltd v CAN </w:t>
      </w:r>
      <w:r w:rsidR="003B55E3">
        <w:rPr>
          <w:iCs/>
          <w:sz w:val="23"/>
          <w:szCs w:val="23"/>
          <w:lang w:eastAsia="en-AU"/>
        </w:rPr>
        <w:t xml:space="preserve">[sic] </w:t>
      </w:r>
      <w:r>
        <w:rPr>
          <w:i/>
          <w:iCs/>
          <w:sz w:val="23"/>
          <w:szCs w:val="23"/>
          <w:lang w:eastAsia="en-AU"/>
        </w:rPr>
        <w:t xml:space="preserve">149 801 141 Pty Ltd </w:t>
      </w:r>
      <w:r>
        <w:rPr>
          <w:lang w:eastAsia="en-AU"/>
        </w:rPr>
        <w:t>[2017] FCA 899.</w:t>
      </w:r>
    </w:p>
    <w:p w14:paraId="4B5EA4F2" w14:textId="086082FF" w:rsidR="007342C2" w:rsidRDefault="007342C2" w:rsidP="00D64B1D">
      <w:pPr>
        <w:pStyle w:val="Quote1"/>
        <w:rPr>
          <w:lang w:eastAsia="en-AU"/>
        </w:rPr>
      </w:pPr>
      <w:r>
        <w:rPr>
          <w:lang w:eastAsia="en-AU"/>
        </w:rPr>
        <w:t>30. This is particularly so here where there is no evidence of knowledge and therefore no reasonable prospects of success.</w:t>
      </w:r>
    </w:p>
    <w:p w14:paraId="34BF96F4" w14:textId="19521001" w:rsidR="007342C2" w:rsidRDefault="007342C2" w:rsidP="00D64B1D">
      <w:pPr>
        <w:pStyle w:val="Quote1"/>
        <w:rPr>
          <w:lang w:eastAsia="en-AU"/>
        </w:rPr>
      </w:pPr>
      <w:r>
        <w:rPr>
          <w:lang w:eastAsia="en-AU"/>
        </w:rPr>
        <w:t xml:space="preserve">31. Whilst the </w:t>
      </w:r>
      <w:r w:rsidR="003B55E3">
        <w:rPr>
          <w:lang w:eastAsia="en-AU"/>
        </w:rPr>
        <w:t>Court</w:t>
      </w:r>
      <w:r>
        <w:rPr>
          <w:lang w:eastAsia="en-AU"/>
        </w:rPr>
        <w:t xml:space="preserve"> has power to punish for contempt and to appoint the Registrar to prosecute, the Court i</w:t>
      </w:r>
      <w:r w:rsidR="00BF0F63">
        <w:rPr>
          <w:lang w:eastAsia="en-AU"/>
        </w:rPr>
        <w:t>s charged with the function of “</w:t>
      </w:r>
      <w:r>
        <w:rPr>
          <w:lang w:eastAsia="en-AU"/>
        </w:rPr>
        <w:t>superintending the administration of justice</w:t>
      </w:r>
      <w:r w:rsidR="00BF0F63">
        <w:rPr>
          <w:lang w:eastAsia="en-AU"/>
        </w:rPr>
        <w:t>”</w:t>
      </w:r>
      <w:r>
        <w:rPr>
          <w:lang w:eastAsia="en-AU"/>
        </w:rPr>
        <w:t xml:space="preserve"> </w:t>
      </w:r>
      <w:proofErr w:type="spellStart"/>
      <w:r>
        <w:rPr>
          <w:i/>
          <w:iCs/>
          <w:sz w:val="23"/>
          <w:szCs w:val="23"/>
          <w:lang w:eastAsia="en-AU"/>
        </w:rPr>
        <w:t>Hinch</w:t>
      </w:r>
      <w:proofErr w:type="spellEnd"/>
      <w:r>
        <w:rPr>
          <w:i/>
          <w:iCs/>
          <w:sz w:val="23"/>
          <w:szCs w:val="23"/>
          <w:lang w:eastAsia="en-AU"/>
        </w:rPr>
        <w:t xml:space="preserve"> v Attorney General (Viet) </w:t>
      </w:r>
      <w:r>
        <w:rPr>
          <w:sz w:val="23"/>
          <w:szCs w:val="23"/>
          <w:lang w:eastAsia="en-AU"/>
        </w:rPr>
        <w:t>[</w:t>
      </w:r>
      <w:r>
        <w:rPr>
          <w:lang w:eastAsia="en-AU"/>
        </w:rPr>
        <w:t>1987] HCA 56.</w:t>
      </w:r>
    </w:p>
    <w:p w14:paraId="6EA85F8C" w14:textId="0097AB57" w:rsidR="007342C2" w:rsidRDefault="007342C2" w:rsidP="00D64B1D">
      <w:pPr>
        <w:pStyle w:val="Quote1"/>
        <w:rPr>
          <w:lang w:eastAsia="en-AU"/>
        </w:rPr>
      </w:pPr>
      <w:r>
        <w:rPr>
          <w:lang w:eastAsia="en-AU"/>
        </w:rPr>
        <w:t xml:space="preserve">32. As such, if the Court were to order the Registrar to prosecute this matter it would do so in circumstances where there is insufficient evidence (if any) to prove beyond reasonable doubt that there was a contempt of </w:t>
      </w:r>
      <w:r w:rsidR="003B55E3">
        <w:rPr>
          <w:lang w:eastAsia="en-AU"/>
        </w:rPr>
        <w:t>court</w:t>
      </w:r>
      <w:r>
        <w:rPr>
          <w:lang w:eastAsia="en-AU"/>
        </w:rPr>
        <w:t xml:space="preserve">. </w:t>
      </w:r>
      <w:r>
        <w:rPr>
          <w:szCs w:val="24"/>
          <w:lang w:eastAsia="en-AU"/>
        </w:rPr>
        <w:t xml:space="preserve">It </w:t>
      </w:r>
      <w:r>
        <w:rPr>
          <w:lang w:eastAsia="en-AU"/>
        </w:rPr>
        <w:t>is submitted therefore that it is not in the interests of justice to prosecute in these circumstances.</w:t>
      </w:r>
    </w:p>
    <w:p w14:paraId="127503C5" w14:textId="34A6CB1A" w:rsidR="007342C2" w:rsidRDefault="007342C2" w:rsidP="00D64B1D">
      <w:pPr>
        <w:pStyle w:val="Quote1"/>
        <w:rPr>
          <w:lang w:eastAsia="en-AU"/>
        </w:rPr>
      </w:pPr>
      <w:r>
        <w:rPr>
          <w:lang w:eastAsia="en-AU"/>
        </w:rPr>
        <w:t xml:space="preserve">33. </w:t>
      </w:r>
      <w:r>
        <w:rPr>
          <w:szCs w:val="24"/>
          <w:lang w:eastAsia="en-AU"/>
        </w:rPr>
        <w:t xml:space="preserve">It </w:t>
      </w:r>
      <w:r>
        <w:rPr>
          <w:lang w:eastAsia="en-AU"/>
        </w:rPr>
        <w:t>is n</w:t>
      </w:r>
      <w:r w:rsidR="0043503F">
        <w:rPr>
          <w:lang w:eastAsia="en-AU"/>
        </w:rPr>
        <w:t>ot irr</w:t>
      </w:r>
      <w:r>
        <w:rPr>
          <w:lang w:eastAsia="en-AU"/>
        </w:rPr>
        <w:t>elevant that in the present circumstances the parties seeking the warrants in the first instance are not pursuing the prosecution.</w:t>
      </w:r>
    </w:p>
    <w:p w14:paraId="0D4A4F82" w14:textId="23590BFC" w:rsidR="007342C2" w:rsidRPr="003F4B8C" w:rsidRDefault="007342C2" w:rsidP="00D64B1D">
      <w:pPr>
        <w:pStyle w:val="Quote1"/>
        <w:rPr>
          <w:lang w:eastAsia="en-AU"/>
        </w:rPr>
      </w:pPr>
      <w:r w:rsidRPr="003F4B8C">
        <w:rPr>
          <w:lang w:eastAsia="en-AU"/>
        </w:rPr>
        <w:t>34. In the circumstances therefore, it is submitted that it is not in the interests of justice for the Registrar to be appointed to do so.</w:t>
      </w:r>
      <w:r w:rsidR="00BF0F63" w:rsidRPr="003F4B8C">
        <w:rPr>
          <w:lang w:eastAsia="en-AU"/>
        </w:rPr>
        <w:t xml:space="preserve">  </w:t>
      </w:r>
    </w:p>
    <w:p w14:paraId="4926574B" w14:textId="462B8CFF" w:rsidR="00FB750A" w:rsidRDefault="00FB750A" w:rsidP="00D64B1D">
      <w:pPr>
        <w:pStyle w:val="Quote1"/>
        <w:rPr>
          <w:b/>
          <w:bCs/>
          <w:sz w:val="23"/>
          <w:szCs w:val="23"/>
          <w:lang w:eastAsia="en-AU"/>
        </w:rPr>
      </w:pPr>
      <w:r>
        <w:rPr>
          <w:b/>
          <w:bCs/>
          <w:sz w:val="23"/>
          <w:szCs w:val="23"/>
          <w:lang w:eastAsia="en-AU"/>
        </w:rPr>
        <w:t>Form of prosecution</w:t>
      </w:r>
    </w:p>
    <w:p w14:paraId="79F6436E" w14:textId="57BA6020" w:rsidR="00FB750A" w:rsidRDefault="00FB750A" w:rsidP="00D64B1D">
      <w:pPr>
        <w:pStyle w:val="Quote1"/>
        <w:rPr>
          <w:lang w:eastAsia="en-AU"/>
        </w:rPr>
      </w:pPr>
      <w:r>
        <w:rPr>
          <w:lang w:eastAsia="en-AU"/>
        </w:rPr>
        <w:t>35. Should the Court decide the prosecution is to be continued, the applicant seeks orders that he appear before the court by video link for the hearing of the prosecution.</w:t>
      </w:r>
    </w:p>
    <w:p w14:paraId="0FCCFCE3" w14:textId="0471D695" w:rsidR="00FB750A" w:rsidRDefault="00FB750A" w:rsidP="00D64B1D">
      <w:pPr>
        <w:pStyle w:val="Quote1"/>
        <w:rPr>
          <w:lang w:eastAsia="en-AU"/>
        </w:rPr>
      </w:pPr>
      <w:r>
        <w:rPr>
          <w:lang w:eastAsia="en-AU"/>
        </w:rPr>
        <w:t>36. Directions for the provision of a formal charge document and any evidence to be relied upon, including any proofs of witnesses, be served upon the applicant's legal representatives within a reasonable time.</w:t>
      </w:r>
    </w:p>
    <w:p w14:paraId="2B9DA577" w14:textId="46B56CCB" w:rsidR="00FB750A" w:rsidRDefault="00FB750A" w:rsidP="003F4B8C">
      <w:pPr>
        <w:pStyle w:val="Quote1"/>
        <w:spacing w:after="360"/>
        <w:ind w:left="734" w:right="734"/>
        <w:rPr>
          <w:lang w:eastAsia="en-AU"/>
        </w:rPr>
      </w:pPr>
      <w:r>
        <w:rPr>
          <w:lang w:eastAsia="en-AU"/>
        </w:rPr>
        <w:t xml:space="preserve">37. The filing of any further affidavit material </w:t>
      </w:r>
      <w:proofErr w:type="gramStart"/>
      <w:r>
        <w:rPr>
          <w:lang w:eastAsia="en-AU"/>
        </w:rPr>
        <w:t>ought</w:t>
      </w:r>
      <w:proofErr w:type="gramEnd"/>
      <w:r>
        <w:rPr>
          <w:lang w:eastAsia="en-AU"/>
        </w:rPr>
        <w:t xml:space="preserve"> also be given a timeframe.</w:t>
      </w:r>
      <w:r w:rsidR="00BF0F63" w:rsidRPr="00BF0F63">
        <w:rPr>
          <w:lang w:eastAsia="en-AU"/>
        </w:rPr>
        <w:t xml:space="preserve"> </w:t>
      </w:r>
    </w:p>
    <w:p w14:paraId="38A3ABC9" w14:textId="49E2BD69" w:rsidR="00FB750A" w:rsidRDefault="003F4B8C" w:rsidP="00B4757D">
      <w:pPr>
        <w:pStyle w:val="ParaNumbering"/>
      </w:pPr>
      <w:r>
        <w:rPr>
          <w:lang w:eastAsia="en-AU"/>
        </w:rPr>
        <w:t xml:space="preserve">Reeves J acknowledged that the submissions had been made by </w:t>
      </w:r>
      <w:r w:rsidRPr="00576314">
        <w:rPr>
          <w:lang w:eastAsia="en-AU"/>
        </w:rPr>
        <w:t>Mr Mensink</w:t>
      </w:r>
      <w:r>
        <w:rPr>
          <w:lang w:eastAsia="en-AU"/>
        </w:rPr>
        <w:t xml:space="preserve"> at the next case management hearing, and even went so far as to point out that “</w:t>
      </w:r>
      <w:r w:rsidRPr="00E95987">
        <w:rPr>
          <w:lang w:eastAsia="en-AU"/>
        </w:rPr>
        <w:t>they seemed to go a lot further than the form of the prosecution</w:t>
      </w:r>
      <w:r>
        <w:rPr>
          <w:lang w:eastAsia="en-AU"/>
        </w:rPr>
        <w:t xml:space="preserve">”.  </w:t>
      </w:r>
      <w:r w:rsidR="00FB750A">
        <w:rPr>
          <w:lang w:eastAsia="en-AU"/>
        </w:rPr>
        <w:t>It is clear that Reeves J</w:t>
      </w:r>
      <w:r>
        <w:rPr>
          <w:lang w:eastAsia="en-AU"/>
        </w:rPr>
        <w:t xml:space="preserve"> </w:t>
      </w:r>
      <w:r w:rsidR="00FB750A">
        <w:rPr>
          <w:lang w:eastAsia="en-AU"/>
        </w:rPr>
        <w:t>had regard to these submissions</w:t>
      </w:r>
      <w:r>
        <w:rPr>
          <w:lang w:eastAsia="en-AU"/>
        </w:rPr>
        <w:t xml:space="preserve"> but did not vacate the impugned order</w:t>
      </w:r>
      <w:r w:rsidR="00FB750A">
        <w:rPr>
          <w:lang w:eastAsia="en-AU"/>
        </w:rPr>
        <w:t>.</w:t>
      </w:r>
      <w:r w:rsidR="003F282A">
        <w:rPr>
          <w:lang w:eastAsia="en-AU"/>
        </w:rPr>
        <w:t xml:space="preserve"> </w:t>
      </w:r>
      <w:r w:rsidR="00BF0F63">
        <w:rPr>
          <w:lang w:eastAsia="en-AU"/>
        </w:rPr>
        <w:t xml:space="preserve"> </w:t>
      </w:r>
      <w:r w:rsidR="006B62E7">
        <w:rPr>
          <w:lang w:eastAsia="en-AU"/>
        </w:rPr>
        <w:t>It is therefore clear that Mr Mensink had the opportunity to be heard</w:t>
      </w:r>
      <w:r w:rsidR="00BF0F63">
        <w:rPr>
          <w:lang w:eastAsia="en-AU"/>
        </w:rPr>
        <w:t>, and in fact was heard,</w:t>
      </w:r>
      <w:r w:rsidR="006B62E7">
        <w:rPr>
          <w:lang w:eastAsia="en-AU"/>
        </w:rPr>
        <w:t xml:space="preserve"> about the order for the Registrar to take over the proceeding</w:t>
      </w:r>
      <w:r w:rsidR="00956B3D">
        <w:rPr>
          <w:lang w:eastAsia="en-AU"/>
        </w:rPr>
        <w:t>.</w:t>
      </w:r>
      <w:r w:rsidR="006B62E7">
        <w:rPr>
          <w:lang w:eastAsia="en-AU"/>
        </w:rPr>
        <w:t xml:space="preserve"> </w:t>
      </w:r>
      <w:r w:rsidR="00956B3D">
        <w:rPr>
          <w:lang w:eastAsia="en-AU"/>
        </w:rPr>
        <w:t>T</w:t>
      </w:r>
      <w:r w:rsidR="006B62E7">
        <w:rPr>
          <w:lang w:eastAsia="en-AU"/>
        </w:rPr>
        <w:t xml:space="preserve">his ground of appeal must </w:t>
      </w:r>
      <w:r w:rsidR="00956B3D">
        <w:rPr>
          <w:lang w:eastAsia="en-AU"/>
        </w:rPr>
        <w:t xml:space="preserve">therefore </w:t>
      </w:r>
      <w:r w:rsidR="006B62E7">
        <w:rPr>
          <w:lang w:eastAsia="en-AU"/>
        </w:rPr>
        <w:t>be rejected.</w:t>
      </w:r>
      <w:r w:rsidRPr="003F4B8C">
        <w:rPr>
          <w:lang w:eastAsia="en-AU"/>
        </w:rPr>
        <w:t xml:space="preserve"> </w:t>
      </w:r>
      <w:r>
        <w:rPr>
          <w:lang w:eastAsia="en-AU"/>
        </w:rPr>
        <w:t xml:space="preserve"> For completeness, </w:t>
      </w:r>
      <w:r w:rsidR="00956B3D">
        <w:rPr>
          <w:lang w:eastAsia="en-AU"/>
        </w:rPr>
        <w:t xml:space="preserve">it </w:t>
      </w:r>
      <w:r>
        <w:rPr>
          <w:lang w:eastAsia="en-AU"/>
        </w:rPr>
        <w:t>should be noted that subsequent orders were made</w:t>
      </w:r>
      <w:r w:rsidR="00525B58">
        <w:rPr>
          <w:lang w:eastAsia="en-AU"/>
        </w:rPr>
        <w:t xml:space="preserve"> to the 5 August 2019 procedural orders</w:t>
      </w:r>
      <w:r>
        <w:rPr>
          <w:lang w:eastAsia="en-AU"/>
        </w:rPr>
        <w:t xml:space="preserve">, by consent, allowing further time for the Registrar to comply with the due date for submissions </w:t>
      </w:r>
      <w:r w:rsidR="00525B58">
        <w:rPr>
          <w:lang w:eastAsia="en-AU"/>
        </w:rPr>
        <w:t>under those orders</w:t>
      </w:r>
      <w:r>
        <w:rPr>
          <w:lang w:eastAsia="en-AU"/>
        </w:rPr>
        <w:t xml:space="preserve">.  </w:t>
      </w:r>
      <w:r>
        <w:rPr>
          <w:lang w:eastAsia="en-AU"/>
        </w:rPr>
        <w:lastRenderedPageBreak/>
        <w:t xml:space="preserve">A further set of consent orders were made on 24 September 2020 that Mr Mensink was to file and serve an application for orders that he appear by video link during the hearing of the prosecution, as foreshadowed earlier in his submissions reproduced in the preceding paragraph.  </w:t>
      </w:r>
    </w:p>
    <w:p w14:paraId="01D768D0" w14:textId="7A0D2ABD" w:rsidR="00745CDD" w:rsidRDefault="006B62E7" w:rsidP="00B4757D">
      <w:pPr>
        <w:pStyle w:val="ParaNumbering"/>
      </w:pPr>
      <w:r>
        <w:rPr>
          <w:lang w:eastAsia="en-AU"/>
        </w:rPr>
        <w:t>We note that, e</w:t>
      </w:r>
      <w:r w:rsidR="007342C2">
        <w:rPr>
          <w:lang w:eastAsia="en-AU"/>
        </w:rPr>
        <w:t>ven if submissions had not</w:t>
      </w:r>
      <w:r w:rsidR="00C67D2F">
        <w:rPr>
          <w:lang w:eastAsia="en-AU"/>
        </w:rPr>
        <w:t xml:space="preserve"> ultimately</w:t>
      </w:r>
      <w:r w:rsidR="007342C2">
        <w:rPr>
          <w:lang w:eastAsia="en-AU"/>
        </w:rPr>
        <w:t xml:space="preserve"> been made</w:t>
      </w:r>
      <w:r w:rsidR="003F4B8C">
        <w:rPr>
          <w:lang w:eastAsia="en-AU"/>
        </w:rPr>
        <w:t xml:space="preserve"> about the impugned order</w:t>
      </w:r>
      <w:r w:rsidR="007342C2">
        <w:rPr>
          <w:lang w:eastAsia="en-AU"/>
        </w:rPr>
        <w:t xml:space="preserve">, the </w:t>
      </w:r>
      <w:r w:rsidR="00E73D3D">
        <w:rPr>
          <w:lang w:eastAsia="en-AU"/>
        </w:rPr>
        <w:t xml:space="preserve">presence of procedural orders allowing for those submissions to be made </w:t>
      </w:r>
      <w:r>
        <w:rPr>
          <w:lang w:eastAsia="en-AU"/>
        </w:rPr>
        <w:t xml:space="preserve">would </w:t>
      </w:r>
      <w:r w:rsidR="003F4B8C">
        <w:rPr>
          <w:lang w:eastAsia="en-AU"/>
        </w:rPr>
        <w:t xml:space="preserve">also </w:t>
      </w:r>
      <w:r>
        <w:rPr>
          <w:lang w:eastAsia="en-AU"/>
        </w:rPr>
        <w:t xml:space="preserve">have been sufficient to show </w:t>
      </w:r>
      <w:r w:rsidR="003F4B8C">
        <w:rPr>
          <w:lang w:eastAsia="en-AU"/>
        </w:rPr>
        <w:t xml:space="preserve">that </w:t>
      </w:r>
      <w:r>
        <w:rPr>
          <w:lang w:eastAsia="en-AU"/>
        </w:rPr>
        <w:t>there was</w:t>
      </w:r>
      <w:r w:rsidR="00E73D3D">
        <w:rPr>
          <w:lang w:eastAsia="en-AU"/>
        </w:rPr>
        <w:t xml:space="preserve"> no</w:t>
      </w:r>
      <w:r w:rsidR="003F282A">
        <w:rPr>
          <w:lang w:eastAsia="en-AU"/>
        </w:rPr>
        <w:t xml:space="preserve"> genuine denial of an opportunity to be heard</w:t>
      </w:r>
      <w:r w:rsidR="00F2371D">
        <w:rPr>
          <w:lang w:eastAsia="en-AU"/>
        </w:rPr>
        <w:t xml:space="preserve">, and certainly no element of the necessary practical injustice for there to be a denial of procedural fairness: </w:t>
      </w:r>
      <w:r w:rsidR="00F2371D" w:rsidRPr="00F2371D">
        <w:rPr>
          <w:i/>
          <w:lang w:eastAsia="en-AU"/>
        </w:rPr>
        <w:t>Re Minister for Immigration and Multicultural Affairs; Ex parte Lam</w:t>
      </w:r>
      <w:r w:rsidR="00F2371D">
        <w:rPr>
          <w:lang w:eastAsia="en-AU"/>
        </w:rPr>
        <w:t xml:space="preserve"> </w:t>
      </w:r>
      <w:r w:rsidR="00F2371D" w:rsidRPr="00F2371D">
        <w:rPr>
          <w:szCs w:val="24"/>
          <w:lang w:eastAsia="en-AU"/>
        </w:rPr>
        <w:t xml:space="preserve">[2003] HCA 6; </w:t>
      </w:r>
      <w:r w:rsidR="00F2371D">
        <w:rPr>
          <w:lang w:eastAsia="en-AU"/>
        </w:rPr>
        <w:t>214 CLR 1 per Gleeson</w:t>
      </w:r>
      <w:r w:rsidR="003F4B8C">
        <w:rPr>
          <w:lang w:eastAsia="en-AU"/>
        </w:rPr>
        <w:t> </w:t>
      </w:r>
      <w:r w:rsidR="00F2371D">
        <w:rPr>
          <w:lang w:eastAsia="en-AU"/>
        </w:rPr>
        <w:t>CJ at [37]</w:t>
      </w:r>
      <w:r w:rsidR="003F282A">
        <w:rPr>
          <w:lang w:eastAsia="en-AU"/>
        </w:rPr>
        <w:t xml:space="preserve">.  While the situation </w:t>
      </w:r>
      <w:r w:rsidR="00EA5762">
        <w:rPr>
          <w:lang w:eastAsia="en-AU"/>
        </w:rPr>
        <w:t xml:space="preserve">of making the impugned order first and then providing for, receiving and considering submissions as to whether it should be maintained </w:t>
      </w:r>
      <w:r w:rsidR="003F282A">
        <w:rPr>
          <w:lang w:eastAsia="en-AU"/>
        </w:rPr>
        <w:t xml:space="preserve">was unusual, that arose from the circumstances of </w:t>
      </w:r>
      <w:r w:rsidR="00D001C2">
        <w:rPr>
          <w:lang w:eastAsia="en-AU"/>
        </w:rPr>
        <w:t>the primary judge</w:t>
      </w:r>
      <w:r w:rsidR="003F282A">
        <w:rPr>
          <w:lang w:eastAsia="en-AU"/>
        </w:rPr>
        <w:t xml:space="preserve"> otherwise being deprived of the benefit of assistance from a contradictor.</w:t>
      </w:r>
    </w:p>
    <w:p w14:paraId="3FDC92CF" w14:textId="1D301039" w:rsidR="00745CDD" w:rsidRDefault="00D001C2" w:rsidP="00745CDD">
      <w:pPr>
        <w:pStyle w:val="ParaNumbering"/>
      </w:pPr>
      <w:r>
        <w:rPr>
          <w:lang w:eastAsia="en-AU"/>
        </w:rPr>
        <w:t>In all of the circumstances, t</w:t>
      </w:r>
      <w:r w:rsidR="00745CDD">
        <w:rPr>
          <w:lang w:eastAsia="en-AU"/>
        </w:rPr>
        <w:t xml:space="preserve">here </w:t>
      </w:r>
      <w:r>
        <w:rPr>
          <w:lang w:eastAsia="en-AU"/>
        </w:rPr>
        <w:t xml:space="preserve">was never any </w:t>
      </w:r>
      <w:r w:rsidR="00745CDD">
        <w:rPr>
          <w:lang w:eastAsia="en-AU"/>
        </w:rPr>
        <w:t xml:space="preserve">serious possibility of </w:t>
      </w:r>
      <w:r w:rsidR="00102274">
        <w:rPr>
          <w:lang w:eastAsia="en-AU"/>
        </w:rPr>
        <w:t>it being demonstrated that there was any denial of procedural fairness</w:t>
      </w:r>
      <w:r w:rsidR="00883C2C">
        <w:rPr>
          <w:lang w:eastAsia="en-AU"/>
        </w:rPr>
        <w:t xml:space="preserve"> in the necessary sense of practical injustice</w:t>
      </w:r>
      <w:r w:rsidR="00102274">
        <w:rPr>
          <w:lang w:eastAsia="en-AU"/>
        </w:rPr>
        <w:t xml:space="preserve">, nor in sustaining any </w:t>
      </w:r>
      <w:r w:rsidR="00745CDD">
        <w:rPr>
          <w:lang w:eastAsia="en-AU"/>
        </w:rPr>
        <w:t xml:space="preserve">argument </w:t>
      </w:r>
      <w:r w:rsidR="00102274">
        <w:rPr>
          <w:lang w:eastAsia="en-AU"/>
        </w:rPr>
        <w:t>as to injustice</w:t>
      </w:r>
      <w:r w:rsidR="00745CDD">
        <w:rPr>
          <w:lang w:eastAsia="en-AU"/>
        </w:rPr>
        <w:t xml:space="preserve"> </w:t>
      </w:r>
      <w:r w:rsidR="00E73D3D">
        <w:rPr>
          <w:lang w:eastAsia="en-AU"/>
        </w:rPr>
        <w:t>(</w:t>
      </w:r>
      <w:r w:rsidR="00745CDD">
        <w:rPr>
          <w:lang w:eastAsia="en-AU"/>
        </w:rPr>
        <w:t>let alone substantial injustice</w:t>
      </w:r>
      <w:r w:rsidR="00E73D3D">
        <w:rPr>
          <w:lang w:eastAsia="en-AU"/>
        </w:rPr>
        <w:t>)</w:t>
      </w:r>
      <w:r w:rsidR="00745CDD">
        <w:rPr>
          <w:lang w:eastAsia="en-AU"/>
        </w:rPr>
        <w:t xml:space="preserve"> in refusing leave in those circumstances. </w:t>
      </w:r>
      <w:r w:rsidR="00EA5762">
        <w:rPr>
          <w:lang w:eastAsia="en-AU"/>
        </w:rPr>
        <w:t xml:space="preserve"> </w:t>
      </w:r>
      <w:r w:rsidR="00745CDD">
        <w:rPr>
          <w:lang w:eastAsia="en-AU"/>
        </w:rPr>
        <w:t>Leave to appeal upon that ground must therefore be refused.</w:t>
      </w:r>
    </w:p>
    <w:p w14:paraId="0BF8DF3A" w14:textId="77777777" w:rsidR="001B4BB6" w:rsidRDefault="001B4BB6" w:rsidP="00745CDD">
      <w:pPr>
        <w:pStyle w:val="ParaNumbering"/>
      </w:pPr>
      <w:r>
        <w:rPr>
          <w:lang w:eastAsia="en-AU"/>
        </w:rPr>
        <w:t xml:space="preserve">Alternatively, if the proper construction of s 24(1C) of the </w:t>
      </w:r>
      <w:r w:rsidRPr="001B4BB6">
        <w:rPr>
          <w:i/>
          <w:lang w:eastAsia="en-AU"/>
        </w:rPr>
        <w:t>Act</w:t>
      </w:r>
      <w:r>
        <w:rPr>
          <w:lang w:eastAsia="en-AU"/>
        </w:rPr>
        <w:t xml:space="preserve"> means that no leave is required, we would </w:t>
      </w:r>
      <w:r w:rsidR="00140C15">
        <w:rPr>
          <w:lang w:eastAsia="en-AU"/>
        </w:rPr>
        <w:t xml:space="preserve">treat the draft notice of appeal as though it was a filed notice of appeal and </w:t>
      </w:r>
      <w:r>
        <w:rPr>
          <w:lang w:eastAsia="en-AU"/>
        </w:rPr>
        <w:t>conclude that this ground must fail.</w:t>
      </w:r>
    </w:p>
    <w:p w14:paraId="65987E3F" w14:textId="77777777" w:rsidR="00745CDD" w:rsidRDefault="00745CDD" w:rsidP="00745CDD">
      <w:pPr>
        <w:pStyle w:val="Heading2"/>
      </w:pPr>
      <w:r>
        <w:t xml:space="preserve">Ground </w:t>
      </w:r>
      <w:r w:rsidR="00001297">
        <w:t>2,</w:t>
      </w:r>
      <w:r>
        <w:t xml:space="preserve"> QUD 53 of 2021</w:t>
      </w:r>
      <w:r w:rsidR="00001297">
        <w:t xml:space="preserve">: </w:t>
      </w:r>
      <w:r w:rsidR="00945859">
        <w:t xml:space="preserve">Error in determining there was </w:t>
      </w:r>
      <w:r w:rsidR="00001297">
        <w:t xml:space="preserve">power </w:t>
      </w:r>
      <w:r w:rsidR="00945859">
        <w:t xml:space="preserve">for the Registrar </w:t>
      </w:r>
      <w:r w:rsidR="00001297">
        <w:t xml:space="preserve">to take over the contempt proceeding </w:t>
      </w:r>
    </w:p>
    <w:p w14:paraId="26303059" w14:textId="77777777" w:rsidR="003E2957" w:rsidRDefault="003E2957" w:rsidP="003E2957">
      <w:pPr>
        <w:pStyle w:val="Heading2"/>
      </w:pPr>
      <w:r>
        <w:t xml:space="preserve">Ground 1, QUD 361 of 2021: </w:t>
      </w:r>
      <w:r w:rsidR="00E73D3D">
        <w:t>Error in</w:t>
      </w:r>
      <w:r>
        <w:t xml:space="preserve"> concluding that it was open to take a hybrid of the procedures envisaged by </w:t>
      </w:r>
      <w:proofErr w:type="spellStart"/>
      <w:proofErr w:type="gramStart"/>
      <w:r>
        <w:t>rr</w:t>
      </w:r>
      <w:proofErr w:type="spellEnd"/>
      <w:proofErr w:type="gramEnd"/>
      <w:r>
        <w:t xml:space="preserve"> 42.11 and 42.16 of the </w:t>
      </w:r>
      <w:r w:rsidRPr="00AE7BF0">
        <w:rPr>
          <w:i/>
        </w:rPr>
        <w:t>Rules</w:t>
      </w:r>
    </w:p>
    <w:p w14:paraId="21BB8AAB" w14:textId="77777777" w:rsidR="00745CDD" w:rsidRDefault="003E2957" w:rsidP="00745CDD">
      <w:pPr>
        <w:pStyle w:val="ParaNumbering"/>
      </w:pPr>
      <w:r>
        <w:t>P</w:t>
      </w:r>
      <w:r w:rsidR="00C574E9">
        <w:t xml:space="preserve">roposed ground </w:t>
      </w:r>
      <w:r>
        <w:t xml:space="preserve">2 in </w:t>
      </w:r>
      <w:r w:rsidR="0039716D">
        <w:t xml:space="preserve">appeal </w:t>
      </w:r>
      <w:r>
        <w:t xml:space="preserve">QUD 53 of 2021 </w:t>
      </w:r>
      <w:r w:rsidR="00C574E9">
        <w:t xml:space="preserve">depends upon </w:t>
      </w:r>
      <w:r w:rsidR="00AE7BF0">
        <w:t xml:space="preserve">either </w:t>
      </w:r>
      <w:r w:rsidR="0039716D">
        <w:t>an assert</w:t>
      </w:r>
      <w:r w:rsidR="00AE7BF0">
        <w:t xml:space="preserve">ion that </w:t>
      </w:r>
      <w:r w:rsidR="0039716D">
        <w:t>the primary judge</w:t>
      </w:r>
      <w:r w:rsidR="00D669B1">
        <w:t xml:space="preserve"> </w:t>
      </w:r>
      <w:r w:rsidR="00AE7BF0">
        <w:t xml:space="preserve">relied upon an incorrect principle </w:t>
      </w:r>
      <w:r w:rsidR="0039716D">
        <w:t>because</w:t>
      </w:r>
      <w:r w:rsidR="00843D1B">
        <w:t>, it is said,</w:t>
      </w:r>
      <w:r w:rsidR="0039716D">
        <w:t xml:space="preserve"> there is no power to order that a </w:t>
      </w:r>
      <w:r w:rsidR="00E73D3D">
        <w:t>R</w:t>
      </w:r>
      <w:r w:rsidR="0039716D">
        <w:t>egistrar take over a contempt proceeding</w:t>
      </w:r>
      <w:r w:rsidR="00D669B1">
        <w:t xml:space="preserve">, and/or </w:t>
      </w:r>
      <w:r w:rsidR="00AE7BF0">
        <w:t xml:space="preserve">an assertion that </w:t>
      </w:r>
      <w:r w:rsidR="0039716D">
        <w:t xml:space="preserve">the circumstances in which a Registrar may conduct such proceedings are exhaustively provided for by r 42.16.  </w:t>
      </w:r>
      <w:r w:rsidR="00AE7BF0">
        <w:t>Because t</w:t>
      </w:r>
      <w:r w:rsidR="0039716D">
        <w:t>he underl</w:t>
      </w:r>
      <w:r w:rsidR="00D21F72">
        <w:t>y</w:t>
      </w:r>
      <w:r w:rsidR="0039716D">
        <w:t>ing proposition is of some importance</w:t>
      </w:r>
      <w:r w:rsidR="00AE7BF0">
        <w:t xml:space="preserve"> we would grant </w:t>
      </w:r>
      <w:r w:rsidR="0039716D">
        <w:t xml:space="preserve">leave </w:t>
      </w:r>
      <w:r w:rsidR="00AE7BF0">
        <w:t>to rely upon this ground if that is required</w:t>
      </w:r>
      <w:r w:rsidR="0039716D">
        <w:t xml:space="preserve">.  </w:t>
      </w:r>
    </w:p>
    <w:p w14:paraId="32C38EC6" w14:textId="1C7411B9" w:rsidR="003E2957" w:rsidRDefault="00A13FD2" w:rsidP="00745CDD">
      <w:pPr>
        <w:pStyle w:val="ParaNumbering"/>
      </w:pPr>
      <w:r>
        <w:t>G</w:t>
      </w:r>
      <w:r w:rsidR="003E2957">
        <w:t xml:space="preserve">round 1 in appeal QUD 361 of 2021 depends upon the rules for contempt proceedings </w:t>
      </w:r>
      <w:r w:rsidR="00BD402C">
        <w:t xml:space="preserve">in </w:t>
      </w:r>
      <w:proofErr w:type="spellStart"/>
      <w:proofErr w:type="gramStart"/>
      <w:r w:rsidR="00BD402C">
        <w:t>rr</w:t>
      </w:r>
      <w:proofErr w:type="spellEnd"/>
      <w:proofErr w:type="gramEnd"/>
      <w:r w:rsidR="00BD402C">
        <w:t xml:space="preserve"> 42.11 and 42.16 </w:t>
      </w:r>
      <w:r w:rsidR="003E2957">
        <w:t xml:space="preserve">being read as being proscriptive as to the way in which contempt </w:t>
      </w:r>
      <w:r w:rsidR="003E2957">
        <w:lastRenderedPageBreak/>
        <w:t xml:space="preserve">proceedings in this Court must be commenced and continued.  </w:t>
      </w:r>
      <w:r w:rsidR="00264779">
        <w:t xml:space="preserve">As with </w:t>
      </w:r>
      <w:r w:rsidR="00EF57DE">
        <w:t xml:space="preserve">ground 2 in appeal QUD 53 of 2021, the substance of this ground concerns </w:t>
      </w:r>
      <w:r w:rsidR="000849D4">
        <w:t xml:space="preserve">an asserted absence of </w:t>
      </w:r>
      <w:r w:rsidR="00EF57DE">
        <w:t>power to make the impugned order</w:t>
      </w:r>
      <w:r w:rsidR="000849D4">
        <w:t xml:space="preserve">. </w:t>
      </w:r>
    </w:p>
    <w:p w14:paraId="134914CE" w14:textId="77777777" w:rsidR="00264779" w:rsidRDefault="00264779" w:rsidP="00264779">
      <w:pPr>
        <w:pStyle w:val="ParaNumbering"/>
      </w:pPr>
      <w:r>
        <w:t xml:space="preserve">While the </w:t>
      </w:r>
      <w:r w:rsidRPr="004C56D1">
        <w:rPr>
          <w:i/>
        </w:rPr>
        <w:t>Act</w:t>
      </w:r>
      <w:r w:rsidRPr="00720DF9">
        <w:t xml:space="preserve"> does</w:t>
      </w:r>
      <w:r>
        <w:t xml:space="preserve"> not in terms deal with the discontinuance of proceedings, s 59(1) provides:</w:t>
      </w:r>
    </w:p>
    <w:p w14:paraId="75AFD243" w14:textId="77777777" w:rsidR="00264779" w:rsidRPr="00357E5F" w:rsidRDefault="00264779" w:rsidP="00264779">
      <w:pPr>
        <w:pStyle w:val="Quote1"/>
        <w:spacing w:after="360"/>
        <w:ind w:left="734" w:right="734"/>
        <w:rPr>
          <w:sz w:val="28"/>
        </w:rPr>
      </w:pPr>
      <w:r w:rsidRPr="00357E5F">
        <w:rPr>
          <w:lang w:eastAsia="en-AU"/>
        </w:rPr>
        <w:t>The Judges of the Court or a majority of them may make Rules of</w:t>
      </w:r>
      <w:r>
        <w:rPr>
          <w:lang w:eastAsia="en-AU"/>
        </w:rPr>
        <w:t xml:space="preserve"> </w:t>
      </w:r>
      <w:r w:rsidRPr="00357E5F">
        <w:rPr>
          <w:lang w:eastAsia="en-AU"/>
        </w:rPr>
        <w:t>Court, not inconsistent with this Act, making provision for or in</w:t>
      </w:r>
      <w:r>
        <w:rPr>
          <w:lang w:eastAsia="en-AU"/>
        </w:rPr>
        <w:t xml:space="preserve"> </w:t>
      </w:r>
      <w:r w:rsidRPr="00357E5F">
        <w:rPr>
          <w:lang w:eastAsia="en-AU"/>
        </w:rPr>
        <w:t>relation to the practice and procedure to be followed in the Court</w:t>
      </w:r>
      <w:r>
        <w:rPr>
          <w:lang w:eastAsia="en-AU"/>
        </w:rPr>
        <w:t xml:space="preserve"> </w:t>
      </w:r>
      <w:r w:rsidRPr="00357E5F">
        <w:rPr>
          <w:lang w:eastAsia="en-AU"/>
        </w:rPr>
        <w:t>(including the practice and procedure to be followed in Registries</w:t>
      </w:r>
      <w:r>
        <w:rPr>
          <w:lang w:eastAsia="en-AU"/>
        </w:rPr>
        <w:t xml:space="preserve"> </w:t>
      </w:r>
      <w:r w:rsidRPr="00357E5F">
        <w:rPr>
          <w:lang w:eastAsia="en-AU"/>
        </w:rPr>
        <w:t>of the Court) and for or in relation to all matters and things</w:t>
      </w:r>
      <w:r>
        <w:rPr>
          <w:lang w:eastAsia="en-AU"/>
        </w:rPr>
        <w:t xml:space="preserve"> </w:t>
      </w:r>
      <w:r w:rsidRPr="00357E5F">
        <w:rPr>
          <w:lang w:eastAsia="en-AU"/>
        </w:rPr>
        <w:t>incidental to any such practice or procedure, or necessary or</w:t>
      </w:r>
      <w:r>
        <w:rPr>
          <w:lang w:eastAsia="en-AU"/>
        </w:rPr>
        <w:t xml:space="preserve"> </w:t>
      </w:r>
      <w:r w:rsidRPr="00357E5F">
        <w:rPr>
          <w:lang w:eastAsia="en-AU"/>
        </w:rPr>
        <w:t>convenient to be prescribed for the conduct of any business of the</w:t>
      </w:r>
      <w:r>
        <w:rPr>
          <w:lang w:eastAsia="en-AU"/>
        </w:rPr>
        <w:t xml:space="preserve"> </w:t>
      </w:r>
      <w:r w:rsidRPr="00357E5F">
        <w:rPr>
          <w:lang w:eastAsia="en-AU"/>
        </w:rPr>
        <w:t>Court.</w:t>
      </w:r>
    </w:p>
    <w:p w14:paraId="752253B7" w14:textId="77777777" w:rsidR="00264779" w:rsidRDefault="00264779" w:rsidP="00F2371D">
      <w:pPr>
        <w:pStyle w:val="ParaNumbering"/>
      </w:pPr>
      <w:r>
        <w:t xml:space="preserve">Plainly enough, the means by which a proceeding in this Court can be brought to an end without a hearing and adjudication is a matter of practice and procedure and thus able to be addressed by any Rules of Court made in accordance with s 59(1).  </w:t>
      </w:r>
    </w:p>
    <w:p w14:paraId="40F28B97" w14:textId="77777777" w:rsidR="00264779" w:rsidRDefault="00264779" w:rsidP="00264779">
      <w:pPr>
        <w:pStyle w:val="ParaNumbering"/>
      </w:pPr>
      <w:r>
        <w:t xml:space="preserve">The </w:t>
      </w:r>
      <w:r w:rsidRPr="00434D04">
        <w:rPr>
          <w:i/>
        </w:rPr>
        <w:t xml:space="preserve">Federal Court </w:t>
      </w:r>
      <w:r w:rsidRPr="00434D04">
        <w:rPr>
          <w:b/>
          <w:i/>
        </w:rPr>
        <w:t>Rules</w:t>
      </w:r>
      <w:r w:rsidRPr="00434D04">
        <w:rPr>
          <w:i/>
        </w:rPr>
        <w:t xml:space="preserve"> 2011 (</w:t>
      </w:r>
      <w:proofErr w:type="spellStart"/>
      <w:r w:rsidRPr="00434D04">
        <w:rPr>
          <w:i/>
        </w:rPr>
        <w:t>Cth</w:t>
      </w:r>
      <w:proofErr w:type="spellEnd"/>
      <w:r w:rsidRPr="00434D04">
        <w:rPr>
          <w:i/>
        </w:rPr>
        <w:t>)</w:t>
      </w:r>
      <w:r w:rsidRPr="00815022">
        <w:rPr>
          <w:i/>
        </w:rPr>
        <w:t xml:space="preserve"> </w:t>
      </w:r>
      <w:r w:rsidRPr="00357E5F">
        <w:t>are</w:t>
      </w:r>
      <w:r w:rsidRPr="00815022">
        <w:rPr>
          <w:i/>
        </w:rPr>
        <w:t xml:space="preserve"> </w:t>
      </w:r>
      <w:r>
        <w:t xml:space="preserve">the current iteration of the Rules of Court contemplated by </w:t>
      </w:r>
      <w:r w:rsidRPr="00434D04">
        <w:t>s 59(1)</w:t>
      </w:r>
      <w:r>
        <w:t xml:space="preserve"> of the </w:t>
      </w:r>
      <w:r w:rsidRPr="004C7580">
        <w:rPr>
          <w:i/>
        </w:rPr>
        <w:t>Act</w:t>
      </w:r>
      <w:r>
        <w:t xml:space="preserve">, and apply to all proceedings started in the Court on or after 1 August 2011: </w:t>
      </w:r>
      <w:r w:rsidRPr="00434D04">
        <w:t>r 1.04</w:t>
      </w:r>
      <w:r>
        <w:t xml:space="preserve">.  The </w:t>
      </w:r>
      <w:r w:rsidRPr="00815022">
        <w:rPr>
          <w:i/>
        </w:rPr>
        <w:t>Rules</w:t>
      </w:r>
      <w:r>
        <w:t xml:space="preserve"> are amended by the Judges of the Court from time to time.  </w:t>
      </w:r>
    </w:p>
    <w:p w14:paraId="33E2004A" w14:textId="77777777" w:rsidR="000849D4" w:rsidRDefault="00264779" w:rsidP="00264779">
      <w:pPr>
        <w:pStyle w:val="ParaNumbering"/>
      </w:pPr>
      <w:r>
        <w:t xml:space="preserve">Division 26.2 of the </w:t>
      </w:r>
      <w:r w:rsidRPr="004C56D1">
        <w:rPr>
          <w:i/>
        </w:rPr>
        <w:t>Rules</w:t>
      </w:r>
      <w:r>
        <w:t xml:space="preserve"> deals with the ending of proceedings early, including withdrawal and discontinuance of first instance proceedings, with Division 36.6 dealing with ending appeals and cross-appeals.  </w:t>
      </w:r>
    </w:p>
    <w:p w14:paraId="0031E7F6" w14:textId="71149246" w:rsidR="00264779" w:rsidRDefault="00264779" w:rsidP="00264779">
      <w:pPr>
        <w:pStyle w:val="ParaNumbering"/>
      </w:pPr>
      <w:r>
        <w:t>R</w:t>
      </w:r>
      <w:r w:rsidR="004C7580">
        <w:t>ule</w:t>
      </w:r>
      <w:r w:rsidRPr="00434D04">
        <w:t> 26.12</w:t>
      </w:r>
      <w:r>
        <w:t xml:space="preserve"> provides that a party may discontinue a proceeding, or any part of a proceeding, by filing a notice of discontinuance </w:t>
      </w:r>
      <w:r w:rsidR="00462238">
        <w:t xml:space="preserve">in the following circumstances: </w:t>
      </w:r>
      <w:r>
        <w:t>without leave or consent before the return date of an originating application or before pleadings have closed for a proceeding continuing on pleadings</w:t>
      </w:r>
      <w:r w:rsidR="00462238">
        <w:t>;</w:t>
      </w:r>
      <w:r>
        <w:t xml:space="preserve"> with the opposing parties consent prior to judgment</w:t>
      </w:r>
      <w:r w:rsidR="00462238">
        <w:t>;</w:t>
      </w:r>
      <w:r>
        <w:t xml:space="preserve"> or</w:t>
      </w:r>
      <w:r w:rsidR="00462238">
        <w:t>,</w:t>
      </w:r>
      <w:r>
        <w:t xml:space="preserve"> with the leave of the Court.  Thus</w:t>
      </w:r>
      <w:r w:rsidR="00462238">
        <w:t>,</w:t>
      </w:r>
      <w:r>
        <w:t xml:space="preserve"> a proceeding remains on foot until one of those steps </w:t>
      </w:r>
      <w:r w:rsidR="00956B3D">
        <w:t xml:space="preserve">has </w:t>
      </w:r>
      <w:r>
        <w:t xml:space="preserve">been taken.  </w:t>
      </w:r>
    </w:p>
    <w:p w14:paraId="159C6A03" w14:textId="77777777" w:rsidR="000849D4" w:rsidRDefault="000849D4" w:rsidP="00264779">
      <w:pPr>
        <w:pStyle w:val="ParaNumbering"/>
      </w:pPr>
      <w:r>
        <w:t xml:space="preserve">The first of those options of filing a notice of discontinuance without leave or consent was </w:t>
      </w:r>
      <w:r w:rsidR="00853C94">
        <w:t xml:space="preserve">not </w:t>
      </w:r>
      <w:r>
        <w:t xml:space="preserve">applicable.  The contempt proceeding was </w:t>
      </w:r>
      <w:r w:rsidR="00853C94">
        <w:t>not</w:t>
      </w:r>
      <w:r>
        <w:t xml:space="preserve"> brought by an originating application, although </w:t>
      </w:r>
      <w:r w:rsidR="00853C94">
        <w:t xml:space="preserve">it was </w:t>
      </w:r>
      <w:r>
        <w:t>brought within</w:t>
      </w:r>
      <w:r w:rsidR="00AE190D">
        <w:t xml:space="preserve"> a proceeding commenced by an originating application, being</w:t>
      </w:r>
      <w:r>
        <w:t xml:space="preserve"> the SPLs </w:t>
      </w:r>
      <w:r w:rsidR="00AE190D">
        <w:t xml:space="preserve">ex parte </w:t>
      </w:r>
      <w:r>
        <w:t xml:space="preserve">proceeding seeking </w:t>
      </w:r>
      <w:r w:rsidR="00853C94">
        <w:t>the issue of summons for, inter alia, examination</w:t>
      </w:r>
      <w:r w:rsidR="00140C15">
        <w:t xml:space="preserve"> summonse</w:t>
      </w:r>
      <w:r w:rsidR="00853C94">
        <w:t>s</w:t>
      </w:r>
      <w:r w:rsidR="00140C15">
        <w:t xml:space="preserve"> to issue</w:t>
      </w:r>
      <w:r w:rsidR="00853C94">
        <w:t xml:space="preserve">.  </w:t>
      </w:r>
      <w:r w:rsidR="00AE190D">
        <w:t>I</w:t>
      </w:r>
      <w:r w:rsidR="00853C94">
        <w:t>n any event</w:t>
      </w:r>
      <w:r w:rsidR="00AE190D">
        <w:t>,</w:t>
      </w:r>
      <w:r w:rsidR="00853C94">
        <w:t xml:space="preserve"> the summons addressed to </w:t>
      </w:r>
      <w:r w:rsidR="00853C94" w:rsidRPr="00576314">
        <w:t>Mr Mensink</w:t>
      </w:r>
      <w:r w:rsidR="00853C94">
        <w:t xml:space="preserve"> </w:t>
      </w:r>
      <w:r w:rsidR="004C7580">
        <w:t>was</w:t>
      </w:r>
      <w:r w:rsidR="00AE190D">
        <w:t xml:space="preserve"> </w:t>
      </w:r>
      <w:r w:rsidR="00853C94">
        <w:t>issued after the first return date of that originating application.  That leaves the filing of a notice of dismissal by consent, or by the leave of the Court.</w:t>
      </w:r>
    </w:p>
    <w:p w14:paraId="2C9BBDEC" w14:textId="77777777" w:rsidR="00264779" w:rsidRDefault="00783300" w:rsidP="00264779">
      <w:pPr>
        <w:pStyle w:val="ParaNumbering"/>
      </w:pPr>
      <w:r>
        <w:lastRenderedPageBreak/>
        <w:t xml:space="preserve">While notices of discontinuance were filed for three bills of costs concerning </w:t>
      </w:r>
      <w:r w:rsidRPr="00576314">
        <w:t>Mr Mensink</w:t>
      </w:r>
      <w:r>
        <w:t>, a</w:t>
      </w:r>
      <w:r w:rsidR="00264779">
        <w:t xml:space="preserve">t no time has any notice of discontinuance been filed in relation to the contempt proceeding, let alone one with consent or by leave, and certainly not before the order made by Reeves J that the contempt proceeding be taken over by the Registrar.  For so long as that order stands, consent to discontinuance on the part of the Registrar is unlikely to be forthcoming.  </w:t>
      </w:r>
      <w:r w:rsidR="00853C94">
        <w:t xml:space="preserve">The grant of leave to discontinue is not presently likely either.  </w:t>
      </w:r>
      <w:r w:rsidR="00264779">
        <w:t xml:space="preserve">Accordingly, the argument that there was nothing for the </w:t>
      </w:r>
      <w:r w:rsidR="004C7580">
        <w:t xml:space="preserve">Registrar </w:t>
      </w:r>
      <w:r w:rsidR="00264779">
        <w:t xml:space="preserve">to take over must fail.  </w:t>
      </w:r>
    </w:p>
    <w:p w14:paraId="6DD1DDDB" w14:textId="2FB59AFB" w:rsidR="00264779" w:rsidRDefault="004C7580" w:rsidP="004C7580">
      <w:pPr>
        <w:pStyle w:val="ParaNumbering"/>
      </w:pPr>
      <w:r>
        <w:t>T</w:t>
      </w:r>
      <w:r w:rsidR="00264779">
        <w:t xml:space="preserve">he </w:t>
      </w:r>
      <w:r w:rsidR="00853C94">
        <w:t>remaining</w:t>
      </w:r>
      <w:r w:rsidR="00264779">
        <w:t xml:space="preserve"> arguments </w:t>
      </w:r>
      <w:r>
        <w:t xml:space="preserve">by </w:t>
      </w:r>
      <w:r w:rsidRPr="00576314">
        <w:t>Mr Mensink</w:t>
      </w:r>
      <w:r>
        <w:t xml:space="preserve"> </w:t>
      </w:r>
      <w:r w:rsidR="00F2371D">
        <w:t>on these grounds</w:t>
      </w:r>
      <w:r w:rsidR="00956B3D">
        <w:t>,</w:t>
      </w:r>
      <w:r w:rsidR="00F2371D">
        <w:t xml:space="preserve"> </w:t>
      </w:r>
      <w:r w:rsidR="00956B3D">
        <w:t>based on</w:t>
      </w:r>
      <w:r>
        <w:t xml:space="preserve"> the power of the </w:t>
      </w:r>
      <w:r w:rsidR="00956B3D">
        <w:t xml:space="preserve">Court to order the </w:t>
      </w:r>
      <w:r>
        <w:t>Registrar to take over the contempt proceeding</w:t>
      </w:r>
      <w:r w:rsidR="00956B3D">
        <w:t>,</w:t>
      </w:r>
      <w:r>
        <w:t xml:space="preserve"> </w:t>
      </w:r>
      <w:r w:rsidR="008C74BE">
        <w:t>turn upon a misunderstanding of the nature</w:t>
      </w:r>
      <w:r w:rsidR="006623D1">
        <w:t xml:space="preserve"> of</w:t>
      </w:r>
      <w:r w:rsidR="008C74BE">
        <w:t xml:space="preserve"> the </w:t>
      </w:r>
      <w:r w:rsidR="008C74BE" w:rsidRPr="00344C18">
        <w:rPr>
          <w:i/>
        </w:rPr>
        <w:t>Rules</w:t>
      </w:r>
      <w:r w:rsidR="009E50C5">
        <w:t xml:space="preserve">, </w:t>
      </w:r>
      <w:r w:rsidR="008C74BE">
        <w:t xml:space="preserve">the </w:t>
      </w:r>
      <w:r w:rsidR="009E50C5">
        <w:t xml:space="preserve">statutory </w:t>
      </w:r>
      <w:r w:rsidR="008C74BE">
        <w:t>context in which they are made</w:t>
      </w:r>
      <w:r w:rsidR="009E50C5">
        <w:t>, their terms, their ordinary operation</w:t>
      </w:r>
      <w:r w:rsidR="00853C94">
        <w:t xml:space="preserve"> and the freedom given to a judge to depart from them</w:t>
      </w:r>
      <w:r w:rsidR="008C74BE">
        <w:t xml:space="preserve">.  The starting point is the wide powers bestowed upon judges of this Court by </w:t>
      </w:r>
      <w:r w:rsidR="008C74BE" w:rsidRPr="00434D04">
        <w:t>s 23</w:t>
      </w:r>
      <w:r w:rsidR="008C74BE">
        <w:t xml:space="preserve"> of the </w:t>
      </w:r>
      <w:r w:rsidR="008C74BE" w:rsidRPr="00344C18">
        <w:rPr>
          <w:i/>
        </w:rPr>
        <w:t>Act</w:t>
      </w:r>
      <w:r w:rsidR="009E50C5">
        <w:t xml:space="preserve">.  Section 23 </w:t>
      </w:r>
      <w:r w:rsidR="008C74BE">
        <w:t xml:space="preserve">gives the Court </w:t>
      </w:r>
      <w:r>
        <w:t xml:space="preserve">(and thus a judge) </w:t>
      </w:r>
      <w:r w:rsidR="008C74BE">
        <w:t xml:space="preserve">power in relation to matters </w:t>
      </w:r>
      <w:r>
        <w:t xml:space="preserve">within </w:t>
      </w:r>
      <w:r w:rsidR="008C74BE">
        <w:t xml:space="preserve">jurisdiction to make orders as </w:t>
      </w:r>
      <w:r w:rsidR="009E50C5">
        <w:t>thought to be</w:t>
      </w:r>
      <w:r w:rsidR="008C74BE">
        <w:t xml:space="preserve"> appropriate.  No point has been raised as to jurisdiction, nor could there be in the present circumstances.  </w:t>
      </w:r>
      <w:r w:rsidR="00264779">
        <w:t>It is i</w:t>
      </w:r>
      <w:r w:rsidR="008C74BE">
        <w:t>n the context of that wide power to make any appropriate order within jurisdiction</w:t>
      </w:r>
      <w:r w:rsidR="00264779">
        <w:t xml:space="preserve"> that </w:t>
      </w:r>
      <w:r w:rsidR="008C74BE">
        <w:t>s </w:t>
      </w:r>
      <w:r w:rsidR="00D669B1">
        <w:t>59</w:t>
      </w:r>
      <w:r w:rsidR="00CB592E">
        <w:t xml:space="preserve">(1) of </w:t>
      </w:r>
      <w:r w:rsidR="00264779" w:rsidRPr="008204C1">
        <w:rPr>
          <w:i/>
        </w:rPr>
        <w:t>Act</w:t>
      </w:r>
      <w:r w:rsidR="00264779">
        <w:t xml:space="preserve">, reproduced above, </w:t>
      </w:r>
      <w:r w:rsidR="00344C18">
        <w:t xml:space="preserve">and the </w:t>
      </w:r>
      <w:r w:rsidR="00344C18" w:rsidRPr="00344C18">
        <w:rPr>
          <w:i/>
        </w:rPr>
        <w:t>Rules</w:t>
      </w:r>
      <w:r w:rsidR="00344C18">
        <w:t xml:space="preserve"> themselves, </w:t>
      </w:r>
      <w:r w:rsidR="00264779">
        <w:t xml:space="preserve">must be considered.  </w:t>
      </w:r>
    </w:p>
    <w:p w14:paraId="273905C8" w14:textId="10FD4105" w:rsidR="006E1F6B" w:rsidRDefault="00264779" w:rsidP="004C7580">
      <w:pPr>
        <w:pStyle w:val="ParaNumbering"/>
      </w:pPr>
      <w:r>
        <w:t xml:space="preserve">As </w:t>
      </w:r>
      <w:r w:rsidRPr="00434D04">
        <w:t>s 51(1)</w:t>
      </w:r>
      <w:r w:rsidR="00434D04">
        <w:t xml:space="preserve"> of the </w:t>
      </w:r>
      <w:r w:rsidR="00434D04" w:rsidRPr="004C7580">
        <w:rPr>
          <w:i/>
        </w:rPr>
        <w:t>Act</w:t>
      </w:r>
      <w:r>
        <w:t xml:space="preserve"> and the terms of the </w:t>
      </w:r>
      <w:r w:rsidRPr="000553E1">
        <w:rPr>
          <w:i/>
        </w:rPr>
        <w:t>Rules</w:t>
      </w:r>
      <w:r>
        <w:t xml:space="preserve"> themselves make clear, t</w:t>
      </w:r>
      <w:r w:rsidR="00CB592E">
        <w:t xml:space="preserve">he </w:t>
      </w:r>
      <w:r w:rsidR="00CB592E" w:rsidRPr="000553E1">
        <w:rPr>
          <w:i/>
        </w:rPr>
        <w:t>Rules</w:t>
      </w:r>
      <w:r w:rsidR="00CB592E">
        <w:t xml:space="preserve"> </w:t>
      </w:r>
      <w:r w:rsidR="00604423">
        <w:t>are</w:t>
      </w:r>
      <w:r w:rsidR="00115F19">
        <w:t>,</w:t>
      </w:r>
      <w:r w:rsidR="00604423">
        <w:t xml:space="preserve"> and are </w:t>
      </w:r>
      <w:r w:rsidR="00115F19">
        <w:t xml:space="preserve">required </w:t>
      </w:r>
      <w:r w:rsidR="00604423">
        <w:t>to be</w:t>
      </w:r>
      <w:r w:rsidR="00115F19">
        <w:t>,</w:t>
      </w:r>
      <w:r w:rsidR="00604423">
        <w:t xml:space="preserve"> directed to necessary and convenient practice and procedure, including incidental matters.  </w:t>
      </w:r>
      <w:r w:rsidR="006E1F6B">
        <w:t>While the</w:t>
      </w:r>
      <w:r w:rsidR="003D24BB">
        <w:t xml:space="preserve"> </w:t>
      </w:r>
      <w:r w:rsidR="003D24BB" w:rsidRPr="000553E1">
        <w:rPr>
          <w:i/>
        </w:rPr>
        <w:t>Rules</w:t>
      </w:r>
      <w:r w:rsidR="006E1F6B">
        <w:t xml:space="preserve"> </w:t>
      </w:r>
      <w:r w:rsidR="00F457E2">
        <w:t xml:space="preserve">provide a convenient template for the </w:t>
      </w:r>
      <w:r w:rsidR="000553E1">
        <w:t xml:space="preserve">generally predictable </w:t>
      </w:r>
      <w:r w:rsidR="00F457E2">
        <w:t xml:space="preserve">exercise of power bestowed by the </w:t>
      </w:r>
      <w:r w:rsidR="00F457E2" w:rsidRPr="004C7580">
        <w:rPr>
          <w:i/>
        </w:rPr>
        <w:t>Act</w:t>
      </w:r>
      <w:r w:rsidR="000553E1">
        <w:t xml:space="preserve"> or by</w:t>
      </w:r>
      <w:r w:rsidR="000553E1" w:rsidRPr="000553E1">
        <w:t xml:space="preserve"> </w:t>
      </w:r>
      <w:r w:rsidR="000553E1">
        <w:t>any other statutory or implied source</w:t>
      </w:r>
      <w:r w:rsidR="00F457E2">
        <w:t xml:space="preserve">, </w:t>
      </w:r>
      <w:r w:rsidR="003D24BB">
        <w:t xml:space="preserve">including the ordinary requirements imposed upon litigants, </w:t>
      </w:r>
      <w:r w:rsidR="006E1F6B">
        <w:t xml:space="preserve">they do not </w:t>
      </w:r>
      <w:r w:rsidR="003D24BB">
        <w:t xml:space="preserve">limit </w:t>
      </w:r>
      <w:r w:rsidR="000553E1">
        <w:t>such</w:t>
      </w:r>
      <w:r w:rsidR="003D24BB">
        <w:t xml:space="preserve"> powers</w:t>
      </w:r>
      <w:r w:rsidR="006E1F6B">
        <w:t xml:space="preserve">.  </w:t>
      </w:r>
      <w:r w:rsidR="00115F19">
        <w:t>They are not any kind of straitjacket</w:t>
      </w:r>
      <w:r w:rsidR="00843D1B">
        <w:t xml:space="preserve"> on the way in which a judge conducts proceedings, subject to questions of procedural fairness in departing from the </w:t>
      </w:r>
      <w:r w:rsidR="00511FB1" w:rsidRPr="00511FB1">
        <w:rPr>
          <w:i/>
        </w:rPr>
        <w:t>Rules</w:t>
      </w:r>
      <w:r w:rsidR="00511FB1">
        <w:t xml:space="preserve"> </w:t>
      </w:r>
      <w:r w:rsidR="00843D1B">
        <w:t>without notice or a chance to be heard</w:t>
      </w:r>
      <w:r w:rsidR="00115F19">
        <w:t>.  In any appropriate case, with no particular threshold</w:t>
      </w:r>
      <w:r>
        <w:t xml:space="preserve"> or pre-condition</w:t>
      </w:r>
      <w:r w:rsidR="00115F19">
        <w:t xml:space="preserve">, they may be departed from as the circumstances dictate.  </w:t>
      </w:r>
      <w:r w:rsidR="000553E1">
        <w:t>Put another way, t</w:t>
      </w:r>
      <w:r w:rsidR="00604423">
        <w:t>he</w:t>
      </w:r>
      <w:r w:rsidR="003D24BB">
        <w:t xml:space="preserve"> </w:t>
      </w:r>
      <w:r w:rsidR="003D24BB" w:rsidRPr="000553E1">
        <w:rPr>
          <w:i/>
        </w:rPr>
        <w:t>Rules</w:t>
      </w:r>
      <w:r w:rsidR="003D24BB">
        <w:t xml:space="preserve"> </w:t>
      </w:r>
      <w:r w:rsidR="00604423">
        <w:t>are the servant of the Court and its judges, assisted by its registrars, not the master</w:t>
      </w:r>
      <w:r w:rsidR="00115F19">
        <w:t xml:space="preserve"> of how proceedings are </w:t>
      </w:r>
      <w:r w:rsidR="003D24BB">
        <w:t xml:space="preserve">to be </w:t>
      </w:r>
      <w:r w:rsidR="00115F19">
        <w:t>conducted</w:t>
      </w:r>
      <w:r w:rsidR="003D24BB">
        <w:t>, including as to what may be required of litigants</w:t>
      </w:r>
      <w:r w:rsidR="00B050E9">
        <w:t xml:space="preserve"> </w:t>
      </w:r>
      <w:r w:rsidR="003D24BB">
        <w:t>and registrars</w:t>
      </w:r>
      <w:r w:rsidR="00115F19">
        <w:t xml:space="preserve">.  </w:t>
      </w:r>
    </w:p>
    <w:p w14:paraId="519FA0CC" w14:textId="77777777" w:rsidR="0039716D" w:rsidRDefault="006E1F6B" w:rsidP="00115F19">
      <w:pPr>
        <w:pStyle w:val="ParaNumbering"/>
      </w:pPr>
      <w:r>
        <w:t xml:space="preserve">All of the above characterisations </w:t>
      </w:r>
      <w:r w:rsidR="00104077">
        <w:t>are</w:t>
      </w:r>
      <w:r>
        <w:t xml:space="preserve"> amply </w:t>
      </w:r>
      <w:r w:rsidR="00F457E2">
        <w:t xml:space="preserve">reflected in </w:t>
      </w:r>
      <w:r w:rsidR="00604423">
        <w:t xml:space="preserve">a number of rules which expressly </w:t>
      </w:r>
      <w:r w:rsidR="00F457E2">
        <w:t>describe</w:t>
      </w:r>
      <w:r w:rsidR="00604423">
        <w:t xml:space="preserve"> </w:t>
      </w:r>
      <w:r w:rsidR="00B050E9">
        <w:t xml:space="preserve">the exercise of </w:t>
      </w:r>
      <w:r w:rsidR="00604423">
        <w:t xml:space="preserve">overarching powers which have the effect that </w:t>
      </w:r>
      <w:r>
        <w:t xml:space="preserve">express rules on any topic, while ordinarily required to be complied with by litigants, </w:t>
      </w:r>
      <w:r w:rsidR="00604423">
        <w:t xml:space="preserve">are neither rigid, limited or </w:t>
      </w:r>
      <w:r w:rsidR="00604423">
        <w:lastRenderedPageBreak/>
        <w:t xml:space="preserve">necessarily prescriptive if a judge chooses to depart from them in any way that </w:t>
      </w:r>
      <w:r>
        <w:t xml:space="preserve">is considered to be </w:t>
      </w:r>
      <w:r w:rsidR="00604423">
        <w:t>in in the interests of justice.  In particular:</w:t>
      </w:r>
    </w:p>
    <w:p w14:paraId="73E89576" w14:textId="77777777" w:rsidR="00604423" w:rsidRDefault="006E1F6B" w:rsidP="00E33023">
      <w:pPr>
        <w:pStyle w:val="ListNo1alt"/>
        <w:numPr>
          <w:ilvl w:val="0"/>
          <w:numId w:val="28"/>
        </w:numPr>
      </w:pPr>
      <w:r>
        <w:t>“</w:t>
      </w:r>
      <w:r w:rsidR="00604423">
        <w:t>The Court may make any order that the Court considers appropriate in the interests of justice</w:t>
      </w:r>
      <w:r>
        <w:t>”</w:t>
      </w:r>
      <w:r w:rsidR="00604423">
        <w:t xml:space="preserve">: </w:t>
      </w:r>
      <w:r w:rsidR="00604423" w:rsidRPr="00434D04">
        <w:t>r 1.32</w:t>
      </w:r>
      <w:r w:rsidR="00604423">
        <w:t>;</w:t>
      </w:r>
    </w:p>
    <w:p w14:paraId="3CBACA86" w14:textId="77777777" w:rsidR="00604423" w:rsidRDefault="006E1F6B" w:rsidP="00A3470C">
      <w:pPr>
        <w:pStyle w:val="ListNo1alt"/>
        <w:numPr>
          <w:ilvl w:val="0"/>
          <w:numId w:val="28"/>
        </w:numPr>
      </w:pPr>
      <w:r>
        <w:t>“</w:t>
      </w:r>
      <w:r w:rsidR="00604423">
        <w:t>The Court may dispense with compliance with any of these Rules, either before or after the occasion for compliance arises</w:t>
      </w:r>
      <w:r>
        <w:t>”</w:t>
      </w:r>
      <w:r w:rsidR="00604423">
        <w:t xml:space="preserve">: </w:t>
      </w:r>
      <w:r w:rsidR="00604423" w:rsidRPr="00434D04">
        <w:t>r 1.34</w:t>
      </w:r>
      <w:r w:rsidR="00604423">
        <w:t>;</w:t>
      </w:r>
    </w:p>
    <w:p w14:paraId="64F85DDB" w14:textId="77777777" w:rsidR="00604423" w:rsidRDefault="006E1F6B" w:rsidP="00A3470C">
      <w:pPr>
        <w:pStyle w:val="ListNo1alt"/>
        <w:numPr>
          <w:ilvl w:val="0"/>
          <w:numId w:val="28"/>
        </w:numPr>
      </w:pPr>
      <w:r>
        <w:t>“</w:t>
      </w:r>
      <w:r w:rsidR="00604423">
        <w:t>The Court may make an order that is inconsistent with these Rules and in that event the order will prevail</w:t>
      </w:r>
      <w:r>
        <w:t>”</w:t>
      </w:r>
      <w:r w:rsidR="00604423">
        <w:t xml:space="preserve">: </w:t>
      </w:r>
      <w:r w:rsidR="00604423" w:rsidRPr="00434D04">
        <w:t>r 1.35</w:t>
      </w:r>
      <w:r w:rsidR="00604423">
        <w:t>;</w:t>
      </w:r>
      <w:r>
        <w:t xml:space="preserve"> </w:t>
      </w:r>
    </w:p>
    <w:p w14:paraId="273578F8" w14:textId="77777777" w:rsidR="00604423" w:rsidRDefault="006E1F6B" w:rsidP="00A3470C">
      <w:pPr>
        <w:pStyle w:val="ListNo1alt"/>
        <w:numPr>
          <w:ilvl w:val="0"/>
          <w:numId w:val="28"/>
        </w:numPr>
      </w:pPr>
      <w:r>
        <w:t>“</w:t>
      </w:r>
      <w:r w:rsidR="00604423">
        <w:t>The Court may direct a Registrar to do, or not to do, an act or thing</w:t>
      </w:r>
      <w:r>
        <w:t>”</w:t>
      </w:r>
      <w:r w:rsidR="00604423">
        <w:t xml:space="preserve">: </w:t>
      </w:r>
      <w:r w:rsidR="00604423" w:rsidRPr="00434D04">
        <w:t>r 1.37</w:t>
      </w:r>
      <w:r w:rsidR="00115F19">
        <w:t>.</w:t>
      </w:r>
    </w:p>
    <w:p w14:paraId="496E96D6" w14:textId="77777777" w:rsidR="0009613C" w:rsidRDefault="008C74BE" w:rsidP="006E1F6B">
      <w:pPr>
        <w:pStyle w:val="ParaNumbering"/>
      </w:pPr>
      <w:r>
        <w:t xml:space="preserve">In light of the foregoing, it is simply not tenable to </w:t>
      </w:r>
      <w:r w:rsidR="009E50C5">
        <w:t xml:space="preserve">suggest that any of </w:t>
      </w:r>
      <w:r w:rsidR="00F457E2">
        <w:t xml:space="preserve">the </w:t>
      </w:r>
      <w:r w:rsidR="00B050E9" w:rsidRPr="00B050E9">
        <w:rPr>
          <w:i/>
        </w:rPr>
        <w:t>R</w:t>
      </w:r>
      <w:r w:rsidR="00692D1A" w:rsidRPr="00B050E9">
        <w:rPr>
          <w:i/>
        </w:rPr>
        <w:t>ules</w:t>
      </w:r>
      <w:r w:rsidR="009E50C5">
        <w:t xml:space="preserve">, let alone </w:t>
      </w:r>
      <w:r w:rsidR="00B050E9">
        <w:t>those</w:t>
      </w:r>
      <w:r w:rsidR="00590429">
        <w:t xml:space="preserve"> containing </w:t>
      </w:r>
      <w:r w:rsidR="009E50C5">
        <w:t>procedural requirements imposed upon litigants</w:t>
      </w:r>
      <w:r w:rsidR="00BD402C">
        <w:t xml:space="preserve"> and not upon judges</w:t>
      </w:r>
      <w:r w:rsidR="009E50C5">
        <w:t xml:space="preserve">, </w:t>
      </w:r>
      <w:r w:rsidR="00692D1A">
        <w:t xml:space="preserve">especially </w:t>
      </w:r>
      <w:r w:rsidR="009E50C5">
        <w:t>in relation to contempt proceedings as provided by</w:t>
      </w:r>
      <w:r w:rsidR="009E50C5" w:rsidRPr="00434D04">
        <w:t xml:space="preserve"> </w:t>
      </w:r>
      <w:proofErr w:type="spellStart"/>
      <w:proofErr w:type="gramStart"/>
      <w:r w:rsidR="009E50C5" w:rsidRPr="00434D04">
        <w:t>r</w:t>
      </w:r>
      <w:r w:rsidR="00BD402C" w:rsidRPr="00434D04">
        <w:t>r</w:t>
      </w:r>
      <w:proofErr w:type="spellEnd"/>
      <w:proofErr w:type="gramEnd"/>
      <w:r w:rsidR="009E50C5" w:rsidRPr="00434D04">
        <w:t> </w:t>
      </w:r>
      <w:r w:rsidR="00BD402C" w:rsidRPr="00434D04">
        <w:t xml:space="preserve">42.11 and </w:t>
      </w:r>
      <w:r w:rsidR="009E50C5" w:rsidRPr="00434D04">
        <w:t>42.16</w:t>
      </w:r>
      <w:r w:rsidR="009E50C5">
        <w:t>, could possibly stand in the way of the impugned order being made</w:t>
      </w:r>
      <w:r w:rsidR="00F457E2">
        <w:t xml:space="preserve"> as a question of power</w:t>
      </w:r>
      <w:r w:rsidR="009E50C5">
        <w:t xml:space="preserve">.  </w:t>
      </w:r>
    </w:p>
    <w:p w14:paraId="329D7A4B" w14:textId="77777777" w:rsidR="00692D1A" w:rsidRDefault="00692D1A" w:rsidP="006E1F6B">
      <w:pPr>
        <w:pStyle w:val="ParaNumbering"/>
      </w:pPr>
      <w:r>
        <w:t xml:space="preserve">It follows that the </w:t>
      </w:r>
      <w:r w:rsidR="00511FB1">
        <w:t xml:space="preserve">remaining ground </w:t>
      </w:r>
      <w:r>
        <w:t xml:space="preserve">appeal in QUD 53 of 2021 must </w:t>
      </w:r>
      <w:r w:rsidR="00511FB1">
        <w:t xml:space="preserve">fail and that appeal must </w:t>
      </w:r>
      <w:r>
        <w:t>be dismissed</w:t>
      </w:r>
      <w:r w:rsidR="00FF2386">
        <w:t>, and ground 1 in appeal QUD 361 of 2021 must fail</w:t>
      </w:r>
      <w:r>
        <w:t>.</w:t>
      </w:r>
    </w:p>
    <w:p w14:paraId="5E694DF6" w14:textId="77777777" w:rsidR="00745CDD" w:rsidRDefault="00BD402C" w:rsidP="00745CDD">
      <w:pPr>
        <w:pStyle w:val="Heading2"/>
      </w:pPr>
      <w:r>
        <w:t xml:space="preserve">Ground 2, QUD 361 of 2021: </w:t>
      </w:r>
      <w:r w:rsidR="00945859">
        <w:t>E</w:t>
      </w:r>
      <w:r>
        <w:t xml:space="preserve">rror in not </w:t>
      </w:r>
      <w:r w:rsidR="00945859">
        <w:t xml:space="preserve">determining </w:t>
      </w:r>
      <w:r>
        <w:t xml:space="preserve">that the contempt proceeding “merged” in the settlement deed and therefore could not be continued by the </w:t>
      </w:r>
      <w:r w:rsidR="001F43A2">
        <w:t>R</w:t>
      </w:r>
      <w:r>
        <w:t>egistrar</w:t>
      </w:r>
    </w:p>
    <w:p w14:paraId="08E0B17C" w14:textId="21DAC1B6" w:rsidR="00A45D89" w:rsidRDefault="00B23277" w:rsidP="00082D77">
      <w:pPr>
        <w:pStyle w:val="ParaNumbering"/>
      </w:pPr>
      <w:r w:rsidRPr="00576314">
        <w:t>Mr Mensink</w:t>
      </w:r>
      <w:r w:rsidR="006623D1">
        <w:t xml:space="preserve"> submitted, and his</w:t>
      </w:r>
      <w:r>
        <w:t xml:space="preserve"> argument necessarily </w:t>
      </w:r>
      <w:r w:rsidR="00C100A4">
        <w:t>depend</w:t>
      </w:r>
      <w:r>
        <w:t>s</w:t>
      </w:r>
      <w:r w:rsidR="00C100A4">
        <w:t xml:space="preserve"> upon the proposition</w:t>
      </w:r>
      <w:r w:rsidR="006623D1">
        <w:t>,</w:t>
      </w:r>
      <w:r w:rsidR="00C100A4">
        <w:t xml:space="preserve"> that the </w:t>
      </w:r>
      <w:r w:rsidR="006623D1">
        <w:t xml:space="preserve">contempt proceeding merged in the </w:t>
      </w:r>
      <w:r w:rsidR="00C100A4">
        <w:t xml:space="preserve">settlement deed </w:t>
      </w:r>
      <w:r w:rsidR="006623D1">
        <w:t>in the same way that a cause of action merges in a</w:t>
      </w:r>
      <w:r w:rsidR="00C100A4">
        <w:t xml:space="preserve"> judgment </w:t>
      </w:r>
      <w:r w:rsidR="006623D1">
        <w:t>given on that cause of action</w:t>
      </w:r>
      <w:r w:rsidR="00B6701C">
        <w:t xml:space="preserve">. </w:t>
      </w:r>
      <w:r w:rsidR="00EA5762">
        <w:t xml:space="preserve"> </w:t>
      </w:r>
      <w:r w:rsidR="00B6701C">
        <w:t>This argument is made despite</w:t>
      </w:r>
      <w:r w:rsidR="00D001C2">
        <w:t xml:space="preserve"> </w:t>
      </w:r>
      <w:proofErr w:type="spellStart"/>
      <w:r>
        <w:t>there</w:t>
      </w:r>
      <w:proofErr w:type="spellEnd"/>
      <w:r>
        <w:t xml:space="preserve"> having been no </w:t>
      </w:r>
      <w:r w:rsidR="00A45D89">
        <w:t>judgment beyond settlement approval</w:t>
      </w:r>
      <w:r w:rsidR="0039616B">
        <w:t xml:space="preserve"> </w:t>
      </w:r>
      <w:r w:rsidR="00B6701C">
        <w:t>(</w:t>
      </w:r>
      <w:r w:rsidR="0039616B">
        <w:t>which did not refer to the contempt proceeding</w:t>
      </w:r>
      <w:r w:rsidR="00B6701C">
        <w:t>)</w:t>
      </w:r>
      <w:r w:rsidR="00A45D89">
        <w:t xml:space="preserve"> and no </w:t>
      </w:r>
      <w:r w:rsidR="00DE634A">
        <w:t xml:space="preserve">notice of </w:t>
      </w:r>
      <w:r>
        <w:t>discontinuance</w:t>
      </w:r>
      <w:r w:rsidR="00DE634A">
        <w:t xml:space="preserve"> filed to bring </w:t>
      </w:r>
      <w:r w:rsidR="00D001C2">
        <w:t xml:space="preserve">the contempt </w:t>
      </w:r>
      <w:r w:rsidR="00DE634A">
        <w:t>proceeding to an end</w:t>
      </w:r>
      <w:r w:rsidR="00C100A4">
        <w:t>.  No authority was advanced to support such a proposition</w:t>
      </w:r>
      <w:r w:rsidR="00B6701C">
        <w:t>.</w:t>
      </w:r>
      <w:r w:rsidR="00945859">
        <w:t xml:space="preserve"> </w:t>
      </w:r>
      <w:r w:rsidR="00EA5762">
        <w:t xml:space="preserve"> </w:t>
      </w:r>
      <w:r w:rsidR="00B6701C">
        <w:t>I</w:t>
      </w:r>
      <w:r w:rsidR="00D67380">
        <w:t xml:space="preserve">t </w:t>
      </w:r>
      <w:r>
        <w:t>cannot be accepted</w:t>
      </w:r>
      <w:r w:rsidR="00D001C2">
        <w:t xml:space="preserve"> on first principles</w:t>
      </w:r>
      <w:r>
        <w:t>.</w:t>
      </w:r>
      <w:r w:rsidR="00D001C2">
        <w:t xml:space="preserve">  </w:t>
      </w:r>
    </w:p>
    <w:p w14:paraId="2F0590BB" w14:textId="40D305C1" w:rsidR="001E382C" w:rsidRDefault="00C93B61" w:rsidP="00082D77">
      <w:pPr>
        <w:pStyle w:val="ParaNumbering"/>
      </w:pPr>
      <w:r>
        <w:t>Where an applicant succeeds in an action, his or her cause of action is said to “merge” in the judgment with the result that the cause of action no longer has an existence</w:t>
      </w:r>
      <w:r w:rsidRPr="00186A4E">
        <w:t xml:space="preserve"> </w:t>
      </w:r>
      <w:r>
        <w:t>independently of the judgment:</w:t>
      </w:r>
      <w:r w:rsidR="00D67380">
        <w:t xml:space="preserve"> </w:t>
      </w:r>
      <w:r w:rsidR="00A4192D">
        <w:t xml:space="preserve">see </w:t>
      </w:r>
      <w:r w:rsidR="00A4192D" w:rsidRPr="00A4192D">
        <w:rPr>
          <w:i/>
        </w:rPr>
        <w:t>Tomlinson v Ramsay Food Processing Pty Ltd</w:t>
      </w:r>
      <w:r w:rsidR="00A4192D">
        <w:t xml:space="preserve"> [2015] HCA 28; 256 CLR 501 per curium at [20]-[27], </w:t>
      </w:r>
      <w:r w:rsidR="001E382C">
        <w:t xml:space="preserve">see also </w:t>
      </w:r>
      <w:r w:rsidR="00A4192D" w:rsidRPr="00A4192D">
        <w:rPr>
          <w:i/>
        </w:rPr>
        <w:t>Clayton v Bant</w:t>
      </w:r>
      <w:r w:rsidR="00A4192D" w:rsidRPr="00A4192D">
        <w:t xml:space="preserve"> [2020] HCA 44; 95 ALJR 34</w:t>
      </w:r>
      <w:r w:rsidR="00A4192D">
        <w:t xml:space="preserve"> per </w:t>
      </w:r>
      <w:proofErr w:type="spellStart"/>
      <w:r w:rsidR="001E382C">
        <w:t>Kiefel</w:t>
      </w:r>
      <w:proofErr w:type="spellEnd"/>
      <w:r w:rsidR="001E382C">
        <w:t xml:space="preserve"> CJ, Bell and </w:t>
      </w:r>
      <w:proofErr w:type="spellStart"/>
      <w:r w:rsidR="001E382C">
        <w:t>Gageler</w:t>
      </w:r>
      <w:proofErr w:type="spellEnd"/>
      <w:r w:rsidR="001E382C">
        <w:t xml:space="preserve"> JJ</w:t>
      </w:r>
      <w:r w:rsidR="00A4192D">
        <w:t xml:space="preserve"> </w:t>
      </w:r>
      <w:r w:rsidR="001E382C">
        <w:t>at [26] and [28]</w:t>
      </w:r>
      <w:r w:rsidR="00A4192D">
        <w:t xml:space="preserve"> </w:t>
      </w:r>
      <w:r w:rsidR="001E382C">
        <w:t xml:space="preserve">and </w:t>
      </w:r>
      <w:r w:rsidR="00D67380" w:rsidRPr="00A4192D">
        <w:rPr>
          <w:i/>
        </w:rPr>
        <w:t xml:space="preserve">Ramsay v </w:t>
      </w:r>
      <w:proofErr w:type="spellStart"/>
      <w:r w:rsidR="00D67380" w:rsidRPr="00A4192D">
        <w:rPr>
          <w:i/>
        </w:rPr>
        <w:t>Pigram</w:t>
      </w:r>
      <w:proofErr w:type="spellEnd"/>
      <w:r w:rsidR="00D67380">
        <w:t xml:space="preserve"> (1968) 118 CLR 271 per Barwick CJ at 276, quoted with approval in </w:t>
      </w:r>
      <w:proofErr w:type="spellStart"/>
      <w:r w:rsidR="00D67380">
        <w:rPr>
          <w:i/>
        </w:rPr>
        <w:t>Kuligowski</w:t>
      </w:r>
      <w:proofErr w:type="spellEnd"/>
      <w:r w:rsidR="00D67380">
        <w:rPr>
          <w:i/>
        </w:rPr>
        <w:t xml:space="preserve"> v </w:t>
      </w:r>
      <w:proofErr w:type="spellStart"/>
      <w:r w:rsidR="00D67380">
        <w:rPr>
          <w:i/>
        </w:rPr>
        <w:t>Metrobus</w:t>
      </w:r>
      <w:proofErr w:type="spellEnd"/>
      <w:r w:rsidR="00D67380">
        <w:rPr>
          <w:i/>
        </w:rPr>
        <w:t xml:space="preserve"> </w:t>
      </w:r>
      <w:r w:rsidR="00D67380">
        <w:t xml:space="preserve">[2004] HCA 34; 220 </w:t>
      </w:r>
      <w:r w:rsidR="00A4192D">
        <w:t>CLR 363 per curium at [40]</w:t>
      </w:r>
      <w:r w:rsidR="00D001C2">
        <w:t xml:space="preserve">.  </w:t>
      </w:r>
      <w:r>
        <w:t xml:space="preserve">A consequence of the operation of the doctrine is that the person cannot bring </w:t>
      </w:r>
      <w:r>
        <w:lastRenderedPageBreak/>
        <w:t>a second proceeding on the cause of a</w:t>
      </w:r>
      <w:r w:rsidR="00DC4F87">
        <w:t xml:space="preserve">ction.  The merger is </w:t>
      </w:r>
      <w:r>
        <w:t xml:space="preserve">often </w:t>
      </w:r>
      <w:r w:rsidR="00DC4F87">
        <w:t>said to give rise to a</w:t>
      </w:r>
      <w:r>
        <w:t xml:space="preserve"> cause of action estoppel</w:t>
      </w:r>
      <w:r w:rsidR="00DC4F87">
        <w:t xml:space="preserve">, although it might be more accurate to view this as a rule based on the principle of finality of litigation rather than as a species of estoppel: </w:t>
      </w:r>
      <w:r w:rsidR="00CB158C">
        <w:rPr>
          <w:i/>
        </w:rPr>
        <w:t>Jackson v Goldsmith</w:t>
      </w:r>
      <w:r w:rsidR="00CB158C">
        <w:t xml:space="preserve"> (1950) 81 CLR 446 at 466; </w:t>
      </w:r>
      <w:r w:rsidR="00CB158C" w:rsidRPr="000A40EC">
        <w:rPr>
          <w:i/>
        </w:rPr>
        <w:t xml:space="preserve">Port of Melbourne Authority v </w:t>
      </w:r>
      <w:proofErr w:type="spellStart"/>
      <w:r w:rsidR="00CB158C" w:rsidRPr="000A40EC">
        <w:rPr>
          <w:b/>
          <w:i/>
        </w:rPr>
        <w:t>Anshun</w:t>
      </w:r>
      <w:proofErr w:type="spellEnd"/>
      <w:r w:rsidR="00CB158C" w:rsidRPr="000A40EC">
        <w:rPr>
          <w:i/>
        </w:rPr>
        <w:t xml:space="preserve"> Pty Ltd</w:t>
      </w:r>
      <w:r w:rsidR="00CB158C" w:rsidRPr="000A40EC">
        <w:t xml:space="preserve"> [1981] HCA 45; 147 CLR 589</w:t>
      </w:r>
      <w:r w:rsidR="00CB158C">
        <w:t xml:space="preserve"> at 597</w:t>
      </w:r>
      <w:r>
        <w:t xml:space="preserve">.  The doctrine of merger does not apply to agreements.  </w:t>
      </w:r>
      <w:r w:rsidR="00082D77">
        <w:t xml:space="preserve">It may be doubted that </w:t>
      </w:r>
      <w:r>
        <w:t xml:space="preserve">the doctrine </w:t>
      </w:r>
      <w:r w:rsidR="0039616B">
        <w:t>even</w:t>
      </w:r>
      <w:r>
        <w:t xml:space="preserve"> applies to</w:t>
      </w:r>
      <w:r w:rsidR="0039616B">
        <w:t xml:space="preserve"> the obtaining of </w:t>
      </w:r>
      <w:r w:rsidR="00082D77">
        <w:t xml:space="preserve">declaratory relief </w:t>
      </w:r>
      <w:r>
        <w:t xml:space="preserve">or that such relief might </w:t>
      </w:r>
      <w:r w:rsidR="00082D77">
        <w:t>give rise to any</w:t>
      </w:r>
      <w:r>
        <w:t xml:space="preserve"> cause of</w:t>
      </w:r>
      <w:r w:rsidR="00082D77">
        <w:t xml:space="preserve"> action estoppel: </w:t>
      </w:r>
      <w:proofErr w:type="spellStart"/>
      <w:r w:rsidR="00082D77" w:rsidRPr="00082D77">
        <w:rPr>
          <w:i/>
        </w:rPr>
        <w:t>Zavarco</w:t>
      </w:r>
      <w:proofErr w:type="spellEnd"/>
      <w:r w:rsidR="00082D77" w:rsidRPr="00082D77">
        <w:rPr>
          <w:i/>
        </w:rPr>
        <w:t xml:space="preserve"> PLC v Nasir</w:t>
      </w:r>
      <w:r w:rsidR="00082D77" w:rsidRPr="00082D77">
        <w:t xml:space="preserve"> [2021] EWCA </w:t>
      </w:r>
      <w:proofErr w:type="spellStart"/>
      <w:r w:rsidR="00082D77" w:rsidRPr="00082D77">
        <w:t>Civ</w:t>
      </w:r>
      <w:proofErr w:type="spellEnd"/>
      <w:r w:rsidR="00082D77" w:rsidRPr="00082D77">
        <w:t xml:space="preserve"> 1217; [2022] </w:t>
      </w:r>
      <w:proofErr w:type="spellStart"/>
      <w:r w:rsidR="00082D77" w:rsidRPr="00082D77">
        <w:t>Ch</w:t>
      </w:r>
      <w:proofErr w:type="spellEnd"/>
      <w:r w:rsidR="00082D77" w:rsidRPr="00082D77">
        <w:t xml:space="preserve"> 105</w:t>
      </w:r>
      <w:r w:rsidR="00140C15">
        <w:t xml:space="preserve"> at [</w:t>
      </w:r>
      <w:r w:rsidR="00E93B8E">
        <w:t>37</w:t>
      </w:r>
      <w:r w:rsidR="00140C15">
        <w:t>]</w:t>
      </w:r>
      <w:r w:rsidR="00E93B8E">
        <w:t>-[41]</w:t>
      </w:r>
      <w:r w:rsidR="00082D77">
        <w:t>.</w:t>
      </w:r>
    </w:p>
    <w:p w14:paraId="038E0FA2" w14:textId="4D57BDBA" w:rsidR="00F457E2" w:rsidRDefault="00DC4F87" w:rsidP="00A4192D">
      <w:pPr>
        <w:pStyle w:val="ParaNumbering"/>
      </w:pPr>
      <w:r>
        <w:t>The doctrine of merger does not apply where there is no judicial determination and cannot therefore apply in respect of a cause of action the subject of a proceedings which has been discontinued.  Indeed,</w:t>
      </w:r>
      <w:r w:rsidR="00D001C2">
        <w:t xml:space="preserve"> r </w:t>
      </w:r>
      <w:r w:rsidR="00CF6EE5" w:rsidRPr="00D67380">
        <w:t>26.14</w:t>
      </w:r>
      <w:r w:rsidR="00D001C2">
        <w:t xml:space="preserve"> specifically preserves the right to bring a proceeding again</w:t>
      </w:r>
      <w:r w:rsidR="00CF6EE5">
        <w:t xml:space="preserve"> after filing a notice of discontinuance</w:t>
      </w:r>
      <w:r w:rsidR="00D001C2">
        <w:t xml:space="preserve">, subject to any limitation imposed by the general law, such </w:t>
      </w:r>
      <w:r w:rsidR="00B4757D">
        <w:t xml:space="preserve">as </w:t>
      </w:r>
      <w:proofErr w:type="spellStart"/>
      <w:r w:rsidR="00D001C2" w:rsidRPr="00A4192D">
        <w:rPr>
          <w:i/>
        </w:rPr>
        <w:t>Anshun</w:t>
      </w:r>
      <w:proofErr w:type="spellEnd"/>
      <w:r w:rsidR="00D001C2">
        <w:t xml:space="preserve"> estoppel.  </w:t>
      </w:r>
    </w:p>
    <w:p w14:paraId="7BFA6814" w14:textId="1E5B3A1F" w:rsidR="00320F35" w:rsidRDefault="00DC4F87" w:rsidP="00A4192D">
      <w:pPr>
        <w:pStyle w:val="ParaNumbering"/>
      </w:pPr>
      <w:r>
        <w:t>T</w:t>
      </w:r>
      <w:r w:rsidR="00B94BD2">
        <w:t>he settlement dee</w:t>
      </w:r>
      <w:r w:rsidR="00A87706">
        <w:t xml:space="preserve">d, even if it did extend beyond the private interests of the SPLs in bringing the contempt proceeding and encompassed any separate public interest in vindicating the authority of the Court, and even if it was capable of </w:t>
      </w:r>
      <w:r>
        <w:t>leading to</w:t>
      </w:r>
      <w:r w:rsidR="00A87706">
        <w:t xml:space="preserve"> a binding decision of the Court, never reached that point.  There was not, and could not be, any merger or associated estoppel based upon nothing more than a settlement reflected in the settlement deed, and the approval of that settlement by Greenwood J.  </w:t>
      </w:r>
      <w:r w:rsidR="00CB158C">
        <w:t xml:space="preserve">No doubt, as between the SPLs and Mr Mensink, their respective rights and obligations were affected by their settlement, but that did not operate to extinguish the contempt proceeding, or the underlying “cause of action” for contempt.  The “cause of action” did not merge in the deed of settlement.  </w:t>
      </w:r>
      <w:r w:rsidR="00A87706">
        <w:t>It follows that ground 2 in QUD 361 of 2021 must fail.</w:t>
      </w:r>
      <w:r w:rsidR="00320F35">
        <w:t xml:space="preserve">  </w:t>
      </w:r>
    </w:p>
    <w:p w14:paraId="1E96737C" w14:textId="126D8BE4" w:rsidR="00DE634A" w:rsidRDefault="00DE634A" w:rsidP="00F457E2">
      <w:pPr>
        <w:pStyle w:val="ParaNumbering"/>
      </w:pPr>
      <w:r>
        <w:t xml:space="preserve">Even if </w:t>
      </w:r>
      <w:r w:rsidR="0039616B">
        <w:t>the above</w:t>
      </w:r>
      <w:r>
        <w:t xml:space="preserve"> conclusion</w:t>
      </w:r>
      <w:r w:rsidR="00A87706">
        <w:t xml:space="preserve"> as to there being no merger is </w:t>
      </w:r>
      <w:r>
        <w:t xml:space="preserve">erroneous, it was for </w:t>
      </w:r>
      <w:r w:rsidRPr="00576314">
        <w:t>Mr Mensink</w:t>
      </w:r>
      <w:r>
        <w:t xml:space="preserve"> to persuade this Court that the terms of the settlement </w:t>
      </w:r>
      <w:r w:rsidR="0039616B">
        <w:t xml:space="preserve">deed </w:t>
      </w:r>
      <w:r w:rsidR="00B94BD2">
        <w:t xml:space="preserve">not only </w:t>
      </w:r>
      <w:r>
        <w:t>clearly applied to the contempt proceeding</w:t>
      </w:r>
      <w:r w:rsidR="00B94BD2">
        <w:t>, but was not confined to the SPLs’ capacity to bring and maintain such a proceeding and extended also to the vindication of a public right via the Registrar</w:t>
      </w:r>
      <w:r w:rsidR="00A87706">
        <w:t xml:space="preserve"> either taking over the contempt proceeding, or separately commencing a fresh contempt proceeding</w:t>
      </w:r>
      <w:r>
        <w:t>.  The argument advanced in support of that proposition</w:t>
      </w:r>
      <w:r w:rsidR="0039616B">
        <w:t>, principally</w:t>
      </w:r>
      <w:r w:rsidR="00E5319F">
        <w:t xml:space="preserve"> in </w:t>
      </w:r>
      <w:r w:rsidR="0039616B" w:rsidRPr="00576314">
        <w:t>Mr </w:t>
      </w:r>
      <w:proofErr w:type="spellStart"/>
      <w:r w:rsidR="0039616B" w:rsidRPr="00576314">
        <w:t>Mensink</w:t>
      </w:r>
      <w:r w:rsidR="0039616B">
        <w:t>’s</w:t>
      </w:r>
      <w:proofErr w:type="spellEnd"/>
      <w:r w:rsidR="0039616B">
        <w:t xml:space="preserve"> </w:t>
      </w:r>
      <w:r w:rsidR="00E5319F">
        <w:t>written submissions</w:t>
      </w:r>
      <w:r w:rsidR="00B94BD2">
        <w:t>,</w:t>
      </w:r>
      <w:r w:rsidR="00E5319F">
        <w:t xml:space="preserve"> </w:t>
      </w:r>
      <w:r w:rsidR="0039616B">
        <w:t xml:space="preserve">as elaborated upon at the appeal hearing, </w:t>
      </w:r>
      <w:r>
        <w:t>can be summarised as follows</w:t>
      </w:r>
      <w:r w:rsidR="00CD578C">
        <w:t xml:space="preserve">, </w:t>
      </w:r>
      <w:proofErr w:type="gramStart"/>
      <w:r w:rsidR="00CD578C">
        <w:t>accompanied</w:t>
      </w:r>
      <w:proofErr w:type="gramEnd"/>
      <w:r w:rsidR="00CD578C">
        <w:t xml:space="preserve"> by acceptance or consideration of each.</w:t>
      </w:r>
    </w:p>
    <w:p w14:paraId="0CD9100D" w14:textId="77777777" w:rsidR="00043952" w:rsidRDefault="00CD578C" w:rsidP="00CD578C">
      <w:pPr>
        <w:pStyle w:val="ParaNumbering"/>
      </w:pPr>
      <w:r>
        <w:lastRenderedPageBreak/>
        <w:t xml:space="preserve">First, </w:t>
      </w:r>
      <w:r w:rsidRPr="00576314">
        <w:t>Mr Mensink</w:t>
      </w:r>
      <w:r>
        <w:t xml:space="preserve"> asserts that cl </w:t>
      </w:r>
      <w:r w:rsidR="00043952">
        <w:t>4.1 of the settlement deed, under the subheading “Releases” specified that subject to payment, Queensland Nickel and other related entities would b</w:t>
      </w:r>
      <w:r w:rsidR="00A87706">
        <w:t>e released from the SPLs claims.  That argument may be accepted.</w:t>
      </w:r>
    </w:p>
    <w:p w14:paraId="7E497871" w14:textId="77777777" w:rsidR="00043952" w:rsidRDefault="00CD578C" w:rsidP="00CD578C">
      <w:pPr>
        <w:pStyle w:val="ParaNumbering"/>
      </w:pPr>
      <w:r>
        <w:t xml:space="preserve">Secondly, </w:t>
      </w:r>
      <w:r w:rsidRPr="00576314">
        <w:t>Mr Mensink</w:t>
      </w:r>
      <w:r>
        <w:t xml:space="preserve"> relies upon the </w:t>
      </w:r>
      <w:r w:rsidR="00043952">
        <w:t>primary judge consider</w:t>
      </w:r>
      <w:r>
        <w:t xml:space="preserve">ing </w:t>
      </w:r>
      <w:r w:rsidR="00043952">
        <w:t xml:space="preserve">that the following definitions applied to </w:t>
      </w:r>
      <w:r>
        <w:t>cl 4.1</w:t>
      </w:r>
      <w:r w:rsidR="00043952">
        <w:t>:</w:t>
      </w:r>
    </w:p>
    <w:p w14:paraId="639E9051" w14:textId="77777777" w:rsidR="00043952" w:rsidRDefault="00043952" w:rsidP="00E33023">
      <w:pPr>
        <w:pStyle w:val="ListNo1alt"/>
        <w:numPr>
          <w:ilvl w:val="0"/>
          <w:numId w:val="30"/>
        </w:numPr>
      </w:pPr>
      <w:r>
        <w:t>the term “claim” in the deed meant, relevantly, “any proceeding in a Court… of any kind or type whatsoever and which arise out of or in relation to the QN Proceedings”; and</w:t>
      </w:r>
    </w:p>
    <w:p w14:paraId="55136AA3" w14:textId="77777777" w:rsidR="0034154C" w:rsidRDefault="00CA39B7" w:rsidP="00A3470C">
      <w:pPr>
        <w:pStyle w:val="ListNo1alt"/>
        <w:numPr>
          <w:ilvl w:val="0"/>
          <w:numId w:val="30"/>
        </w:numPr>
      </w:pPr>
      <w:r>
        <w:t>the “QN Proceedings” meant proceedings BS6593/17 in the Supreme Court of Queensland</w:t>
      </w:r>
      <w:r w:rsidR="0034154C">
        <w:t>;</w:t>
      </w:r>
    </w:p>
    <w:p w14:paraId="64EEC8AD" w14:textId="77777777" w:rsidR="00043952" w:rsidRDefault="0034154C" w:rsidP="00A3470C">
      <w:pPr>
        <w:pStyle w:val="ListNo1alt"/>
        <w:numPr>
          <w:ilvl w:val="0"/>
          <w:numId w:val="30"/>
        </w:numPr>
      </w:pPr>
      <w:proofErr w:type="gramStart"/>
      <w:r>
        <w:t>while</w:t>
      </w:r>
      <w:proofErr w:type="gramEnd"/>
      <w:r>
        <w:t xml:space="preserve"> the contempt proceeding was brought within a different Federal Court proceeding, it did arise out of or in relation to the QN Proceedings</w:t>
      </w:r>
      <w:r w:rsidR="00A87706">
        <w:t>.</w:t>
      </w:r>
    </w:p>
    <w:p w14:paraId="37959068" w14:textId="77777777" w:rsidR="00A87706" w:rsidRDefault="00A87706" w:rsidP="00CD578C">
      <w:pPr>
        <w:pStyle w:val="ListNo2alt"/>
        <w:numPr>
          <w:ilvl w:val="0"/>
          <w:numId w:val="0"/>
        </w:numPr>
      </w:pPr>
      <w:r>
        <w:t xml:space="preserve">That argument may be accepted upon the assumption that the examinations were sought in aid of the Queensland Supreme Court proceeding. </w:t>
      </w:r>
    </w:p>
    <w:p w14:paraId="7FD1AD69" w14:textId="77777777" w:rsidR="00CA39B7" w:rsidRDefault="00CD578C" w:rsidP="00CD578C">
      <w:pPr>
        <w:pStyle w:val="ParaNumbering"/>
      </w:pPr>
      <w:r>
        <w:t xml:space="preserve">Thirdly, </w:t>
      </w:r>
      <w:r w:rsidRPr="00576314">
        <w:t>Mr Mensink</w:t>
      </w:r>
      <w:r>
        <w:t xml:space="preserve"> relies upon the primary judge </w:t>
      </w:r>
      <w:r w:rsidR="00CA39B7">
        <w:t>accept</w:t>
      </w:r>
      <w:r>
        <w:t>ing</w:t>
      </w:r>
      <w:r w:rsidR="00CA39B7">
        <w:t xml:space="preserve"> that the settlement deed compromised the contempt proceeding brought by the SPLs</w:t>
      </w:r>
      <w:r w:rsidR="00C1352C">
        <w:t>.  That argument may be accepted</w:t>
      </w:r>
      <w:r w:rsidR="0034154C">
        <w:t xml:space="preserve"> for present purposes, noting that this addresses only the scope of the agreement between the parties to the settlement deed</w:t>
      </w:r>
      <w:r>
        <w:t>, not the need to give binding effect to it</w:t>
      </w:r>
      <w:r w:rsidR="00C1352C">
        <w:t xml:space="preserve">.  </w:t>
      </w:r>
    </w:p>
    <w:p w14:paraId="29F687DD" w14:textId="77777777" w:rsidR="00043952" w:rsidRDefault="00CD578C" w:rsidP="00CD578C">
      <w:pPr>
        <w:pStyle w:val="ParaNumbering"/>
      </w:pPr>
      <w:r>
        <w:t xml:space="preserve">Fourth, </w:t>
      </w:r>
      <w:r w:rsidRPr="00576314">
        <w:t>Mr Mensink</w:t>
      </w:r>
      <w:r>
        <w:t xml:space="preserve"> asserts that o</w:t>
      </w:r>
      <w:r w:rsidR="00CA39B7">
        <w:t>nce the primary judge reached the conclusion that the contempt proceeding was compromised, the proceeding merged in the settlement deed and no proceeding could be maintained or taken over after that point</w:t>
      </w:r>
      <w:r w:rsidR="00C1352C">
        <w:t xml:space="preserve">.  </w:t>
      </w:r>
      <w:r>
        <w:t>He therefore argues that t</w:t>
      </w:r>
      <w:r w:rsidR="00C1352C">
        <w:t xml:space="preserve">he primary judge erred in determining the </w:t>
      </w:r>
      <w:r>
        <w:t xml:space="preserve">contempt </w:t>
      </w:r>
      <w:r w:rsidR="00C1352C">
        <w:t>proceeding was ongoing because it had not been discontinued or dismissed.  Those arguments are necessarily rejected by reason of the conclusions reached about merger not having taken place</w:t>
      </w:r>
      <w:r>
        <w:t xml:space="preserve"> and the contempt proceeding therefore not having concluded</w:t>
      </w:r>
      <w:r w:rsidR="00C1352C">
        <w:t>, but will be accepted for the purpose of considering th</w:t>
      </w:r>
      <w:r w:rsidR="0034154C">
        <w:t xml:space="preserve">e remaining aspects of </w:t>
      </w:r>
      <w:r w:rsidR="00FB6257" w:rsidRPr="00CD578C">
        <w:rPr>
          <w:szCs w:val="24"/>
        </w:rPr>
        <w:t>Mr </w:t>
      </w:r>
      <w:proofErr w:type="spellStart"/>
      <w:r w:rsidR="00FB6257" w:rsidRPr="00CD578C">
        <w:rPr>
          <w:szCs w:val="24"/>
        </w:rPr>
        <w:t>Mensink’s</w:t>
      </w:r>
      <w:proofErr w:type="spellEnd"/>
      <w:r w:rsidR="00C1352C">
        <w:t xml:space="preserve"> argument.</w:t>
      </w:r>
    </w:p>
    <w:p w14:paraId="71C6E05B" w14:textId="77777777" w:rsidR="00E31DD0" w:rsidRDefault="00CD578C" w:rsidP="00E31DD0">
      <w:pPr>
        <w:pStyle w:val="ParaNumbering"/>
      </w:pPr>
      <w:r>
        <w:t>Fi</w:t>
      </w:r>
      <w:r w:rsidR="00E31DD0">
        <w:t>f</w:t>
      </w:r>
      <w:r>
        <w:t xml:space="preserve">th, </w:t>
      </w:r>
      <w:r w:rsidRPr="00576314">
        <w:t>Mr Mensink</w:t>
      </w:r>
      <w:r>
        <w:t xml:space="preserve"> asserts that t</w:t>
      </w:r>
      <w:r w:rsidR="00180F77">
        <w:t>he primary judge further erre</w:t>
      </w:r>
      <w:r w:rsidR="00097615">
        <w:t xml:space="preserve">d in relying upon concurrent public and private “interests” in contempt proceedings as displacing the conclusion that the settlement deed had brought the </w:t>
      </w:r>
      <w:r w:rsidR="00180F77">
        <w:t>proceeding</w:t>
      </w:r>
      <w:r w:rsidR="00097615">
        <w:t xml:space="preserve"> or prosecution to a close</w:t>
      </w:r>
      <w:r w:rsidR="00C1352C">
        <w:t xml:space="preserve">.  </w:t>
      </w:r>
      <w:r w:rsidR="00E31DD0">
        <w:t>He submits that e</w:t>
      </w:r>
      <w:r w:rsidR="00FB6257">
        <w:t xml:space="preserve">ven where a true dichotomy between public and private interests in a matter may not exist, determination of a </w:t>
      </w:r>
      <w:r w:rsidR="00FB6257">
        <w:lastRenderedPageBreak/>
        <w:t xml:space="preserve">proceeding either by trial or compromise disposes of </w:t>
      </w:r>
      <w:r w:rsidR="00E31DD0">
        <w:t xml:space="preserve">both of </w:t>
      </w:r>
      <w:r w:rsidR="00FB6257">
        <w:t xml:space="preserve">those interests, and in this case the SPLs were seeking to vindicate both their private interests and the Court’s public interest, being appointed at the Court’s imprimatur.  </w:t>
      </w:r>
    </w:p>
    <w:p w14:paraId="7599F04D" w14:textId="77777777" w:rsidR="00280BBB" w:rsidRDefault="00CD578C" w:rsidP="00601042">
      <w:pPr>
        <w:pStyle w:val="ParaNumbering"/>
      </w:pPr>
      <w:r>
        <w:t>Even accepting for present purposes the proposition that approval of a settlement, without more, was capable of bring the contempt proceeding to an end, t</w:t>
      </w:r>
      <w:r w:rsidR="00C1352C">
        <w:t>h</w:t>
      </w:r>
      <w:r w:rsidR="00FB6257">
        <w:t xml:space="preserve">ese related arguments </w:t>
      </w:r>
      <w:r w:rsidR="00C1352C">
        <w:t xml:space="preserve">cannot </w:t>
      </w:r>
      <w:r>
        <w:t xml:space="preserve">otherwise </w:t>
      </w:r>
      <w:r w:rsidR="00C1352C">
        <w:t xml:space="preserve">be accepted.  </w:t>
      </w:r>
      <w:r>
        <w:t xml:space="preserve">They entail acceptance that a contempt proceeding brought in vindication of a private </w:t>
      </w:r>
      <w:r w:rsidR="00FB6257">
        <w:t>interest</w:t>
      </w:r>
      <w:r>
        <w:t xml:space="preserve"> wholly addresses all public interests to the point of settlement of the former precluding continuation to vindicate separate considerations informing the latter</w:t>
      </w:r>
      <w:r w:rsidR="003359E3">
        <w:t xml:space="preserve">.  That is not so, even </w:t>
      </w:r>
      <w:r w:rsidR="00C1352C">
        <w:t xml:space="preserve">if the sharp distinction </w:t>
      </w:r>
      <w:r w:rsidR="00FB6257">
        <w:t xml:space="preserve">between public interests and private interests </w:t>
      </w:r>
      <w:r w:rsidR="00C1352C">
        <w:t>is no longer maintained</w:t>
      </w:r>
      <w:r w:rsidR="0034154C">
        <w:t xml:space="preserve"> following </w:t>
      </w:r>
      <w:r w:rsidR="003359E3" w:rsidRPr="00E31DD0">
        <w:rPr>
          <w:i/>
        </w:rPr>
        <w:t>Witham v Holloway</w:t>
      </w:r>
      <w:r w:rsidR="003359E3">
        <w:t xml:space="preserve"> (1995) 183 CLR 525 at 530–534</w:t>
      </w:r>
      <w:r w:rsidR="004C7959">
        <w:t>;</w:t>
      </w:r>
      <w:r w:rsidR="004C7959" w:rsidRPr="004C7959">
        <w:t xml:space="preserve"> </w:t>
      </w:r>
      <w:r w:rsidR="004C7959">
        <w:t xml:space="preserve">see also the discussion </w:t>
      </w:r>
      <w:r w:rsidR="00591B06">
        <w:t xml:space="preserve">on this topic </w:t>
      </w:r>
      <w:r w:rsidR="004C7959">
        <w:t xml:space="preserve">in </w:t>
      </w:r>
      <w:proofErr w:type="spellStart"/>
      <w:r w:rsidR="004C7959" w:rsidRPr="00200639">
        <w:rPr>
          <w:b/>
          <w:i/>
        </w:rPr>
        <w:t>Kazal</w:t>
      </w:r>
      <w:proofErr w:type="spellEnd"/>
      <w:r w:rsidR="004C7959" w:rsidRPr="00E31DD0">
        <w:rPr>
          <w:i/>
        </w:rPr>
        <w:t xml:space="preserve"> v Thunder Studios </w:t>
      </w:r>
      <w:proofErr w:type="spellStart"/>
      <w:r w:rsidR="004C7959" w:rsidRPr="00E31DD0">
        <w:rPr>
          <w:i/>
        </w:rPr>
        <w:t>Inc</w:t>
      </w:r>
      <w:proofErr w:type="spellEnd"/>
      <w:r w:rsidR="004C7959" w:rsidRPr="00E31DD0">
        <w:rPr>
          <w:i/>
        </w:rPr>
        <w:t xml:space="preserve"> (California)</w:t>
      </w:r>
      <w:r w:rsidR="004C7959">
        <w:t xml:space="preserve"> [2017] FCAFC 111; 256 FCR 90 at [2</w:t>
      </w:r>
      <w:r w:rsidR="00591B06">
        <w:t>0</w:t>
      </w:r>
      <w:r w:rsidR="004C7959">
        <w:t>]</w:t>
      </w:r>
      <w:r w:rsidR="00591B06">
        <w:t>–[</w:t>
      </w:r>
      <w:r w:rsidR="004C7959">
        <w:t xml:space="preserve">27].  </w:t>
      </w:r>
      <w:r w:rsidR="00591B06">
        <w:t xml:space="preserve">See also </w:t>
      </w:r>
      <w:r w:rsidR="00591B06" w:rsidRPr="00601042">
        <w:rPr>
          <w:bCs/>
          <w:i/>
          <w:color w:val="212121"/>
        </w:rPr>
        <w:t>NHB Enterprises Pty Ltd v Corry (No 8)</w:t>
      </w:r>
      <w:r w:rsidR="00591B06">
        <w:rPr>
          <w:bCs/>
          <w:color w:val="212121"/>
        </w:rPr>
        <w:t xml:space="preserve"> [2022] NSWSC 97 per Bell P (as the Chief Justice then was) at [26]-[28].</w:t>
      </w:r>
    </w:p>
    <w:p w14:paraId="2DA4B3E2" w14:textId="17A7553E" w:rsidR="004E7A28" w:rsidRPr="00601042" w:rsidRDefault="00280BBB" w:rsidP="00601042">
      <w:pPr>
        <w:pStyle w:val="ParaNumbering"/>
      </w:pPr>
      <w:r>
        <w:t xml:space="preserve">A settlement addressing the </w:t>
      </w:r>
      <w:r w:rsidR="00FB6257">
        <w:t xml:space="preserve">private interest in bringing a </w:t>
      </w:r>
      <w:r>
        <w:t xml:space="preserve">proceeding and thereby the interest in maintaining a collateral </w:t>
      </w:r>
      <w:r w:rsidR="00FB6257">
        <w:t xml:space="preserve">contempt proceeding </w:t>
      </w:r>
      <w:r>
        <w:t xml:space="preserve">does not necessarily </w:t>
      </w:r>
      <w:r w:rsidR="00FB6257">
        <w:t xml:space="preserve">subsume </w:t>
      </w:r>
      <w:r>
        <w:t>all and any public interests in such a prosecution</w:t>
      </w:r>
      <w:r w:rsidR="004C7959">
        <w:t xml:space="preserve">.  </w:t>
      </w:r>
      <w:r w:rsidR="00C1352C">
        <w:t>Plainly in this case</w:t>
      </w:r>
      <w:r w:rsidR="00AC58E2">
        <w:t>,</w:t>
      </w:r>
      <w:r w:rsidR="00C1352C">
        <w:t xml:space="preserve"> there remained an important and independent public interest to be vindicated, having much wider application than the private interests of the SPLs confined to the proceeding they had brought.</w:t>
      </w:r>
      <w:r w:rsidR="00E31DD0">
        <w:t xml:space="preserve">  Resolution of </w:t>
      </w:r>
      <w:r w:rsidR="00AC58E2">
        <w:t xml:space="preserve">a </w:t>
      </w:r>
      <w:r w:rsidR="00E31DD0">
        <w:t>contempt proceeding brought to vindicate a private interest cannot preclude continuation to vindicate a continuing public interest.</w:t>
      </w:r>
      <w:r w:rsidR="004E7A28">
        <w:t xml:space="preserve">  </w:t>
      </w:r>
    </w:p>
    <w:p w14:paraId="2295ACF6" w14:textId="267DAB88" w:rsidR="0022544F" w:rsidRDefault="00E31DD0" w:rsidP="00E31DD0">
      <w:pPr>
        <w:pStyle w:val="ParaNumbering"/>
      </w:pPr>
      <w:r>
        <w:t xml:space="preserve">Sixth, </w:t>
      </w:r>
      <w:r w:rsidRPr="00576314">
        <w:t>Mr Mensink</w:t>
      </w:r>
      <w:r>
        <w:t xml:space="preserve"> contends that </w:t>
      </w:r>
      <w:r w:rsidR="0022544F">
        <w:t>by appointing the SPLs, the Court did not “do nothing” in the conduct of the matter, and authorised the SPLs to settle it on terms as sanctioned by the Court</w:t>
      </w:r>
      <w:r>
        <w:t>.  He therefore submits that once the Court is seized of the matter, and acts upon its own authority, it is still with “due regard” to the “wishes and feelings of the person who has brought the matter before it”, and therefore the Court needed to have regard to the SPLs’ resolution of the proceedings.  That may be correct as far as it goes, and the resolution of the public interest dispute is undoubtedly an important consideration, but it does not address the question of whether there remains any public interest of sufficient importance to justify its vindication by continuing the contempt proceeding.</w:t>
      </w:r>
      <w:r w:rsidR="00200639">
        <w:t xml:space="preserve">  As the Full Court pointed out in </w:t>
      </w:r>
      <w:proofErr w:type="spellStart"/>
      <w:r w:rsidR="00200639" w:rsidRPr="00200639">
        <w:rPr>
          <w:i/>
        </w:rPr>
        <w:t>Kazal</w:t>
      </w:r>
      <w:proofErr w:type="spellEnd"/>
      <w:r w:rsidR="00200639">
        <w:t xml:space="preserve"> at [97], contempt proceedings are to be viewed as essential in facilitating courts being able to function properly, including being, and being seen to be, making orders that will ordinarily be obeyed, such that individual contempt cases have an importance transcending </w:t>
      </w:r>
      <w:r w:rsidR="00001877">
        <w:t xml:space="preserve">the resolution of the </w:t>
      </w:r>
      <w:r w:rsidR="00200639">
        <w:t xml:space="preserve">individual </w:t>
      </w:r>
      <w:r w:rsidR="00001877">
        <w:lastRenderedPageBreak/>
        <w:t xml:space="preserve">substantive </w:t>
      </w:r>
      <w:r w:rsidR="00200639">
        <w:t xml:space="preserve">case </w:t>
      </w:r>
      <w:r w:rsidR="00001877">
        <w:t xml:space="preserve">from which it arose </w:t>
      </w:r>
      <w:r w:rsidR="00200639">
        <w:t>by supporting and enhancing the integrity of judicial proceedings.</w:t>
      </w:r>
    </w:p>
    <w:p w14:paraId="63191442" w14:textId="55A92D45" w:rsidR="00180F77" w:rsidRDefault="00176E34" w:rsidP="00745CDD">
      <w:pPr>
        <w:pStyle w:val="ParaNumbering"/>
      </w:pPr>
      <w:r>
        <w:t xml:space="preserve">We also note that in </w:t>
      </w:r>
      <w:r w:rsidR="00E5319F">
        <w:t xml:space="preserve">oral submissions following the distribution of the </w:t>
      </w:r>
      <w:r>
        <w:t xml:space="preserve">primary materials relating to the </w:t>
      </w:r>
      <w:r w:rsidR="00E5319F">
        <w:t xml:space="preserve">settlement </w:t>
      </w:r>
      <w:r>
        <w:t xml:space="preserve">approval before Greenwood J, counsel for </w:t>
      </w:r>
      <w:r w:rsidR="0039616B" w:rsidRPr="00576314">
        <w:t>Mr Mensink</w:t>
      </w:r>
      <w:r w:rsidR="0039616B">
        <w:t xml:space="preserve"> </w:t>
      </w:r>
      <w:r>
        <w:t>also sought to argue that cl</w:t>
      </w:r>
      <w:r w:rsidR="0039616B">
        <w:t> </w:t>
      </w:r>
      <w:r>
        <w:t>4.7 of the deed</w:t>
      </w:r>
      <w:r w:rsidR="009C1EAD">
        <w:t xml:space="preserve"> under the subheading “</w:t>
      </w:r>
      <w:r w:rsidR="009C1EAD" w:rsidRPr="00E95987">
        <w:t>Mensink Warrant</w:t>
      </w:r>
      <w:r w:rsidR="009C1EAD">
        <w:t>”</w:t>
      </w:r>
      <w:r>
        <w:t xml:space="preserve">, </w:t>
      </w:r>
      <w:r w:rsidR="009C1EAD">
        <w:t xml:space="preserve">which </w:t>
      </w:r>
      <w:r>
        <w:t>stat</w:t>
      </w:r>
      <w:r w:rsidR="009C1EAD">
        <w:t>ed</w:t>
      </w:r>
      <w:r>
        <w:t xml:space="preserve"> that “</w:t>
      </w:r>
      <w:r w:rsidRPr="00E95987">
        <w:t>the SPL must immediately apply for the discharge of summons</w:t>
      </w:r>
      <w:r>
        <w:t>”</w:t>
      </w:r>
      <w:r w:rsidR="009C1EAD">
        <w:t>,</w:t>
      </w:r>
      <w:r>
        <w:t xml:space="preserve"> would have indicated to the primary judge that the intended scope of the settlement was plainly directed at releases and that a judge reading the deed must have realised that it was directed at more than simply the settlement of a debt claim. </w:t>
      </w:r>
      <w:r w:rsidR="0039616B">
        <w:t xml:space="preserve"> </w:t>
      </w:r>
      <w:r w:rsidR="00563B1F">
        <w:t>The primary judge also considered that this context was relevant, as set out at [57]</w:t>
      </w:r>
      <w:r w:rsidR="009C1EAD">
        <w:t xml:space="preserve"> of the primary judgment</w:t>
      </w:r>
      <w:r w:rsidR="00563B1F">
        <w:t>.</w:t>
      </w:r>
      <w:r w:rsidR="00E31DD0">
        <w:t xml:space="preserve">  That is plainly relevant, but it is not determinative.  In this case, defiance of the Court’s authority, </w:t>
      </w:r>
      <w:r w:rsidR="009C1EAD">
        <w:t>and the</w:t>
      </w:r>
      <w:r w:rsidR="00E31DD0">
        <w:t xml:space="preserve"> ongoing public interest in maintaining practical and effective compulsion to attend examinations under the </w:t>
      </w:r>
      <w:r w:rsidR="00E31DD0" w:rsidRPr="00E31DD0">
        <w:rPr>
          <w:i/>
        </w:rPr>
        <w:t>Corporations Act</w:t>
      </w:r>
      <w:r w:rsidR="009C1EAD">
        <w:rPr>
          <w:i/>
        </w:rPr>
        <w:t>,</w:t>
      </w:r>
      <w:r w:rsidR="00E31DD0">
        <w:t xml:space="preserve"> </w:t>
      </w:r>
      <w:r w:rsidR="009C1EAD">
        <w:t xml:space="preserve">were both </w:t>
      </w:r>
      <w:r w:rsidR="00E31DD0">
        <w:t>important consideration</w:t>
      </w:r>
      <w:r w:rsidR="009C1EAD">
        <w:t>s</w:t>
      </w:r>
      <w:r w:rsidR="00E31DD0">
        <w:t xml:space="preserve"> and bas</w:t>
      </w:r>
      <w:r w:rsidR="009C1EAD">
        <w:t>e</w:t>
      </w:r>
      <w:r w:rsidR="00E31DD0">
        <w:t>s for continuing the contempt proceeding.</w:t>
      </w:r>
    </w:p>
    <w:p w14:paraId="542B1F56" w14:textId="000709F6" w:rsidR="00B741B1" w:rsidRDefault="00167D43" w:rsidP="00745CDD">
      <w:pPr>
        <w:pStyle w:val="ParaNumbering"/>
      </w:pPr>
      <w:r>
        <w:t xml:space="preserve">In essence, </w:t>
      </w:r>
      <w:r w:rsidR="0039616B" w:rsidRPr="00576314">
        <w:t>Mr Mensink</w:t>
      </w:r>
      <w:r w:rsidR="0039616B">
        <w:t xml:space="preserve"> </w:t>
      </w:r>
      <w:r w:rsidR="00B741B1">
        <w:t xml:space="preserve">argues that the private interests of the SPLs </w:t>
      </w:r>
      <w:r w:rsidR="009C40EE">
        <w:t xml:space="preserve">as reflected in the settlement deed </w:t>
      </w:r>
      <w:r>
        <w:t>were to be preferred over the</w:t>
      </w:r>
      <w:r w:rsidR="00B741B1">
        <w:t xml:space="preserve"> Court’s ability to vindicate its authority</w:t>
      </w:r>
      <w:r w:rsidR="00001877">
        <w:t xml:space="preserve">, </w:t>
      </w:r>
      <w:r>
        <w:t>or that the SPLs interests displaced the Court’s interest in the proceeding completely</w:t>
      </w:r>
      <w:r w:rsidR="00B741B1">
        <w:t xml:space="preserve">. </w:t>
      </w:r>
      <w:r w:rsidR="0039616B">
        <w:t xml:space="preserve"> </w:t>
      </w:r>
      <w:r w:rsidR="00B741B1">
        <w:t>The primary judge referred to multiple authorities which demonstrated the innate public interest in punishing civil contempt,</w:t>
      </w:r>
      <w:r w:rsidR="009C40EE">
        <w:t xml:space="preserve"> whereby the public and private interests in such an action cannot sensibly be separated</w:t>
      </w:r>
      <w:r w:rsidR="0039616B">
        <w:t xml:space="preserve">.  </w:t>
      </w:r>
      <w:r w:rsidR="0039616B" w:rsidRPr="00576314">
        <w:t>Mr Mensink</w:t>
      </w:r>
      <w:r w:rsidR="0039616B">
        <w:t xml:space="preserve"> has not attempted to </w:t>
      </w:r>
      <w:r w:rsidR="00B741B1">
        <w:t xml:space="preserve">displace that line of authority. </w:t>
      </w:r>
      <w:r w:rsidR="0039616B">
        <w:t xml:space="preserve"> To the contrary, </w:t>
      </w:r>
      <w:r w:rsidR="00B741B1">
        <w:t xml:space="preserve">a concession </w:t>
      </w:r>
      <w:r w:rsidR="0039616B">
        <w:t xml:space="preserve">to that effect </w:t>
      </w:r>
      <w:r w:rsidR="00B741B1">
        <w:t xml:space="preserve">was made by </w:t>
      </w:r>
      <w:r w:rsidR="0039616B" w:rsidRPr="00576314">
        <w:t>Mr Mensink</w:t>
      </w:r>
      <w:r w:rsidR="0039616B">
        <w:t xml:space="preserve"> </w:t>
      </w:r>
      <w:r w:rsidR="00B741B1">
        <w:t>at first instance, where it was accepted that “</w:t>
      </w:r>
      <w:r w:rsidR="00B741B1" w:rsidRPr="00E95987">
        <w:t xml:space="preserve">all </w:t>
      </w:r>
      <w:r w:rsidR="000044B0" w:rsidRPr="00E95987">
        <w:t xml:space="preserve">[that] </w:t>
      </w:r>
      <w:r w:rsidR="00B741B1" w:rsidRPr="00E95987">
        <w:t>the [SPLs] compromised under the settlement deed was the [SPLs’] own right to</w:t>
      </w:r>
      <w:r w:rsidR="009C40EE" w:rsidRPr="00E95987">
        <w:t xml:space="preserve"> pursue the clai</w:t>
      </w:r>
      <w:r w:rsidR="00B741B1" w:rsidRPr="00E95987">
        <w:t>m of contempt</w:t>
      </w:r>
      <w:r w:rsidR="000044B0" w:rsidRPr="00E95987">
        <w:t xml:space="preserve"> </w:t>
      </w:r>
      <w:r w:rsidR="00B741B1" w:rsidRPr="00E95987">
        <w:t>… [and did not] compromise the right of the Court to order the prosecution of a proceeding for the same alleged contempt</w:t>
      </w:r>
      <w:r w:rsidR="00B741B1">
        <w:t>”</w:t>
      </w:r>
      <w:r w:rsidR="00001877">
        <w:t>.</w:t>
      </w:r>
      <w:r w:rsidR="00B741B1">
        <w:t xml:space="preserve"> </w:t>
      </w:r>
      <w:r w:rsidR="0039616B">
        <w:t xml:space="preserve"> </w:t>
      </w:r>
      <w:r w:rsidR="00B741B1">
        <w:t>Even under the primary judge’s reading of the settlement deed, allowing the context of the clauses relating explicitly to the warrant for the examination to extend to the release cl</w:t>
      </w:r>
      <w:r w:rsidR="00350DEB">
        <w:t> </w:t>
      </w:r>
      <w:r w:rsidR="00B741B1">
        <w:t xml:space="preserve">4.1, this </w:t>
      </w:r>
      <w:r w:rsidR="00061CA2">
        <w:t>could never have</w:t>
      </w:r>
      <w:r w:rsidR="00B741B1">
        <w:t xml:space="preserve"> preclude</w:t>
      </w:r>
      <w:r w:rsidR="00061CA2">
        <w:t>d</w:t>
      </w:r>
      <w:r w:rsidR="00B741B1">
        <w:t xml:space="preserve"> the Court fr</w:t>
      </w:r>
      <w:r w:rsidR="009C40EE">
        <w:t>om moving on its own right to pursue such an action</w:t>
      </w:r>
      <w:r w:rsidR="00B741B1">
        <w:t>.</w:t>
      </w:r>
    </w:p>
    <w:p w14:paraId="155E0DA5" w14:textId="1DD93FAC" w:rsidR="00350DEB" w:rsidRPr="0052246A" w:rsidRDefault="00350DEB" w:rsidP="00350DEB">
      <w:pPr>
        <w:pStyle w:val="ParaNumbering"/>
      </w:pPr>
      <w:r w:rsidRPr="0052246A">
        <w:t>With this in mind, Mr </w:t>
      </w:r>
      <w:proofErr w:type="spellStart"/>
      <w:r w:rsidRPr="0052246A">
        <w:t>Mensink’s</w:t>
      </w:r>
      <w:proofErr w:type="spellEnd"/>
      <w:r w:rsidRPr="0052246A">
        <w:t xml:space="preserve"> argument on this ground amount</w:t>
      </w:r>
      <w:r w:rsidR="00001877">
        <w:t>s</w:t>
      </w:r>
      <w:r w:rsidRPr="0052246A">
        <w:t xml:space="preserve"> to a complaint that instead of the Registrar bringing a new proceeding for contempt of Court, which Mr Mensink concedes would have been open to the Registrar, this was instead done using the existing proceeding.  As the discussion of the breadth of the powers of the Court under the </w:t>
      </w:r>
      <w:r w:rsidRPr="0052246A">
        <w:rPr>
          <w:i/>
        </w:rPr>
        <w:t xml:space="preserve">Rules </w:t>
      </w:r>
      <w:r w:rsidRPr="0052246A">
        <w:t xml:space="preserve">detailed above makes clear, there was no lack of power to do so. </w:t>
      </w:r>
    </w:p>
    <w:p w14:paraId="60DABF84" w14:textId="1941DFA3" w:rsidR="00BF59C1" w:rsidRDefault="00350DEB" w:rsidP="00350DEB">
      <w:pPr>
        <w:pStyle w:val="ParaNumbering"/>
      </w:pPr>
      <w:r>
        <w:lastRenderedPageBreak/>
        <w:t>The Registrar</w:t>
      </w:r>
      <w:r w:rsidR="00BF59C1">
        <w:t>,</w:t>
      </w:r>
      <w:r>
        <w:t xml:space="preserve"> while accepting</w:t>
      </w:r>
      <w:r w:rsidRPr="003F1820">
        <w:t xml:space="preserve"> </w:t>
      </w:r>
      <w:r>
        <w:t>the primary judge’s judgment on the effect of the settlement d</w:t>
      </w:r>
      <w:r w:rsidRPr="003F1820">
        <w:t>eed</w:t>
      </w:r>
      <w:r>
        <w:t>, submits that the deed did not and could not compromise the power of the Court to vindicate its own authority, and that there was an ongoing proceeding which could be continued or “</w:t>
      </w:r>
      <w:r w:rsidRPr="00E95987">
        <w:t>taken over</w:t>
      </w:r>
      <w:r>
        <w:t>”</w:t>
      </w:r>
      <w:r w:rsidR="00001877">
        <w:t>.</w:t>
      </w:r>
      <w:r>
        <w:t xml:space="preserve">  That argument must be accepted.  None of the preceding arguments on this topic </w:t>
      </w:r>
      <w:r w:rsidR="00001877">
        <w:t xml:space="preserve">advanced by </w:t>
      </w:r>
      <w:r w:rsidR="00001877" w:rsidRPr="00576314">
        <w:t>Mr Mensink</w:t>
      </w:r>
      <w:r w:rsidR="00001877">
        <w:t xml:space="preserve"> </w:t>
      </w:r>
      <w:r>
        <w:t xml:space="preserve">should prevail, including those assuming merger in </w:t>
      </w:r>
      <w:r w:rsidR="00BF59C1">
        <w:t xml:space="preserve">the appellant’s </w:t>
      </w:r>
      <w:r>
        <w:t xml:space="preserve">favour.  </w:t>
      </w:r>
    </w:p>
    <w:p w14:paraId="543E3FE4" w14:textId="60071A62" w:rsidR="00350DEB" w:rsidRDefault="00350DEB" w:rsidP="00350DEB">
      <w:pPr>
        <w:pStyle w:val="ParaNumbering"/>
      </w:pPr>
      <w:r>
        <w:t xml:space="preserve">If the merger argument advanced by </w:t>
      </w:r>
      <w:r w:rsidRPr="00576314">
        <w:t>Mr Mensink</w:t>
      </w:r>
      <w:r>
        <w:t xml:space="preserve"> is correct after all, that does not and cannot preclude the commencement of a fresh contempt proceeding by the Registrar.  </w:t>
      </w:r>
    </w:p>
    <w:p w14:paraId="7325FC92" w14:textId="77777777" w:rsidR="00350DEB" w:rsidRDefault="00350DEB" w:rsidP="00350DEB">
      <w:pPr>
        <w:pStyle w:val="ParaNumbering"/>
      </w:pPr>
      <w:r>
        <w:t>Although it does not need to be finally decided in light of the conclusion we have reached on merger, it seems likely that there would have been nothing to prevent Reeves J ordering, in place of the order that the Registrar take over the existing contempt proceeding, that the Registrar commence a fresh contempt proceeding, and in aid of that, ordering that the prior statement of charge be treated as constituting that fresh proceeding.</w:t>
      </w:r>
    </w:p>
    <w:p w14:paraId="135758B7" w14:textId="77777777" w:rsidR="003F1820" w:rsidRDefault="009C40EE" w:rsidP="00745CDD">
      <w:pPr>
        <w:pStyle w:val="ParaNumbering"/>
      </w:pPr>
      <w:r>
        <w:t xml:space="preserve">Ground 2 in QUD 361 of 2021 </w:t>
      </w:r>
      <w:r w:rsidR="0042585C">
        <w:t>is without merit</w:t>
      </w:r>
      <w:r w:rsidR="00E93B8E">
        <w:t xml:space="preserve"> and must be rejected</w:t>
      </w:r>
      <w:r>
        <w:t xml:space="preserve">. </w:t>
      </w:r>
      <w:r w:rsidR="00B741B1">
        <w:t xml:space="preserve">   </w:t>
      </w:r>
    </w:p>
    <w:p w14:paraId="18F318B5" w14:textId="77777777" w:rsidR="000044B0" w:rsidRDefault="000044B0" w:rsidP="000044B0">
      <w:pPr>
        <w:pStyle w:val="Heading2"/>
      </w:pPr>
      <w:r>
        <w:t xml:space="preserve">Ground 3 QUD 361 of 2021: </w:t>
      </w:r>
      <w:r w:rsidR="00F05BDC">
        <w:t xml:space="preserve">Error </w:t>
      </w:r>
      <w:r w:rsidR="00F05BDC" w:rsidRPr="00AF4B25">
        <w:rPr>
          <w:lang w:eastAsia="en-AU"/>
        </w:rPr>
        <w:t xml:space="preserve">in finding that the argument that the settlement deed was a complete bar to the </w:t>
      </w:r>
      <w:r w:rsidR="00F05BDC">
        <w:rPr>
          <w:lang w:eastAsia="en-AU"/>
        </w:rPr>
        <w:t xml:space="preserve">continued </w:t>
      </w:r>
      <w:r w:rsidR="00F05BDC" w:rsidRPr="00AF4B25">
        <w:rPr>
          <w:lang w:eastAsia="en-AU"/>
        </w:rPr>
        <w:t>contempt proceeding</w:t>
      </w:r>
      <w:r w:rsidR="00F05BDC" w:rsidRPr="00F05BDC">
        <w:rPr>
          <w:lang w:eastAsia="en-AU"/>
        </w:rPr>
        <w:t xml:space="preserve"> </w:t>
      </w:r>
      <w:r w:rsidR="00F05BDC">
        <w:rPr>
          <w:lang w:eastAsia="en-AU"/>
        </w:rPr>
        <w:t xml:space="preserve">had been </w:t>
      </w:r>
      <w:r w:rsidR="00F05BDC" w:rsidRPr="00AF4B25">
        <w:rPr>
          <w:lang w:eastAsia="en-AU"/>
        </w:rPr>
        <w:t>abandoned</w:t>
      </w:r>
    </w:p>
    <w:p w14:paraId="4107A262" w14:textId="0CB5C261" w:rsidR="00745CDD" w:rsidRPr="00745CDD" w:rsidRDefault="00536BAE" w:rsidP="00745CDD">
      <w:pPr>
        <w:pStyle w:val="ParaNumbering"/>
      </w:pPr>
      <w:r>
        <w:t xml:space="preserve">In light of the conclusion reached about ground 2 in QUD 361 of 2021, </w:t>
      </w:r>
      <w:r w:rsidR="000044B0">
        <w:t>g</w:t>
      </w:r>
      <w:r w:rsidR="0016538B">
        <w:t>round 3</w:t>
      </w:r>
      <w:r w:rsidR="000044B0">
        <w:t xml:space="preserve"> </w:t>
      </w:r>
      <w:r w:rsidR="00280BBB">
        <w:t xml:space="preserve">does not </w:t>
      </w:r>
      <w:r w:rsidR="005A00BA">
        <w:t xml:space="preserve">require in-depth </w:t>
      </w:r>
      <w:r w:rsidR="00280BBB">
        <w:t>consideration</w:t>
      </w:r>
      <w:r w:rsidR="0016538B">
        <w:t xml:space="preserve">.  </w:t>
      </w:r>
      <w:r w:rsidR="000044B0">
        <w:t xml:space="preserve">First, even if </w:t>
      </w:r>
      <w:r w:rsidR="0016538B">
        <w:t xml:space="preserve">this argument was </w:t>
      </w:r>
      <w:r w:rsidR="000044B0">
        <w:t xml:space="preserve">not </w:t>
      </w:r>
      <w:r w:rsidR="005D6D46">
        <w:t>abandoned before the primary judge</w:t>
      </w:r>
      <w:r w:rsidR="000044B0">
        <w:t>, which seems doubtful</w:t>
      </w:r>
      <w:r w:rsidR="005D6D46">
        <w:t xml:space="preserve">, </w:t>
      </w:r>
      <w:r w:rsidR="005A00BA">
        <w:t xml:space="preserve">this </w:t>
      </w:r>
      <w:r w:rsidR="008959BC">
        <w:t>argument</w:t>
      </w:r>
      <w:r w:rsidR="0016538B">
        <w:t xml:space="preserve"> </w:t>
      </w:r>
      <w:r w:rsidR="005A00BA">
        <w:t xml:space="preserve">cannot </w:t>
      </w:r>
      <w:r w:rsidR="0016538B">
        <w:t xml:space="preserve">not succeed because </w:t>
      </w:r>
      <w:r w:rsidR="005D6D46">
        <w:t>the settlement deed</w:t>
      </w:r>
      <w:r w:rsidR="000044B0">
        <w:t>, without more,</w:t>
      </w:r>
      <w:r w:rsidR="005D6D46">
        <w:t xml:space="preserve"> </w:t>
      </w:r>
      <w:r w:rsidR="000044B0">
        <w:t xml:space="preserve">and perhaps even with a notice of discontinuance, </w:t>
      </w:r>
      <w:r w:rsidR="005D6D46">
        <w:t>was never a complete bar to the contempt proceeding continuing</w:t>
      </w:r>
      <w:r w:rsidR="000044B0">
        <w:t xml:space="preserve"> by the Registrar</w:t>
      </w:r>
      <w:r w:rsidR="005D6D46">
        <w:t xml:space="preserve">.  </w:t>
      </w:r>
      <w:r w:rsidR="000044B0">
        <w:t>In any event, i</w:t>
      </w:r>
      <w:r w:rsidR="0016538B">
        <w:t xml:space="preserve">t is not appropriate to </w:t>
      </w:r>
      <w:r w:rsidR="00280BBB">
        <w:t xml:space="preserve">contemplate </w:t>
      </w:r>
      <w:r w:rsidR="0016538B">
        <w:t>uphold</w:t>
      </w:r>
      <w:r w:rsidR="00280BBB">
        <w:t>ing</w:t>
      </w:r>
      <w:r w:rsidR="0016538B">
        <w:t xml:space="preserve"> a ground of appeal when it entails acceptance of a false premise</w:t>
      </w:r>
      <w:r w:rsidR="000044B0">
        <w:t>.</w:t>
      </w:r>
      <w:r w:rsidR="001414A1">
        <w:t xml:space="preserve">  It follows Ground 3 in appeal QUD 361 of 2021 must fail.</w:t>
      </w:r>
    </w:p>
    <w:p w14:paraId="5CED6024" w14:textId="77777777" w:rsidR="0009613C" w:rsidRDefault="0009613C" w:rsidP="0009613C">
      <w:pPr>
        <w:pStyle w:val="Heading2"/>
      </w:pPr>
      <w:r>
        <w:t xml:space="preserve">Ground 4, QUD 361 of 2021: </w:t>
      </w:r>
      <w:r w:rsidR="00CF6EE5">
        <w:t xml:space="preserve">Error </w:t>
      </w:r>
      <w:r>
        <w:t xml:space="preserve">in finding </w:t>
      </w:r>
      <w:r w:rsidR="00CF6EE5">
        <w:t xml:space="preserve">that </w:t>
      </w:r>
      <w:r>
        <w:t xml:space="preserve">the </w:t>
      </w:r>
      <w:r w:rsidR="00CF6EE5">
        <w:t>R</w:t>
      </w:r>
      <w:r>
        <w:t>egistrar was competent to take over the contempt proceeding in order to vindicate the public interest</w:t>
      </w:r>
    </w:p>
    <w:p w14:paraId="198E3D6A" w14:textId="77777777" w:rsidR="000044B0" w:rsidRDefault="00CD2850" w:rsidP="00B4757D">
      <w:pPr>
        <w:pStyle w:val="ParaNumbering"/>
      </w:pPr>
      <w:r>
        <w:t xml:space="preserve">This ground is not directed to the existence of a power to make the impugned order directed to the Registrar to take over the contempt proceeding, but rather to the </w:t>
      </w:r>
      <w:r w:rsidR="008C48B2">
        <w:t>asserted</w:t>
      </w:r>
      <w:r w:rsidR="0026116E">
        <w:t xml:space="preserve"> erroneous </w:t>
      </w:r>
      <w:r>
        <w:t xml:space="preserve">basis </w:t>
      </w:r>
      <w:r w:rsidR="00E93B8E">
        <w:t xml:space="preserve">for </w:t>
      </w:r>
      <w:r w:rsidR="0026116E">
        <w:t xml:space="preserve">upholding </w:t>
      </w:r>
      <w:r>
        <w:t xml:space="preserve">its exercise.  </w:t>
      </w:r>
      <w:r w:rsidR="0009613C">
        <w:t xml:space="preserve">In substance, </w:t>
      </w:r>
      <w:r w:rsidR="00204FEE" w:rsidRPr="00576314">
        <w:t>Mr Mensink</w:t>
      </w:r>
      <w:r w:rsidR="0009613C">
        <w:t xml:space="preserve"> suggests that once the private interest</w:t>
      </w:r>
      <w:r w:rsidR="00204FEE">
        <w:t>s between the SPLs</w:t>
      </w:r>
      <w:r w:rsidR="00CF6EE5">
        <w:t>,</w:t>
      </w:r>
      <w:r w:rsidR="00204FEE">
        <w:t xml:space="preserve"> </w:t>
      </w:r>
      <w:r w:rsidR="00CF6EE5">
        <w:t>himself,</w:t>
      </w:r>
      <w:r w:rsidR="00204FEE">
        <w:t xml:space="preserve"> and the other parties to the </w:t>
      </w:r>
      <w:r>
        <w:t>settlement deed</w:t>
      </w:r>
      <w:r w:rsidR="00204FEE">
        <w:t xml:space="preserve"> had been resolved by its execution</w:t>
      </w:r>
      <w:r w:rsidR="0009613C">
        <w:t xml:space="preserve">, there was no residual public interest </w:t>
      </w:r>
      <w:r>
        <w:t xml:space="preserve">left </w:t>
      </w:r>
      <w:r w:rsidR="0009613C">
        <w:t>to be vindicated</w:t>
      </w:r>
      <w:r w:rsidR="00CF6EE5">
        <w:t>.</w:t>
      </w:r>
      <w:r w:rsidR="00204FEE">
        <w:t xml:space="preserve"> </w:t>
      </w:r>
      <w:r w:rsidR="000044B0">
        <w:t xml:space="preserve"> </w:t>
      </w:r>
      <w:r w:rsidR="00CF6EE5">
        <w:t>Mr Mensink relie</w:t>
      </w:r>
      <w:r w:rsidR="000044B0">
        <w:t>s</w:t>
      </w:r>
      <w:r w:rsidR="00CF6EE5">
        <w:t xml:space="preserve"> </w:t>
      </w:r>
      <w:r w:rsidR="00204FEE">
        <w:t>upon curial comments to that effect</w:t>
      </w:r>
      <w:r w:rsidR="0009613C">
        <w:t xml:space="preserve">.  </w:t>
      </w:r>
    </w:p>
    <w:p w14:paraId="00D6DA69" w14:textId="0A584246" w:rsidR="00280BBB" w:rsidRPr="0052246A" w:rsidRDefault="0009613C" w:rsidP="00B4757D">
      <w:pPr>
        <w:pStyle w:val="ParaNumbering"/>
      </w:pPr>
      <w:r w:rsidRPr="0052246A">
        <w:lastRenderedPageBreak/>
        <w:t>This cannot be accepted</w:t>
      </w:r>
      <w:r w:rsidR="00204FEE" w:rsidRPr="0052246A">
        <w:t xml:space="preserve"> as having any universal, let alone binding, application.  That is </w:t>
      </w:r>
      <w:r w:rsidRPr="0052246A">
        <w:t xml:space="preserve">especially </w:t>
      </w:r>
      <w:r w:rsidR="00204FEE" w:rsidRPr="0052246A">
        <w:t xml:space="preserve">so </w:t>
      </w:r>
      <w:r w:rsidRPr="0052246A">
        <w:t>in circumstances in which the contempt charge concerns alleged defiance of an order of the Court by a summons to attend for an examination specifically provided for by statute</w:t>
      </w:r>
      <w:r w:rsidR="00204FEE" w:rsidRPr="0052246A">
        <w:t xml:space="preserve"> on two separate occasions</w:t>
      </w:r>
      <w:r w:rsidR="00280BBB" w:rsidRPr="0052246A">
        <w:t>: see [5</w:t>
      </w:r>
      <w:r w:rsidR="00AC58E2" w:rsidRPr="0052246A">
        <w:t>9</w:t>
      </w:r>
      <w:r w:rsidR="00280BBB" w:rsidRPr="0052246A">
        <w:t>]-[</w:t>
      </w:r>
      <w:r w:rsidR="00AC58E2" w:rsidRPr="0052246A">
        <w:t>61</w:t>
      </w:r>
      <w:r w:rsidR="00280BBB" w:rsidRPr="0052246A">
        <w:t>] above</w:t>
      </w:r>
      <w:r w:rsidR="00204FEE" w:rsidRPr="0052246A">
        <w:t xml:space="preserve">.  It is an outcome </w:t>
      </w:r>
      <w:r w:rsidRPr="0052246A">
        <w:t xml:space="preserve">having wide application to all </w:t>
      </w:r>
      <w:r w:rsidR="00CF6EE5" w:rsidRPr="0052246A">
        <w:t>similar</w:t>
      </w:r>
      <w:r w:rsidRPr="0052246A">
        <w:t xml:space="preserve"> proposed examinations.  </w:t>
      </w:r>
    </w:p>
    <w:p w14:paraId="4D85ABE3" w14:textId="421E28A4" w:rsidR="0009613C" w:rsidRDefault="00CF6EE5" w:rsidP="00B4757D">
      <w:pPr>
        <w:pStyle w:val="ParaNumbering"/>
      </w:pPr>
      <w:r>
        <w:t>T</w:t>
      </w:r>
      <w:r w:rsidR="0009613C">
        <w:t xml:space="preserve">he SPLs no longer had an interest in prosecuting </w:t>
      </w:r>
      <w:r>
        <w:t xml:space="preserve">the contempt </w:t>
      </w:r>
      <w:r w:rsidR="00280BBB">
        <w:t xml:space="preserve">proceeding </w:t>
      </w:r>
      <w:r w:rsidR="0009613C">
        <w:t xml:space="preserve">once the </w:t>
      </w:r>
      <w:r w:rsidR="001414A1">
        <w:t xml:space="preserve">part of the </w:t>
      </w:r>
      <w:r w:rsidR="0009613C">
        <w:t xml:space="preserve">principal proceeding in the Queensland Supreme Court </w:t>
      </w:r>
      <w:r w:rsidR="001414A1">
        <w:t xml:space="preserve">involving them </w:t>
      </w:r>
      <w:r w:rsidR="0009613C">
        <w:t>had resolved.</w:t>
      </w:r>
      <w:r w:rsidR="000044B0">
        <w:t xml:space="preserve"> </w:t>
      </w:r>
      <w:r w:rsidR="0009613C">
        <w:t xml:space="preserve"> </w:t>
      </w:r>
      <w:r>
        <w:t>When that occurred, it was plainly appropriate and in the interests of justice to make an order to ensure that the contempt proceeding could continue given the broader implications.</w:t>
      </w:r>
      <w:r w:rsidR="0009613C">
        <w:t xml:space="preserve"> </w:t>
      </w:r>
      <w:r w:rsidR="000044B0">
        <w:t xml:space="preserve"> </w:t>
      </w:r>
      <w:r w:rsidR="0009613C">
        <w:t>There was no error on the part of the primary judge in his Honour’s reasoning and conclusions on this topic.</w:t>
      </w:r>
    </w:p>
    <w:p w14:paraId="1C1FF0B8" w14:textId="77777777" w:rsidR="005D6D46" w:rsidRDefault="005D6D46" w:rsidP="0009613C">
      <w:pPr>
        <w:pStyle w:val="ParaNumbering"/>
      </w:pPr>
      <w:r>
        <w:t xml:space="preserve">Ground 4 in appeal QUD 361 of 2021 must fail.  </w:t>
      </w:r>
    </w:p>
    <w:p w14:paraId="10628C34" w14:textId="2B261EF4" w:rsidR="00D258C6" w:rsidRDefault="00D258C6" w:rsidP="00D258C6">
      <w:pPr>
        <w:pStyle w:val="Heading2"/>
      </w:pPr>
      <w:r>
        <w:t xml:space="preserve">The </w:t>
      </w:r>
      <w:r w:rsidR="009302C1">
        <w:t xml:space="preserve">suppression of evidence adduced and submissions relied upon </w:t>
      </w:r>
    </w:p>
    <w:p w14:paraId="2FA953B3" w14:textId="75905CF8" w:rsidR="00D258C6" w:rsidRDefault="00A007A9" w:rsidP="00D258C6">
      <w:pPr>
        <w:pStyle w:val="ParaNumbering"/>
      </w:pPr>
      <w:r>
        <w:t>The orders made by the Court on 5 August 2019, at a duty hearing, provide</w:t>
      </w:r>
      <w:r w:rsidR="00D258C6">
        <w:t xml:space="preserve"> a </w:t>
      </w:r>
      <w:r w:rsidR="006B7067">
        <w:t>stark</w:t>
      </w:r>
      <w:r w:rsidR="00D258C6">
        <w:t xml:space="preserve"> example of the need to ensure that </w:t>
      </w:r>
      <w:r w:rsidR="001414A1">
        <w:t xml:space="preserve">suppression </w:t>
      </w:r>
      <w:r w:rsidR="00D258C6">
        <w:t>orders</w:t>
      </w:r>
      <w:r w:rsidR="001414A1">
        <w:t>, or orders having the practical effect of suppression orders</w:t>
      </w:r>
      <w:r w:rsidR="004A1A40">
        <w:t xml:space="preserve">, in relation to </w:t>
      </w:r>
      <w:r w:rsidR="00C878B2">
        <w:t>evidence adduced and other material furnished in Court</w:t>
      </w:r>
      <w:r w:rsidR="009302C1">
        <w:t xml:space="preserve"> by which orders are obtained</w:t>
      </w:r>
      <w:r w:rsidR="004A1A40">
        <w:t>, including in closed Court</w:t>
      </w:r>
      <w:r w:rsidR="001414A1">
        <w:t xml:space="preserve">, </w:t>
      </w:r>
      <w:r w:rsidR="00D64BAB">
        <w:t xml:space="preserve">and the reasons for such orders, </w:t>
      </w:r>
      <w:r>
        <w:t>be</w:t>
      </w:r>
      <w:r w:rsidR="00C878B2">
        <w:t xml:space="preserve"> </w:t>
      </w:r>
      <w:r w:rsidR="00D258C6">
        <w:t xml:space="preserve">made </w:t>
      </w:r>
      <w:r w:rsidR="004A1A40">
        <w:t xml:space="preserve">under and </w:t>
      </w:r>
      <w:r w:rsidR="00D258C6">
        <w:t xml:space="preserve">in compliance with the requirements of </w:t>
      </w:r>
      <w:proofErr w:type="spellStart"/>
      <w:r w:rsidR="00D258C6">
        <w:t>Div</w:t>
      </w:r>
      <w:proofErr w:type="spellEnd"/>
      <w:r w:rsidR="00D258C6">
        <w:t xml:space="preserve"> 2 of Pt VAA of the </w:t>
      </w:r>
      <w:r w:rsidR="00D258C6" w:rsidRPr="00D258C6">
        <w:rPr>
          <w:i/>
        </w:rPr>
        <w:t>Act</w:t>
      </w:r>
      <w:r w:rsidR="00D258C6">
        <w:t xml:space="preserve">, which sets out express limits on: </w:t>
      </w:r>
    </w:p>
    <w:p w14:paraId="0DFCC555" w14:textId="77777777" w:rsidR="00D258C6" w:rsidRDefault="00D258C6" w:rsidP="00E33023">
      <w:pPr>
        <w:pStyle w:val="ListNo1alt"/>
        <w:numPr>
          <w:ilvl w:val="0"/>
          <w:numId w:val="31"/>
        </w:numPr>
      </w:pPr>
      <w:r>
        <w:t xml:space="preserve">the power to make any suppression order: s 37AF; </w:t>
      </w:r>
    </w:p>
    <w:p w14:paraId="352B1669" w14:textId="77777777" w:rsidR="00D258C6" w:rsidRDefault="00D258C6" w:rsidP="00E33023">
      <w:pPr>
        <w:pStyle w:val="ListNo1alt"/>
        <w:numPr>
          <w:ilvl w:val="0"/>
          <w:numId w:val="31"/>
        </w:numPr>
      </w:pPr>
      <w:r>
        <w:t xml:space="preserve">the grounds for making such an order: s 37AG; and </w:t>
      </w:r>
    </w:p>
    <w:p w14:paraId="51078D64" w14:textId="77777777" w:rsidR="00D258C6" w:rsidRDefault="00D258C6" w:rsidP="00E33023">
      <w:pPr>
        <w:pStyle w:val="ListNo1alt"/>
        <w:numPr>
          <w:ilvl w:val="0"/>
          <w:numId w:val="31"/>
        </w:numPr>
      </w:pPr>
      <w:proofErr w:type="gramStart"/>
      <w:r>
        <w:t>their</w:t>
      </w:r>
      <w:proofErr w:type="gramEnd"/>
      <w:r>
        <w:t xml:space="preserve"> duration: s 37AJ.  </w:t>
      </w:r>
    </w:p>
    <w:p w14:paraId="29C8079A" w14:textId="4778201E" w:rsidR="00D258C6" w:rsidRDefault="00D258C6" w:rsidP="00D258C6">
      <w:pPr>
        <w:pStyle w:val="ParaNumbering"/>
      </w:pPr>
      <w:r>
        <w:t xml:space="preserve">The only relevant ground for making a suppression order </w:t>
      </w:r>
      <w:r w:rsidR="00C878B2">
        <w:t xml:space="preserve">under </w:t>
      </w:r>
      <w:proofErr w:type="spellStart"/>
      <w:r w:rsidR="00C878B2">
        <w:t>Div</w:t>
      </w:r>
      <w:proofErr w:type="spellEnd"/>
      <w:r w:rsidR="00C878B2">
        <w:t xml:space="preserve"> 2 of Pt VAA </w:t>
      </w:r>
      <w:r>
        <w:t xml:space="preserve">in </w:t>
      </w:r>
      <w:r w:rsidR="0052246A">
        <w:t>QUD 473 of 2019</w:t>
      </w:r>
      <w:r>
        <w:t xml:space="preserve"> was that the order was considered “</w:t>
      </w:r>
      <w:r w:rsidRPr="00E95987">
        <w:t>necessary to prevent prejudice to the proper administration of justice</w:t>
      </w:r>
      <w:r>
        <w:t xml:space="preserve">”, although, contrary to the dictates of the </w:t>
      </w:r>
      <w:r w:rsidRPr="00D258C6">
        <w:rPr>
          <w:i/>
        </w:rPr>
        <w:t>Act</w:t>
      </w:r>
      <w:r>
        <w:t>, that ground was not set out in the order</w:t>
      </w:r>
      <w:r w:rsidR="00C878B2">
        <w:t xml:space="preserve"> that was made</w:t>
      </w:r>
      <w:r>
        <w:t>: see s</w:t>
      </w:r>
      <w:r w:rsidR="007F0260">
        <w:t> </w:t>
      </w:r>
      <w:proofErr w:type="gramStart"/>
      <w:r w:rsidR="00A007A9">
        <w:t>3</w:t>
      </w:r>
      <w:r>
        <w:t>7AF(</w:t>
      </w:r>
      <w:proofErr w:type="gramEnd"/>
      <w:r>
        <w:t xml:space="preserve">1)(a) and s 37AF(2).  </w:t>
      </w:r>
    </w:p>
    <w:p w14:paraId="79D8635A" w14:textId="7C48A1ED" w:rsidR="00D258C6" w:rsidRDefault="00D258C6" w:rsidP="00D258C6">
      <w:pPr>
        <w:pStyle w:val="ParaNumbering"/>
      </w:pPr>
      <w:r>
        <w:t xml:space="preserve">As explained above, the settlement deed in this case was approved by a judge of the Court at a duty hearing </w:t>
      </w:r>
      <w:r w:rsidR="00A007A9">
        <w:t xml:space="preserve">on 5 </w:t>
      </w:r>
      <w:r>
        <w:t xml:space="preserve">August 2019, but reasons were not delivered nor provided until 30 months later in the settlement </w:t>
      </w:r>
      <w:r w:rsidRPr="00D258C6">
        <w:t>approval judgment</w:t>
      </w:r>
      <w:r>
        <w:t xml:space="preserve">.  As is recorded in that judgment at [1], the sole remaining special purpose liquidator sought orders that reasons explaining the basis for the making of the settlement approval not be published until proceedings in the Supreme Court </w:t>
      </w:r>
      <w:r>
        <w:lastRenderedPageBreak/>
        <w:t>had been heard and determined.  The basis of this request was that much of the information relied upon on the settlement approval application was commercially sensitive</w:t>
      </w:r>
      <w:r w:rsidR="0052246A">
        <w:t>,</w:t>
      </w:r>
      <w:r>
        <w:t xml:space="preserve"> and its disclosure may have had an impact upon the conduct and determination of issues in the Supreme Court proceedings.  In the settlement approval judgment at [8] to [11], the following is recorded:</w:t>
      </w:r>
    </w:p>
    <w:p w14:paraId="7D686DAD" w14:textId="77777777" w:rsidR="00D258C6" w:rsidRDefault="00D258C6" w:rsidP="00D258C6">
      <w:pPr>
        <w:pStyle w:val="Quote1"/>
      </w:pPr>
      <w:r>
        <w:t xml:space="preserve">As earlier mentioned, the Court also ordered on 5 August 2019 that Mr </w:t>
      </w:r>
      <w:proofErr w:type="spellStart"/>
      <w:r>
        <w:t>Parbery’s</w:t>
      </w:r>
      <w:proofErr w:type="spellEnd"/>
      <w:r>
        <w:t xml:space="preserve"> affidavit of 5 August 2019 and the written outline of submissions of counsel not be made available for inspection and not be filed electronically. The Court also ordered that until the delivery of judgment or the filing of a notice of discontinuance in [the] Supreme Court proceeding…or further order (whichever is the earlier), the Court’s reasons for judgment in the present proceeding not be published. The orders and judgment of the Supreme Court in the proceeding described at [4] of these reasons was the subject of appeal to the Court of Appeal. Judgment on appeal was delivered on 25</w:t>
      </w:r>
      <w:r w:rsidR="00AA5A9F">
        <w:t> </w:t>
      </w:r>
      <w:r>
        <w:t xml:space="preserve">June 2021: </w:t>
      </w:r>
      <w:r w:rsidRPr="00183492">
        <w:rPr>
          <w:i/>
        </w:rPr>
        <w:t xml:space="preserve">Queensland Nickel Pty Ltd (in </w:t>
      </w:r>
      <w:proofErr w:type="spellStart"/>
      <w:r w:rsidRPr="00183492">
        <w:rPr>
          <w:i/>
        </w:rPr>
        <w:t>liq</w:t>
      </w:r>
      <w:proofErr w:type="spellEnd"/>
      <w:r w:rsidRPr="00183492">
        <w:rPr>
          <w:i/>
        </w:rPr>
        <w:t xml:space="preserve">) v QNI Metal Ltd &amp; </w:t>
      </w:r>
      <w:proofErr w:type="spellStart"/>
      <w:r w:rsidRPr="00183492">
        <w:rPr>
          <w:i/>
        </w:rPr>
        <w:t>Ors</w:t>
      </w:r>
      <w:proofErr w:type="spellEnd"/>
      <w:r>
        <w:t xml:space="preserve"> [2021] QCA</w:t>
      </w:r>
      <w:r w:rsidR="00AA5A9F">
        <w:t> </w:t>
      </w:r>
      <w:r>
        <w:t>138 (“Appeal Decision”). The appeal was allowed and judgment was entered for QNI and the General Purpose Liquidators against Mineralogy Pty Ltd in an amount of $102,884,346.26 concerning payments out of QNI’s “bank account to or for the benefit of Mineralogy”: Appeal Decision [5].</w:t>
      </w:r>
    </w:p>
    <w:p w14:paraId="2A447AF6" w14:textId="77777777" w:rsidR="00D258C6" w:rsidRDefault="00D258C6" w:rsidP="00D258C6">
      <w:pPr>
        <w:pStyle w:val="Quote1"/>
      </w:pPr>
      <w:r>
        <w:t>…</w:t>
      </w:r>
    </w:p>
    <w:p w14:paraId="202E059D" w14:textId="77777777" w:rsidR="00D258C6" w:rsidRPr="007756CC" w:rsidRDefault="00D258C6" w:rsidP="00D258C6">
      <w:pPr>
        <w:pStyle w:val="Quote1"/>
        <w:rPr>
          <w:b/>
        </w:rPr>
      </w:pPr>
      <w:r w:rsidRPr="007756CC">
        <w:rPr>
          <w:b/>
        </w:rPr>
        <w:t>Because judgment on the trial of the action before the Supreme Court has now been delivered and published, publication of short reasons explanatory of the making of the orders on 5 August 2019 cannot affect the conduct and determination of any questions of fact or law in those proceedings.</w:t>
      </w:r>
    </w:p>
    <w:p w14:paraId="209A0E23" w14:textId="77777777" w:rsidR="00D258C6" w:rsidRDefault="00D258C6" w:rsidP="00D258C6">
      <w:pPr>
        <w:pStyle w:val="Quote1"/>
      </w:pPr>
      <w:r w:rsidRPr="00761926">
        <w:t>Accordingly, it is appropriate to now give short reasons for the making of the orders in this Court on 5 August 2019 rather than defer doing so any further until any date after the hearing of the special leave application or, for that matter, the determination of the appeal should leave be granted.</w:t>
      </w:r>
    </w:p>
    <w:p w14:paraId="511D0DBC" w14:textId="77777777" w:rsidR="00D258C6" w:rsidRDefault="00D258C6" w:rsidP="00D258C6">
      <w:pPr>
        <w:pStyle w:val="Quote1"/>
        <w:spacing w:after="360"/>
        <w:ind w:left="734" w:right="734"/>
      </w:pPr>
      <w:r>
        <w:t>(Emphasis added)</w:t>
      </w:r>
    </w:p>
    <w:p w14:paraId="62A4C7E7" w14:textId="094C8941" w:rsidR="00D258C6" w:rsidRDefault="00D258C6" w:rsidP="00D258C6">
      <w:pPr>
        <w:pStyle w:val="ParaNumbering"/>
      </w:pPr>
      <w:r>
        <w:t xml:space="preserve">The problem is that when the matter came before Rangiah J in September 2021, it was unclear the actual basis upon which the settlement approval had been given.  </w:t>
      </w:r>
      <w:r w:rsidRPr="007756CC">
        <w:t xml:space="preserve">Judgment in the Supreme Court </w:t>
      </w:r>
      <w:r>
        <w:t xml:space="preserve">proceedings </w:t>
      </w:r>
      <w:r w:rsidRPr="007756CC">
        <w:t>was given on 3 June 2020 (</w:t>
      </w:r>
      <w:proofErr w:type="spellStart"/>
      <w:r w:rsidRPr="007756CC">
        <w:rPr>
          <w:i/>
        </w:rPr>
        <w:t>Parbery</w:t>
      </w:r>
      <w:proofErr w:type="spellEnd"/>
      <w:r w:rsidRPr="007756CC">
        <w:rPr>
          <w:i/>
        </w:rPr>
        <w:t xml:space="preserve"> v QNI Metals Pty Ltd</w:t>
      </w:r>
      <w:r w:rsidRPr="007756CC">
        <w:t> [2020] QSC 143) and</w:t>
      </w:r>
      <w:r w:rsidR="007F0260">
        <w:t xml:space="preserve"> </w:t>
      </w:r>
      <w:r w:rsidRPr="007756CC">
        <w:t>the appeal was dismissed</w:t>
      </w:r>
      <w:r>
        <w:t xml:space="preserve"> on 25 June 2021.  Although reasons for the settlement approval were subsequently published, given the terms of the </w:t>
      </w:r>
      <w:r w:rsidR="007F0260">
        <w:t xml:space="preserve">effective </w:t>
      </w:r>
      <w:r>
        <w:t xml:space="preserve">suppression order (initially proposed by the special purpose liquidator), even after the first day of this appeal the continued suppression of evidence had the consequence of allowing Mr Mensink to advance an untenable submission that the judge approving the settlement deed </w:t>
      </w:r>
      <w:r w:rsidRPr="002B1C94">
        <w:rPr>
          <w:i/>
        </w:rPr>
        <w:t>must</w:t>
      </w:r>
      <w:r>
        <w:t xml:space="preserve"> have been aware that the settlement compromised the claims of contempt.</w:t>
      </w:r>
    </w:p>
    <w:p w14:paraId="6695C441" w14:textId="5FF1CBF7" w:rsidR="00D258C6" w:rsidRDefault="00D258C6" w:rsidP="00D258C6">
      <w:pPr>
        <w:pStyle w:val="ParaNumbering"/>
      </w:pPr>
      <w:r>
        <w:lastRenderedPageBreak/>
        <w:t>The suppression order sought by the special purpose liquidator should have been calibrated to ensure that reasons were provided at the time of settlement approval (or shortly thereafter) and a copy of the judgment not be published until the delivery of judgment in the Supreme Court proceeding (except to the special purpose liquidator).  The duration of the suppression order should have been no later than the period necessary, that is, until completion of the Supreme Court proceeding (which turned out to be June 2020).  If this had been the case, the parties, Rangiah J and the Full Court would have obtained a copy of the reasons and the precise material relied upon in order to obtain settlement approval</w:t>
      </w:r>
      <w:r w:rsidR="00AA5A9F">
        <w:t xml:space="preserve"> at the outset</w:t>
      </w:r>
      <w:r>
        <w:t>.</w:t>
      </w:r>
      <w:r w:rsidR="008050C3">
        <w:t xml:space="preserve"> </w:t>
      </w:r>
      <w:r>
        <w:t xml:space="preserve"> This would have prevented submissions ever having being put to this Court based on what turned out to be an entirely false premise.</w:t>
      </w:r>
      <w:r w:rsidR="007F0260">
        <w:t xml:space="preserve"> </w:t>
      </w:r>
    </w:p>
    <w:p w14:paraId="1A96DB91" w14:textId="77777777" w:rsidR="005D6D46" w:rsidRDefault="005D6D46" w:rsidP="005D6D46">
      <w:pPr>
        <w:pStyle w:val="Heading2"/>
      </w:pPr>
      <w:r>
        <w:t xml:space="preserve">Conclusion </w:t>
      </w:r>
    </w:p>
    <w:p w14:paraId="2871F702" w14:textId="45BB8F62" w:rsidR="0042585C" w:rsidRDefault="005D6D46" w:rsidP="0042585C">
      <w:pPr>
        <w:pStyle w:val="ParaNumbering"/>
      </w:pPr>
      <w:r>
        <w:t>As all four grounds of appeal have failed, appeal QUD 361 of 2021 must be dismissed</w:t>
      </w:r>
      <w:r w:rsidR="001D50B0">
        <w:t xml:space="preserve"> with costs</w:t>
      </w:r>
      <w:r>
        <w:t>.</w:t>
      </w:r>
      <w:r w:rsidR="001D50B0">
        <w:t xml:space="preserve">  As already noted, leave to rely upon ground 1 in appeal QUD 53 of 2021 is refused and ground 2 must fail.  As the remaining grounds were abandoned, that appeal must be dismissed with costs.</w:t>
      </w:r>
      <w:r w:rsidR="0042585C">
        <w:t xml:space="preserve"> </w:t>
      </w:r>
    </w:p>
    <w:tbl>
      <w:tblPr>
        <w:tblW w:w="0" w:type="auto"/>
        <w:tblLook w:val="04A0" w:firstRow="1" w:lastRow="0" w:firstColumn="1" w:lastColumn="0" w:noHBand="0" w:noVBand="1"/>
      </w:tblPr>
      <w:tblGrid>
        <w:gridCol w:w="3794"/>
      </w:tblGrid>
      <w:tr w:rsidR="0052246A" w:rsidRPr="0052246A" w14:paraId="4CDF0651" w14:textId="77777777">
        <w:tc>
          <w:tcPr>
            <w:tcW w:w="3794" w:type="dxa"/>
            <w:shd w:val="clear" w:color="auto" w:fill="auto"/>
          </w:tcPr>
          <w:p w14:paraId="6690677D" w14:textId="37B00341" w:rsidR="0052246A" w:rsidRPr="0052246A" w:rsidRDefault="0052246A" w:rsidP="00DC4D5E">
            <w:pPr>
              <w:pStyle w:val="Normal1linespace"/>
            </w:pPr>
            <w:bookmarkStart w:id="24" w:name="Certification"/>
            <w:r w:rsidRPr="0052246A">
              <w:t xml:space="preserve">I certify that the preceding </w:t>
            </w:r>
            <w:bookmarkStart w:id="25" w:name="NumberWord"/>
            <w:r w:rsidR="00E95987">
              <w:t>eighty-one</w:t>
            </w:r>
            <w:bookmarkEnd w:id="25"/>
            <w:r w:rsidRPr="0052246A">
              <w:t xml:space="preserve"> (</w:t>
            </w:r>
            <w:r w:rsidR="00E95987">
              <w:t>81</w:t>
            </w:r>
            <w:r w:rsidRPr="0052246A">
              <w:t xml:space="preserve">) numbered </w:t>
            </w:r>
            <w:bookmarkStart w:id="26" w:name="CertPara"/>
            <w:r>
              <w:t>paragraphs are</w:t>
            </w:r>
            <w:bookmarkEnd w:id="26"/>
            <w:r w:rsidRPr="0052246A">
              <w:t xml:space="preserve"> a true copy of the Reasons for Judgment of </w:t>
            </w:r>
            <w:bookmarkStart w:id="27" w:name="bkHonourable"/>
            <w:r w:rsidRPr="0052246A">
              <w:t xml:space="preserve">the Honourable </w:t>
            </w:r>
            <w:bookmarkStart w:id="28" w:name="Justice"/>
            <w:bookmarkEnd w:id="27"/>
            <w:r>
              <w:t xml:space="preserve">Justices Bromwich, Lee and </w:t>
            </w:r>
            <w:proofErr w:type="spellStart"/>
            <w:r>
              <w:t>Thawley</w:t>
            </w:r>
            <w:bookmarkEnd w:id="28"/>
            <w:proofErr w:type="spellEnd"/>
            <w:r w:rsidRPr="0052246A">
              <w:t>.</w:t>
            </w:r>
          </w:p>
        </w:tc>
      </w:tr>
    </w:tbl>
    <w:p w14:paraId="700C3B7E" w14:textId="77777777" w:rsidR="0056781D" w:rsidRDefault="0056781D" w:rsidP="00480BA6">
      <w:pPr>
        <w:pStyle w:val="BodyText"/>
      </w:pPr>
    </w:p>
    <w:p w14:paraId="5C6167D6" w14:textId="151F69E7" w:rsidR="0052246A" w:rsidRDefault="0052246A" w:rsidP="00480BA6">
      <w:pPr>
        <w:pStyle w:val="BodyText"/>
      </w:pPr>
      <w:r>
        <w:t xml:space="preserve">Associate: </w:t>
      </w:r>
      <w:bookmarkStart w:id="29" w:name="_GoBack"/>
      <w:bookmarkEnd w:id="29"/>
    </w:p>
    <w:p w14:paraId="6DA41435" w14:textId="041A4F9D" w:rsidR="00B4757D" w:rsidRDefault="0052246A" w:rsidP="0052246A">
      <w:pPr>
        <w:pStyle w:val="BodyText"/>
        <w:tabs>
          <w:tab w:val="left" w:pos="1134"/>
        </w:tabs>
      </w:pPr>
      <w:r>
        <w:t>Dated:</w:t>
      </w:r>
      <w:r>
        <w:tab/>
        <w:t>9 June 2022</w:t>
      </w:r>
      <w:bookmarkEnd w:id="24"/>
    </w:p>
    <w:sectPr w:rsidR="00B4757D"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888E1" w14:textId="77777777" w:rsidR="0083186C" w:rsidRDefault="0083186C">
      <w:pPr>
        <w:spacing w:line="20" w:lineRule="exact"/>
      </w:pPr>
    </w:p>
    <w:p w14:paraId="7AB813A6" w14:textId="77777777" w:rsidR="0083186C" w:rsidRDefault="0083186C"/>
    <w:p w14:paraId="02D6C783" w14:textId="77777777" w:rsidR="0083186C" w:rsidRDefault="0083186C"/>
  </w:endnote>
  <w:endnote w:type="continuationSeparator" w:id="0">
    <w:p w14:paraId="05C30BD2" w14:textId="77777777" w:rsidR="0083186C" w:rsidRDefault="0083186C">
      <w:r>
        <w:t xml:space="preserve"> </w:t>
      </w:r>
    </w:p>
    <w:p w14:paraId="26A93206" w14:textId="77777777" w:rsidR="0083186C" w:rsidRDefault="0083186C"/>
    <w:p w14:paraId="43F0EA59" w14:textId="77777777" w:rsidR="0083186C" w:rsidRDefault="0083186C"/>
  </w:endnote>
  <w:endnote w:type="continuationNotice" w:id="1">
    <w:p w14:paraId="1FF1670F" w14:textId="77777777" w:rsidR="0083186C" w:rsidRDefault="0083186C">
      <w:r>
        <w:t xml:space="preserve"> </w:t>
      </w:r>
    </w:p>
    <w:p w14:paraId="0B0B61D3" w14:textId="77777777" w:rsidR="0083186C" w:rsidRDefault="0083186C"/>
    <w:p w14:paraId="4EB4980B" w14:textId="77777777" w:rsidR="0083186C" w:rsidRDefault="0083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5539" w14:textId="6C942736" w:rsidR="00480BA6" w:rsidRPr="00C47B9D" w:rsidRDefault="00480BA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655E36F6" wp14:editId="6A6F702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667A9"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7671C">
          <w:rPr>
            <w:bCs/>
            <w:sz w:val="18"/>
            <w:szCs w:val="18"/>
          </w:rPr>
          <w:t xml:space="preserve">Mensink v Registrar of the Federal Court of Australia [2022] FCAFC 102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C0A2" w14:textId="442F65FE" w:rsidR="00480BA6" w:rsidRPr="00C47B9D" w:rsidRDefault="00480BA6"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502F755E" wp14:editId="47B67D2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EE5F9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ACB5174A9A8417C88782D5A246F981D"/>
        </w:placeholder>
        <w:dataBinding w:prefixMappings="xmlns:ns0='http://schemas.globalmacros.com/FCA'" w:xpath="/ns0:root[1]/ns0:Name[1]" w:storeItemID="{687E7CCB-4AA5-44E7-B148-17BA2B6F57C0}"/>
        <w:text w:multiLine="1"/>
      </w:sdtPr>
      <w:sdtEndPr/>
      <w:sdtContent>
        <w:r w:rsidR="0077671C">
          <w:rPr>
            <w:bCs/>
            <w:sz w:val="18"/>
            <w:szCs w:val="18"/>
          </w:rPr>
          <w:t xml:space="preserve">Mensink v Registrar of the Federal Court of Australia [2022] FCAFC 102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noProof/>
        <w:sz w:val="20"/>
      </w:rPr>
      <w:t>1</w:t>
    </w:r>
    <w:r w:rsidRPr="00EA7F6D">
      <w:rPr>
        <w:bCs/>
        <w:noProof/>
        <w:sz w:val="20"/>
      </w:rPr>
      <w:fldChar w:fldCharType="end"/>
    </w:r>
  </w:p>
  <w:p w14:paraId="7B210720" w14:textId="418F2154" w:rsidR="00480BA6" w:rsidRPr="00A84FD0" w:rsidRDefault="00480BA6" w:rsidP="00A84FD0">
    <w:pPr>
      <w:pStyle w:val="Footer"/>
      <w:jc w:val="center"/>
      <w:rPr>
        <w:sz w:val="28"/>
      </w:rPr>
    </w:pPr>
    <w:r>
      <w:rPr>
        <w:b/>
        <w:sz w:val="28"/>
      </w:rPr>
      <w:t xml:space="preserve">DRAFT - Judgment Template v.1.3 - </w:t>
    </w:r>
    <w:r>
      <w:rPr>
        <w:b/>
        <w:sz w:val="28"/>
      </w:rPr>
      <w:fldChar w:fldCharType="begin"/>
    </w:r>
    <w:r>
      <w:rPr>
        <w:b/>
        <w:sz w:val="28"/>
      </w:rPr>
      <w:instrText xml:space="preserve"> DATE  \@ "d MMMM yyyy"  \* MERGEFORMAT </w:instrText>
    </w:r>
    <w:r>
      <w:rPr>
        <w:b/>
        <w:sz w:val="28"/>
      </w:rPr>
      <w:fldChar w:fldCharType="separate"/>
    </w:r>
    <w:r w:rsidR="00884149">
      <w:rPr>
        <w:b/>
        <w:noProof/>
        <w:sz w:val="28"/>
      </w:rPr>
      <w:t>9 June 2022</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884149">
      <w:rPr>
        <w:b/>
        <w:noProof/>
        <w:sz w:val="28"/>
      </w:rPr>
      <w:t>3:59 PM</w:t>
    </w:r>
    <w:r>
      <w:rPr>
        <w:b/>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8F464" w14:textId="47915A77" w:rsidR="00480BA6" w:rsidRPr="00C47B9D" w:rsidRDefault="00480BA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EEB16A2" wp14:editId="5BD00EC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580E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859F7C9D17214E788A07BA1F3E678F1C"/>
        </w:placeholder>
        <w:dataBinding w:prefixMappings="xmlns:ns0='http://schemas.globalmacros.com/FCA'" w:xpath="/ns0:root[1]/ns0:Name[1]" w:storeItemID="{687E7CCB-4AA5-44E7-B148-17BA2B6F57C0}"/>
        <w:text w:multiLine="1"/>
      </w:sdtPr>
      <w:sdtEndPr/>
      <w:sdtContent>
        <w:r w:rsidR="0077671C">
          <w:rPr>
            <w:bCs/>
            <w:sz w:val="18"/>
            <w:szCs w:val="18"/>
          </w:rPr>
          <w:t xml:space="preserve">Mensink v Registrar of the Federal Court of Australia [2022] FCAFC 102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4149">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4A9EE" w14:textId="09ED88B4" w:rsidR="00480BA6" w:rsidRPr="00C47B9D" w:rsidRDefault="00480BA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7D4D963" wp14:editId="1BA4A20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34A2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B8BAF0E5935F4CBA85449C3A42B6D4BE"/>
        </w:placeholder>
        <w:dataBinding w:prefixMappings="xmlns:ns0='http://schemas.globalmacros.com/FCA'" w:xpath="/ns0:root[1]/ns0:Name[1]" w:storeItemID="{687E7CCB-4AA5-44E7-B148-17BA2B6F57C0}"/>
        <w:text w:multiLine="1"/>
      </w:sdtPr>
      <w:sdtEndPr/>
      <w:sdtContent>
        <w:r w:rsidR="0077671C">
          <w:rPr>
            <w:bCs/>
            <w:sz w:val="18"/>
            <w:szCs w:val="18"/>
          </w:rPr>
          <w:t xml:space="preserve">Mensink v Registrar of the Federal Court of Australia [2022] FCAFC 102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4149">
      <w:rPr>
        <w:bCs/>
        <w:noProof/>
        <w:sz w:val="20"/>
      </w:rPr>
      <w:t>21</w:t>
    </w:r>
    <w:r w:rsidRPr="00EA7F6D">
      <w:rPr>
        <w:bCs/>
        <w:noProof/>
        <w:sz w:val="20"/>
      </w:rPr>
      <w:fldChar w:fldCharType="end"/>
    </w:r>
  </w:p>
  <w:p w14:paraId="48C7DA04" w14:textId="0B4F8497" w:rsidR="00480BA6" w:rsidRPr="00A84FD0" w:rsidRDefault="00480BA6" w:rsidP="00A84FD0">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C2249" w14:textId="4715A3F0" w:rsidR="00480BA6" w:rsidRPr="00C47B9D" w:rsidRDefault="00480BA6"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15E8B213" wp14:editId="1B0439F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F2557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2B4B9E71FA6D49AD98826DFB1F4C89AF"/>
        </w:placeholder>
        <w:dataBinding w:prefixMappings="xmlns:ns0='http://schemas.globalmacros.com/FCA'" w:xpath="/ns0:root[1]/ns0:Name[1]" w:storeItemID="{687E7CCB-4AA5-44E7-B148-17BA2B6F57C0}"/>
        <w:text w:multiLine="1"/>
      </w:sdtPr>
      <w:sdtEndPr/>
      <w:sdtContent>
        <w:r w:rsidR="0077671C">
          <w:rPr>
            <w:bCs/>
            <w:sz w:val="18"/>
            <w:szCs w:val="18"/>
          </w:rPr>
          <w:t xml:space="preserve">Mensink v Registrar of the Federal Court of Australia [2022] FCAFC 102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884149">
      <w:rPr>
        <w:bCs/>
        <w:noProof/>
        <w:sz w:val="20"/>
      </w:rPr>
      <w:t>1</w:t>
    </w:r>
    <w:r w:rsidRPr="00EA7F6D">
      <w:rPr>
        <w:bCs/>
        <w:noProof/>
        <w:sz w:val="20"/>
      </w:rPr>
      <w:fldChar w:fldCharType="end"/>
    </w:r>
  </w:p>
  <w:p w14:paraId="7B9C2C5F" w14:textId="71721EAF" w:rsidR="00480BA6" w:rsidRPr="00A84FD0" w:rsidRDefault="00480BA6"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31471" w14:textId="77777777" w:rsidR="0083186C" w:rsidRDefault="0083186C"/>
  </w:footnote>
  <w:footnote w:type="continuationSeparator" w:id="0">
    <w:p w14:paraId="5BDB140C" w14:textId="77777777" w:rsidR="0083186C" w:rsidRDefault="0083186C">
      <w:r>
        <w:continuationSeparator/>
      </w:r>
    </w:p>
    <w:p w14:paraId="7E9CE52D" w14:textId="77777777" w:rsidR="0083186C" w:rsidRDefault="0083186C"/>
    <w:p w14:paraId="6410E0DD" w14:textId="77777777" w:rsidR="0083186C" w:rsidRDefault="008318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6F39" w14:textId="77777777" w:rsidR="00480BA6" w:rsidRDefault="00480BA6">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D6D5" w14:textId="77777777" w:rsidR="00480BA6" w:rsidRDefault="00480BA6">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0361" w14:textId="77777777" w:rsidR="00480BA6" w:rsidRDefault="00480BA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48FFD" w14:textId="77777777" w:rsidR="00480BA6" w:rsidRDefault="00480BA6">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F31A3" w14:textId="77777777" w:rsidR="00480BA6" w:rsidRDefault="00480BA6"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2"/>
  </w:num>
  <w:num w:numId="25">
    <w:abstractNumId w:val="17"/>
  </w:num>
  <w:num w:numId="26">
    <w:abstractNumId w:val="17"/>
  </w:num>
  <w:num w:numId="2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Registrar of the Federal Court of Australia v Mensink [2021] FCA 1152"/>
    <w:docVar w:name="Applicant" w:val="Clive Theodore Mensink"/>
    <w:docVar w:name="CounselParties" w:val="Applic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53 of 2021_x000d_QUD 361 of 2021"/>
    <w:docVar w:name="Initiators" w:val="(and another named in the Schedule)"/>
    <w:docVar w:name="Judgdate" w:val="# #"/>
    <w:docVar w:name="Judge" w:val="Bromwich, Lee, Thawley"/>
    <w:docVar w:name="JudgeType" w:val="Justices"/>
    <w:docVar w:name="lstEntryList" w:val="-1"/>
    <w:docVar w:name="myEntryList" w:val="Counsel for the Applicant=P Dunning QC, K Juhasz, K Byrne|Counsel for the Respondent=S Holt QC, A Hughes"/>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Federal Crime and Related Proceedings"/>
    <w:docVar w:name="RESAndAnother" w:val="True"/>
    <w:docVar w:name="RESAndOthers" w:val="False"/>
    <w:docVar w:name="Respondent" w:val="Registrar of the Federal Court of Australia"/>
    <w:docVar w:name="ResState" w:val="New South Wales"/>
    <w:docVar w:name="SubArea" w:val="(none)"/>
  </w:docVars>
  <w:rsids>
    <w:rsidRoot w:val="00E77505"/>
    <w:rsid w:val="00000747"/>
    <w:rsid w:val="00001297"/>
    <w:rsid w:val="00001877"/>
    <w:rsid w:val="000044B0"/>
    <w:rsid w:val="000115C5"/>
    <w:rsid w:val="0001469E"/>
    <w:rsid w:val="00015993"/>
    <w:rsid w:val="00017E43"/>
    <w:rsid w:val="00021CCB"/>
    <w:rsid w:val="00022289"/>
    <w:rsid w:val="000237E9"/>
    <w:rsid w:val="00027398"/>
    <w:rsid w:val="00030229"/>
    <w:rsid w:val="0003201A"/>
    <w:rsid w:val="0003207A"/>
    <w:rsid w:val="00032F9F"/>
    <w:rsid w:val="00041C07"/>
    <w:rsid w:val="00043952"/>
    <w:rsid w:val="00045BB7"/>
    <w:rsid w:val="00050D15"/>
    <w:rsid w:val="000553E1"/>
    <w:rsid w:val="00055719"/>
    <w:rsid w:val="0005641B"/>
    <w:rsid w:val="00060D5E"/>
    <w:rsid w:val="0006196A"/>
    <w:rsid w:val="00061CA2"/>
    <w:rsid w:val="00063EF9"/>
    <w:rsid w:val="000650F0"/>
    <w:rsid w:val="00071FB3"/>
    <w:rsid w:val="000725AB"/>
    <w:rsid w:val="00077768"/>
    <w:rsid w:val="00081497"/>
    <w:rsid w:val="00082D77"/>
    <w:rsid w:val="000831EC"/>
    <w:rsid w:val="00084126"/>
    <w:rsid w:val="000849D4"/>
    <w:rsid w:val="00085255"/>
    <w:rsid w:val="0009613C"/>
    <w:rsid w:val="00097615"/>
    <w:rsid w:val="000A2E76"/>
    <w:rsid w:val="000A4807"/>
    <w:rsid w:val="000A4BE4"/>
    <w:rsid w:val="000B3E03"/>
    <w:rsid w:val="000C023E"/>
    <w:rsid w:val="000C1ED8"/>
    <w:rsid w:val="000C3C59"/>
    <w:rsid w:val="000C405D"/>
    <w:rsid w:val="000C5195"/>
    <w:rsid w:val="000C5CB7"/>
    <w:rsid w:val="000C62EF"/>
    <w:rsid w:val="000D03B9"/>
    <w:rsid w:val="000D2137"/>
    <w:rsid w:val="000D297A"/>
    <w:rsid w:val="000D3FD2"/>
    <w:rsid w:val="000D4B2E"/>
    <w:rsid w:val="000D6703"/>
    <w:rsid w:val="000D695F"/>
    <w:rsid w:val="000E3FC8"/>
    <w:rsid w:val="000E6656"/>
    <w:rsid w:val="000E7BAE"/>
    <w:rsid w:val="000F133D"/>
    <w:rsid w:val="000F3AA6"/>
    <w:rsid w:val="00102274"/>
    <w:rsid w:val="00104077"/>
    <w:rsid w:val="0010536B"/>
    <w:rsid w:val="00110B12"/>
    <w:rsid w:val="0011145C"/>
    <w:rsid w:val="001128BD"/>
    <w:rsid w:val="0011419D"/>
    <w:rsid w:val="00114B02"/>
    <w:rsid w:val="00115F19"/>
    <w:rsid w:val="001226C0"/>
    <w:rsid w:val="00126EC8"/>
    <w:rsid w:val="0012731C"/>
    <w:rsid w:val="00132054"/>
    <w:rsid w:val="00134964"/>
    <w:rsid w:val="001351B9"/>
    <w:rsid w:val="00140C15"/>
    <w:rsid w:val="001414A1"/>
    <w:rsid w:val="00155CD2"/>
    <w:rsid w:val="00162BEA"/>
    <w:rsid w:val="0016538B"/>
    <w:rsid w:val="00165752"/>
    <w:rsid w:val="0016793F"/>
    <w:rsid w:val="00167D43"/>
    <w:rsid w:val="001727A4"/>
    <w:rsid w:val="0017376C"/>
    <w:rsid w:val="001738AB"/>
    <w:rsid w:val="001765E0"/>
    <w:rsid w:val="00176E34"/>
    <w:rsid w:val="00177759"/>
    <w:rsid w:val="00180BB3"/>
    <w:rsid w:val="00180F77"/>
    <w:rsid w:val="00185DD6"/>
    <w:rsid w:val="00185E6B"/>
    <w:rsid w:val="00187BBC"/>
    <w:rsid w:val="001917FD"/>
    <w:rsid w:val="001932F3"/>
    <w:rsid w:val="001A2206"/>
    <w:rsid w:val="001A2B40"/>
    <w:rsid w:val="001A4309"/>
    <w:rsid w:val="001A46AE"/>
    <w:rsid w:val="001A6C52"/>
    <w:rsid w:val="001B1053"/>
    <w:rsid w:val="001B14AC"/>
    <w:rsid w:val="001B4BB6"/>
    <w:rsid w:val="001B7940"/>
    <w:rsid w:val="001C171A"/>
    <w:rsid w:val="001C2FE0"/>
    <w:rsid w:val="001C37CA"/>
    <w:rsid w:val="001C4085"/>
    <w:rsid w:val="001D38D0"/>
    <w:rsid w:val="001D4303"/>
    <w:rsid w:val="001D50B0"/>
    <w:rsid w:val="001D6746"/>
    <w:rsid w:val="001E0C61"/>
    <w:rsid w:val="001E2F37"/>
    <w:rsid w:val="001E382C"/>
    <w:rsid w:val="001E3B49"/>
    <w:rsid w:val="001E4A05"/>
    <w:rsid w:val="001E51B7"/>
    <w:rsid w:val="001E6A19"/>
    <w:rsid w:val="001E7388"/>
    <w:rsid w:val="001F13DD"/>
    <w:rsid w:val="001F1AC1"/>
    <w:rsid w:val="001F2473"/>
    <w:rsid w:val="001F2DBC"/>
    <w:rsid w:val="001F43A2"/>
    <w:rsid w:val="001F73E8"/>
    <w:rsid w:val="00200639"/>
    <w:rsid w:val="0020262C"/>
    <w:rsid w:val="00202723"/>
    <w:rsid w:val="00204FEE"/>
    <w:rsid w:val="00206DD3"/>
    <w:rsid w:val="00211A3E"/>
    <w:rsid w:val="00213F20"/>
    <w:rsid w:val="00214055"/>
    <w:rsid w:val="00215BCA"/>
    <w:rsid w:val="002160F5"/>
    <w:rsid w:val="00217AC4"/>
    <w:rsid w:val="00221461"/>
    <w:rsid w:val="00224537"/>
    <w:rsid w:val="002247B4"/>
    <w:rsid w:val="0022544F"/>
    <w:rsid w:val="00234A68"/>
    <w:rsid w:val="00235956"/>
    <w:rsid w:val="002374AE"/>
    <w:rsid w:val="00243E5E"/>
    <w:rsid w:val="00246037"/>
    <w:rsid w:val="002467A6"/>
    <w:rsid w:val="00247C9A"/>
    <w:rsid w:val="0025160C"/>
    <w:rsid w:val="002535D0"/>
    <w:rsid w:val="002539B3"/>
    <w:rsid w:val="0025465D"/>
    <w:rsid w:val="002549F3"/>
    <w:rsid w:val="00256336"/>
    <w:rsid w:val="00257C3E"/>
    <w:rsid w:val="002602C2"/>
    <w:rsid w:val="0026116E"/>
    <w:rsid w:val="00264779"/>
    <w:rsid w:val="002666C9"/>
    <w:rsid w:val="00270136"/>
    <w:rsid w:val="00270FD7"/>
    <w:rsid w:val="00274F5B"/>
    <w:rsid w:val="00280836"/>
    <w:rsid w:val="00280BBB"/>
    <w:rsid w:val="00282E1A"/>
    <w:rsid w:val="002840F1"/>
    <w:rsid w:val="0028452F"/>
    <w:rsid w:val="00285922"/>
    <w:rsid w:val="00287D4D"/>
    <w:rsid w:val="00287F3E"/>
    <w:rsid w:val="0029113B"/>
    <w:rsid w:val="002934C0"/>
    <w:rsid w:val="00293E1F"/>
    <w:rsid w:val="002948AC"/>
    <w:rsid w:val="00295B17"/>
    <w:rsid w:val="0029764C"/>
    <w:rsid w:val="002A1B50"/>
    <w:rsid w:val="002A4F64"/>
    <w:rsid w:val="002B0E91"/>
    <w:rsid w:val="002B132C"/>
    <w:rsid w:val="002B3F23"/>
    <w:rsid w:val="002B4EB5"/>
    <w:rsid w:val="002B5AF5"/>
    <w:rsid w:val="002B6779"/>
    <w:rsid w:val="002B71C0"/>
    <w:rsid w:val="002B7A34"/>
    <w:rsid w:val="002C31AD"/>
    <w:rsid w:val="002C7385"/>
    <w:rsid w:val="002D2DBB"/>
    <w:rsid w:val="002D37D8"/>
    <w:rsid w:val="002D54A6"/>
    <w:rsid w:val="002D7B3E"/>
    <w:rsid w:val="002E0805"/>
    <w:rsid w:val="002E3779"/>
    <w:rsid w:val="002E5BF9"/>
    <w:rsid w:val="002E6A7A"/>
    <w:rsid w:val="002F1E49"/>
    <w:rsid w:val="002F4E9C"/>
    <w:rsid w:val="002F6E15"/>
    <w:rsid w:val="00302F4E"/>
    <w:rsid w:val="003060B3"/>
    <w:rsid w:val="0031256C"/>
    <w:rsid w:val="00314D6C"/>
    <w:rsid w:val="00316D2A"/>
    <w:rsid w:val="00320F35"/>
    <w:rsid w:val="00322A7C"/>
    <w:rsid w:val="00322EEC"/>
    <w:rsid w:val="00323061"/>
    <w:rsid w:val="003359E3"/>
    <w:rsid w:val="003402D3"/>
    <w:rsid w:val="0034068E"/>
    <w:rsid w:val="0034154C"/>
    <w:rsid w:val="00343ABC"/>
    <w:rsid w:val="00344C18"/>
    <w:rsid w:val="003463FE"/>
    <w:rsid w:val="003472FC"/>
    <w:rsid w:val="00347D41"/>
    <w:rsid w:val="00350DEB"/>
    <w:rsid w:val="00352165"/>
    <w:rsid w:val="003554B3"/>
    <w:rsid w:val="00356632"/>
    <w:rsid w:val="00357C7E"/>
    <w:rsid w:val="00357E5F"/>
    <w:rsid w:val="00362FFD"/>
    <w:rsid w:val="003653B6"/>
    <w:rsid w:val="00370327"/>
    <w:rsid w:val="00374CC4"/>
    <w:rsid w:val="003774B2"/>
    <w:rsid w:val="00380F2D"/>
    <w:rsid w:val="003845A9"/>
    <w:rsid w:val="003848BC"/>
    <w:rsid w:val="003850C9"/>
    <w:rsid w:val="00390883"/>
    <w:rsid w:val="003922F8"/>
    <w:rsid w:val="003933BA"/>
    <w:rsid w:val="00395B24"/>
    <w:rsid w:val="0039616B"/>
    <w:rsid w:val="0039716D"/>
    <w:rsid w:val="003A2D38"/>
    <w:rsid w:val="003A3316"/>
    <w:rsid w:val="003A7ECC"/>
    <w:rsid w:val="003B2C72"/>
    <w:rsid w:val="003B420F"/>
    <w:rsid w:val="003B4935"/>
    <w:rsid w:val="003B55E3"/>
    <w:rsid w:val="003B58B4"/>
    <w:rsid w:val="003C1333"/>
    <w:rsid w:val="003C16A6"/>
    <w:rsid w:val="003C20FF"/>
    <w:rsid w:val="003C550A"/>
    <w:rsid w:val="003C6055"/>
    <w:rsid w:val="003D24BB"/>
    <w:rsid w:val="003D2650"/>
    <w:rsid w:val="003D560C"/>
    <w:rsid w:val="003D5C00"/>
    <w:rsid w:val="003E2957"/>
    <w:rsid w:val="003E3154"/>
    <w:rsid w:val="003E5874"/>
    <w:rsid w:val="003E72D3"/>
    <w:rsid w:val="003F1820"/>
    <w:rsid w:val="003F1884"/>
    <w:rsid w:val="003F193E"/>
    <w:rsid w:val="003F242C"/>
    <w:rsid w:val="003F282A"/>
    <w:rsid w:val="003F34F1"/>
    <w:rsid w:val="003F4B8C"/>
    <w:rsid w:val="003F6050"/>
    <w:rsid w:val="00400477"/>
    <w:rsid w:val="00401C96"/>
    <w:rsid w:val="004031D8"/>
    <w:rsid w:val="004104B6"/>
    <w:rsid w:val="00411AE8"/>
    <w:rsid w:val="00413B74"/>
    <w:rsid w:val="00420BE7"/>
    <w:rsid w:val="00422F19"/>
    <w:rsid w:val="0042585C"/>
    <w:rsid w:val="004342F3"/>
    <w:rsid w:val="00434D04"/>
    <w:rsid w:val="0043503F"/>
    <w:rsid w:val="00435AE3"/>
    <w:rsid w:val="00435C5F"/>
    <w:rsid w:val="00436155"/>
    <w:rsid w:val="00436460"/>
    <w:rsid w:val="00436B36"/>
    <w:rsid w:val="00441A60"/>
    <w:rsid w:val="00441E98"/>
    <w:rsid w:val="00443CCD"/>
    <w:rsid w:val="0044513D"/>
    <w:rsid w:val="00450F3A"/>
    <w:rsid w:val="004519D5"/>
    <w:rsid w:val="004532F7"/>
    <w:rsid w:val="00460437"/>
    <w:rsid w:val="00460FBF"/>
    <w:rsid w:val="004615CB"/>
    <w:rsid w:val="00462238"/>
    <w:rsid w:val="00464D51"/>
    <w:rsid w:val="004700D7"/>
    <w:rsid w:val="00472027"/>
    <w:rsid w:val="00472A3F"/>
    <w:rsid w:val="00474099"/>
    <w:rsid w:val="004804CF"/>
    <w:rsid w:val="00480BA6"/>
    <w:rsid w:val="00483314"/>
    <w:rsid w:val="00484962"/>
    <w:rsid w:val="00484F6D"/>
    <w:rsid w:val="00484FB7"/>
    <w:rsid w:val="0048554D"/>
    <w:rsid w:val="0049338A"/>
    <w:rsid w:val="0049417F"/>
    <w:rsid w:val="00496D41"/>
    <w:rsid w:val="00497FCF"/>
    <w:rsid w:val="004A1A40"/>
    <w:rsid w:val="004A62B6"/>
    <w:rsid w:val="004A6602"/>
    <w:rsid w:val="004B1483"/>
    <w:rsid w:val="004B3EFA"/>
    <w:rsid w:val="004C2A87"/>
    <w:rsid w:val="004C4D7B"/>
    <w:rsid w:val="004C4ED3"/>
    <w:rsid w:val="004C56D1"/>
    <w:rsid w:val="004C667B"/>
    <w:rsid w:val="004C7580"/>
    <w:rsid w:val="004C7959"/>
    <w:rsid w:val="004C7ECD"/>
    <w:rsid w:val="004D2EA5"/>
    <w:rsid w:val="004D32A6"/>
    <w:rsid w:val="004D53E5"/>
    <w:rsid w:val="004D5E85"/>
    <w:rsid w:val="004D7950"/>
    <w:rsid w:val="004E6DC4"/>
    <w:rsid w:val="004E7A28"/>
    <w:rsid w:val="004F21C1"/>
    <w:rsid w:val="00501A12"/>
    <w:rsid w:val="0050309C"/>
    <w:rsid w:val="00505F1D"/>
    <w:rsid w:val="00511FB1"/>
    <w:rsid w:val="0051327C"/>
    <w:rsid w:val="0051346D"/>
    <w:rsid w:val="00513EAE"/>
    <w:rsid w:val="0051434F"/>
    <w:rsid w:val="00516806"/>
    <w:rsid w:val="0052098C"/>
    <w:rsid w:val="0052246A"/>
    <w:rsid w:val="005235EC"/>
    <w:rsid w:val="00524512"/>
    <w:rsid w:val="00525A49"/>
    <w:rsid w:val="00525B58"/>
    <w:rsid w:val="005262D1"/>
    <w:rsid w:val="00527F36"/>
    <w:rsid w:val="005307AB"/>
    <w:rsid w:val="00530876"/>
    <w:rsid w:val="00535238"/>
    <w:rsid w:val="00535613"/>
    <w:rsid w:val="005359EB"/>
    <w:rsid w:val="00536BAE"/>
    <w:rsid w:val="00540A15"/>
    <w:rsid w:val="005416A2"/>
    <w:rsid w:val="00541D9A"/>
    <w:rsid w:val="0054254A"/>
    <w:rsid w:val="0054500B"/>
    <w:rsid w:val="005466B5"/>
    <w:rsid w:val="00551CFB"/>
    <w:rsid w:val="00554314"/>
    <w:rsid w:val="0055776D"/>
    <w:rsid w:val="00562829"/>
    <w:rsid w:val="005629B3"/>
    <w:rsid w:val="00563B1F"/>
    <w:rsid w:val="0056781D"/>
    <w:rsid w:val="0057128A"/>
    <w:rsid w:val="005724F6"/>
    <w:rsid w:val="00573AC4"/>
    <w:rsid w:val="00577CB2"/>
    <w:rsid w:val="005801FC"/>
    <w:rsid w:val="00585BA9"/>
    <w:rsid w:val="00587359"/>
    <w:rsid w:val="00590429"/>
    <w:rsid w:val="00591438"/>
    <w:rsid w:val="00591B06"/>
    <w:rsid w:val="00595016"/>
    <w:rsid w:val="00597AAE"/>
    <w:rsid w:val="005A00BA"/>
    <w:rsid w:val="005A222C"/>
    <w:rsid w:val="005A4DF8"/>
    <w:rsid w:val="005A6603"/>
    <w:rsid w:val="005A78C8"/>
    <w:rsid w:val="005B1426"/>
    <w:rsid w:val="005C0A8E"/>
    <w:rsid w:val="005C1767"/>
    <w:rsid w:val="005C185C"/>
    <w:rsid w:val="005C42EF"/>
    <w:rsid w:val="005D6D46"/>
    <w:rsid w:val="005E02F5"/>
    <w:rsid w:val="005E0510"/>
    <w:rsid w:val="005E176E"/>
    <w:rsid w:val="005E218E"/>
    <w:rsid w:val="005E35A0"/>
    <w:rsid w:val="005F0D1B"/>
    <w:rsid w:val="005F1865"/>
    <w:rsid w:val="006007BD"/>
    <w:rsid w:val="00601042"/>
    <w:rsid w:val="0060133E"/>
    <w:rsid w:val="006013C8"/>
    <w:rsid w:val="0060226B"/>
    <w:rsid w:val="0060270D"/>
    <w:rsid w:val="00604342"/>
    <w:rsid w:val="00604423"/>
    <w:rsid w:val="00604611"/>
    <w:rsid w:val="00611586"/>
    <w:rsid w:val="00612D26"/>
    <w:rsid w:val="00615855"/>
    <w:rsid w:val="00617652"/>
    <w:rsid w:val="00620DA8"/>
    <w:rsid w:val="00621887"/>
    <w:rsid w:val="00624520"/>
    <w:rsid w:val="00624826"/>
    <w:rsid w:val="006271F5"/>
    <w:rsid w:val="00632300"/>
    <w:rsid w:val="00632BB7"/>
    <w:rsid w:val="00635B36"/>
    <w:rsid w:val="00636871"/>
    <w:rsid w:val="00636C1D"/>
    <w:rsid w:val="00640EE1"/>
    <w:rsid w:val="00640F4E"/>
    <w:rsid w:val="00643DE0"/>
    <w:rsid w:val="0064437D"/>
    <w:rsid w:val="00644E85"/>
    <w:rsid w:val="006516D8"/>
    <w:rsid w:val="00652C52"/>
    <w:rsid w:val="00654449"/>
    <w:rsid w:val="0066063F"/>
    <w:rsid w:val="006623D1"/>
    <w:rsid w:val="00662BB0"/>
    <w:rsid w:val="00663878"/>
    <w:rsid w:val="00667773"/>
    <w:rsid w:val="00670743"/>
    <w:rsid w:val="00680A85"/>
    <w:rsid w:val="00681ADF"/>
    <w:rsid w:val="00690EE2"/>
    <w:rsid w:val="00692D1A"/>
    <w:rsid w:val="00693854"/>
    <w:rsid w:val="00694BEB"/>
    <w:rsid w:val="0069736A"/>
    <w:rsid w:val="006A0A5C"/>
    <w:rsid w:val="006A0E20"/>
    <w:rsid w:val="006A24E3"/>
    <w:rsid w:val="006A5695"/>
    <w:rsid w:val="006A656A"/>
    <w:rsid w:val="006B0439"/>
    <w:rsid w:val="006B3904"/>
    <w:rsid w:val="006B5B7D"/>
    <w:rsid w:val="006B62E7"/>
    <w:rsid w:val="006B7067"/>
    <w:rsid w:val="006C43EF"/>
    <w:rsid w:val="006C5B46"/>
    <w:rsid w:val="006C6E39"/>
    <w:rsid w:val="006D0ECF"/>
    <w:rsid w:val="006D3D5B"/>
    <w:rsid w:val="006D4C92"/>
    <w:rsid w:val="006D4EB6"/>
    <w:rsid w:val="006D7B4C"/>
    <w:rsid w:val="006D7FBC"/>
    <w:rsid w:val="006E1F6B"/>
    <w:rsid w:val="006E35BF"/>
    <w:rsid w:val="006E7850"/>
    <w:rsid w:val="006F19D8"/>
    <w:rsid w:val="006F46D6"/>
    <w:rsid w:val="006F4BBB"/>
    <w:rsid w:val="0070067A"/>
    <w:rsid w:val="007028D9"/>
    <w:rsid w:val="00707218"/>
    <w:rsid w:val="00710D04"/>
    <w:rsid w:val="00712B1D"/>
    <w:rsid w:val="00715751"/>
    <w:rsid w:val="007171BA"/>
    <w:rsid w:val="007172AB"/>
    <w:rsid w:val="00717616"/>
    <w:rsid w:val="00720C6C"/>
    <w:rsid w:val="00720DF9"/>
    <w:rsid w:val="00723EE9"/>
    <w:rsid w:val="007312BD"/>
    <w:rsid w:val="007325D9"/>
    <w:rsid w:val="00733A1D"/>
    <w:rsid w:val="0073413F"/>
    <w:rsid w:val="007342C2"/>
    <w:rsid w:val="0073583B"/>
    <w:rsid w:val="007360CA"/>
    <w:rsid w:val="00745CDD"/>
    <w:rsid w:val="007460E8"/>
    <w:rsid w:val="0074667B"/>
    <w:rsid w:val="007470BD"/>
    <w:rsid w:val="00760EC0"/>
    <w:rsid w:val="007711BD"/>
    <w:rsid w:val="00773067"/>
    <w:rsid w:val="0077671C"/>
    <w:rsid w:val="00777DD0"/>
    <w:rsid w:val="0078003A"/>
    <w:rsid w:val="00780771"/>
    <w:rsid w:val="0078204C"/>
    <w:rsid w:val="00782456"/>
    <w:rsid w:val="00783300"/>
    <w:rsid w:val="0078501A"/>
    <w:rsid w:val="007929CF"/>
    <w:rsid w:val="00796479"/>
    <w:rsid w:val="00797BA8"/>
    <w:rsid w:val="007A081D"/>
    <w:rsid w:val="007A2488"/>
    <w:rsid w:val="007A49E7"/>
    <w:rsid w:val="007A5D7C"/>
    <w:rsid w:val="007A6F28"/>
    <w:rsid w:val="007B03C6"/>
    <w:rsid w:val="007B0DB1"/>
    <w:rsid w:val="007B4018"/>
    <w:rsid w:val="007B5673"/>
    <w:rsid w:val="007B5DE1"/>
    <w:rsid w:val="007B622B"/>
    <w:rsid w:val="007B6A5E"/>
    <w:rsid w:val="007B7238"/>
    <w:rsid w:val="007B76FF"/>
    <w:rsid w:val="007C14A8"/>
    <w:rsid w:val="007C33FD"/>
    <w:rsid w:val="007C3BF6"/>
    <w:rsid w:val="007C67B3"/>
    <w:rsid w:val="007D0FD2"/>
    <w:rsid w:val="007D2EF8"/>
    <w:rsid w:val="007D561F"/>
    <w:rsid w:val="007D7FD2"/>
    <w:rsid w:val="007E13D9"/>
    <w:rsid w:val="007E2AEC"/>
    <w:rsid w:val="007E337D"/>
    <w:rsid w:val="007E41BE"/>
    <w:rsid w:val="007E4DB6"/>
    <w:rsid w:val="007E6733"/>
    <w:rsid w:val="007E7CD4"/>
    <w:rsid w:val="007F0260"/>
    <w:rsid w:val="007F0D86"/>
    <w:rsid w:val="007F12AC"/>
    <w:rsid w:val="007F3DB5"/>
    <w:rsid w:val="007F4501"/>
    <w:rsid w:val="007F5E04"/>
    <w:rsid w:val="007F60DF"/>
    <w:rsid w:val="00801800"/>
    <w:rsid w:val="00801861"/>
    <w:rsid w:val="00801B5B"/>
    <w:rsid w:val="008027AB"/>
    <w:rsid w:val="008050C3"/>
    <w:rsid w:val="00805A30"/>
    <w:rsid w:val="00807553"/>
    <w:rsid w:val="00815022"/>
    <w:rsid w:val="00820041"/>
    <w:rsid w:val="008204C1"/>
    <w:rsid w:val="008216E7"/>
    <w:rsid w:val="00823305"/>
    <w:rsid w:val="00825BE6"/>
    <w:rsid w:val="008276B4"/>
    <w:rsid w:val="0083186C"/>
    <w:rsid w:val="00831927"/>
    <w:rsid w:val="00837288"/>
    <w:rsid w:val="008374C7"/>
    <w:rsid w:val="0084131E"/>
    <w:rsid w:val="00841BD3"/>
    <w:rsid w:val="0084273D"/>
    <w:rsid w:val="00843D1B"/>
    <w:rsid w:val="00844E3F"/>
    <w:rsid w:val="008457F7"/>
    <w:rsid w:val="00845A83"/>
    <w:rsid w:val="00846BB9"/>
    <w:rsid w:val="00853C94"/>
    <w:rsid w:val="00860B24"/>
    <w:rsid w:val="00860D10"/>
    <w:rsid w:val="008649D5"/>
    <w:rsid w:val="008663A7"/>
    <w:rsid w:val="008712BB"/>
    <w:rsid w:val="0087504C"/>
    <w:rsid w:val="008830E7"/>
    <w:rsid w:val="00883C2C"/>
    <w:rsid w:val="00884149"/>
    <w:rsid w:val="00890EDE"/>
    <w:rsid w:val="00892B38"/>
    <w:rsid w:val="008959BC"/>
    <w:rsid w:val="008A1497"/>
    <w:rsid w:val="008A1741"/>
    <w:rsid w:val="008A2484"/>
    <w:rsid w:val="008A2D1B"/>
    <w:rsid w:val="008A52F3"/>
    <w:rsid w:val="008C25E6"/>
    <w:rsid w:val="008C26D9"/>
    <w:rsid w:val="008C3DCD"/>
    <w:rsid w:val="008C45D0"/>
    <w:rsid w:val="008C48B2"/>
    <w:rsid w:val="008C6D50"/>
    <w:rsid w:val="008C7167"/>
    <w:rsid w:val="008C74BE"/>
    <w:rsid w:val="008C7503"/>
    <w:rsid w:val="008D1617"/>
    <w:rsid w:val="008D330F"/>
    <w:rsid w:val="008D48C1"/>
    <w:rsid w:val="008E5344"/>
    <w:rsid w:val="008E6315"/>
    <w:rsid w:val="008F0480"/>
    <w:rsid w:val="008F07FC"/>
    <w:rsid w:val="008F11E0"/>
    <w:rsid w:val="008F3EA7"/>
    <w:rsid w:val="008F53E1"/>
    <w:rsid w:val="008F56EA"/>
    <w:rsid w:val="008F78BC"/>
    <w:rsid w:val="008F7B63"/>
    <w:rsid w:val="008F7D6A"/>
    <w:rsid w:val="00901C86"/>
    <w:rsid w:val="00903603"/>
    <w:rsid w:val="009054CB"/>
    <w:rsid w:val="00911F8D"/>
    <w:rsid w:val="00912F94"/>
    <w:rsid w:val="00914192"/>
    <w:rsid w:val="009171BC"/>
    <w:rsid w:val="0091729E"/>
    <w:rsid w:val="00917769"/>
    <w:rsid w:val="00921B7E"/>
    <w:rsid w:val="00923A62"/>
    <w:rsid w:val="0092497E"/>
    <w:rsid w:val="0092590B"/>
    <w:rsid w:val="00925BF3"/>
    <w:rsid w:val="00925E60"/>
    <w:rsid w:val="009264B3"/>
    <w:rsid w:val="009302C1"/>
    <w:rsid w:val="00931E4C"/>
    <w:rsid w:val="009365E0"/>
    <w:rsid w:val="00942BA2"/>
    <w:rsid w:val="009432B7"/>
    <w:rsid w:val="00944C86"/>
    <w:rsid w:val="009456DB"/>
    <w:rsid w:val="00945859"/>
    <w:rsid w:val="00947C02"/>
    <w:rsid w:val="00950BE6"/>
    <w:rsid w:val="009520B0"/>
    <w:rsid w:val="009547BD"/>
    <w:rsid w:val="00956B3D"/>
    <w:rsid w:val="00957DE8"/>
    <w:rsid w:val="00960ECB"/>
    <w:rsid w:val="009615D6"/>
    <w:rsid w:val="00967855"/>
    <w:rsid w:val="00967DD1"/>
    <w:rsid w:val="00971CD1"/>
    <w:rsid w:val="00974136"/>
    <w:rsid w:val="00974709"/>
    <w:rsid w:val="009801AE"/>
    <w:rsid w:val="00980736"/>
    <w:rsid w:val="00981A39"/>
    <w:rsid w:val="00982D56"/>
    <w:rsid w:val="00983DBF"/>
    <w:rsid w:val="00987097"/>
    <w:rsid w:val="00991123"/>
    <w:rsid w:val="00991CAB"/>
    <w:rsid w:val="009A2E3C"/>
    <w:rsid w:val="009A3A9C"/>
    <w:rsid w:val="009B046C"/>
    <w:rsid w:val="009B13FA"/>
    <w:rsid w:val="009B1E2D"/>
    <w:rsid w:val="009C1EAD"/>
    <w:rsid w:val="009C24CA"/>
    <w:rsid w:val="009C40EE"/>
    <w:rsid w:val="009C4AE9"/>
    <w:rsid w:val="009C59FB"/>
    <w:rsid w:val="009C6F3B"/>
    <w:rsid w:val="009D1467"/>
    <w:rsid w:val="009D328D"/>
    <w:rsid w:val="009E4FA6"/>
    <w:rsid w:val="009E50C5"/>
    <w:rsid w:val="009E79FC"/>
    <w:rsid w:val="009E7D93"/>
    <w:rsid w:val="009F3C34"/>
    <w:rsid w:val="009F462C"/>
    <w:rsid w:val="009F510A"/>
    <w:rsid w:val="009F5C33"/>
    <w:rsid w:val="00A007A9"/>
    <w:rsid w:val="00A0170D"/>
    <w:rsid w:val="00A026F0"/>
    <w:rsid w:val="00A02DAD"/>
    <w:rsid w:val="00A03EAC"/>
    <w:rsid w:val="00A04DBB"/>
    <w:rsid w:val="00A07C23"/>
    <w:rsid w:val="00A07EA0"/>
    <w:rsid w:val="00A11CA6"/>
    <w:rsid w:val="00A13FD2"/>
    <w:rsid w:val="00A17D0C"/>
    <w:rsid w:val="00A20C49"/>
    <w:rsid w:val="00A22932"/>
    <w:rsid w:val="00A269CA"/>
    <w:rsid w:val="00A26B9B"/>
    <w:rsid w:val="00A274ED"/>
    <w:rsid w:val="00A32D5C"/>
    <w:rsid w:val="00A33189"/>
    <w:rsid w:val="00A336EE"/>
    <w:rsid w:val="00A33F46"/>
    <w:rsid w:val="00A3427E"/>
    <w:rsid w:val="00A3470C"/>
    <w:rsid w:val="00A359AC"/>
    <w:rsid w:val="00A40F83"/>
    <w:rsid w:val="00A410FB"/>
    <w:rsid w:val="00A41413"/>
    <w:rsid w:val="00A4192D"/>
    <w:rsid w:val="00A42F43"/>
    <w:rsid w:val="00A431E6"/>
    <w:rsid w:val="00A436E8"/>
    <w:rsid w:val="00A45D89"/>
    <w:rsid w:val="00A45FB1"/>
    <w:rsid w:val="00A46A0F"/>
    <w:rsid w:val="00A46CCC"/>
    <w:rsid w:val="00A47072"/>
    <w:rsid w:val="00A47996"/>
    <w:rsid w:val="00A51CFE"/>
    <w:rsid w:val="00A5204D"/>
    <w:rsid w:val="00A56E77"/>
    <w:rsid w:val="00A607F9"/>
    <w:rsid w:val="00A61605"/>
    <w:rsid w:val="00A65F97"/>
    <w:rsid w:val="00A73B04"/>
    <w:rsid w:val="00A76C13"/>
    <w:rsid w:val="00A84FD0"/>
    <w:rsid w:val="00A87431"/>
    <w:rsid w:val="00A87706"/>
    <w:rsid w:val="00A92E79"/>
    <w:rsid w:val="00A950B6"/>
    <w:rsid w:val="00A95D45"/>
    <w:rsid w:val="00AA1BAA"/>
    <w:rsid w:val="00AA1CBC"/>
    <w:rsid w:val="00AA3EA8"/>
    <w:rsid w:val="00AA5A9F"/>
    <w:rsid w:val="00AB41C1"/>
    <w:rsid w:val="00AB4CF2"/>
    <w:rsid w:val="00AB6CCA"/>
    <w:rsid w:val="00AC223F"/>
    <w:rsid w:val="00AC33B1"/>
    <w:rsid w:val="00AC58E2"/>
    <w:rsid w:val="00AC5C02"/>
    <w:rsid w:val="00AC5F27"/>
    <w:rsid w:val="00AD12A8"/>
    <w:rsid w:val="00AD2BCE"/>
    <w:rsid w:val="00AE023F"/>
    <w:rsid w:val="00AE190D"/>
    <w:rsid w:val="00AE7BF0"/>
    <w:rsid w:val="00AF3577"/>
    <w:rsid w:val="00AF35F9"/>
    <w:rsid w:val="00AF4B25"/>
    <w:rsid w:val="00AF7F2E"/>
    <w:rsid w:val="00B0424C"/>
    <w:rsid w:val="00B050E9"/>
    <w:rsid w:val="00B05662"/>
    <w:rsid w:val="00B05C7D"/>
    <w:rsid w:val="00B15D57"/>
    <w:rsid w:val="00B16347"/>
    <w:rsid w:val="00B17D6E"/>
    <w:rsid w:val="00B23277"/>
    <w:rsid w:val="00B2435E"/>
    <w:rsid w:val="00B346C3"/>
    <w:rsid w:val="00B4005C"/>
    <w:rsid w:val="00B4227E"/>
    <w:rsid w:val="00B4471C"/>
    <w:rsid w:val="00B451A6"/>
    <w:rsid w:val="00B4757D"/>
    <w:rsid w:val="00B56D6E"/>
    <w:rsid w:val="00B640F2"/>
    <w:rsid w:val="00B64347"/>
    <w:rsid w:val="00B65DC6"/>
    <w:rsid w:val="00B6701C"/>
    <w:rsid w:val="00B67AC2"/>
    <w:rsid w:val="00B7139D"/>
    <w:rsid w:val="00B722DE"/>
    <w:rsid w:val="00B740C6"/>
    <w:rsid w:val="00B741B1"/>
    <w:rsid w:val="00B751E3"/>
    <w:rsid w:val="00B75BA6"/>
    <w:rsid w:val="00B76C44"/>
    <w:rsid w:val="00B8184A"/>
    <w:rsid w:val="00B820F9"/>
    <w:rsid w:val="00B82283"/>
    <w:rsid w:val="00B828D8"/>
    <w:rsid w:val="00B831CA"/>
    <w:rsid w:val="00B83F87"/>
    <w:rsid w:val="00B87CDC"/>
    <w:rsid w:val="00B910C1"/>
    <w:rsid w:val="00B92CB6"/>
    <w:rsid w:val="00B94BD2"/>
    <w:rsid w:val="00B95508"/>
    <w:rsid w:val="00B956BC"/>
    <w:rsid w:val="00BA03C2"/>
    <w:rsid w:val="00BA1ABC"/>
    <w:rsid w:val="00BA2CA4"/>
    <w:rsid w:val="00BA2EFA"/>
    <w:rsid w:val="00BA3DBC"/>
    <w:rsid w:val="00BA707A"/>
    <w:rsid w:val="00BA72CB"/>
    <w:rsid w:val="00BA7B97"/>
    <w:rsid w:val="00BB1AFB"/>
    <w:rsid w:val="00BB2060"/>
    <w:rsid w:val="00BB27AE"/>
    <w:rsid w:val="00BB2DA2"/>
    <w:rsid w:val="00BB56DC"/>
    <w:rsid w:val="00BD03EF"/>
    <w:rsid w:val="00BD402C"/>
    <w:rsid w:val="00BE183D"/>
    <w:rsid w:val="00BF0F63"/>
    <w:rsid w:val="00BF24C2"/>
    <w:rsid w:val="00BF2922"/>
    <w:rsid w:val="00BF59C1"/>
    <w:rsid w:val="00BF5D7A"/>
    <w:rsid w:val="00C01C2E"/>
    <w:rsid w:val="00C02D33"/>
    <w:rsid w:val="00C04B53"/>
    <w:rsid w:val="00C100A4"/>
    <w:rsid w:val="00C1232C"/>
    <w:rsid w:val="00C1352C"/>
    <w:rsid w:val="00C27C6B"/>
    <w:rsid w:val="00C3594D"/>
    <w:rsid w:val="00C36442"/>
    <w:rsid w:val="00C37280"/>
    <w:rsid w:val="00C400CE"/>
    <w:rsid w:val="00C410FD"/>
    <w:rsid w:val="00C43C40"/>
    <w:rsid w:val="00C457DE"/>
    <w:rsid w:val="00C47BE6"/>
    <w:rsid w:val="00C47DD3"/>
    <w:rsid w:val="00C5316F"/>
    <w:rsid w:val="00C53562"/>
    <w:rsid w:val="00C539FB"/>
    <w:rsid w:val="00C574E9"/>
    <w:rsid w:val="00C6004D"/>
    <w:rsid w:val="00C62356"/>
    <w:rsid w:val="00C64D10"/>
    <w:rsid w:val="00C66824"/>
    <w:rsid w:val="00C66AA3"/>
    <w:rsid w:val="00C66E57"/>
    <w:rsid w:val="00C67D2F"/>
    <w:rsid w:val="00C724D7"/>
    <w:rsid w:val="00C72D12"/>
    <w:rsid w:val="00C74150"/>
    <w:rsid w:val="00C75594"/>
    <w:rsid w:val="00C75F75"/>
    <w:rsid w:val="00C76311"/>
    <w:rsid w:val="00C85982"/>
    <w:rsid w:val="00C878B2"/>
    <w:rsid w:val="00C93B61"/>
    <w:rsid w:val="00C97984"/>
    <w:rsid w:val="00CA0466"/>
    <w:rsid w:val="00CA246D"/>
    <w:rsid w:val="00CA39B7"/>
    <w:rsid w:val="00CA50D9"/>
    <w:rsid w:val="00CA6187"/>
    <w:rsid w:val="00CB158C"/>
    <w:rsid w:val="00CB3054"/>
    <w:rsid w:val="00CB46C3"/>
    <w:rsid w:val="00CB501D"/>
    <w:rsid w:val="00CB5636"/>
    <w:rsid w:val="00CB592E"/>
    <w:rsid w:val="00CB5F30"/>
    <w:rsid w:val="00CC3EE5"/>
    <w:rsid w:val="00CC6E47"/>
    <w:rsid w:val="00CD1346"/>
    <w:rsid w:val="00CD186E"/>
    <w:rsid w:val="00CD2850"/>
    <w:rsid w:val="00CD578C"/>
    <w:rsid w:val="00CE1BED"/>
    <w:rsid w:val="00CE425C"/>
    <w:rsid w:val="00CE58AC"/>
    <w:rsid w:val="00CE5C47"/>
    <w:rsid w:val="00CF4FF4"/>
    <w:rsid w:val="00CF5A80"/>
    <w:rsid w:val="00CF6EE5"/>
    <w:rsid w:val="00CF731A"/>
    <w:rsid w:val="00D001C2"/>
    <w:rsid w:val="00D045EE"/>
    <w:rsid w:val="00D05091"/>
    <w:rsid w:val="00D10CA6"/>
    <w:rsid w:val="00D10F21"/>
    <w:rsid w:val="00D129D0"/>
    <w:rsid w:val="00D134CF"/>
    <w:rsid w:val="00D1573B"/>
    <w:rsid w:val="00D15E82"/>
    <w:rsid w:val="00D21F72"/>
    <w:rsid w:val="00D24806"/>
    <w:rsid w:val="00D258C6"/>
    <w:rsid w:val="00D34040"/>
    <w:rsid w:val="00D34E69"/>
    <w:rsid w:val="00D35FFB"/>
    <w:rsid w:val="00D36C78"/>
    <w:rsid w:val="00D375EE"/>
    <w:rsid w:val="00D55AE8"/>
    <w:rsid w:val="00D56056"/>
    <w:rsid w:val="00D6085F"/>
    <w:rsid w:val="00D62699"/>
    <w:rsid w:val="00D6466E"/>
    <w:rsid w:val="00D64B1D"/>
    <w:rsid w:val="00D64BAB"/>
    <w:rsid w:val="00D669B1"/>
    <w:rsid w:val="00D67380"/>
    <w:rsid w:val="00D71468"/>
    <w:rsid w:val="00D71847"/>
    <w:rsid w:val="00D75B03"/>
    <w:rsid w:val="00D778E9"/>
    <w:rsid w:val="00D812BF"/>
    <w:rsid w:val="00D82620"/>
    <w:rsid w:val="00D85707"/>
    <w:rsid w:val="00D91140"/>
    <w:rsid w:val="00D916DF"/>
    <w:rsid w:val="00D91C60"/>
    <w:rsid w:val="00D9725F"/>
    <w:rsid w:val="00DA01B1"/>
    <w:rsid w:val="00DA11A2"/>
    <w:rsid w:val="00DA14ED"/>
    <w:rsid w:val="00DA26D6"/>
    <w:rsid w:val="00DA72E4"/>
    <w:rsid w:val="00DB2501"/>
    <w:rsid w:val="00DB2EF1"/>
    <w:rsid w:val="00DB3DE1"/>
    <w:rsid w:val="00DB5DA0"/>
    <w:rsid w:val="00DB716C"/>
    <w:rsid w:val="00DC4D5E"/>
    <w:rsid w:val="00DC4F87"/>
    <w:rsid w:val="00DC5C85"/>
    <w:rsid w:val="00DC7C5D"/>
    <w:rsid w:val="00DD4236"/>
    <w:rsid w:val="00DD44F1"/>
    <w:rsid w:val="00DD6957"/>
    <w:rsid w:val="00DD6E7A"/>
    <w:rsid w:val="00DE027C"/>
    <w:rsid w:val="00DE3067"/>
    <w:rsid w:val="00DE634A"/>
    <w:rsid w:val="00DF3921"/>
    <w:rsid w:val="00DF3EEE"/>
    <w:rsid w:val="00DF45E1"/>
    <w:rsid w:val="00DF726E"/>
    <w:rsid w:val="00DF73C9"/>
    <w:rsid w:val="00DF75E1"/>
    <w:rsid w:val="00E027BC"/>
    <w:rsid w:val="00E045BE"/>
    <w:rsid w:val="00E10018"/>
    <w:rsid w:val="00E10F0D"/>
    <w:rsid w:val="00E134F5"/>
    <w:rsid w:val="00E14EA5"/>
    <w:rsid w:val="00E15EB1"/>
    <w:rsid w:val="00E17D22"/>
    <w:rsid w:val="00E2070E"/>
    <w:rsid w:val="00E21133"/>
    <w:rsid w:val="00E2327E"/>
    <w:rsid w:val="00E23577"/>
    <w:rsid w:val="00E266EF"/>
    <w:rsid w:val="00E27FBE"/>
    <w:rsid w:val="00E31DD0"/>
    <w:rsid w:val="00E326A8"/>
    <w:rsid w:val="00E33023"/>
    <w:rsid w:val="00E47428"/>
    <w:rsid w:val="00E51A5B"/>
    <w:rsid w:val="00E5319F"/>
    <w:rsid w:val="00E55D8B"/>
    <w:rsid w:val="00E56C8E"/>
    <w:rsid w:val="00E5716B"/>
    <w:rsid w:val="00E57F1F"/>
    <w:rsid w:val="00E611D8"/>
    <w:rsid w:val="00E61FF5"/>
    <w:rsid w:val="00E66B9F"/>
    <w:rsid w:val="00E70A6A"/>
    <w:rsid w:val="00E710D6"/>
    <w:rsid w:val="00E73D3D"/>
    <w:rsid w:val="00E73DA4"/>
    <w:rsid w:val="00E76E45"/>
    <w:rsid w:val="00E77505"/>
    <w:rsid w:val="00E777C9"/>
    <w:rsid w:val="00E81DA6"/>
    <w:rsid w:val="00E84212"/>
    <w:rsid w:val="00E9086C"/>
    <w:rsid w:val="00E90AAA"/>
    <w:rsid w:val="00E91A0F"/>
    <w:rsid w:val="00E93B8E"/>
    <w:rsid w:val="00E94A71"/>
    <w:rsid w:val="00E94CBF"/>
    <w:rsid w:val="00E95987"/>
    <w:rsid w:val="00EA03CE"/>
    <w:rsid w:val="00EA23E5"/>
    <w:rsid w:val="00EA4E2E"/>
    <w:rsid w:val="00EA5762"/>
    <w:rsid w:val="00EA7484"/>
    <w:rsid w:val="00EB2417"/>
    <w:rsid w:val="00EB2CCB"/>
    <w:rsid w:val="00EB5738"/>
    <w:rsid w:val="00EB6C06"/>
    <w:rsid w:val="00EB7A25"/>
    <w:rsid w:val="00EC0F3E"/>
    <w:rsid w:val="00EC4D9D"/>
    <w:rsid w:val="00EC57A7"/>
    <w:rsid w:val="00ED0817"/>
    <w:rsid w:val="00ED7DD9"/>
    <w:rsid w:val="00EE445B"/>
    <w:rsid w:val="00EF3113"/>
    <w:rsid w:val="00EF3F84"/>
    <w:rsid w:val="00EF57DE"/>
    <w:rsid w:val="00F05BDC"/>
    <w:rsid w:val="00F15DBA"/>
    <w:rsid w:val="00F176AC"/>
    <w:rsid w:val="00F2371D"/>
    <w:rsid w:val="00F2475A"/>
    <w:rsid w:val="00F26F28"/>
    <w:rsid w:val="00F27714"/>
    <w:rsid w:val="00F3276E"/>
    <w:rsid w:val="00F33D3C"/>
    <w:rsid w:val="00F3791F"/>
    <w:rsid w:val="00F37A91"/>
    <w:rsid w:val="00F408A0"/>
    <w:rsid w:val="00F457E2"/>
    <w:rsid w:val="00F45CF5"/>
    <w:rsid w:val="00F47DB0"/>
    <w:rsid w:val="00F50C3F"/>
    <w:rsid w:val="00F50E34"/>
    <w:rsid w:val="00F51AFB"/>
    <w:rsid w:val="00F53EF7"/>
    <w:rsid w:val="00F54BF2"/>
    <w:rsid w:val="00F63E31"/>
    <w:rsid w:val="00F775AC"/>
    <w:rsid w:val="00F85C80"/>
    <w:rsid w:val="00F8792F"/>
    <w:rsid w:val="00F9169A"/>
    <w:rsid w:val="00F9214D"/>
    <w:rsid w:val="00F92355"/>
    <w:rsid w:val="00F93963"/>
    <w:rsid w:val="00F94291"/>
    <w:rsid w:val="00F971AB"/>
    <w:rsid w:val="00FA0B1C"/>
    <w:rsid w:val="00FA298A"/>
    <w:rsid w:val="00FA5557"/>
    <w:rsid w:val="00FA5B66"/>
    <w:rsid w:val="00FB0B9C"/>
    <w:rsid w:val="00FB144E"/>
    <w:rsid w:val="00FB30EB"/>
    <w:rsid w:val="00FB3110"/>
    <w:rsid w:val="00FB6257"/>
    <w:rsid w:val="00FB750A"/>
    <w:rsid w:val="00FB7982"/>
    <w:rsid w:val="00FC0734"/>
    <w:rsid w:val="00FC0FC5"/>
    <w:rsid w:val="00FC588F"/>
    <w:rsid w:val="00FC6879"/>
    <w:rsid w:val="00FC7AA8"/>
    <w:rsid w:val="00FD43C2"/>
    <w:rsid w:val="00FD57CC"/>
    <w:rsid w:val="00FE1B30"/>
    <w:rsid w:val="00FE3B21"/>
    <w:rsid w:val="00FE6780"/>
    <w:rsid w:val="00FE7B44"/>
    <w:rsid w:val="00FF2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DBB6C9"/>
  <w15:docId w15:val="{3CED5804-3C33-4213-B7C1-E224C227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4"/>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9"/>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5"/>
      </w:numPr>
    </w:pPr>
  </w:style>
  <w:style w:type="paragraph" w:customStyle="1" w:styleId="Notes">
    <w:name w:val="Notes"/>
    <w:basedOn w:val="Normal"/>
    <w:rsid w:val="00805A30"/>
    <w:pPr>
      <w:numPr>
        <w:numId w:val="26"/>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ListParagraph">
    <w:name w:val="List Paragraph"/>
    <w:basedOn w:val="Normal"/>
    <w:uiPriority w:val="34"/>
    <w:qFormat/>
    <w:rsid w:val="0060133E"/>
    <w:pPr>
      <w:spacing w:line="240" w:lineRule="auto"/>
      <w:ind w:left="720"/>
      <w:jc w:val="left"/>
    </w:pPr>
    <w:rPr>
      <w:rFonts w:ascii="Calibri" w:eastAsiaTheme="minorHAnsi" w:hAnsi="Calibri" w:cs="Calibri"/>
      <w:sz w:val="22"/>
      <w:szCs w:val="22"/>
    </w:rPr>
  </w:style>
  <w:style w:type="character" w:customStyle="1" w:styleId="CommentTextChar">
    <w:name w:val="Comment Text Char"/>
    <w:basedOn w:val="DefaultParagraphFont"/>
    <w:link w:val="CommentText"/>
    <w:semiHidden/>
    <w:rsid w:val="00AE190D"/>
    <w:rPr>
      <w:lang w:eastAsia="en-US"/>
    </w:rPr>
  </w:style>
  <w:style w:type="paragraph" w:styleId="Revision">
    <w:name w:val="Revision"/>
    <w:hidden/>
    <w:uiPriority w:val="99"/>
    <w:semiHidden/>
    <w:rsid w:val="00C6004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64236">
      <w:bodyDiv w:val="1"/>
      <w:marLeft w:val="0"/>
      <w:marRight w:val="0"/>
      <w:marTop w:val="0"/>
      <w:marBottom w:val="0"/>
      <w:divBdr>
        <w:top w:val="none" w:sz="0" w:space="0" w:color="auto"/>
        <w:left w:val="none" w:sz="0" w:space="0" w:color="auto"/>
        <w:bottom w:val="none" w:sz="0" w:space="0" w:color="auto"/>
        <w:right w:val="none" w:sz="0" w:space="0" w:color="auto"/>
      </w:divBdr>
    </w:div>
    <w:div w:id="88421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8A709295B74D77B7E1D96608968CB9"/>
        <w:category>
          <w:name w:val="General"/>
          <w:gallery w:val="placeholder"/>
        </w:category>
        <w:types>
          <w:type w:val="bbPlcHdr"/>
        </w:types>
        <w:behaviors>
          <w:behavior w:val="content"/>
        </w:behaviors>
        <w:guid w:val="{C63948A4-4466-4740-83FB-F4F575FE0BC1}"/>
      </w:docPartPr>
      <w:docPartBody>
        <w:p w:rsidR="00010755" w:rsidRDefault="008A1FCE">
          <w:pPr>
            <w:pStyle w:val="FE8A709295B74D77B7E1D96608968CB9"/>
          </w:pPr>
          <w:r>
            <w:rPr>
              <w:rStyle w:val="PlaceholderText"/>
            </w:rPr>
            <w:t>MNC Text</w:t>
          </w:r>
        </w:p>
      </w:docPartBody>
    </w:docPart>
    <w:docPart>
      <w:docPartPr>
        <w:name w:val="9ACB5174A9A8417C88782D5A246F981D"/>
        <w:category>
          <w:name w:val="General"/>
          <w:gallery w:val="placeholder"/>
        </w:category>
        <w:types>
          <w:type w:val="bbPlcHdr"/>
        </w:types>
        <w:behaviors>
          <w:behavior w:val="content"/>
        </w:behaviors>
        <w:guid w:val="{A13C9309-B74D-4F74-87CD-9B950CF099DE}"/>
      </w:docPartPr>
      <w:docPartBody>
        <w:p w:rsidR="00010755" w:rsidRDefault="008A1FCE">
          <w:pPr>
            <w:pStyle w:val="9ACB5174A9A8417C88782D5A246F981D"/>
          </w:pPr>
          <w:r w:rsidRPr="005C44BE">
            <w:rPr>
              <w:rStyle w:val="PlaceholderText"/>
            </w:rPr>
            <w:t>Click or tap here to enter text.</w:t>
          </w:r>
        </w:p>
      </w:docPartBody>
    </w:docPart>
    <w:docPart>
      <w:docPartPr>
        <w:name w:val="859F7C9D17214E788A07BA1F3E678F1C"/>
        <w:category>
          <w:name w:val="General"/>
          <w:gallery w:val="placeholder"/>
        </w:category>
        <w:types>
          <w:type w:val="bbPlcHdr"/>
        </w:types>
        <w:behaviors>
          <w:behavior w:val="content"/>
        </w:behaviors>
        <w:guid w:val="{D9F0B74C-9F4F-4078-9C9E-66F8D0E36D48}"/>
      </w:docPartPr>
      <w:docPartBody>
        <w:p w:rsidR="00010755" w:rsidRDefault="008A1FCE">
          <w:pPr>
            <w:pStyle w:val="859F7C9D17214E788A07BA1F3E678F1C"/>
          </w:pPr>
          <w:r w:rsidRPr="005C44BE">
            <w:rPr>
              <w:rStyle w:val="PlaceholderText"/>
            </w:rPr>
            <w:t>Click or tap here to enter text.</w:t>
          </w:r>
        </w:p>
      </w:docPartBody>
    </w:docPart>
    <w:docPart>
      <w:docPartPr>
        <w:name w:val="B8BAF0E5935F4CBA85449C3A42B6D4BE"/>
        <w:category>
          <w:name w:val="General"/>
          <w:gallery w:val="placeholder"/>
        </w:category>
        <w:types>
          <w:type w:val="bbPlcHdr"/>
        </w:types>
        <w:behaviors>
          <w:behavior w:val="content"/>
        </w:behaviors>
        <w:guid w:val="{6E2A685F-0EC0-4BF9-A793-9C7B255C5A9A}"/>
      </w:docPartPr>
      <w:docPartBody>
        <w:p w:rsidR="00010755" w:rsidRDefault="008A1FCE">
          <w:pPr>
            <w:pStyle w:val="B8BAF0E5935F4CBA85449C3A42B6D4BE"/>
          </w:pPr>
          <w:r w:rsidRPr="005C44BE">
            <w:rPr>
              <w:rStyle w:val="PlaceholderText"/>
            </w:rPr>
            <w:t>Click or tap here to enter text.</w:t>
          </w:r>
        </w:p>
      </w:docPartBody>
    </w:docPart>
    <w:docPart>
      <w:docPartPr>
        <w:name w:val="2B4B9E71FA6D49AD98826DFB1F4C89AF"/>
        <w:category>
          <w:name w:val="General"/>
          <w:gallery w:val="placeholder"/>
        </w:category>
        <w:types>
          <w:type w:val="bbPlcHdr"/>
        </w:types>
        <w:behaviors>
          <w:behavior w:val="content"/>
        </w:behaviors>
        <w:guid w:val="{09C3D455-4DDE-455A-8F71-62C617111CDB}"/>
      </w:docPartPr>
      <w:docPartBody>
        <w:p w:rsidR="00010755" w:rsidRDefault="008A1FCE">
          <w:pPr>
            <w:pStyle w:val="2B4B9E71FA6D49AD98826DFB1F4C89A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CE"/>
    <w:rsid w:val="00010755"/>
    <w:rsid w:val="000570C6"/>
    <w:rsid w:val="00064A51"/>
    <w:rsid w:val="001A6E68"/>
    <w:rsid w:val="002A38C0"/>
    <w:rsid w:val="0039209E"/>
    <w:rsid w:val="004105CB"/>
    <w:rsid w:val="00457703"/>
    <w:rsid w:val="004733EC"/>
    <w:rsid w:val="004D2CFA"/>
    <w:rsid w:val="005115A2"/>
    <w:rsid w:val="00556CAE"/>
    <w:rsid w:val="0058654A"/>
    <w:rsid w:val="00661565"/>
    <w:rsid w:val="006811DB"/>
    <w:rsid w:val="007C71F9"/>
    <w:rsid w:val="007E7119"/>
    <w:rsid w:val="007F1D8D"/>
    <w:rsid w:val="008A1FCE"/>
    <w:rsid w:val="0093756A"/>
    <w:rsid w:val="009D5407"/>
    <w:rsid w:val="00A0366E"/>
    <w:rsid w:val="00AB35D9"/>
    <w:rsid w:val="00B15C8B"/>
    <w:rsid w:val="00B56963"/>
    <w:rsid w:val="00C86B0F"/>
    <w:rsid w:val="00D01A28"/>
    <w:rsid w:val="00D14A90"/>
    <w:rsid w:val="00E41545"/>
    <w:rsid w:val="00F37934"/>
    <w:rsid w:val="00F810EF"/>
    <w:rsid w:val="00FA6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709295B74D77B7E1D96608968CB9">
    <w:name w:val="FE8A709295B74D77B7E1D96608968CB9"/>
  </w:style>
  <w:style w:type="paragraph" w:customStyle="1" w:styleId="9ACB5174A9A8417C88782D5A246F981D">
    <w:name w:val="9ACB5174A9A8417C88782D5A246F981D"/>
  </w:style>
  <w:style w:type="paragraph" w:customStyle="1" w:styleId="859F7C9D17214E788A07BA1F3E678F1C">
    <w:name w:val="859F7C9D17214E788A07BA1F3E678F1C"/>
  </w:style>
  <w:style w:type="paragraph" w:customStyle="1" w:styleId="B8BAF0E5935F4CBA85449C3A42B6D4BE">
    <w:name w:val="B8BAF0E5935F4CBA85449C3A42B6D4BE"/>
  </w:style>
  <w:style w:type="paragraph" w:customStyle="1" w:styleId="2B4B9E71FA6D49AD98826DFB1F4C89AF">
    <w:name w:val="2B4B9E71FA6D49AD98826DFB1F4C89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Mensink v Registrar of the Federal Court of Australia [2022] FCAFC 102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0E17F6CF-791E-46B8-9FB7-B3354177F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3</TotalTime>
  <Pages>24</Pages>
  <Words>9530</Words>
  <Characters>46606</Characters>
  <Application>Microsoft Office Word</Application>
  <DocSecurity>0</DocSecurity>
  <Lines>817</Lines>
  <Paragraphs>261</Paragraphs>
  <ScaleCrop>false</ScaleCrop>
  <HeadingPairs>
    <vt:vector size="2" baseType="variant">
      <vt:variant>
        <vt:lpstr>Title</vt:lpstr>
      </vt:variant>
      <vt:variant>
        <vt:i4>1</vt:i4>
      </vt:variant>
    </vt:vector>
  </HeadingPairs>
  <TitlesOfParts>
    <vt:vector size="1" baseType="lpstr">
      <vt:lpstr>Mensink v Registrar of the Federal Court of Australia [2022] FCAFC 102 </vt:lpstr>
    </vt:vector>
  </TitlesOfParts>
  <Company>Federal Court of Australia</Company>
  <LinksUpToDate>false</LinksUpToDate>
  <CharactersWithSpaces>55875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Mensink v Registrar of the Federal Court of Australia [2022] FCAFC 102</dc:title>
  <dc:creator>Federal Court of Australia</dc:creator>
  <dc:description>v1.3</dc:description>
  <cp:lastModifiedBy>Federal Court of Australia</cp:lastModifiedBy>
  <cp:revision>4</cp:revision>
  <cp:lastPrinted>2022-06-09T03:12:00Z</cp:lastPrinted>
  <dcterms:created xsi:type="dcterms:W3CDTF">2022-06-09T05:57:00Z</dcterms:created>
  <dcterms:modified xsi:type="dcterms:W3CDTF">2022-06-09T05:59:00Z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Federal Crime and Related Proceedings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Registrar of the Federal Court of Australia v Mensink [2021] FCA 1152</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