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B7AAE" w14:textId="3E547DE0" w:rsidR="00395B24" w:rsidRDefault="008702F8" w:rsidP="00A22932">
      <w:pPr>
        <w:pStyle w:val="CourtTitle"/>
      </w:pPr>
      <w:r>
        <w:rPr>
          <w:caps w:val="0"/>
        </w:rPr>
        <w:t>FEDERAL COURT OF AUSTRALIA</w:t>
      </w:r>
    </w:p>
    <w:p w14:paraId="672A6659" w14:textId="77777777" w:rsidR="004D7950" w:rsidRDefault="004D7950">
      <w:pPr>
        <w:pStyle w:val="NormalHeadings"/>
        <w:jc w:val="center"/>
        <w:rPr>
          <w:sz w:val="32"/>
        </w:rPr>
      </w:pPr>
    </w:p>
    <w:bookmarkStart w:id="0" w:name="MNC"/>
    <w:p w14:paraId="1C0018C6" w14:textId="6F9B6461" w:rsidR="00374CC4" w:rsidRDefault="00B813F4" w:rsidP="001A2B40">
      <w:pPr>
        <w:pStyle w:val="MNC"/>
      </w:pPr>
      <w:sdt>
        <w:sdtPr>
          <w:alias w:val="MNC"/>
          <w:tag w:val="MNC"/>
          <w:id w:val="343289786"/>
          <w:lock w:val="sdtLocked"/>
          <w:placeholder>
            <w:docPart w:val="698B15EF37354FD08042BDF8E83C55B8"/>
          </w:placeholder>
          <w:dataBinding w:prefixMappings="xmlns:ns0='http://schemas.globalmacros.com/FCA'" w:xpath="/ns0:root[1]/ns0:Name[1]" w:storeItemID="{687E7CCB-4AA5-44E7-B148-17BA2B6F57C0}"/>
          <w:text w:multiLine="1"/>
        </w:sdtPr>
        <w:sdtEndPr/>
        <w:sdtContent>
          <w:r w:rsidR="009250A7">
            <w:t xml:space="preserve"> Luck v Secretary of Se</w:t>
          </w:r>
          <w:r w:rsidR="00161855">
            <w:t>rvices Australia [2022] FCAFC 195</w:t>
          </w:r>
          <w:r w:rsidR="009250A7">
            <w:t xml:space="preserve"> </w:t>
          </w:r>
        </w:sdtContent>
      </w:sdt>
      <w:bookmarkEnd w:id="0"/>
      <w:r w:rsidR="005C185C">
        <w:t xml:space="preserve"> </w:t>
      </w:r>
    </w:p>
    <w:tbl>
      <w:tblPr>
        <w:tblW w:w="9072" w:type="dxa"/>
        <w:tblLayout w:type="fixed"/>
        <w:tblLook w:val="01E0" w:firstRow="1" w:lastRow="1" w:firstColumn="1" w:lastColumn="1" w:noHBand="0" w:noVBand="0"/>
        <w:tblCaption w:val="Cover Table"/>
        <w:tblDescription w:val="Cover Table"/>
      </w:tblPr>
      <w:tblGrid>
        <w:gridCol w:w="2977"/>
        <w:gridCol w:w="6095"/>
      </w:tblGrid>
      <w:tr w:rsidR="00A72E0B" w14:paraId="5D12A203" w14:textId="77777777" w:rsidTr="00B14117">
        <w:tc>
          <w:tcPr>
            <w:tcW w:w="2977" w:type="dxa"/>
            <w:shd w:val="clear" w:color="auto" w:fill="auto"/>
          </w:tcPr>
          <w:p w14:paraId="78DCF4C4" w14:textId="77777777" w:rsidR="00A72E0B" w:rsidRDefault="00A72E0B" w:rsidP="002539B3">
            <w:pPr>
              <w:pStyle w:val="Normal1linespace"/>
              <w:widowControl w:val="0"/>
              <w:spacing w:after="60"/>
              <w:jc w:val="left"/>
            </w:pPr>
            <w:bookmarkStart w:id="1" w:name="AppealFrom_row" w:colFirst="0" w:colLast="1"/>
            <w:r>
              <w:t>Appeal from:</w:t>
            </w:r>
          </w:p>
        </w:tc>
        <w:tc>
          <w:tcPr>
            <w:tcW w:w="6095" w:type="dxa"/>
            <w:shd w:val="clear" w:color="auto" w:fill="auto"/>
          </w:tcPr>
          <w:p w14:paraId="5ECA6ED3" w14:textId="1AB96673" w:rsidR="00A72E0B" w:rsidRDefault="00A72E0B" w:rsidP="002539B3">
            <w:pPr>
              <w:pStyle w:val="CasesLegislationAppealFrom"/>
              <w:spacing w:after="60"/>
            </w:pPr>
            <w:r w:rsidRPr="003D4E17">
              <w:rPr>
                <w:i/>
              </w:rPr>
              <w:t>Luck v Secretary of the Department of Human Services (No 4)</w:t>
            </w:r>
            <w:r>
              <w:t xml:space="preserve"> [2016] FCA 950</w:t>
            </w:r>
          </w:p>
        </w:tc>
      </w:tr>
      <w:tr w:rsidR="00A72E0B" w14:paraId="0A37501D" w14:textId="77777777" w:rsidTr="00B14117">
        <w:tc>
          <w:tcPr>
            <w:tcW w:w="2977" w:type="dxa"/>
            <w:shd w:val="clear" w:color="auto" w:fill="auto"/>
          </w:tcPr>
          <w:p w14:paraId="5DAB6C7B" w14:textId="77777777" w:rsidR="00A72E0B" w:rsidRDefault="00A72E0B" w:rsidP="00663878">
            <w:pPr>
              <w:pStyle w:val="Normal1linespace"/>
              <w:widowControl w:val="0"/>
              <w:jc w:val="left"/>
            </w:pPr>
          </w:p>
        </w:tc>
        <w:tc>
          <w:tcPr>
            <w:tcW w:w="6095" w:type="dxa"/>
            <w:shd w:val="clear" w:color="auto" w:fill="auto"/>
          </w:tcPr>
          <w:p w14:paraId="02EB378F" w14:textId="77777777" w:rsidR="00A72E0B" w:rsidRDefault="00A72E0B" w:rsidP="00663878">
            <w:pPr>
              <w:pStyle w:val="Normal1linespace"/>
              <w:widowControl w:val="0"/>
              <w:jc w:val="left"/>
            </w:pPr>
          </w:p>
        </w:tc>
      </w:tr>
      <w:bookmarkEnd w:id="1"/>
      <w:tr w:rsidR="00395B24" w14:paraId="60034C2F" w14:textId="77777777" w:rsidTr="00B14117">
        <w:tc>
          <w:tcPr>
            <w:tcW w:w="2977" w:type="dxa"/>
            <w:shd w:val="clear" w:color="auto" w:fill="auto"/>
          </w:tcPr>
          <w:p w14:paraId="26C083A3" w14:textId="77777777" w:rsidR="00395B24" w:rsidRDefault="002C7385" w:rsidP="00663878">
            <w:pPr>
              <w:pStyle w:val="Normal1linespace"/>
              <w:widowControl w:val="0"/>
              <w:jc w:val="left"/>
            </w:pPr>
            <w:r>
              <w:t>File number(s):</w:t>
            </w:r>
          </w:p>
        </w:tc>
        <w:tc>
          <w:tcPr>
            <w:tcW w:w="6095" w:type="dxa"/>
            <w:shd w:val="clear" w:color="auto" w:fill="auto"/>
          </w:tcPr>
          <w:p w14:paraId="37ED1F5C" w14:textId="7CDE038C" w:rsidR="00395B24" w:rsidRPr="00A72E0B" w:rsidRDefault="003D4E17" w:rsidP="003D4E17">
            <w:pPr>
              <w:pStyle w:val="Normal1linespace"/>
              <w:jc w:val="left"/>
            </w:pPr>
            <w:r>
              <w:t>VID</w:t>
            </w:r>
            <w:r w:rsidR="00B14117">
              <w:t xml:space="preserve"> </w:t>
            </w:r>
            <w:r>
              <w:t>1044 of 2016</w:t>
            </w:r>
          </w:p>
        </w:tc>
      </w:tr>
      <w:tr w:rsidR="00395B24" w14:paraId="6A05A809" w14:textId="77777777" w:rsidTr="00B14117">
        <w:tc>
          <w:tcPr>
            <w:tcW w:w="2977" w:type="dxa"/>
            <w:shd w:val="clear" w:color="auto" w:fill="auto"/>
          </w:tcPr>
          <w:p w14:paraId="5A39BBE3" w14:textId="77777777" w:rsidR="00395B24" w:rsidRDefault="00395B24" w:rsidP="00663878">
            <w:pPr>
              <w:pStyle w:val="Normal1linespace"/>
              <w:widowControl w:val="0"/>
              <w:jc w:val="left"/>
            </w:pPr>
          </w:p>
        </w:tc>
        <w:tc>
          <w:tcPr>
            <w:tcW w:w="6095" w:type="dxa"/>
            <w:shd w:val="clear" w:color="auto" w:fill="auto"/>
          </w:tcPr>
          <w:p w14:paraId="41C8F396" w14:textId="77777777" w:rsidR="00395B24" w:rsidRDefault="00395B24" w:rsidP="00663878">
            <w:pPr>
              <w:pStyle w:val="Normal1linespace"/>
              <w:widowControl w:val="0"/>
              <w:jc w:val="left"/>
            </w:pPr>
          </w:p>
        </w:tc>
      </w:tr>
      <w:tr w:rsidR="00395B24" w14:paraId="6136972E" w14:textId="77777777" w:rsidTr="00B14117">
        <w:tc>
          <w:tcPr>
            <w:tcW w:w="2977" w:type="dxa"/>
            <w:shd w:val="clear" w:color="auto" w:fill="auto"/>
          </w:tcPr>
          <w:p w14:paraId="30045807" w14:textId="77777777" w:rsidR="00395B24" w:rsidRDefault="002C7385" w:rsidP="00663878">
            <w:pPr>
              <w:pStyle w:val="Normal1linespace"/>
              <w:widowControl w:val="0"/>
              <w:jc w:val="left"/>
            </w:pPr>
            <w:r>
              <w:t>Judg</w:t>
            </w:r>
            <w:r w:rsidR="005724F6">
              <w:t>ment of</w:t>
            </w:r>
            <w:r>
              <w:t>:</w:t>
            </w:r>
          </w:p>
        </w:tc>
        <w:tc>
          <w:tcPr>
            <w:tcW w:w="6095" w:type="dxa"/>
            <w:shd w:val="clear" w:color="auto" w:fill="auto"/>
          </w:tcPr>
          <w:p w14:paraId="0E229CDE" w14:textId="3ECDC573" w:rsidR="00395B24" w:rsidRDefault="002C7385" w:rsidP="00B14117">
            <w:pPr>
              <w:pStyle w:val="Normal1linespace"/>
              <w:widowControl w:val="0"/>
              <w:jc w:val="left"/>
              <w:rPr>
                <w:b/>
              </w:rPr>
            </w:pPr>
            <w:r w:rsidRPr="00A72E0B">
              <w:rPr>
                <w:b/>
              </w:rPr>
              <w:fldChar w:fldCharType="begin" w:fldLock="1"/>
            </w:r>
            <w:r w:rsidRPr="00A72E0B">
              <w:rPr>
                <w:b/>
              </w:rPr>
              <w:instrText xml:space="preserve"> REF  Judge  \* MERGEFORMAT </w:instrText>
            </w:r>
            <w:r w:rsidRPr="00A72E0B">
              <w:rPr>
                <w:b/>
              </w:rPr>
              <w:fldChar w:fldCharType="separate"/>
            </w:r>
            <w:r w:rsidR="00A72E0B" w:rsidRPr="00A72E0B">
              <w:rPr>
                <w:b/>
                <w:caps/>
                <w:szCs w:val="24"/>
              </w:rPr>
              <w:t>FARRELL, S</w:t>
            </w:r>
            <w:r w:rsidR="009F67C4">
              <w:rPr>
                <w:b/>
                <w:caps/>
                <w:szCs w:val="24"/>
              </w:rPr>
              <w:t>ARAH C</w:t>
            </w:r>
            <w:r w:rsidR="00A72E0B" w:rsidRPr="00A72E0B">
              <w:rPr>
                <w:b/>
                <w:caps/>
                <w:szCs w:val="24"/>
              </w:rPr>
              <w:t xml:space="preserve"> DERRINGTON</w:t>
            </w:r>
            <w:r w:rsidR="00B14117">
              <w:rPr>
                <w:b/>
                <w:caps/>
                <w:szCs w:val="24"/>
              </w:rPr>
              <w:t xml:space="preserve"> AND</w:t>
            </w:r>
            <w:r w:rsidR="00A72E0B" w:rsidRPr="00A72E0B">
              <w:rPr>
                <w:b/>
                <w:caps/>
                <w:szCs w:val="24"/>
              </w:rPr>
              <w:t xml:space="preserve"> RAPER JJ</w:t>
            </w:r>
            <w:r w:rsidRPr="00A72E0B">
              <w:rPr>
                <w:b/>
              </w:rPr>
              <w:fldChar w:fldCharType="end"/>
            </w:r>
          </w:p>
        </w:tc>
      </w:tr>
      <w:tr w:rsidR="00395B24" w14:paraId="72A3D3EC" w14:textId="77777777" w:rsidTr="00B14117">
        <w:tc>
          <w:tcPr>
            <w:tcW w:w="2977" w:type="dxa"/>
            <w:shd w:val="clear" w:color="auto" w:fill="auto"/>
          </w:tcPr>
          <w:p w14:paraId="0D0B940D" w14:textId="77777777" w:rsidR="00395B24" w:rsidRDefault="00395B24" w:rsidP="00663878">
            <w:pPr>
              <w:pStyle w:val="Normal1linespace"/>
              <w:widowControl w:val="0"/>
              <w:jc w:val="left"/>
            </w:pPr>
          </w:p>
        </w:tc>
        <w:tc>
          <w:tcPr>
            <w:tcW w:w="6095" w:type="dxa"/>
            <w:shd w:val="clear" w:color="auto" w:fill="auto"/>
          </w:tcPr>
          <w:p w14:paraId="0E27B00A" w14:textId="77777777" w:rsidR="00395B24" w:rsidRDefault="00395B24" w:rsidP="00663878">
            <w:pPr>
              <w:pStyle w:val="Normal1linespace"/>
              <w:widowControl w:val="0"/>
              <w:jc w:val="left"/>
            </w:pPr>
          </w:p>
        </w:tc>
      </w:tr>
      <w:tr w:rsidR="00395B24" w14:paraId="2A4977D2" w14:textId="77777777" w:rsidTr="00B14117">
        <w:tc>
          <w:tcPr>
            <w:tcW w:w="2977" w:type="dxa"/>
            <w:shd w:val="clear" w:color="auto" w:fill="auto"/>
          </w:tcPr>
          <w:p w14:paraId="6B879307" w14:textId="77777777" w:rsidR="00395B24" w:rsidRDefault="002C7385" w:rsidP="00663878">
            <w:pPr>
              <w:pStyle w:val="Normal1linespace"/>
              <w:widowControl w:val="0"/>
              <w:jc w:val="left"/>
            </w:pPr>
            <w:r>
              <w:t>Date of judgment:</w:t>
            </w:r>
          </w:p>
        </w:tc>
        <w:tc>
          <w:tcPr>
            <w:tcW w:w="6095" w:type="dxa"/>
            <w:shd w:val="clear" w:color="auto" w:fill="auto"/>
          </w:tcPr>
          <w:p w14:paraId="51AE5BF8" w14:textId="6CB559A4" w:rsidR="00395B24" w:rsidRDefault="004A0C8A" w:rsidP="00663878">
            <w:pPr>
              <w:pStyle w:val="Normal1linespace"/>
              <w:widowControl w:val="0"/>
              <w:jc w:val="left"/>
            </w:pPr>
            <w:r>
              <w:t>5 December 2022</w:t>
            </w:r>
          </w:p>
        </w:tc>
      </w:tr>
      <w:tr w:rsidR="00395B24" w14:paraId="60061E4C" w14:textId="77777777" w:rsidTr="00B14117">
        <w:tc>
          <w:tcPr>
            <w:tcW w:w="2977" w:type="dxa"/>
            <w:shd w:val="clear" w:color="auto" w:fill="auto"/>
          </w:tcPr>
          <w:p w14:paraId="44EAFD9C" w14:textId="77777777" w:rsidR="00395B24" w:rsidRDefault="00395B24" w:rsidP="00663878">
            <w:pPr>
              <w:pStyle w:val="Normal1linespace"/>
              <w:widowControl w:val="0"/>
              <w:jc w:val="left"/>
            </w:pPr>
          </w:p>
        </w:tc>
        <w:tc>
          <w:tcPr>
            <w:tcW w:w="6095" w:type="dxa"/>
            <w:shd w:val="clear" w:color="auto" w:fill="auto"/>
          </w:tcPr>
          <w:p w14:paraId="4B94D5A5" w14:textId="77777777" w:rsidR="00395B24" w:rsidRDefault="00395B24" w:rsidP="00663878">
            <w:pPr>
              <w:pStyle w:val="Normal1linespace"/>
              <w:widowControl w:val="0"/>
              <w:jc w:val="left"/>
            </w:pPr>
          </w:p>
        </w:tc>
      </w:tr>
      <w:tr w:rsidR="00395B24" w14:paraId="063A33DA" w14:textId="77777777" w:rsidTr="00B14117">
        <w:tc>
          <w:tcPr>
            <w:tcW w:w="2977" w:type="dxa"/>
            <w:shd w:val="clear" w:color="auto" w:fill="auto"/>
          </w:tcPr>
          <w:p w14:paraId="6E041B0B" w14:textId="77777777" w:rsidR="00395B24" w:rsidRDefault="002C7385" w:rsidP="00663878">
            <w:pPr>
              <w:pStyle w:val="Normal1linespace"/>
              <w:widowControl w:val="0"/>
              <w:jc w:val="left"/>
            </w:pPr>
            <w:r>
              <w:t>Catchwords:</w:t>
            </w:r>
          </w:p>
        </w:tc>
        <w:tc>
          <w:tcPr>
            <w:tcW w:w="6095" w:type="dxa"/>
            <w:shd w:val="clear" w:color="auto" w:fill="auto"/>
          </w:tcPr>
          <w:p w14:paraId="54F9AE05" w14:textId="3326077A" w:rsidR="00395B24" w:rsidRDefault="004A0C8A" w:rsidP="00BC2619">
            <w:pPr>
              <w:pStyle w:val="Normal1linespace"/>
              <w:widowControl w:val="0"/>
              <w:jc w:val="left"/>
            </w:pPr>
            <w:bookmarkStart w:id="2" w:name="Catchwords"/>
            <w:r w:rsidRPr="004A0C8A">
              <w:rPr>
                <w:b/>
                <w:bCs/>
              </w:rPr>
              <w:t>BANKRUPTCY</w:t>
            </w:r>
            <w:bookmarkEnd w:id="2"/>
            <w:r w:rsidR="00631D77">
              <w:rPr>
                <w:b/>
                <w:bCs/>
              </w:rPr>
              <w:t xml:space="preserve"> </w:t>
            </w:r>
            <w:r w:rsidR="00BC2619">
              <w:t xml:space="preserve">– </w:t>
            </w:r>
            <w:r>
              <w:t>Effec</w:t>
            </w:r>
            <w:r w:rsidR="00BC2619">
              <w:t>t of bankruptcy on proceedings –</w:t>
            </w:r>
            <w:r>
              <w:t>Commencement of appeal by bankrupt before sequestration</w:t>
            </w:r>
            <w:r w:rsidR="00BC2619">
              <w:t xml:space="preserve"> – </w:t>
            </w:r>
            <w:r>
              <w:t>Stay of proceedings until election by trustee</w:t>
            </w:r>
            <w:r w:rsidR="00631D77">
              <w:t xml:space="preserve"> </w:t>
            </w:r>
            <w:r w:rsidR="00BC2619">
              <w:t>–</w:t>
            </w:r>
            <w:r w:rsidR="00631D77">
              <w:t xml:space="preserve"> </w:t>
            </w:r>
            <w:r>
              <w:t>Whether proceedings deemed abandoned</w:t>
            </w:r>
            <w:r w:rsidR="00631D77">
              <w:t xml:space="preserve"> </w:t>
            </w:r>
            <w:r w:rsidR="00BC2619">
              <w:t>–</w:t>
            </w:r>
            <w:r w:rsidR="00631D77">
              <w:t xml:space="preserve"> </w:t>
            </w:r>
            <w:r w:rsidR="00987CA9">
              <w:t xml:space="preserve">Proceedings for judicial review of decision by Administrative Appeals Tribunal relating to documents sought under </w:t>
            </w:r>
            <w:r w:rsidR="00987CA9" w:rsidRPr="00987CA9">
              <w:rPr>
                <w:i/>
                <w:iCs/>
              </w:rPr>
              <w:t>Freedom of Information Act 1982</w:t>
            </w:r>
            <w:r w:rsidR="00987CA9">
              <w:t xml:space="preserve"> (</w:t>
            </w:r>
            <w:proofErr w:type="spellStart"/>
            <w:r w:rsidR="00987CA9">
              <w:t>Cth</w:t>
            </w:r>
            <w:proofErr w:type="spellEnd"/>
            <w:r w:rsidR="00987CA9">
              <w:t>)</w:t>
            </w:r>
            <w:r w:rsidR="00631D77">
              <w:t xml:space="preserve"> </w:t>
            </w:r>
            <w:r w:rsidR="00BC2619">
              <w:t xml:space="preserve">– </w:t>
            </w:r>
            <w:r w:rsidR="00317681">
              <w:t>Whether proceedings to vindicate breach of human rights</w:t>
            </w:r>
            <w:r w:rsidR="00631D77">
              <w:t xml:space="preserve"> </w:t>
            </w:r>
            <w:r w:rsidR="00BC2619">
              <w:t xml:space="preserve">– </w:t>
            </w:r>
            <w:r>
              <w:t>Whether proceedings</w:t>
            </w:r>
            <w:r w:rsidR="00987CA9">
              <w:t xml:space="preserve"> in respect of “any personal injury or wrong” within s 60(4) </w:t>
            </w:r>
            <w:r w:rsidR="00987CA9" w:rsidRPr="00987CA9">
              <w:rPr>
                <w:i/>
                <w:iCs/>
              </w:rPr>
              <w:t>Bankruptcy Act 1966</w:t>
            </w:r>
            <w:r w:rsidR="00987CA9">
              <w:t xml:space="preserve"> (</w:t>
            </w:r>
            <w:proofErr w:type="spellStart"/>
            <w:r w:rsidR="00987CA9">
              <w:t>Cth</w:t>
            </w:r>
            <w:proofErr w:type="spellEnd"/>
            <w:r w:rsidR="00987CA9">
              <w:t>)</w:t>
            </w:r>
          </w:p>
        </w:tc>
      </w:tr>
      <w:tr w:rsidR="00395B24" w14:paraId="3DEEC669" w14:textId="77777777" w:rsidTr="00B14117">
        <w:tc>
          <w:tcPr>
            <w:tcW w:w="2977" w:type="dxa"/>
            <w:shd w:val="clear" w:color="auto" w:fill="auto"/>
          </w:tcPr>
          <w:p w14:paraId="3656B9AB" w14:textId="77777777" w:rsidR="00395B24" w:rsidRDefault="00395B24" w:rsidP="00663878">
            <w:pPr>
              <w:pStyle w:val="Normal1linespace"/>
              <w:widowControl w:val="0"/>
              <w:jc w:val="left"/>
            </w:pPr>
          </w:p>
        </w:tc>
        <w:tc>
          <w:tcPr>
            <w:tcW w:w="6095" w:type="dxa"/>
            <w:shd w:val="clear" w:color="auto" w:fill="auto"/>
          </w:tcPr>
          <w:p w14:paraId="45FB0818" w14:textId="77777777" w:rsidR="00395B24" w:rsidRDefault="00395B24" w:rsidP="00663878">
            <w:pPr>
              <w:pStyle w:val="Normal1linespace"/>
              <w:widowControl w:val="0"/>
              <w:jc w:val="left"/>
            </w:pPr>
          </w:p>
        </w:tc>
      </w:tr>
      <w:tr w:rsidR="00395B24" w14:paraId="51A69F26" w14:textId="77777777" w:rsidTr="00B14117">
        <w:tc>
          <w:tcPr>
            <w:tcW w:w="2977" w:type="dxa"/>
            <w:shd w:val="clear" w:color="auto" w:fill="auto"/>
          </w:tcPr>
          <w:p w14:paraId="1B355750" w14:textId="77777777" w:rsidR="00395B24" w:rsidRDefault="002C7385" w:rsidP="00663878">
            <w:pPr>
              <w:pStyle w:val="Normal1linespace"/>
              <w:widowControl w:val="0"/>
              <w:jc w:val="left"/>
            </w:pPr>
            <w:r>
              <w:t>Legislation:</w:t>
            </w:r>
          </w:p>
        </w:tc>
        <w:tc>
          <w:tcPr>
            <w:tcW w:w="6095" w:type="dxa"/>
            <w:shd w:val="clear" w:color="auto" w:fill="auto"/>
          </w:tcPr>
          <w:p w14:paraId="64367C02" w14:textId="1D29C028" w:rsidR="00987CA9" w:rsidRPr="00BB0E83" w:rsidRDefault="00987CA9" w:rsidP="00BB0E83">
            <w:pPr>
              <w:pStyle w:val="CasesLegislationAppealFrom"/>
              <w:spacing w:after="60"/>
            </w:pPr>
            <w:bookmarkStart w:id="3" w:name="Legislation"/>
            <w:r w:rsidRPr="00BB0E83">
              <w:rPr>
                <w:i/>
                <w:iCs/>
              </w:rPr>
              <w:t>Administrative Appeals Tribunal Act 1975</w:t>
            </w:r>
            <w:r w:rsidRPr="00BB0E83">
              <w:t xml:space="preserve"> (</w:t>
            </w:r>
            <w:proofErr w:type="spellStart"/>
            <w:r w:rsidRPr="00BB0E83">
              <w:t>Cth</w:t>
            </w:r>
            <w:proofErr w:type="spellEnd"/>
            <w:r w:rsidRPr="00BB0E83">
              <w:t xml:space="preserve">), </w:t>
            </w:r>
            <w:proofErr w:type="spellStart"/>
            <w:r w:rsidRPr="00BB0E83">
              <w:t>s</w:t>
            </w:r>
            <w:r w:rsidR="008D0BF9" w:rsidRPr="00BB0E83">
              <w:t>s</w:t>
            </w:r>
            <w:proofErr w:type="spellEnd"/>
            <w:r w:rsidR="008D0BF9" w:rsidRPr="00BB0E83">
              <w:t xml:space="preserve"> 2A, 27A,</w:t>
            </w:r>
            <w:r w:rsidRPr="00BB0E83">
              <w:t xml:space="preserve"> </w:t>
            </w:r>
            <w:r w:rsidR="00317681" w:rsidRPr="00BB0E83">
              <w:t xml:space="preserve">37(1), </w:t>
            </w:r>
            <w:r w:rsidRPr="00BB0E83">
              <w:t>44</w:t>
            </w:r>
          </w:p>
          <w:p w14:paraId="65BD74DA" w14:textId="129D3F72" w:rsidR="00317681" w:rsidRPr="00BB0E83" w:rsidRDefault="00317681" w:rsidP="00BB0E83">
            <w:pPr>
              <w:pStyle w:val="CasesLegislationAppealFrom"/>
              <w:spacing w:after="60"/>
            </w:pPr>
            <w:r w:rsidRPr="00BB0E83">
              <w:rPr>
                <w:i/>
                <w:iCs/>
              </w:rPr>
              <w:t>Administrative Decisions (Judicial Review) Act 1977</w:t>
            </w:r>
            <w:r w:rsidRPr="00BB0E83">
              <w:t xml:space="preserve"> (</w:t>
            </w:r>
            <w:proofErr w:type="spellStart"/>
            <w:r w:rsidRPr="00BB0E83">
              <w:t>Cth</w:t>
            </w:r>
            <w:proofErr w:type="spellEnd"/>
            <w:r w:rsidRPr="00BB0E83">
              <w:t>), s 5</w:t>
            </w:r>
          </w:p>
          <w:p w14:paraId="7D152770" w14:textId="0B9FA996" w:rsidR="008D0BF9" w:rsidRPr="00BB0E83" w:rsidRDefault="008D0BF9" w:rsidP="00BB0E83">
            <w:pPr>
              <w:pStyle w:val="CasesLegislationAppealFrom"/>
              <w:spacing w:after="60"/>
            </w:pPr>
            <w:r w:rsidRPr="00BB0E83">
              <w:rPr>
                <w:i/>
              </w:rPr>
              <w:t xml:space="preserve">Australian Human Rights Commission Act 1986 </w:t>
            </w:r>
            <w:r w:rsidRPr="00BB0E83">
              <w:t>(</w:t>
            </w:r>
            <w:proofErr w:type="spellStart"/>
            <w:r w:rsidRPr="00BB0E83">
              <w:t>Cth</w:t>
            </w:r>
            <w:proofErr w:type="spellEnd"/>
            <w:r w:rsidRPr="00BB0E83">
              <w:t>)</w:t>
            </w:r>
            <w:r w:rsidR="00317681" w:rsidRPr="00BB0E83">
              <w:t xml:space="preserve">, </w:t>
            </w:r>
            <w:proofErr w:type="spellStart"/>
            <w:r w:rsidR="00317681" w:rsidRPr="00BB0E83">
              <w:t>ss</w:t>
            </w:r>
            <w:proofErr w:type="spellEnd"/>
            <w:r w:rsidR="00317681" w:rsidRPr="00BB0E83">
              <w:t xml:space="preserve"> 46PO(3A), (4)(d), Pt IIB</w:t>
            </w:r>
          </w:p>
          <w:p w14:paraId="1CFFA182" w14:textId="7C8F3812" w:rsidR="00CD1EF4" w:rsidRDefault="00987CA9" w:rsidP="00BB0E83">
            <w:pPr>
              <w:pStyle w:val="CasesLegislationAppealFrom"/>
              <w:spacing w:after="60"/>
            </w:pPr>
            <w:r w:rsidRPr="00BB0E83">
              <w:rPr>
                <w:i/>
                <w:iCs/>
              </w:rPr>
              <w:t>Bankruptcy Act 1966</w:t>
            </w:r>
            <w:r w:rsidRPr="00BB0E83">
              <w:t xml:space="preserve"> (</w:t>
            </w:r>
            <w:proofErr w:type="spellStart"/>
            <w:r w:rsidRPr="00BB0E83">
              <w:t>Cth</w:t>
            </w:r>
            <w:proofErr w:type="spellEnd"/>
            <w:r w:rsidRPr="00BB0E83">
              <w:t xml:space="preserve">), </w:t>
            </w:r>
            <w:proofErr w:type="spellStart"/>
            <w:r w:rsidRPr="00BB0E83">
              <w:t>s</w:t>
            </w:r>
            <w:r w:rsidR="008D0BF9" w:rsidRPr="00BB0E83">
              <w:t>s</w:t>
            </w:r>
            <w:proofErr w:type="spellEnd"/>
            <w:r w:rsidRPr="00BB0E83">
              <w:t xml:space="preserve"> 60</w:t>
            </w:r>
            <w:r w:rsidR="008D0BF9" w:rsidRPr="00BB0E83">
              <w:t>, 116(2)(g)</w:t>
            </w:r>
            <w:r w:rsidR="00715751" w:rsidRPr="00BB0E83">
              <w:t xml:space="preserve"> </w:t>
            </w:r>
            <w:r w:rsidR="002C7385" w:rsidRPr="00BB0E83">
              <w:t xml:space="preserve"> </w:t>
            </w:r>
          </w:p>
          <w:p w14:paraId="57F2A8AF" w14:textId="3A6433EA" w:rsidR="008D0BF9" w:rsidRPr="00BB0E83" w:rsidRDefault="008D0BF9" w:rsidP="00BB0E83">
            <w:pPr>
              <w:pStyle w:val="CasesLegislationAppealFrom"/>
              <w:spacing w:after="60"/>
            </w:pPr>
            <w:r w:rsidRPr="00BB0E83">
              <w:rPr>
                <w:i/>
              </w:rPr>
              <w:t>Disability Discrimination Act</w:t>
            </w:r>
            <w:r w:rsidR="00317681" w:rsidRPr="00BB0E83">
              <w:rPr>
                <w:i/>
              </w:rPr>
              <w:t xml:space="preserve"> 1992</w:t>
            </w:r>
            <w:r w:rsidRPr="00BB0E83">
              <w:rPr>
                <w:i/>
              </w:rPr>
              <w:t xml:space="preserve"> </w:t>
            </w:r>
            <w:r w:rsidRPr="00BB0E83">
              <w:t>(</w:t>
            </w:r>
            <w:proofErr w:type="spellStart"/>
            <w:r w:rsidRPr="00BB0E83">
              <w:t>Cth</w:t>
            </w:r>
            <w:proofErr w:type="spellEnd"/>
            <w:r w:rsidRPr="00BB0E83">
              <w:t>)</w:t>
            </w:r>
          </w:p>
          <w:p w14:paraId="75351B13" w14:textId="1591DDD0" w:rsidR="008D0BF9" w:rsidRPr="002C7A03" w:rsidRDefault="008D0BF9" w:rsidP="00BB0E83">
            <w:pPr>
              <w:pStyle w:val="CasesLegislationAppealFrom"/>
              <w:spacing w:after="60"/>
            </w:pPr>
            <w:r w:rsidRPr="00BB0E83">
              <w:rPr>
                <w:i/>
              </w:rPr>
              <w:t xml:space="preserve">Federal Court Act 1976 </w:t>
            </w:r>
            <w:r w:rsidRPr="002C7A03">
              <w:t>(</w:t>
            </w:r>
            <w:proofErr w:type="spellStart"/>
            <w:r w:rsidRPr="002C7A03">
              <w:t>Cth</w:t>
            </w:r>
            <w:proofErr w:type="spellEnd"/>
            <w:r w:rsidRPr="002C7A03">
              <w:t>), s 25(2B)</w:t>
            </w:r>
          </w:p>
          <w:p w14:paraId="407DBEA2" w14:textId="29649D2D" w:rsidR="00987CA9" w:rsidRPr="00543205" w:rsidRDefault="00987CA9" w:rsidP="00543205">
            <w:pPr>
              <w:pStyle w:val="CasesLegislationAppealFrom"/>
              <w:spacing w:after="60"/>
            </w:pPr>
            <w:r w:rsidRPr="00543205">
              <w:rPr>
                <w:i/>
                <w:iCs/>
              </w:rPr>
              <w:t>Freedom of Information Act 1982</w:t>
            </w:r>
            <w:r w:rsidRPr="00543205">
              <w:t xml:space="preserve"> (</w:t>
            </w:r>
            <w:proofErr w:type="spellStart"/>
            <w:r w:rsidRPr="00543205">
              <w:t>Cth</w:t>
            </w:r>
            <w:proofErr w:type="spellEnd"/>
            <w:r w:rsidRPr="00543205">
              <w:t>)</w:t>
            </w:r>
            <w:r w:rsidR="008D0BF9" w:rsidRPr="00543205">
              <w:t xml:space="preserve">, </w:t>
            </w:r>
            <w:proofErr w:type="spellStart"/>
            <w:r w:rsidR="008D0BF9" w:rsidRPr="00543205">
              <w:t>ss</w:t>
            </w:r>
            <w:proofErr w:type="spellEnd"/>
            <w:r w:rsidR="008D0BF9" w:rsidRPr="00543205">
              <w:t xml:space="preserve"> 3, 11</w:t>
            </w:r>
            <w:r w:rsidR="00317681" w:rsidRPr="00543205">
              <w:t>, 28, 55</w:t>
            </w:r>
          </w:p>
          <w:p w14:paraId="1E9BACD1" w14:textId="67719C22" w:rsidR="00987CA9" w:rsidRPr="00543205" w:rsidRDefault="00987CA9" w:rsidP="00543205">
            <w:pPr>
              <w:pStyle w:val="CasesLegislationAppealFrom"/>
              <w:spacing w:after="60"/>
            </w:pPr>
            <w:r w:rsidRPr="00543205">
              <w:rPr>
                <w:i/>
                <w:iCs/>
              </w:rPr>
              <w:t xml:space="preserve">Judiciary Act 1903 </w:t>
            </w:r>
            <w:r w:rsidRPr="00543205">
              <w:t>(</w:t>
            </w:r>
            <w:proofErr w:type="spellStart"/>
            <w:r w:rsidRPr="00543205">
              <w:t>Cth</w:t>
            </w:r>
            <w:proofErr w:type="spellEnd"/>
            <w:r w:rsidRPr="00543205">
              <w:t>)</w:t>
            </w:r>
            <w:r w:rsidR="008D0BF9" w:rsidRPr="00543205">
              <w:t xml:space="preserve">, </w:t>
            </w:r>
            <w:proofErr w:type="spellStart"/>
            <w:r w:rsidR="008D0BF9" w:rsidRPr="00543205">
              <w:t>ss</w:t>
            </w:r>
            <w:proofErr w:type="spellEnd"/>
            <w:r w:rsidR="008D0BF9" w:rsidRPr="00543205">
              <w:t xml:space="preserve"> 40, 78B</w:t>
            </w:r>
          </w:p>
          <w:p w14:paraId="0C7FA23D" w14:textId="4A5CCF73" w:rsidR="00317681" w:rsidRPr="00543205" w:rsidRDefault="00317681" w:rsidP="00543205">
            <w:pPr>
              <w:pStyle w:val="CasesLegislationAppealFrom"/>
              <w:spacing w:after="60"/>
            </w:pPr>
            <w:r w:rsidRPr="00543205">
              <w:rPr>
                <w:i/>
                <w:iCs/>
                <w:szCs w:val="24"/>
                <w:lang w:val="en-GB" w:eastAsia="en-AU"/>
              </w:rPr>
              <w:t>Privacy Act 1988</w:t>
            </w:r>
            <w:r w:rsidRPr="00543205">
              <w:rPr>
                <w:szCs w:val="24"/>
                <w:lang w:val="en-GB" w:eastAsia="en-AU"/>
              </w:rPr>
              <w:t xml:space="preserve"> (</w:t>
            </w:r>
            <w:proofErr w:type="spellStart"/>
            <w:r w:rsidRPr="00543205">
              <w:rPr>
                <w:szCs w:val="24"/>
                <w:lang w:val="en-GB" w:eastAsia="en-AU"/>
              </w:rPr>
              <w:t>Cth</w:t>
            </w:r>
            <w:proofErr w:type="spellEnd"/>
            <w:r w:rsidRPr="00543205">
              <w:rPr>
                <w:szCs w:val="24"/>
                <w:lang w:val="en-GB" w:eastAsia="en-AU"/>
              </w:rPr>
              <w:t>), s 36(1), Pts VI, VIB</w:t>
            </w:r>
          </w:p>
          <w:p w14:paraId="5077F6C6" w14:textId="77777777" w:rsidR="00317681" w:rsidRPr="00543205" w:rsidRDefault="00317681" w:rsidP="00543205">
            <w:pPr>
              <w:pStyle w:val="CasesLegislationAppealFrom"/>
              <w:spacing w:after="60"/>
            </w:pPr>
          </w:p>
          <w:p w14:paraId="17143C68" w14:textId="6BB32CCA" w:rsidR="00CD1EF4" w:rsidRPr="00BB0E83" w:rsidRDefault="00CD1EF4" w:rsidP="00543205">
            <w:pPr>
              <w:pStyle w:val="CasesLegislationAppealFrom"/>
              <w:spacing w:after="60"/>
            </w:pPr>
            <w:r w:rsidRPr="00BC2619">
              <w:rPr>
                <w:i/>
              </w:rPr>
              <w:t>Convention on t</w:t>
            </w:r>
            <w:r w:rsidRPr="00BB0E83">
              <w:rPr>
                <w:i/>
              </w:rPr>
              <w:t>he Rights of Persons with Disabilities</w:t>
            </w:r>
            <w:r w:rsidRPr="00BB0E83">
              <w:t>. Opened for signature 13 December 2006</w:t>
            </w:r>
            <w:r w:rsidR="00BC2619">
              <w:t xml:space="preserve">, </w:t>
            </w:r>
            <w:r w:rsidRPr="002C7A03">
              <w:t>2515 UNTS 3 (entered into force 3 May 2009)</w:t>
            </w:r>
          </w:p>
          <w:p w14:paraId="2894B68E" w14:textId="13DD7ABE" w:rsidR="00BB0E83" w:rsidRPr="00BC2619" w:rsidRDefault="00CD1EF4" w:rsidP="00543205">
            <w:pPr>
              <w:pStyle w:val="CasesLegislationAppealFrom"/>
              <w:spacing w:after="60"/>
              <w:rPr>
                <w:szCs w:val="24"/>
              </w:rPr>
            </w:pPr>
            <w:r w:rsidRPr="00BB0E83">
              <w:rPr>
                <w:i/>
                <w:iCs/>
                <w:szCs w:val="24"/>
                <w:lang w:eastAsia="en-GB"/>
              </w:rPr>
              <w:t xml:space="preserve"> </w:t>
            </w:r>
            <w:r w:rsidR="00BB0E83" w:rsidRPr="00BB0E83">
              <w:rPr>
                <w:i/>
                <w:iCs/>
                <w:szCs w:val="24"/>
                <w:lang w:val="en-GB" w:eastAsia="en-AU"/>
              </w:rPr>
              <w:t>International Covenant on Civil and Political Rights</w:t>
            </w:r>
            <w:r w:rsidR="00BB0E83" w:rsidRPr="00BB0E83">
              <w:rPr>
                <w:szCs w:val="24"/>
                <w:lang w:val="en-GB" w:eastAsia="en-AU"/>
              </w:rPr>
              <w:t>. Opened for signature 16 December 1966</w:t>
            </w:r>
            <w:r w:rsidR="002B5429">
              <w:rPr>
                <w:szCs w:val="24"/>
                <w:lang w:val="en-GB" w:eastAsia="en-AU"/>
              </w:rPr>
              <w:t>,</w:t>
            </w:r>
            <w:r w:rsidR="00BB0E83" w:rsidRPr="00BB0E83">
              <w:rPr>
                <w:szCs w:val="24"/>
                <w:lang w:val="en-GB" w:eastAsia="en-AU"/>
              </w:rPr>
              <w:t xml:space="preserve"> 999 UNTS 171 (entered into force 23 March 1976</w:t>
            </w:r>
            <w:bookmarkEnd w:id="3"/>
          </w:p>
        </w:tc>
      </w:tr>
      <w:tr w:rsidR="00395B24" w14:paraId="049F31CB" w14:textId="77777777" w:rsidTr="00B14117">
        <w:tc>
          <w:tcPr>
            <w:tcW w:w="2977" w:type="dxa"/>
            <w:shd w:val="clear" w:color="auto" w:fill="auto"/>
          </w:tcPr>
          <w:p w14:paraId="53128261" w14:textId="77777777" w:rsidR="00395B24" w:rsidRDefault="00395B24" w:rsidP="00663878">
            <w:pPr>
              <w:pStyle w:val="Normal1linespace"/>
              <w:widowControl w:val="0"/>
              <w:jc w:val="left"/>
            </w:pPr>
          </w:p>
        </w:tc>
        <w:tc>
          <w:tcPr>
            <w:tcW w:w="6095" w:type="dxa"/>
            <w:shd w:val="clear" w:color="auto" w:fill="auto"/>
          </w:tcPr>
          <w:p w14:paraId="62486C05" w14:textId="77777777" w:rsidR="00395B24" w:rsidRDefault="00395B24" w:rsidP="00663878">
            <w:pPr>
              <w:pStyle w:val="Normal1linespace"/>
              <w:widowControl w:val="0"/>
              <w:jc w:val="left"/>
            </w:pPr>
          </w:p>
        </w:tc>
      </w:tr>
      <w:tr w:rsidR="00395B24" w14:paraId="5CC3390B" w14:textId="77777777" w:rsidTr="00B14117">
        <w:tc>
          <w:tcPr>
            <w:tcW w:w="2977" w:type="dxa"/>
            <w:shd w:val="clear" w:color="auto" w:fill="auto"/>
          </w:tcPr>
          <w:p w14:paraId="6778CE01" w14:textId="77777777" w:rsidR="00395B24" w:rsidRDefault="002C7385" w:rsidP="00663878">
            <w:pPr>
              <w:pStyle w:val="Normal1linespace"/>
              <w:widowControl w:val="0"/>
              <w:jc w:val="left"/>
            </w:pPr>
            <w:r>
              <w:t>Cases cited:</w:t>
            </w:r>
          </w:p>
        </w:tc>
        <w:tc>
          <w:tcPr>
            <w:tcW w:w="6095" w:type="dxa"/>
            <w:shd w:val="clear" w:color="auto" w:fill="auto"/>
          </w:tcPr>
          <w:p w14:paraId="20FCB427" w14:textId="1F2641CE" w:rsidR="00317681" w:rsidRDefault="00317681" w:rsidP="00D82620">
            <w:pPr>
              <w:pStyle w:val="CasesLegislationAppealFrom"/>
              <w:spacing w:after="60"/>
              <w:rPr>
                <w:bCs/>
                <w:i/>
              </w:rPr>
            </w:pPr>
            <w:r w:rsidRPr="0083068A">
              <w:rPr>
                <w:i/>
                <w:iCs/>
                <w:szCs w:val="24"/>
              </w:rPr>
              <w:t>Commissioner of Police v Mohamed</w:t>
            </w:r>
            <w:r>
              <w:rPr>
                <w:szCs w:val="24"/>
              </w:rPr>
              <w:t xml:space="preserve"> [2009] NSWCA 432</w:t>
            </w:r>
          </w:p>
          <w:p w14:paraId="2C1C7C36" w14:textId="14B90B1A" w:rsidR="00317681" w:rsidRDefault="00317681" w:rsidP="00D82620">
            <w:pPr>
              <w:pStyle w:val="CasesLegislationAppealFrom"/>
              <w:spacing w:after="60"/>
              <w:rPr>
                <w:i/>
                <w:iCs/>
              </w:rPr>
            </w:pPr>
            <w:r w:rsidRPr="00317681">
              <w:rPr>
                <w:bCs/>
                <w:i/>
              </w:rPr>
              <w:lastRenderedPageBreak/>
              <w:t xml:space="preserve">Cox </w:t>
            </w:r>
            <w:r w:rsidRPr="00DE59FE">
              <w:rPr>
                <w:i/>
              </w:rPr>
              <w:t xml:space="preserve">v </w:t>
            </w:r>
            <w:proofErr w:type="spellStart"/>
            <w:r w:rsidRPr="00DE59FE">
              <w:rPr>
                <w:i/>
              </w:rPr>
              <w:t>Journeaux</w:t>
            </w:r>
            <w:proofErr w:type="spellEnd"/>
            <w:r w:rsidRPr="00D22422">
              <w:t xml:space="preserve"> </w:t>
            </w:r>
            <w:r w:rsidRPr="00DE59FE">
              <w:rPr>
                <w:i/>
                <w:iCs/>
              </w:rPr>
              <w:t>(No 2)</w:t>
            </w:r>
            <w:r w:rsidRPr="00D22422">
              <w:t xml:space="preserve"> </w:t>
            </w:r>
            <w:r w:rsidR="00631D77">
              <w:t xml:space="preserve">[1935] HCA 48; </w:t>
            </w:r>
            <w:r w:rsidRPr="00D22422">
              <w:t>52 CLR 713</w:t>
            </w:r>
          </w:p>
          <w:p w14:paraId="43C48A15" w14:textId="0D0F0FE0" w:rsidR="008D0BF9" w:rsidRDefault="008D0BF9" w:rsidP="00D82620">
            <w:pPr>
              <w:pStyle w:val="CasesLegislationAppealFrom"/>
              <w:spacing w:after="60"/>
            </w:pPr>
            <w:r w:rsidRPr="008D0BF9">
              <w:rPr>
                <w:i/>
                <w:iCs/>
              </w:rPr>
              <w:t>Cummings</w:t>
            </w:r>
            <w:r w:rsidRPr="00845D44">
              <w:rPr>
                <w:i/>
                <w:iCs/>
              </w:rPr>
              <w:t xml:space="preserve"> v Claremont Petroleum NL</w:t>
            </w:r>
            <w:r>
              <w:t xml:space="preserve"> </w:t>
            </w:r>
            <w:r w:rsidR="00631D77">
              <w:t xml:space="preserve">[1996] HCA 19; </w:t>
            </w:r>
            <w:r>
              <w:t>185 CLR 124</w:t>
            </w:r>
          </w:p>
          <w:p w14:paraId="431883A0" w14:textId="1E7E5AC8" w:rsidR="008D0BF9" w:rsidRDefault="008D0BF9" w:rsidP="00D82620">
            <w:pPr>
              <w:pStyle w:val="CasesLegislationAppealFrom"/>
              <w:spacing w:after="60"/>
            </w:pPr>
            <w:r w:rsidRPr="00B14D29">
              <w:rPr>
                <w:i/>
              </w:rPr>
              <w:t>Fisher</w:t>
            </w:r>
            <w:r w:rsidRPr="00B314CE">
              <w:rPr>
                <w:i/>
              </w:rPr>
              <w:t xml:space="preserve"> v </w:t>
            </w:r>
            <w:r>
              <w:rPr>
                <w:i/>
              </w:rPr>
              <w:t>Transport fo</w:t>
            </w:r>
            <w:r w:rsidRPr="00B314CE">
              <w:rPr>
                <w:i/>
              </w:rPr>
              <w:t>r N</w:t>
            </w:r>
            <w:r>
              <w:rPr>
                <w:i/>
              </w:rPr>
              <w:t>S</w:t>
            </w:r>
            <w:r w:rsidRPr="00B314CE">
              <w:rPr>
                <w:i/>
              </w:rPr>
              <w:t>W</w:t>
            </w:r>
            <w:r w:rsidRPr="00B314CE">
              <w:t xml:space="preserve"> [2016] NSWSC 1888</w:t>
            </w:r>
          </w:p>
          <w:p w14:paraId="28FABC7F" w14:textId="10E2032C" w:rsidR="008D0BF9" w:rsidRDefault="008D0BF9" w:rsidP="00D82620">
            <w:pPr>
              <w:pStyle w:val="CasesLegislationAppealFrom"/>
              <w:spacing w:after="60"/>
            </w:pPr>
            <w:r w:rsidRPr="004168DC">
              <w:rPr>
                <w:i/>
                <w:iCs/>
              </w:rPr>
              <w:t>Fuller v Beach Petroleum NL</w:t>
            </w:r>
            <w:r w:rsidR="00631D77">
              <w:t xml:space="preserve"> [1993] FCA 453; </w:t>
            </w:r>
            <w:r>
              <w:t>43 FCR 60</w:t>
            </w:r>
          </w:p>
          <w:p w14:paraId="7B751BD8" w14:textId="578C2FEF" w:rsidR="008D0BF9" w:rsidRDefault="008D0BF9" w:rsidP="00D82620">
            <w:pPr>
              <w:pStyle w:val="CasesLegislationAppealFrom"/>
              <w:spacing w:after="60"/>
              <w:rPr>
                <w:i/>
                <w:iCs/>
              </w:rPr>
            </w:pPr>
            <w:r w:rsidRPr="008D0BF9">
              <w:rPr>
                <w:bCs/>
                <w:i/>
              </w:rPr>
              <w:t>Garrett</w:t>
            </w:r>
            <w:r>
              <w:rPr>
                <w:i/>
              </w:rPr>
              <w:t xml:space="preserve"> v Federal Commissioner of Taxation </w:t>
            </w:r>
            <w:r w:rsidR="00631D77">
              <w:t xml:space="preserve">[2015] </w:t>
            </w:r>
            <w:r w:rsidR="00676887">
              <w:t xml:space="preserve">FCA 665; </w:t>
            </w:r>
            <w:r>
              <w:t>233 FCR 226</w:t>
            </w:r>
          </w:p>
          <w:p w14:paraId="19CBF387" w14:textId="0B6F3157" w:rsidR="008D0BF9" w:rsidRDefault="008D0BF9" w:rsidP="00D82620">
            <w:pPr>
              <w:pStyle w:val="CasesLegislationAppealFrom"/>
              <w:spacing w:after="60"/>
              <w:rPr>
                <w:i/>
                <w:iCs/>
                <w:szCs w:val="24"/>
                <w:bdr w:val="none" w:sz="0" w:space="0" w:color="auto" w:frame="1"/>
                <w:shd w:val="clear" w:color="auto" w:fill="FFFFFF"/>
              </w:rPr>
            </w:pPr>
            <w:r w:rsidRPr="000D606E">
              <w:rPr>
                <w:i/>
                <w:iCs/>
              </w:rPr>
              <w:t>In the matter of an application by Gaye Luck for leave to appeal</w:t>
            </w:r>
            <w:r>
              <w:t xml:space="preserve"> [2022] HCASL 177</w:t>
            </w:r>
          </w:p>
          <w:p w14:paraId="12556D13" w14:textId="0714FF0A" w:rsidR="00987CA9" w:rsidRDefault="00987CA9" w:rsidP="00D82620">
            <w:pPr>
              <w:pStyle w:val="CasesLegislationAppealFrom"/>
              <w:spacing w:after="60"/>
              <w:rPr>
                <w:szCs w:val="24"/>
                <w:bdr w:val="none" w:sz="0" w:space="0" w:color="auto" w:frame="1"/>
                <w:shd w:val="clear" w:color="auto" w:fill="FFFFFF"/>
              </w:rPr>
            </w:pPr>
            <w:r w:rsidRPr="00FA767C">
              <w:rPr>
                <w:i/>
                <w:iCs/>
                <w:szCs w:val="24"/>
                <w:bdr w:val="none" w:sz="0" w:space="0" w:color="auto" w:frame="1"/>
                <w:shd w:val="clear" w:color="auto" w:fill="FFFFFF"/>
              </w:rPr>
              <w:t>Luck v Chief Executive Officer of Centrelink </w:t>
            </w:r>
            <w:r w:rsidRPr="00FA767C">
              <w:rPr>
                <w:szCs w:val="24"/>
                <w:bdr w:val="none" w:sz="0" w:space="0" w:color="auto" w:frame="1"/>
                <w:shd w:val="clear" w:color="auto" w:fill="FFFFFF"/>
              </w:rPr>
              <w:t>[2015] FCAFC 75</w:t>
            </w:r>
          </w:p>
          <w:p w14:paraId="4B88DC41" w14:textId="5C76773D" w:rsidR="00317681" w:rsidRDefault="00317681" w:rsidP="00D82620">
            <w:pPr>
              <w:pStyle w:val="CasesLegislationAppealFrom"/>
              <w:spacing w:after="60"/>
              <w:rPr>
                <w:i/>
                <w:iCs/>
              </w:rPr>
            </w:pPr>
            <w:r w:rsidRPr="00D61017">
              <w:rPr>
                <w:i/>
                <w:iCs/>
              </w:rPr>
              <w:t>Luck v Chief Executive Officer of Centr</w:t>
            </w:r>
            <w:r>
              <w:rPr>
                <w:i/>
                <w:iCs/>
              </w:rPr>
              <w:t>e</w:t>
            </w:r>
            <w:r w:rsidRPr="00D61017">
              <w:rPr>
                <w:i/>
                <w:iCs/>
              </w:rPr>
              <w:t>link</w:t>
            </w:r>
            <w:r>
              <w:t xml:space="preserve"> [2017] FCAFC 92; 251 FCR 295</w:t>
            </w:r>
          </w:p>
          <w:p w14:paraId="1866AA14" w14:textId="39AFC372" w:rsidR="00395B24" w:rsidRDefault="00987CA9" w:rsidP="00D82620">
            <w:pPr>
              <w:pStyle w:val="CasesLegislationAppealFrom"/>
              <w:spacing w:after="60"/>
            </w:pPr>
            <w:r w:rsidRPr="1EA82904">
              <w:rPr>
                <w:i/>
                <w:iCs/>
              </w:rPr>
              <w:t xml:space="preserve">Luck v Department of Human Services </w:t>
            </w:r>
            <w:r>
              <w:t>[2010] AATA 6; 51 AAR 265</w:t>
            </w:r>
          </w:p>
          <w:p w14:paraId="56AFA84A" w14:textId="50A1FE03" w:rsidR="00E345A5" w:rsidRPr="00BC2619" w:rsidRDefault="008D0BF9" w:rsidP="00D82620">
            <w:pPr>
              <w:pStyle w:val="CasesLegislationAppealFrom"/>
              <w:spacing w:after="60"/>
            </w:pPr>
            <w:r w:rsidRPr="003B1E73">
              <w:rPr>
                <w:i/>
                <w:iCs/>
              </w:rPr>
              <w:t xml:space="preserve">Luck v Federal Court of Australia </w:t>
            </w:r>
            <w:r>
              <w:t xml:space="preserve">[2011] </w:t>
            </w:r>
            <w:proofErr w:type="spellStart"/>
            <w:r>
              <w:t>HCATrans</w:t>
            </w:r>
            <w:proofErr w:type="spellEnd"/>
            <w:r>
              <w:t xml:space="preserve"> 290</w:t>
            </w:r>
          </w:p>
          <w:p w14:paraId="1DCE27D5" w14:textId="68A0089C" w:rsidR="00E345A5" w:rsidRDefault="00987CA9" w:rsidP="00D82620">
            <w:pPr>
              <w:pStyle w:val="CasesLegislationAppealFrom"/>
              <w:spacing w:after="60"/>
            </w:pPr>
            <w:r w:rsidRPr="002D74A7">
              <w:rPr>
                <w:i/>
              </w:rPr>
              <w:t>Luck v Secretary, Department of Human Services</w:t>
            </w:r>
            <w:r w:rsidRPr="002D74A7">
              <w:t xml:space="preserve"> [2014] FCA 344</w:t>
            </w:r>
          </w:p>
          <w:p w14:paraId="69211B2B" w14:textId="2D09326D" w:rsidR="00987CA9" w:rsidRDefault="00987CA9" w:rsidP="00D82620">
            <w:pPr>
              <w:pStyle w:val="CasesLegislationAppealFrom"/>
              <w:spacing w:after="60"/>
            </w:pPr>
            <w:r w:rsidRPr="00C84AF8">
              <w:rPr>
                <w:i/>
                <w:iCs/>
              </w:rPr>
              <w:t>Luck v Secretary, D</w:t>
            </w:r>
            <w:r w:rsidR="00BC2619">
              <w:rPr>
                <w:i/>
                <w:iCs/>
              </w:rPr>
              <w:t xml:space="preserve">epartment of Human Services (No </w:t>
            </w:r>
            <w:r w:rsidRPr="00C84AF8">
              <w:rPr>
                <w:i/>
                <w:iCs/>
              </w:rPr>
              <w:t>2)</w:t>
            </w:r>
            <w:r w:rsidRPr="00C84AF8">
              <w:t> [2014] FCA 798</w:t>
            </w:r>
          </w:p>
          <w:p w14:paraId="0087A8AD" w14:textId="4E504589" w:rsidR="00987CA9" w:rsidRDefault="00987CA9" w:rsidP="00D82620">
            <w:pPr>
              <w:pStyle w:val="CasesLegislationAppealFrom"/>
              <w:spacing w:after="60"/>
            </w:pPr>
            <w:r w:rsidRPr="00C84AF8">
              <w:rPr>
                <w:i/>
              </w:rPr>
              <w:t>Luck v Secretary, Department of Human Services</w:t>
            </w:r>
            <w:r>
              <w:t xml:space="preserve"> [2015] FCAFC 111</w:t>
            </w:r>
          </w:p>
          <w:p w14:paraId="78888796" w14:textId="16D4D999" w:rsidR="00BC2619" w:rsidRDefault="00BC2619" w:rsidP="00D82620">
            <w:pPr>
              <w:pStyle w:val="CasesLegislationAppealFrom"/>
              <w:spacing w:after="60"/>
            </w:pPr>
            <w:r>
              <w:rPr>
                <w:i/>
              </w:rPr>
              <w:t xml:space="preserve">Luck v Secretary, Department of Human Services (No 3) </w:t>
            </w:r>
            <w:r>
              <w:t>[2016] FCA 100.</w:t>
            </w:r>
          </w:p>
          <w:p w14:paraId="6E9A2115" w14:textId="61F10CA5" w:rsidR="00676887" w:rsidRDefault="00676887" w:rsidP="00D82620">
            <w:pPr>
              <w:pStyle w:val="CasesLegislationAppealFrom"/>
              <w:spacing w:after="60"/>
            </w:pPr>
            <w:r w:rsidRPr="00676887">
              <w:rPr>
                <w:i/>
              </w:rPr>
              <w:t>Luck v Secretary, Department of Human Services</w:t>
            </w:r>
            <w:r w:rsidRPr="00676887">
              <w:t xml:space="preserve"> </w:t>
            </w:r>
            <w:r w:rsidRPr="00BC2619">
              <w:rPr>
                <w:i/>
              </w:rPr>
              <w:t xml:space="preserve">(No 4) </w:t>
            </w:r>
            <w:r w:rsidRPr="00676887">
              <w:t>[2016] FCA 950</w:t>
            </w:r>
            <w:r>
              <w:t>; 70 AAR 60</w:t>
            </w:r>
          </w:p>
          <w:p w14:paraId="3EA51305" w14:textId="552DD592" w:rsidR="00676887" w:rsidRDefault="008D0BF9" w:rsidP="00D82620">
            <w:pPr>
              <w:pStyle w:val="CasesLegislationAppealFrom"/>
              <w:spacing w:after="60"/>
              <w:rPr>
                <w:bCs/>
              </w:rPr>
            </w:pPr>
            <w:r w:rsidRPr="00081298">
              <w:rPr>
                <w:bCs/>
                <w:i/>
              </w:rPr>
              <w:t>Luck</w:t>
            </w:r>
            <w:r w:rsidRPr="00274A62">
              <w:rPr>
                <w:i/>
              </w:rPr>
              <w:t xml:space="preserve"> v Secretary, Department of Human Services</w:t>
            </w:r>
            <w:r>
              <w:t xml:space="preserve"> </w:t>
            </w:r>
            <w:r w:rsidRPr="00BC2619">
              <w:rPr>
                <w:i/>
              </w:rPr>
              <w:t xml:space="preserve">(No 4) </w:t>
            </w:r>
            <w:r w:rsidRPr="00081298">
              <w:rPr>
                <w:bCs/>
              </w:rPr>
              <w:t>[2019] FCA 2071</w:t>
            </w:r>
          </w:p>
          <w:p w14:paraId="5A671343" w14:textId="3F5AC748" w:rsidR="00BC2619" w:rsidRPr="00676887" w:rsidRDefault="00BC2619" w:rsidP="00D82620">
            <w:pPr>
              <w:pStyle w:val="CasesLegislationAppealFrom"/>
              <w:spacing w:after="60"/>
              <w:rPr>
                <w:bCs/>
              </w:rPr>
            </w:pPr>
            <w:r w:rsidRPr="00101A86">
              <w:rPr>
                <w:i/>
                <w:iCs/>
              </w:rPr>
              <w:t>University of Southern Queensland v Luck</w:t>
            </w:r>
            <w:r w:rsidRPr="00101A86">
              <w:t> </w:t>
            </w:r>
            <w:r w:rsidRPr="00BC2619">
              <w:t>[2017] FCCA 639</w:t>
            </w:r>
          </w:p>
          <w:p w14:paraId="650C8E00" w14:textId="7A4F83D6" w:rsidR="00987CA9" w:rsidRDefault="00987CA9" w:rsidP="00D82620">
            <w:pPr>
              <w:pStyle w:val="CasesLegislationAppealFrom"/>
              <w:spacing w:after="60"/>
            </w:pPr>
            <w:r w:rsidRPr="003E16CD">
              <w:rPr>
                <w:i/>
              </w:rPr>
              <w:t>Luck v University of Southern Queensland</w:t>
            </w:r>
            <w:r>
              <w:t xml:space="preserve"> [2018] FCAFC 102</w:t>
            </w:r>
            <w:r w:rsidR="00676887">
              <w:t xml:space="preserve">; 265 FCR 304 </w:t>
            </w:r>
          </w:p>
          <w:p w14:paraId="43710AFC" w14:textId="77777777" w:rsidR="00987CA9" w:rsidRDefault="00987CA9" w:rsidP="00D82620">
            <w:pPr>
              <w:pStyle w:val="CasesLegislationAppealFrom"/>
              <w:spacing w:after="60"/>
            </w:pPr>
            <w:r w:rsidRPr="003E16CD">
              <w:rPr>
                <w:i/>
              </w:rPr>
              <w:t>Luck v University of Southern Queensland</w:t>
            </w:r>
            <w:r>
              <w:t xml:space="preserve"> [2019] HCASL 20</w:t>
            </w:r>
          </w:p>
          <w:p w14:paraId="13C35652" w14:textId="09EF5FA3" w:rsidR="008D0BF9" w:rsidRDefault="008D0BF9" w:rsidP="00D82620">
            <w:pPr>
              <w:pStyle w:val="CasesLegislationAppealFrom"/>
              <w:spacing w:after="60"/>
            </w:pPr>
            <w:r w:rsidRPr="008D0BF9">
              <w:rPr>
                <w:i/>
              </w:rPr>
              <w:t>Moss</w:t>
            </w:r>
            <w:r w:rsidRPr="0092695C">
              <w:rPr>
                <w:i/>
              </w:rPr>
              <w:t xml:space="preserve"> </w:t>
            </w:r>
            <w:r w:rsidRPr="003058CB">
              <w:rPr>
                <w:i/>
              </w:rPr>
              <w:t xml:space="preserve">v </w:t>
            </w:r>
            <w:proofErr w:type="spellStart"/>
            <w:r w:rsidRPr="003058CB">
              <w:rPr>
                <w:i/>
              </w:rPr>
              <w:t>Eaglestone</w:t>
            </w:r>
            <w:proofErr w:type="spellEnd"/>
            <w:r w:rsidRPr="00B314CE">
              <w:t xml:space="preserve"> </w:t>
            </w:r>
            <w:r>
              <w:t xml:space="preserve">[2011] NSWCA 404; </w:t>
            </w:r>
            <w:r w:rsidRPr="00B314CE">
              <w:t>83 NSWLR 476</w:t>
            </w:r>
          </w:p>
          <w:p w14:paraId="3F34B201" w14:textId="639D9645" w:rsidR="00317681" w:rsidRDefault="00317681" w:rsidP="00D82620">
            <w:pPr>
              <w:pStyle w:val="CasesLegislationAppealFrom"/>
              <w:spacing w:after="60"/>
            </w:pPr>
            <w:proofErr w:type="spellStart"/>
            <w:r>
              <w:rPr>
                <w:i/>
                <w:szCs w:val="24"/>
              </w:rPr>
              <w:t>Picos</w:t>
            </w:r>
            <w:proofErr w:type="spellEnd"/>
            <w:r>
              <w:rPr>
                <w:i/>
                <w:szCs w:val="24"/>
              </w:rPr>
              <w:t xml:space="preserve"> v Australian Federal Police </w:t>
            </w:r>
            <w:r>
              <w:rPr>
                <w:szCs w:val="24"/>
              </w:rPr>
              <w:t>[2015] FCA 118</w:t>
            </w:r>
          </w:p>
          <w:p w14:paraId="6E013DC8" w14:textId="3CEF244A" w:rsidR="008D0BF9" w:rsidRDefault="008D0BF9" w:rsidP="00D82620">
            <w:pPr>
              <w:pStyle w:val="CasesLegislationAppealFrom"/>
              <w:spacing w:after="60"/>
            </w:pPr>
            <w:proofErr w:type="spellStart"/>
            <w:r w:rsidRPr="002D2F9A">
              <w:rPr>
                <w:i/>
                <w:iCs/>
              </w:rPr>
              <w:t>Primelife</w:t>
            </w:r>
            <w:proofErr w:type="spellEnd"/>
            <w:r w:rsidRPr="002D2F9A">
              <w:rPr>
                <w:i/>
                <w:iCs/>
              </w:rPr>
              <w:t xml:space="preserve"> Corporation Ltd v Buffalo</w:t>
            </w:r>
            <w:r>
              <w:t xml:space="preserve"> [2008] FCA 1742</w:t>
            </w:r>
          </w:p>
          <w:p w14:paraId="3DF91CAB" w14:textId="0F765E36" w:rsidR="008D0BF9" w:rsidRDefault="008D0BF9" w:rsidP="00D82620">
            <w:pPr>
              <w:pStyle w:val="CasesLegislationAppealFrom"/>
              <w:spacing w:after="60"/>
              <w:rPr>
                <w:iCs/>
              </w:rPr>
            </w:pPr>
            <w:r>
              <w:rPr>
                <w:i/>
              </w:rPr>
              <w:t xml:space="preserve">Re </w:t>
            </w:r>
            <w:r w:rsidRPr="009310D0">
              <w:rPr>
                <w:i/>
              </w:rPr>
              <w:t>Lofthouse</w:t>
            </w:r>
            <w:r>
              <w:rPr>
                <w:iCs/>
              </w:rPr>
              <w:t xml:space="preserve"> </w:t>
            </w:r>
            <w:r w:rsidR="00676887">
              <w:rPr>
                <w:iCs/>
              </w:rPr>
              <w:t xml:space="preserve">(In the matter of </w:t>
            </w:r>
            <w:proofErr w:type="spellStart"/>
            <w:r w:rsidR="00676887">
              <w:rPr>
                <w:iCs/>
              </w:rPr>
              <w:t>Guss</w:t>
            </w:r>
            <w:proofErr w:type="spellEnd"/>
            <w:r w:rsidR="00676887">
              <w:rPr>
                <w:iCs/>
              </w:rPr>
              <w:t xml:space="preserve">) </w:t>
            </w:r>
            <w:r>
              <w:rPr>
                <w:iCs/>
              </w:rPr>
              <w:t>[2001] FCA 25; 107 FCR 151</w:t>
            </w:r>
          </w:p>
          <w:p w14:paraId="4671ABCD" w14:textId="75A75D2F" w:rsidR="008D0BF9" w:rsidRDefault="008D0BF9" w:rsidP="00D82620">
            <w:pPr>
              <w:pStyle w:val="CasesLegislationAppealFrom"/>
              <w:spacing w:after="60"/>
            </w:pPr>
            <w:r w:rsidRPr="00B14D29">
              <w:rPr>
                <w:i/>
              </w:rPr>
              <w:t>Sheehan v Brett</w:t>
            </w:r>
            <w:r>
              <w:rPr>
                <w:i/>
              </w:rPr>
              <w:t>-</w:t>
            </w:r>
            <w:r w:rsidRPr="00B14D29">
              <w:rPr>
                <w:i/>
              </w:rPr>
              <w:t>Young</w:t>
            </w:r>
            <w:r w:rsidRPr="00B14D29">
              <w:t xml:space="preserve"> </w:t>
            </w:r>
            <w:r w:rsidR="00676887" w:rsidRPr="00676887">
              <w:rPr>
                <w:i/>
              </w:rPr>
              <w:t xml:space="preserve">&amp; </w:t>
            </w:r>
            <w:proofErr w:type="spellStart"/>
            <w:r w:rsidR="00676887" w:rsidRPr="00676887">
              <w:rPr>
                <w:i/>
              </w:rPr>
              <w:t>Ors</w:t>
            </w:r>
            <w:proofErr w:type="spellEnd"/>
            <w:r w:rsidR="00676887">
              <w:t xml:space="preserve"> </w:t>
            </w:r>
            <w:r w:rsidR="00676887" w:rsidRPr="00676887">
              <w:rPr>
                <w:i/>
              </w:rPr>
              <w:t xml:space="preserve">(No 3) </w:t>
            </w:r>
            <w:r w:rsidRPr="00B14D29">
              <w:t>[2016] VS</w:t>
            </w:r>
            <w:r w:rsidRPr="00B314CE">
              <w:t>C 39</w:t>
            </w:r>
          </w:p>
        </w:tc>
      </w:tr>
      <w:tr w:rsidR="00A72E0B" w14:paraId="4101652C" w14:textId="77777777" w:rsidTr="00B14117">
        <w:tc>
          <w:tcPr>
            <w:tcW w:w="2977" w:type="dxa"/>
            <w:shd w:val="clear" w:color="auto" w:fill="auto"/>
          </w:tcPr>
          <w:p w14:paraId="4B99056E" w14:textId="77777777" w:rsidR="00A72E0B" w:rsidRDefault="00A72E0B" w:rsidP="008D408D">
            <w:pPr>
              <w:pStyle w:val="Normal1linespace"/>
              <w:widowControl w:val="0"/>
            </w:pPr>
          </w:p>
        </w:tc>
        <w:tc>
          <w:tcPr>
            <w:tcW w:w="6095" w:type="dxa"/>
            <w:shd w:val="clear" w:color="auto" w:fill="auto"/>
          </w:tcPr>
          <w:p w14:paraId="1299C43A" w14:textId="77777777" w:rsidR="00A72E0B" w:rsidRDefault="00A72E0B" w:rsidP="008D408D">
            <w:pPr>
              <w:pStyle w:val="Normal1linespace"/>
              <w:widowControl w:val="0"/>
              <w:jc w:val="left"/>
            </w:pPr>
          </w:p>
        </w:tc>
      </w:tr>
      <w:tr w:rsidR="00A72E0B" w14:paraId="303442F2" w14:textId="77777777" w:rsidTr="00B14117">
        <w:tc>
          <w:tcPr>
            <w:tcW w:w="2977" w:type="dxa"/>
            <w:shd w:val="clear" w:color="auto" w:fill="auto"/>
          </w:tcPr>
          <w:p w14:paraId="381154DF" w14:textId="77777777" w:rsidR="00A72E0B" w:rsidRDefault="00A72E0B" w:rsidP="00501A12">
            <w:pPr>
              <w:pStyle w:val="Normal1linespace"/>
              <w:widowControl w:val="0"/>
            </w:pPr>
            <w:r>
              <w:t>Division:</w:t>
            </w:r>
          </w:p>
        </w:tc>
        <w:tc>
          <w:tcPr>
            <w:tcW w:w="6095" w:type="dxa"/>
            <w:shd w:val="clear" w:color="auto" w:fill="auto"/>
          </w:tcPr>
          <w:p w14:paraId="65CE0667" w14:textId="60AAC61B" w:rsidR="00A72E0B" w:rsidRPr="00F17599" w:rsidRDefault="00A72E0B" w:rsidP="00501A12">
            <w:pPr>
              <w:pStyle w:val="Normal1linespace"/>
              <w:widowControl w:val="0"/>
              <w:jc w:val="left"/>
            </w:pPr>
            <w:r>
              <w:t>General Division</w:t>
            </w:r>
          </w:p>
        </w:tc>
      </w:tr>
      <w:tr w:rsidR="00A72E0B" w14:paraId="4DDBEF00" w14:textId="77777777" w:rsidTr="00B14117">
        <w:tc>
          <w:tcPr>
            <w:tcW w:w="2977" w:type="dxa"/>
            <w:shd w:val="clear" w:color="auto" w:fill="auto"/>
          </w:tcPr>
          <w:p w14:paraId="3461D779" w14:textId="77777777" w:rsidR="00A72E0B" w:rsidRDefault="00A72E0B" w:rsidP="00501A12">
            <w:pPr>
              <w:pStyle w:val="Normal1linespace"/>
              <w:widowControl w:val="0"/>
            </w:pPr>
            <w:bookmarkStart w:id="4" w:name="Registry_rows" w:colFirst="0" w:colLast="1"/>
          </w:p>
        </w:tc>
        <w:tc>
          <w:tcPr>
            <w:tcW w:w="6095" w:type="dxa"/>
            <w:shd w:val="clear" w:color="auto" w:fill="auto"/>
          </w:tcPr>
          <w:p w14:paraId="3CF2D8B6" w14:textId="77777777" w:rsidR="00A72E0B" w:rsidRDefault="00A72E0B" w:rsidP="00501A12">
            <w:pPr>
              <w:pStyle w:val="Normal1linespace"/>
              <w:widowControl w:val="0"/>
              <w:jc w:val="left"/>
            </w:pPr>
          </w:p>
        </w:tc>
      </w:tr>
      <w:tr w:rsidR="00A72E0B" w14:paraId="2FB2BDA0" w14:textId="77777777" w:rsidTr="00B14117">
        <w:tc>
          <w:tcPr>
            <w:tcW w:w="2977" w:type="dxa"/>
            <w:shd w:val="clear" w:color="auto" w:fill="auto"/>
          </w:tcPr>
          <w:p w14:paraId="2C8E12BC" w14:textId="77777777" w:rsidR="00A72E0B" w:rsidRDefault="00A72E0B" w:rsidP="00501A12">
            <w:pPr>
              <w:pStyle w:val="Normal1linespace"/>
              <w:widowControl w:val="0"/>
            </w:pPr>
            <w:r>
              <w:t>Registry:</w:t>
            </w:r>
          </w:p>
        </w:tc>
        <w:tc>
          <w:tcPr>
            <w:tcW w:w="6095" w:type="dxa"/>
            <w:shd w:val="clear" w:color="auto" w:fill="auto"/>
          </w:tcPr>
          <w:p w14:paraId="23D7B054" w14:textId="2850848B" w:rsidR="00A72E0B" w:rsidRPr="00F17599" w:rsidRDefault="00A72E0B" w:rsidP="00501A12">
            <w:pPr>
              <w:pStyle w:val="Normal1linespace"/>
              <w:widowControl w:val="0"/>
              <w:jc w:val="left"/>
            </w:pPr>
            <w:r>
              <w:t>Victoria</w:t>
            </w:r>
          </w:p>
        </w:tc>
      </w:tr>
      <w:tr w:rsidR="00A72E0B" w14:paraId="0FB78278" w14:textId="77777777" w:rsidTr="00B14117">
        <w:tc>
          <w:tcPr>
            <w:tcW w:w="2977" w:type="dxa"/>
            <w:shd w:val="clear" w:color="auto" w:fill="auto"/>
          </w:tcPr>
          <w:p w14:paraId="1FC39945" w14:textId="77777777" w:rsidR="00A72E0B" w:rsidRDefault="00A72E0B" w:rsidP="00501A12">
            <w:pPr>
              <w:pStyle w:val="Normal1linespace"/>
              <w:widowControl w:val="0"/>
            </w:pPr>
            <w:bookmarkStart w:id="5" w:name="NPARow" w:colFirst="0" w:colLast="1"/>
            <w:bookmarkEnd w:id="4"/>
          </w:p>
        </w:tc>
        <w:tc>
          <w:tcPr>
            <w:tcW w:w="6095" w:type="dxa"/>
            <w:shd w:val="clear" w:color="auto" w:fill="auto"/>
          </w:tcPr>
          <w:p w14:paraId="0562CB0E" w14:textId="77777777" w:rsidR="00A72E0B" w:rsidRPr="00F17599" w:rsidRDefault="00A72E0B" w:rsidP="00501A12">
            <w:pPr>
              <w:pStyle w:val="Normal1linespace"/>
              <w:widowControl w:val="0"/>
              <w:jc w:val="left"/>
              <w:rPr>
                <w:b/>
              </w:rPr>
            </w:pPr>
          </w:p>
        </w:tc>
      </w:tr>
      <w:tr w:rsidR="00A72E0B" w14:paraId="5AB238D7" w14:textId="77777777" w:rsidTr="00B14117">
        <w:tc>
          <w:tcPr>
            <w:tcW w:w="2977" w:type="dxa"/>
            <w:shd w:val="clear" w:color="auto" w:fill="auto"/>
          </w:tcPr>
          <w:p w14:paraId="7EC5C12B" w14:textId="77777777" w:rsidR="00A72E0B" w:rsidRDefault="00A72E0B" w:rsidP="00501A12">
            <w:pPr>
              <w:pStyle w:val="Normal1linespace"/>
              <w:widowControl w:val="0"/>
            </w:pPr>
            <w:r>
              <w:lastRenderedPageBreak/>
              <w:t>National Practice Area:</w:t>
            </w:r>
          </w:p>
        </w:tc>
        <w:tc>
          <w:tcPr>
            <w:tcW w:w="6095" w:type="dxa"/>
            <w:shd w:val="clear" w:color="auto" w:fill="auto"/>
          </w:tcPr>
          <w:p w14:paraId="19E9562F" w14:textId="0AEC8DE2" w:rsidR="00A72E0B" w:rsidRPr="00F17599" w:rsidRDefault="00A72E0B" w:rsidP="008D408D">
            <w:pPr>
              <w:pStyle w:val="Normal1linespace"/>
              <w:widowControl w:val="0"/>
              <w:jc w:val="left"/>
              <w:rPr>
                <w:b/>
              </w:rPr>
            </w:pPr>
            <w:r>
              <w:t>Administrative and Constitutional Law and Human Rights</w:t>
            </w:r>
          </w:p>
        </w:tc>
      </w:tr>
      <w:bookmarkEnd w:id="5"/>
      <w:tr w:rsidR="00A72E0B" w14:paraId="34CE0A41" w14:textId="77777777" w:rsidTr="00B14117">
        <w:tc>
          <w:tcPr>
            <w:tcW w:w="2977" w:type="dxa"/>
            <w:shd w:val="clear" w:color="auto" w:fill="auto"/>
          </w:tcPr>
          <w:p w14:paraId="62EBF3C5" w14:textId="77777777" w:rsidR="00A72E0B" w:rsidRDefault="00A72E0B" w:rsidP="00501A12">
            <w:pPr>
              <w:pStyle w:val="Normal1linespace"/>
              <w:widowControl w:val="0"/>
            </w:pPr>
          </w:p>
        </w:tc>
        <w:tc>
          <w:tcPr>
            <w:tcW w:w="6095" w:type="dxa"/>
            <w:shd w:val="clear" w:color="auto" w:fill="auto"/>
          </w:tcPr>
          <w:p w14:paraId="6D98A12B" w14:textId="77777777" w:rsidR="00A72E0B" w:rsidRDefault="00A72E0B" w:rsidP="00501A12">
            <w:pPr>
              <w:pStyle w:val="Normal1linespace"/>
              <w:widowControl w:val="0"/>
              <w:jc w:val="left"/>
            </w:pPr>
          </w:p>
        </w:tc>
      </w:tr>
      <w:tr w:rsidR="00A72E0B" w14:paraId="57254D1A" w14:textId="77777777" w:rsidTr="00B14117">
        <w:tc>
          <w:tcPr>
            <w:tcW w:w="2977" w:type="dxa"/>
            <w:shd w:val="clear" w:color="auto" w:fill="auto"/>
          </w:tcPr>
          <w:p w14:paraId="429FCB69" w14:textId="77777777" w:rsidR="00A72E0B" w:rsidRDefault="00A72E0B" w:rsidP="00501A12">
            <w:pPr>
              <w:pStyle w:val="Normal1linespace"/>
              <w:widowControl w:val="0"/>
            </w:pPr>
            <w:r>
              <w:t>Number of paragraphs:</w:t>
            </w:r>
          </w:p>
        </w:tc>
        <w:tc>
          <w:tcPr>
            <w:tcW w:w="6095" w:type="dxa"/>
            <w:shd w:val="clear" w:color="auto" w:fill="auto"/>
          </w:tcPr>
          <w:p w14:paraId="29D6B04F" w14:textId="156354F3" w:rsidR="00A72E0B" w:rsidRDefault="007D6305" w:rsidP="00501A12">
            <w:pPr>
              <w:pStyle w:val="Normal1linespace"/>
              <w:widowControl w:val="0"/>
              <w:jc w:val="left"/>
            </w:pPr>
            <w:r>
              <w:t>73</w:t>
            </w:r>
          </w:p>
        </w:tc>
      </w:tr>
      <w:tr w:rsidR="00A72E0B" w14:paraId="2946DB82" w14:textId="77777777" w:rsidTr="00B14117">
        <w:tc>
          <w:tcPr>
            <w:tcW w:w="2977" w:type="dxa"/>
            <w:shd w:val="clear" w:color="auto" w:fill="auto"/>
          </w:tcPr>
          <w:p w14:paraId="5997CC1D" w14:textId="77777777" w:rsidR="00A72E0B" w:rsidRDefault="00A72E0B" w:rsidP="00A72E0B">
            <w:pPr>
              <w:pStyle w:val="Normal1linespace"/>
              <w:widowControl w:val="0"/>
              <w:jc w:val="left"/>
            </w:pPr>
          </w:p>
        </w:tc>
        <w:tc>
          <w:tcPr>
            <w:tcW w:w="6095" w:type="dxa"/>
            <w:shd w:val="clear" w:color="auto" w:fill="auto"/>
          </w:tcPr>
          <w:p w14:paraId="110FFD37" w14:textId="77777777" w:rsidR="00A72E0B" w:rsidRDefault="00A72E0B" w:rsidP="00A72E0B">
            <w:pPr>
              <w:pStyle w:val="Normal1linespace"/>
              <w:widowControl w:val="0"/>
              <w:jc w:val="left"/>
            </w:pPr>
          </w:p>
        </w:tc>
      </w:tr>
      <w:tr w:rsidR="00A72E0B" w14:paraId="587DD39A" w14:textId="77777777" w:rsidTr="00B14117">
        <w:tc>
          <w:tcPr>
            <w:tcW w:w="2977" w:type="dxa"/>
            <w:shd w:val="clear" w:color="auto" w:fill="auto"/>
          </w:tcPr>
          <w:p w14:paraId="7681B018" w14:textId="77777777" w:rsidR="00A72E0B" w:rsidRDefault="00A72E0B" w:rsidP="00A72E0B">
            <w:pPr>
              <w:pStyle w:val="Normal1linespace"/>
              <w:widowControl w:val="0"/>
              <w:jc w:val="left"/>
            </w:pPr>
            <w:bookmarkStart w:id="6" w:name="CounselDate" w:colFirst="0" w:colLast="2"/>
            <w:r w:rsidRPr="006A24E3">
              <w:t>Date of hearing:</w:t>
            </w:r>
          </w:p>
        </w:tc>
        <w:tc>
          <w:tcPr>
            <w:tcW w:w="6095" w:type="dxa"/>
            <w:shd w:val="clear" w:color="auto" w:fill="auto"/>
          </w:tcPr>
          <w:p w14:paraId="586AEDF0" w14:textId="503BB092" w:rsidR="00E56281" w:rsidRDefault="003D4E17" w:rsidP="00A72E0B">
            <w:pPr>
              <w:pStyle w:val="Normal1linespace"/>
              <w:widowControl w:val="0"/>
              <w:jc w:val="left"/>
            </w:pPr>
            <w:r>
              <w:t>7 November 2022</w:t>
            </w:r>
          </w:p>
          <w:p w14:paraId="1EE93298" w14:textId="5D3BC113" w:rsidR="00E56281" w:rsidRDefault="00E56281" w:rsidP="00A72E0B">
            <w:pPr>
              <w:pStyle w:val="Normal1linespace"/>
              <w:widowControl w:val="0"/>
              <w:jc w:val="left"/>
            </w:pPr>
          </w:p>
        </w:tc>
      </w:tr>
      <w:tr w:rsidR="00A72E0B" w14:paraId="08CE6F91" w14:textId="77777777" w:rsidTr="00B14117">
        <w:tc>
          <w:tcPr>
            <w:tcW w:w="2977" w:type="dxa"/>
            <w:shd w:val="clear" w:color="auto" w:fill="auto"/>
          </w:tcPr>
          <w:p w14:paraId="61CDCEAD" w14:textId="17DFAB37" w:rsidR="00A72E0B" w:rsidRDefault="00E56281" w:rsidP="00A72E0B">
            <w:pPr>
              <w:pStyle w:val="Normal1linespace"/>
              <w:widowControl w:val="0"/>
              <w:jc w:val="left"/>
            </w:pPr>
            <w:r>
              <w:t>Date of last submissions:</w:t>
            </w:r>
          </w:p>
        </w:tc>
        <w:tc>
          <w:tcPr>
            <w:tcW w:w="6095" w:type="dxa"/>
            <w:shd w:val="clear" w:color="auto" w:fill="auto"/>
          </w:tcPr>
          <w:p w14:paraId="6BB9E253" w14:textId="0F7E5EAE" w:rsidR="00A72E0B" w:rsidRDefault="00E56281" w:rsidP="00A72E0B">
            <w:pPr>
              <w:pStyle w:val="Normal1linespace"/>
              <w:widowControl w:val="0"/>
              <w:jc w:val="left"/>
            </w:pPr>
            <w:r>
              <w:t>28 November 2022</w:t>
            </w:r>
          </w:p>
        </w:tc>
      </w:tr>
      <w:tr w:rsidR="00E56281" w14:paraId="79AF2C19" w14:textId="77777777" w:rsidTr="00B14117">
        <w:tc>
          <w:tcPr>
            <w:tcW w:w="2977" w:type="dxa"/>
            <w:shd w:val="clear" w:color="auto" w:fill="auto"/>
          </w:tcPr>
          <w:p w14:paraId="63AD5BF4" w14:textId="77777777" w:rsidR="00E56281" w:rsidRDefault="00E56281" w:rsidP="009676B3">
            <w:pPr>
              <w:pStyle w:val="Normal1linespace"/>
              <w:widowControl w:val="0"/>
              <w:jc w:val="left"/>
            </w:pPr>
          </w:p>
        </w:tc>
        <w:tc>
          <w:tcPr>
            <w:tcW w:w="6095" w:type="dxa"/>
            <w:shd w:val="clear" w:color="auto" w:fill="auto"/>
          </w:tcPr>
          <w:p w14:paraId="0CAD9163" w14:textId="77777777" w:rsidR="00E56281" w:rsidRDefault="00E56281" w:rsidP="009676B3">
            <w:pPr>
              <w:pStyle w:val="Normal1linespace"/>
              <w:widowControl w:val="0"/>
              <w:jc w:val="left"/>
            </w:pPr>
          </w:p>
        </w:tc>
      </w:tr>
      <w:tr w:rsidR="009676B3" w14:paraId="2A27CB66" w14:textId="77777777" w:rsidTr="00B14117">
        <w:tc>
          <w:tcPr>
            <w:tcW w:w="2977" w:type="dxa"/>
            <w:shd w:val="clear" w:color="auto" w:fill="auto"/>
          </w:tcPr>
          <w:p w14:paraId="48A5C929" w14:textId="438BB4E7" w:rsidR="009676B3" w:rsidRDefault="00972967" w:rsidP="00B14117">
            <w:pPr>
              <w:pStyle w:val="Normal1linespace"/>
              <w:widowControl w:val="0"/>
              <w:jc w:val="left"/>
            </w:pPr>
            <w:r>
              <w:t>Counsel</w:t>
            </w:r>
            <w:r w:rsidR="009676B3">
              <w:t xml:space="preserve"> for the A</w:t>
            </w:r>
            <w:r w:rsidR="00B14117">
              <w:t>pplicant</w:t>
            </w:r>
            <w:r w:rsidR="009676B3">
              <w:t>:</w:t>
            </w:r>
          </w:p>
        </w:tc>
        <w:tc>
          <w:tcPr>
            <w:tcW w:w="6095" w:type="dxa"/>
            <w:shd w:val="clear" w:color="auto" w:fill="auto"/>
          </w:tcPr>
          <w:p w14:paraId="1B230948" w14:textId="5D85A633" w:rsidR="009676B3" w:rsidRDefault="009676B3" w:rsidP="00B14117">
            <w:pPr>
              <w:pStyle w:val="Normal1linespace"/>
              <w:widowControl w:val="0"/>
              <w:jc w:val="left"/>
            </w:pPr>
            <w:r>
              <w:t>The app</w:t>
            </w:r>
            <w:r w:rsidR="00B14117">
              <w:t xml:space="preserve">licant </w:t>
            </w:r>
            <w:r>
              <w:t xml:space="preserve">appeared in person </w:t>
            </w:r>
          </w:p>
        </w:tc>
      </w:tr>
      <w:tr w:rsidR="009676B3" w14:paraId="0EA32F23" w14:textId="77777777" w:rsidTr="00B14117">
        <w:tc>
          <w:tcPr>
            <w:tcW w:w="2977" w:type="dxa"/>
            <w:shd w:val="clear" w:color="auto" w:fill="auto"/>
          </w:tcPr>
          <w:p w14:paraId="04AB3A54" w14:textId="5CC0FF6F" w:rsidR="009676B3" w:rsidRDefault="009676B3" w:rsidP="009676B3">
            <w:pPr>
              <w:pStyle w:val="Normal1linespace"/>
              <w:widowControl w:val="0"/>
              <w:jc w:val="left"/>
            </w:pPr>
          </w:p>
        </w:tc>
        <w:tc>
          <w:tcPr>
            <w:tcW w:w="6095" w:type="dxa"/>
            <w:shd w:val="clear" w:color="auto" w:fill="auto"/>
          </w:tcPr>
          <w:p w14:paraId="37E95D0B" w14:textId="5A2BC8BE" w:rsidR="009676B3" w:rsidRDefault="009676B3" w:rsidP="009676B3">
            <w:pPr>
              <w:pStyle w:val="Normal1linespace"/>
              <w:widowControl w:val="0"/>
              <w:jc w:val="left"/>
            </w:pPr>
          </w:p>
        </w:tc>
      </w:tr>
      <w:tr w:rsidR="009676B3" w14:paraId="0A343A13" w14:textId="77777777" w:rsidTr="00B14117">
        <w:tc>
          <w:tcPr>
            <w:tcW w:w="2977" w:type="dxa"/>
            <w:shd w:val="clear" w:color="auto" w:fill="auto"/>
          </w:tcPr>
          <w:p w14:paraId="4E840B10" w14:textId="4F9F3D70" w:rsidR="00972967" w:rsidRDefault="009676B3" w:rsidP="00B14117">
            <w:pPr>
              <w:pStyle w:val="Normal1linespace"/>
              <w:widowControl w:val="0"/>
              <w:jc w:val="left"/>
            </w:pPr>
            <w:r>
              <w:t xml:space="preserve">Counsel for the First Respondent:  </w:t>
            </w:r>
          </w:p>
        </w:tc>
        <w:tc>
          <w:tcPr>
            <w:tcW w:w="6095" w:type="dxa"/>
            <w:shd w:val="clear" w:color="auto" w:fill="auto"/>
          </w:tcPr>
          <w:p w14:paraId="725EB463" w14:textId="77777777" w:rsidR="009676B3" w:rsidRDefault="009676B3" w:rsidP="009676B3">
            <w:pPr>
              <w:pStyle w:val="Normal1linespace"/>
              <w:widowControl w:val="0"/>
              <w:jc w:val="left"/>
            </w:pPr>
            <w:r>
              <w:t>Ms Z Maud SC</w:t>
            </w:r>
          </w:p>
          <w:p w14:paraId="3AA94120" w14:textId="49BFDBE4" w:rsidR="00972967" w:rsidRDefault="00972967" w:rsidP="009676B3">
            <w:pPr>
              <w:pStyle w:val="Normal1linespace"/>
              <w:widowControl w:val="0"/>
              <w:jc w:val="left"/>
            </w:pPr>
          </w:p>
        </w:tc>
      </w:tr>
      <w:tr w:rsidR="00B14117" w14:paraId="0A6CFDDF" w14:textId="77777777" w:rsidTr="00B14117">
        <w:tc>
          <w:tcPr>
            <w:tcW w:w="2977" w:type="dxa"/>
            <w:shd w:val="clear" w:color="auto" w:fill="auto"/>
          </w:tcPr>
          <w:p w14:paraId="0CBC89AA" w14:textId="77777777" w:rsidR="00B14117" w:rsidRDefault="00B14117" w:rsidP="00B14117">
            <w:pPr>
              <w:pStyle w:val="Normal1linespace"/>
              <w:widowControl w:val="0"/>
              <w:jc w:val="left"/>
            </w:pPr>
          </w:p>
        </w:tc>
        <w:tc>
          <w:tcPr>
            <w:tcW w:w="6095" w:type="dxa"/>
            <w:shd w:val="clear" w:color="auto" w:fill="auto"/>
          </w:tcPr>
          <w:p w14:paraId="37F9EFB0" w14:textId="77777777" w:rsidR="00B14117" w:rsidRDefault="00B14117" w:rsidP="009676B3">
            <w:pPr>
              <w:pStyle w:val="Normal1linespace"/>
              <w:widowControl w:val="0"/>
              <w:jc w:val="left"/>
            </w:pPr>
          </w:p>
        </w:tc>
      </w:tr>
      <w:tr w:rsidR="00B14117" w14:paraId="26436F09" w14:textId="77777777" w:rsidTr="00B14117">
        <w:tc>
          <w:tcPr>
            <w:tcW w:w="2977" w:type="dxa"/>
            <w:shd w:val="clear" w:color="auto" w:fill="auto"/>
          </w:tcPr>
          <w:p w14:paraId="0C830466" w14:textId="674A7643" w:rsidR="00B14117" w:rsidRDefault="00B14117" w:rsidP="009676B3">
            <w:pPr>
              <w:pStyle w:val="Normal1linespace"/>
              <w:widowControl w:val="0"/>
              <w:jc w:val="left"/>
            </w:pPr>
            <w:r>
              <w:t>Solicitor for the First Respondent:</w:t>
            </w:r>
          </w:p>
        </w:tc>
        <w:tc>
          <w:tcPr>
            <w:tcW w:w="6095" w:type="dxa"/>
            <w:shd w:val="clear" w:color="auto" w:fill="auto"/>
          </w:tcPr>
          <w:p w14:paraId="194C7C26" w14:textId="7815F220" w:rsidR="00B14117" w:rsidRDefault="00B14117" w:rsidP="009676B3">
            <w:pPr>
              <w:pStyle w:val="Normal1linespace"/>
              <w:widowControl w:val="0"/>
              <w:jc w:val="left"/>
            </w:pPr>
            <w:r>
              <w:t>Australian Government Solicitor</w:t>
            </w:r>
          </w:p>
        </w:tc>
      </w:tr>
      <w:tr w:rsidR="009676B3" w14:paraId="159E4005" w14:textId="77777777" w:rsidTr="00B14117">
        <w:tc>
          <w:tcPr>
            <w:tcW w:w="2977" w:type="dxa"/>
            <w:shd w:val="clear" w:color="auto" w:fill="auto"/>
          </w:tcPr>
          <w:p w14:paraId="344CFB89" w14:textId="59A89209" w:rsidR="009676B3" w:rsidRDefault="009676B3" w:rsidP="009676B3">
            <w:pPr>
              <w:pStyle w:val="Normal1linespace"/>
              <w:widowControl w:val="0"/>
              <w:jc w:val="left"/>
            </w:pPr>
          </w:p>
        </w:tc>
        <w:tc>
          <w:tcPr>
            <w:tcW w:w="6095" w:type="dxa"/>
            <w:shd w:val="clear" w:color="auto" w:fill="auto"/>
          </w:tcPr>
          <w:p w14:paraId="085A91F6" w14:textId="7C796F1C" w:rsidR="009676B3" w:rsidRDefault="009676B3" w:rsidP="009676B3">
            <w:pPr>
              <w:pStyle w:val="Normal1linespace"/>
              <w:widowControl w:val="0"/>
              <w:jc w:val="left"/>
            </w:pPr>
          </w:p>
        </w:tc>
      </w:tr>
      <w:tr w:rsidR="009676B3" w14:paraId="5E5857AF" w14:textId="77777777" w:rsidTr="00B14117">
        <w:tc>
          <w:tcPr>
            <w:tcW w:w="2977" w:type="dxa"/>
            <w:shd w:val="clear" w:color="auto" w:fill="auto"/>
          </w:tcPr>
          <w:p w14:paraId="278E1FAF" w14:textId="0DD9ED83" w:rsidR="009676B3" w:rsidRDefault="009676B3" w:rsidP="009676B3">
            <w:pPr>
              <w:pStyle w:val="Normal1linespace"/>
              <w:widowControl w:val="0"/>
              <w:jc w:val="left"/>
            </w:pPr>
            <w:r>
              <w:t>Counsel for the Second and Third Respondents:</w:t>
            </w:r>
          </w:p>
        </w:tc>
        <w:tc>
          <w:tcPr>
            <w:tcW w:w="6095" w:type="dxa"/>
            <w:shd w:val="clear" w:color="auto" w:fill="auto"/>
          </w:tcPr>
          <w:p w14:paraId="126240B0" w14:textId="531098A8" w:rsidR="009676B3" w:rsidRDefault="009676B3" w:rsidP="009676B3">
            <w:pPr>
              <w:pStyle w:val="Normal1linespace"/>
              <w:widowControl w:val="0"/>
              <w:jc w:val="left"/>
            </w:pPr>
            <w:r>
              <w:t>The second and third respondents filed submitting notices</w:t>
            </w:r>
          </w:p>
        </w:tc>
      </w:tr>
      <w:tr w:rsidR="009676B3" w14:paraId="140E4B2C" w14:textId="77777777" w:rsidTr="00B14117">
        <w:tc>
          <w:tcPr>
            <w:tcW w:w="2977" w:type="dxa"/>
            <w:shd w:val="clear" w:color="auto" w:fill="auto"/>
          </w:tcPr>
          <w:p w14:paraId="232A8465" w14:textId="47CC67A0" w:rsidR="009676B3" w:rsidRDefault="009676B3" w:rsidP="009676B3">
            <w:pPr>
              <w:pStyle w:val="Normal1linespace"/>
              <w:widowControl w:val="0"/>
              <w:jc w:val="left"/>
            </w:pPr>
          </w:p>
        </w:tc>
        <w:tc>
          <w:tcPr>
            <w:tcW w:w="6095" w:type="dxa"/>
            <w:shd w:val="clear" w:color="auto" w:fill="auto"/>
          </w:tcPr>
          <w:p w14:paraId="3125D94E" w14:textId="374E096D" w:rsidR="009676B3" w:rsidRDefault="009676B3" w:rsidP="009676B3">
            <w:pPr>
              <w:pStyle w:val="Normal1linespace"/>
              <w:widowControl w:val="0"/>
              <w:jc w:val="left"/>
            </w:pPr>
          </w:p>
        </w:tc>
      </w:tr>
      <w:tr w:rsidR="009676B3" w14:paraId="7ABA9F0C" w14:textId="77777777" w:rsidTr="00B14117">
        <w:tc>
          <w:tcPr>
            <w:tcW w:w="2977" w:type="dxa"/>
            <w:shd w:val="clear" w:color="auto" w:fill="auto"/>
          </w:tcPr>
          <w:p w14:paraId="0A4A01FE" w14:textId="60E96AA0" w:rsidR="009676B3" w:rsidRDefault="009676B3" w:rsidP="009676B3">
            <w:pPr>
              <w:pStyle w:val="Normal1linespace"/>
              <w:widowControl w:val="0"/>
              <w:jc w:val="left"/>
            </w:pPr>
          </w:p>
        </w:tc>
        <w:tc>
          <w:tcPr>
            <w:tcW w:w="6095" w:type="dxa"/>
            <w:shd w:val="clear" w:color="auto" w:fill="auto"/>
          </w:tcPr>
          <w:p w14:paraId="543B1C54" w14:textId="49AF30A1" w:rsidR="009676B3" w:rsidRDefault="009676B3" w:rsidP="009676B3">
            <w:pPr>
              <w:pStyle w:val="Normal1linespace"/>
              <w:widowControl w:val="0"/>
              <w:jc w:val="left"/>
            </w:pPr>
          </w:p>
        </w:tc>
      </w:tr>
      <w:tr w:rsidR="009676B3" w14:paraId="761870C2" w14:textId="77777777" w:rsidTr="00B14117">
        <w:tc>
          <w:tcPr>
            <w:tcW w:w="2977" w:type="dxa"/>
            <w:shd w:val="clear" w:color="auto" w:fill="auto"/>
          </w:tcPr>
          <w:p w14:paraId="53F20B3A" w14:textId="77777777" w:rsidR="009676B3" w:rsidRDefault="009676B3" w:rsidP="009676B3">
            <w:pPr>
              <w:pStyle w:val="Normal1linespace"/>
              <w:widowControl w:val="0"/>
              <w:jc w:val="left"/>
            </w:pPr>
          </w:p>
        </w:tc>
        <w:tc>
          <w:tcPr>
            <w:tcW w:w="6095" w:type="dxa"/>
            <w:shd w:val="clear" w:color="auto" w:fill="auto"/>
          </w:tcPr>
          <w:p w14:paraId="07A59381" w14:textId="77777777" w:rsidR="009676B3" w:rsidRDefault="009676B3" w:rsidP="009676B3">
            <w:pPr>
              <w:pStyle w:val="Normal1linespace"/>
              <w:widowControl w:val="0"/>
              <w:jc w:val="left"/>
            </w:pPr>
          </w:p>
        </w:tc>
      </w:tr>
      <w:bookmarkEnd w:id="6"/>
    </w:tbl>
    <w:p w14:paraId="52E56223" w14:textId="77777777" w:rsidR="007470BD" w:rsidRDefault="007470BD">
      <w:pPr>
        <w:pStyle w:val="Normal1linespace"/>
      </w:pPr>
    </w:p>
    <w:p w14:paraId="07547A01" w14:textId="77777777" w:rsidR="00E94CBF" w:rsidRDefault="00E94CBF">
      <w:pPr>
        <w:pStyle w:val="Normal1linespace"/>
      </w:pPr>
    </w:p>
    <w:p w14:paraId="5043CB0F" w14:textId="77777777" w:rsidR="00395B24" w:rsidRDefault="00395B24">
      <w:pPr>
        <w:pStyle w:val="Normal1linespace"/>
        <w:sectPr w:rsidR="00395B24" w:rsidSect="001F2473">
          <w:footerReference w:type="default" r:id="rId12"/>
          <w:endnotePr>
            <w:numFmt w:val="decimal"/>
          </w:endnotePr>
          <w:type w:val="continuous"/>
          <w:pgSz w:w="11907" w:h="16840" w:code="9"/>
          <w:pgMar w:top="1440" w:right="1440" w:bottom="1440" w:left="1440" w:header="851" w:footer="768" w:gutter="0"/>
          <w:pgNumType w:start="1"/>
          <w:cols w:space="720"/>
          <w:noEndnote/>
          <w:titlePg/>
        </w:sectPr>
      </w:pPr>
    </w:p>
    <w:p w14:paraId="12F5DBE1"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41EC7BEE" w14:textId="77777777" w:rsidTr="00E81DA6">
        <w:tc>
          <w:tcPr>
            <w:tcW w:w="6912" w:type="dxa"/>
            <w:gridSpan w:val="2"/>
          </w:tcPr>
          <w:p w14:paraId="07459315" w14:textId="77777777" w:rsidR="00A46CCC" w:rsidRPr="001765E0" w:rsidRDefault="00A46CCC" w:rsidP="00525A49">
            <w:pPr>
              <w:pStyle w:val="NormalHeadings"/>
            </w:pPr>
          </w:p>
        </w:tc>
        <w:tc>
          <w:tcPr>
            <w:tcW w:w="2330" w:type="dxa"/>
          </w:tcPr>
          <w:p w14:paraId="4F28649D" w14:textId="73F5E405" w:rsidR="00A46CCC" w:rsidRDefault="003D4E17" w:rsidP="003D4E17">
            <w:pPr>
              <w:pStyle w:val="NormalHeadings"/>
              <w:jc w:val="right"/>
            </w:pPr>
            <w:r>
              <w:t>VID</w:t>
            </w:r>
            <w:r w:rsidR="00B14117">
              <w:t xml:space="preserve"> </w:t>
            </w:r>
            <w:r>
              <w:t>1044 of 2016</w:t>
            </w:r>
          </w:p>
        </w:tc>
      </w:tr>
      <w:tr w:rsidR="00A76C13" w14:paraId="0A6959E7" w14:textId="77777777" w:rsidTr="008D408D">
        <w:tc>
          <w:tcPr>
            <w:tcW w:w="9242" w:type="dxa"/>
            <w:gridSpan w:val="3"/>
          </w:tcPr>
          <w:p w14:paraId="100C5B58" w14:textId="77777777" w:rsidR="00A76C13" w:rsidRPr="00A76C13" w:rsidRDefault="00A72E0B" w:rsidP="00A72E0B">
            <w:pPr>
              <w:pStyle w:val="NormalHeadings"/>
              <w:jc w:val="left"/>
            </w:pPr>
            <w:bookmarkStart w:id="7" w:name="InTheMatterOf"/>
            <w:r>
              <w:t xml:space="preserve"> </w:t>
            </w:r>
            <w:bookmarkEnd w:id="7"/>
          </w:p>
        </w:tc>
      </w:tr>
      <w:tr w:rsidR="00A46CCC" w14:paraId="3F7F187A" w14:textId="77777777" w:rsidTr="008D408D">
        <w:trPr>
          <w:trHeight w:val="386"/>
        </w:trPr>
        <w:tc>
          <w:tcPr>
            <w:tcW w:w="2376" w:type="dxa"/>
          </w:tcPr>
          <w:p w14:paraId="62964A68" w14:textId="77777777" w:rsidR="00A46CCC" w:rsidRDefault="00A46CCC" w:rsidP="008D408D">
            <w:pPr>
              <w:pStyle w:val="NormalHeadings"/>
              <w:jc w:val="left"/>
              <w:rPr>
                <w:caps/>
                <w:szCs w:val="24"/>
              </w:rPr>
            </w:pPr>
            <w:bookmarkStart w:id="8" w:name="Parties"/>
            <w:r>
              <w:rPr>
                <w:caps/>
                <w:szCs w:val="24"/>
              </w:rPr>
              <w:t>BETWEEN:</w:t>
            </w:r>
          </w:p>
        </w:tc>
        <w:tc>
          <w:tcPr>
            <w:tcW w:w="6866" w:type="dxa"/>
            <w:gridSpan w:val="2"/>
          </w:tcPr>
          <w:p w14:paraId="54C80D1F" w14:textId="77777777" w:rsidR="00A72E0B" w:rsidRDefault="00A72E0B" w:rsidP="00A72E0B">
            <w:pPr>
              <w:pStyle w:val="NormalHeadings"/>
              <w:jc w:val="left"/>
            </w:pPr>
            <w:bookmarkStart w:id="9" w:name="Applicant"/>
            <w:r>
              <w:t>GAYE LUCK</w:t>
            </w:r>
          </w:p>
          <w:p w14:paraId="2BCED2D3" w14:textId="77777777" w:rsidR="00A72E0B" w:rsidRDefault="00A72E0B" w:rsidP="00A72E0B">
            <w:pPr>
              <w:pStyle w:val="PartyType"/>
            </w:pPr>
            <w:r>
              <w:t>Applicant</w:t>
            </w:r>
          </w:p>
          <w:bookmarkEnd w:id="9"/>
          <w:p w14:paraId="6537F28F" w14:textId="77777777" w:rsidR="00A46CCC" w:rsidRPr="006555B4" w:rsidRDefault="00A46CCC" w:rsidP="008D408D">
            <w:pPr>
              <w:pStyle w:val="NormalHeadings"/>
              <w:jc w:val="left"/>
            </w:pPr>
          </w:p>
        </w:tc>
      </w:tr>
      <w:tr w:rsidR="00A46CCC" w14:paraId="0E2CDF5E" w14:textId="77777777" w:rsidTr="008D408D">
        <w:trPr>
          <w:trHeight w:val="386"/>
        </w:trPr>
        <w:tc>
          <w:tcPr>
            <w:tcW w:w="2376" w:type="dxa"/>
          </w:tcPr>
          <w:p w14:paraId="24230699" w14:textId="77777777" w:rsidR="00A46CCC" w:rsidRDefault="00A46CCC" w:rsidP="008D408D">
            <w:pPr>
              <w:pStyle w:val="NormalHeadings"/>
              <w:jc w:val="left"/>
              <w:rPr>
                <w:caps/>
                <w:szCs w:val="24"/>
              </w:rPr>
            </w:pPr>
            <w:r>
              <w:rPr>
                <w:caps/>
                <w:szCs w:val="24"/>
              </w:rPr>
              <w:t>AND:</w:t>
            </w:r>
          </w:p>
        </w:tc>
        <w:tc>
          <w:tcPr>
            <w:tcW w:w="6866" w:type="dxa"/>
            <w:gridSpan w:val="2"/>
          </w:tcPr>
          <w:p w14:paraId="291E4C09" w14:textId="5C92716D" w:rsidR="00A72E0B" w:rsidRDefault="00A72E0B" w:rsidP="00A72E0B">
            <w:pPr>
              <w:pStyle w:val="NormalHeadings"/>
              <w:jc w:val="left"/>
            </w:pPr>
            <w:bookmarkStart w:id="10" w:name="Respondent"/>
            <w:r>
              <w:t>SECRETARY</w:t>
            </w:r>
            <w:r w:rsidR="00BC2619">
              <w:t xml:space="preserve"> OF </w:t>
            </w:r>
            <w:r>
              <w:t>SERVICES</w:t>
            </w:r>
            <w:r w:rsidR="00BC2619">
              <w:t xml:space="preserve"> AUSTRALIA</w:t>
            </w:r>
          </w:p>
          <w:p w14:paraId="08706BA5" w14:textId="77777777" w:rsidR="00A72E0B" w:rsidRDefault="00A72E0B" w:rsidP="00A72E0B">
            <w:pPr>
              <w:pStyle w:val="PartyType"/>
            </w:pPr>
            <w:r>
              <w:t>First Respondent</w:t>
            </w:r>
          </w:p>
          <w:p w14:paraId="6DFB9E20" w14:textId="77777777" w:rsidR="00A72E0B" w:rsidRDefault="00A72E0B" w:rsidP="008D408D">
            <w:pPr>
              <w:pStyle w:val="NormalHeadings"/>
              <w:jc w:val="left"/>
              <w:rPr>
                <w:szCs w:val="24"/>
              </w:rPr>
            </w:pPr>
          </w:p>
          <w:p w14:paraId="51C480E0" w14:textId="77777777" w:rsidR="00A72E0B" w:rsidRDefault="00A72E0B" w:rsidP="00A72E0B">
            <w:pPr>
              <w:pStyle w:val="NormalHeadings"/>
              <w:jc w:val="left"/>
            </w:pPr>
            <w:r>
              <w:t>ADMINISTRATIVE APPEALS TRIBUNAL</w:t>
            </w:r>
          </w:p>
          <w:p w14:paraId="71F64F4A" w14:textId="77777777" w:rsidR="00A72E0B" w:rsidRDefault="00A72E0B" w:rsidP="00A72E0B">
            <w:pPr>
              <w:pStyle w:val="PartyType"/>
            </w:pPr>
            <w:r>
              <w:t>Second Respondent</w:t>
            </w:r>
          </w:p>
          <w:p w14:paraId="70DF9E56" w14:textId="77777777" w:rsidR="00A72E0B" w:rsidRDefault="00A72E0B" w:rsidP="008D408D">
            <w:pPr>
              <w:pStyle w:val="NormalHeadings"/>
              <w:jc w:val="left"/>
              <w:rPr>
                <w:szCs w:val="24"/>
              </w:rPr>
            </w:pPr>
          </w:p>
          <w:p w14:paraId="7188F2D8" w14:textId="77777777" w:rsidR="00A72E0B" w:rsidRDefault="00A72E0B" w:rsidP="00A72E0B">
            <w:pPr>
              <w:pStyle w:val="NormalHeadings"/>
              <w:jc w:val="left"/>
            </w:pPr>
            <w:r>
              <w:t>STEPHANIE ANN FORGIE (AS DEPUTY PRESIDENT OF THE AAT)</w:t>
            </w:r>
          </w:p>
          <w:p w14:paraId="0B934ADC" w14:textId="77777777" w:rsidR="00A72E0B" w:rsidRDefault="00A72E0B" w:rsidP="00A72E0B">
            <w:pPr>
              <w:pStyle w:val="PartyType"/>
            </w:pPr>
            <w:r>
              <w:t>Third Respondent</w:t>
            </w:r>
          </w:p>
          <w:bookmarkEnd w:id="10"/>
          <w:p w14:paraId="44E871BC" w14:textId="77777777" w:rsidR="00A46CCC" w:rsidRPr="006555B4" w:rsidRDefault="00A46CCC" w:rsidP="008D408D">
            <w:pPr>
              <w:pStyle w:val="NormalHeadings"/>
              <w:jc w:val="left"/>
            </w:pPr>
          </w:p>
        </w:tc>
      </w:tr>
    </w:tbl>
    <w:p w14:paraId="144A5D23" w14:textId="77777777" w:rsidR="00395B24" w:rsidRDefault="00395B24">
      <w:pPr>
        <w:pStyle w:val="NormalHeadings"/>
      </w:pPr>
      <w:bookmarkStart w:id="11" w:name="CrossClaimPosition"/>
      <w:bookmarkEnd w:id="8"/>
      <w:bookmarkEnd w:id="11"/>
    </w:p>
    <w:tbl>
      <w:tblPr>
        <w:tblW w:w="0" w:type="auto"/>
        <w:tblLayout w:type="fixed"/>
        <w:tblLook w:val="0000" w:firstRow="0" w:lastRow="0" w:firstColumn="0" w:lastColumn="0" w:noHBand="0" w:noVBand="0"/>
        <w:tblCaption w:val="Judge"/>
        <w:tblDescription w:val="Judge"/>
      </w:tblPr>
      <w:tblGrid>
        <w:gridCol w:w="2376"/>
        <w:gridCol w:w="6866"/>
      </w:tblGrid>
      <w:tr w:rsidR="00395B24" w14:paraId="05B3AB31" w14:textId="77777777">
        <w:tc>
          <w:tcPr>
            <w:tcW w:w="2376" w:type="dxa"/>
          </w:tcPr>
          <w:p w14:paraId="6B8A29D9" w14:textId="77777777" w:rsidR="00395B24" w:rsidRDefault="00974709">
            <w:pPr>
              <w:pStyle w:val="NormalHeadings"/>
              <w:spacing w:after="120"/>
              <w:jc w:val="left"/>
              <w:rPr>
                <w:caps/>
                <w:szCs w:val="24"/>
              </w:rPr>
            </w:pPr>
            <w:bookmarkStart w:id="12" w:name="JudgeText"/>
            <w:r>
              <w:rPr>
                <w:caps/>
                <w:szCs w:val="24"/>
              </w:rPr>
              <w:t>order made by</w:t>
            </w:r>
            <w:bookmarkEnd w:id="12"/>
            <w:r w:rsidR="002C7385">
              <w:rPr>
                <w:caps/>
                <w:szCs w:val="24"/>
              </w:rPr>
              <w:t>:</w:t>
            </w:r>
          </w:p>
        </w:tc>
        <w:tc>
          <w:tcPr>
            <w:tcW w:w="6866" w:type="dxa"/>
          </w:tcPr>
          <w:p w14:paraId="49DFBD8C" w14:textId="3ED7B9D8" w:rsidR="00395B24" w:rsidRDefault="00A72E0B" w:rsidP="00B14117">
            <w:pPr>
              <w:pStyle w:val="NormalHeadings"/>
              <w:jc w:val="left"/>
              <w:rPr>
                <w:caps/>
                <w:szCs w:val="24"/>
              </w:rPr>
            </w:pPr>
            <w:bookmarkStart w:id="13" w:name="Judge"/>
            <w:r>
              <w:rPr>
                <w:caps/>
                <w:szCs w:val="24"/>
              </w:rPr>
              <w:t>FARRELL, S</w:t>
            </w:r>
            <w:r w:rsidR="0082481A">
              <w:rPr>
                <w:caps/>
                <w:szCs w:val="24"/>
              </w:rPr>
              <w:t>ARAH C</w:t>
            </w:r>
            <w:r>
              <w:rPr>
                <w:caps/>
                <w:szCs w:val="24"/>
              </w:rPr>
              <w:t xml:space="preserve"> DERRINGTON</w:t>
            </w:r>
            <w:r w:rsidR="00B14117">
              <w:rPr>
                <w:caps/>
                <w:szCs w:val="24"/>
              </w:rPr>
              <w:t xml:space="preserve"> AND </w:t>
            </w:r>
            <w:r>
              <w:rPr>
                <w:caps/>
                <w:szCs w:val="24"/>
              </w:rPr>
              <w:t>RAPER JJ</w:t>
            </w:r>
            <w:bookmarkEnd w:id="13"/>
          </w:p>
        </w:tc>
      </w:tr>
      <w:tr w:rsidR="00395B24" w14:paraId="15ACEEB0" w14:textId="77777777">
        <w:tc>
          <w:tcPr>
            <w:tcW w:w="2376" w:type="dxa"/>
          </w:tcPr>
          <w:p w14:paraId="10A5998B" w14:textId="77777777" w:rsidR="00395B24" w:rsidRDefault="002C7385">
            <w:pPr>
              <w:pStyle w:val="NormalHeadings"/>
              <w:spacing w:after="120"/>
              <w:jc w:val="left"/>
              <w:rPr>
                <w:caps/>
                <w:szCs w:val="24"/>
              </w:rPr>
            </w:pPr>
            <w:r>
              <w:rPr>
                <w:caps/>
                <w:szCs w:val="24"/>
              </w:rPr>
              <w:t>DATE OF ORDER:</w:t>
            </w:r>
          </w:p>
        </w:tc>
        <w:tc>
          <w:tcPr>
            <w:tcW w:w="6866" w:type="dxa"/>
          </w:tcPr>
          <w:p w14:paraId="0982FCDF" w14:textId="66227EEE" w:rsidR="00395B24" w:rsidRDefault="00161855">
            <w:pPr>
              <w:pStyle w:val="NormalHeadings"/>
              <w:jc w:val="left"/>
              <w:rPr>
                <w:caps/>
                <w:szCs w:val="24"/>
              </w:rPr>
            </w:pPr>
            <w:r>
              <w:rPr>
                <w:caps/>
                <w:szCs w:val="24"/>
              </w:rPr>
              <w:t>5 December 2022</w:t>
            </w:r>
          </w:p>
        </w:tc>
      </w:tr>
    </w:tbl>
    <w:p w14:paraId="738610EB" w14:textId="77777777" w:rsidR="00395B24" w:rsidRDefault="00395B24">
      <w:pPr>
        <w:pStyle w:val="NormalHeadings"/>
        <w:rPr>
          <w:b w:val="0"/>
        </w:rPr>
      </w:pPr>
    </w:p>
    <w:p w14:paraId="637805D2" w14:textId="77777777" w:rsidR="008D1617" w:rsidRDefault="008D1617">
      <w:pPr>
        <w:pStyle w:val="NormalHeadings"/>
        <w:rPr>
          <w:b w:val="0"/>
        </w:rPr>
      </w:pPr>
    </w:p>
    <w:p w14:paraId="38E68F35" w14:textId="77777777" w:rsidR="00395B24" w:rsidRDefault="002C7385">
      <w:pPr>
        <w:pStyle w:val="NormalHeadings"/>
      </w:pPr>
      <w:r>
        <w:t>THE COURT ORDERS THAT:</w:t>
      </w:r>
    </w:p>
    <w:p w14:paraId="463F29E8" w14:textId="77777777" w:rsidR="007F60DF" w:rsidRDefault="007F60DF" w:rsidP="00243E5E">
      <w:pPr>
        <w:pStyle w:val="NormalHeadings"/>
      </w:pPr>
    </w:p>
    <w:p w14:paraId="35078582" w14:textId="4BBC30EC" w:rsidR="00764771" w:rsidRDefault="008702F8" w:rsidP="008702F8">
      <w:pPr>
        <w:pStyle w:val="Order1"/>
        <w:numPr>
          <w:ilvl w:val="0"/>
          <w:numId w:val="0"/>
        </w:numPr>
        <w:tabs>
          <w:tab w:val="left" w:pos="720"/>
        </w:tabs>
        <w:ind w:left="720" w:hanging="720"/>
      </w:pPr>
      <w:r>
        <w:t>1.</w:t>
      </w:r>
      <w:r>
        <w:tab/>
      </w:r>
      <w:r w:rsidR="007D6305">
        <w:t xml:space="preserve">Pursuant to s 25(2B) of the </w:t>
      </w:r>
      <w:r w:rsidR="007D6305" w:rsidRPr="00BC2619">
        <w:rPr>
          <w:i/>
        </w:rPr>
        <w:t>Federal Court of Australia Act 1976</w:t>
      </w:r>
      <w:r w:rsidR="007D6305">
        <w:t xml:space="preserve"> (</w:t>
      </w:r>
      <w:proofErr w:type="spellStart"/>
      <w:r w:rsidR="007D6305">
        <w:t>Cth</w:t>
      </w:r>
      <w:proofErr w:type="spellEnd"/>
      <w:r w:rsidR="007D6305">
        <w:t>), the appeal be summarily dismissed.</w:t>
      </w:r>
    </w:p>
    <w:p w14:paraId="72D6FC49" w14:textId="6E9E58A9" w:rsidR="007D6305" w:rsidRDefault="008702F8" w:rsidP="008702F8">
      <w:pPr>
        <w:pStyle w:val="Order1"/>
        <w:numPr>
          <w:ilvl w:val="0"/>
          <w:numId w:val="0"/>
        </w:numPr>
        <w:tabs>
          <w:tab w:val="left" w:pos="720"/>
        </w:tabs>
        <w:ind w:left="720" w:hanging="720"/>
      </w:pPr>
      <w:r>
        <w:t>2.</w:t>
      </w:r>
      <w:r>
        <w:tab/>
      </w:r>
      <w:r w:rsidR="007D6305">
        <w:t>The applicant’s interlocutory applications:</w:t>
      </w:r>
    </w:p>
    <w:p w14:paraId="2058D82B" w14:textId="07B6105C" w:rsidR="00676887" w:rsidRDefault="008702F8" w:rsidP="00B813F4">
      <w:pPr>
        <w:pStyle w:val="Order2"/>
        <w:numPr>
          <w:ilvl w:val="0"/>
          <w:numId w:val="0"/>
        </w:numPr>
        <w:ind w:left="1440" w:hanging="720"/>
      </w:pPr>
      <w:r>
        <w:t>a.</w:t>
      </w:r>
      <w:r>
        <w:tab/>
      </w:r>
      <w:r w:rsidR="00676887">
        <w:t xml:space="preserve">Lodged </w:t>
      </w:r>
      <w:r w:rsidR="00676887" w:rsidRPr="00BC2619">
        <w:t>4 November 2022 a</w:t>
      </w:r>
      <w:r w:rsidR="00676887">
        <w:t>nd filed 7 November 2022</w:t>
      </w:r>
    </w:p>
    <w:p w14:paraId="6846399B" w14:textId="519978A4" w:rsidR="007D6305" w:rsidRDefault="008702F8" w:rsidP="00B813F4">
      <w:pPr>
        <w:pStyle w:val="Order2"/>
        <w:numPr>
          <w:ilvl w:val="0"/>
          <w:numId w:val="0"/>
        </w:numPr>
        <w:ind w:left="1440" w:hanging="720"/>
      </w:pPr>
      <w:r>
        <w:t>b.</w:t>
      </w:r>
      <w:r>
        <w:tab/>
      </w:r>
      <w:r w:rsidR="00676887">
        <w:t xml:space="preserve">Lodged 12 May 2021 and filed 27 May 2021 </w:t>
      </w:r>
    </w:p>
    <w:p w14:paraId="4DE0E2C6" w14:textId="299EF13D" w:rsidR="007D6305" w:rsidRDefault="008702F8" w:rsidP="00B813F4">
      <w:pPr>
        <w:pStyle w:val="Order2"/>
        <w:numPr>
          <w:ilvl w:val="0"/>
          <w:numId w:val="0"/>
        </w:numPr>
        <w:ind w:left="1440" w:hanging="720"/>
      </w:pPr>
      <w:r>
        <w:t>c.</w:t>
      </w:r>
      <w:r>
        <w:tab/>
      </w:r>
      <w:r w:rsidR="00676887">
        <w:t xml:space="preserve">Lodged </w:t>
      </w:r>
      <w:r w:rsidR="009250A7">
        <w:t>9</w:t>
      </w:r>
      <w:r w:rsidR="00676887">
        <w:t xml:space="preserve"> March 2020 and filed 20 March 2020 </w:t>
      </w:r>
    </w:p>
    <w:p w14:paraId="0B9EE7B2" w14:textId="046173AA" w:rsidR="007D6305" w:rsidRDefault="008702F8" w:rsidP="00B813F4">
      <w:pPr>
        <w:pStyle w:val="Order2"/>
        <w:numPr>
          <w:ilvl w:val="0"/>
          <w:numId w:val="0"/>
        </w:numPr>
        <w:ind w:left="1440" w:hanging="720"/>
      </w:pPr>
      <w:r>
        <w:t>d.</w:t>
      </w:r>
      <w:r>
        <w:tab/>
      </w:r>
      <w:r w:rsidR="00676887">
        <w:t xml:space="preserve">Lodged 19 December 2019 and filed 20 December 2019 </w:t>
      </w:r>
    </w:p>
    <w:p w14:paraId="34338D3D" w14:textId="18A17064" w:rsidR="007D6305" w:rsidRDefault="008702F8" w:rsidP="00B813F4">
      <w:pPr>
        <w:pStyle w:val="Order2"/>
        <w:numPr>
          <w:ilvl w:val="0"/>
          <w:numId w:val="0"/>
        </w:numPr>
        <w:ind w:left="1440" w:hanging="720"/>
      </w:pPr>
      <w:r>
        <w:t>e.</w:t>
      </w:r>
      <w:r>
        <w:tab/>
      </w:r>
      <w:r w:rsidR="00676887">
        <w:t xml:space="preserve">Lodged </w:t>
      </w:r>
      <w:r w:rsidR="007D6305">
        <w:t>21 November 2019</w:t>
      </w:r>
      <w:r w:rsidR="00676887">
        <w:t xml:space="preserve"> and filed 26 November 2019</w:t>
      </w:r>
    </w:p>
    <w:p w14:paraId="2D959D91" w14:textId="097CED1F" w:rsidR="007D6305" w:rsidRDefault="008702F8" w:rsidP="00B813F4">
      <w:pPr>
        <w:pStyle w:val="Order2"/>
        <w:numPr>
          <w:ilvl w:val="0"/>
          <w:numId w:val="0"/>
        </w:numPr>
        <w:ind w:left="1440" w:hanging="720"/>
      </w:pPr>
      <w:r>
        <w:t>f.</w:t>
      </w:r>
      <w:r>
        <w:tab/>
      </w:r>
      <w:r w:rsidR="00676887">
        <w:t xml:space="preserve">Lodged </w:t>
      </w:r>
      <w:r w:rsidR="007D6305">
        <w:t>21 August 2019</w:t>
      </w:r>
      <w:r w:rsidR="00676887">
        <w:t xml:space="preserve"> and filed 23 August 2019</w:t>
      </w:r>
    </w:p>
    <w:p w14:paraId="5F175D01" w14:textId="683662E6" w:rsidR="007D6305" w:rsidRDefault="008702F8" w:rsidP="00B813F4">
      <w:pPr>
        <w:pStyle w:val="Order2"/>
        <w:numPr>
          <w:ilvl w:val="0"/>
          <w:numId w:val="0"/>
        </w:numPr>
        <w:ind w:left="1440" w:hanging="720"/>
      </w:pPr>
      <w:proofErr w:type="gramStart"/>
      <w:r>
        <w:t>g</w:t>
      </w:r>
      <w:proofErr w:type="gramEnd"/>
      <w:r>
        <w:t>.</w:t>
      </w:r>
      <w:r>
        <w:tab/>
      </w:r>
      <w:r w:rsidR="002C7498" w:rsidRPr="002C7498">
        <w:t xml:space="preserve">Made in </w:t>
      </w:r>
      <w:r w:rsidR="002C7498">
        <w:t xml:space="preserve">paragraph 16 of her </w:t>
      </w:r>
      <w:r w:rsidR="002C7498" w:rsidRPr="002C7498">
        <w:t>submissions dated 12 August 2019</w:t>
      </w:r>
    </w:p>
    <w:p w14:paraId="2881F15A" w14:textId="28E15995" w:rsidR="007D6305" w:rsidRDefault="008702F8" w:rsidP="00B813F4">
      <w:pPr>
        <w:pStyle w:val="Order2"/>
        <w:numPr>
          <w:ilvl w:val="0"/>
          <w:numId w:val="0"/>
        </w:numPr>
        <w:ind w:left="1440" w:hanging="720"/>
      </w:pPr>
      <w:r>
        <w:t>h.</w:t>
      </w:r>
      <w:r>
        <w:tab/>
      </w:r>
      <w:r w:rsidR="00676887">
        <w:t xml:space="preserve">Lodged 31 July 2019 and filed 9 August 2019 </w:t>
      </w:r>
    </w:p>
    <w:p w14:paraId="057D95F5" w14:textId="3D600D0C" w:rsidR="007D6305" w:rsidRDefault="008702F8" w:rsidP="00B813F4">
      <w:pPr>
        <w:pStyle w:val="Order2"/>
        <w:numPr>
          <w:ilvl w:val="0"/>
          <w:numId w:val="0"/>
        </w:numPr>
        <w:ind w:left="1440" w:hanging="720"/>
      </w:pPr>
      <w:proofErr w:type="spellStart"/>
      <w:r>
        <w:t>i</w:t>
      </w:r>
      <w:proofErr w:type="spellEnd"/>
      <w:r>
        <w:t>.</w:t>
      </w:r>
      <w:r>
        <w:tab/>
      </w:r>
      <w:r w:rsidR="00676887">
        <w:t xml:space="preserve">Lodged </w:t>
      </w:r>
      <w:r w:rsidR="007D6305">
        <w:t>24 July 2019</w:t>
      </w:r>
      <w:r w:rsidR="00676887">
        <w:t xml:space="preserve"> and filed 9 August 2019 </w:t>
      </w:r>
    </w:p>
    <w:p w14:paraId="20CA31AD" w14:textId="08FBC277" w:rsidR="007D6305" w:rsidRDefault="008702F8" w:rsidP="00B813F4">
      <w:pPr>
        <w:pStyle w:val="Order2"/>
        <w:numPr>
          <w:ilvl w:val="0"/>
          <w:numId w:val="0"/>
        </w:numPr>
        <w:ind w:left="1440" w:hanging="720"/>
      </w:pPr>
      <w:r>
        <w:t>j.</w:t>
      </w:r>
      <w:r>
        <w:tab/>
      </w:r>
      <w:r w:rsidR="00676887">
        <w:t>Lodged 5 July 2019 and file</w:t>
      </w:r>
      <w:r w:rsidR="00354A70">
        <w:t>d</w:t>
      </w:r>
      <w:r w:rsidR="00676887">
        <w:t xml:space="preserve"> 24 July 2019</w:t>
      </w:r>
    </w:p>
    <w:p w14:paraId="0FCB5B17" w14:textId="62AC59BE" w:rsidR="007D6305" w:rsidRDefault="008702F8" w:rsidP="00B813F4">
      <w:pPr>
        <w:pStyle w:val="Order2"/>
        <w:numPr>
          <w:ilvl w:val="0"/>
          <w:numId w:val="0"/>
        </w:numPr>
        <w:ind w:left="1440" w:hanging="720"/>
      </w:pPr>
      <w:r>
        <w:t>k.</w:t>
      </w:r>
      <w:r>
        <w:tab/>
      </w:r>
      <w:r w:rsidR="00676887">
        <w:t xml:space="preserve">Lodged 17 May 2019 and filed 20 May 2019 </w:t>
      </w:r>
    </w:p>
    <w:p w14:paraId="191FC8C0" w14:textId="5CEB2363" w:rsidR="002C7498" w:rsidRDefault="007D6305" w:rsidP="00B813F4">
      <w:pPr>
        <w:pStyle w:val="Order2"/>
        <w:numPr>
          <w:ilvl w:val="0"/>
          <w:numId w:val="0"/>
        </w:numPr>
        <w:ind w:left="1440" w:hanging="720"/>
      </w:pPr>
      <w:proofErr w:type="gramStart"/>
      <w:r>
        <w:t>be</w:t>
      </w:r>
      <w:proofErr w:type="gramEnd"/>
      <w:r>
        <w:t xml:space="preserve"> dismissed.</w:t>
      </w:r>
    </w:p>
    <w:p w14:paraId="114AC353" w14:textId="36868BC2" w:rsidR="00764771" w:rsidRDefault="008702F8" w:rsidP="008702F8">
      <w:pPr>
        <w:pStyle w:val="Order1"/>
        <w:numPr>
          <w:ilvl w:val="0"/>
          <w:numId w:val="0"/>
        </w:numPr>
        <w:tabs>
          <w:tab w:val="left" w:pos="720"/>
        </w:tabs>
        <w:ind w:left="720" w:hanging="720"/>
      </w:pPr>
      <w:r>
        <w:lastRenderedPageBreak/>
        <w:t>3.</w:t>
      </w:r>
      <w:r>
        <w:tab/>
      </w:r>
      <w:r w:rsidR="007D6305">
        <w:t>The applicant pay the first respondent’s costs.</w:t>
      </w:r>
    </w:p>
    <w:p w14:paraId="197ECE54" w14:textId="77777777" w:rsidR="0050309C" w:rsidRDefault="00A72E0B" w:rsidP="004D53E5">
      <w:pPr>
        <w:pStyle w:val="SingleSpace"/>
      </w:pPr>
      <w:bookmarkStart w:id="14" w:name="OrdersStatement"/>
      <w:r>
        <w:t>Note:</w:t>
      </w:r>
      <w:r>
        <w:tab/>
        <w:t xml:space="preserve">Entry of orders is dealt with in Rule 39.32 of the </w:t>
      </w:r>
      <w:r>
        <w:rPr>
          <w:i/>
        </w:rPr>
        <w:t>Federal Court Rules 2011</w:t>
      </w:r>
      <w:r>
        <w:t>.</w:t>
      </w:r>
      <w:bookmarkEnd w:id="14"/>
    </w:p>
    <w:p w14:paraId="61829076" w14:textId="77777777" w:rsidR="00E23577" w:rsidRDefault="00E23577" w:rsidP="002B0E91">
      <w:pPr>
        <w:pStyle w:val="BodyText"/>
      </w:pPr>
    </w:p>
    <w:p w14:paraId="2BA226A1" w14:textId="77777777" w:rsidR="00395B24" w:rsidRDefault="00395B24">
      <w:pPr>
        <w:pStyle w:val="NormalHeadings"/>
        <w:spacing w:before="240" w:after="120"/>
        <w:rPr>
          <w:b w:val="0"/>
        </w:rPr>
        <w:sectPr w:rsidR="00395B24" w:rsidSect="0092590B">
          <w:headerReference w:type="default" r:id="rId13"/>
          <w:footerReference w:type="default" r:id="rId14"/>
          <w:headerReference w:type="first" r:id="rId15"/>
          <w:footerReference w:type="first" r:id="rId16"/>
          <w:endnotePr>
            <w:numFmt w:val="decimal"/>
          </w:endnotePr>
          <w:pgSz w:w="11907" w:h="16840" w:code="9"/>
          <w:pgMar w:top="1440" w:right="1440" w:bottom="1440" w:left="1440" w:header="851" w:footer="851" w:gutter="0"/>
          <w:pgNumType w:fmt="lowerRoman" w:start="1"/>
          <w:cols w:space="720"/>
          <w:noEndnote/>
          <w:titlePg/>
        </w:sectPr>
      </w:pPr>
    </w:p>
    <w:p w14:paraId="37F54624" w14:textId="77777777" w:rsidR="00694BEB" w:rsidRDefault="00484F6D" w:rsidP="003D4E17">
      <w:pPr>
        <w:pStyle w:val="NormalHeadings"/>
        <w:spacing w:line="480" w:lineRule="auto"/>
        <w:jc w:val="center"/>
        <w:rPr>
          <w:sz w:val="28"/>
          <w:szCs w:val="28"/>
        </w:rPr>
      </w:pPr>
      <w:bookmarkStart w:id="15" w:name="ReasonsPage"/>
      <w:bookmarkEnd w:id="15"/>
      <w:r w:rsidRPr="00045BB7">
        <w:rPr>
          <w:sz w:val="28"/>
          <w:szCs w:val="28"/>
        </w:rPr>
        <w:lastRenderedPageBreak/>
        <w:t>REASONS FOR JUDGMENT</w:t>
      </w:r>
    </w:p>
    <w:p w14:paraId="07496498" w14:textId="77777777" w:rsidR="003D4E17" w:rsidRPr="003D4E17" w:rsidRDefault="003D4E17" w:rsidP="003D4E17">
      <w:pPr>
        <w:pStyle w:val="NormalHeadings"/>
        <w:spacing w:line="480" w:lineRule="auto"/>
        <w:rPr>
          <w:sz w:val="28"/>
          <w:szCs w:val="28"/>
        </w:rPr>
      </w:pPr>
      <w:r>
        <w:rPr>
          <w:sz w:val="28"/>
          <w:szCs w:val="28"/>
        </w:rPr>
        <w:t>THE COURT:</w:t>
      </w:r>
    </w:p>
    <w:p w14:paraId="6CCF1A8D" w14:textId="0923629B" w:rsidR="00C128C7" w:rsidRDefault="008702F8" w:rsidP="008702F8">
      <w:pPr>
        <w:pStyle w:val="ParaNumbering"/>
        <w:numPr>
          <w:ilvl w:val="0"/>
          <w:numId w:val="0"/>
        </w:numPr>
        <w:ind w:hanging="720"/>
      </w:pPr>
      <w:r>
        <w:rPr>
          <w:sz w:val="20"/>
        </w:rPr>
        <w:t>1</w:t>
      </w:r>
      <w:r>
        <w:rPr>
          <w:sz w:val="20"/>
        </w:rPr>
        <w:tab/>
      </w:r>
      <w:r w:rsidR="2998CDE8">
        <w:t xml:space="preserve">These proceedings concern </w:t>
      </w:r>
      <w:r w:rsidR="00C128C7">
        <w:t xml:space="preserve">interlocutory applications in relation to </w:t>
      </w:r>
      <w:r w:rsidR="2998CDE8">
        <w:t>an appeal filed by Ms Luck with the Full Court of the Federal Court on 2 September 2016.</w:t>
      </w:r>
      <w:r w:rsidR="002F3AD7">
        <w:t xml:space="preserve">  This bench of the Full Court was convened for th</w:t>
      </w:r>
      <w:r w:rsidR="00C81E4B">
        <w:t>e</w:t>
      </w:r>
      <w:r w:rsidR="002F3AD7">
        <w:t xml:space="preserve"> purpose</w:t>
      </w:r>
      <w:r w:rsidR="00C81E4B">
        <w:t xml:space="preserve"> of hearing and determining the interlocutory applications</w:t>
      </w:r>
      <w:r w:rsidR="002F3AD7">
        <w:t>.</w:t>
      </w:r>
    </w:p>
    <w:p w14:paraId="4B136728" w14:textId="27E250D2" w:rsidR="009A043D" w:rsidRDefault="008702F8" w:rsidP="008702F8">
      <w:pPr>
        <w:pStyle w:val="ParaNumbering"/>
        <w:numPr>
          <w:ilvl w:val="0"/>
          <w:numId w:val="0"/>
        </w:numPr>
        <w:ind w:hanging="720"/>
      </w:pPr>
      <w:bookmarkStart w:id="16" w:name="_Ref118802166"/>
      <w:r>
        <w:rPr>
          <w:sz w:val="20"/>
        </w:rPr>
        <w:t>2</w:t>
      </w:r>
      <w:r>
        <w:rPr>
          <w:sz w:val="20"/>
        </w:rPr>
        <w:tab/>
      </w:r>
      <w:r w:rsidR="2998CDE8">
        <w:t>Ms Luck</w:t>
      </w:r>
      <w:r w:rsidR="00C128C7">
        <w:t>’s</w:t>
      </w:r>
      <w:r w:rsidR="2998CDE8">
        <w:t xml:space="preserve"> appeal</w:t>
      </w:r>
      <w:r w:rsidR="00C128C7">
        <w:t xml:space="preserve"> is</w:t>
      </w:r>
      <w:r w:rsidR="2998CDE8">
        <w:t xml:space="preserve"> against the decision in </w:t>
      </w:r>
      <w:r w:rsidR="2998CDE8" w:rsidRPr="1EA82904">
        <w:rPr>
          <w:i/>
          <w:iCs/>
        </w:rPr>
        <w:t>Luck v Secretary, Department of Human Services</w:t>
      </w:r>
      <w:r w:rsidR="2998CDE8">
        <w:t xml:space="preserve"> </w:t>
      </w:r>
      <w:r w:rsidR="2998CDE8" w:rsidRPr="00BC2619">
        <w:rPr>
          <w:i/>
        </w:rPr>
        <w:t xml:space="preserve">(No 4) </w:t>
      </w:r>
      <w:r w:rsidR="2998CDE8">
        <w:t>[2016] FCA 950</w:t>
      </w:r>
      <w:r w:rsidR="00D86585">
        <w:t xml:space="preserve"> (</w:t>
      </w:r>
      <w:r w:rsidR="00D86585" w:rsidRPr="00024F3F">
        <w:rPr>
          <w:b/>
          <w:bCs/>
          <w:i/>
          <w:iCs/>
        </w:rPr>
        <w:t>Luck</w:t>
      </w:r>
      <w:r w:rsidR="00D86585">
        <w:rPr>
          <w:b/>
          <w:bCs/>
          <w:i/>
          <w:iCs/>
        </w:rPr>
        <w:t xml:space="preserve"> (No 4)</w:t>
      </w:r>
      <w:r w:rsidR="00D86585" w:rsidRPr="00024F3F">
        <w:rPr>
          <w:b/>
          <w:bCs/>
        </w:rPr>
        <w:t xml:space="preserve"> </w:t>
      </w:r>
      <w:r w:rsidR="00D86585">
        <w:rPr>
          <w:b/>
          <w:bCs/>
        </w:rPr>
        <w:t>[</w:t>
      </w:r>
      <w:r w:rsidR="00D86585" w:rsidRPr="00024F3F">
        <w:rPr>
          <w:b/>
          <w:bCs/>
        </w:rPr>
        <w:t>2016</w:t>
      </w:r>
      <w:r w:rsidR="00D86585">
        <w:rPr>
          <w:b/>
          <w:bCs/>
        </w:rPr>
        <w:t>]</w:t>
      </w:r>
      <w:r w:rsidR="00D86585">
        <w:t>)</w:t>
      </w:r>
      <w:r w:rsidR="2998CDE8">
        <w:t xml:space="preserve">. </w:t>
      </w:r>
      <w:r w:rsidR="000702A1">
        <w:t xml:space="preserve">The </w:t>
      </w:r>
      <w:r w:rsidR="000702A1" w:rsidRPr="00024F3F">
        <w:rPr>
          <w:b/>
          <w:bCs/>
        </w:rPr>
        <w:t>primary judge</w:t>
      </w:r>
      <w:r w:rsidR="000702A1">
        <w:t xml:space="preserve"> </w:t>
      </w:r>
      <w:r w:rsidR="2998CDE8">
        <w:t xml:space="preserve">dismissed an appeal under s 44 of the </w:t>
      </w:r>
      <w:r w:rsidR="2998CDE8" w:rsidRPr="1EA82904">
        <w:rPr>
          <w:i/>
          <w:iCs/>
        </w:rPr>
        <w:t>Administrative Appeals Tribunal Act 1975</w:t>
      </w:r>
      <w:r w:rsidR="2998CDE8">
        <w:t xml:space="preserve"> (</w:t>
      </w:r>
      <w:proofErr w:type="spellStart"/>
      <w:r w:rsidR="2998CDE8">
        <w:t>Cth</w:t>
      </w:r>
      <w:proofErr w:type="spellEnd"/>
      <w:r w:rsidR="2998CDE8">
        <w:t>)</w:t>
      </w:r>
      <w:r w:rsidR="00C81E4B">
        <w:t xml:space="preserve"> </w:t>
      </w:r>
      <w:r w:rsidR="00987CA9">
        <w:t>(</w:t>
      </w:r>
      <w:r w:rsidR="00987CA9" w:rsidRPr="00987CA9">
        <w:rPr>
          <w:b/>
          <w:bCs/>
        </w:rPr>
        <w:t>AAT Act</w:t>
      </w:r>
      <w:r w:rsidR="00987CA9">
        <w:t>)</w:t>
      </w:r>
      <w:r w:rsidR="2998CDE8">
        <w:t xml:space="preserve"> from a decision of</w:t>
      </w:r>
      <w:r w:rsidR="000702A1">
        <w:t xml:space="preserve"> </w:t>
      </w:r>
      <w:r w:rsidR="2998CDE8">
        <w:t xml:space="preserve">the Administrative Appeals </w:t>
      </w:r>
      <w:r w:rsidR="2998CDE8" w:rsidRPr="00024F3F">
        <w:rPr>
          <w:b/>
          <w:bCs/>
        </w:rPr>
        <w:t>Tribunal</w:t>
      </w:r>
      <w:r w:rsidR="2998CDE8">
        <w:t xml:space="preserve"> </w:t>
      </w:r>
      <w:r w:rsidR="004462D7">
        <w:t xml:space="preserve">made </w:t>
      </w:r>
      <w:r w:rsidR="2998CDE8">
        <w:t xml:space="preserve">on 8 January 2010 that </w:t>
      </w:r>
      <w:r w:rsidR="000702A1">
        <w:t>the Tribunal</w:t>
      </w:r>
      <w:r w:rsidR="2998CDE8">
        <w:t xml:space="preserve"> </w:t>
      </w:r>
      <w:r w:rsidR="000702A1">
        <w:t xml:space="preserve">lacked </w:t>
      </w:r>
      <w:r w:rsidR="2998CDE8">
        <w:t>jurisdiction to review certain decisions made by the Department of Human Services</w:t>
      </w:r>
      <w:r w:rsidR="5D695E68">
        <w:t xml:space="preserve"> (</w:t>
      </w:r>
      <w:r w:rsidR="5D695E68" w:rsidRPr="1EA82904">
        <w:rPr>
          <w:b/>
          <w:bCs/>
        </w:rPr>
        <w:t>DHS</w:t>
      </w:r>
      <w:r w:rsidR="5D695E68">
        <w:t>)</w:t>
      </w:r>
      <w:r w:rsidR="2998CDE8">
        <w:t xml:space="preserve"> </w:t>
      </w:r>
      <w:r w:rsidR="00C128C7">
        <w:t>(now known as Services</w:t>
      </w:r>
      <w:r w:rsidR="00024F3F">
        <w:t xml:space="preserve"> </w:t>
      </w:r>
      <w:r w:rsidR="00C128C7">
        <w:t xml:space="preserve">Australia) </w:t>
      </w:r>
      <w:r w:rsidR="2998CDE8">
        <w:t xml:space="preserve">under the </w:t>
      </w:r>
      <w:r w:rsidR="2998CDE8" w:rsidRPr="1EA82904">
        <w:rPr>
          <w:i/>
          <w:iCs/>
        </w:rPr>
        <w:t>Freedom of Information Act 1982</w:t>
      </w:r>
      <w:r w:rsidR="2998CDE8">
        <w:t xml:space="preserve"> (</w:t>
      </w:r>
      <w:proofErr w:type="spellStart"/>
      <w:r w:rsidR="2998CDE8">
        <w:t>Cth</w:t>
      </w:r>
      <w:proofErr w:type="spellEnd"/>
      <w:r w:rsidR="2998CDE8">
        <w:t>)</w:t>
      </w:r>
      <w:r w:rsidR="00C81E4B">
        <w:t xml:space="preserve"> </w:t>
      </w:r>
      <w:r w:rsidR="000702A1">
        <w:t>(</w:t>
      </w:r>
      <w:r w:rsidR="000702A1" w:rsidRPr="00024F3F">
        <w:rPr>
          <w:b/>
          <w:bCs/>
        </w:rPr>
        <w:t>FOI</w:t>
      </w:r>
      <w:r w:rsidR="00D86585">
        <w:rPr>
          <w:b/>
          <w:bCs/>
        </w:rPr>
        <w:t xml:space="preserve"> </w:t>
      </w:r>
      <w:r w:rsidR="000702A1" w:rsidRPr="00024F3F">
        <w:rPr>
          <w:b/>
          <w:bCs/>
        </w:rPr>
        <w:t>Act</w:t>
      </w:r>
      <w:r w:rsidR="000702A1">
        <w:t>)</w:t>
      </w:r>
      <w:r w:rsidR="2998CDE8">
        <w:t xml:space="preserve">: </w:t>
      </w:r>
      <w:r w:rsidR="2998CDE8" w:rsidRPr="1EA82904">
        <w:rPr>
          <w:i/>
          <w:iCs/>
        </w:rPr>
        <w:t xml:space="preserve">Luck v Department of Human Services </w:t>
      </w:r>
      <w:r w:rsidR="2998CDE8">
        <w:t>[2010] AATA 6; 51 AAR 265. The Full Court is yet to hear the appeal</w:t>
      </w:r>
      <w:r w:rsidR="004462D7">
        <w:t xml:space="preserve"> against the primary judge’s decision</w:t>
      </w:r>
      <w:r w:rsidR="2998CDE8">
        <w:t>, despite it being filed over 6 years ago.</w:t>
      </w:r>
      <w:bookmarkEnd w:id="16"/>
      <w:r w:rsidR="2998CDE8">
        <w:t xml:space="preserve"> </w:t>
      </w:r>
    </w:p>
    <w:p w14:paraId="6FD57C42" w14:textId="2A415839" w:rsidR="002F3AD7" w:rsidRPr="00770385" w:rsidRDefault="008702F8" w:rsidP="008702F8">
      <w:pPr>
        <w:pStyle w:val="ParaNumbering"/>
        <w:numPr>
          <w:ilvl w:val="0"/>
          <w:numId w:val="0"/>
        </w:numPr>
        <w:ind w:hanging="720"/>
      </w:pPr>
      <w:r w:rsidRPr="00770385">
        <w:rPr>
          <w:sz w:val="20"/>
        </w:rPr>
        <w:t>3</w:t>
      </w:r>
      <w:r w:rsidRPr="00770385">
        <w:rPr>
          <w:sz w:val="20"/>
        </w:rPr>
        <w:tab/>
      </w:r>
      <w:r w:rsidR="00E50184" w:rsidRPr="00770385">
        <w:t>R</w:t>
      </w:r>
      <w:r w:rsidR="000702A1" w:rsidRPr="00770385">
        <w:t xml:space="preserve">elevant to the issues before this Court, </w:t>
      </w:r>
      <w:r w:rsidR="00E50184" w:rsidRPr="00770385">
        <w:t>a sequestration order was made against Ms Luck’s estate</w:t>
      </w:r>
      <w:r w:rsidR="00E50184" w:rsidRPr="00770385" w:rsidDel="000702A1">
        <w:t xml:space="preserve"> </w:t>
      </w:r>
      <w:r w:rsidR="00A93547" w:rsidRPr="00770385">
        <w:t>on 4 April 2017</w:t>
      </w:r>
      <w:r w:rsidR="00E50184" w:rsidRPr="00770385">
        <w:t xml:space="preserve"> by </w:t>
      </w:r>
      <w:r w:rsidR="00A93547" w:rsidRPr="00770385">
        <w:t>the Federal Circuit Court of Australia (as the Federal Circuit and Family Court of Australia (</w:t>
      </w:r>
      <w:proofErr w:type="spellStart"/>
      <w:r w:rsidR="00A93547" w:rsidRPr="00770385">
        <w:t>Div</w:t>
      </w:r>
      <w:proofErr w:type="spellEnd"/>
      <w:r w:rsidR="00A93547" w:rsidRPr="00770385">
        <w:t xml:space="preserve"> 2) was then known)</w:t>
      </w:r>
      <w:r w:rsidR="000C4699">
        <w:t xml:space="preserve">: </w:t>
      </w:r>
      <w:r w:rsidR="000C4699" w:rsidRPr="00101A86">
        <w:rPr>
          <w:i/>
          <w:iCs/>
        </w:rPr>
        <w:t>University of Southern Queensland v Luck</w:t>
      </w:r>
      <w:r w:rsidR="000C4699" w:rsidRPr="00101A86">
        <w:t> </w:t>
      </w:r>
      <w:r w:rsidR="000C4699" w:rsidRPr="00BC2619">
        <w:t>[2017] FCCA 639</w:t>
      </w:r>
      <w:r w:rsidR="00A93547" w:rsidRPr="00770385">
        <w:t xml:space="preserve">.  </w:t>
      </w:r>
      <w:r w:rsidR="00E50184" w:rsidRPr="00770385">
        <w:t>The Full Court dismissed an</w:t>
      </w:r>
      <w:r w:rsidR="00A93547" w:rsidRPr="00770385">
        <w:t xml:space="preserve"> appeal from </w:t>
      </w:r>
      <w:r w:rsidR="00E50184" w:rsidRPr="00770385">
        <w:t xml:space="preserve">that </w:t>
      </w:r>
      <w:r w:rsidR="00A93547" w:rsidRPr="00770385">
        <w:t>order on 29 June 2018</w:t>
      </w:r>
      <w:r w:rsidR="004B2744" w:rsidRPr="00770385">
        <w:t>:</w:t>
      </w:r>
      <w:r w:rsidR="00A93547" w:rsidRPr="00770385">
        <w:t xml:space="preserve"> </w:t>
      </w:r>
      <w:r w:rsidR="00A93547" w:rsidRPr="00770385">
        <w:rPr>
          <w:i/>
        </w:rPr>
        <w:t>Luck v University of Southern Queensland</w:t>
      </w:r>
      <w:r w:rsidR="00A93547" w:rsidRPr="00770385">
        <w:t xml:space="preserve"> [2018] FCAFC 102</w:t>
      </w:r>
      <w:r w:rsidR="00C81E4B" w:rsidRPr="00770385">
        <w:t>; 265 FCR 304</w:t>
      </w:r>
      <w:r w:rsidR="00A93547" w:rsidRPr="00770385">
        <w:t xml:space="preserve">.  Ms Luck’s application for special leave to appeal was refused by the </w:t>
      </w:r>
      <w:r w:rsidR="00A93547" w:rsidRPr="00770385">
        <w:rPr>
          <w:b/>
        </w:rPr>
        <w:t>High Court</w:t>
      </w:r>
      <w:r w:rsidR="00A93547" w:rsidRPr="00770385">
        <w:t xml:space="preserve"> of Australia on 13 February 2019</w:t>
      </w:r>
      <w:r w:rsidR="004B2744" w:rsidRPr="00770385">
        <w:t>:</w:t>
      </w:r>
      <w:r w:rsidR="00A93547" w:rsidRPr="00770385">
        <w:t xml:space="preserve"> </w:t>
      </w:r>
      <w:r w:rsidR="00A93547" w:rsidRPr="00770385">
        <w:rPr>
          <w:i/>
        </w:rPr>
        <w:t>Luck v University of Southern Queensland</w:t>
      </w:r>
      <w:r w:rsidR="00A93547" w:rsidRPr="00770385">
        <w:t xml:space="preserve"> [2019] HCASL 20.  Ms Luck was discharged from bankruptcy on 20 April 2020.</w:t>
      </w:r>
    </w:p>
    <w:p w14:paraId="27D84032" w14:textId="70006FD8" w:rsidR="002F3AD7" w:rsidRPr="002F3AD7" w:rsidRDefault="008702F8">
      <w:pPr>
        <w:pStyle w:val="Heading1"/>
      </w:pPr>
      <w:r>
        <w:rPr>
          <w:caps w:val="0"/>
        </w:rPr>
        <w:t>BACKGROUND</w:t>
      </w:r>
    </w:p>
    <w:p w14:paraId="2BE9109A" w14:textId="77777777" w:rsidR="00CA7A3A" w:rsidRPr="00A93547" w:rsidRDefault="00CA7A3A" w:rsidP="00901D67">
      <w:pPr>
        <w:pStyle w:val="Heading2"/>
      </w:pPr>
      <w:r w:rsidRPr="00A93547">
        <w:t>Procedural History</w:t>
      </w:r>
    </w:p>
    <w:p w14:paraId="272EBB77" w14:textId="32315973" w:rsidR="00CA7A3A" w:rsidRPr="00E3746B" w:rsidRDefault="008702F8" w:rsidP="008702F8">
      <w:pPr>
        <w:pStyle w:val="ParaNumbering"/>
        <w:numPr>
          <w:ilvl w:val="0"/>
          <w:numId w:val="0"/>
        </w:numPr>
        <w:ind w:hanging="720"/>
      </w:pPr>
      <w:r w:rsidRPr="00E3746B">
        <w:rPr>
          <w:sz w:val="20"/>
        </w:rPr>
        <w:t>4</w:t>
      </w:r>
      <w:r w:rsidRPr="00E3746B">
        <w:rPr>
          <w:sz w:val="20"/>
        </w:rPr>
        <w:tab/>
      </w:r>
      <w:r w:rsidR="00CA7A3A">
        <w:t>The procedural history of this matter is complex and spans 1</w:t>
      </w:r>
      <w:r w:rsidR="00C81E4B">
        <w:t>3</w:t>
      </w:r>
      <w:r w:rsidR="00CA7A3A">
        <w:t xml:space="preserve"> years in total. Accordingly, it is prudent to deal with the different aspects of the procedural history in turn. </w:t>
      </w:r>
      <w:r w:rsidR="00A421A1">
        <w:t xml:space="preserve">Nevertheless, the essence of the proceedings is captured by the primary judge in </w:t>
      </w:r>
      <w:r w:rsidR="00A421A1" w:rsidRPr="00E3746B">
        <w:rPr>
          <w:i/>
          <w:iCs/>
        </w:rPr>
        <w:t>Luck (No 4)</w:t>
      </w:r>
      <w:r w:rsidR="00A421A1" w:rsidRPr="00E3746B">
        <w:t xml:space="preserve"> [2016]</w:t>
      </w:r>
      <w:r w:rsidR="00623872" w:rsidRPr="00E3746B">
        <w:t xml:space="preserve"> at [5]-</w:t>
      </w:r>
      <w:r w:rsidR="00E3746B" w:rsidRPr="00E3746B">
        <w:t>[7]:</w:t>
      </w:r>
    </w:p>
    <w:p w14:paraId="65A989B1" w14:textId="5DCFB102" w:rsidR="00720351" w:rsidRPr="000D5C6C" w:rsidRDefault="000D5C6C" w:rsidP="00C81E4B">
      <w:pPr>
        <w:pStyle w:val="Quote1"/>
        <w:ind w:left="1440" w:hanging="703"/>
        <w:rPr>
          <w:lang w:eastAsia="en-GB"/>
        </w:rPr>
      </w:pPr>
      <w:r w:rsidRPr="00C81E4B">
        <w:t>5</w:t>
      </w:r>
      <w:r w:rsidRPr="00C81E4B">
        <w:tab/>
      </w:r>
      <w:r w:rsidR="0077121B" w:rsidRPr="00C81E4B">
        <w:t xml:space="preserve">… </w:t>
      </w:r>
      <w:r w:rsidR="00720351" w:rsidRPr="00C81E4B">
        <w:t>I am c</w:t>
      </w:r>
      <w:r w:rsidR="00720351" w:rsidRPr="000D5C6C">
        <w:rPr>
          <w:bdr w:val="none" w:sz="0" w:space="0" w:color="auto" w:frame="1"/>
        </w:rPr>
        <w:t>ompelled</w:t>
      </w:r>
      <w:r w:rsidR="00DA5112">
        <w:rPr>
          <w:bdr w:val="none" w:sz="0" w:space="0" w:color="auto" w:frame="1"/>
        </w:rPr>
        <w:t xml:space="preserve"> </w:t>
      </w:r>
      <w:r w:rsidR="00720351" w:rsidRPr="000D5C6C">
        <w:rPr>
          <w:bdr w:val="none" w:sz="0" w:space="0" w:color="auto" w:frame="1"/>
        </w:rPr>
        <w:t>to some</w:t>
      </w:r>
      <w:r w:rsidR="00DA5112">
        <w:rPr>
          <w:bdr w:val="none" w:sz="0" w:space="0" w:color="auto" w:frame="1"/>
        </w:rPr>
        <w:t xml:space="preserve"> </w:t>
      </w:r>
      <w:r w:rsidR="00720351" w:rsidRPr="000D5C6C">
        <w:rPr>
          <w:bdr w:val="none" w:sz="0" w:space="0" w:color="auto" w:frame="1"/>
        </w:rPr>
        <w:t>observations. This litigation started with Ms Luck’s application to the AAT dated 16 July 2009. More than seven years have since passed. Before the AAT, there was an application for a stay pending determination of an application to the High Court (</w:t>
      </w:r>
      <w:r w:rsidR="00720351" w:rsidRPr="000D5C6C">
        <w:rPr>
          <w:i/>
          <w:iCs/>
          <w:bdr w:val="none" w:sz="0" w:space="0" w:color="auto" w:frame="1"/>
        </w:rPr>
        <w:t>Luck v Department of Human Services</w:t>
      </w:r>
      <w:r w:rsidR="00720351" w:rsidRPr="000D5C6C">
        <w:rPr>
          <w:bdr w:val="none" w:sz="0" w:space="0" w:color="auto" w:frame="1"/>
        </w:rPr>
        <w:t> (2010) 51 AAR 265; AATA 6). On appeal to this Court, before Tracey J, Ms Luck made an application for recusal (</w:t>
      </w:r>
      <w:r w:rsidR="00720351" w:rsidRPr="000D5C6C">
        <w:rPr>
          <w:i/>
          <w:iCs/>
          <w:bdr w:val="none" w:sz="0" w:space="0" w:color="auto" w:frame="1"/>
        </w:rPr>
        <w:t xml:space="preserve">Luck v Secretary, </w:t>
      </w:r>
      <w:r w:rsidR="00720351" w:rsidRPr="000D5C6C">
        <w:rPr>
          <w:i/>
          <w:iCs/>
          <w:bdr w:val="none" w:sz="0" w:space="0" w:color="auto" w:frame="1"/>
        </w:rPr>
        <w:lastRenderedPageBreak/>
        <w:t>Department of Human Services</w:t>
      </w:r>
      <w:r w:rsidR="00720351" w:rsidRPr="000D5C6C">
        <w:rPr>
          <w:bdr w:val="none" w:sz="0" w:space="0" w:color="auto" w:frame="1"/>
        </w:rPr>
        <w:t> [2014] FCA 344) and for a stay pending the removal of the proceeding to the High Court (</w:t>
      </w:r>
      <w:r w:rsidR="00720351" w:rsidRPr="000D5C6C">
        <w:rPr>
          <w:i/>
          <w:iCs/>
          <w:bdr w:val="none" w:sz="0" w:space="0" w:color="auto" w:frame="1"/>
        </w:rPr>
        <w:t>Luck v Secretary, Department of Human Services (No 2)</w:t>
      </w:r>
      <w:r w:rsidR="00720351" w:rsidRPr="000D5C6C">
        <w:rPr>
          <w:bdr w:val="none" w:sz="0" w:space="0" w:color="auto" w:frame="1"/>
        </w:rPr>
        <w:t> [2014] FCA 798). Before a Full Court, there was another application for a stay (</w:t>
      </w:r>
      <w:r w:rsidR="00720351" w:rsidRPr="000D5C6C">
        <w:rPr>
          <w:i/>
          <w:iCs/>
          <w:bdr w:val="none" w:sz="0" w:space="0" w:color="auto" w:frame="1"/>
        </w:rPr>
        <w:t>Luck v Chief Executive Officer of Centrelink </w:t>
      </w:r>
      <w:r w:rsidR="00720351" w:rsidRPr="000D5C6C">
        <w:rPr>
          <w:bdr w:val="none" w:sz="0" w:space="0" w:color="auto" w:frame="1"/>
        </w:rPr>
        <w:t>[2015] FCAFC 75). On remittal to me it has involved applications for recusal and a stay (</w:t>
      </w:r>
      <w:r w:rsidR="00720351" w:rsidRPr="000D5C6C">
        <w:rPr>
          <w:i/>
          <w:iCs/>
          <w:bdr w:val="none" w:sz="0" w:space="0" w:color="auto" w:frame="1"/>
        </w:rPr>
        <w:t>Luck</w:t>
      </w:r>
      <w:r w:rsidR="00720351" w:rsidRPr="000D5C6C">
        <w:rPr>
          <w:bdr w:val="none" w:sz="0" w:space="0" w:color="auto" w:frame="1"/>
        </w:rPr>
        <w:t> [2016] FCA 100). Before the High Court, at least two of the removal applications have been heard and determined (</w:t>
      </w:r>
      <w:r w:rsidR="00720351" w:rsidRPr="000D5C6C">
        <w:rPr>
          <w:i/>
          <w:iCs/>
          <w:bdr w:val="none" w:sz="0" w:space="0" w:color="auto" w:frame="1"/>
        </w:rPr>
        <w:t>Luck v Federal Court of Australia</w:t>
      </w:r>
      <w:r w:rsidR="00720351" w:rsidRPr="000D5C6C">
        <w:rPr>
          <w:bdr w:val="none" w:sz="0" w:space="0" w:color="auto" w:frame="1"/>
        </w:rPr>
        <w:t xml:space="preserve"> [2011] </w:t>
      </w:r>
      <w:proofErr w:type="spellStart"/>
      <w:r w:rsidR="00720351" w:rsidRPr="000D5C6C">
        <w:rPr>
          <w:bdr w:val="none" w:sz="0" w:space="0" w:color="auto" w:frame="1"/>
        </w:rPr>
        <w:t>HCATrans</w:t>
      </w:r>
      <w:proofErr w:type="spellEnd"/>
      <w:r w:rsidR="00720351" w:rsidRPr="000D5C6C">
        <w:rPr>
          <w:bdr w:val="none" w:sz="0" w:space="0" w:color="auto" w:frame="1"/>
        </w:rPr>
        <w:t xml:space="preserve"> 290; </w:t>
      </w:r>
      <w:r w:rsidR="00720351" w:rsidRPr="000D5C6C">
        <w:rPr>
          <w:i/>
          <w:iCs/>
          <w:bdr w:val="none" w:sz="0" w:space="0" w:color="auto" w:frame="1"/>
        </w:rPr>
        <w:t>Luck v University of Southern Queensland</w:t>
      </w:r>
      <w:r w:rsidR="00720351" w:rsidRPr="000D5C6C">
        <w:rPr>
          <w:bdr w:val="none" w:sz="0" w:space="0" w:color="auto" w:frame="1"/>
        </w:rPr>
        <w:t xml:space="preserve"> [2015] </w:t>
      </w:r>
      <w:proofErr w:type="spellStart"/>
      <w:r w:rsidR="00720351" w:rsidRPr="000D5C6C">
        <w:rPr>
          <w:bdr w:val="none" w:sz="0" w:space="0" w:color="auto" w:frame="1"/>
        </w:rPr>
        <w:t>HCATrans</w:t>
      </w:r>
      <w:proofErr w:type="spellEnd"/>
      <w:r w:rsidR="00720351" w:rsidRPr="000D5C6C">
        <w:rPr>
          <w:bdr w:val="none" w:sz="0" w:space="0" w:color="auto" w:frame="1"/>
        </w:rPr>
        <w:t xml:space="preserve"> 125). The proceeding has involved the judgement of Tracey J from which Ms Luck appealed (</w:t>
      </w:r>
      <w:r w:rsidR="00720351" w:rsidRPr="000D5C6C">
        <w:rPr>
          <w:i/>
          <w:iCs/>
          <w:bdr w:val="none" w:sz="0" w:space="0" w:color="auto" w:frame="1"/>
        </w:rPr>
        <w:t>Luck </w:t>
      </w:r>
      <w:r w:rsidR="00720351" w:rsidRPr="000D5C6C">
        <w:rPr>
          <w:bdr w:val="none" w:sz="0" w:space="0" w:color="auto" w:frame="1"/>
        </w:rPr>
        <w:t>[2014] FCA 798), and the judgment on appeal (</w:t>
      </w:r>
      <w:r w:rsidR="00720351" w:rsidRPr="000D5C6C">
        <w:rPr>
          <w:i/>
          <w:iCs/>
          <w:bdr w:val="none" w:sz="0" w:space="0" w:color="auto" w:frame="1"/>
        </w:rPr>
        <w:t>Luck v Secretary, Department of Human Services</w:t>
      </w:r>
      <w:r w:rsidR="00720351" w:rsidRPr="000D5C6C">
        <w:rPr>
          <w:bdr w:val="none" w:sz="0" w:space="0" w:color="auto" w:frame="1"/>
        </w:rPr>
        <w:t> (2015) 233 FCR 494). It has now required this judgment.</w:t>
      </w:r>
    </w:p>
    <w:p w14:paraId="34143FBE" w14:textId="6AFBF02D" w:rsidR="00720351" w:rsidRPr="000D5C6C" w:rsidRDefault="00720351" w:rsidP="00C81E4B">
      <w:pPr>
        <w:pStyle w:val="Quote1"/>
        <w:ind w:left="1440" w:hanging="703"/>
      </w:pPr>
      <w:r w:rsidRPr="000D5C6C">
        <w:t>6</w:t>
      </w:r>
      <w:r w:rsidR="000D5C6C" w:rsidRPr="000D5C6C">
        <w:rPr>
          <w:bdr w:val="none" w:sz="0" w:space="0" w:color="auto" w:frame="1"/>
        </w:rPr>
        <w:tab/>
      </w:r>
      <w:r w:rsidRPr="000D5C6C">
        <w:rPr>
          <w:bdr w:val="none" w:sz="0" w:space="0" w:color="auto" w:frame="1"/>
        </w:rPr>
        <w:t>What is striking about the matter is this, which </w:t>
      </w:r>
      <w:proofErr w:type="spellStart"/>
      <w:r w:rsidRPr="000D5C6C">
        <w:rPr>
          <w:bdr w:val="none" w:sz="0" w:space="0" w:color="auto" w:frame="1"/>
        </w:rPr>
        <w:t>Crennan</w:t>
      </w:r>
      <w:proofErr w:type="spellEnd"/>
      <w:r w:rsidRPr="000D5C6C">
        <w:rPr>
          <w:bdr w:val="none" w:sz="0" w:space="0" w:color="auto" w:frame="1"/>
        </w:rPr>
        <w:t> J noted in the course of </w:t>
      </w:r>
      <w:r w:rsidRPr="000D5C6C">
        <w:rPr>
          <w:i/>
          <w:iCs/>
          <w:bdr w:val="none" w:sz="0" w:space="0" w:color="auto" w:frame="1"/>
        </w:rPr>
        <w:t>Luck</w:t>
      </w:r>
      <w:r w:rsidRPr="000D5C6C">
        <w:rPr>
          <w:bdr w:val="none" w:sz="0" w:space="0" w:color="auto" w:frame="1"/>
        </w:rPr>
        <w:t xml:space="preserve"> [2011] </w:t>
      </w:r>
      <w:proofErr w:type="spellStart"/>
      <w:r w:rsidRPr="000D5C6C">
        <w:rPr>
          <w:bdr w:val="none" w:sz="0" w:space="0" w:color="auto" w:frame="1"/>
        </w:rPr>
        <w:t>HCATrans</w:t>
      </w:r>
      <w:proofErr w:type="spellEnd"/>
      <w:r w:rsidRPr="000D5C6C">
        <w:rPr>
          <w:bdr w:val="none" w:sz="0" w:space="0" w:color="auto" w:frame="1"/>
        </w:rPr>
        <w:t xml:space="preserve"> 290 at [744]–[750: “the matter carried forward into the Federal Court was a decision of the Administrative Appeals Tribunal refusing review of a decision by the Department of Human Services. The decision made by the Department of Human Services was to grant Ms Luck access to documents as requested by her under the </w:t>
      </w:r>
      <w:r w:rsidRPr="000D5C6C">
        <w:rPr>
          <w:i/>
          <w:iCs/>
          <w:bdr w:val="none" w:sz="0" w:space="0" w:color="auto" w:frame="1"/>
        </w:rPr>
        <w:t>Freedom of Information Act</w:t>
      </w:r>
      <w:r w:rsidRPr="000D5C6C">
        <w:rPr>
          <w:bdr w:val="none" w:sz="0" w:space="0" w:color="auto" w:frame="1"/>
        </w:rPr>
        <w:t>. </w:t>
      </w:r>
      <w:r w:rsidRPr="000D5C6C">
        <w:rPr>
          <w:i/>
          <w:iCs/>
          <w:bdr w:val="none" w:sz="0" w:space="0" w:color="auto" w:frame="1"/>
        </w:rPr>
        <w:t>In other words, the decision was in Ms Luck’s favour</w:t>
      </w:r>
      <w:r w:rsidRPr="000D5C6C">
        <w:rPr>
          <w:bdr w:val="none" w:sz="0" w:space="0" w:color="auto" w:frame="1"/>
        </w:rPr>
        <w:t>” (my emphasis). That is a reference to a decision of a Dr Rumble, to be discussed below, providing to Ms Luck a CD purportedly containing the documents she had requested.</w:t>
      </w:r>
    </w:p>
    <w:p w14:paraId="68427E67" w14:textId="049100CA" w:rsidR="00E3746B" w:rsidRPr="000D5C6C" w:rsidRDefault="00720351" w:rsidP="00C81E4B">
      <w:pPr>
        <w:pStyle w:val="Quote1"/>
        <w:ind w:left="1440" w:hanging="703"/>
      </w:pPr>
      <w:r w:rsidRPr="000D5C6C">
        <w:t>7</w:t>
      </w:r>
      <w:r w:rsidR="000D5C6C" w:rsidRPr="000D5C6C">
        <w:rPr>
          <w:bdr w:val="none" w:sz="0" w:space="0" w:color="auto" w:frame="1"/>
        </w:rPr>
        <w:tab/>
      </w:r>
      <w:r w:rsidRPr="000D5C6C">
        <w:rPr>
          <w:bdr w:val="none" w:sz="0" w:space="0" w:color="auto" w:frame="1"/>
        </w:rPr>
        <w:t xml:space="preserve">Ms Luck does not see it this way. As she said in a letter dated 4 September 2009 to the AAT, “According to my own computer security protocol, I do not open any documents on my computer received from insecure sources and to receive a CD in the circumstances was inappropriate and unwanted, and as such I have no knowledge of its contents.” On one view, the proceeding has lurched along these seven years because Ms Luck was not prepared to insert a CD into her own computer, or (it appears) to insert it into another computer in, say, a public library, with a view to ascertaining whether it contained what she sought. Or, viewed from another perspective, it is because </w:t>
      </w:r>
      <w:proofErr w:type="spellStart"/>
      <w:r w:rsidRPr="000D5C6C">
        <w:rPr>
          <w:bdr w:val="none" w:sz="0" w:space="0" w:color="auto" w:frame="1"/>
        </w:rPr>
        <w:t>DoHS</w:t>
      </w:r>
      <w:proofErr w:type="spellEnd"/>
      <w:r w:rsidRPr="000D5C6C">
        <w:rPr>
          <w:bdr w:val="none" w:sz="0" w:space="0" w:color="auto" w:frame="1"/>
        </w:rPr>
        <w:t xml:space="preserve"> has not provided the documents on printed paper, or made them available for inspection in an office somewhere.</w:t>
      </w:r>
    </w:p>
    <w:p w14:paraId="46DA7DB3" w14:textId="77777777" w:rsidR="00CA7A3A" w:rsidRDefault="00CA7A3A" w:rsidP="00901D67">
      <w:pPr>
        <w:pStyle w:val="Heading3"/>
      </w:pPr>
      <w:r>
        <w:t xml:space="preserve">Appeal from the Tribunal before Tracey J </w:t>
      </w:r>
    </w:p>
    <w:p w14:paraId="47152214" w14:textId="0EB0DD95" w:rsidR="00CA7A3A" w:rsidRDefault="008702F8" w:rsidP="008702F8">
      <w:pPr>
        <w:pStyle w:val="ParaNumbering"/>
        <w:numPr>
          <w:ilvl w:val="0"/>
          <w:numId w:val="0"/>
        </w:numPr>
        <w:ind w:hanging="720"/>
      </w:pPr>
      <w:r>
        <w:rPr>
          <w:sz w:val="20"/>
        </w:rPr>
        <w:t>5</w:t>
      </w:r>
      <w:r>
        <w:rPr>
          <w:sz w:val="20"/>
        </w:rPr>
        <w:tab/>
      </w:r>
      <w:r w:rsidR="00CA7A3A" w:rsidRPr="00C84AF8">
        <w:t xml:space="preserve">On 8 January 2010, the </w:t>
      </w:r>
      <w:r w:rsidR="00CA7A3A">
        <w:t>Tribunal made the</w:t>
      </w:r>
      <w:r w:rsidR="00CA7A3A" w:rsidRPr="00C84AF8">
        <w:t xml:space="preserve"> decision</w:t>
      </w:r>
      <w:r w:rsidR="00CA7A3A">
        <w:t xml:space="preserve"> referred to above at [</w:t>
      </w:r>
      <w:r w:rsidR="00C128C7">
        <w:fldChar w:fldCharType="begin"/>
      </w:r>
      <w:r w:rsidR="00C128C7">
        <w:instrText xml:space="preserve"> REF _Ref118802166 \r \h </w:instrText>
      </w:r>
      <w:r w:rsidR="00C128C7">
        <w:fldChar w:fldCharType="separate"/>
      </w:r>
      <w:r w:rsidR="003B0BDD">
        <w:t>2</w:t>
      </w:r>
      <w:r w:rsidR="00C128C7">
        <w:fldChar w:fldCharType="end"/>
      </w:r>
      <w:r w:rsidR="00CA7A3A">
        <w:t>]</w:t>
      </w:r>
      <w:r w:rsidR="00CA7A3A" w:rsidRPr="00C84AF8">
        <w:t xml:space="preserve"> regarding several </w:t>
      </w:r>
      <w:r w:rsidR="00C81E4B">
        <w:t>Freedom of Information requests</w:t>
      </w:r>
      <w:r w:rsidR="00CA7A3A" w:rsidRPr="00C84AF8">
        <w:t xml:space="preserve"> made by </w:t>
      </w:r>
      <w:r w:rsidR="000702A1">
        <w:t xml:space="preserve">Ms Luck </w:t>
      </w:r>
      <w:r w:rsidR="00CA7A3A" w:rsidRPr="00C84AF8">
        <w:t xml:space="preserve">for documents held by the </w:t>
      </w:r>
      <w:r w:rsidR="00CA7A3A" w:rsidRPr="00C84AF8">
        <w:rPr>
          <w:bCs/>
        </w:rPr>
        <w:t>D</w:t>
      </w:r>
      <w:r w:rsidR="000702A1">
        <w:rPr>
          <w:bCs/>
        </w:rPr>
        <w:t>HS</w:t>
      </w:r>
      <w:r w:rsidR="004B2744">
        <w:rPr>
          <w:bCs/>
        </w:rPr>
        <w:t xml:space="preserve"> and Centrelink</w:t>
      </w:r>
      <w:r w:rsidR="00CA7A3A" w:rsidRPr="00C84AF8">
        <w:t xml:space="preserve">.  </w:t>
      </w:r>
    </w:p>
    <w:p w14:paraId="10C9423E" w14:textId="017F60CA" w:rsidR="00CA7A3A" w:rsidRDefault="008702F8" w:rsidP="008702F8">
      <w:pPr>
        <w:pStyle w:val="ParaNumbering"/>
        <w:numPr>
          <w:ilvl w:val="0"/>
          <w:numId w:val="0"/>
        </w:numPr>
        <w:ind w:hanging="720"/>
      </w:pPr>
      <w:r>
        <w:rPr>
          <w:sz w:val="20"/>
        </w:rPr>
        <w:t>6</w:t>
      </w:r>
      <w:r>
        <w:rPr>
          <w:sz w:val="20"/>
        </w:rPr>
        <w:tab/>
      </w:r>
      <w:r w:rsidR="004668C5">
        <w:t xml:space="preserve">Ms Luck </w:t>
      </w:r>
      <w:r w:rsidR="00CA7A3A" w:rsidRPr="00C84AF8">
        <w:t xml:space="preserve">appealed </w:t>
      </w:r>
      <w:r w:rsidR="00CA7A3A">
        <w:t>the Tribunal’s</w:t>
      </w:r>
      <w:r w:rsidR="00CA7A3A" w:rsidRPr="00C84AF8">
        <w:t xml:space="preserve"> decision </w:t>
      </w:r>
      <w:r w:rsidR="00CA7A3A">
        <w:t>pursuant to</w:t>
      </w:r>
      <w:r w:rsidR="00CA7A3A" w:rsidRPr="00C84AF8">
        <w:t xml:space="preserve"> s 44 of the </w:t>
      </w:r>
      <w:r w:rsidR="00CA7A3A" w:rsidRPr="00987CA9">
        <w:rPr>
          <w:bCs/>
        </w:rPr>
        <w:t>AAT Act</w:t>
      </w:r>
      <w:r w:rsidR="00CA7A3A">
        <w:rPr>
          <w:b/>
        </w:rPr>
        <w:t xml:space="preserve"> </w:t>
      </w:r>
      <w:r w:rsidR="00CA7A3A">
        <w:t xml:space="preserve">on 4 February 2010. However, the matter was not heard until 2014 </w:t>
      </w:r>
      <w:r w:rsidR="00214F5B">
        <w:t xml:space="preserve">because </w:t>
      </w:r>
      <w:r w:rsidR="00CA7A3A">
        <w:t xml:space="preserve">of significant delays </w:t>
      </w:r>
      <w:r w:rsidR="000702A1">
        <w:t xml:space="preserve">caused by </w:t>
      </w:r>
      <w:r w:rsidR="004668C5">
        <w:t>Ms Luck</w:t>
      </w:r>
      <w:r w:rsidR="00CA7A3A">
        <w:t xml:space="preserve">’s applications to the High Court and further </w:t>
      </w:r>
      <w:r w:rsidR="00CA7A3A" w:rsidRPr="006653D7">
        <w:t>applications by her for t</w:t>
      </w:r>
      <w:r w:rsidR="00CA7A3A">
        <w:t xml:space="preserve">he appeal </w:t>
      </w:r>
      <w:r w:rsidR="00CA7A3A" w:rsidRPr="006653D7">
        <w:t>to be adjourned pending the outcome of her High Court proceedings</w:t>
      </w:r>
      <w:r w:rsidR="00CA7A3A">
        <w:t xml:space="preserve">. </w:t>
      </w:r>
    </w:p>
    <w:p w14:paraId="13FF0A5C" w14:textId="1AF9F02B" w:rsidR="00CA7A3A" w:rsidRDefault="008702F8" w:rsidP="008702F8">
      <w:pPr>
        <w:pStyle w:val="ParaNumbering"/>
        <w:numPr>
          <w:ilvl w:val="0"/>
          <w:numId w:val="0"/>
        </w:numPr>
        <w:ind w:hanging="720"/>
      </w:pPr>
      <w:r>
        <w:rPr>
          <w:sz w:val="20"/>
        </w:rPr>
        <w:lastRenderedPageBreak/>
        <w:t>7</w:t>
      </w:r>
      <w:r>
        <w:rPr>
          <w:sz w:val="20"/>
        </w:rPr>
        <w:tab/>
      </w:r>
      <w:r w:rsidR="00CA7A3A">
        <w:t xml:space="preserve">On 4 April 2014, at a </w:t>
      </w:r>
      <w:r w:rsidR="009250A7">
        <w:t>case management</w:t>
      </w:r>
      <w:r w:rsidR="00CA7A3A">
        <w:t xml:space="preserve"> hearing </w:t>
      </w:r>
      <w:r w:rsidR="00C128C7">
        <w:t xml:space="preserve">relating to </w:t>
      </w:r>
      <w:r w:rsidR="00CA7A3A">
        <w:t xml:space="preserve">the appeal of the Tribunal’s decision, </w:t>
      </w:r>
      <w:r w:rsidR="004668C5">
        <w:t>before Tracey J, Ms Luck</w:t>
      </w:r>
      <w:r w:rsidR="00CA7A3A">
        <w:t xml:space="preserve"> made an application for his Honour’s recusal which was refused: </w:t>
      </w:r>
      <w:r w:rsidR="00CA7A3A" w:rsidRPr="002D74A7">
        <w:rPr>
          <w:i/>
        </w:rPr>
        <w:t>Luck v Secretary, Department of Human Services</w:t>
      </w:r>
      <w:r w:rsidR="00CA7A3A" w:rsidRPr="002D74A7">
        <w:t xml:space="preserve"> [2014] FCA 344</w:t>
      </w:r>
      <w:r w:rsidR="00CA7A3A">
        <w:t>.</w:t>
      </w:r>
    </w:p>
    <w:p w14:paraId="3A3D29FD" w14:textId="08896BD1" w:rsidR="00CA7A3A" w:rsidRDefault="008702F8" w:rsidP="008702F8">
      <w:pPr>
        <w:pStyle w:val="ParaNumbering"/>
        <w:numPr>
          <w:ilvl w:val="0"/>
          <w:numId w:val="0"/>
        </w:numPr>
        <w:ind w:hanging="720"/>
      </w:pPr>
      <w:r>
        <w:rPr>
          <w:sz w:val="20"/>
        </w:rPr>
        <w:t>8</w:t>
      </w:r>
      <w:r>
        <w:rPr>
          <w:sz w:val="20"/>
        </w:rPr>
        <w:tab/>
      </w:r>
      <w:r w:rsidR="00CA7A3A" w:rsidRPr="00C84AF8">
        <w:t xml:space="preserve">On 30 July 2014, Tracey J upheld </w:t>
      </w:r>
      <w:r w:rsidR="00E50184">
        <w:t xml:space="preserve">the </w:t>
      </w:r>
      <w:r w:rsidR="000702A1">
        <w:t xml:space="preserve">DHS’s </w:t>
      </w:r>
      <w:r w:rsidR="00CA7A3A" w:rsidRPr="00C84AF8">
        <w:t xml:space="preserve">notice of objection to competency and dismissed the appeal: </w:t>
      </w:r>
      <w:r w:rsidR="00CA7A3A" w:rsidRPr="00C84AF8">
        <w:rPr>
          <w:i/>
          <w:iCs/>
        </w:rPr>
        <w:t>Luck v Secretary, Department of Human Services (No 2)</w:t>
      </w:r>
      <w:r w:rsidR="00CA7A3A" w:rsidRPr="00C84AF8">
        <w:t> [2014] FCA 798</w:t>
      </w:r>
      <w:r w:rsidR="00CA7A3A">
        <w:t xml:space="preserve">. </w:t>
      </w:r>
      <w:r w:rsidR="00FD5CBD">
        <w:t xml:space="preserve">Ms Luck </w:t>
      </w:r>
      <w:r w:rsidR="00C81E4B">
        <w:t>argues</w:t>
      </w:r>
      <w:r w:rsidR="00FD5CBD">
        <w:t xml:space="preserve"> “there have been breaches of the separation of powers doctrine by [Tracey J] and others ‘because of the continued failure of the Attorney-General and the Executive Government to properly administer the relevant provisions of human rights legislation’”, at [4]. His Honour observed that this ground “has, at best, a tenuous relationship to the issues arising on the present appeal” noting “she has failed to articulate how such maladministration (if there be any) could provide her with a cause of action in this Court in a proceeding</w:t>
      </w:r>
      <w:r w:rsidR="00B650E5">
        <w:t xml:space="preserve"> such as the present which arises under the [FOI Act]”, at [6].</w:t>
      </w:r>
      <w:r w:rsidR="00FD5CBD">
        <w:t xml:space="preserve"> </w:t>
      </w:r>
      <w:r w:rsidR="00CA7A3A">
        <w:t>His Hon</w:t>
      </w:r>
      <w:r w:rsidR="004668C5">
        <w:t>our also dismissed Ms Luck</w:t>
      </w:r>
      <w:r w:rsidR="00CA7A3A">
        <w:t>’s interlocutory application for a stay of the proceedings pending the outcome of a Fu</w:t>
      </w:r>
      <w:r w:rsidR="004668C5">
        <w:t>ll Court appeal by Ms Luck</w:t>
      </w:r>
      <w:r w:rsidR="00CA7A3A">
        <w:t xml:space="preserve"> against the University of Southern Queensland. </w:t>
      </w:r>
    </w:p>
    <w:p w14:paraId="57809C16" w14:textId="77777777" w:rsidR="00CA7A3A" w:rsidRDefault="00CA7A3A" w:rsidP="00E94D91">
      <w:pPr>
        <w:pStyle w:val="Heading3"/>
      </w:pPr>
      <w:r>
        <w:t xml:space="preserve">Appeal </w:t>
      </w:r>
      <w:r w:rsidRPr="006653D7">
        <w:t>to the Full Court (Collier, Griffiths and Mortimer JJ) from Tracey J’s decision</w:t>
      </w:r>
    </w:p>
    <w:p w14:paraId="7BF0D546" w14:textId="62A9009D" w:rsidR="00CA7A3A" w:rsidRDefault="008702F8" w:rsidP="008702F8">
      <w:pPr>
        <w:pStyle w:val="ParaNumbering"/>
        <w:numPr>
          <w:ilvl w:val="0"/>
          <w:numId w:val="0"/>
        </w:numPr>
        <w:ind w:hanging="720"/>
      </w:pPr>
      <w:r>
        <w:rPr>
          <w:sz w:val="20"/>
        </w:rPr>
        <w:t>9</w:t>
      </w:r>
      <w:r>
        <w:rPr>
          <w:sz w:val="20"/>
        </w:rPr>
        <w:tab/>
      </w:r>
      <w:r w:rsidR="00CA7A3A">
        <w:t>On appeal, a Full Court of this Court composed of Collier, Griffiths and Mortimer JJ refused a further application for a stay (</w:t>
      </w:r>
      <w:r w:rsidR="00CA7A3A" w:rsidRPr="00FA767C">
        <w:rPr>
          <w:i/>
          <w:iCs/>
          <w:szCs w:val="24"/>
          <w:bdr w:val="none" w:sz="0" w:space="0" w:color="auto" w:frame="1"/>
          <w:shd w:val="clear" w:color="auto" w:fill="FFFFFF"/>
        </w:rPr>
        <w:t>Luck v Chief Executive Officer of Centrelink </w:t>
      </w:r>
      <w:r w:rsidR="00CA7A3A" w:rsidRPr="00FA767C">
        <w:rPr>
          <w:szCs w:val="24"/>
          <w:bdr w:val="none" w:sz="0" w:space="0" w:color="auto" w:frame="1"/>
          <w:shd w:val="clear" w:color="auto" w:fill="FFFFFF"/>
        </w:rPr>
        <w:t>[2015] FCAFC 75</w:t>
      </w:r>
      <w:r w:rsidR="00CA7A3A">
        <w:t xml:space="preserve">) and allowed the appellant’s appeal in part: </w:t>
      </w:r>
      <w:r w:rsidR="00CA7A3A" w:rsidRPr="00C84AF8">
        <w:rPr>
          <w:i/>
        </w:rPr>
        <w:t>Luck v Secretary, Department of Human Services</w:t>
      </w:r>
      <w:r w:rsidR="00CA7A3A">
        <w:t xml:space="preserve"> [2015] FCAFC 111</w:t>
      </w:r>
      <w:r w:rsidR="003B00B9">
        <w:t xml:space="preserve"> (</w:t>
      </w:r>
      <w:r w:rsidR="003B00B9" w:rsidRPr="003B00B9">
        <w:rPr>
          <w:b/>
          <w:bCs/>
          <w:i/>
          <w:iCs/>
        </w:rPr>
        <w:t>Luck Full Court</w:t>
      </w:r>
      <w:r w:rsidR="003B00B9" w:rsidRPr="003B00B9">
        <w:rPr>
          <w:b/>
          <w:bCs/>
        </w:rPr>
        <w:t xml:space="preserve"> [2015]</w:t>
      </w:r>
      <w:r w:rsidR="003B00B9">
        <w:t>)</w:t>
      </w:r>
      <w:r w:rsidR="00CA7A3A">
        <w:t xml:space="preserve">. </w:t>
      </w:r>
    </w:p>
    <w:p w14:paraId="56DC5D83" w14:textId="22B7078A" w:rsidR="004F0219" w:rsidRDefault="008702F8" w:rsidP="008702F8">
      <w:pPr>
        <w:pStyle w:val="ParaNumbering"/>
        <w:numPr>
          <w:ilvl w:val="0"/>
          <w:numId w:val="0"/>
        </w:numPr>
        <w:ind w:hanging="720"/>
      </w:pPr>
      <w:r>
        <w:rPr>
          <w:sz w:val="20"/>
        </w:rPr>
        <w:t>10</w:t>
      </w:r>
      <w:r>
        <w:rPr>
          <w:sz w:val="20"/>
        </w:rPr>
        <w:tab/>
      </w:r>
      <w:r w:rsidR="004F0219">
        <w:t xml:space="preserve">As was observed by the Full Court, at [18], shortly after filing her notice of appeal, Ms Luck sought to remove the appeal to the High Court pursuant to s 40 of the </w:t>
      </w:r>
      <w:r w:rsidR="004F0219" w:rsidRPr="003B1E73">
        <w:rPr>
          <w:b/>
          <w:bCs/>
          <w:i/>
          <w:iCs/>
        </w:rPr>
        <w:t>Judiciary Act</w:t>
      </w:r>
      <w:r w:rsidR="004F0219">
        <w:rPr>
          <w:i/>
          <w:iCs/>
        </w:rPr>
        <w:t xml:space="preserve"> 1903 </w:t>
      </w:r>
      <w:r w:rsidR="004F0219">
        <w:t>(</w:t>
      </w:r>
      <w:proofErr w:type="spellStart"/>
      <w:r w:rsidR="004F0219">
        <w:t>Cth</w:t>
      </w:r>
      <w:proofErr w:type="spellEnd"/>
      <w:r w:rsidR="004F0219">
        <w:t xml:space="preserve">). That application was dismissed by the High Court on 13 November 2011: </w:t>
      </w:r>
      <w:r w:rsidR="004F0219" w:rsidRPr="003B1E73">
        <w:rPr>
          <w:i/>
          <w:iCs/>
        </w:rPr>
        <w:t xml:space="preserve">Luck v Federal Court of Australia </w:t>
      </w:r>
      <w:r w:rsidR="004F0219">
        <w:t xml:space="preserve">[2011] </w:t>
      </w:r>
      <w:proofErr w:type="spellStart"/>
      <w:r w:rsidR="004F0219">
        <w:t>HCATrans</w:t>
      </w:r>
      <w:proofErr w:type="spellEnd"/>
      <w:r w:rsidR="004F0219">
        <w:t xml:space="preserve"> 290. Ms Luck’s application to the High Court delayed the hearing of the appeal.</w:t>
      </w:r>
    </w:p>
    <w:p w14:paraId="269F9248" w14:textId="445C445A" w:rsidR="00371E5F" w:rsidRDefault="008702F8" w:rsidP="008702F8">
      <w:pPr>
        <w:pStyle w:val="ParaNumbering"/>
        <w:numPr>
          <w:ilvl w:val="0"/>
          <w:numId w:val="0"/>
        </w:numPr>
        <w:ind w:hanging="720"/>
      </w:pPr>
      <w:r>
        <w:rPr>
          <w:sz w:val="20"/>
        </w:rPr>
        <w:t>11</w:t>
      </w:r>
      <w:r>
        <w:rPr>
          <w:sz w:val="20"/>
        </w:rPr>
        <w:tab/>
      </w:r>
      <w:r w:rsidR="00B650E5">
        <w:t>In allowing the appeal on the question of competency, the Full Court</w:t>
      </w:r>
      <w:r w:rsidR="00371E5F">
        <w:t xml:space="preserve"> identified the questions of law that had been sufficiently raised by the notice of appeal as being:</w:t>
      </w:r>
    </w:p>
    <w:p w14:paraId="64736309" w14:textId="2864F6C9" w:rsidR="00371E5F" w:rsidRDefault="008702F8" w:rsidP="00B813F4">
      <w:pPr>
        <w:pStyle w:val="ListNo1"/>
        <w:numPr>
          <w:ilvl w:val="0"/>
          <w:numId w:val="0"/>
        </w:numPr>
        <w:ind w:left="720" w:hanging="720"/>
      </w:pPr>
      <w:r>
        <w:t>1.</w:t>
      </w:r>
      <w:r>
        <w:tab/>
      </w:r>
      <w:r w:rsidR="00371E5F">
        <w:t>The nature of the Tribunal’s obligations and powers under ss 29 and 37 of the AAT Act, at [49];</w:t>
      </w:r>
    </w:p>
    <w:p w14:paraId="041CAE70" w14:textId="4866BCC7" w:rsidR="00371E5F" w:rsidRDefault="008702F8" w:rsidP="00B813F4">
      <w:pPr>
        <w:pStyle w:val="ListNo1"/>
        <w:numPr>
          <w:ilvl w:val="0"/>
          <w:numId w:val="0"/>
        </w:numPr>
        <w:ind w:left="720" w:hanging="720"/>
      </w:pPr>
      <w:r>
        <w:t>2.</w:t>
      </w:r>
      <w:r>
        <w:tab/>
      </w:r>
      <w:r w:rsidR="00371E5F">
        <w:t>The nature of the Tribunal’s jurisdiction under the FOI Act, including its jurisdiction in relation to deemed decisions, at [49]; and</w:t>
      </w:r>
    </w:p>
    <w:p w14:paraId="5BF84340" w14:textId="44C804A3" w:rsidR="00371E5F" w:rsidRDefault="008702F8" w:rsidP="00B813F4">
      <w:pPr>
        <w:pStyle w:val="ListNo1"/>
        <w:numPr>
          <w:ilvl w:val="0"/>
          <w:numId w:val="0"/>
        </w:numPr>
        <w:ind w:left="720" w:hanging="720"/>
      </w:pPr>
      <w:r>
        <w:t>3.</w:t>
      </w:r>
      <w:r>
        <w:tab/>
      </w:r>
      <w:r w:rsidR="00371E5F">
        <w:t>Whether Ms Luck had been denied procedural fairness, at [50].</w:t>
      </w:r>
    </w:p>
    <w:p w14:paraId="16229976" w14:textId="66FE4C75" w:rsidR="00B05E4D" w:rsidRPr="00B05E4D" w:rsidRDefault="008702F8" w:rsidP="008702F8">
      <w:pPr>
        <w:pStyle w:val="ParaNumbering"/>
        <w:numPr>
          <w:ilvl w:val="0"/>
          <w:numId w:val="0"/>
        </w:numPr>
        <w:ind w:hanging="720"/>
      </w:pPr>
      <w:r w:rsidRPr="00B05E4D">
        <w:rPr>
          <w:sz w:val="20"/>
        </w:rPr>
        <w:lastRenderedPageBreak/>
        <w:t>12</w:t>
      </w:r>
      <w:r w:rsidRPr="00B05E4D">
        <w:rPr>
          <w:sz w:val="20"/>
        </w:rPr>
        <w:tab/>
      </w:r>
      <w:r w:rsidR="00371E5F">
        <w:t xml:space="preserve">Having identified those questions of law, </w:t>
      </w:r>
      <w:r w:rsidR="004F0219">
        <w:t xml:space="preserve">the Full Court </w:t>
      </w:r>
      <w:r w:rsidR="00CA7A3A">
        <w:t xml:space="preserve">remitted </w:t>
      </w:r>
      <w:r w:rsidR="004F0219">
        <w:t xml:space="preserve">the matter </w:t>
      </w:r>
      <w:r w:rsidR="00CA7A3A">
        <w:t xml:space="preserve">for hearing by a single judge of the Federal Court, </w:t>
      </w:r>
      <w:r w:rsidR="00371E5F">
        <w:t xml:space="preserve">limited to </w:t>
      </w:r>
      <w:r w:rsidR="00CA7A3A">
        <w:t>the following three questions</w:t>
      </w:r>
      <w:r w:rsidR="00011AA6">
        <w:t>, as numbered in the notice of appeal dated 4 February 2010</w:t>
      </w:r>
      <w:r w:rsidR="00CA7A3A">
        <w:t>:</w:t>
      </w:r>
    </w:p>
    <w:p w14:paraId="50933713" w14:textId="5AF38AD2" w:rsidR="00011AA6" w:rsidRDefault="00011AA6" w:rsidP="00011AA6">
      <w:pPr>
        <w:pStyle w:val="Quote1"/>
        <w:ind w:left="1437" w:hanging="700"/>
      </w:pPr>
      <w:r w:rsidRPr="00EF77A3">
        <w:t>o.</w:t>
      </w:r>
      <w:r>
        <w:rPr>
          <w:b/>
          <w:bCs/>
          <w:i/>
          <w:iCs/>
        </w:rPr>
        <w:tab/>
      </w:r>
      <w:r>
        <w:t xml:space="preserve">Whether the Tribunal was required to give notice to the respondent under s 29, of the </w:t>
      </w:r>
      <w:r>
        <w:rPr>
          <w:i/>
        </w:rPr>
        <w:t xml:space="preserve">Administrative Appeals Tribunal </w:t>
      </w:r>
      <w:r w:rsidRPr="00A32295">
        <w:t>Act 1975</w:t>
      </w:r>
      <w:r>
        <w:t>, as the decision maker of the decision that was the subject of the applicant’s valid application, to furnish to the applicant the documents pursuant to section 37 of that Act, upon lodgement and filing of the application documents and properly constituting the Tribunal?</w:t>
      </w:r>
    </w:p>
    <w:p w14:paraId="11697061" w14:textId="2AF04085" w:rsidR="008431D3" w:rsidRDefault="00011AA6" w:rsidP="00E7628B">
      <w:pPr>
        <w:pStyle w:val="Quote1"/>
        <w:ind w:left="1437" w:hanging="700"/>
      </w:pPr>
      <w:r>
        <w:t>u.</w:t>
      </w:r>
      <w:r>
        <w:tab/>
      </w:r>
      <w:r w:rsidRPr="007F0DDA">
        <w:t xml:space="preserve">Whether the Administrative Appeals Tribunal had jurisdiction to review the respondent’s decisions made and deemed made in response to the requests made by the applicant pursuant to </w:t>
      </w:r>
      <w:r w:rsidRPr="007F0DDA">
        <w:rPr>
          <w:i/>
        </w:rPr>
        <w:t>section</w:t>
      </w:r>
      <w:r w:rsidRPr="007F0DDA">
        <w:t xml:space="preserve"> </w:t>
      </w:r>
      <w:r w:rsidRPr="007F0DDA">
        <w:rPr>
          <w:i/>
        </w:rPr>
        <w:t>15</w:t>
      </w:r>
      <w:r w:rsidRPr="007F0DDA">
        <w:t xml:space="preserve"> and </w:t>
      </w:r>
      <w:r w:rsidRPr="007F0DDA">
        <w:rPr>
          <w:i/>
        </w:rPr>
        <w:t>25</w:t>
      </w:r>
      <w:r w:rsidRPr="007F0DDA">
        <w:t xml:space="preserve"> of the </w:t>
      </w:r>
      <w:r w:rsidRPr="007F0DDA">
        <w:rPr>
          <w:i/>
        </w:rPr>
        <w:t>Freedom of Information Act 1982 (</w:t>
      </w:r>
      <w:proofErr w:type="spellStart"/>
      <w:r w:rsidRPr="007F0DDA">
        <w:rPr>
          <w:i/>
        </w:rPr>
        <w:t>Cth</w:t>
      </w:r>
      <w:proofErr w:type="spellEnd"/>
      <w:r w:rsidRPr="007F0DDA">
        <w:rPr>
          <w:i/>
        </w:rPr>
        <w:t>)</w:t>
      </w:r>
      <w:r w:rsidRPr="007F0DDA">
        <w:t xml:space="preserve"> on 20 January 2009, 9 February 2009, 16 February 2009, 10 March 2009 and 23 March 2009 and a formal request for an internal review made on 24 March 2009</w:t>
      </w:r>
      <w:r>
        <w:t> </w:t>
      </w:r>
      <w:r w:rsidR="008431D3">
        <w:t>a</w:t>
      </w:r>
      <w:r w:rsidR="009F43B7">
        <w:t>nd</w:t>
      </w:r>
      <w:r w:rsidR="009F0EB1">
        <w:t xml:space="preserve"> a decision</w:t>
      </w:r>
      <w:r w:rsidR="008431D3" w:rsidRPr="008431D3">
        <w:t xml:space="preserve"> </w:t>
      </w:r>
      <w:r w:rsidR="008431D3">
        <w:t>as identified on the valid Application Form lodged with the Tribunal on 16 July 2009, and a decision as identified on the application form, as being made on or about 22 May</w:t>
      </w:r>
      <w:r w:rsidR="008565CC">
        <w:t xml:space="preserve"> </w:t>
      </w:r>
      <w:r w:rsidR="008431D3">
        <w:t>2009, and in respect of further and better particulars for clarification of the matter, provided by the applicant in correspondences to the AAT and the respondent on 4 September 2009, 18 September 2009, 21 October 2009, 22 October 2009, 23 October 2009, 16 November 2009, prior to the decisions made by the Deputy President and the Tribunal; those abovementioned requests were for access to the following documents at an Information Access Office at the nearest possible location to the Applicant’s home address – Documents as defined by Section 4 document (a–e) of Act caused to be published in accordance with Section 9(1)(a–d), (2), (3), (4), (5), (6), (7), (8) and (9) pertaining to the use of, or which are used by, Centrelink and the</w:t>
      </w:r>
      <w:r w:rsidR="009B2472">
        <w:t xml:space="preserve"> </w:t>
      </w:r>
      <w:r w:rsidR="008431D3">
        <w:t xml:space="preserve">Department of Human Services and their officers in making decision or recommendations, under or for the purposes of the enactments the Social </w:t>
      </w:r>
      <w:r w:rsidR="00A534FC">
        <w:t xml:space="preserve">Security </w:t>
      </w:r>
      <w:r w:rsidR="00EC1D12">
        <w:t>Law</w:t>
      </w:r>
      <w:r w:rsidR="006244B1">
        <w:t xml:space="preserve"> </w:t>
      </w:r>
      <w:r w:rsidR="00143071">
        <w:rPr>
          <w:i/>
          <w:iCs/>
          <w:bdr w:val="none" w:sz="0" w:space="0" w:color="auto" w:frame="1"/>
        </w:rPr>
        <w:t>(including all legislation and amendments from 1998 to this date in 2009), Commonwealth Services Delivery Agency Act 1997 (</w:t>
      </w:r>
      <w:proofErr w:type="spellStart"/>
      <w:r w:rsidR="00143071">
        <w:rPr>
          <w:i/>
          <w:iCs/>
          <w:bdr w:val="none" w:sz="0" w:space="0" w:color="auto" w:frame="1"/>
        </w:rPr>
        <w:t>Cth</w:t>
      </w:r>
      <w:proofErr w:type="spellEnd"/>
      <w:r w:rsidR="00143071">
        <w:rPr>
          <w:i/>
          <w:iCs/>
          <w:bdr w:val="none" w:sz="0" w:space="0" w:color="auto" w:frame="1"/>
        </w:rPr>
        <w:t>), Public Service Act 1999 (</w:t>
      </w:r>
      <w:proofErr w:type="spellStart"/>
      <w:r w:rsidR="00143071">
        <w:rPr>
          <w:i/>
          <w:iCs/>
          <w:bdr w:val="none" w:sz="0" w:space="0" w:color="auto" w:frame="1"/>
        </w:rPr>
        <w:t>Cth</w:t>
      </w:r>
      <w:proofErr w:type="spellEnd"/>
      <w:r w:rsidR="00143071">
        <w:rPr>
          <w:i/>
          <w:iCs/>
          <w:bdr w:val="none" w:sz="0" w:space="0" w:color="auto" w:frame="1"/>
        </w:rPr>
        <w:t>), Public Order (Protection of Persons and Property) Act 1971 (</w:t>
      </w:r>
      <w:proofErr w:type="spellStart"/>
      <w:r w:rsidR="00143071">
        <w:rPr>
          <w:i/>
          <w:iCs/>
          <w:bdr w:val="none" w:sz="0" w:space="0" w:color="auto" w:frame="1"/>
        </w:rPr>
        <w:t>Cth</w:t>
      </w:r>
      <w:proofErr w:type="spellEnd"/>
      <w:r w:rsidR="00143071">
        <w:rPr>
          <w:i/>
          <w:iCs/>
          <w:bdr w:val="none" w:sz="0" w:space="0" w:color="auto" w:frame="1"/>
        </w:rPr>
        <w:t>), Data-matching Program (Assistance and Tax) Act 1990, Higher Education Funding Act 1988 (</w:t>
      </w:r>
      <w:proofErr w:type="spellStart"/>
      <w:r w:rsidR="00143071">
        <w:rPr>
          <w:i/>
          <w:iCs/>
          <w:bdr w:val="none" w:sz="0" w:space="0" w:color="auto" w:frame="1"/>
        </w:rPr>
        <w:t>Cth</w:t>
      </w:r>
      <w:proofErr w:type="spellEnd"/>
      <w:r w:rsidR="00143071">
        <w:rPr>
          <w:i/>
          <w:iCs/>
          <w:bdr w:val="none" w:sz="0" w:space="0" w:color="auto" w:frame="1"/>
        </w:rPr>
        <w:t>) (Additional Funding for Disabled Students Programme), the Disability Discrimination Act 1992 and the Disability Services Act 1986 (</w:t>
      </w:r>
      <w:proofErr w:type="spellStart"/>
      <w:r w:rsidR="00143071">
        <w:rPr>
          <w:i/>
          <w:iCs/>
          <w:bdr w:val="none" w:sz="0" w:space="0" w:color="auto" w:frame="1"/>
        </w:rPr>
        <w:t>Cth</w:t>
      </w:r>
      <w:proofErr w:type="spellEnd"/>
      <w:r w:rsidR="00143071">
        <w:rPr>
          <w:i/>
          <w:iCs/>
          <w:bdr w:val="none" w:sz="0" w:space="0" w:color="auto" w:frame="1"/>
        </w:rPr>
        <w:t xml:space="preserve">), University of Southern Queensland Act 1998, Monash University Act 1958, Deakin University Act 1974 (Vic), </w:t>
      </w:r>
      <w:proofErr w:type="spellStart"/>
      <w:r w:rsidR="00143071">
        <w:rPr>
          <w:i/>
          <w:iCs/>
          <w:bdr w:val="none" w:sz="0" w:space="0" w:color="auto" w:frame="1"/>
        </w:rPr>
        <w:t>Austudy</w:t>
      </w:r>
      <w:proofErr w:type="spellEnd"/>
      <w:r w:rsidR="00143071">
        <w:rPr>
          <w:i/>
          <w:iCs/>
          <w:bdr w:val="none" w:sz="0" w:space="0" w:color="auto" w:frame="1"/>
        </w:rPr>
        <w:t xml:space="preserve"> and related schemes administered by Centrelink and Department of Human Services, with respect to rights, privileges or benefits, or to obligations, penalties or other detriments, to which the applicant is or may be entitled or subject – </w:t>
      </w:r>
      <w:r w:rsidR="00143071">
        <w:rPr>
          <w:bdr w:val="none" w:sz="0" w:space="0" w:color="auto" w:frame="1"/>
        </w:rPr>
        <w:t>as per particulars provided on the completed and signed </w:t>
      </w:r>
      <w:r w:rsidR="00143071">
        <w:rPr>
          <w:i/>
          <w:iCs/>
          <w:bdr w:val="none" w:sz="0" w:space="0" w:color="auto" w:frame="1"/>
        </w:rPr>
        <w:t>Administrative Appeals Tribunal Application for Review of Decision</w:t>
      </w:r>
      <w:r w:rsidR="00143071">
        <w:rPr>
          <w:bdr w:val="none" w:sz="0" w:space="0" w:color="auto" w:frame="1"/>
        </w:rPr>
        <w:t> form and attached documents, filed by the Applicant by</w:t>
      </w:r>
      <w:r w:rsidR="006244B1">
        <w:rPr>
          <w:bdr w:val="none" w:sz="0" w:space="0" w:color="auto" w:frame="1"/>
        </w:rPr>
        <w:t xml:space="preserve"> Facsimile on</w:t>
      </w:r>
      <w:r w:rsidR="00A74268">
        <w:rPr>
          <w:bdr w:val="none" w:sz="0" w:space="0" w:color="auto" w:frame="1"/>
        </w:rPr>
        <w:t xml:space="preserve"> 16 July </w:t>
      </w:r>
      <w:r w:rsidR="00440C40">
        <w:rPr>
          <w:bdr w:val="none" w:sz="0" w:space="0" w:color="auto" w:frame="1"/>
        </w:rPr>
        <w:t>2009 in the Victorian District Registry at Melbourne.</w:t>
      </w:r>
    </w:p>
    <w:p w14:paraId="2B9268B6" w14:textId="6D1CB003" w:rsidR="00CA7A3A" w:rsidRDefault="00D86585" w:rsidP="00EF77A3">
      <w:pPr>
        <w:pStyle w:val="Quote1"/>
        <w:ind w:left="1437" w:hanging="700"/>
      </w:pPr>
      <w:proofErr w:type="gramStart"/>
      <w:r>
        <w:t>aa</w:t>
      </w:r>
      <w:proofErr w:type="gramEnd"/>
      <w:r>
        <w:t>.</w:t>
      </w:r>
      <w:r>
        <w:tab/>
        <w:t xml:space="preserve">Whether the applicant was subject to disability discrimination by the Tribunal and the Deputy President in relation to the refusal of the Deputy President to refuse the applicant’s rights to the grant of extensions of time and adjournments of hearings as reasonable adjustments in accordance with the provisions of the </w:t>
      </w:r>
      <w:r>
        <w:rPr>
          <w:i/>
        </w:rPr>
        <w:t>Disability Discrimination Act 1992</w:t>
      </w:r>
      <w:r>
        <w:rPr>
          <w:iCs/>
        </w:rPr>
        <w:t xml:space="preserve"> and the </w:t>
      </w:r>
      <w:r w:rsidRPr="002566E9">
        <w:rPr>
          <w:i/>
        </w:rPr>
        <w:t>Articles of the</w:t>
      </w:r>
      <w:r>
        <w:rPr>
          <w:iCs/>
        </w:rPr>
        <w:t xml:space="preserve"> </w:t>
      </w:r>
      <w:r w:rsidRPr="002566E9">
        <w:rPr>
          <w:i/>
        </w:rPr>
        <w:t>United Nations Convention on the Rights of Persons with Disabilities</w:t>
      </w:r>
      <w:r>
        <w:rPr>
          <w:iCs/>
        </w:rPr>
        <w:t xml:space="preserve">, the </w:t>
      </w:r>
      <w:r w:rsidRPr="002566E9">
        <w:rPr>
          <w:i/>
        </w:rPr>
        <w:t>Australian Human Rights Commission Act 1986</w:t>
      </w:r>
      <w:r>
        <w:rPr>
          <w:iCs/>
        </w:rPr>
        <w:t xml:space="preserve">, the </w:t>
      </w:r>
      <w:r w:rsidRPr="002566E9">
        <w:rPr>
          <w:i/>
        </w:rPr>
        <w:t>Covenants</w:t>
      </w:r>
      <w:r>
        <w:rPr>
          <w:iCs/>
        </w:rPr>
        <w:t xml:space="preserve"> and </w:t>
      </w:r>
      <w:r w:rsidRPr="002566E9">
        <w:rPr>
          <w:i/>
        </w:rPr>
        <w:t xml:space="preserve">Treaties </w:t>
      </w:r>
      <w:r>
        <w:rPr>
          <w:iCs/>
        </w:rPr>
        <w:t xml:space="preserve">scheduled thereto, and the </w:t>
      </w:r>
      <w:r w:rsidRPr="002566E9">
        <w:rPr>
          <w:i/>
        </w:rPr>
        <w:t xml:space="preserve">International Covenant on Civil and Political </w:t>
      </w:r>
      <w:r w:rsidRPr="002566E9">
        <w:rPr>
          <w:i/>
        </w:rPr>
        <w:lastRenderedPageBreak/>
        <w:t>Rights</w:t>
      </w:r>
      <w:r>
        <w:rPr>
          <w:iCs/>
        </w:rPr>
        <w:t>?</w:t>
      </w:r>
    </w:p>
    <w:p w14:paraId="1139684F" w14:textId="7457CA71" w:rsidR="00C81E4B" w:rsidRDefault="008702F8" w:rsidP="008702F8">
      <w:pPr>
        <w:pStyle w:val="ParaNumbering"/>
        <w:numPr>
          <w:ilvl w:val="0"/>
          <w:numId w:val="0"/>
        </w:numPr>
        <w:ind w:hanging="720"/>
      </w:pPr>
      <w:r>
        <w:rPr>
          <w:sz w:val="20"/>
        </w:rPr>
        <w:t>13</w:t>
      </w:r>
      <w:r>
        <w:rPr>
          <w:sz w:val="20"/>
        </w:rPr>
        <w:tab/>
      </w:r>
      <w:r w:rsidR="00371E5F">
        <w:t xml:space="preserve">Neither of those questions </w:t>
      </w:r>
      <w:r w:rsidR="00C55CED">
        <w:t xml:space="preserve">left open the question of breach of the separation </w:t>
      </w:r>
      <w:r w:rsidR="009250A7">
        <w:t xml:space="preserve">of </w:t>
      </w:r>
      <w:r w:rsidR="00C55CED">
        <w:t>powers nor of maladministration of human rights legislation by the Executive. Indeed, the Full Court said, at [58]:</w:t>
      </w:r>
    </w:p>
    <w:p w14:paraId="47E09267" w14:textId="29C54D76" w:rsidR="00C55CED" w:rsidRDefault="00C55CED" w:rsidP="00C81E4B">
      <w:pPr>
        <w:pStyle w:val="Quote1"/>
      </w:pPr>
      <w:r>
        <w:t>The only questions of law to be remitted are questions of law “o”, “u” and “aa”. Those are the matters which should now be determined, against a proper evidentiary base of what occurred in the Tribunal. That limited remitter should not be seen as precluding Ms Luck from seeking leave to amend the questions after consideration of these reasons.</w:t>
      </w:r>
    </w:p>
    <w:p w14:paraId="6F7F1584" w14:textId="0E086D5A" w:rsidR="00C55CED" w:rsidRDefault="008702F8" w:rsidP="008702F8">
      <w:pPr>
        <w:pStyle w:val="ParaNumbering"/>
        <w:numPr>
          <w:ilvl w:val="0"/>
          <w:numId w:val="0"/>
        </w:numPr>
        <w:ind w:hanging="720"/>
      </w:pPr>
      <w:r>
        <w:rPr>
          <w:sz w:val="20"/>
        </w:rPr>
        <w:t>14</w:t>
      </w:r>
      <w:r>
        <w:rPr>
          <w:sz w:val="20"/>
        </w:rPr>
        <w:tab/>
      </w:r>
      <w:r w:rsidR="00C55CED">
        <w:t>No such leave was sought.</w:t>
      </w:r>
    </w:p>
    <w:p w14:paraId="2AC7D0CF" w14:textId="5301FB09" w:rsidR="00CA7A3A" w:rsidRDefault="008702F8" w:rsidP="008702F8">
      <w:pPr>
        <w:pStyle w:val="ParaNumbering"/>
        <w:numPr>
          <w:ilvl w:val="0"/>
          <w:numId w:val="0"/>
        </w:numPr>
        <w:ind w:hanging="720"/>
      </w:pPr>
      <w:r>
        <w:rPr>
          <w:sz w:val="20"/>
        </w:rPr>
        <w:t>15</w:t>
      </w:r>
      <w:r>
        <w:rPr>
          <w:sz w:val="20"/>
        </w:rPr>
        <w:tab/>
      </w:r>
      <w:r w:rsidR="002566E9">
        <w:t>Th</w:t>
      </w:r>
      <w:r w:rsidR="000D606E">
        <w:t xml:space="preserve">e matter was listed before the primary judge. </w:t>
      </w:r>
      <w:r w:rsidR="004668C5">
        <w:t xml:space="preserve">On 23 October 2015, Ms Luck </w:t>
      </w:r>
      <w:r w:rsidR="00CA7A3A">
        <w:t xml:space="preserve">made an application for </w:t>
      </w:r>
      <w:r w:rsidR="00A849D3">
        <w:t>the primary judge’s</w:t>
      </w:r>
      <w:r w:rsidR="00CA7A3A">
        <w:t xml:space="preserve"> recusal, which was heard on 29 October 2015, and refused on 16 February 2016</w:t>
      </w:r>
      <w:r w:rsidR="00C81E4B">
        <w:t xml:space="preserve">: </w:t>
      </w:r>
      <w:r w:rsidR="00C81E4B">
        <w:rPr>
          <w:i/>
        </w:rPr>
        <w:t xml:space="preserve">Luck v Secretary, Department of Human Services (No 3) </w:t>
      </w:r>
      <w:r w:rsidR="00C81E4B">
        <w:t>[2016] FCA 100</w:t>
      </w:r>
      <w:r w:rsidR="00CA7A3A">
        <w:t xml:space="preserve">. </w:t>
      </w:r>
    </w:p>
    <w:p w14:paraId="4EA252A4" w14:textId="7E77BFB2" w:rsidR="00CA7A3A" w:rsidRPr="00770385" w:rsidRDefault="008702F8" w:rsidP="008702F8">
      <w:pPr>
        <w:pStyle w:val="ParaNumbering"/>
        <w:numPr>
          <w:ilvl w:val="0"/>
          <w:numId w:val="0"/>
        </w:numPr>
        <w:ind w:hanging="720"/>
      </w:pPr>
      <w:r w:rsidRPr="00770385">
        <w:rPr>
          <w:sz w:val="20"/>
        </w:rPr>
        <w:t>16</w:t>
      </w:r>
      <w:r w:rsidRPr="00770385">
        <w:rPr>
          <w:sz w:val="20"/>
        </w:rPr>
        <w:tab/>
      </w:r>
      <w:r w:rsidR="00CA7A3A" w:rsidRPr="00770385">
        <w:t xml:space="preserve">On 15 August 2016, </w:t>
      </w:r>
      <w:r w:rsidR="00A849D3" w:rsidRPr="00770385">
        <w:t>the primary judge</w:t>
      </w:r>
      <w:r w:rsidR="00CA7A3A" w:rsidRPr="00770385">
        <w:t xml:space="preserve"> dismissed the appeal</w:t>
      </w:r>
      <w:r w:rsidR="00A93547" w:rsidRPr="00770385">
        <w:t xml:space="preserve"> </w:t>
      </w:r>
      <w:r w:rsidR="0016133E" w:rsidRPr="00770385">
        <w:t>from</w:t>
      </w:r>
      <w:r w:rsidR="00A93547" w:rsidRPr="00770385">
        <w:t xml:space="preserve"> the Tribunal’s decision</w:t>
      </w:r>
      <w:r w:rsidR="00CA7A3A" w:rsidRPr="00770385">
        <w:t xml:space="preserve">, finding against </w:t>
      </w:r>
      <w:r w:rsidR="0016133E" w:rsidRPr="00770385">
        <w:t xml:space="preserve">Ms Luck </w:t>
      </w:r>
      <w:r w:rsidR="00CA7A3A" w:rsidRPr="00770385">
        <w:t>in respect of the three grounds above</w:t>
      </w:r>
      <w:r w:rsidR="00D86585" w:rsidRPr="00770385">
        <w:t xml:space="preserve">: </w:t>
      </w:r>
      <w:r w:rsidR="00D86585" w:rsidRPr="00770385">
        <w:rPr>
          <w:i/>
          <w:iCs/>
        </w:rPr>
        <w:t>Luck (No 4)</w:t>
      </w:r>
      <w:r w:rsidR="00D86585" w:rsidRPr="00770385">
        <w:t xml:space="preserve"> [2016]</w:t>
      </w:r>
      <w:r w:rsidR="00CA7A3A" w:rsidRPr="00770385">
        <w:t xml:space="preserve">. His Honour’s reasons are discussed below at </w:t>
      </w:r>
      <w:r w:rsidR="00CA7A3A" w:rsidRPr="009A475D">
        <w:t>[</w:t>
      </w:r>
      <w:r w:rsidR="009A475D" w:rsidRPr="009A475D">
        <w:t>63]</w:t>
      </w:r>
      <w:r w:rsidR="00DD159D" w:rsidRPr="009A475D">
        <w:t>-</w:t>
      </w:r>
      <w:r w:rsidR="009A475D" w:rsidRPr="009A475D">
        <w:t>[</w:t>
      </w:r>
      <w:r w:rsidR="00DD159D" w:rsidRPr="009A475D">
        <w:t>66</w:t>
      </w:r>
      <w:r w:rsidR="00CA7A3A" w:rsidRPr="009A475D">
        <w:t>].</w:t>
      </w:r>
      <w:r w:rsidR="00CA7A3A" w:rsidRPr="00770385">
        <w:t xml:space="preserve"> </w:t>
      </w:r>
    </w:p>
    <w:p w14:paraId="520AE2B9" w14:textId="77777777" w:rsidR="00964716" w:rsidRPr="0052019D" w:rsidRDefault="00964716" w:rsidP="00964716">
      <w:pPr>
        <w:pStyle w:val="Heading3"/>
      </w:pPr>
      <w:r>
        <w:t>Current appeal to the Full Court and case management by Anderson J</w:t>
      </w:r>
    </w:p>
    <w:p w14:paraId="52E61CC2" w14:textId="1168D9C9" w:rsidR="006452DC" w:rsidRDefault="008702F8" w:rsidP="008702F8">
      <w:pPr>
        <w:pStyle w:val="ParaNumbering"/>
        <w:numPr>
          <w:ilvl w:val="0"/>
          <w:numId w:val="0"/>
        </w:numPr>
        <w:ind w:hanging="720"/>
      </w:pPr>
      <w:r>
        <w:rPr>
          <w:sz w:val="20"/>
        </w:rPr>
        <w:t>17</w:t>
      </w:r>
      <w:r>
        <w:rPr>
          <w:sz w:val="20"/>
        </w:rPr>
        <w:tab/>
      </w:r>
      <w:r w:rsidR="001F2D04">
        <w:t xml:space="preserve">Ms Luck filed a notice of appeal from </w:t>
      </w:r>
      <w:r w:rsidR="00964716">
        <w:t xml:space="preserve">the </w:t>
      </w:r>
      <w:r w:rsidR="001F2D04">
        <w:t>decision</w:t>
      </w:r>
      <w:r w:rsidR="00964716">
        <w:t xml:space="preserve"> in </w:t>
      </w:r>
      <w:r w:rsidR="00964716">
        <w:rPr>
          <w:i/>
        </w:rPr>
        <w:t xml:space="preserve">Luck (No 4) </w:t>
      </w:r>
      <w:r w:rsidR="00964716">
        <w:t>[2016]</w:t>
      </w:r>
      <w:r w:rsidR="001F2D04">
        <w:t xml:space="preserve"> on </w:t>
      </w:r>
      <w:r w:rsidR="009A001B">
        <w:t>2</w:t>
      </w:r>
      <w:r w:rsidR="001F2D04">
        <w:t xml:space="preserve"> September 2016 and, on 22</w:t>
      </w:r>
      <w:r w:rsidR="009A001B">
        <w:t> </w:t>
      </w:r>
      <w:r w:rsidR="001F2D04">
        <w:t xml:space="preserve">September 2016, a notice of a constitutional matter under s 78B of the </w:t>
      </w:r>
      <w:r w:rsidR="001F2D04" w:rsidRPr="006452DC">
        <w:rPr>
          <w:i/>
          <w:iCs/>
        </w:rPr>
        <w:t>Judiciary Act</w:t>
      </w:r>
      <w:r w:rsidR="001F2D04">
        <w:t>. By that notice</w:t>
      </w:r>
      <w:r w:rsidR="00AB7CDC">
        <w:t xml:space="preserve"> of a constitutional matter</w:t>
      </w:r>
      <w:r w:rsidR="001F2D04">
        <w:t>, Ms Luck also made application for removal of part of an appeal cause from the Full Court</w:t>
      </w:r>
      <w:r w:rsidR="00547EDD">
        <w:t xml:space="preserve"> </w:t>
      </w:r>
      <w:r w:rsidR="001F2D04">
        <w:t>to the High Court</w:t>
      </w:r>
      <w:r w:rsidR="001D067C">
        <w:t>.</w:t>
      </w:r>
      <w:r w:rsidR="00594CF2">
        <w:t xml:space="preserve"> </w:t>
      </w:r>
      <w:r w:rsidR="006452DC">
        <w:t xml:space="preserve"> None of the State or Territory Attorneys-General sought to intervene.</w:t>
      </w:r>
    </w:p>
    <w:p w14:paraId="33BF2303" w14:textId="1E9691EC" w:rsidR="00CA7A3A" w:rsidRPr="0052019D" w:rsidRDefault="008702F8" w:rsidP="008702F8">
      <w:pPr>
        <w:pStyle w:val="ParaNumbering"/>
        <w:numPr>
          <w:ilvl w:val="0"/>
          <w:numId w:val="0"/>
        </w:numPr>
        <w:ind w:hanging="720"/>
      </w:pPr>
      <w:r w:rsidRPr="0052019D">
        <w:rPr>
          <w:sz w:val="20"/>
        </w:rPr>
        <w:t>18</w:t>
      </w:r>
      <w:r w:rsidRPr="0052019D">
        <w:rPr>
          <w:sz w:val="20"/>
        </w:rPr>
        <w:tab/>
      </w:r>
      <w:r w:rsidR="004668C5">
        <w:t>In respect of Ms Luck’</w:t>
      </w:r>
      <w:r w:rsidR="00CA7A3A">
        <w:t xml:space="preserve">s notice of appeal, filed 2 September 2016, from the primary judgment </w:t>
      </w:r>
      <w:r w:rsidR="00D86585">
        <w:t xml:space="preserve">in </w:t>
      </w:r>
      <w:r w:rsidR="00CA7A3A" w:rsidRPr="009D00EA">
        <w:rPr>
          <w:i/>
        </w:rPr>
        <w:t>Luck</w:t>
      </w:r>
      <w:r w:rsidR="00D86585">
        <w:rPr>
          <w:i/>
        </w:rPr>
        <w:t xml:space="preserve"> No 4</w:t>
      </w:r>
      <w:r w:rsidR="00CA7A3A">
        <w:t xml:space="preserve"> [</w:t>
      </w:r>
      <w:r w:rsidR="00CA7A3A" w:rsidRPr="009D00EA">
        <w:rPr>
          <w:szCs w:val="24"/>
          <w:bdr w:val="none" w:sz="0" w:space="0" w:color="auto" w:frame="1"/>
          <w:shd w:val="clear" w:color="auto" w:fill="FFFFFF"/>
        </w:rPr>
        <w:t>2016]</w:t>
      </w:r>
      <w:r w:rsidR="00CA7A3A">
        <w:t xml:space="preserve">, the </w:t>
      </w:r>
      <w:r w:rsidR="00CA7A3A">
        <w:rPr>
          <w:szCs w:val="24"/>
          <w:bdr w:val="none" w:sz="0" w:space="0" w:color="auto" w:frame="1"/>
          <w:shd w:val="clear" w:color="auto" w:fill="FFFFFF"/>
        </w:rPr>
        <w:t xml:space="preserve">Full Court was originally constituted as Justices Kerr, </w:t>
      </w:r>
      <w:proofErr w:type="spellStart"/>
      <w:r w:rsidR="00CA7A3A">
        <w:rPr>
          <w:szCs w:val="24"/>
          <w:bdr w:val="none" w:sz="0" w:space="0" w:color="auto" w:frame="1"/>
          <w:shd w:val="clear" w:color="auto" w:fill="FFFFFF"/>
        </w:rPr>
        <w:t>Moshinsky</w:t>
      </w:r>
      <w:proofErr w:type="spellEnd"/>
      <w:r w:rsidR="00CA7A3A">
        <w:rPr>
          <w:szCs w:val="24"/>
          <w:bdr w:val="none" w:sz="0" w:space="0" w:color="auto" w:frame="1"/>
          <w:shd w:val="clear" w:color="auto" w:fill="FFFFFF"/>
        </w:rPr>
        <w:t xml:space="preserve"> and O’Callaghan. </w:t>
      </w:r>
    </w:p>
    <w:p w14:paraId="46AF0BB9" w14:textId="6E466B7D" w:rsidR="00CA7A3A" w:rsidRDefault="008702F8" w:rsidP="008702F8">
      <w:pPr>
        <w:pStyle w:val="ParaNumbering"/>
        <w:numPr>
          <w:ilvl w:val="0"/>
          <w:numId w:val="0"/>
        </w:numPr>
        <w:ind w:hanging="720"/>
      </w:pPr>
      <w:r>
        <w:rPr>
          <w:sz w:val="20"/>
        </w:rPr>
        <w:t>19</w:t>
      </w:r>
      <w:r>
        <w:rPr>
          <w:sz w:val="20"/>
        </w:rPr>
        <w:tab/>
      </w:r>
      <w:r w:rsidR="00CA7A3A">
        <w:t>The matter was referred to Anderson J in October 2019 for determination of certain interlocutory matters and for case management</w:t>
      </w:r>
      <w:r w:rsidR="00407DAD">
        <w:t xml:space="preserve">, prior </w:t>
      </w:r>
      <w:r w:rsidR="008B76C5">
        <w:t xml:space="preserve">to </w:t>
      </w:r>
      <w:r w:rsidR="0016133E">
        <w:t xml:space="preserve">a </w:t>
      </w:r>
      <w:r w:rsidR="00407DAD">
        <w:t>Full Court hearing.</w:t>
      </w:r>
      <w:r w:rsidR="00CA7A3A">
        <w:t xml:space="preserve"> </w:t>
      </w:r>
    </w:p>
    <w:p w14:paraId="446185AF" w14:textId="0B76F94B" w:rsidR="00CA7A3A" w:rsidRDefault="008702F8" w:rsidP="008702F8">
      <w:pPr>
        <w:pStyle w:val="ParaNumbering"/>
        <w:numPr>
          <w:ilvl w:val="0"/>
          <w:numId w:val="0"/>
        </w:numPr>
        <w:ind w:hanging="720"/>
      </w:pPr>
      <w:r>
        <w:rPr>
          <w:sz w:val="20"/>
        </w:rPr>
        <w:t>20</w:t>
      </w:r>
      <w:r>
        <w:rPr>
          <w:sz w:val="20"/>
        </w:rPr>
        <w:tab/>
      </w:r>
      <w:r w:rsidR="00CA7A3A">
        <w:t xml:space="preserve">Justice Anderson conducted a case management hearing on 6 December 2019 and asked the parties to consider the best way to manage all extant interlocutory applications so that the matter could proceed. </w:t>
      </w:r>
    </w:p>
    <w:p w14:paraId="6C525D5E" w14:textId="2C426DB1" w:rsidR="00CA7A3A" w:rsidRDefault="008702F8" w:rsidP="008702F8">
      <w:pPr>
        <w:pStyle w:val="ParaNumbering"/>
        <w:numPr>
          <w:ilvl w:val="0"/>
          <w:numId w:val="0"/>
        </w:numPr>
        <w:ind w:hanging="720"/>
      </w:pPr>
      <w:r>
        <w:rPr>
          <w:sz w:val="20"/>
        </w:rPr>
        <w:lastRenderedPageBreak/>
        <w:t>21</w:t>
      </w:r>
      <w:r>
        <w:rPr>
          <w:sz w:val="20"/>
        </w:rPr>
        <w:tab/>
      </w:r>
      <w:r w:rsidR="00CA7A3A">
        <w:t xml:space="preserve">During the case management hearing on 6 December 2019, </w:t>
      </w:r>
      <w:r w:rsidR="004668C5">
        <w:t>Ms Luck</w:t>
      </w:r>
      <w:r w:rsidR="00CA7A3A">
        <w:t xml:space="preserve"> indicated that she wished the matter to be heard by a Full Court and made an oral application for Anderson J to recuse himself, which his Honour refused (</w:t>
      </w:r>
      <w:r w:rsidR="00CA7A3A" w:rsidRPr="00081298">
        <w:rPr>
          <w:bCs/>
          <w:i/>
        </w:rPr>
        <w:t>Luck</w:t>
      </w:r>
      <w:r w:rsidR="00CA7A3A" w:rsidRPr="00274A62">
        <w:rPr>
          <w:i/>
        </w:rPr>
        <w:t xml:space="preserve"> v Secretary, Department of Human Services</w:t>
      </w:r>
      <w:r w:rsidR="00CA7A3A">
        <w:t xml:space="preserve"> </w:t>
      </w:r>
      <w:r w:rsidR="00CA7A3A" w:rsidRPr="00BC2619">
        <w:rPr>
          <w:i/>
        </w:rPr>
        <w:t>(No 4)</w:t>
      </w:r>
      <w:r w:rsidR="00CA7A3A">
        <w:t xml:space="preserve"> </w:t>
      </w:r>
      <w:r w:rsidR="00CA7A3A" w:rsidRPr="00081298">
        <w:rPr>
          <w:bCs/>
        </w:rPr>
        <w:t>[2019] FCA 2071</w:t>
      </w:r>
      <w:r w:rsidR="00BC2619">
        <w:rPr>
          <w:bCs/>
        </w:rPr>
        <w:t xml:space="preserve"> </w:t>
      </w:r>
      <w:r w:rsidR="00E50184">
        <w:rPr>
          <w:bCs/>
        </w:rPr>
        <w:t>(</w:t>
      </w:r>
      <w:r w:rsidR="00E50184" w:rsidRPr="00EE05B9">
        <w:rPr>
          <w:b/>
          <w:i/>
          <w:iCs/>
        </w:rPr>
        <w:t xml:space="preserve">Luck </w:t>
      </w:r>
      <w:r w:rsidR="00E50184">
        <w:rPr>
          <w:b/>
          <w:i/>
          <w:iCs/>
        </w:rPr>
        <w:t>(</w:t>
      </w:r>
      <w:r w:rsidR="00E50184" w:rsidRPr="00081298">
        <w:rPr>
          <w:b/>
          <w:i/>
          <w:iCs/>
        </w:rPr>
        <w:t>No 4</w:t>
      </w:r>
      <w:r w:rsidR="00E50184">
        <w:rPr>
          <w:b/>
          <w:i/>
          <w:iCs/>
        </w:rPr>
        <w:t>)</w:t>
      </w:r>
      <w:r w:rsidR="00E50184" w:rsidRPr="00EE05B9">
        <w:rPr>
          <w:b/>
        </w:rPr>
        <w:t xml:space="preserve"> [2019]</w:t>
      </w:r>
      <w:r w:rsidR="00E50184">
        <w:rPr>
          <w:bCs/>
        </w:rPr>
        <w:t>)</w:t>
      </w:r>
      <w:r w:rsidR="00CA7A3A">
        <w:t xml:space="preserve">). </w:t>
      </w:r>
    </w:p>
    <w:p w14:paraId="2ED4D456" w14:textId="18B32941" w:rsidR="00CA7A3A" w:rsidRDefault="008702F8" w:rsidP="008702F8">
      <w:pPr>
        <w:pStyle w:val="ParaNumbering"/>
        <w:numPr>
          <w:ilvl w:val="0"/>
          <w:numId w:val="0"/>
        </w:numPr>
        <w:ind w:hanging="720"/>
      </w:pPr>
      <w:r>
        <w:rPr>
          <w:sz w:val="20"/>
        </w:rPr>
        <w:t>22</w:t>
      </w:r>
      <w:r>
        <w:rPr>
          <w:sz w:val="20"/>
        </w:rPr>
        <w:tab/>
      </w:r>
      <w:r w:rsidR="00CA7A3A">
        <w:t xml:space="preserve">As explained by his Honour in </w:t>
      </w:r>
      <w:r w:rsidR="00CA7A3A" w:rsidRPr="00EE05B9">
        <w:rPr>
          <w:i/>
          <w:iCs/>
        </w:rPr>
        <w:t xml:space="preserve">Luck </w:t>
      </w:r>
      <w:r w:rsidR="00E50184" w:rsidRPr="00EE05B9">
        <w:rPr>
          <w:i/>
          <w:iCs/>
        </w:rPr>
        <w:t>(No 4)</w:t>
      </w:r>
      <w:r w:rsidR="00E50184">
        <w:t xml:space="preserve"> [2019] </w:t>
      </w:r>
      <w:r w:rsidR="00CA7A3A">
        <w:t>as to the state of affairs at that point in the proceedings</w:t>
      </w:r>
      <w:r w:rsidR="00E50184">
        <w:t xml:space="preserve"> at [3]-[</w:t>
      </w:r>
      <w:r w:rsidR="00EA70BB">
        <w:t>7</w:t>
      </w:r>
      <w:r w:rsidR="00E50184">
        <w:t>]</w:t>
      </w:r>
      <w:r w:rsidR="00CA7A3A">
        <w:t xml:space="preserve">: </w:t>
      </w:r>
    </w:p>
    <w:p w14:paraId="35E2C461" w14:textId="77777777" w:rsidR="00CA7A3A" w:rsidRDefault="00CA7A3A" w:rsidP="00EF7A06">
      <w:pPr>
        <w:pStyle w:val="Quote1"/>
        <w:ind w:left="1440" w:hanging="703"/>
        <w:rPr>
          <w:lang w:eastAsia="en-AU"/>
        </w:rPr>
      </w:pPr>
      <w:r>
        <w:t xml:space="preserve">3. </w:t>
      </w:r>
      <w:r>
        <w:tab/>
        <w:t>The appeal to the Full Court was commenced by Ms Luck on 3 September 2016. However, as at the date of the publication of these reasons, 9 December 2019, the Full Court is yet to hear the appeal. Thus far, 11 interlocutory applications have formally been filed in the proceeding, ten of which were filed by Ms Luck.</w:t>
      </w:r>
    </w:p>
    <w:p w14:paraId="57948E9C" w14:textId="77777777" w:rsidR="00CA7A3A" w:rsidRDefault="00CA7A3A" w:rsidP="00EF7A06">
      <w:pPr>
        <w:pStyle w:val="Quote1"/>
        <w:ind w:left="1440" w:hanging="703"/>
      </w:pPr>
      <w:r>
        <w:t xml:space="preserve">4. </w:t>
      </w:r>
      <w:r>
        <w:tab/>
        <w:t>There have been three interlocutory decisions of the Court to date in the proceeding. These decisions involved the dismissal of applications by Ms Luck for certain judges to recuse themselves from sitting on the Full Court to hear her appeal:</w:t>
      </w:r>
    </w:p>
    <w:p w14:paraId="792FDA8C" w14:textId="1FC7713B" w:rsidR="00CA7A3A" w:rsidRPr="00EF7A06" w:rsidRDefault="00CA7A3A" w:rsidP="00B14117">
      <w:pPr>
        <w:pStyle w:val="Quote2"/>
        <w:ind w:left="2160" w:hanging="720"/>
        <w:rPr>
          <w:szCs w:val="24"/>
        </w:rPr>
      </w:pPr>
      <w:r>
        <w:t>(a)</w:t>
      </w:r>
      <w:r>
        <w:tab/>
      </w:r>
      <w:proofErr w:type="gramStart"/>
      <w:r>
        <w:t>on</w:t>
      </w:r>
      <w:proofErr w:type="gramEnd"/>
      <w:r>
        <w:t xml:space="preserve"> 18 May 2017, by Kerr J: </w:t>
      </w:r>
      <w:r>
        <w:rPr>
          <w:i/>
          <w:iCs/>
        </w:rPr>
        <w:t>Luck v Secretary, Department of Human Services </w:t>
      </w:r>
      <w:r>
        <w:t>[2017] FCA 54</w:t>
      </w:r>
      <w:r w:rsidRPr="00EF7A06">
        <w:t>0 (</w:t>
      </w:r>
      <w:r w:rsidRPr="00EF7A06">
        <w:rPr>
          <w:bCs/>
        </w:rPr>
        <w:t>Kerr Recusal Decision</w:t>
      </w:r>
      <w:r w:rsidRPr="00EF7A06">
        <w:t>);</w:t>
      </w:r>
    </w:p>
    <w:p w14:paraId="3BE031EF" w14:textId="258F9C9E" w:rsidR="00CA7A3A" w:rsidRPr="00EF7A06" w:rsidRDefault="00CA7A3A" w:rsidP="00B14117">
      <w:pPr>
        <w:pStyle w:val="Quote2"/>
        <w:ind w:left="2160" w:hanging="720"/>
      </w:pPr>
      <w:r w:rsidRPr="00EF7A06">
        <w:t>(b)</w:t>
      </w:r>
      <w:r w:rsidRPr="00EF7A06">
        <w:tab/>
      </w:r>
      <w:proofErr w:type="gramStart"/>
      <w:r w:rsidRPr="00EF7A06">
        <w:t>on</w:t>
      </w:r>
      <w:proofErr w:type="gramEnd"/>
      <w:r w:rsidRPr="00EF7A06">
        <w:t xml:space="preserve"> 18 August 2019, by Snaden J: </w:t>
      </w:r>
      <w:r w:rsidRPr="00EF7A06">
        <w:rPr>
          <w:i/>
          <w:iCs/>
        </w:rPr>
        <w:t>Luck v Secretary, Department of Human Services (No 2) </w:t>
      </w:r>
      <w:r w:rsidRPr="00EF7A06">
        <w:t>[2019] FCA 1290 (</w:t>
      </w:r>
      <w:r w:rsidRPr="00EF7A06">
        <w:rPr>
          <w:bCs/>
        </w:rPr>
        <w:t>Snaden</w:t>
      </w:r>
      <w:r w:rsidR="00745E7D" w:rsidRPr="00EF7A06">
        <w:rPr>
          <w:bCs/>
        </w:rPr>
        <w:t xml:space="preserve"> </w:t>
      </w:r>
      <w:r w:rsidRPr="00EF7A06">
        <w:rPr>
          <w:bCs/>
        </w:rPr>
        <w:t>Recusal Decision</w:t>
      </w:r>
      <w:r w:rsidRPr="00EF7A06">
        <w:t>); and</w:t>
      </w:r>
    </w:p>
    <w:p w14:paraId="0DD0646D" w14:textId="0C9B3753" w:rsidR="00FE33BC" w:rsidRDefault="00CA7A3A" w:rsidP="00B14117">
      <w:pPr>
        <w:pStyle w:val="Quote2"/>
        <w:ind w:left="2160" w:hanging="720"/>
      </w:pPr>
      <w:r w:rsidRPr="00EF7A06">
        <w:t>(c)</w:t>
      </w:r>
      <w:r w:rsidRPr="00EF7A06">
        <w:tab/>
      </w:r>
      <w:proofErr w:type="gramStart"/>
      <w:r w:rsidRPr="00EF7A06">
        <w:t>on</w:t>
      </w:r>
      <w:proofErr w:type="gramEnd"/>
      <w:r w:rsidRPr="00EF7A06">
        <w:t xml:space="preserve"> 18 August 2019, by O’Callaghan J: </w:t>
      </w:r>
      <w:r w:rsidRPr="00EF7A06">
        <w:rPr>
          <w:i/>
          <w:iCs/>
        </w:rPr>
        <w:t>Luck v Secretary, Department of Human Services (No 3) </w:t>
      </w:r>
      <w:r w:rsidRPr="00EF7A06">
        <w:t>[2019] FCA 1335 (</w:t>
      </w:r>
      <w:r w:rsidRPr="00EF7A06">
        <w:rPr>
          <w:bCs/>
        </w:rPr>
        <w:t>O’Callaghan Recusal Decision</w:t>
      </w:r>
      <w:r w:rsidRPr="00EF7A06">
        <w:t>).</w:t>
      </w:r>
    </w:p>
    <w:p w14:paraId="0E112C11" w14:textId="77777777" w:rsidR="002336A9" w:rsidRPr="006D259D" w:rsidRDefault="002336A9" w:rsidP="002336A9">
      <w:pPr>
        <w:pStyle w:val="Quote1"/>
        <w:rPr>
          <w:b/>
        </w:rPr>
      </w:pPr>
      <w:r w:rsidRPr="006D259D">
        <w:rPr>
          <w:b/>
        </w:rPr>
        <w:t>Outstanding interlocutory applications</w:t>
      </w:r>
    </w:p>
    <w:p w14:paraId="43D437C1" w14:textId="77777777" w:rsidR="002336A9" w:rsidRDefault="002336A9" w:rsidP="00EF7A06">
      <w:pPr>
        <w:pStyle w:val="Quote1"/>
        <w:ind w:left="1440" w:hanging="703"/>
      </w:pPr>
      <w:r>
        <w:t>5</w:t>
      </w:r>
      <w:r>
        <w:tab/>
        <w:t>My immediate role in this proceeding is to case manage, and, where appropriate, determine, the eight interlocutory applications outstanding in the proceeding.  Seven of the outstanding interlocutory applications were made by Ms Luck.  They comprise the following:</w:t>
      </w:r>
    </w:p>
    <w:p w14:paraId="3F6BCE11" w14:textId="77777777" w:rsidR="002336A9" w:rsidRDefault="002336A9" w:rsidP="006D259D">
      <w:pPr>
        <w:pStyle w:val="Quote2"/>
        <w:ind w:left="2160" w:hanging="720"/>
      </w:pPr>
      <w:r>
        <w:t>(1)</w:t>
      </w:r>
      <w:r>
        <w:tab/>
      </w:r>
      <w:proofErr w:type="gramStart"/>
      <w:r>
        <w:t>interlocutory</w:t>
      </w:r>
      <w:proofErr w:type="gramEnd"/>
      <w:r>
        <w:t xml:space="preserve"> application dated 15 May 2019, which seeks orders granting:</w:t>
      </w:r>
    </w:p>
    <w:p w14:paraId="25CD2BAF" w14:textId="77777777" w:rsidR="002336A9" w:rsidRDefault="002336A9" w:rsidP="00B14117">
      <w:pPr>
        <w:pStyle w:val="Quote3"/>
        <w:ind w:left="2880" w:hanging="720"/>
      </w:pPr>
      <w:r>
        <w:t>(a)</w:t>
      </w:r>
      <w:r>
        <w:tab/>
      </w:r>
      <w:proofErr w:type="gramStart"/>
      <w:r>
        <w:t>leave</w:t>
      </w:r>
      <w:proofErr w:type="gramEnd"/>
      <w:r>
        <w:t xml:space="preserve"> to appeal the Kerr Recusal Decision; and</w:t>
      </w:r>
    </w:p>
    <w:p w14:paraId="4B119351" w14:textId="77777777" w:rsidR="002336A9" w:rsidRDefault="002336A9" w:rsidP="00B14117">
      <w:pPr>
        <w:pStyle w:val="Quote3"/>
        <w:ind w:left="2880" w:hanging="720"/>
      </w:pPr>
      <w:r>
        <w:t>(b)</w:t>
      </w:r>
      <w:r>
        <w:tab/>
      </w:r>
      <w:proofErr w:type="gramStart"/>
      <w:r>
        <w:t>an</w:t>
      </w:r>
      <w:proofErr w:type="gramEnd"/>
      <w:r>
        <w:t xml:space="preserve"> extension of time to comply with procedural orders (for the filing of submissions and a list of authorities and legislation) made by </w:t>
      </w:r>
      <w:proofErr w:type="spellStart"/>
      <w:r>
        <w:t>Moshinsky</w:t>
      </w:r>
      <w:proofErr w:type="spellEnd"/>
      <w:r>
        <w:t xml:space="preserve"> J on 19 May 2017;</w:t>
      </w:r>
    </w:p>
    <w:p w14:paraId="7C4D73D9" w14:textId="77777777" w:rsidR="002336A9" w:rsidRDefault="002336A9" w:rsidP="006D259D">
      <w:pPr>
        <w:pStyle w:val="Quote2"/>
        <w:ind w:left="2160" w:hanging="720"/>
      </w:pPr>
      <w:r>
        <w:t>(2)</w:t>
      </w:r>
      <w:r>
        <w:tab/>
      </w:r>
      <w:proofErr w:type="gramStart"/>
      <w:r>
        <w:t>interlocutory</w:t>
      </w:r>
      <w:proofErr w:type="gramEnd"/>
      <w:r>
        <w:t xml:space="preserve"> application dated 5 July 2019, which seeks an order amending the orders of </w:t>
      </w:r>
      <w:proofErr w:type="spellStart"/>
      <w:r>
        <w:t>Moshinsky</w:t>
      </w:r>
      <w:proofErr w:type="spellEnd"/>
      <w:r>
        <w:t xml:space="preserve"> J made on 25 June 2019 such that the Full Court would hear Ms Luck’s application for leave to appeal the Kerr Recusal Decision;</w:t>
      </w:r>
    </w:p>
    <w:p w14:paraId="42623B7A" w14:textId="77777777" w:rsidR="002336A9" w:rsidRDefault="002336A9" w:rsidP="006D259D">
      <w:pPr>
        <w:pStyle w:val="Quote2"/>
        <w:ind w:left="2160" w:hanging="720"/>
      </w:pPr>
      <w:r>
        <w:t>(3)</w:t>
      </w:r>
      <w:r>
        <w:tab/>
      </w:r>
      <w:proofErr w:type="gramStart"/>
      <w:r>
        <w:t>interlocutory</w:t>
      </w:r>
      <w:proofErr w:type="gramEnd"/>
      <w:r>
        <w:t xml:space="preserve"> application dated 24 July 2019, which seeks an order, amongst others, that the Commonwealth Attorney-General be joined to the proceeding;</w:t>
      </w:r>
    </w:p>
    <w:p w14:paraId="4D9083AC" w14:textId="77777777" w:rsidR="002336A9" w:rsidRDefault="002336A9" w:rsidP="006D259D">
      <w:pPr>
        <w:pStyle w:val="Quote2"/>
        <w:ind w:left="2160" w:hanging="720"/>
      </w:pPr>
      <w:r>
        <w:lastRenderedPageBreak/>
        <w:t>(4)</w:t>
      </w:r>
      <w:r>
        <w:tab/>
      </w:r>
      <w:proofErr w:type="gramStart"/>
      <w:r>
        <w:t>interlocutory</w:t>
      </w:r>
      <w:proofErr w:type="gramEnd"/>
      <w:r>
        <w:t xml:space="preserve"> application dated 1 August 2019, which seeks an order that the Commonwealth of Australia be joined to the proceeding;</w:t>
      </w:r>
    </w:p>
    <w:p w14:paraId="3C183AD8" w14:textId="77777777" w:rsidR="002336A9" w:rsidRDefault="002336A9" w:rsidP="006D259D">
      <w:pPr>
        <w:pStyle w:val="Quote2"/>
        <w:ind w:left="2160" w:hanging="720"/>
      </w:pPr>
      <w:r>
        <w:t>(5)</w:t>
      </w:r>
      <w:r>
        <w:tab/>
      </w:r>
      <w:proofErr w:type="gramStart"/>
      <w:r>
        <w:t>application</w:t>
      </w:r>
      <w:proofErr w:type="gramEnd"/>
      <w:r>
        <w:t xml:space="preserve"> to amend Ms Luck’s notice of appeal, as identified in paragraph 16 of Ms Luck’s written submissions dated 12 August 2019;</w:t>
      </w:r>
    </w:p>
    <w:p w14:paraId="089656C0" w14:textId="77777777" w:rsidR="002336A9" w:rsidRDefault="002336A9" w:rsidP="006D259D">
      <w:pPr>
        <w:pStyle w:val="Quote2"/>
        <w:ind w:left="2160" w:hanging="720"/>
      </w:pPr>
      <w:r>
        <w:t>(6)</w:t>
      </w:r>
      <w:r>
        <w:tab/>
      </w:r>
      <w:proofErr w:type="gramStart"/>
      <w:r>
        <w:t>interlocutory</w:t>
      </w:r>
      <w:proofErr w:type="gramEnd"/>
      <w:r>
        <w:t xml:space="preserve"> application dated 21 August 2019, which seeks a declaration that Ms Luck has been denied natural justice and orders granting:</w:t>
      </w:r>
    </w:p>
    <w:p w14:paraId="0A8AB4E8" w14:textId="77777777" w:rsidR="002336A9" w:rsidRDefault="002336A9" w:rsidP="00B14117">
      <w:pPr>
        <w:pStyle w:val="Quote3"/>
        <w:ind w:left="2880" w:hanging="720"/>
      </w:pPr>
      <w:r>
        <w:t>(a)</w:t>
      </w:r>
      <w:r>
        <w:tab/>
      </w:r>
      <w:proofErr w:type="gramStart"/>
      <w:r>
        <w:t>leave</w:t>
      </w:r>
      <w:proofErr w:type="gramEnd"/>
      <w:r>
        <w:t xml:space="preserve"> to appeal the O’Callaghan Recusal Decision;</w:t>
      </w:r>
    </w:p>
    <w:p w14:paraId="064AE1C1" w14:textId="77777777" w:rsidR="002336A9" w:rsidRDefault="002336A9" w:rsidP="00B14117">
      <w:pPr>
        <w:pStyle w:val="Quote3"/>
        <w:ind w:left="2880" w:hanging="720"/>
      </w:pPr>
      <w:r>
        <w:t>(b)</w:t>
      </w:r>
      <w:r>
        <w:tab/>
      </w:r>
      <w:proofErr w:type="gramStart"/>
      <w:r>
        <w:t>leave</w:t>
      </w:r>
      <w:proofErr w:type="gramEnd"/>
      <w:r>
        <w:t xml:space="preserve"> to appeal the Snaden Recusal Decision;</w:t>
      </w:r>
    </w:p>
    <w:p w14:paraId="01C368CE" w14:textId="77777777" w:rsidR="002336A9" w:rsidRDefault="002336A9" w:rsidP="00B14117">
      <w:pPr>
        <w:pStyle w:val="Quote3"/>
        <w:ind w:left="2880" w:hanging="720"/>
      </w:pPr>
      <w:r>
        <w:t>(c)</w:t>
      </w:r>
      <w:r>
        <w:tab/>
      </w:r>
      <w:proofErr w:type="gramStart"/>
      <w:r>
        <w:t>the</w:t>
      </w:r>
      <w:proofErr w:type="gramEnd"/>
      <w:r>
        <w:t xml:space="preserve"> joinder of the Principal Registrar of the Federal Court to the proceeding;</w:t>
      </w:r>
    </w:p>
    <w:p w14:paraId="40986973" w14:textId="77777777" w:rsidR="002336A9" w:rsidRDefault="002336A9" w:rsidP="00B14117">
      <w:pPr>
        <w:pStyle w:val="Quote3"/>
        <w:ind w:left="2880" w:hanging="720"/>
      </w:pPr>
      <w:r>
        <w:t>(d)</w:t>
      </w:r>
      <w:r>
        <w:tab/>
      </w:r>
      <w:proofErr w:type="gramStart"/>
      <w:r>
        <w:t>the</w:t>
      </w:r>
      <w:proofErr w:type="gramEnd"/>
      <w:r>
        <w:t xml:space="preserve"> joinder of the Chief Executive Officer of the Federal Court to the proceeding; and</w:t>
      </w:r>
    </w:p>
    <w:p w14:paraId="3212269D" w14:textId="77777777" w:rsidR="002336A9" w:rsidRDefault="002336A9" w:rsidP="006D259D">
      <w:pPr>
        <w:pStyle w:val="Quote2"/>
        <w:ind w:left="2160" w:hanging="720"/>
      </w:pPr>
      <w:r>
        <w:t>(7)</w:t>
      </w:r>
      <w:r>
        <w:tab/>
      </w:r>
      <w:proofErr w:type="gramStart"/>
      <w:r>
        <w:t>interlocutory</w:t>
      </w:r>
      <w:proofErr w:type="gramEnd"/>
      <w:r>
        <w:t xml:space="preserve"> application dated 21 November 2019, which seeks orders that:</w:t>
      </w:r>
    </w:p>
    <w:p w14:paraId="7D602A9A" w14:textId="77777777" w:rsidR="002336A9" w:rsidRDefault="002336A9" w:rsidP="006D259D">
      <w:pPr>
        <w:pStyle w:val="Quote3"/>
      </w:pPr>
      <w:r>
        <w:t>(a)</w:t>
      </w:r>
      <w:r>
        <w:tab/>
      </w:r>
      <w:proofErr w:type="gramStart"/>
      <w:r>
        <w:t>the</w:t>
      </w:r>
      <w:proofErr w:type="gramEnd"/>
      <w:r>
        <w:t xml:space="preserve"> Full Court hear and determine:</w:t>
      </w:r>
    </w:p>
    <w:p w14:paraId="6D4F406A" w14:textId="77777777" w:rsidR="002336A9" w:rsidRDefault="002336A9" w:rsidP="00B14117">
      <w:pPr>
        <w:pStyle w:val="Quote4"/>
        <w:ind w:left="3600" w:hanging="720"/>
      </w:pPr>
      <w:r>
        <w:t>(</w:t>
      </w:r>
      <w:proofErr w:type="spellStart"/>
      <w:r>
        <w:t>i</w:t>
      </w:r>
      <w:proofErr w:type="spellEnd"/>
      <w:r>
        <w:t>)</w:t>
      </w:r>
      <w:r>
        <w:tab/>
      </w:r>
      <w:proofErr w:type="gramStart"/>
      <w:r>
        <w:t>each</w:t>
      </w:r>
      <w:proofErr w:type="gramEnd"/>
      <w:r>
        <w:t xml:space="preserve"> of the applications set out above; and </w:t>
      </w:r>
    </w:p>
    <w:p w14:paraId="1467270F" w14:textId="77777777" w:rsidR="002336A9" w:rsidRDefault="002336A9" w:rsidP="00B14117">
      <w:pPr>
        <w:pStyle w:val="Quote4"/>
        <w:ind w:left="3600" w:hanging="720"/>
      </w:pPr>
      <w:r>
        <w:t>(ii)</w:t>
      </w:r>
      <w:r>
        <w:tab/>
      </w:r>
      <w:proofErr w:type="gramStart"/>
      <w:r>
        <w:t>an</w:t>
      </w:r>
      <w:proofErr w:type="gramEnd"/>
      <w:r>
        <w:t xml:space="preserve"> application by Ms Luck for a declaration that her appeal was commenced by her in relation to “a personal injury or wrong” done to her for the purposes of s 60(4)(a) of the Bankruptcy Act 1966 (</w:t>
      </w:r>
      <w:proofErr w:type="spellStart"/>
      <w:r>
        <w:t>Cth</w:t>
      </w:r>
      <w:proofErr w:type="spellEnd"/>
      <w:r>
        <w:t>); and</w:t>
      </w:r>
    </w:p>
    <w:p w14:paraId="54522A5D" w14:textId="77777777" w:rsidR="002336A9" w:rsidRDefault="002336A9" w:rsidP="006D259D">
      <w:pPr>
        <w:pStyle w:val="Quote3"/>
        <w:ind w:left="2880" w:hanging="720"/>
      </w:pPr>
      <w:r>
        <w:t>(b)</w:t>
      </w:r>
      <w:r>
        <w:tab/>
      </w:r>
      <w:proofErr w:type="gramStart"/>
      <w:r>
        <w:t>my</w:t>
      </w:r>
      <w:proofErr w:type="gramEnd"/>
      <w:r>
        <w:t xml:space="preserve"> recusal from this proceeding should I not determine her interlocutory application dated 21 November 2019 without taking further submissions from the parties.</w:t>
      </w:r>
    </w:p>
    <w:p w14:paraId="5E0A7F9F" w14:textId="6B3D5F17" w:rsidR="002336A9" w:rsidRDefault="002336A9" w:rsidP="00EF7A06">
      <w:pPr>
        <w:pStyle w:val="Quote1"/>
        <w:ind w:left="1440" w:hanging="703"/>
      </w:pPr>
      <w:r>
        <w:t>6</w:t>
      </w:r>
      <w:r>
        <w:tab/>
        <w:t>On 4 December 2019, the first respondent, the Secretary of the Department of Human Services (Secretary), lodged her own interlocutory application.  It relevantly seeks the dismissal of Ms Luck’s appeal from the decision of Bromberg J on the basis of a want of prosecution or, alternatively, on a summary basis.</w:t>
      </w:r>
    </w:p>
    <w:p w14:paraId="2C75EC0B" w14:textId="73947EC7" w:rsidR="00544F7B" w:rsidRDefault="00544F7B" w:rsidP="00EF7A06">
      <w:pPr>
        <w:pStyle w:val="Quote1"/>
        <w:ind w:left="1440" w:hanging="703"/>
      </w:pPr>
      <w:r w:rsidRPr="00544F7B">
        <w:t>7</w:t>
      </w:r>
      <w:r w:rsidRPr="00544F7B">
        <w:tab/>
        <w:t xml:space="preserve">A case management hearing was listed on 6 December 2019 for the parties to address me on procedural orders in advance of the consideration and determination of these interlocutory applications.  In advance of the hearing, Ms Luck provided to the Court a minute of proposed orders in which she sought an order from me that the Full Court itself hear the interlocutory applications made by her in the proceeding.  The Secretary had also provided a minute of proposed orders in which she proposed certain procedural orders in relation to the hearing of outstanding interlocutory applications by a single judge of the Court.  </w:t>
      </w:r>
    </w:p>
    <w:p w14:paraId="48EDA154" w14:textId="6677B04B" w:rsidR="00CA7A3A" w:rsidRDefault="008702F8" w:rsidP="008702F8">
      <w:pPr>
        <w:pStyle w:val="ParaNumbering"/>
        <w:numPr>
          <w:ilvl w:val="0"/>
          <w:numId w:val="0"/>
        </w:numPr>
        <w:ind w:hanging="720"/>
      </w:pPr>
      <w:r>
        <w:rPr>
          <w:sz w:val="20"/>
        </w:rPr>
        <w:t>23</w:t>
      </w:r>
      <w:r>
        <w:rPr>
          <w:sz w:val="20"/>
        </w:rPr>
        <w:tab/>
      </w:r>
      <w:r w:rsidR="00CA7A3A">
        <w:t>Following the case management hearing</w:t>
      </w:r>
      <w:r w:rsidR="002336A9">
        <w:t xml:space="preserve"> on 6 December 2019</w:t>
      </w:r>
      <w:r w:rsidR="00CA7A3A">
        <w:t xml:space="preserve">, Anderson J made orders listing all extant interlocutory applications for hearing </w:t>
      </w:r>
      <w:r w:rsidR="00544F7B">
        <w:t xml:space="preserve">by his Honour </w:t>
      </w:r>
      <w:r w:rsidR="00CA7A3A">
        <w:t xml:space="preserve">on 6 April 2020. </w:t>
      </w:r>
    </w:p>
    <w:p w14:paraId="5F52FA17" w14:textId="78BC2F83" w:rsidR="00CA7A3A" w:rsidRDefault="008702F8" w:rsidP="008702F8">
      <w:pPr>
        <w:pStyle w:val="ParaNumbering"/>
        <w:numPr>
          <w:ilvl w:val="0"/>
          <w:numId w:val="0"/>
        </w:numPr>
        <w:ind w:hanging="720"/>
      </w:pPr>
      <w:r>
        <w:rPr>
          <w:sz w:val="20"/>
        </w:rPr>
        <w:t>24</w:t>
      </w:r>
      <w:r>
        <w:rPr>
          <w:sz w:val="20"/>
        </w:rPr>
        <w:tab/>
      </w:r>
      <w:r w:rsidR="0016133E">
        <w:t xml:space="preserve">Ms Luck </w:t>
      </w:r>
      <w:r w:rsidR="00CA7A3A">
        <w:t xml:space="preserve">then </w:t>
      </w:r>
      <w:r w:rsidR="0094290A">
        <w:t xml:space="preserve">filed </w:t>
      </w:r>
      <w:r w:rsidR="00CA7A3A">
        <w:t>an application</w:t>
      </w:r>
      <w:r w:rsidR="0094290A">
        <w:t xml:space="preserve"> on</w:t>
      </w:r>
      <w:r w:rsidR="00CA7A3A">
        <w:t xml:space="preserve"> 19 December 2019 seeking leave to appeal Anderson J’s decision not to recuse himself and seeking </w:t>
      </w:r>
      <w:proofErr w:type="spellStart"/>
      <w:r w:rsidR="00CA7A3A">
        <w:t>Moshinsky</w:t>
      </w:r>
      <w:proofErr w:type="spellEnd"/>
      <w:r w:rsidR="00CA7A3A">
        <w:t xml:space="preserve"> J’s recusal</w:t>
      </w:r>
      <w:r w:rsidR="0094290A">
        <w:t xml:space="preserve">. She also </w:t>
      </w:r>
      <w:r w:rsidR="00CA7A3A">
        <w:t xml:space="preserve">requested in written </w:t>
      </w:r>
      <w:r w:rsidR="00CA7A3A">
        <w:lastRenderedPageBreak/>
        <w:t xml:space="preserve">correspondence to the Court that the hearing </w:t>
      </w:r>
      <w:r w:rsidR="00B56D2D">
        <w:t xml:space="preserve">scheduled for 6 April 2020 </w:t>
      </w:r>
      <w:r w:rsidR="00CA7A3A">
        <w:t xml:space="preserve">be vacated and all matters be heard by a Full Court. </w:t>
      </w:r>
    </w:p>
    <w:p w14:paraId="616C6E44" w14:textId="24D7754F" w:rsidR="00CA7A3A" w:rsidRDefault="008702F8" w:rsidP="008702F8">
      <w:pPr>
        <w:pStyle w:val="ParaNumbering"/>
        <w:numPr>
          <w:ilvl w:val="0"/>
          <w:numId w:val="0"/>
        </w:numPr>
        <w:ind w:hanging="720"/>
      </w:pPr>
      <w:r>
        <w:rPr>
          <w:sz w:val="20"/>
        </w:rPr>
        <w:t>25</w:t>
      </w:r>
      <w:r>
        <w:rPr>
          <w:sz w:val="20"/>
        </w:rPr>
        <w:tab/>
      </w:r>
      <w:r w:rsidR="004668C5">
        <w:t>Ms Luck</w:t>
      </w:r>
      <w:r w:rsidR="00EF7A06">
        <w:t xml:space="preserve"> lodge</w:t>
      </w:r>
      <w:r w:rsidR="00CA7A3A">
        <w:t>d a further interlocutory application on 9 March 2020 (signed 10 March 2020) seeking that the 6 April 2020 hearing date be vacated, and the proceedings be stayed pending the hearing an</w:t>
      </w:r>
      <w:r w:rsidR="004668C5">
        <w:t>d determination of Ms Luck</w:t>
      </w:r>
      <w:r w:rsidR="00CA7A3A">
        <w:t xml:space="preserve">’s application for leave to appeal in the High Court. </w:t>
      </w:r>
    </w:p>
    <w:p w14:paraId="17CF0B7C" w14:textId="17048E65" w:rsidR="00CA7A3A" w:rsidRDefault="008702F8" w:rsidP="008702F8">
      <w:pPr>
        <w:pStyle w:val="ParaNumbering"/>
        <w:numPr>
          <w:ilvl w:val="0"/>
          <w:numId w:val="0"/>
        </w:numPr>
        <w:ind w:hanging="720"/>
      </w:pPr>
      <w:r>
        <w:rPr>
          <w:sz w:val="20"/>
        </w:rPr>
        <w:t>26</w:t>
      </w:r>
      <w:r>
        <w:rPr>
          <w:sz w:val="20"/>
        </w:rPr>
        <w:tab/>
      </w:r>
      <w:r w:rsidR="00CA7A3A">
        <w:t xml:space="preserve">In March 2020, Anderson J recommended that the proceedings be dealt with by a Full Court.  </w:t>
      </w:r>
    </w:p>
    <w:p w14:paraId="7CF85348" w14:textId="7988FAA5" w:rsidR="00CA7A3A" w:rsidRDefault="008702F8" w:rsidP="008702F8">
      <w:pPr>
        <w:pStyle w:val="ParaNumbering"/>
        <w:numPr>
          <w:ilvl w:val="0"/>
          <w:numId w:val="0"/>
        </w:numPr>
        <w:ind w:hanging="720"/>
      </w:pPr>
      <w:r>
        <w:rPr>
          <w:sz w:val="20"/>
        </w:rPr>
        <w:t>27</w:t>
      </w:r>
      <w:r>
        <w:rPr>
          <w:sz w:val="20"/>
        </w:rPr>
        <w:tab/>
      </w:r>
      <w:r w:rsidR="002043F5">
        <w:t>Ms Luck</w:t>
      </w:r>
      <w:r w:rsidR="00EF7A06">
        <w:t xml:space="preserve"> lodge</w:t>
      </w:r>
      <w:r w:rsidR="00CA7A3A">
        <w:t xml:space="preserve">d a further interlocutory application on </w:t>
      </w:r>
      <w:r w:rsidR="00E345A5">
        <w:t>12</w:t>
      </w:r>
      <w:r w:rsidR="00CA7A3A">
        <w:t xml:space="preserve"> May 2021 to the same effect </w:t>
      </w:r>
      <w:r w:rsidR="00E50184">
        <w:t>as</w:t>
      </w:r>
      <w:r w:rsidR="00CA7A3A">
        <w:t xml:space="preserve"> the 9</w:t>
      </w:r>
      <w:r w:rsidR="00544F7B">
        <w:t> </w:t>
      </w:r>
      <w:r w:rsidR="00CA7A3A">
        <w:t xml:space="preserve">March 2020 interlocutory application. </w:t>
      </w:r>
    </w:p>
    <w:p w14:paraId="096127F7" w14:textId="7CA8F9ED" w:rsidR="005941B9" w:rsidRDefault="008702F8" w:rsidP="008702F8">
      <w:pPr>
        <w:pStyle w:val="ParaNumbering"/>
        <w:numPr>
          <w:ilvl w:val="0"/>
          <w:numId w:val="0"/>
        </w:numPr>
        <w:ind w:hanging="720"/>
      </w:pPr>
      <w:r>
        <w:rPr>
          <w:sz w:val="20"/>
        </w:rPr>
        <w:t>28</w:t>
      </w:r>
      <w:r>
        <w:rPr>
          <w:sz w:val="20"/>
        </w:rPr>
        <w:tab/>
      </w:r>
      <w:r w:rsidR="00CA7A3A">
        <w:t>Since then, the matter has been status checked on occasion for listing in a Full Court sitting period, but it has not been possible to list it until November 2022 before us.</w:t>
      </w:r>
    </w:p>
    <w:p w14:paraId="00801BE4" w14:textId="4D241791" w:rsidR="00E56281" w:rsidRDefault="008702F8" w:rsidP="008702F8">
      <w:pPr>
        <w:pStyle w:val="ParaNumbering"/>
        <w:numPr>
          <w:ilvl w:val="0"/>
          <w:numId w:val="0"/>
        </w:numPr>
        <w:ind w:hanging="720"/>
      </w:pPr>
      <w:r>
        <w:rPr>
          <w:sz w:val="20"/>
        </w:rPr>
        <w:t>29</w:t>
      </w:r>
      <w:r>
        <w:rPr>
          <w:sz w:val="20"/>
        </w:rPr>
        <w:tab/>
      </w:r>
      <w:r w:rsidR="00E56281">
        <w:t>At the conclusion of the hearing before us, Ms Luck was given leave to file supplementary submissions</w:t>
      </w:r>
      <w:r w:rsidR="004A0C8A">
        <w:t>, which she did on 28 November 2022. To the extent that those submissions raised</w:t>
      </w:r>
      <w:r w:rsidR="00547EDD">
        <w:t>,</w:t>
      </w:r>
      <w:r w:rsidR="004A0C8A">
        <w:t xml:space="preserve"> for the first time</w:t>
      </w:r>
      <w:r w:rsidR="00547EDD">
        <w:t>,</w:t>
      </w:r>
      <w:r w:rsidR="004A0C8A">
        <w:t xml:space="preserve"> allegations against the DHS of misfeasance in public office and contempt of court, they have been disregarded.</w:t>
      </w:r>
    </w:p>
    <w:p w14:paraId="620C9FEB" w14:textId="657CE115" w:rsidR="00964716" w:rsidRDefault="00964716" w:rsidP="00C55CED">
      <w:pPr>
        <w:pStyle w:val="Heading3"/>
      </w:pPr>
      <w:r>
        <w:t>Application to the High Court – “special case questions”</w:t>
      </w:r>
    </w:p>
    <w:p w14:paraId="1C21B595" w14:textId="1FA30C85" w:rsidR="00964716" w:rsidRDefault="008702F8" w:rsidP="008702F8">
      <w:pPr>
        <w:pStyle w:val="ParaNumbering"/>
        <w:numPr>
          <w:ilvl w:val="0"/>
          <w:numId w:val="0"/>
        </w:numPr>
        <w:ind w:hanging="720"/>
      </w:pPr>
      <w:r>
        <w:rPr>
          <w:sz w:val="20"/>
        </w:rPr>
        <w:t>30</w:t>
      </w:r>
      <w:r>
        <w:rPr>
          <w:sz w:val="20"/>
        </w:rPr>
        <w:tab/>
      </w:r>
      <w:r w:rsidR="00964716">
        <w:t xml:space="preserve">Ms Luck brought an application in the High Court </w:t>
      </w:r>
      <w:r w:rsidR="00964716" w:rsidRPr="00E345A5">
        <w:t>(</w:t>
      </w:r>
      <w:r w:rsidR="00BC2619" w:rsidRPr="000D606E">
        <w:rPr>
          <w:i/>
          <w:iCs/>
        </w:rPr>
        <w:t>In the matter of an application by Gaye Luck for leave to appeal</w:t>
      </w:r>
      <w:r w:rsidR="00BC2619">
        <w:t xml:space="preserve"> [2022] HCASL 177</w:t>
      </w:r>
      <w:r w:rsidR="00964716" w:rsidRPr="00E345A5">
        <w:t>) seeking the resolution of what she descr</w:t>
      </w:r>
      <w:r w:rsidR="00964716">
        <w:t>ibed as the “special case questions” and the issue of the constitutional writs to prevent a single judge of the Federal Court from determining and summarily dismissing the appeal. Ms Luck’s submissions related to the hearing before us on 7 November 2022 state that the “special case questions” were formulated as follows:</w:t>
      </w:r>
    </w:p>
    <w:p w14:paraId="543FCC5A" w14:textId="77777777" w:rsidR="00964716" w:rsidRPr="000D606E" w:rsidRDefault="00964716" w:rsidP="00E345A5">
      <w:pPr>
        <w:pStyle w:val="Quote1"/>
        <w:ind w:left="1440" w:hanging="703"/>
        <w:rPr>
          <w:lang w:eastAsia="en-GB"/>
        </w:rPr>
      </w:pPr>
      <w:r w:rsidRPr="000D606E">
        <w:rPr>
          <w:lang w:eastAsia="en-GB"/>
        </w:rPr>
        <w:t>(a)</w:t>
      </w:r>
      <w:r w:rsidRPr="000D606E">
        <w:rPr>
          <w:lang w:eastAsia="en-GB"/>
        </w:rPr>
        <w:tab/>
        <w:t xml:space="preserve">Whether a justice or justices, as appointed by the Governor General of Australia in accordance with </w:t>
      </w:r>
      <w:r w:rsidRPr="000D606E">
        <w:rPr>
          <w:i/>
          <w:iCs/>
          <w:lang w:eastAsia="en-GB"/>
        </w:rPr>
        <w:t xml:space="preserve">Chapter III of the Constitution, </w:t>
      </w:r>
      <w:r w:rsidRPr="000D606E">
        <w:rPr>
          <w:lang w:eastAsia="en-GB"/>
        </w:rPr>
        <w:t>would, whilst exercising the judicial power of the Commonwealth, as vested in the High Court of Australia and the federal courts created by Parliament, and such other courts as it invests with federal jurisdiction, breach the doctrine of the separation of powers, when appropriately constituted to hear and determine a proceeding, properly instituted by a party in a court so vested with Commonwealth judicial power, by making an assessment of the party’s disabilities and a subsequent decision to refuse or grant a request from that party to the proceeding, for ‘</w:t>
      </w:r>
      <w:r w:rsidRPr="000D606E">
        <w:rPr>
          <w:i/>
          <w:iCs/>
          <w:lang w:eastAsia="en-GB"/>
        </w:rPr>
        <w:t xml:space="preserve">reasonable adjustments’ </w:t>
      </w:r>
      <w:r w:rsidRPr="000D606E">
        <w:rPr>
          <w:lang w:eastAsia="en-GB"/>
        </w:rPr>
        <w:t xml:space="preserve">sought in relation to the party’s involvement in the administration and process of that proceeding, based on the party’s disability needs, pursuant to the party’s rights under the </w:t>
      </w:r>
      <w:r w:rsidRPr="000D606E">
        <w:rPr>
          <w:i/>
          <w:iCs/>
          <w:lang w:eastAsia="en-GB"/>
        </w:rPr>
        <w:t>Disability Discrimination Act 1992 (</w:t>
      </w:r>
      <w:proofErr w:type="spellStart"/>
      <w:r w:rsidRPr="000D606E">
        <w:rPr>
          <w:i/>
          <w:iCs/>
          <w:lang w:eastAsia="en-GB"/>
        </w:rPr>
        <w:t>Cth</w:t>
      </w:r>
      <w:proofErr w:type="spellEnd"/>
      <w:r w:rsidRPr="000D606E">
        <w:rPr>
          <w:i/>
          <w:iCs/>
          <w:lang w:eastAsia="en-GB"/>
        </w:rPr>
        <w:t xml:space="preserve">), </w:t>
      </w:r>
      <w:r w:rsidRPr="000D606E">
        <w:rPr>
          <w:lang w:eastAsia="en-GB"/>
        </w:rPr>
        <w:t xml:space="preserve">an Act administered by the Executive Government, the Attorney General of the Commonwealth, and which incorporates the </w:t>
      </w:r>
      <w:r w:rsidRPr="000D606E">
        <w:rPr>
          <w:i/>
          <w:iCs/>
          <w:lang w:eastAsia="en-GB"/>
        </w:rPr>
        <w:t>Articles of the Australian Treaty</w:t>
      </w:r>
      <w:r w:rsidRPr="000D606E">
        <w:rPr>
          <w:lang w:eastAsia="en-GB"/>
        </w:rPr>
        <w:t xml:space="preserve">, the </w:t>
      </w:r>
      <w:r w:rsidRPr="000D606E">
        <w:rPr>
          <w:i/>
          <w:iCs/>
          <w:lang w:eastAsia="en-GB"/>
        </w:rPr>
        <w:t xml:space="preserve">Convention on the </w:t>
      </w:r>
      <w:r w:rsidRPr="000D606E">
        <w:rPr>
          <w:i/>
          <w:iCs/>
          <w:lang w:eastAsia="en-GB"/>
        </w:rPr>
        <w:lastRenderedPageBreak/>
        <w:t xml:space="preserve">Rights of Persons with Disabilities (New York, 30 March 2007) - [2008] ATS 12? </w:t>
      </w:r>
    </w:p>
    <w:p w14:paraId="2E8F6D84" w14:textId="77777777" w:rsidR="00964716" w:rsidRPr="000D606E" w:rsidRDefault="00964716" w:rsidP="00E345A5">
      <w:pPr>
        <w:pStyle w:val="Quote1"/>
        <w:ind w:left="1440" w:hanging="703"/>
        <w:rPr>
          <w:lang w:eastAsia="en-GB"/>
        </w:rPr>
      </w:pPr>
      <w:r w:rsidRPr="000D606E">
        <w:rPr>
          <w:lang w:eastAsia="en-GB"/>
        </w:rPr>
        <w:t>(b)</w:t>
      </w:r>
      <w:r w:rsidRPr="000D606E">
        <w:rPr>
          <w:lang w:eastAsia="en-GB"/>
        </w:rPr>
        <w:tab/>
        <w:t xml:space="preserve">If the answer is </w:t>
      </w:r>
      <w:r w:rsidRPr="000D606E">
        <w:rPr>
          <w:i/>
          <w:iCs/>
          <w:lang w:eastAsia="en-GB"/>
        </w:rPr>
        <w:t>‘no’</w:t>
      </w:r>
      <w:r w:rsidRPr="000D606E">
        <w:rPr>
          <w:lang w:eastAsia="en-GB"/>
        </w:rPr>
        <w:t xml:space="preserve">, whether a ‘hypothetical </w:t>
      </w:r>
      <w:r w:rsidRPr="000D606E">
        <w:rPr>
          <w:i/>
          <w:iCs/>
          <w:lang w:eastAsia="en-GB"/>
        </w:rPr>
        <w:t xml:space="preserve">bystander’ </w:t>
      </w:r>
      <w:r w:rsidRPr="000D606E">
        <w:rPr>
          <w:lang w:eastAsia="en-GB"/>
        </w:rPr>
        <w:t xml:space="preserve">might apprehend bias on the part of the justice or justices, whilst the justice or justices exercised an executive power simultaneously with the exercise of judicial power, by making a decision in respect of the administrative conduct of the proceeding for which the party to the proceeding had requested of the appropriate officer of the Executive Government, that certain reasonable adjustments be granted pursuant to the party’s rights under the </w:t>
      </w:r>
      <w:r w:rsidRPr="000D606E">
        <w:rPr>
          <w:i/>
          <w:iCs/>
          <w:lang w:eastAsia="en-GB"/>
        </w:rPr>
        <w:t>Disability Discrimination Act 1992 (</w:t>
      </w:r>
      <w:proofErr w:type="spellStart"/>
      <w:r w:rsidRPr="000D606E">
        <w:rPr>
          <w:i/>
          <w:iCs/>
          <w:lang w:eastAsia="en-GB"/>
        </w:rPr>
        <w:t>Cth</w:t>
      </w:r>
      <w:proofErr w:type="spellEnd"/>
      <w:r w:rsidRPr="000D606E">
        <w:rPr>
          <w:i/>
          <w:iCs/>
          <w:lang w:eastAsia="en-GB"/>
        </w:rPr>
        <w:t xml:space="preserve">) </w:t>
      </w:r>
      <w:r w:rsidRPr="000D606E">
        <w:rPr>
          <w:lang w:eastAsia="en-GB"/>
        </w:rPr>
        <w:t xml:space="preserve">and the </w:t>
      </w:r>
      <w:r w:rsidRPr="000D606E">
        <w:rPr>
          <w:i/>
          <w:iCs/>
          <w:lang w:eastAsia="en-GB"/>
        </w:rPr>
        <w:t>Articles of the Australian Treaty</w:t>
      </w:r>
      <w:r w:rsidRPr="000D606E">
        <w:rPr>
          <w:lang w:eastAsia="en-GB"/>
        </w:rPr>
        <w:t xml:space="preserve">, the </w:t>
      </w:r>
      <w:r w:rsidRPr="000D606E">
        <w:rPr>
          <w:i/>
          <w:iCs/>
          <w:lang w:eastAsia="en-GB"/>
        </w:rPr>
        <w:t xml:space="preserve">Convention on the Rights of Persons with Disabilities (New York, 30 March 2007) - [2008] ATS 12? </w:t>
      </w:r>
    </w:p>
    <w:p w14:paraId="4F692C1B" w14:textId="77777777" w:rsidR="00964716" w:rsidRPr="000D606E" w:rsidRDefault="00964716" w:rsidP="00E345A5">
      <w:pPr>
        <w:pStyle w:val="Quote1"/>
        <w:ind w:left="1440" w:hanging="703"/>
        <w:rPr>
          <w:lang w:eastAsia="en-GB"/>
        </w:rPr>
      </w:pPr>
      <w:r w:rsidRPr="000D606E">
        <w:rPr>
          <w:lang w:eastAsia="en-GB"/>
        </w:rPr>
        <w:t>(c)</w:t>
      </w:r>
      <w:r w:rsidRPr="000D606E">
        <w:rPr>
          <w:lang w:eastAsia="en-GB"/>
        </w:rPr>
        <w:tab/>
        <w:t xml:space="preserve">If the answer is ‘no’ whether the concept of judicial immunity applies to the justice or justices whilst exercising the power under a Commonwealth law or for the purposes of a Commonwealth program or has any other responsibility for the administration of a Commonwealth law or for the purposes of a Commonwealth program, contrary to the express proscription in </w:t>
      </w:r>
      <w:r w:rsidRPr="000D606E">
        <w:rPr>
          <w:i/>
          <w:iCs/>
          <w:lang w:eastAsia="en-GB"/>
        </w:rPr>
        <w:t xml:space="preserve">section 29 </w:t>
      </w:r>
      <w:r w:rsidRPr="000D606E">
        <w:rPr>
          <w:lang w:eastAsia="en-GB"/>
        </w:rPr>
        <w:t xml:space="preserve">of the </w:t>
      </w:r>
      <w:r w:rsidRPr="000D606E">
        <w:rPr>
          <w:i/>
          <w:iCs/>
          <w:lang w:eastAsia="en-GB"/>
        </w:rPr>
        <w:t>Disability Discrimination Act 1992 (</w:t>
      </w:r>
      <w:proofErr w:type="spellStart"/>
      <w:r w:rsidRPr="000D606E">
        <w:rPr>
          <w:i/>
          <w:iCs/>
          <w:lang w:eastAsia="en-GB"/>
        </w:rPr>
        <w:t>Cth</w:t>
      </w:r>
      <w:proofErr w:type="spellEnd"/>
      <w:r w:rsidRPr="000D606E">
        <w:rPr>
          <w:i/>
          <w:iCs/>
          <w:lang w:eastAsia="en-GB"/>
        </w:rPr>
        <w:t>)</w:t>
      </w:r>
      <w:r w:rsidRPr="000D606E">
        <w:rPr>
          <w:lang w:eastAsia="en-GB"/>
        </w:rPr>
        <w:t xml:space="preserve">. </w:t>
      </w:r>
    </w:p>
    <w:p w14:paraId="10CDE8C5" w14:textId="67C22F72" w:rsidR="00964716" w:rsidRDefault="008702F8" w:rsidP="008702F8">
      <w:pPr>
        <w:pStyle w:val="ParaNumbering"/>
        <w:numPr>
          <w:ilvl w:val="0"/>
          <w:numId w:val="0"/>
        </w:numPr>
        <w:ind w:hanging="720"/>
      </w:pPr>
      <w:r>
        <w:rPr>
          <w:sz w:val="20"/>
        </w:rPr>
        <w:t>31</w:t>
      </w:r>
      <w:r>
        <w:rPr>
          <w:sz w:val="20"/>
        </w:rPr>
        <w:tab/>
      </w:r>
      <w:r w:rsidR="00964716">
        <w:t>Justice Bell dismissed Ms Luck’s application on 4 August 2020. Ms Luck sought leave to appeal. On 13 October 2022, Justices Keane and Gordon refused Ms Luck’s application (</w:t>
      </w:r>
      <w:r w:rsidR="00964716" w:rsidRPr="000D606E">
        <w:rPr>
          <w:i/>
          <w:iCs/>
        </w:rPr>
        <w:t>In the matter of an application by Gaye Luck for leave to appeal</w:t>
      </w:r>
      <w:r w:rsidR="00964716">
        <w:t xml:space="preserve"> [2022] HCASL 177) stating at [1]:</w:t>
      </w:r>
    </w:p>
    <w:p w14:paraId="466782B1" w14:textId="77777777" w:rsidR="00964716" w:rsidRPr="000D606E" w:rsidRDefault="00964716" w:rsidP="00E345A5">
      <w:pPr>
        <w:pStyle w:val="Quote1"/>
        <w:rPr>
          <w:lang w:eastAsia="en-GB"/>
        </w:rPr>
      </w:pPr>
      <w:r w:rsidRPr="000D606E">
        <w:t>On 4 August 2020, Bell J refused the applicant</w:t>
      </w:r>
      <w:r>
        <w:t>’</w:t>
      </w:r>
      <w:r w:rsidRPr="000D606E">
        <w:t>s ex parte application for leave to issue or file a proposed writ of summons in M19 of 2020 on the grounds that the applicant appeared to be seeking to challenge decisions of the Federal Court of Australia and that to permit the applicant to prosecute the proceeding would be to permit her to bypass the ordinary mechanisms of appeal and potentially avoid the restrictions imposed by statute on appeals to this Court from certain decisions of the Federal Court; the particulars given of the proposed claims were incoherent; no arguable basis was disclosed for any of the relief sought and it would be an abuse of the process of the Court if the matter were permitted to proceed. An appeal to this Court would enjoy no prospect of success. Leave to appeal should be refused.</w:t>
      </w:r>
    </w:p>
    <w:p w14:paraId="69163581" w14:textId="68754035" w:rsidR="003C2709" w:rsidRPr="003C2709" w:rsidRDefault="008702F8" w:rsidP="000A7FFB">
      <w:pPr>
        <w:pStyle w:val="Heading1"/>
      </w:pPr>
      <w:r>
        <w:rPr>
          <w:caps w:val="0"/>
        </w:rPr>
        <w:t xml:space="preserve">APPLICATIONS FOR DETERMINATION </w:t>
      </w:r>
    </w:p>
    <w:p w14:paraId="32A75348" w14:textId="3CFA41FC" w:rsidR="000648DC" w:rsidRDefault="008702F8" w:rsidP="008702F8">
      <w:pPr>
        <w:pStyle w:val="ParaNumbering"/>
        <w:numPr>
          <w:ilvl w:val="0"/>
          <w:numId w:val="0"/>
        </w:numPr>
        <w:ind w:hanging="720"/>
      </w:pPr>
      <w:r>
        <w:rPr>
          <w:sz w:val="20"/>
        </w:rPr>
        <w:t>32</w:t>
      </w:r>
      <w:r>
        <w:rPr>
          <w:sz w:val="20"/>
        </w:rPr>
        <w:tab/>
      </w:r>
      <w:r w:rsidR="004B68DB">
        <w:t>This C</w:t>
      </w:r>
      <w:r w:rsidR="00583E47">
        <w:t xml:space="preserve">ourt </w:t>
      </w:r>
      <w:r w:rsidR="2FC6E7C9">
        <w:t xml:space="preserve">is </w:t>
      </w:r>
      <w:r w:rsidR="004B68DB">
        <w:t xml:space="preserve">now asked to determine </w:t>
      </w:r>
      <w:r w:rsidR="00A74B4B">
        <w:t>1</w:t>
      </w:r>
      <w:r w:rsidR="000648DC">
        <w:t>2</w:t>
      </w:r>
      <w:r w:rsidR="2FC6E7C9">
        <w:t xml:space="preserve"> interlocutory applications</w:t>
      </w:r>
      <w:proofErr w:type="gramStart"/>
      <w:r w:rsidR="00E345A5">
        <w:t>,</w:t>
      </w:r>
      <w:r w:rsidR="000648DC">
        <w:t>.</w:t>
      </w:r>
      <w:proofErr w:type="gramEnd"/>
      <w:r w:rsidR="000648DC">
        <w:t xml:space="preserve"> The most recent application is that </w:t>
      </w:r>
      <w:r w:rsidR="00E345A5">
        <w:t xml:space="preserve">lodged by </w:t>
      </w:r>
      <w:r w:rsidR="000648DC">
        <w:t xml:space="preserve">Ms Luck on </w:t>
      </w:r>
      <w:r w:rsidR="00E345A5">
        <w:t xml:space="preserve">4 November 2022 </w:t>
      </w:r>
      <w:r w:rsidR="000648DC">
        <w:t xml:space="preserve">seeking directions in relation to the “special case questions” and summary dismissal of the DHS’s application filed on </w:t>
      </w:r>
      <w:r w:rsidR="009250A7">
        <w:t>5</w:t>
      </w:r>
      <w:r w:rsidR="000648DC">
        <w:t xml:space="preserve"> December 2019 to dismiss Ms Luck’s appeal for want of prosecution, or alternatively, summar</w:t>
      </w:r>
      <w:r w:rsidR="00A37D98">
        <w:t>ily</w:t>
      </w:r>
      <w:r w:rsidR="000648DC">
        <w:t xml:space="preserve">. </w:t>
      </w:r>
    </w:p>
    <w:p w14:paraId="34C50429" w14:textId="5D91C9DE" w:rsidR="00D64C4E" w:rsidRDefault="008702F8" w:rsidP="008702F8">
      <w:pPr>
        <w:pStyle w:val="ParaNumbering"/>
        <w:numPr>
          <w:ilvl w:val="0"/>
          <w:numId w:val="0"/>
        </w:numPr>
        <w:ind w:hanging="720"/>
      </w:pPr>
      <w:r>
        <w:rPr>
          <w:sz w:val="20"/>
        </w:rPr>
        <w:t>33</w:t>
      </w:r>
      <w:r>
        <w:rPr>
          <w:sz w:val="20"/>
        </w:rPr>
        <w:tab/>
      </w:r>
      <w:r w:rsidR="00D64C4E">
        <w:t xml:space="preserve">In the Federal Court’s appellate jurisdiction, s 25(2B) of the </w:t>
      </w:r>
      <w:r w:rsidR="00D64C4E">
        <w:rPr>
          <w:i/>
        </w:rPr>
        <w:t xml:space="preserve">Federal Court Act 1976 </w:t>
      </w:r>
      <w:r w:rsidR="00D64C4E">
        <w:t>(</w:t>
      </w:r>
      <w:proofErr w:type="spellStart"/>
      <w:r w:rsidR="00D64C4E">
        <w:t>Cth</w:t>
      </w:r>
      <w:proofErr w:type="spellEnd"/>
      <w:r w:rsidR="00D64C4E">
        <w:t>)</w:t>
      </w:r>
      <w:r w:rsidR="00D64C4E">
        <w:rPr>
          <w:b/>
        </w:rPr>
        <w:t xml:space="preserve"> (FCA Act) </w:t>
      </w:r>
      <w:r w:rsidR="00D64C4E">
        <w:t xml:space="preserve">provides for a single Judge or a Full Court to order summary judgment or dismiss an appeal for want of prosecution: </w:t>
      </w:r>
    </w:p>
    <w:p w14:paraId="053D616E" w14:textId="5771940A" w:rsidR="00D64C4E" w:rsidRDefault="00D64C4E" w:rsidP="009A2BBB">
      <w:pPr>
        <w:pStyle w:val="Quote1"/>
        <w:keepNext/>
        <w:rPr>
          <w:b/>
        </w:rPr>
      </w:pPr>
      <w:proofErr w:type="gramStart"/>
      <w:r>
        <w:rPr>
          <w:b/>
        </w:rPr>
        <w:lastRenderedPageBreak/>
        <w:t>25</w:t>
      </w:r>
      <w:r w:rsidRPr="00BA6ED5">
        <w:rPr>
          <w:b/>
        </w:rPr>
        <w:t xml:space="preserve"> </w:t>
      </w:r>
      <w:r w:rsidR="00DD179C">
        <w:rPr>
          <w:b/>
        </w:rPr>
        <w:t xml:space="preserve"> </w:t>
      </w:r>
      <w:r w:rsidRPr="00BA6ED5">
        <w:rPr>
          <w:b/>
        </w:rPr>
        <w:t>Exercise</w:t>
      </w:r>
      <w:proofErr w:type="gramEnd"/>
      <w:r w:rsidRPr="00BA6ED5">
        <w:rPr>
          <w:b/>
        </w:rPr>
        <w:t xml:space="preserve"> of appellate jurisdiction</w:t>
      </w:r>
    </w:p>
    <w:p w14:paraId="1ECF65D8" w14:textId="77777777" w:rsidR="00D64C4E" w:rsidRPr="00BA6ED5" w:rsidRDefault="00D64C4E" w:rsidP="009A2BBB">
      <w:pPr>
        <w:pStyle w:val="Quote1"/>
        <w:keepNext/>
      </w:pPr>
      <w:r w:rsidRPr="00BA6ED5">
        <w:t>…</w:t>
      </w:r>
    </w:p>
    <w:p w14:paraId="1582E1BE" w14:textId="5581F238" w:rsidR="00D64C4E" w:rsidRDefault="00D64C4E" w:rsidP="00E345A5">
      <w:pPr>
        <w:pStyle w:val="Quote2"/>
      </w:pPr>
      <w:r w:rsidRPr="00BA6ED5">
        <w:t>(2B)</w:t>
      </w:r>
      <w:r w:rsidR="00EA70BB">
        <w:tab/>
      </w:r>
      <w:proofErr w:type="gramStart"/>
      <w:r w:rsidRPr="00BA6ED5">
        <w:t>A</w:t>
      </w:r>
      <w:proofErr w:type="gramEnd"/>
      <w:r w:rsidRPr="00BA6ED5">
        <w:t xml:space="preserve"> single Judge (sitting in Chambers or in open court) or a Full Court may:</w:t>
      </w:r>
    </w:p>
    <w:p w14:paraId="591AFA6F" w14:textId="77777777" w:rsidR="00D64C4E" w:rsidRDefault="00D64C4E" w:rsidP="00E345A5">
      <w:pPr>
        <w:pStyle w:val="Quote2"/>
      </w:pPr>
      <w:r>
        <w:t>…</w:t>
      </w:r>
    </w:p>
    <w:p w14:paraId="7B0647F1" w14:textId="14E339E0" w:rsidR="00D64C4E" w:rsidRDefault="00D64C4E" w:rsidP="00B14117">
      <w:pPr>
        <w:pStyle w:val="Quote3"/>
        <w:ind w:left="2880" w:hanging="720"/>
      </w:pPr>
      <w:r w:rsidRPr="00BA6ED5">
        <w:t>(</w:t>
      </w:r>
      <w:proofErr w:type="gramStart"/>
      <w:r w:rsidRPr="00BA6ED5">
        <w:t>aa</w:t>
      </w:r>
      <w:proofErr w:type="gramEnd"/>
      <w:r w:rsidRPr="00BA6ED5">
        <w:t xml:space="preserve">) </w:t>
      </w:r>
      <w:r>
        <w:tab/>
      </w:r>
      <w:r w:rsidRPr="00BA6ED5">
        <w:t>give summary judgment;</w:t>
      </w:r>
    </w:p>
    <w:p w14:paraId="3B02DDAA" w14:textId="77777777" w:rsidR="00D64C4E" w:rsidRDefault="00D64C4E" w:rsidP="00B14117">
      <w:pPr>
        <w:pStyle w:val="Quote3"/>
        <w:ind w:left="2880" w:hanging="720"/>
      </w:pPr>
      <w:r>
        <w:t>…</w:t>
      </w:r>
    </w:p>
    <w:p w14:paraId="7BBAACFD" w14:textId="149DA171" w:rsidR="00583E47" w:rsidRDefault="00D64C4E" w:rsidP="00B14117">
      <w:pPr>
        <w:pStyle w:val="Quote3"/>
        <w:ind w:left="2880" w:hanging="720"/>
      </w:pPr>
      <w:r w:rsidRPr="00BA6ED5">
        <w:t>(</w:t>
      </w:r>
      <w:proofErr w:type="spellStart"/>
      <w:proofErr w:type="gramStart"/>
      <w:r w:rsidRPr="00BA6ED5">
        <w:t>ba</w:t>
      </w:r>
      <w:proofErr w:type="spellEnd"/>
      <w:proofErr w:type="gramEnd"/>
      <w:r w:rsidRPr="00BA6ED5">
        <w:t>)</w:t>
      </w:r>
      <w:r>
        <w:tab/>
      </w:r>
      <w:r w:rsidRPr="00BA6ED5">
        <w:t>make an order that an appeal to the Court be dismissed for want of prosecution</w:t>
      </w:r>
      <w:r>
        <w:t>.</w:t>
      </w:r>
    </w:p>
    <w:p w14:paraId="7D22B1F3" w14:textId="28ABB028" w:rsidR="003C2709" w:rsidRDefault="008702F8" w:rsidP="008702F8">
      <w:pPr>
        <w:pStyle w:val="ParaNumbering"/>
        <w:numPr>
          <w:ilvl w:val="0"/>
          <w:numId w:val="0"/>
        </w:numPr>
        <w:ind w:hanging="720"/>
      </w:pPr>
      <w:r>
        <w:rPr>
          <w:sz w:val="20"/>
        </w:rPr>
        <w:t>34</w:t>
      </w:r>
      <w:r>
        <w:rPr>
          <w:sz w:val="20"/>
        </w:rPr>
        <w:tab/>
      </w:r>
      <w:r w:rsidR="003C2709">
        <w:t xml:space="preserve">The </w:t>
      </w:r>
      <w:r w:rsidR="00E345A5">
        <w:t xml:space="preserve">remaining 10 </w:t>
      </w:r>
      <w:r w:rsidR="003C2709">
        <w:t xml:space="preserve">applications </w:t>
      </w:r>
      <w:r w:rsidR="00E345A5">
        <w:t xml:space="preserve">of Ms Luck </w:t>
      </w:r>
      <w:r w:rsidR="003C2709">
        <w:t>can be grouped and su</w:t>
      </w:r>
      <w:r w:rsidR="000648DC">
        <w:t>m</w:t>
      </w:r>
      <w:r w:rsidR="003C2709">
        <w:t>m</w:t>
      </w:r>
      <w:r w:rsidR="000648DC">
        <w:t>ar</w:t>
      </w:r>
      <w:r w:rsidR="003C2709">
        <w:t>ised as</w:t>
      </w:r>
      <w:r w:rsidR="00F97919">
        <w:t xml:space="preserve"> relating to</w:t>
      </w:r>
      <w:r w:rsidR="00544F7B">
        <w:t xml:space="preserve"> the following issues</w:t>
      </w:r>
      <w:r w:rsidR="00F97919">
        <w:t>:</w:t>
      </w:r>
    </w:p>
    <w:p w14:paraId="70533F57" w14:textId="005A70F2" w:rsidR="00F97919" w:rsidRDefault="008702F8" w:rsidP="008702F8">
      <w:pPr>
        <w:pStyle w:val="ListNo1"/>
        <w:numPr>
          <w:ilvl w:val="0"/>
          <w:numId w:val="0"/>
        </w:numPr>
        <w:tabs>
          <w:tab w:val="left" w:pos="720"/>
        </w:tabs>
        <w:ind w:left="720" w:hanging="720"/>
      </w:pPr>
      <w:r>
        <w:t>(1)</w:t>
      </w:r>
      <w:r>
        <w:tab/>
      </w:r>
      <w:proofErr w:type="gramStart"/>
      <w:r w:rsidR="00CD792C">
        <w:t>the</w:t>
      </w:r>
      <w:proofErr w:type="gramEnd"/>
      <w:r w:rsidR="00CD792C">
        <w:t xml:space="preserve"> consequences of s 60 of the </w:t>
      </w:r>
      <w:r w:rsidR="00CD792C" w:rsidRPr="00DD179C">
        <w:rPr>
          <w:i/>
          <w:iCs/>
        </w:rPr>
        <w:t>Bankruptcy Act</w:t>
      </w:r>
      <w:r w:rsidR="00CD792C">
        <w:t xml:space="preserve"> </w:t>
      </w:r>
      <w:r w:rsidR="00CD792C" w:rsidRPr="0053099C">
        <w:t>1966</w:t>
      </w:r>
      <w:r w:rsidR="00CD792C">
        <w:t xml:space="preserve"> (</w:t>
      </w:r>
      <w:proofErr w:type="spellStart"/>
      <w:r w:rsidR="00CD792C">
        <w:t>Cth</w:t>
      </w:r>
      <w:proofErr w:type="spellEnd"/>
      <w:r w:rsidR="00CD792C">
        <w:t xml:space="preserve">) </w:t>
      </w:r>
      <w:r w:rsidR="00CD792C" w:rsidRPr="0053099C">
        <w:t>for</w:t>
      </w:r>
      <w:r w:rsidR="00CD792C">
        <w:t xml:space="preserve"> the continuation of the appeal</w:t>
      </w:r>
      <w:r w:rsidR="00F97919">
        <w:t>;</w:t>
      </w:r>
    </w:p>
    <w:p w14:paraId="02449A59" w14:textId="3593C0DB" w:rsidR="00DD179C" w:rsidRDefault="008702F8" w:rsidP="008702F8">
      <w:pPr>
        <w:pStyle w:val="ListNo1"/>
        <w:numPr>
          <w:ilvl w:val="0"/>
          <w:numId w:val="0"/>
        </w:numPr>
        <w:tabs>
          <w:tab w:val="left" w:pos="720"/>
        </w:tabs>
        <w:ind w:left="720" w:hanging="720"/>
      </w:pPr>
      <w:r>
        <w:t>(2)</w:t>
      </w:r>
      <w:r>
        <w:tab/>
      </w:r>
      <w:proofErr w:type="gramStart"/>
      <w:r w:rsidR="00E345A5">
        <w:t>t</w:t>
      </w:r>
      <w:r w:rsidR="00DD179C">
        <w:t>he</w:t>
      </w:r>
      <w:proofErr w:type="gramEnd"/>
      <w:r w:rsidR="00DD179C">
        <w:t xml:space="preserve"> resolution of the “special case questions” raised by Ms Luck;</w:t>
      </w:r>
    </w:p>
    <w:p w14:paraId="7EBA3535" w14:textId="5208C5A9" w:rsidR="003C2709" w:rsidRDefault="008702F8" w:rsidP="008702F8">
      <w:pPr>
        <w:pStyle w:val="ListNo1"/>
        <w:numPr>
          <w:ilvl w:val="0"/>
          <w:numId w:val="0"/>
        </w:numPr>
        <w:tabs>
          <w:tab w:val="left" w:pos="720"/>
        </w:tabs>
        <w:ind w:left="720" w:hanging="720"/>
      </w:pPr>
      <w:r>
        <w:t>(3)</w:t>
      </w:r>
      <w:r>
        <w:tab/>
      </w:r>
      <w:proofErr w:type="gramStart"/>
      <w:r w:rsidR="00F97919">
        <w:t>the</w:t>
      </w:r>
      <w:proofErr w:type="gramEnd"/>
      <w:r w:rsidR="00F97919">
        <w:t xml:space="preserve"> resolution of the </w:t>
      </w:r>
      <w:r w:rsidR="003C2709">
        <w:t xml:space="preserve">applications </w:t>
      </w:r>
      <w:r w:rsidR="002F3AD7">
        <w:t xml:space="preserve">for leave to appeal the decisions of </w:t>
      </w:r>
      <w:r w:rsidR="009B5E41">
        <w:t xml:space="preserve"> </w:t>
      </w:r>
      <w:r w:rsidR="003C2709">
        <w:t xml:space="preserve">Kerr, O’Callaghan, Snaden and </w:t>
      </w:r>
      <w:proofErr w:type="spellStart"/>
      <w:r w:rsidR="003C2709">
        <w:t>Moshinsky</w:t>
      </w:r>
      <w:proofErr w:type="spellEnd"/>
      <w:r w:rsidR="003C2709">
        <w:t xml:space="preserve"> JJ</w:t>
      </w:r>
      <w:r w:rsidR="002F3AD7">
        <w:t xml:space="preserve"> not to recuse themselves</w:t>
      </w:r>
      <w:r w:rsidR="003C2709">
        <w:t>;</w:t>
      </w:r>
      <w:r w:rsidR="006E777E">
        <w:t xml:space="preserve"> and</w:t>
      </w:r>
    </w:p>
    <w:p w14:paraId="3D92E37B" w14:textId="3AD68067" w:rsidR="0076014E" w:rsidRDefault="008702F8" w:rsidP="008702F8">
      <w:pPr>
        <w:pStyle w:val="ListNo1"/>
        <w:numPr>
          <w:ilvl w:val="0"/>
          <w:numId w:val="0"/>
        </w:numPr>
        <w:tabs>
          <w:tab w:val="left" w:pos="720"/>
        </w:tabs>
        <w:ind w:left="720" w:hanging="720"/>
      </w:pPr>
      <w:r>
        <w:t>(4)</w:t>
      </w:r>
      <w:r>
        <w:tab/>
      </w:r>
      <w:r w:rsidR="00F97919">
        <w:t>the j</w:t>
      </w:r>
      <w:r w:rsidR="003C2709">
        <w:t xml:space="preserve">oinder </w:t>
      </w:r>
      <w:r w:rsidR="00F97919">
        <w:t xml:space="preserve">of </w:t>
      </w:r>
      <w:r w:rsidR="003C2709">
        <w:t>the Chief Executive Officer of the Federal Court of Australia, the Principal Registrar of the Federal Court of Australia, the Attorney-General of Australia and the Commonwealth of Australia</w:t>
      </w:r>
      <w:r w:rsidR="00C558B0">
        <w:t>.</w:t>
      </w:r>
      <w:r w:rsidR="00407DAD">
        <w:t xml:space="preserve"> </w:t>
      </w:r>
    </w:p>
    <w:p w14:paraId="527B6419" w14:textId="765520C1" w:rsidR="00C558B0" w:rsidRDefault="008702F8" w:rsidP="008702F8">
      <w:pPr>
        <w:pStyle w:val="ParaNumbering"/>
        <w:numPr>
          <w:ilvl w:val="0"/>
          <w:numId w:val="0"/>
        </w:numPr>
        <w:ind w:hanging="720"/>
      </w:pPr>
      <w:r>
        <w:rPr>
          <w:sz w:val="20"/>
        </w:rPr>
        <w:t>35</w:t>
      </w:r>
      <w:r>
        <w:rPr>
          <w:sz w:val="20"/>
        </w:rPr>
        <w:tab/>
      </w:r>
      <w:r w:rsidR="00C558B0">
        <w:t>It is convenient to deal first with the applications relating to the operation of s</w:t>
      </w:r>
      <w:r w:rsidR="00CD792C">
        <w:t> </w:t>
      </w:r>
      <w:r w:rsidR="00E345A5">
        <w:t>60</w:t>
      </w:r>
      <w:r w:rsidR="00C558B0">
        <w:t xml:space="preserve">. Resolution of </w:t>
      </w:r>
      <w:r w:rsidR="00DD179C">
        <w:t xml:space="preserve">that </w:t>
      </w:r>
      <w:r w:rsidR="00C558B0">
        <w:t>application will have consequences for the remaining applications.</w:t>
      </w:r>
    </w:p>
    <w:p w14:paraId="18E2F2DA" w14:textId="565401A2" w:rsidR="00C558B0" w:rsidRDefault="00444AC9" w:rsidP="00ED2A44">
      <w:pPr>
        <w:pStyle w:val="Heading2"/>
      </w:pPr>
      <w:r>
        <w:t>The consequence</w:t>
      </w:r>
      <w:r w:rsidR="00ED2A44">
        <w:t xml:space="preserve">s of s 60 of the </w:t>
      </w:r>
      <w:r w:rsidR="00ED2A44" w:rsidRPr="00ED2A44">
        <w:rPr>
          <w:i/>
          <w:iCs/>
        </w:rPr>
        <w:t>Bankruptcy Act</w:t>
      </w:r>
    </w:p>
    <w:p w14:paraId="3A22F27B" w14:textId="68BEAF3A" w:rsidR="00553EA8" w:rsidRDefault="008702F8" w:rsidP="008702F8">
      <w:pPr>
        <w:pStyle w:val="ParaNumbering"/>
        <w:numPr>
          <w:ilvl w:val="0"/>
          <w:numId w:val="0"/>
        </w:numPr>
        <w:ind w:hanging="720"/>
      </w:pPr>
      <w:r>
        <w:rPr>
          <w:sz w:val="20"/>
        </w:rPr>
        <w:t>36</w:t>
      </w:r>
      <w:r>
        <w:rPr>
          <w:sz w:val="20"/>
        </w:rPr>
        <w:tab/>
      </w:r>
      <w:r w:rsidR="00553EA8">
        <w:t xml:space="preserve">Section 60 provides: </w:t>
      </w:r>
    </w:p>
    <w:p w14:paraId="69BD3598" w14:textId="77777777" w:rsidR="00553EA8" w:rsidRPr="00F1046F" w:rsidRDefault="00553EA8" w:rsidP="00553EA8">
      <w:pPr>
        <w:pStyle w:val="Quote1"/>
        <w:rPr>
          <w:b/>
          <w:lang w:eastAsia="en-AU"/>
        </w:rPr>
      </w:pPr>
      <w:bookmarkStart w:id="17" w:name="_Toc115275220"/>
      <w:r>
        <w:rPr>
          <w:rStyle w:val="charsectno"/>
          <w:b/>
          <w:bCs/>
          <w:color w:val="000000"/>
        </w:rPr>
        <w:t>60</w:t>
      </w:r>
      <w:proofErr w:type="gramStart"/>
      <w:r>
        <w:t xml:space="preserve">  </w:t>
      </w:r>
      <w:r w:rsidRPr="00F1046F">
        <w:rPr>
          <w:b/>
        </w:rPr>
        <w:t>Stay</w:t>
      </w:r>
      <w:proofErr w:type="gramEnd"/>
      <w:r w:rsidRPr="00F1046F">
        <w:rPr>
          <w:b/>
        </w:rPr>
        <w:t xml:space="preserve"> of legal proceedings</w:t>
      </w:r>
      <w:bookmarkEnd w:id="17"/>
    </w:p>
    <w:p w14:paraId="1ABDEB0D" w14:textId="783F78AA" w:rsidR="00553EA8" w:rsidRDefault="00553EA8" w:rsidP="00553EA8">
      <w:pPr>
        <w:pStyle w:val="Quote1"/>
        <w:ind w:left="1440" w:hanging="703"/>
      </w:pPr>
      <w:r>
        <w:t>(1)</w:t>
      </w:r>
      <w:r>
        <w:tab/>
        <w:t>The Court may, at any time after the presentation of a petition, upon such terms and conditions as it thinks fit:</w:t>
      </w:r>
    </w:p>
    <w:p w14:paraId="02EF1B9B" w14:textId="2952530F" w:rsidR="00553EA8" w:rsidRDefault="00553EA8" w:rsidP="00553EA8">
      <w:pPr>
        <w:pStyle w:val="Quote2"/>
        <w:ind w:left="2160" w:hanging="720"/>
      </w:pPr>
      <w:r>
        <w:t>(a)</w:t>
      </w:r>
      <w:r>
        <w:tab/>
        <w:t>discharge an order made, whether before or after the commencement of this subsection, against the person or property of the debtor under any law relating to the imprisonment of fraudulent debtors and, in a case where the debtor is imprisoned or otherwise held in custody under such a law, discharge the debtor out of custody; or</w:t>
      </w:r>
    </w:p>
    <w:p w14:paraId="2A02C088" w14:textId="61793E83" w:rsidR="00553EA8" w:rsidRDefault="00553EA8" w:rsidP="00553EA8">
      <w:pPr>
        <w:pStyle w:val="Quote2"/>
        <w:ind w:left="2160" w:hanging="720"/>
      </w:pPr>
      <w:r>
        <w:t>(b)</w:t>
      </w:r>
      <w:r>
        <w:tab/>
      </w:r>
      <w:proofErr w:type="gramStart"/>
      <w:r>
        <w:t>stay</w:t>
      </w:r>
      <w:proofErr w:type="gramEnd"/>
      <w:r>
        <w:t xml:space="preserve"> any legal process, whether civil or criminal and whether instituted before or after the commencement of this subsection, against the person or property of the debtor:</w:t>
      </w:r>
    </w:p>
    <w:p w14:paraId="46A0F63A" w14:textId="53D58C9B" w:rsidR="00553EA8" w:rsidRDefault="00553EA8" w:rsidP="00B14117">
      <w:pPr>
        <w:pStyle w:val="Quote3"/>
        <w:ind w:left="2880" w:hanging="720"/>
      </w:pPr>
      <w:r>
        <w:lastRenderedPageBreak/>
        <w:t>(</w:t>
      </w:r>
      <w:proofErr w:type="spellStart"/>
      <w:r>
        <w:t>i</w:t>
      </w:r>
      <w:proofErr w:type="spellEnd"/>
      <w:r>
        <w:t>)</w:t>
      </w:r>
      <w:r>
        <w:tab/>
      </w:r>
      <w:proofErr w:type="gramStart"/>
      <w:r>
        <w:t>in</w:t>
      </w:r>
      <w:proofErr w:type="gramEnd"/>
      <w:r>
        <w:t xml:space="preserve"> respect of the non</w:t>
      </w:r>
      <w:r>
        <w:noBreakHyphen/>
        <w:t>payment of a provable debt or of a pecuniary penalty payable in consequence of the non</w:t>
      </w:r>
      <w:r>
        <w:noBreakHyphen/>
        <w:t>payment of a provable debt; or</w:t>
      </w:r>
    </w:p>
    <w:p w14:paraId="2812F13A" w14:textId="693C1DF6" w:rsidR="00553EA8" w:rsidRDefault="00553EA8" w:rsidP="00B14117">
      <w:pPr>
        <w:pStyle w:val="Quote3"/>
        <w:ind w:left="2880" w:hanging="720"/>
      </w:pPr>
      <w:r>
        <w:t>(ii)</w:t>
      </w:r>
      <w:r>
        <w:tab/>
      </w:r>
      <w:proofErr w:type="gramStart"/>
      <w:r>
        <w:t>in</w:t>
      </w:r>
      <w:proofErr w:type="gramEnd"/>
      <w:r>
        <w:t xml:space="preserve"> consequence of his or her refusal or failure to comply with an order of a court, whether made in civil or criminal proceedings, for the payment of a provable debt;</w:t>
      </w:r>
    </w:p>
    <w:p w14:paraId="79BD15F5" w14:textId="77777777" w:rsidR="00553EA8" w:rsidRDefault="00553EA8" w:rsidP="00553EA8">
      <w:pPr>
        <w:pStyle w:val="Quote2"/>
        <w:ind w:left="2160"/>
      </w:pPr>
      <w:r>
        <w:t>and, in a case where the debtor is imprisoned or otherwise held in custody in consequence of the non</w:t>
      </w:r>
      <w:r>
        <w:noBreakHyphen/>
        <w:t>payment of a provable debt or of a pecuniary penalty referred to in subparagraph (</w:t>
      </w:r>
      <w:proofErr w:type="spellStart"/>
      <w:r>
        <w:t>i</w:t>
      </w:r>
      <w:proofErr w:type="spellEnd"/>
      <w:r>
        <w:t>) or in consequence of his or her refusal or failure to comply with an order referred to in subparagraph (ii), discharge the debtor out of custody.</w:t>
      </w:r>
    </w:p>
    <w:p w14:paraId="66005AAD" w14:textId="7B3CA49E" w:rsidR="00553EA8" w:rsidRDefault="00553EA8" w:rsidP="00553EA8">
      <w:pPr>
        <w:pStyle w:val="Quote1"/>
        <w:ind w:left="1440" w:hanging="703"/>
      </w:pPr>
      <w:r>
        <w:t>(2)</w:t>
      </w:r>
      <w:r>
        <w:tab/>
        <w:t>An action commenced by a person who subsequently becomes a bankrupt is, upon his or her becoming a bankrupt, stayed until the trustee makes election, in writing, to prosecute or discontinue the action.</w:t>
      </w:r>
    </w:p>
    <w:p w14:paraId="36A396A9" w14:textId="72EEC73F" w:rsidR="00553EA8" w:rsidRDefault="00553EA8" w:rsidP="00553EA8">
      <w:pPr>
        <w:pStyle w:val="Quote1"/>
        <w:ind w:left="1440" w:hanging="703"/>
      </w:pPr>
      <w:r>
        <w:t>(3)</w:t>
      </w:r>
      <w:r>
        <w:tab/>
        <w:t>If the trustee does not make such an election within 28 days after notice of the action is served upon him or her by a defendant or other party to the action, he or she shall be deemed to have abandoned the action.</w:t>
      </w:r>
    </w:p>
    <w:p w14:paraId="3CD795E1" w14:textId="3F99AC94" w:rsidR="00553EA8" w:rsidRDefault="00553EA8" w:rsidP="00553EA8">
      <w:pPr>
        <w:pStyle w:val="Quote1"/>
        <w:ind w:left="1440" w:hanging="703"/>
      </w:pPr>
      <w:r>
        <w:t>(4)</w:t>
      </w:r>
      <w:r>
        <w:tab/>
        <w:t>Notwithstanding anything contained in this section, a bankrupt may continue, in his or her own name, an action commenced by him or her before he or she became a bankrupt in respect of:</w:t>
      </w:r>
    </w:p>
    <w:p w14:paraId="359DB354" w14:textId="00B84165" w:rsidR="00553EA8" w:rsidRDefault="00553EA8" w:rsidP="00553EA8">
      <w:pPr>
        <w:pStyle w:val="Quote2"/>
        <w:ind w:left="2160" w:hanging="720"/>
      </w:pPr>
      <w:r>
        <w:t>(a)</w:t>
      </w:r>
      <w:r>
        <w:tab/>
      </w:r>
      <w:proofErr w:type="gramStart"/>
      <w:r>
        <w:t>any</w:t>
      </w:r>
      <w:proofErr w:type="gramEnd"/>
      <w:r>
        <w:t xml:space="preserve"> personal injury or wrong done to the bankrupt, his or her spouse or de facto partner or a member of his or her family; or</w:t>
      </w:r>
    </w:p>
    <w:p w14:paraId="7DF56824" w14:textId="68B44A8C" w:rsidR="00553EA8" w:rsidRDefault="00553EA8" w:rsidP="00553EA8">
      <w:pPr>
        <w:pStyle w:val="Quote2"/>
        <w:ind w:left="2160" w:hanging="720"/>
      </w:pPr>
      <w:r>
        <w:t>(b)</w:t>
      </w:r>
      <w:r>
        <w:tab/>
      </w:r>
      <w:proofErr w:type="gramStart"/>
      <w:r>
        <w:t>the</w:t>
      </w:r>
      <w:proofErr w:type="gramEnd"/>
      <w:r>
        <w:t xml:space="preserve"> death of his or her spouse or de facto partner or of a member of his or her family.</w:t>
      </w:r>
    </w:p>
    <w:p w14:paraId="4AA929FC" w14:textId="77777777" w:rsidR="00553EA8" w:rsidRDefault="00553EA8" w:rsidP="00553EA8">
      <w:pPr>
        <w:pStyle w:val="Quote1"/>
      </w:pPr>
      <w:r>
        <w:t>Note:    See also subsection 5(6).</w:t>
      </w:r>
    </w:p>
    <w:p w14:paraId="56BC7A98" w14:textId="025F3947" w:rsidR="00553EA8" w:rsidRDefault="00553EA8" w:rsidP="00553EA8">
      <w:pPr>
        <w:pStyle w:val="Quote1"/>
        <w:ind w:left="1440" w:hanging="703"/>
      </w:pPr>
      <w:r>
        <w:t>(4A)</w:t>
      </w:r>
      <w:r>
        <w:tab/>
        <w:t>Notwithstanding paragraph (1</w:t>
      </w:r>
      <w:proofErr w:type="gramStart"/>
      <w:r>
        <w:t>)(</w:t>
      </w:r>
      <w:proofErr w:type="gramEnd"/>
      <w:r>
        <w:t>b), this section does not empower the Court to stay any proceedings under a proceeds of crime law.</w:t>
      </w:r>
    </w:p>
    <w:p w14:paraId="04D9B2A1" w14:textId="4084308B" w:rsidR="00553EA8" w:rsidRDefault="00553EA8" w:rsidP="00ED2A44">
      <w:pPr>
        <w:pStyle w:val="Quote1"/>
      </w:pPr>
      <w:r>
        <w:t>(5)</w:t>
      </w:r>
      <w:r>
        <w:tab/>
        <w:t>In this section, </w:t>
      </w:r>
      <w:r>
        <w:rPr>
          <w:b/>
          <w:bCs/>
          <w:i/>
          <w:iCs/>
        </w:rPr>
        <w:t>action</w:t>
      </w:r>
      <w:r>
        <w:t> means any civil proceeding, whether at law or in equity.</w:t>
      </w:r>
    </w:p>
    <w:p w14:paraId="33FCA3B2" w14:textId="368007F9" w:rsidR="00CB6F0B" w:rsidRDefault="008702F8" w:rsidP="008702F8">
      <w:pPr>
        <w:pStyle w:val="ParaNumbering"/>
        <w:numPr>
          <w:ilvl w:val="0"/>
          <w:numId w:val="0"/>
        </w:numPr>
        <w:ind w:hanging="720"/>
      </w:pPr>
      <w:r>
        <w:rPr>
          <w:sz w:val="20"/>
        </w:rPr>
        <w:t>37</w:t>
      </w:r>
      <w:r>
        <w:rPr>
          <w:sz w:val="20"/>
        </w:rPr>
        <w:tab/>
      </w:r>
      <w:r w:rsidR="00E345A5">
        <w:t xml:space="preserve">Section 60 </w:t>
      </w:r>
      <w:r w:rsidR="002043F5">
        <w:t xml:space="preserve">concerns the effect of bankruptcy on property and proceedings. It </w:t>
      </w:r>
      <w:r w:rsidR="00CB6F0B">
        <w:t>provides for circumstances where the court may intervene and discharge an order (s 60(1</w:t>
      </w:r>
      <w:proofErr w:type="gramStart"/>
      <w:r w:rsidR="00CB6F0B">
        <w:t>)(</w:t>
      </w:r>
      <w:proofErr w:type="gramEnd"/>
      <w:r w:rsidR="00CB6F0B">
        <w:t>a))</w:t>
      </w:r>
      <w:r w:rsidR="00B7575D">
        <w:t xml:space="preserve"> and</w:t>
      </w:r>
      <w:r w:rsidR="00CB6F0B">
        <w:t xml:space="preserve"> stay any legal process (s 60(1)(b)) including until a trustee makes an election (s 60(2)). In addition, s</w:t>
      </w:r>
      <w:r w:rsidR="00DD0872">
        <w:t> </w:t>
      </w:r>
      <w:r w:rsidR="00CB6F0B">
        <w:t>60(3) deems proceedings to have been abandoned where the trustee does not make an election to proceed within 28 days after notice of the action is served on him</w:t>
      </w:r>
      <w:r w:rsidR="002043F5">
        <w:t xml:space="preserve"> or her</w:t>
      </w:r>
      <w:r w:rsidR="00CB6F0B">
        <w:t>. The DH</w:t>
      </w:r>
      <w:r w:rsidR="00F40889">
        <w:t>S contends that this</w:t>
      </w:r>
      <w:r w:rsidR="00CB6F0B">
        <w:t xml:space="preserve"> </w:t>
      </w:r>
      <w:r w:rsidR="00F40889">
        <w:t>is the circumstance</w:t>
      </w:r>
      <w:r w:rsidR="00CB6F0B">
        <w:t xml:space="preserve"> here. Ms Luck claims</w:t>
      </w:r>
      <w:r w:rsidR="00E345A5">
        <w:t>,</w:t>
      </w:r>
      <w:r w:rsidR="00C67377">
        <w:t xml:space="preserve"> to the contrary</w:t>
      </w:r>
      <w:r w:rsidR="00E345A5">
        <w:t>,</w:t>
      </w:r>
      <w:r w:rsidR="00CB6F0B">
        <w:t xml:space="preserve"> that her proceedings are caught by </w:t>
      </w:r>
      <w:r w:rsidR="00F40889">
        <w:t xml:space="preserve">the exception under </w:t>
      </w:r>
      <w:r w:rsidR="00CB6F0B">
        <w:t>s 60(4) such that there can be no deemed abandonment arising from the inaction of the trustee.</w:t>
      </w:r>
    </w:p>
    <w:p w14:paraId="3B716CCD" w14:textId="1E86DAAE" w:rsidR="005941B9" w:rsidRPr="00770385" w:rsidRDefault="008702F8" w:rsidP="008702F8">
      <w:pPr>
        <w:pStyle w:val="ParaNumbering"/>
        <w:numPr>
          <w:ilvl w:val="0"/>
          <w:numId w:val="0"/>
        </w:numPr>
        <w:ind w:hanging="720"/>
      </w:pPr>
      <w:r w:rsidRPr="00770385">
        <w:rPr>
          <w:sz w:val="20"/>
        </w:rPr>
        <w:t>38</w:t>
      </w:r>
      <w:r w:rsidRPr="00770385">
        <w:rPr>
          <w:sz w:val="20"/>
        </w:rPr>
        <w:tab/>
      </w:r>
      <w:r w:rsidR="00B7575D" w:rsidRPr="00770385">
        <w:t xml:space="preserve">The parties agree </w:t>
      </w:r>
      <w:r w:rsidR="005941B9" w:rsidRPr="00770385">
        <w:t>that an appeal is within the meaning of “action” in s</w:t>
      </w:r>
      <w:r w:rsidR="00B7575D" w:rsidRPr="00770385">
        <w:t> </w:t>
      </w:r>
      <w:r w:rsidR="005941B9" w:rsidRPr="00770385">
        <w:t>60(5)</w:t>
      </w:r>
      <w:r w:rsidR="00E9543B" w:rsidRPr="00770385">
        <w:t xml:space="preserve">: </w:t>
      </w:r>
      <w:r w:rsidR="00E9543B" w:rsidRPr="00770385">
        <w:rPr>
          <w:b/>
          <w:bCs/>
          <w:i/>
          <w:iCs/>
        </w:rPr>
        <w:t>Cummin</w:t>
      </w:r>
      <w:r w:rsidR="00845D44" w:rsidRPr="00770385">
        <w:rPr>
          <w:b/>
          <w:bCs/>
          <w:i/>
          <w:iCs/>
        </w:rPr>
        <w:t>g</w:t>
      </w:r>
      <w:r w:rsidR="00E9543B" w:rsidRPr="00770385">
        <w:rPr>
          <w:b/>
          <w:bCs/>
          <w:i/>
          <w:iCs/>
        </w:rPr>
        <w:t>s</w:t>
      </w:r>
      <w:r w:rsidR="00E9543B" w:rsidRPr="00770385">
        <w:rPr>
          <w:i/>
          <w:iCs/>
        </w:rPr>
        <w:t xml:space="preserve"> v Claremont Petroleum NL</w:t>
      </w:r>
      <w:r w:rsidR="00E9543B" w:rsidRPr="00770385">
        <w:t xml:space="preserve"> </w:t>
      </w:r>
      <w:r w:rsidR="00F948E9" w:rsidRPr="00770385">
        <w:t>(1996) 185 CLR 124 at 130</w:t>
      </w:r>
      <w:r w:rsidR="00845D44" w:rsidRPr="00770385">
        <w:t xml:space="preserve"> per Brennan CJ, </w:t>
      </w:r>
      <w:proofErr w:type="spellStart"/>
      <w:r w:rsidR="00845D44" w:rsidRPr="00770385">
        <w:t>Gaudron</w:t>
      </w:r>
      <w:proofErr w:type="spellEnd"/>
      <w:r w:rsidR="00845D44" w:rsidRPr="00770385">
        <w:t xml:space="preserve"> and McHugh JJ.</w:t>
      </w:r>
    </w:p>
    <w:p w14:paraId="0967BC55" w14:textId="42D91EFE" w:rsidR="005941B9" w:rsidRPr="00BB1077" w:rsidRDefault="008702F8" w:rsidP="008702F8">
      <w:pPr>
        <w:pStyle w:val="ParaNumbering"/>
        <w:numPr>
          <w:ilvl w:val="0"/>
          <w:numId w:val="0"/>
        </w:numPr>
        <w:ind w:hanging="720"/>
      </w:pPr>
      <w:r w:rsidRPr="00BB1077">
        <w:rPr>
          <w:sz w:val="20"/>
        </w:rPr>
        <w:lastRenderedPageBreak/>
        <w:t>39</w:t>
      </w:r>
      <w:r w:rsidRPr="00BB1077">
        <w:rPr>
          <w:sz w:val="20"/>
        </w:rPr>
        <w:tab/>
      </w:r>
      <w:r w:rsidR="00553EA8">
        <w:t xml:space="preserve">It is uncontentious that Ms Luck </w:t>
      </w:r>
      <w:r w:rsidR="005941B9">
        <w:t>was</w:t>
      </w:r>
      <w:r w:rsidR="00553EA8">
        <w:t xml:space="preserve"> the</w:t>
      </w:r>
      <w:r w:rsidR="005941B9">
        <w:t xml:space="preserve"> subject of a sequestration order on 4 April 2017 by the Federal Circuit Court of Australia. </w:t>
      </w:r>
      <w:r w:rsidR="00553EA8">
        <w:t>Ms Luck</w:t>
      </w:r>
      <w:r w:rsidR="005941B9">
        <w:t xml:space="preserve"> was unsuccessful on appeal </w:t>
      </w:r>
      <w:r w:rsidR="00E56281">
        <w:t xml:space="preserve">in relation to the sequestration order </w:t>
      </w:r>
      <w:r w:rsidR="005941B9">
        <w:t>before the Full Court (</w:t>
      </w:r>
      <w:r w:rsidR="005941B9">
        <w:rPr>
          <w:i/>
        </w:rPr>
        <w:t xml:space="preserve">Luck v University of Southern Queensland </w:t>
      </w:r>
      <w:r w:rsidR="005941B9">
        <w:t>[2018] FCAFC 102) and was refused special leave to appeal to the High Court (</w:t>
      </w:r>
      <w:r w:rsidR="005941B9">
        <w:rPr>
          <w:i/>
        </w:rPr>
        <w:t xml:space="preserve">Luck v University of Southern Queensland </w:t>
      </w:r>
      <w:r w:rsidR="005941B9">
        <w:t>[2019] HCASL 20). As a result</w:t>
      </w:r>
      <w:r w:rsidR="00845D44">
        <w:t>,</w:t>
      </w:r>
      <w:r w:rsidR="005941B9">
        <w:t xml:space="preserve"> on or about 5 June 2019</w:t>
      </w:r>
      <w:r w:rsidR="00845D44">
        <w:t>,</w:t>
      </w:r>
      <w:r w:rsidR="005941B9">
        <w:t xml:space="preserve"> the </w:t>
      </w:r>
      <w:r w:rsidR="004668C5">
        <w:t xml:space="preserve">DHS </w:t>
      </w:r>
      <w:r w:rsidR="005941B9">
        <w:t xml:space="preserve">served notice of the appeal in this case on the </w:t>
      </w:r>
      <w:r w:rsidR="005941B9" w:rsidRPr="00565713">
        <w:rPr>
          <w:b/>
        </w:rPr>
        <w:t>Official Trustee</w:t>
      </w:r>
      <w:r w:rsidR="005941B9">
        <w:t xml:space="preserve"> in Bankruptcy, the trustee of </w:t>
      </w:r>
      <w:r w:rsidR="004668C5">
        <w:t>Ms Luck</w:t>
      </w:r>
      <w:r w:rsidR="005941B9">
        <w:t xml:space="preserve">’s bankrupt estate. </w:t>
      </w:r>
    </w:p>
    <w:p w14:paraId="6BB0C3C5" w14:textId="316D22B4" w:rsidR="005941B9" w:rsidRDefault="008702F8" w:rsidP="008702F8">
      <w:pPr>
        <w:pStyle w:val="ParaNumbering"/>
        <w:numPr>
          <w:ilvl w:val="0"/>
          <w:numId w:val="0"/>
        </w:numPr>
        <w:ind w:hanging="720"/>
      </w:pPr>
      <w:r>
        <w:rPr>
          <w:sz w:val="20"/>
        </w:rPr>
        <w:t>40</w:t>
      </w:r>
      <w:r>
        <w:rPr>
          <w:sz w:val="20"/>
        </w:rPr>
        <w:tab/>
      </w:r>
      <w:r w:rsidR="00EB3A97">
        <w:t xml:space="preserve">Although Ms Luck’s </w:t>
      </w:r>
      <w:r w:rsidR="00E56281">
        <w:t>present appeal proceedings predated her bankruptcy, t</w:t>
      </w:r>
      <w:r w:rsidR="005941B9">
        <w:t xml:space="preserve">he Official Trustee did not elect to prosecute or discontinue </w:t>
      </w:r>
      <w:r w:rsidR="00553EA8">
        <w:t>Ms Luck’s</w:t>
      </w:r>
      <w:r w:rsidR="005941B9">
        <w:t xml:space="preserve"> appeal. A</w:t>
      </w:r>
      <w:r w:rsidR="00553EA8">
        <w:t>ccordingly, the DHS</w:t>
      </w:r>
      <w:r w:rsidR="005941B9">
        <w:t xml:space="preserve"> submits that the trustee is deemed </w:t>
      </w:r>
      <w:r w:rsidR="00F35E1B">
        <w:t xml:space="preserve">by s 60(3) </w:t>
      </w:r>
      <w:r w:rsidR="005941B9">
        <w:t>to have abandoned the proceeding and</w:t>
      </w:r>
      <w:r w:rsidR="00F35E1B">
        <w:t>,</w:t>
      </w:r>
      <w:r w:rsidR="005941B9">
        <w:t xml:space="preserve"> on the basis of abandonment</w:t>
      </w:r>
      <w:r w:rsidR="002F1152">
        <w:t>,</w:t>
      </w:r>
      <w:r w:rsidR="005941B9">
        <w:t xml:space="preserve"> the appeal should be dismissed, or alternatively summarily dismissed.</w:t>
      </w:r>
    </w:p>
    <w:p w14:paraId="531AA908" w14:textId="76DA57F4" w:rsidR="005941B9" w:rsidRPr="00F04AE9" w:rsidRDefault="008702F8" w:rsidP="008702F8">
      <w:pPr>
        <w:pStyle w:val="ParaNumbering"/>
        <w:numPr>
          <w:ilvl w:val="0"/>
          <w:numId w:val="0"/>
        </w:numPr>
        <w:ind w:hanging="720"/>
      </w:pPr>
      <w:r w:rsidRPr="00F04AE9">
        <w:rPr>
          <w:sz w:val="20"/>
        </w:rPr>
        <w:t>41</w:t>
      </w:r>
      <w:r w:rsidRPr="00F04AE9">
        <w:rPr>
          <w:sz w:val="20"/>
        </w:rPr>
        <w:tab/>
      </w:r>
      <w:r w:rsidR="005941B9">
        <w:t xml:space="preserve">The </w:t>
      </w:r>
      <w:r w:rsidR="00553EA8">
        <w:t>DHS</w:t>
      </w:r>
      <w:r w:rsidR="005941B9">
        <w:t xml:space="preserve"> submits that the deemed abandonment which occurs by force of s 60(3) “destroys the trustee’s right to pursue the action” even though the underlying cause of action is not </w:t>
      </w:r>
      <w:r w:rsidR="00461BDF">
        <w:t xml:space="preserve">necessarily </w:t>
      </w:r>
      <w:r w:rsidR="005941B9">
        <w:t xml:space="preserve">extinguished. </w:t>
      </w:r>
      <w:r w:rsidR="001A21BB">
        <w:t>Subject then to the operation of s 60(4), Ms Luck has no standing to prosecute an appeal in her name</w:t>
      </w:r>
      <w:r w:rsidR="00D22422">
        <w:t xml:space="preserve">: </w:t>
      </w:r>
      <w:r w:rsidR="00D22422" w:rsidRPr="00D22422">
        <w:rPr>
          <w:i/>
          <w:iCs/>
        </w:rPr>
        <w:t>Cummings</w:t>
      </w:r>
      <w:r w:rsidR="00D22422">
        <w:t xml:space="preserve"> at 137-138. </w:t>
      </w:r>
      <w:r w:rsidR="00B7575D">
        <w:t xml:space="preserve"> </w:t>
      </w:r>
    </w:p>
    <w:p w14:paraId="31D120D9" w14:textId="0AC65C94" w:rsidR="00EA3220" w:rsidRDefault="008702F8" w:rsidP="008702F8">
      <w:pPr>
        <w:pStyle w:val="ParaNumbering"/>
        <w:numPr>
          <w:ilvl w:val="0"/>
          <w:numId w:val="0"/>
        </w:numPr>
        <w:ind w:hanging="720"/>
      </w:pPr>
      <w:r>
        <w:rPr>
          <w:sz w:val="20"/>
        </w:rPr>
        <w:t>42</w:t>
      </w:r>
      <w:r>
        <w:rPr>
          <w:sz w:val="20"/>
        </w:rPr>
        <w:tab/>
      </w:r>
      <w:r w:rsidR="00EA3220">
        <w:t>The purpose of s 60(4) is to be gleaned from its words (and that of its cognate provision under s</w:t>
      </w:r>
      <w:r w:rsidR="00317681">
        <w:t xml:space="preserve"> </w:t>
      </w:r>
      <w:r w:rsidR="00EA3220">
        <w:t>116(2</w:t>
      </w:r>
      <w:proofErr w:type="gramStart"/>
      <w:r w:rsidR="00EA3220">
        <w:t>)(</w:t>
      </w:r>
      <w:proofErr w:type="gramEnd"/>
      <w:r w:rsidR="00EA3220">
        <w:t xml:space="preserve">g)), as recognised by Allsop P, as </w:t>
      </w:r>
      <w:r w:rsidR="00B7575D">
        <w:t>t</w:t>
      </w:r>
      <w:r w:rsidR="00EA3220">
        <w:t xml:space="preserve">he </w:t>
      </w:r>
      <w:r w:rsidR="00B7575D">
        <w:t xml:space="preserve">Chief Justice </w:t>
      </w:r>
      <w:r w:rsidR="00EA3220">
        <w:t xml:space="preserve">then was, in </w:t>
      </w:r>
      <w:r w:rsidR="00EA3220" w:rsidRPr="0092695C">
        <w:rPr>
          <w:b/>
          <w:bCs/>
          <w:i/>
        </w:rPr>
        <w:t>Moss</w:t>
      </w:r>
      <w:r w:rsidR="0092695C" w:rsidRPr="0092695C">
        <w:rPr>
          <w:i/>
        </w:rPr>
        <w:t xml:space="preserve"> </w:t>
      </w:r>
      <w:r w:rsidR="0092695C" w:rsidRPr="003058CB">
        <w:rPr>
          <w:i/>
        </w:rPr>
        <w:t xml:space="preserve">v </w:t>
      </w:r>
      <w:proofErr w:type="spellStart"/>
      <w:r w:rsidR="0092695C" w:rsidRPr="003058CB">
        <w:rPr>
          <w:i/>
        </w:rPr>
        <w:t>Eaglestone</w:t>
      </w:r>
      <w:proofErr w:type="spellEnd"/>
      <w:r w:rsidR="0092695C" w:rsidRPr="00B314CE">
        <w:t xml:space="preserve"> </w:t>
      </w:r>
      <w:r w:rsidR="00FB371F">
        <w:t>[2011] NSWCA 404;</w:t>
      </w:r>
      <w:r w:rsidR="0092695C" w:rsidRPr="00B314CE">
        <w:t xml:space="preserve"> 83 NSWLR 476</w:t>
      </w:r>
      <w:r w:rsidR="00EA3220">
        <w:rPr>
          <w:i/>
        </w:rPr>
        <w:t xml:space="preserve"> </w:t>
      </w:r>
      <w:r w:rsidR="00EA3220">
        <w:t>at [64], namely that the distinction in s 60(4) and s 116(2)(g)</w:t>
      </w:r>
      <w:r w:rsidR="008831D7">
        <w:t xml:space="preserve"> between</w:t>
      </w:r>
      <w:r w:rsidR="00EA3220">
        <w:t xml:space="preserve"> person and property is a substantive one: </w:t>
      </w:r>
    </w:p>
    <w:p w14:paraId="3EE5EC17" w14:textId="221D19BB" w:rsidR="00EA3220" w:rsidRDefault="00FB371F" w:rsidP="0092695C">
      <w:pPr>
        <w:pStyle w:val="Quote1"/>
      </w:pPr>
      <w:r>
        <w:t xml:space="preserve">… </w:t>
      </w:r>
      <w:r w:rsidR="00EA3220">
        <w:t>It was a distinction made by courts and judges of the highest authority who declared it to be unjust and harsh that the estate of the bankrupt and the participating creditors should be swelled and advantaged by a wrong to the person or reputation of the bankrupt.</w:t>
      </w:r>
    </w:p>
    <w:p w14:paraId="3C7F58CE" w14:textId="0AEB952C" w:rsidR="00FE2220" w:rsidRDefault="008702F8" w:rsidP="008702F8">
      <w:pPr>
        <w:pStyle w:val="ParaNumbering"/>
        <w:numPr>
          <w:ilvl w:val="0"/>
          <w:numId w:val="0"/>
        </w:numPr>
        <w:ind w:hanging="720"/>
      </w:pPr>
      <w:r>
        <w:rPr>
          <w:sz w:val="20"/>
        </w:rPr>
        <w:t>43</w:t>
      </w:r>
      <w:r>
        <w:rPr>
          <w:sz w:val="20"/>
        </w:rPr>
        <w:tab/>
      </w:r>
      <w:r w:rsidR="00EA3220">
        <w:t>Section 116(2</w:t>
      </w:r>
      <w:proofErr w:type="gramStart"/>
      <w:r w:rsidR="00EA3220">
        <w:t>)(</w:t>
      </w:r>
      <w:proofErr w:type="gramEnd"/>
      <w:r w:rsidR="00EA3220">
        <w:t>g)</w:t>
      </w:r>
      <w:r w:rsidR="008831D7">
        <w:t>(</w:t>
      </w:r>
      <w:proofErr w:type="spellStart"/>
      <w:r w:rsidR="008831D7">
        <w:t>i</w:t>
      </w:r>
      <w:proofErr w:type="spellEnd"/>
      <w:r w:rsidR="008831D7">
        <w:t>)</w:t>
      </w:r>
      <w:r w:rsidR="00EA3220">
        <w:t xml:space="preserve"> excludes, from the property which is divisible among creditors, “any right of the bankrupt to </w:t>
      </w:r>
      <w:r w:rsidR="00FB371F">
        <w:t xml:space="preserve">recover damages or compensation … </w:t>
      </w:r>
      <w:r w:rsidR="008831D7">
        <w:t>for personal injury or wrong done to the bankrupt”.  It therefor</w:t>
      </w:r>
      <w:r w:rsidR="00E56281">
        <w:t>e</w:t>
      </w:r>
      <w:r w:rsidR="008831D7">
        <w:t xml:space="preserve"> </w:t>
      </w:r>
      <w:r w:rsidR="00EA3220">
        <w:t>picks up the same language as in s</w:t>
      </w:r>
      <w:r w:rsidR="00B7575D">
        <w:t> </w:t>
      </w:r>
      <w:r w:rsidR="00EA3220">
        <w:t xml:space="preserve">60(4). </w:t>
      </w:r>
    </w:p>
    <w:p w14:paraId="33898A27" w14:textId="6FAAEA4E" w:rsidR="009B6BEB" w:rsidRPr="008C096F" w:rsidRDefault="008702F8" w:rsidP="008702F8">
      <w:pPr>
        <w:pStyle w:val="ParaNumbering"/>
        <w:numPr>
          <w:ilvl w:val="0"/>
          <w:numId w:val="0"/>
        </w:numPr>
        <w:ind w:hanging="720"/>
      </w:pPr>
      <w:r w:rsidRPr="008C096F">
        <w:rPr>
          <w:sz w:val="20"/>
        </w:rPr>
        <w:t>44</w:t>
      </w:r>
      <w:r w:rsidRPr="008C096F">
        <w:rPr>
          <w:sz w:val="20"/>
        </w:rPr>
        <w:tab/>
      </w:r>
      <w:r w:rsidR="004E7660">
        <w:rPr>
          <w:iCs/>
        </w:rPr>
        <w:t xml:space="preserve">The purpose of s 60 was canvassed by Gray J in </w:t>
      </w:r>
      <w:r w:rsidR="009B6BEB">
        <w:rPr>
          <w:i/>
        </w:rPr>
        <w:t xml:space="preserve">Re </w:t>
      </w:r>
      <w:r w:rsidR="009B6BEB" w:rsidRPr="009310D0">
        <w:rPr>
          <w:i/>
        </w:rPr>
        <w:t>Lofthouse</w:t>
      </w:r>
      <w:r w:rsidR="009B6BEB">
        <w:rPr>
          <w:iCs/>
        </w:rPr>
        <w:t xml:space="preserve"> </w:t>
      </w:r>
      <w:r w:rsidR="00FB371F">
        <w:rPr>
          <w:iCs/>
        </w:rPr>
        <w:t xml:space="preserve">(In the matter of </w:t>
      </w:r>
      <w:proofErr w:type="spellStart"/>
      <w:r w:rsidR="00FB371F">
        <w:rPr>
          <w:iCs/>
        </w:rPr>
        <w:t>Guss</w:t>
      </w:r>
      <w:proofErr w:type="spellEnd"/>
      <w:r w:rsidR="00FB371F">
        <w:rPr>
          <w:iCs/>
        </w:rPr>
        <w:t xml:space="preserve">) </w:t>
      </w:r>
      <w:r w:rsidR="009B6BEB">
        <w:rPr>
          <w:iCs/>
        </w:rPr>
        <w:t>[2001] FCA 25</w:t>
      </w:r>
      <w:r w:rsidR="00BA443F">
        <w:rPr>
          <w:iCs/>
        </w:rPr>
        <w:t xml:space="preserve">; </w:t>
      </w:r>
      <w:r w:rsidR="00483F55">
        <w:rPr>
          <w:iCs/>
        </w:rPr>
        <w:t>107 FCR 151</w:t>
      </w:r>
      <w:r w:rsidR="004E7660">
        <w:rPr>
          <w:iCs/>
        </w:rPr>
        <w:t xml:space="preserve"> </w:t>
      </w:r>
      <w:r w:rsidR="009B6BEB">
        <w:t>at [18]-[20]:</w:t>
      </w:r>
      <w:r w:rsidR="009B6BEB">
        <w:rPr>
          <w:b/>
        </w:rPr>
        <w:t xml:space="preserve"> </w:t>
      </w:r>
    </w:p>
    <w:p w14:paraId="3E85B789" w14:textId="49DB2C6F" w:rsidR="009B6BEB" w:rsidRPr="00930E58" w:rsidRDefault="009B6BEB" w:rsidP="009B6BEB">
      <w:pPr>
        <w:pStyle w:val="Quote1"/>
        <w:ind w:left="1440" w:hanging="703"/>
        <w:rPr>
          <w:lang w:eastAsia="en-AU"/>
        </w:rPr>
      </w:pPr>
      <w:r w:rsidRPr="00930E58">
        <w:rPr>
          <w:lang w:eastAsia="en-AU"/>
        </w:rPr>
        <w:t>18</w:t>
      </w:r>
      <w:r>
        <w:rPr>
          <w:lang w:eastAsia="en-AU"/>
        </w:rPr>
        <w:tab/>
      </w:r>
      <w:r w:rsidRPr="00930E58">
        <w:rPr>
          <w:lang w:eastAsia="en-AU"/>
        </w:rPr>
        <w:t>Section 60 is an adjunct to the scheme of the Act whereby the property of a bankrupt passes to the bankrupt</w:t>
      </w:r>
      <w:r w:rsidR="0051657F">
        <w:rPr>
          <w:lang w:eastAsia="en-AU"/>
        </w:rPr>
        <w:t>’</w:t>
      </w:r>
      <w:r w:rsidRPr="00930E58">
        <w:rPr>
          <w:lang w:eastAsia="en-AU"/>
        </w:rPr>
        <w:t>s trustee</w:t>
      </w:r>
      <w:r>
        <w:rPr>
          <w:lang w:eastAsia="en-AU"/>
        </w:rPr>
        <w:t xml:space="preserve"> </w:t>
      </w:r>
      <w:r w:rsidRPr="00930E58">
        <w:rPr>
          <w:lang w:eastAsia="en-AU"/>
        </w:rPr>
        <w:t xml:space="preserve">consequent upon a sequestration order. By s 58 of the Act, the property of a bankrupt </w:t>
      </w:r>
      <w:r>
        <w:rPr>
          <w:lang w:eastAsia="en-AU"/>
        </w:rPr>
        <w:t xml:space="preserve">vests forthwith in the Official </w:t>
      </w:r>
      <w:r w:rsidRPr="00930E58">
        <w:rPr>
          <w:lang w:eastAsia="en-AU"/>
        </w:rPr>
        <w:t>Trustee or a trustee in bankruptcy when a debtor becomes a bankrupt. That section h</w:t>
      </w:r>
      <w:r>
        <w:rPr>
          <w:lang w:eastAsia="en-AU"/>
        </w:rPr>
        <w:t xml:space="preserve">as the effect of vesting in the </w:t>
      </w:r>
      <w:r w:rsidRPr="00930E58">
        <w:rPr>
          <w:lang w:eastAsia="en-AU"/>
        </w:rPr>
        <w:t>trustee in bankruptcy all rights of action in pending proceedings commenced by the b</w:t>
      </w:r>
      <w:r>
        <w:rPr>
          <w:lang w:eastAsia="en-AU"/>
        </w:rPr>
        <w:t xml:space="preserve">ankrupt. Even if it be the </w:t>
      </w:r>
      <w:r>
        <w:rPr>
          <w:lang w:eastAsia="en-AU"/>
        </w:rPr>
        <w:lastRenderedPageBreak/>
        <w:t xml:space="preserve">case </w:t>
      </w:r>
      <w:r w:rsidRPr="00930E58">
        <w:rPr>
          <w:lang w:eastAsia="en-AU"/>
        </w:rPr>
        <w:t>that property of which a bankrupt is a bare trustee for someone else does not pass to the t</w:t>
      </w:r>
      <w:r>
        <w:rPr>
          <w:lang w:eastAsia="en-AU"/>
        </w:rPr>
        <w:t xml:space="preserve">rustee in bankruptcy (because </w:t>
      </w:r>
      <w:r w:rsidRPr="00930E58">
        <w:rPr>
          <w:lang w:eastAsia="en-AU"/>
        </w:rPr>
        <w:t xml:space="preserve">such property is not available for distribution to the bankrupt's creditors), it does not follow that s 60 </w:t>
      </w:r>
      <w:r>
        <w:rPr>
          <w:lang w:eastAsia="en-AU"/>
        </w:rPr>
        <w:t xml:space="preserve">must be construed </w:t>
      </w:r>
      <w:r w:rsidRPr="00930E58">
        <w:rPr>
          <w:lang w:eastAsia="en-AU"/>
        </w:rPr>
        <w:t>as excluding proceedings brought by the bankrupt as trustee.</w:t>
      </w:r>
    </w:p>
    <w:p w14:paraId="2ADED38B" w14:textId="0D36007E" w:rsidR="009B6BEB" w:rsidRPr="00930E58" w:rsidRDefault="009B6BEB" w:rsidP="009B6BEB">
      <w:pPr>
        <w:pStyle w:val="Quote1"/>
        <w:ind w:left="1440" w:hanging="703"/>
        <w:rPr>
          <w:lang w:eastAsia="en-AU"/>
        </w:rPr>
      </w:pPr>
      <w:r w:rsidRPr="00930E58">
        <w:rPr>
          <w:lang w:eastAsia="en-AU"/>
        </w:rPr>
        <w:t>19</w:t>
      </w:r>
      <w:r>
        <w:rPr>
          <w:lang w:eastAsia="en-AU"/>
        </w:rPr>
        <w:tab/>
      </w:r>
      <w:r w:rsidRPr="00930E58">
        <w:rPr>
          <w:lang w:eastAsia="en-AU"/>
        </w:rPr>
        <w:t>Section 60 is not the provision that vests the ri</w:t>
      </w:r>
      <w:r>
        <w:rPr>
          <w:lang w:eastAsia="en-AU"/>
        </w:rPr>
        <w:t xml:space="preserve">ght of action in the trustee in </w:t>
      </w:r>
      <w:r w:rsidRPr="00930E58">
        <w:rPr>
          <w:lang w:eastAsia="en-AU"/>
        </w:rPr>
        <w:t>bankruptcy. It has a different, and in</w:t>
      </w:r>
      <w:r>
        <w:rPr>
          <w:lang w:eastAsia="en-AU"/>
        </w:rPr>
        <w:t xml:space="preserve"> </w:t>
      </w:r>
      <w:r w:rsidRPr="00930E58">
        <w:rPr>
          <w:lang w:eastAsia="en-AU"/>
        </w:rPr>
        <w:t>some respects wider, role. It operates to stay pending proceedings unless the trustee elects to prosecute or discontinue</w:t>
      </w:r>
      <w:r>
        <w:rPr>
          <w:lang w:eastAsia="en-AU"/>
        </w:rPr>
        <w:t xml:space="preserve"> </w:t>
      </w:r>
      <w:r w:rsidRPr="00930E58">
        <w:rPr>
          <w:lang w:eastAsia="en-AU"/>
        </w:rPr>
        <w:t xml:space="preserve">them. It also provides the machinery for a defendant or other party to a </w:t>
      </w:r>
      <w:r>
        <w:rPr>
          <w:lang w:eastAsia="en-AU"/>
        </w:rPr>
        <w:t xml:space="preserve">pending proceeding to force the </w:t>
      </w:r>
      <w:r w:rsidRPr="00930E58">
        <w:rPr>
          <w:lang w:eastAsia="en-AU"/>
        </w:rPr>
        <w:t>making of an election. It is directed towards the protection of the bankrupt's creditors</w:t>
      </w:r>
      <w:r>
        <w:rPr>
          <w:lang w:eastAsia="en-AU"/>
        </w:rPr>
        <w:t xml:space="preserve">, by preventing the unnecessary </w:t>
      </w:r>
      <w:r w:rsidRPr="00930E58">
        <w:rPr>
          <w:lang w:eastAsia="en-AU"/>
        </w:rPr>
        <w:t xml:space="preserve">dissipation of the assets of the estate in fruitless litigation. </w:t>
      </w:r>
      <w:r w:rsidRPr="00C97F3D">
        <w:rPr>
          <w:i/>
          <w:iCs/>
          <w:lang w:eastAsia="en-AU"/>
        </w:rPr>
        <w:t xml:space="preserve">In my view, s 60 also has the purpose of protecting a defendant or other party to a pending proceeding. A defendant or other party to a pending proceeding suffers an immediate detriment upon the plaintiff becoming a bankrupt. The detriment is that if the defendant or other party should be successful in the proceeding, and should obtain an order that the plaintiff pay the costs of the proceeding, the order will be effectively unenforceable because of the bankruptcy. </w:t>
      </w:r>
      <w:r w:rsidRPr="00930E58">
        <w:rPr>
          <w:lang w:eastAsia="en-AU"/>
        </w:rPr>
        <w:t xml:space="preserve">The rationale behind s 60(2) and (3) </w:t>
      </w:r>
      <w:r>
        <w:rPr>
          <w:lang w:eastAsia="en-AU"/>
        </w:rPr>
        <w:t xml:space="preserve">is therefore, </w:t>
      </w:r>
      <w:r w:rsidRPr="00930E58">
        <w:rPr>
          <w:lang w:eastAsia="en-AU"/>
        </w:rPr>
        <w:t>at least in part, to protect those whom the bankrupt has been suing. Such protection wou</w:t>
      </w:r>
      <w:r>
        <w:rPr>
          <w:lang w:eastAsia="en-AU"/>
        </w:rPr>
        <w:t xml:space="preserve">ld be lost if the word “action” </w:t>
      </w:r>
      <w:r w:rsidRPr="00930E58">
        <w:rPr>
          <w:lang w:eastAsia="en-AU"/>
        </w:rPr>
        <w:t>in s 60 were to be construed as excluding a proceeding in which the bankrupt has sued as a trustee for someone else.</w:t>
      </w:r>
    </w:p>
    <w:p w14:paraId="41664DFE" w14:textId="63D7C05E" w:rsidR="009B6BEB" w:rsidRDefault="009B6BEB" w:rsidP="009B6BEB">
      <w:pPr>
        <w:pStyle w:val="Quote1"/>
        <w:ind w:left="1440" w:hanging="703"/>
        <w:rPr>
          <w:lang w:eastAsia="en-AU"/>
        </w:rPr>
      </w:pPr>
      <w:r w:rsidRPr="00930E58">
        <w:rPr>
          <w:lang w:eastAsia="en-AU"/>
        </w:rPr>
        <w:t>20</w:t>
      </w:r>
      <w:r>
        <w:rPr>
          <w:lang w:eastAsia="en-AU"/>
        </w:rPr>
        <w:tab/>
      </w:r>
      <w:r w:rsidRPr="00930E58">
        <w:rPr>
          <w:lang w:eastAsia="en-AU"/>
        </w:rPr>
        <w:t>In my view, s 60 has been enacted deliberately as a broad provision, so as to encompass any proceeding brought</w:t>
      </w:r>
      <w:r>
        <w:rPr>
          <w:lang w:eastAsia="en-AU"/>
        </w:rPr>
        <w:t xml:space="preserve"> </w:t>
      </w:r>
      <w:r w:rsidRPr="00930E58">
        <w:rPr>
          <w:lang w:eastAsia="en-AU"/>
        </w:rPr>
        <w:t xml:space="preserve">by a bankrupt before bankruptcy. The exceptions have been expressed quite narrowly. </w:t>
      </w:r>
      <w:r w:rsidRPr="001D2BD2">
        <w:rPr>
          <w:i/>
          <w:iCs/>
          <w:lang w:eastAsia="en-AU"/>
        </w:rPr>
        <w:t xml:space="preserve">The intention is that, once a bankruptcy occurs, no further costs should be incurred in a proceeding unless the trustee in bankruptcy makes an election to continue the proceeding. </w:t>
      </w:r>
      <w:r w:rsidRPr="00930E58">
        <w:rPr>
          <w:lang w:eastAsia="en-AU"/>
        </w:rPr>
        <w:t>If such an election is made, the trustee in ba</w:t>
      </w:r>
      <w:r>
        <w:rPr>
          <w:lang w:eastAsia="en-AU"/>
        </w:rPr>
        <w:t xml:space="preserve">nkruptcy will ordinarily become </w:t>
      </w:r>
      <w:r w:rsidRPr="00930E58">
        <w:rPr>
          <w:lang w:eastAsia="en-AU"/>
        </w:rPr>
        <w:t>substituted as plaintiff in the pending proceeding, in the capacity of trustee in bankruptc</w:t>
      </w:r>
      <w:r>
        <w:rPr>
          <w:lang w:eastAsia="en-AU"/>
        </w:rPr>
        <w:t xml:space="preserve">y for the former plaintiff. The </w:t>
      </w:r>
      <w:r w:rsidRPr="00930E58">
        <w:rPr>
          <w:lang w:eastAsia="en-AU"/>
        </w:rPr>
        <w:t>trustee in bankruptcy will thereby become liable for the costs of the proceeding in the event that it is unsuccessful and</w:t>
      </w:r>
      <w:r>
        <w:rPr>
          <w:lang w:eastAsia="en-AU"/>
        </w:rPr>
        <w:t xml:space="preserve"> </w:t>
      </w:r>
      <w:r w:rsidRPr="00930E58">
        <w:rPr>
          <w:lang w:eastAsia="en-AU"/>
        </w:rPr>
        <w:t>a costs order is made in favour of the defendant in the</w:t>
      </w:r>
      <w:r>
        <w:rPr>
          <w:lang w:eastAsia="en-AU"/>
        </w:rPr>
        <w:t xml:space="preserve"> proceeding or some other party </w:t>
      </w:r>
      <w:r w:rsidRPr="00930E58">
        <w:rPr>
          <w:lang w:eastAsia="en-AU"/>
        </w:rPr>
        <w:t>to it. The trustee in bankruptcy</w:t>
      </w:r>
      <w:r>
        <w:rPr>
          <w:lang w:eastAsia="en-AU"/>
        </w:rPr>
        <w:t xml:space="preserve"> </w:t>
      </w:r>
      <w:r w:rsidRPr="00930E58">
        <w:rPr>
          <w:lang w:eastAsia="en-AU"/>
        </w:rPr>
        <w:t>may be entitled to an indemnity in respect of those costs out of the bankrupt estate, as</w:t>
      </w:r>
      <w:r>
        <w:rPr>
          <w:lang w:eastAsia="en-AU"/>
        </w:rPr>
        <w:t xml:space="preserve"> expenses of the administration </w:t>
      </w:r>
      <w:r w:rsidRPr="00930E58">
        <w:rPr>
          <w:lang w:eastAsia="en-AU"/>
        </w:rPr>
        <w:t>of the estate, to the extent to which the estate has assets. The trustee in bankruptcy will obviously con</w:t>
      </w:r>
      <w:r>
        <w:rPr>
          <w:lang w:eastAsia="en-AU"/>
        </w:rPr>
        <w:t xml:space="preserve">sider whether </w:t>
      </w:r>
      <w:r w:rsidRPr="00930E58">
        <w:rPr>
          <w:lang w:eastAsia="en-AU"/>
        </w:rPr>
        <w:t>continuing to prosecute the proceeding will be likely to have any benefit to the estate</w:t>
      </w:r>
      <w:r>
        <w:rPr>
          <w:lang w:eastAsia="en-AU"/>
        </w:rPr>
        <w:t xml:space="preserve"> of the bankrupt, and therefore </w:t>
      </w:r>
      <w:r w:rsidRPr="00930E58">
        <w:rPr>
          <w:lang w:eastAsia="en-AU"/>
        </w:rPr>
        <w:t>to the bankrupt's creditors. One of the elements that the trustee in bankruptcy will t</w:t>
      </w:r>
      <w:r>
        <w:rPr>
          <w:lang w:eastAsia="en-AU"/>
        </w:rPr>
        <w:t xml:space="preserve">ake into account is whether the </w:t>
      </w:r>
      <w:r w:rsidRPr="00930E58">
        <w:rPr>
          <w:lang w:eastAsia="en-AU"/>
        </w:rPr>
        <w:t>bankrupt is suing in a personal capacity or some other capacity, particularly that of t</w:t>
      </w:r>
      <w:r>
        <w:rPr>
          <w:lang w:eastAsia="en-AU"/>
        </w:rPr>
        <w:t xml:space="preserve">rustee for someone else. If the </w:t>
      </w:r>
      <w:r w:rsidRPr="00930E58">
        <w:rPr>
          <w:lang w:eastAsia="en-AU"/>
        </w:rPr>
        <w:t>bankrupt has sued as trustee for another person, and the estate will not benefit, the tru</w:t>
      </w:r>
      <w:r>
        <w:rPr>
          <w:lang w:eastAsia="en-AU"/>
        </w:rPr>
        <w:t xml:space="preserve">stee in bankruptcy would no </w:t>
      </w:r>
      <w:r w:rsidRPr="00930E58">
        <w:rPr>
          <w:lang w:eastAsia="en-AU"/>
        </w:rPr>
        <w:t>doubt usually elect not to continue to prosecute the proceeding. This would protect any defendant, an</w:t>
      </w:r>
      <w:r>
        <w:rPr>
          <w:lang w:eastAsia="en-AU"/>
        </w:rPr>
        <w:t xml:space="preserve">d perhaps other </w:t>
      </w:r>
      <w:r w:rsidRPr="00930E58">
        <w:rPr>
          <w:lang w:eastAsia="en-AU"/>
        </w:rPr>
        <w:t>parties to the proceeding, with respect to costs. Of course, it may impact on the beneficiary of the trust of w</w:t>
      </w:r>
      <w:r>
        <w:rPr>
          <w:lang w:eastAsia="en-AU"/>
        </w:rPr>
        <w:t xml:space="preserve">hich </w:t>
      </w:r>
      <w:r w:rsidRPr="00930E58">
        <w:rPr>
          <w:lang w:eastAsia="en-AU"/>
        </w:rPr>
        <w:t>the bankrupt claims to be trustee. The beneficiary may be forced to institute proceed</w:t>
      </w:r>
      <w:r>
        <w:rPr>
          <w:lang w:eastAsia="en-AU"/>
        </w:rPr>
        <w:t xml:space="preserve">ings in his or her own right to </w:t>
      </w:r>
      <w:r w:rsidRPr="00930E58">
        <w:rPr>
          <w:lang w:eastAsia="en-AU"/>
        </w:rPr>
        <w:t>enforce the trustee</w:t>
      </w:r>
      <w:r w:rsidR="00CD7EF1">
        <w:rPr>
          <w:lang w:eastAsia="en-AU"/>
        </w:rPr>
        <w:t>’</w:t>
      </w:r>
      <w:r w:rsidRPr="00930E58">
        <w:rPr>
          <w:lang w:eastAsia="en-AU"/>
        </w:rPr>
        <w:t xml:space="preserve">s legal right, as can be done where there are “exceptional circumstances”. See </w:t>
      </w:r>
      <w:proofErr w:type="spellStart"/>
      <w:r w:rsidRPr="00930E58">
        <w:rPr>
          <w:i/>
          <w:lang w:eastAsia="en-AU"/>
        </w:rPr>
        <w:t>Lamru</w:t>
      </w:r>
      <w:proofErr w:type="spellEnd"/>
      <w:r w:rsidRPr="00930E58">
        <w:rPr>
          <w:i/>
          <w:lang w:eastAsia="en-AU"/>
        </w:rPr>
        <w:t xml:space="preserve"> Pty Ltd v </w:t>
      </w:r>
      <w:proofErr w:type="spellStart"/>
      <w:r w:rsidRPr="00930E58">
        <w:rPr>
          <w:i/>
          <w:lang w:eastAsia="en-AU"/>
        </w:rPr>
        <w:t>Kation</w:t>
      </w:r>
      <w:proofErr w:type="spellEnd"/>
      <w:r w:rsidRPr="00930E58">
        <w:rPr>
          <w:i/>
          <w:lang w:eastAsia="en-AU"/>
        </w:rPr>
        <w:t xml:space="preserve"> Pty Ltd</w:t>
      </w:r>
      <w:r w:rsidRPr="00930E58">
        <w:rPr>
          <w:lang w:eastAsia="en-AU"/>
        </w:rPr>
        <w:t xml:space="preserve"> (1998) 44 NSWLR 432.</w:t>
      </w:r>
    </w:p>
    <w:p w14:paraId="0CCAE297" w14:textId="77777777" w:rsidR="009B6BEB" w:rsidRDefault="009B6BEB" w:rsidP="009B6BEB">
      <w:pPr>
        <w:pStyle w:val="Quote1"/>
        <w:ind w:left="1440" w:hanging="703"/>
        <w:rPr>
          <w:lang w:eastAsia="en-AU"/>
        </w:rPr>
      </w:pPr>
      <w:r>
        <w:rPr>
          <w:lang w:eastAsia="en-AU"/>
        </w:rPr>
        <w:tab/>
        <w:t>(Emphasis added)</w:t>
      </w:r>
    </w:p>
    <w:p w14:paraId="6B0C8902" w14:textId="719802A8" w:rsidR="00483F55" w:rsidRDefault="008702F8" w:rsidP="008702F8">
      <w:pPr>
        <w:pStyle w:val="ParaNumbering"/>
        <w:numPr>
          <w:ilvl w:val="0"/>
          <w:numId w:val="0"/>
        </w:numPr>
        <w:ind w:hanging="720"/>
      </w:pPr>
      <w:r>
        <w:rPr>
          <w:sz w:val="20"/>
        </w:rPr>
        <w:t>45</w:t>
      </w:r>
      <w:r>
        <w:rPr>
          <w:sz w:val="20"/>
        </w:rPr>
        <w:tab/>
      </w:r>
      <w:r w:rsidR="00483F55">
        <w:t>Consequently</w:t>
      </w:r>
      <w:r w:rsidR="00CD7EF1">
        <w:t xml:space="preserve">, </w:t>
      </w:r>
      <w:r w:rsidR="003E6C1E">
        <w:t>in circumstances such as the present, where the appeal was commenced by Ms</w:t>
      </w:r>
      <w:r w:rsidR="008831D7">
        <w:t> </w:t>
      </w:r>
      <w:r w:rsidR="003E6C1E">
        <w:t>Luck before the date of the sequestration order</w:t>
      </w:r>
      <w:r w:rsidR="00BB35CF">
        <w:t xml:space="preserve">, the appeal cannot now be revived by </w:t>
      </w:r>
      <w:r w:rsidR="00BB35CF">
        <w:lastRenderedPageBreak/>
        <w:t>Ms</w:t>
      </w:r>
      <w:r w:rsidR="008831D7">
        <w:t> </w:t>
      </w:r>
      <w:r w:rsidR="00BB35CF">
        <w:t>Luck in her name given the operation</w:t>
      </w:r>
      <w:r w:rsidR="00C91E85">
        <w:t xml:space="preserve"> of s 60(3). In </w:t>
      </w:r>
      <w:proofErr w:type="spellStart"/>
      <w:r w:rsidR="00C91E85" w:rsidRPr="002D2F9A">
        <w:rPr>
          <w:i/>
          <w:iCs/>
        </w:rPr>
        <w:t>Primelife</w:t>
      </w:r>
      <w:proofErr w:type="spellEnd"/>
      <w:r w:rsidR="00C91E85" w:rsidRPr="002D2F9A">
        <w:rPr>
          <w:i/>
          <w:iCs/>
        </w:rPr>
        <w:t xml:space="preserve"> Corporation Ltd v Buffalo</w:t>
      </w:r>
      <w:r w:rsidR="00C91E85">
        <w:t xml:space="preserve"> [2008] FCA 1742</w:t>
      </w:r>
      <w:r w:rsidR="002D2F9A">
        <w:t xml:space="preserve">, Jessup J referred to the judgment of the Full Court in </w:t>
      </w:r>
      <w:r w:rsidR="002D2F9A" w:rsidRPr="004168DC">
        <w:rPr>
          <w:i/>
          <w:iCs/>
        </w:rPr>
        <w:t>Fuller v Beach Petroleum NL</w:t>
      </w:r>
      <w:r w:rsidR="002D2F9A">
        <w:t xml:space="preserve"> </w:t>
      </w:r>
      <w:r w:rsidR="00FB371F">
        <w:t>[1993] FCA 453;</w:t>
      </w:r>
      <w:r w:rsidR="002D2F9A">
        <w:t xml:space="preserve"> </w:t>
      </w:r>
      <w:r w:rsidR="004168DC">
        <w:t>43 FCR 60 and said, at [35]:</w:t>
      </w:r>
    </w:p>
    <w:p w14:paraId="14D8FA49" w14:textId="53CC3837" w:rsidR="004168DC" w:rsidRPr="003B58E6" w:rsidRDefault="00FB371F" w:rsidP="00FB371F">
      <w:pPr>
        <w:pStyle w:val="Quote1"/>
      </w:pPr>
      <w:r>
        <w:t xml:space="preserve">… </w:t>
      </w:r>
      <w:r w:rsidR="002E1C70" w:rsidRPr="003B58E6">
        <w:t xml:space="preserve">I read this passage as recognising that it is a policy of s 60 that a respondent to a proceeding previously commenced by a bankrupt should not be subjected to the risk of </w:t>
      </w:r>
      <w:r w:rsidR="003830F6" w:rsidRPr="003B58E6">
        <w:t xml:space="preserve">sustaining further costs in that proceeding. It follows, in my </w:t>
      </w:r>
      <w:proofErr w:type="gramStart"/>
      <w:r w:rsidR="003830F6" w:rsidRPr="003B58E6">
        <w:t>view,</w:t>
      </w:r>
      <w:r w:rsidR="00011B64" w:rsidRPr="003B58E6">
        <w:t xml:space="preserve"> that</w:t>
      </w:r>
      <w:proofErr w:type="gramEnd"/>
      <w:r w:rsidR="00011B64" w:rsidRPr="003B58E6">
        <w:t xml:space="preserve"> the </w:t>
      </w:r>
      <w:r w:rsidR="002E1C70" w:rsidRPr="003B58E6">
        <w:t>abandonment of such a proceeding under sub</w:t>
      </w:r>
      <w:r>
        <w:t>s</w:t>
      </w:r>
      <w:r w:rsidR="002E1C70" w:rsidRPr="003B58E6">
        <w:t xml:space="preserve"> (</w:t>
      </w:r>
      <w:r w:rsidR="003830F6" w:rsidRPr="003B58E6">
        <w:t>3)</w:t>
      </w:r>
      <w:r w:rsidR="00011B64" w:rsidRPr="003B58E6">
        <w:t xml:space="preserve"> should, as a matter of law, be regarded as bringing it to an end finally, without any prospect of revival. If it were possible, notwithstanding such an abandonment, for the trustee of a bankrupt estate (or the bankrupt himself or herself after discharge) to apply for the reinstatement of the proceeding, the respondent could never confidently close the file, as it were.</w:t>
      </w:r>
    </w:p>
    <w:p w14:paraId="5C0BF80A" w14:textId="06908702" w:rsidR="007E74F3" w:rsidRDefault="008702F8" w:rsidP="008702F8">
      <w:pPr>
        <w:pStyle w:val="ParaNumbering"/>
        <w:numPr>
          <w:ilvl w:val="0"/>
          <w:numId w:val="0"/>
        </w:numPr>
        <w:ind w:hanging="720"/>
      </w:pPr>
      <w:r>
        <w:rPr>
          <w:sz w:val="20"/>
        </w:rPr>
        <w:t>46</w:t>
      </w:r>
      <w:r>
        <w:rPr>
          <w:sz w:val="20"/>
        </w:rPr>
        <w:tab/>
      </w:r>
      <w:r w:rsidR="0051657F">
        <w:t xml:space="preserve">Similarly, </w:t>
      </w:r>
      <w:r w:rsidR="007E74F3">
        <w:t xml:space="preserve">in </w:t>
      </w:r>
      <w:r w:rsidR="005B513C" w:rsidRPr="00765019">
        <w:rPr>
          <w:b/>
          <w:i/>
        </w:rPr>
        <w:t>Garrett</w:t>
      </w:r>
      <w:r w:rsidR="005B513C">
        <w:rPr>
          <w:i/>
        </w:rPr>
        <w:t xml:space="preserve"> v Federal Commissioner of Taxation</w:t>
      </w:r>
      <w:r w:rsidR="00FB371F">
        <w:t xml:space="preserve"> [2015] FCA 665;</w:t>
      </w:r>
      <w:r w:rsidR="005B513C">
        <w:t xml:space="preserve"> 233 FCR 226</w:t>
      </w:r>
      <w:r w:rsidR="00A8186D">
        <w:t xml:space="preserve"> at [35]</w:t>
      </w:r>
      <w:r w:rsidR="00767D24">
        <w:t xml:space="preserve">, Kenny J drew attention to </w:t>
      </w:r>
      <w:r w:rsidR="000A044C">
        <w:t>the</w:t>
      </w:r>
      <w:r w:rsidR="007E74F3">
        <w:t xml:space="preserve"> purpose of s 60(2), which </w:t>
      </w:r>
      <w:r w:rsidR="00A8186D">
        <w:t xml:space="preserve">the DHS submitted </w:t>
      </w:r>
      <w:r w:rsidR="007E74F3">
        <w:t>assists one’s interpretation of s 60(4), namely its intention is to protect a successful respondent fr</w:t>
      </w:r>
      <w:r w:rsidR="004250ED">
        <w:t>o</w:t>
      </w:r>
      <w:r w:rsidR="007E74F3">
        <w:t>m losing the practical opportunity to recover costs:</w:t>
      </w:r>
    </w:p>
    <w:p w14:paraId="4073BF95" w14:textId="3FE74145" w:rsidR="009B6BEB" w:rsidRPr="00FB371F" w:rsidRDefault="00FB371F" w:rsidP="00FB371F">
      <w:pPr>
        <w:pStyle w:val="Quote1"/>
        <w:rPr>
          <w:lang w:eastAsia="en-AU"/>
        </w:rPr>
      </w:pPr>
      <w:r w:rsidRPr="00FB371F">
        <w:rPr>
          <w:lang w:eastAsia="en-AU"/>
        </w:rPr>
        <w:t>Whilst </w:t>
      </w:r>
      <w:r w:rsidRPr="00FB371F">
        <w:rPr>
          <w:i/>
          <w:iCs/>
          <w:lang w:eastAsia="en-AU"/>
        </w:rPr>
        <w:t>Lofthouse </w:t>
      </w:r>
      <w:hyperlink r:id="rId17" w:history="1">
        <w:r w:rsidRPr="00FB371F">
          <w:rPr>
            <w:lang w:eastAsia="en-AU"/>
          </w:rPr>
          <w:t>107 FCR 151</w:t>
        </w:r>
      </w:hyperlink>
      <w:r w:rsidRPr="00FB371F">
        <w:rPr>
          <w:lang w:eastAsia="en-AU"/>
        </w:rPr>
        <w:t> and </w:t>
      </w:r>
      <w:hyperlink r:id="rId18" w:history="1">
        <w:r w:rsidRPr="00FB371F">
          <w:rPr>
            <w:i/>
            <w:iCs/>
            <w:lang w:eastAsia="en-AU"/>
          </w:rPr>
          <w:t>Duckworth</w:t>
        </w:r>
      </w:hyperlink>
      <w:r w:rsidRPr="00FB371F">
        <w:rPr>
          <w:lang w:eastAsia="en-AU"/>
        </w:rPr>
        <w:t> 261 FLR 185 did not specifically deal with the issue arising in this case, they nonetheless provide firm support for the propositions referred to at </w:t>
      </w:r>
      <w:hyperlink r:id="rId19" w:history="1">
        <w:r w:rsidRPr="00FB371F">
          <w:rPr>
            <w:lang w:eastAsia="en-AU"/>
          </w:rPr>
          <w:t>[27]</w:t>
        </w:r>
      </w:hyperlink>
      <w:r w:rsidRPr="00FB371F">
        <w:rPr>
          <w:lang w:eastAsia="en-AU"/>
        </w:rPr>
        <w:t> above: namely, that s </w:t>
      </w:r>
      <w:hyperlink r:id="rId20" w:history="1">
        <w:r w:rsidRPr="00FB371F">
          <w:rPr>
            <w:lang w:eastAsia="en-AU"/>
          </w:rPr>
          <w:t>60(2)</w:t>
        </w:r>
      </w:hyperlink>
      <w:r w:rsidRPr="00FB371F">
        <w:rPr>
          <w:lang w:eastAsia="en-AU"/>
        </w:rPr>
        <w:t> is intended to protect a successful respondent from losing the practical opportunity to recover costs and applies to any action instituted by the bankrupt before bankruptcy, irrespective of whether there is a connection between the action and the bankrupt estate beyond the fact that the bankrupt had commenced the action before becoming a bankrupt. </w:t>
      </w:r>
      <w:hyperlink r:id="rId21" w:history="1">
        <w:r w:rsidRPr="00FB371F">
          <w:rPr>
            <w:i/>
            <w:iCs/>
            <w:lang w:eastAsia="en-AU"/>
          </w:rPr>
          <w:t>Re Lofthouse </w:t>
        </w:r>
      </w:hyperlink>
      <w:r w:rsidRPr="00FB371F">
        <w:rPr>
          <w:lang w:eastAsia="en-AU"/>
        </w:rPr>
        <w:t>107 FCR 151 and </w:t>
      </w:r>
      <w:hyperlink r:id="rId22" w:history="1">
        <w:r w:rsidRPr="00FB371F">
          <w:rPr>
            <w:i/>
            <w:iCs/>
            <w:lang w:eastAsia="en-AU"/>
          </w:rPr>
          <w:t>Duckworth</w:t>
        </w:r>
      </w:hyperlink>
      <w:r w:rsidRPr="00FB371F">
        <w:rPr>
          <w:lang w:eastAsia="en-AU"/>
        </w:rPr>
        <w:t> 261 FLR 185 do not support the supposed implied limitation on pre-bankruptcy actions begun by the bankrupt that are subject to s </w:t>
      </w:r>
      <w:hyperlink r:id="rId23" w:history="1">
        <w:r w:rsidRPr="00FB371F">
          <w:rPr>
            <w:lang w:eastAsia="en-AU"/>
          </w:rPr>
          <w:t>60(2)</w:t>
        </w:r>
      </w:hyperlink>
      <w:r w:rsidRPr="00FB371F">
        <w:rPr>
          <w:lang w:eastAsia="en-AU"/>
        </w:rPr>
        <w:t>. The interpretation of s </w:t>
      </w:r>
      <w:hyperlink r:id="rId24" w:history="1">
        <w:r w:rsidRPr="00FB371F">
          <w:rPr>
            <w:lang w:eastAsia="en-AU"/>
          </w:rPr>
          <w:t>60(2)</w:t>
        </w:r>
      </w:hyperlink>
      <w:r w:rsidRPr="00FB371F">
        <w:rPr>
          <w:lang w:eastAsia="en-AU"/>
        </w:rPr>
        <w:t> in </w:t>
      </w:r>
      <w:hyperlink r:id="rId25" w:history="1">
        <w:r w:rsidRPr="00FB371F">
          <w:rPr>
            <w:i/>
            <w:iCs/>
            <w:lang w:eastAsia="en-AU"/>
          </w:rPr>
          <w:t>Re Lofthouse </w:t>
        </w:r>
      </w:hyperlink>
      <w:r w:rsidRPr="00FB371F">
        <w:rPr>
          <w:lang w:eastAsia="en-AU"/>
        </w:rPr>
        <w:t>107 FCR 151 and </w:t>
      </w:r>
      <w:hyperlink r:id="rId26" w:history="1">
        <w:r w:rsidRPr="00FB371F">
          <w:rPr>
            <w:i/>
            <w:iCs/>
            <w:lang w:eastAsia="en-AU"/>
          </w:rPr>
          <w:t>Duckworth</w:t>
        </w:r>
      </w:hyperlink>
      <w:r w:rsidRPr="00FB371F">
        <w:rPr>
          <w:lang w:eastAsia="en-AU"/>
        </w:rPr>
        <w:t> 261 FLR 185 should be applied in deciding whether that provision should be construed to apply to Mr Garrett’s application for leave to institute an appeal under s </w:t>
      </w:r>
      <w:hyperlink r:id="rId27" w:history="1">
        <w:r w:rsidRPr="00FB371F">
          <w:rPr>
            <w:lang w:eastAsia="en-AU"/>
          </w:rPr>
          <w:t>37AR</w:t>
        </w:r>
      </w:hyperlink>
      <w:r w:rsidRPr="00FB371F">
        <w:rPr>
          <w:lang w:eastAsia="en-AU"/>
        </w:rPr>
        <w:t> of the </w:t>
      </w:r>
      <w:hyperlink r:id="rId28" w:history="1">
        <w:r w:rsidRPr="00FB371F">
          <w:rPr>
            <w:lang w:eastAsia="en-AU"/>
          </w:rPr>
          <w:t>Federal Court Act</w:t>
        </w:r>
      </w:hyperlink>
      <w:r w:rsidRPr="00FB371F">
        <w:rPr>
          <w:lang w:eastAsia="en-AU"/>
        </w:rPr>
        <w:t>.</w:t>
      </w:r>
    </w:p>
    <w:p w14:paraId="2C1A417F" w14:textId="319A4687" w:rsidR="005941B9" w:rsidRDefault="008702F8" w:rsidP="008702F8">
      <w:pPr>
        <w:pStyle w:val="ParaNumbering"/>
        <w:numPr>
          <w:ilvl w:val="0"/>
          <w:numId w:val="0"/>
        </w:numPr>
        <w:ind w:hanging="720"/>
      </w:pPr>
      <w:r>
        <w:rPr>
          <w:sz w:val="20"/>
        </w:rPr>
        <w:t>47</w:t>
      </w:r>
      <w:r>
        <w:rPr>
          <w:sz w:val="20"/>
        </w:rPr>
        <w:tab/>
      </w:r>
      <w:r w:rsidR="00553EA8">
        <w:t>Accordingly, t</w:t>
      </w:r>
      <w:r w:rsidR="005941B9">
        <w:t>his application depends upon the characterisation of Ms Luck’s substantive claim, namely whether it can be characterised as one “in respect of any personal injury or wrong done to the bankrupt”: s 60(4).</w:t>
      </w:r>
    </w:p>
    <w:p w14:paraId="19A9CA8F" w14:textId="49BB4D88" w:rsidR="00810DC8" w:rsidRPr="00B314CE" w:rsidRDefault="008702F8" w:rsidP="008702F8">
      <w:pPr>
        <w:pStyle w:val="ParaNumbering"/>
        <w:numPr>
          <w:ilvl w:val="0"/>
          <w:numId w:val="0"/>
        </w:numPr>
        <w:ind w:hanging="720"/>
      </w:pPr>
      <w:r w:rsidRPr="00B314CE">
        <w:rPr>
          <w:sz w:val="20"/>
        </w:rPr>
        <w:t>48</w:t>
      </w:r>
      <w:r w:rsidRPr="00B314CE">
        <w:rPr>
          <w:sz w:val="20"/>
        </w:rPr>
        <w:tab/>
      </w:r>
      <w:r w:rsidR="00810DC8" w:rsidRPr="00B314CE">
        <w:t xml:space="preserve">Proceedings that have been held to be </w:t>
      </w:r>
      <w:r w:rsidR="00D22422">
        <w:t>“</w:t>
      </w:r>
      <w:r w:rsidR="00810DC8" w:rsidRPr="00B314CE">
        <w:t>in respect of any personal injury or wrong done to the bankrupt</w:t>
      </w:r>
      <w:r w:rsidR="00D22422">
        <w:t>”</w:t>
      </w:r>
      <w:r w:rsidR="00810DC8" w:rsidRPr="00B314CE">
        <w:t xml:space="preserve"> include: </w:t>
      </w:r>
    </w:p>
    <w:p w14:paraId="489A14E7" w14:textId="553ABEEC" w:rsidR="00B14117" w:rsidRDefault="008702F8" w:rsidP="008702F8">
      <w:pPr>
        <w:pStyle w:val="ListNo1alt"/>
        <w:numPr>
          <w:ilvl w:val="0"/>
          <w:numId w:val="0"/>
        </w:numPr>
        <w:tabs>
          <w:tab w:val="left" w:pos="720"/>
        </w:tabs>
        <w:ind w:left="720" w:hanging="720"/>
      </w:pPr>
      <w:r>
        <w:t>(a)</w:t>
      </w:r>
      <w:r>
        <w:tab/>
      </w:r>
      <w:r w:rsidR="00810DC8" w:rsidRPr="00B14117">
        <w:rPr>
          <w:b/>
          <w:bCs/>
          <w:i/>
        </w:rPr>
        <w:t>Mos</w:t>
      </w:r>
      <w:r w:rsidR="001A5F5E" w:rsidRPr="00B14117">
        <w:rPr>
          <w:b/>
          <w:bCs/>
          <w:i/>
        </w:rPr>
        <w:t>s</w:t>
      </w:r>
      <w:r w:rsidR="00810DC8" w:rsidRPr="00B314CE">
        <w:t xml:space="preserve">, in which an action for </w:t>
      </w:r>
      <w:r w:rsidR="001A5F5E" w:rsidRPr="00B314CE">
        <w:t xml:space="preserve">professional </w:t>
      </w:r>
      <w:r w:rsidR="00810DC8" w:rsidRPr="00B314CE">
        <w:t xml:space="preserve">negligence against a solicitor in relation to a failure to plead a case </w:t>
      </w:r>
      <w:r w:rsidR="00B314CE">
        <w:t>o</w:t>
      </w:r>
      <w:r w:rsidR="00810DC8" w:rsidRPr="00B314CE">
        <w:t xml:space="preserve">f defamation in earlier litigation was excluded from s </w:t>
      </w:r>
      <w:r w:rsidR="00810DC8">
        <w:t xml:space="preserve">60(2) </w:t>
      </w:r>
      <w:r w:rsidR="00B314CE">
        <w:t>b</w:t>
      </w:r>
      <w:r w:rsidR="00810DC8" w:rsidRPr="00B314CE">
        <w:t>y the operation of s 60(4). Allsop P review</w:t>
      </w:r>
      <w:r w:rsidR="0092695C">
        <w:t>ed</w:t>
      </w:r>
      <w:r w:rsidR="00810DC8" w:rsidRPr="00B314CE">
        <w:t xml:space="preserve"> the legislative history and authorities relating to s 60(4), and concluded that it reflects a distinction of long standing between actions relating to rights to the person and rights concerning property. Only if the </w:t>
      </w:r>
      <w:r w:rsidR="00810DC8" w:rsidRPr="00B314CE">
        <w:lastRenderedPageBreak/>
        <w:t>personal hurt or wrong is inseverable from a claim relating to property will it fall outside the scope of s 6</w:t>
      </w:r>
      <w:r w:rsidR="00810DC8">
        <w:t>0(4</w:t>
      </w:r>
      <w:r w:rsidR="00B314CE">
        <w:t>);</w:t>
      </w:r>
    </w:p>
    <w:p w14:paraId="58ACA0DC" w14:textId="2DE56AB0" w:rsidR="00B14117" w:rsidRDefault="008702F8" w:rsidP="008702F8">
      <w:pPr>
        <w:pStyle w:val="ListNo1alt"/>
        <w:numPr>
          <w:ilvl w:val="0"/>
          <w:numId w:val="0"/>
        </w:numPr>
        <w:tabs>
          <w:tab w:val="left" w:pos="720"/>
        </w:tabs>
        <w:ind w:left="720" w:hanging="720"/>
      </w:pPr>
      <w:r>
        <w:t>(b)</w:t>
      </w:r>
      <w:r>
        <w:tab/>
      </w:r>
      <w:r w:rsidR="00810DC8" w:rsidRPr="00B14117">
        <w:rPr>
          <w:i/>
        </w:rPr>
        <w:t>Sheehan v Brett</w:t>
      </w:r>
      <w:r w:rsidR="00B14D29" w:rsidRPr="00B14117">
        <w:rPr>
          <w:i/>
        </w:rPr>
        <w:t>-</w:t>
      </w:r>
      <w:r w:rsidR="00810DC8" w:rsidRPr="00B14117">
        <w:rPr>
          <w:i/>
        </w:rPr>
        <w:t>Young</w:t>
      </w:r>
      <w:r w:rsidR="00FB371F">
        <w:t xml:space="preserve"> </w:t>
      </w:r>
      <w:r w:rsidR="00FB371F" w:rsidRPr="00B14117">
        <w:rPr>
          <w:i/>
        </w:rPr>
        <w:t xml:space="preserve">&amp; </w:t>
      </w:r>
      <w:proofErr w:type="spellStart"/>
      <w:r w:rsidR="00FB371F" w:rsidRPr="00B14117">
        <w:rPr>
          <w:i/>
        </w:rPr>
        <w:t>Ors</w:t>
      </w:r>
      <w:proofErr w:type="spellEnd"/>
      <w:r w:rsidR="00FB371F" w:rsidRPr="00B14117">
        <w:rPr>
          <w:i/>
        </w:rPr>
        <w:t xml:space="preserve"> (No 3) </w:t>
      </w:r>
      <w:r w:rsidR="00810DC8" w:rsidRPr="00B14D29">
        <w:t>[2016] VS</w:t>
      </w:r>
      <w:r w:rsidR="00B314CE" w:rsidRPr="00B314CE">
        <w:t>C 39, where the Supreme Court o</w:t>
      </w:r>
      <w:r w:rsidR="00810DC8" w:rsidRPr="00B14D29">
        <w:t>f Victoria held that claims based on malicious prosecution and misfeasance in public office against the applicant were excluded from the operation of s 60(2) by s 60(4)</w:t>
      </w:r>
      <w:r w:rsidR="00B314CE">
        <w:t>;</w:t>
      </w:r>
      <w:r w:rsidR="00057B01">
        <w:t xml:space="preserve"> and</w:t>
      </w:r>
    </w:p>
    <w:p w14:paraId="0ED3F851" w14:textId="65C411A2" w:rsidR="0042292F" w:rsidRDefault="008702F8" w:rsidP="008702F8">
      <w:pPr>
        <w:pStyle w:val="ListNo1alt"/>
        <w:numPr>
          <w:ilvl w:val="0"/>
          <w:numId w:val="0"/>
        </w:numPr>
        <w:tabs>
          <w:tab w:val="left" w:pos="720"/>
        </w:tabs>
        <w:ind w:left="720" w:hanging="720"/>
      </w:pPr>
      <w:r>
        <w:t>(c)</w:t>
      </w:r>
      <w:r>
        <w:tab/>
      </w:r>
      <w:r w:rsidR="00810DC8" w:rsidRPr="00B14117">
        <w:rPr>
          <w:b/>
          <w:i/>
        </w:rPr>
        <w:t>Fisher</w:t>
      </w:r>
      <w:r w:rsidR="00810DC8" w:rsidRPr="00B14117">
        <w:rPr>
          <w:i/>
        </w:rPr>
        <w:t xml:space="preserve"> v Transport </w:t>
      </w:r>
      <w:r w:rsidR="00B314CE" w:rsidRPr="00B14117">
        <w:rPr>
          <w:i/>
        </w:rPr>
        <w:t>fo</w:t>
      </w:r>
      <w:r w:rsidR="00810DC8" w:rsidRPr="00B14117">
        <w:rPr>
          <w:i/>
        </w:rPr>
        <w:t>r N</w:t>
      </w:r>
      <w:r w:rsidR="00B314CE" w:rsidRPr="00B14117">
        <w:rPr>
          <w:i/>
        </w:rPr>
        <w:t>S</w:t>
      </w:r>
      <w:r w:rsidR="00810DC8" w:rsidRPr="00B14117">
        <w:rPr>
          <w:i/>
        </w:rPr>
        <w:t>W</w:t>
      </w:r>
      <w:r w:rsidR="00810DC8" w:rsidRPr="00B314CE">
        <w:t xml:space="preserve"> [2016] NSWSC 1888, where the Supreme Court of NSW concluded that an appeal on a </w:t>
      </w:r>
      <w:r w:rsidR="00810DC8">
        <w:t xml:space="preserve">question </w:t>
      </w:r>
      <w:r w:rsidR="00B314CE">
        <w:t>o</w:t>
      </w:r>
      <w:r w:rsidR="00810DC8" w:rsidRPr="00B314CE">
        <w:t xml:space="preserve">f law from an administrative tribunal was a proceeding in respect of a wrong done to a bankrupt under s 60(4), where the tribunal had affirmed a decision to cancel a licence on the ground that the applicant was not a fit and proper person on the basis of their character and behaviour. </w:t>
      </w:r>
      <w:r w:rsidR="00937E20">
        <w:t>Justice McCallum reasoned</w:t>
      </w:r>
      <w:r w:rsidR="0055066C">
        <w:t xml:space="preserve">, at </w:t>
      </w:r>
      <w:r w:rsidR="0042292F">
        <w:t>[37]:</w:t>
      </w:r>
    </w:p>
    <w:p w14:paraId="6404CDAE" w14:textId="0E2BC0FF" w:rsidR="00810DC8" w:rsidRPr="005F3D07" w:rsidRDefault="0042292F" w:rsidP="00FB371F">
      <w:pPr>
        <w:pStyle w:val="Quote2"/>
      </w:pPr>
      <w:r w:rsidRPr="005F3D07">
        <w:t xml:space="preserve">If this was an action for damages for defamation arising from the publication of an imputation that Mr Fisher is not a fit and proper person to engage in his chosen occupation of a bus driver, the decision in </w:t>
      </w:r>
      <w:r w:rsidRPr="005F3D07">
        <w:rPr>
          <w:i/>
          <w:iCs/>
        </w:rPr>
        <w:t xml:space="preserve">Moss v </w:t>
      </w:r>
      <w:proofErr w:type="spellStart"/>
      <w:r w:rsidRPr="005F3D07">
        <w:rPr>
          <w:i/>
          <w:iCs/>
        </w:rPr>
        <w:t>Eaglestone</w:t>
      </w:r>
      <w:proofErr w:type="spellEnd"/>
      <w:r w:rsidRPr="005F3D07">
        <w:t xml:space="preserve"> would</w:t>
      </w:r>
      <w:r w:rsidR="003F15F8" w:rsidRPr="005F3D07">
        <w:t xml:space="preserve"> hold that the action fell within the exception in s 60(4) …</w:t>
      </w:r>
      <w:r w:rsidR="00937E20" w:rsidRPr="005F3D07">
        <w:t xml:space="preserve"> </w:t>
      </w:r>
      <w:r w:rsidR="003F15F8" w:rsidRPr="005F3D07">
        <w:t>It seems</w:t>
      </w:r>
      <w:r w:rsidR="00441A68" w:rsidRPr="005F3D07">
        <w:t xml:space="preserve"> to me that,</w:t>
      </w:r>
      <w:r w:rsidR="003F15F8" w:rsidRPr="005F3D07">
        <w:t xml:space="preserve"> </w:t>
      </w:r>
      <w:r w:rsidR="00014C99" w:rsidRPr="005F3D07">
        <w:t>for coherence, the law should similarly</w:t>
      </w:r>
      <w:r w:rsidR="0055066C" w:rsidRPr="005F3D07">
        <w:t xml:space="preserve"> </w:t>
      </w:r>
      <w:r w:rsidR="00441A68" w:rsidRPr="005F3D07">
        <w:t>regard an action seeking to impugn an administrative finding that Mr Fisher is not a fit and proper person</w:t>
      </w:r>
      <w:r w:rsidR="005F3D07" w:rsidRPr="005F3D07">
        <w:t xml:space="preserve"> to engage in the occupation of a bus driver to be an action “in respect of” a personal injury or wrong.</w:t>
      </w:r>
    </w:p>
    <w:p w14:paraId="09784018" w14:textId="2830734D" w:rsidR="00345B00" w:rsidRDefault="008702F8" w:rsidP="008702F8">
      <w:pPr>
        <w:pStyle w:val="ParaNumbering"/>
        <w:numPr>
          <w:ilvl w:val="0"/>
          <w:numId w:val="0"/>
        </w:numPr>
        <w:ind w:hanging="720"/>
        <w:rPr>
          <w:szCs w:val="24"/>
        </w:rPr>
      </w:pPr>
      <w:r>
        <w:rPr>
          <w:sz w:val="20"/>
          <w:szCs w:val="24"/>
        </w:rPr>
        <w:t>49</w:t>
      </w:r>
      <w:r>
        <w:rPr>
          <w:sz w:val="20"/>
          <w:szCs w:val="24"/>
        </w:rPr>
        <w:tab/>
      </w:r>
      <w:r w:rsidR="00F40889">
        <w:rPr>
          <w:szCs w:val="24"/>
        </w:rPr>
        <w:t>These authorities reveal that the exception applies to that narrow class of action where it relates to the “personal” – the injury is one to the person, their character</w:t>
      </w:r>
      <w:r w:rsidR="00125435">
        <w:rPr>
          <w:szCs w:val="24"/>
        </w:rPr>
        <w:t>,</w:t>
      </w:r>
      <w:r w:rsidR="00F40889">
        <w:rPr>
          <w:szCs w:val="24"/>
        </w:rPr>
        <w:t xml:space="preserve"> or feelings.</w:t>
      </w:r>
    </w:p>
    <w:p w14:paraId="0325E597" w14:textId="7CBE3627" w:rsidR="004F0631" w:rsidRPr="00930E58" w:rsidRDefault="008702F8" w:rsidP="008702F8">
      <w:pPr>
        <w:pStyle w:val="ParaNumbering"/>
        <w:numPr>
          <w:ilvl w:val="0"/>
          <w:numId w:val="0"/>
        </w:numPr>
        <w:ind w:hanging="720"/>
      </w:pPr>
      <w:r w:rsidRPr="00930E58">
        <w:rPr>
          <w:sz w:val="20"/>
        </w:rPr>
        <w:t>50</w:t>
      </w:r>
      <w:r w:rsidRPr="00930E58">
        <w:rPr>
          <w:sz w:val="20"/>
        </w:rPr>
        <w:tab/>
      </w:r>
      <w:r w:rsidR="004F0631">
        <w:t xml:space="preserve">One helpful, pithy way in which Ms Luck described her action, was as follows: </w:t>
      </w:r>
    </w:p>
    <w:p w14:paraId="2D0F65C4" w14:textId="08AA1AB5" w:rsidR="004F0631" w:rsidRPr="00C128C7" w:rsidRDefault="004F0631" w:rsidP="00F12499">
      <w:pPr>
        <w:pStyle w:val="Quote1"/>
      </w:pPr>
      <w:r>
        <w:t>If the cause of action in this case is examined, that being the reason why I was seeking to access, under FOI, documents in the possession of the first respondents, both personal and other documents related to my rights and obligations which directly relate to my eligibility for, and responsibilities in regard to the receipt of Social Security benefits and my entitlement to the services offered by the Respondent and its agencies. and it is necessary to refer back to the causes in my cases Luck v CEO Centrelink &amp; Anor VID488/2008 and Luck v University of Southern Queensland VID476/2008, whereby exchanges of communications between the respondents in both cases, in relation to my enrolment in courses, units and programs at the University, involved serious errors and misrepresentations, including in relation to the obligations of the University and Centrelink in respect of the Data-matching Program (Assistance and Tax) Act 1990 which caused me to be denied certain benefits by Centrelink and resulting in suspension of me from the courses, units and programs of the University. I sought FOI documents relating to my personal documents and to other documents, from which I stated clearly in my FOI request dated 20 January 2009 (typo error with date 20 January 2008) filed with my Application to the AAT on 16 July 2009</w:t>
      </w:r>
    </w:p>
    <w:p w14:paraId="470C1772" w14:textId="58C445FF" w:rsidR="008D408D" w:rsidRDefault="008702F8" w:rsidP="008702F8">
      <w:pPr>
        <w:pStyle w:val="ParaNumbering"/>
        <w:numPr>
          <w:ilvl w:val="0"/>
          <w:numId w:val="0"/>
        </w:numPr>
        <w:ind w:hanging="720"/>
      </w:pPr>
      <w:r>
        <w:rPr>
          <w:sz w:val="20"/>
        </w:rPr>
        <w:t>51</w:t>
      </w:r>
      <w:r>
        <w:rPr>
          <w:sz w:val="20"/>
        </w:rPr>
        <w:tab/>
      </w:r>
      <w:r w:rsidR="008D408D">
        <w:t xml:space="preserve">Ms Luck contends her </w:t>
      </w:r>
      <w:r w:rsidR="008C3C3F">
        <w:t xml:space="preserve">proceedings comprise an action in respect of </w:t>
      </w:r>
      <w:r w:rsidR="008D408D">
        <w:t>“</w:t>
      </w:r>
      <w:r w:rsidR="008C3C3F">
        <w:t>[a]</w:t>
      </w:r>
      <w:r w:rsidR="008D408D">
        <w:t xml:space="preserve"> personal injury or wrong done” </w:t>
      </w:r>
      <w:r w:rsidR="008C3C3F">
        <w:t xml:space="preserve">to her </w:t>
      </w:r>
      <w:r w:rsidR="008D408D">
        <w:t>which she asserts constitute</w:t>
      </w:r>
      <w:r w:rsidR="00650633">
        <w:t>s</w:t>
      </w:r>
      <w:r w:rsidR="008D408D">
        <w:t xml:space="preserve"> a denial of “her personal and human rights” not related to her property rights, given:</w:t>
      </w:r>
    </w:p>
    <w:p w14:paraId="1F198E91" w14:textId="522461AF" w:rsidR="008D408D" w:rsidRDefault="008702F8" w:rsidP="008702F8">
      <w:pPr>
        <w:pStyle w:val="ListNo1alt"/>
        <w:numPr>
          <w:ilvl w:val="0"/>
          <w:numId w:val="0"/>
        </w:numPr>
        <w:tabs>
          <w:tab w:val="left" w:pos="720"/>
        </w:tabs>
        <w:ind w:left="720" w:hanging="720"/>
      </w:pPr>
      <w:r>
        <w:lastRenderedPageBreak/>
        <w:t>(a)</w:t>
      </w:r>
      <w:r>
        <w:tab/>
      </w:r>
      <w:r w:rsidR="008D408D">
        <w:t>her “Review Rights” under s 27A of the AAT Act, include an implied right under s 2A of that Act – that the Tribunal would act, amongst other things, in a “fair, just” way in carrying out its functions;</w:t>
      </w:r>
    </w:p>
    <w:p w14:paraId="785DE0C1" w14:textId="57B83DB6" w:rsidR="008D408D" w:rsidRDefault="008702F8" w:rsidP="008702F8">
      <w:pPr>
        <w:pStyle w:val="ListNo1alt"/>
        <w:numPr>
          <w:ilvl w:val="0"/>
          <w:numId w:val="0"/>
        </w:numPr>
        <w:tabs>
          <w:tab w:val="left" w:pos="720"/>
        </w:tabs>
        <w:ind w:left="720" w:hanging="720"/>
      </w:pPr>
      <w:r>
        <w:t>(b)</w:t>
      </w:r>
      <w:r>
        <w:tab/>
      </w:r>
      <w:proofErr w:type="gramStart"/>
      <w:r w:rsidR="008D408D">
        <w:t>her</w:t>
      </w:r>
      <w:proofErr w:type="gramEnd"/>
      <w:r w:rsidR="008D408D">
        <w:t xml:space="preserve"> “Review Rights” include a “right to access information” under ss 3 and 11 of the FOI Act;</w:t>
      </w:r>
    </w:p>
    <w:p w14:paraId="415D6C9C" w14:textId="6629413A" w:rsidR="008D408D" w:rsidRDefault="008702F8" w:rsidP="008702F8">
      <w:pPr>
        <w:pStyle w:val="ListNo1alt"/>
        <w:numPr>
          <w:ilvl w:val="0"/>
          <w:numId w:val="0"/>
        </w:numPr>
        <w:tabs>
          <w:tab w:val="left" w:pos="720"/>
        </w:tabs>
        <w:ind w:left="720" w:hanging="720"/>
      </w:pPr>
      <w:r>
        <w:t>(c)</w:t>
      </w:r>
      <w:r>
        <w:tab/>
      </w:r>
      <w:r w:rsidR="007A66C8">
        <w:t xml:space="preserve">her “Review Rights” </w:t>
      </w:r>
      <w:r w:rsidR="008D408D">
        <w:t xml:space="preserve">constitute “human rights” as recognised under the </w:t>
      </w:r>
      <w:r w:rsidR="008C3C3F">
        <w:rPr>
          <w:i/>
        </w:rPr>
        <w:t xml:space="preserve">Australian Human Rights Commission Act 1986 </w:t>
      </w:r>
      <w:r w:rsidR="008C3C3F">
        <w:t>(</w:t>
      </w:r>
      <w:proofErr w:type="spellStart"/>
      <w:r w:rsidR="008C3C3F">
        <w:t>Cth</w:t>
      </w:r>
      <w:proofErr w:type="spellEnd"/>
      <w:r w:rsidR="008C3C3F">
        <w:t>)</w:t>
      </w:r>
      <w:r w:rsidR="008D408D">
        <w:t xml:space="preserve"> and constitute rights recognised under the </w:t>
      </w:r>
      <w:r w:rsidR="008D408D">
        <w:rPr>
          <w:i/>
        </w:rPr>
        <w:t>Disability Discrimination Act</w:t>
      </w:r>
      <w:r w:rsidR="00317681">
        <w:rPr>
          <w:i/>
        </w:rPr>
        <w:t xml:space="preserve"> 1992</w:t>
      </w:r>
      <w:r w:rsidR="008D408D">
        <w:rPr>
          <w:i/>
        </w:rPr>
        <w:t xml:space="preserve"> </w:t>
      </w:r>
      <w:r w:rsidR="008D408D" w:rsidRPr="00D22390">
        <w:t>(</w:t>
      </w:r>
      <w:proofErr w:type="spellStart"/>
      <w:r w:rsidR="008D408D" w:rsidRPr="00D22390">
        <w:t>Cth</w:t>
      </w:r>
      <w:proofErr w:type="spellEnd"/>
      <w:r w:rsidR="008D408D" w:rsidRPr="00D22390">
        <w:t>)</w:t>
      </w:r>
      <w:r w:rsidR="008C3C3F">
        <w:t xml:space="preserve"> (</w:t>
      </w:r>
      <w:r w:rsidR="008C3C3F">
        <w:rPr>
          <w:b/>
        </w:rPr>
        <w:t>DDA</w:t>
      </w:r>
      <w:r w:rsidR="008C3C3F">
        <w:t>)</w:t>
      </w:r>
      <w:r w:rsidR="008D408D">
        <w:rPr>
          <w:i/>
        </w:rPr>
        <w:t>,</w:t>
      </w:r>
      <w:r w:rsidR="008D408D">
        <w:t xml:space="preserve"> by reason of the objects of the DDA, including with particular emphasis to the elimination, as far as possible, discrimination against persons on the grounds of disability in a number of areas, including “existing laws” and “the administration of Commonwealth laws and programs: and </w:t>
      </w:r>
      <w:r w:rsidR="007A66C8">
        <w:t>“ensure, as far as practicable, that persons with disabilities have the same rights to equality before the law as the rest of the community and promote recognition and acceptance within the community of the principle that persons with disabilities have the same fundamental rights as the rest of the community;</w:t>
      </w:r>
    </w:p>
    <w:p w14:paraId="7270EB69" w14:textId="4FFADE26" w:rsidR="007A66C8" w:rsidRDefault="008702F8" w:rsidP="008702F8">
      <w:pPr>
        <w:pStyle w:val="ListNo1alt"/>
        <w:numPr>
          <w:ilvl w:val="0"/>
          <w:numId w:val="0"/>
        </w:numPr>
        <w:tabs>
          <w:tab w:val="left" w:pos="720"/>
        </w:tabs>
        <w:ind w:left="720" w:hanging="720"/>
      </w:pPr>
      <w:r>
        <w:t>(d)</w:t>
      </w:r>
      <w:r>
        <w:tab/>
      </w:r>
      <w:proofErr w:type="gramStart"/>
      <w:r w:rsidR="007A66C8">
        <w:t>her</w:t>
      </w:r>
      <w:proofErr w:type="gramEnd"/>
      <w:r w:rsidR="007A66C8">
        <w:t xml:space="preserve"> “Review Rights” are consistent with rights recognised under the </w:t>
      </w:r>
      <w:r w:rsidR="007A66C8" w:rsidRPr="00CD1EF4">
        <w:rPr>
          <w:b/>
          <w:i/>
        </w:rPr>
        <w:t>Convention</w:t>
      </w:r>
      <w:r w:rsidR="007A66C8" w:rsidRPr="00CD1EF4">
        <w:rPr>
          <w:i/>
        </w:rPr>
        <w:t xml:space="preserve"> on the Rights of Persons with Disabilities</w:t>
      </w:r>
      <w:r w:rsidR="00CD1EF4" w:rsidRPr="002C7A03">
        <w:t xml:space="preserve">. </w:t>
      </w:r>
      <w:r w:rsidR="00CD1EF4" w:rsidRPr="00543205">
        <w:t>Opened</w:t>
      </w:r>
      <w:r w:rsidR="00BC2619">
        <w:t xml:space="preserve"> for signature 13 December 2006,</w:t>
      </w:r>
      <w:r w:rsidR="00CD1EF4" w:rsidRPr="00543205">
        <w:t xml:space="preserve"> 2515 UNTS 3 (entered into force 3 May 2009)</w:t>
      </w:r>
      <w:r w:rsidR="007A66C8" w:rsidRPr="009250A7">
        <w:rPr>
          <w:i/>
        </w:rPr>
        <w:t xml:space="preserve"> </w:t>
      </w:r>
      <w:r w:rsidR="007A66C8">
        <w:t>as contained in Articles 1</w:t>
      </w:r>
      <w:r w:rsidR="0089167F">
        <w:t xml:space="preserve"> (Purpose)</w:t>
      </w:r>
      <w:r w:rsidR="007A66C8">
        <w:t>, 2</w:t>
      </w:r>
      <w:r w:rsidR="0089167F">
        <w:t xml:space="preserve"> (Definitions)</w:t>
      </w:r>
      <w:r w:rsidR="007A66C8">
        <w:t>, 4</w:t>
      </w:r>
      <w:r w:rsidR="0089167F">
        <w:t xml:space="preserve"> (General Obligations)</w:t>
      </w:r>
      <w:r w:rsidR="007A66C8">
        <w:t>, 5</w:t>
      </w:r>
      <w:r w:rsidR="0089167F">
        <w:t xml:space="preserve"> (Equality and non-discrimination)</w:t>
      </w:r>
      <w:r w:rsidR="007A66C8">
        <w:t>, 12</w:t>
      </w:r>
      <w:r w:rsidR="0089167F">
        <w:t xml:space="preserve"> (Equal recognition before the Law)</w:t>
      </w:r>
      <w:r w:rsidR="007A66C8">
        <w:t>, 13</w:t>
      </w:r>
      <w:r w:rsidR="0089167F">
        <w:t xml:space="preserve"> (Access to justice)</w:t>
      </w:r>
      <w:r w:rsidR="007A66C8">
        <w:t>, 20</w:t>
      </w:r>
      <w:r w:rsidR="0089167F">
        <w:t xml:space="preserve"> (Personal mobility)</w:t>
      </w:r>
      <w:r w:rsidR="007A66C8">
        <w:t>, 21</w:t>
      </w:r>
      <w:r w:rsidR="0089167F">
        <w:t xml:space="preserve"> (Freedom of expression and opinion, and access to information)</w:t>
      </w:r>
      <w:r w:rsidR="007A66C8">
        <w:t xml:space="preserve"> and 22</w:t>
      </w:r>
      <w:r w:rsidR="0089167F">
        <w:t xml:space="preserve"> (Respect for privacy).</w:t>
      </w:r>
    </w:p>
    <w:p w14:paraId="3FA64D16" w14:textId="6FB6B998" w:rsidR="0070435E" w:rsidRPr="00DE59FE" w:rsidRDefault="008702F8" w:rsidP="008702F8">
      <w:pPr>
        <w:pStyle w:val="ParaNumbering"/>
        <w:numPr>
          <w:ilvl w:val="0"/>
          <w:numId w:val="0"/>
        </w:numPr>
        <w:ind w:hanging="720"/>
        <w:rPr>
          <w:sz w:val="22"/>
        </w:rPr>
      </w:pPr>
      <w:r w:rsidRPr="00DE59FE">
        <w:rPr>
          <w:sz w:val="20"/>
        </w:rPr>
        <w:t>52</w:t>
      </w:r>
      <w:r w:rsidRPr="00DE59FE">
        <w:rPr>
          <w:sz w:val="20"/>
        </w:rPr>
        <w:tab/>
      </w:r>
      <w:r w:rsidR="0070435E">
        <w:t xml:space="preserve">Ms Luck catalogued </w:t>
      </w:r>
      <w:r w:rsidR="00375C15">
        <w:t xml:space="preserve">30 personal injuries and wrongs done to her “causing pain </w:t>
      </w:r>
      <w:r w:rsidR="00B3226D">
        <w:t>felt by [her]</w:t>
      </w:r>
      <w:r w:rsidR="00375C15">
        <w:t xml:space="preserve"> in respect </w:t>
      </w:r>
      <w:r w:rsidR="00B3226D">
        <w:t>of her mind, body and character”</w:t>
      </w:r>
      <w:r w:rsidR="009C32EA">
        <w:t xml:space="preserve"> being the </w:t>
      </w:r>
      <w:r w:rsidR="00837C0F">
        <w:t>manner in which “damages or part of them are to be estimate</w:t>
      </w:r>
      <w:r w:rsidR="00D368BE">
        <w:t>d”</w:t>
      </w:r>
      <w:r w:rsidR="003D76AF">
        <w:t xml:space="preserve"> when a proceeding is for “any personal injury </w:t>
      </w:r>
      <w:r w:rsidR="00C16C21">
        <w:t xml:space="preserve">or </w:t>
      </w:r>
      <w:r w:rsidR="003D76AF">
        <w:t>wrong”</w:t>
      </w:r>
      <w:r w:rsidR="000811E4">
        <w:t xml:space="preserve">. </w:t>
      </w:r>
      <w:r w:rsidR="0039080A">
        <w:t>In obiter dicta in</w:t>
      </w:r>
      <w:r w:rsidR="0039080A" w:rsidRPr="00FB371F">
        <w:t xml:space="preserve"> </w:t>
      </w:r>
      <w:r w:rsidR="008A51BB" w:rsidRPr="00FB371F">
        <w:rPr>
          <w:i/>
        </w:rPr>
        <w:t xml:space="preserve">Cox v </w:t>
      </w:r>
      <w:proofErr w:type="spellStart"/>
      <w:r w:rsidR="008A51BB" w:rsidRPr="00DE59FE">
        <w:rPr>
          <w:i/>
        </w:rPr>
        <w:t>Journeaux</w:t>
      </w:r>
      <w:proofErr w:type="spellEnd"/>
      <w:r w:rsidR="008A51BB" w:rsidRPr="00D22422">
        <w:t xml:space="preserve"> </w:t>
      </w:r>
      <w:r w:rsidR="008A51BB" w:rsidRPr="00DE59FE">
        <w:rPr>
          <w:i/>
          <w:iCs/>
        </w:rPr>
        <w:t>(No 2)</w:t>
      </w:r>
      <w:r w:rsidR="008A51BB" w:rsidRPr="00D22422">
        <w:t xml:space="preserve"> </w:t>
      </w:r>
      <w:r w:rsidR="00FB371F">
        <w:t xml:space="preserve">[1935] HCA 48; </w:t>
      </w:r>
      <w:r w:rsidR="008A51BB" w:rsidRPr="00D22422">
        <w:t>(1935) 52 CLR 713</w:t>
      </w:r>
      <w:r w:rsidR="00FB371F">
        <w:t xml:space="preserve"> at 721, Dixon </w:t>
      </w:r>
      <w:r w:rsidR="0039080A">
        <w:t>J observed that thi</w:t>
      </w:r>
      <w:r w:rsidR="00615B4A">
        <w:t xml:space="preserve">s </w:t>
      </w:r>
      <w:r w:rsidR="00DE59FE">
        <w:t>formulation</w:t>
      </w:r>
      <w:r w:rsidR="006B5562">
        <w:t>,</w:t>
      </w:r>
      <w:r w:rsidR="00DE59FE">
        <w:t xml:space="preserve"> as </w:t>
      </w:r>
      <w:r w:rsidR="006B5562">
        <w:t xml:space="preserve">articulated </w:t>
      </w:r>
      <w:r w:rsidR="00DE59FE">
        <w:t>by Ms Luck</w:t>
      </w:r>
      <w:r w:rsidR="006B5562">
        <w:t>,</w:t>
      </w:r>
      <w:r w:rsidR="00DE59FE">
        <w:t xml:space="preserve"> </w:t>
      </w:r>
      <w:r w:rsidR="00615B4A">
        <w:t>“appears” to be the test.</w:t>
      </w:r>
      <w:r w:rsidR="0057068C">
        <w:t xml:space="preserve"> </w:t>
      </w:r>
      <w:r w:rsidR="00A22344">
        <w:t xml:space="preserve">The test will however only be enlivened if </w:t>
      </w:r>
      <w:r w:rsidR="00C54BA9">
        <w:t>there is “injury which remains actionable at the suit of the bankrupt”</w:t>
      </w:r>
    </w:p>
    <w:p w14:paraId="778D8788" w14:textId="36EAFB48" w:rsidR="0063227C" w:rsidRDefault="008702F8" w:rsidP="008702F8">
      <w:pPr>
        <w:pStyle w:val="ParaNumbering"/>
        <w:numPr>
          <w:ilvl w:val="0"/>
          <w:numId w:val="0"/>
        </w:numPr>
        <w:ind w:hanging="720"/>
      </w:pPr>
      <w:r>
        <w:rPr>
          <w:sz w:val="20"/>
        </w:rPr>
        <w:t>53</w:t>
      </w:r>
      <w:r>
        <w:rPr>
          <w:sz w:val="20"/>
        </w:rPr>
        <w:tab/>
      </w:r>
      <w:r w:rsidR="00A92774">
        <w:t>Quite understandably</w:t>
      </w:r>
      <w:r w:rsidR="001C76BD">
        <w:t>, Ms Luck</w:t>
      </w:r>
      <w:r w:rsidR="00ED606B">
        <w:t xml:space="preserve"> submits that the wrongs done to her are intensely personal</w:t>
      </w:r>
      <w:r w:rsidR="00843DB0">
        <w:t xml:space="preserve"> because they arise out of her </w:t>
      </w:r>
      <w:r w:rsidR="00A0354A">
        <w:t xml:space="preserve">request for </w:t>
      </w:r>
      <w:r w:rsidR="00602202">
        <w:t>personal information</w:t>
      </w:r>
      <w:r w:rsidR="002829E6">
        <w:t xml:space="preserve"> and her subsequent requests </w:t>
      </w:r>
      <w:r w:rsidR="00B13452">
        <w:t xml:space="preserve">for reasonable adjustments on account of her disability. </w:t>
      </w:r>
    </w:p>
    <w:p w14:paraId="3680A3BC" w14:textId="5E171770" w:rsidR="00A957C3" w:rsidRDefault="008702F8" w:rsidP="008702F8">
      <w:pPr>
        <w:pStyle w:val="ParaNumbering"/>
        <w:numPr>
          <w:ilvl w:val="0"/>
          <w:numId w:val="0"/>
        </w:numPr>
        <w:ind w:hanging="720"/>
      </w:pPr>
      <w:r>
        <w:rPr>
          <w:sz w:val="20"/>
        </w:rPr>
        <w:t>54</w:t>
      </w:r>
      <w:r>
        <w:rPr>
          <w:sz w:val="20"/>
        </w:rPr>
        <w:tab/>
      </w:r>
      <w:r w:rsidR="004219F4">
        <w:t>The wrongs may be summarised as follows:</w:t>
      </w:r>
    </w:p>
    <w:p w14:paraId="3EED5F62" w14:textId="753A713D" w:rsidR="004219F4" w:rsidRDefault="008702F8" w:rsidP="008702F8">
      <w:pPr>
        <w:pStyle w:val="ListNo1alt"/>
        <w:numPr>
          <w:ilvl w:val="0"/>
          <w:numId w:val="0"/>
        </w:numPr>
        <w:tabs>
          <w:tab w:val="left" w:pos="720"/>
        </w:tabs>
        <w:ind w:left="720" w:hanging="720"/>
      </w:pPr>
      <w:r>
        <w:lastRenderedPageBreak/>
        <w:t>(a)</w:t>
      </w:r>
      <w:r>
        <w:tab/>
      </w:r>
      <w:proofErr w:type="gramStart"/>
      <w:r w:rsidR="00394879" w:rsidRPr="00E23CCB">
        <w:t>t</w:t>
      </w:r>
      <w:r w:rsidR="004219F4" w:rsidRPr="00E23CCB">
        <w:t>he</w:t>
      </w:r>
      <w:proofErr w:type="gramEnd"/>
      <w:r w:rsidR="00394879" w:rsidRPr="00E23CCB">
        <w:t xml:space="preserve"> </w:t>
      </w:r>
      <w:r w:rsidR="00394879" w:rsidRPr="00FB371F">
        <w:rPr>
          <w:u w:val="single"/>
        </w:rPr>
        <w:t>DHS</w:t>
      </w:r>
      <w:r w:rsidR="004219F4">
        <w:t>:</w:t>
      </w:r>
    </w:p>
    <w:p w14:paraId="5700ABC4" w14:textId="1208C356" w:rsidR="004219F4" w:rsidRDefault="008702F8" w:rsidP="008702F8">
      <w:pPr>
        <w:pStyle w:val="ListNo2alt"/>
        <w:numPr>
          <w:ilvl w:val="0"/>
          <w:numId w:val="0"/>
        </w:numPr>
        <w:tabs>
          <w:tab w:val="left" w:pos="1440"/>
        </w:tabs>
        <w:ind w:left="1440" w:hanging="720"/>
      </w:pPr>
      <w:r>
        <w:t>(</w:t>
      </w:r>
      <w:proofErr w:type="spellStart"/>
      <w:r>
        <w:t>i</w:t>
      </w:r>
      <w:proofErr w:type="spellEnd"/>
      <w:r>
        <w:t>)</w:t>
      </w:r>
      <w:r>
        <w:tab/>
      </w:r>
      <w:proofErr w:type="gramStart"/>
      <w:r w:rsidR="004219F4">
        <w:t>breached</w:t>
      </w:r>
      <w:proofErr w:type="gramEnd"/>
      <w:r w:rsidR="004219F4">
        <w:t xml:space="preserve"> its obligations under the FOI Act and the </w:t>
      </w:r>
      <w:r w:rsidR="004219F4" w:rsidRPr="005639E8">
        <w:rPr>
          <w:i/>
          <w:iCs/>
        </w:rPr>
        <w:t>Convention</w:t>
      </w:r>
      <w:r w:rsidR="00970DE9">
        <w:t xml:space="preserve"> by misleading and deceiving </w:t>
      </w:r>
      <w:r w:rsidR="001B4930">
        <w:t xml:space="preserve">Ms Luck into believing she would </w:t>
      </w:r>
      <w:r w:rsidR="00C13C4C">
        <w:t>be granted access to the information she sought</w:t>
      </w:r>
      <w:r w:rsidR="004219F4">
        <w:t>;</w:t>
      </w:r>
    </w:p>
    <w:p w14:paraId="11451041" w14:textId="56F50D36" w:rsidR="004219F4" w:rsidRDefault="008702F8" w:rsidP="008702F8">
      <w:pPr>
        <w:pStyle w:val="ListNo2alt"/>
        <w:numPr>
          <w:ilvl w:val="0"/>
          <w:numId w:val="0"/>
        </w:numPr>
        <w:tabs>
          <w:tab w:val="left" w:pos="1440"/>
        </w:tabs>
        <w:ind w:left="1440" w:hanging="720"/>
      </w:pPr>
      <w:r>
        <w:t>(ii)</w:t>
      </w:r>
      <w:r>
        <w:tab/>
      </w:r>
      <w:proofErr w:type="gramStart"/>
      <w:r w:rsidR="004219F4">
        <w:t>failed</w:t>
      </w:r>
      <w:proofErr w:type="gramEnd"/>
      <w:r w:rsidR="004219F4">
        <w:t xml:space="preserve"> to give her access to her requests which included inspection of the information at an </w:t>
      </w:r>
      <w:r w:rsidR="008A07DF">
        <w:t>authorised</w:t>
      </w:r>
      <w:r w:rsidR="004219F4">
        <w:t xml:space="preserve"> Information Access Office, pursuant to s 28 of the FOI Act;</w:t>
      </w:r>
    </w:p>
    <w:p w14:paraId="40ABFA11" w14:textId="50513898" w:rsidR="00A045F5" w:rsidRDefault="008702F8" w:rsidP="008702F8">
      <w:pPr>
        <w:pStyle w:val="ListNo2alt"/>
        <w:numPr>
          <w:ilvl w:val="0"/>
          <w:numId w:val="0"/>
        </w:numPr>
        <w:tabs>
          <w:tab w:val="left" w:pos="1440"/>
        </w:tabs>
        <w:ind w:left="1440" w:hanging="720"/>
      </w:pPr>
      <w:r>
        <w:t>(iii)</w:t>
      </w:r>
      <w:r>
        <w:tab/>
      </w:r>
      <w:proofErr w:type="gramStart"/>
      <w:r w:rsidR="005D718F">
        <w:t>fail</w:t>
      </w:r>
      <w:r w:rsidR="00E432E6">
        <w:t>ed</w:t>
      </w:r>
      <w:proofErr w:type="gramEnd"/>
      <w:r w:rsidR="005D718F">
        <w:t xml:space="preserve"> to comply with s 37(1) of the AAT Act</w:t>
      </w:r>
      <w:r w:rsidR="004074D7">
        <w:t>;</w:t>
      </w:r>
    </w:p>
    <w:p w14:paraId="640C70A2" w14:textId="46CA0C93" w:rsidR="004074D7" w:rsidRDefault="008702F8" w:rsidP="008702F8">
      <w:pPr>
        <w:pStyle w:val="ListNo2alt"/>
        <w:numPr>
          <w:ilvl w:val="0"/>
          <w:numId w:val="0"/>
        </w:numPr>
        <w:tabs>
          <w:tab w:val="left" w:pos="1440"/>
        </w:tabs>
        <w:ind w:left="1440" w:hanging="720"/>
      </w:pPr>
      <w:r>
        <w:t>(iv)</w:t>
      </w:r>
      <w:r>
        <w:tab/>
      </w:r>
      <w:r w:rsidR="00DC147A">
        <w:t xml:space="preserve">misled and deceived the Tribunal and the Deputy President by informing them </w:t>
      </w:r>
      <w:r w:rsidR="00D9269E">
        <w:t xml:space="preserve">at the hearing on 23 October 2009 </w:t>
      </w:r>
      <w:r w:rsidR="00DC147A">
        <w:t>that it had no more relevant documents than those attached to Ms Luck’s application</w:t>
      </w:r>
      <w:r w:rsidR="00ED6AF2">
        <w:t xml:space="preserve"> for review</w:t>
      </w:r>
      <w:r w:rsidR="00E57B32">
        <w:t>;</w:t>
      </w:r>
    </w:p>
    <w:p w14:paraId="6ED9CBE6" w14:textId="30CD15CC" w:rsidR="00E57B32" w:rsidRDefault="008702F8" w:rsidP="008702F8">
      <w:pPr>
        <w:pStyle w:val="ListNo2alt"/>
        <w:numPr>
          <w:ilvl w:val="0"/>
          <w:numId w:val="0"/>
        </w:numPr>
        <w:tabs>
          <w:tab w:val="left" w:pos="1440"/>
        </w:tabs>
        <w:ind w:left="1440" w:hanging="720"/>
      </w:pPr>
      <w:r>
        <w:t>(v)</w:t>
      </w:r>
      <w:r>
        <w:tab/>
      </w:r>
      <w:proofErr w:type="gramStart"/>
      <w:r w:rsidR="00E57B32">
        <w:t>provided</w:t>
      </w:r>
      <w:proofErr w:type="gramEnd"/>
      <w:r w:rsidR="00E57B32">
        <w:t xml:space="preserve"> communication</w:t>
      </w:r>
      <w:r w:rsidR="002D5DCF">
        <w:t xml:space="preserve">s and documents </w:t>
      </w:r>
      <w:r w:rsidR="00C75C02">
        <w:t>sent between the DHS, the Tribunal, and the Deputy President</w:t>
      </w:r>
      <w:r w:rsidR="002F6F24">
        <w:t xml:space="preserve"> (between 23 October 2009 and 7 January 2010)</w:t>
      </w:r>
      <w:r w:rsidR="000F7D45">
        <w:t>, including a transcript of the hearing</w:t>
      </w:r>
      <w:r w:rsidR="002F6F24">
        <w:t xml:space="preserve"> held on 23 October 2009</w:t>
      </w:r>
      <w:r w:rsidR="00D05527">
        <w:t>;</w:t>
      </w:r>
    </w:p>
    <w:p w14:paraId="01685E95" w14:textId="2F1AC38F" w:rsidR="00D05527" w:rsidRDefault="008702F8" w:rsidP="008702F8">
      <w:pPr>
        <w:pStyle w:val="ListNo2alt"/>
        <w:numPr>
          <w:ilvl w:val="0"/>
          <w:numId w:val="0"/>
        </w:numPr>
        <w:tabs>
          <w:tab w:val="left" w:pos="1440"/>
        </w:tabs>
        <w:ind w:left="1440" w:hanging="720"/>
      </w:pPr>
      <w:r>
        <w:t>(vi)</w:t>
      </w:r>
      <w:r>
        <w:tab/>
      </w:r>
      <w:r w:rsidR="00D05527">
        <w:t>notifying Ms Luck</w:t>
      </w:r>
      <w:r w:rsidR="00672FA0">
        <w:t>, on or about 8 January 2010,</w:t>
      </w:r>
      <w:r w:rsidR="00D05527">
        <w:t xml:space="preserve"> of the orders of the Tribunal and the Deputy President</w:t>
      </w:r>
      <w:r w:rsidR="000A7FFA">
        <w:t xml:space="preserve"> relating to its jurisdiction and that the DHS was not obliged to comply with s 37 of the AAT Act</w:t>
      </w:r>
      <w:r w:rsidR="00D41D62">
        <w:t>;</w:t>
      </w:r>
      <w:r w:rsidR="002029C7">
        <w:t xml:space="preserve"> and</w:t>
      </w:r>
    </w:p>
    <w:p w14:paraId="0E057A8C" w14:textId="43FF2AD3" w:rsidR="00D41D62" w:rsidRDefault="008702F8" w:rsidP="008702F8">
      <w:pPr>
        <w:pStyle w:val="ListNo2alt"/>
        <w:numPr>
          <w:ilvl w:val="0"/>
          <w:numId w:val="0"/>
        </w:numPr>
        <w:tabs>
          <w:tab w:val="left" w:pos="1440"/>
        </w:tabs>
        <w:ind w:left="1440" w:hanging="720"/>
      </w:pPr>
      <w:r>
        <w:t>(vii)</w:t>
      </w:r>
      <w:r>
        <w:tab/>
      </w:r>
      <w:proofErr w:type="gramStart"/>
      <w:r w:rsidR="00D41D62">
        <w:t>providing</w:t>
      </w:r>
      <w:proofErr w:type="gramEnd"/>
      <w:r w:rsidR="00D41D62">
        <w:t xml:space="preserve"> the reasons </w:t>
      </w:r>
      <w:r w:rsidR="00864D94">
        <w:t>of the Tribunal and the Deputy President dated 8</w:t>
      </w:r>
      <w:r w:rsidR="00432F7C">
        <w:t xml:space="preserve"> </w:t>
      </w:r>
      <w:r w:rsidR="00FD1308">
        <w:t>January 2020</w:t>
      </w:r>
      <w:r w:rsidR="0079188F">
        <w:t>,</w:t>
      </w:r>
      <w:r w:rsidR="007F5F2D">
        <w:t xml:space="preserve"> which are alleged to breach her rights to privacy</w:t>
      </w:r>
      <w:r w:rsidR="00432F7C">
        <w:t xml:space="preserve"> in respect of her medical conditions</w:t>
      </w:r>
      <w:r w:rsidR="00672FA0">
        <w:t>,</w:t>
      </w:r>
      <w:r w:rsidR="0079188F" w:rsidRPr="0079188F">
        <w:t xml:space="preserve"> </w:t>
      </w:r>
      <w:r w:rsidR="0079188F">
        <w:t>and publishing them on the internet,</w:t>
      </w:r>
    </w:p>
    <w:p w14:paraId="0642A672" w14:textId="58FB83E1" w:rsidR="000800E4" w:rsidRDefault="008702F8" w:rsidP="008702F8">
      <w:pPr>
        <w:pStyle w:val="ListNo1alt"/>
        <w:numPr>
          <w:ilvl w:val="0"/>
          <w:numId w:val="0"/>
        </w:numPr>
        <w:tabs>
          <w:tab w:val="left" w:pos="720"/>
        </w:tabs>
        <w:ind w:left="720" w:hanging="720"/>
      </w:pPr>
      <w:r>
        <w:t>(b)</w:t>
      </w:r>
      <w:r>
        <w:tab/>
      </w:r>
      <w:proofErr w:type="gramStart"/>
      <w:r w:rsidR="00240F40" w:rsidRPr="00E23CCB">
        <w:t>the</w:t>
      </w:r>
      <w:proofErr w:type="gramEnd"/>
      <w:r w:rsidR="00240F40" w:rsidRPr="00E23CCB">
        <w:t xml:space="preserve"> </w:t>
      </w:r>
      <w:r w:rsidR="00240F40" w:rsidRPr="00B14117">
        <w:rPr>
          <w:u w:val="single"/>
        </w:rPr>
        <w:t>Tribunal</w:t>
      </w:r>
      <w:r w:rsidR="00240F40">
        <w:t>:</w:t>
      </w:r>
    </w:p>
    <w:p w14:paraId="672E63A6" w14:textId="73993E64" w:rsidR="00921CE5" w:rsidRPr="009250A7" w:rsidRDefault="008702F8" w:rsidP="008702F8">
      <w:pPr>
        <w:pStyle w:val="ListNo2alt"/>
        <w:numPr>
          <w:ilvl w:val="0"/>
          <w:numId w:val="0"/>
        </w:numPr>
        <w:tabs>
          <w:tab w:val="left" w:pos="1440"/>
        </w:tabs>
        <w:ind w:left="1440" w:hanging="720"/>
      </w:pPr>
      <w:r w:rsidRPr="009250A7">
        <w:t>(</w:t>
      </w:r>
      <w:proofErr w:type="spellStart"/>
      <w:r w:rsidRPr="009250A7">
        <w:t>i</w:t>
      </w:r>
      <w:proofErr w:type="spellEnd"/>
      <w:r w:rsidRPr="009250A7">
        <w:t>)</w:t>
      </w:r>
      <w:r w:rsidRPr="009250A7">
        <w:tab/>
      </w:r>
      <w:proofErr w:type="gramStart"/>
      <w:r w:rsidR="006B1CED" w:rsidRPr="009250A7">
        <w:t>required</w:t>
      </w:r>
      <w:proofErr w:type="gramEnd"/>
      <w:r w:rsidR="006B1CED" w:rsidRPr="009250A7">
        <w:t xml:space="preserve"> her to pay an application fee</w:t>
      </w:r>
      <w:r w:rsidR="00813AAF" w:rsidRPr="009250A7">
        <w:t xml:space="preserve"> if she did not provide her health care card;</w:t>
      </w:r>
    </w:p>
    <w:p w14:paraId="677CA656" w14:textId="4DC75874" w:rsidR="00813AAF" w:rsidRDefault="008702F8" w:rsidP="008702F8">
      <w:pPr>
        <w:pStyle w:val="ListNo2alt"/>
        <w:numPr>
          <w:ilvl w:val="0"/>
          <w:numId w:val="0"/>
        </w:numPr>
        <w:tabs>
          <w:tab w:val="left" w:pos="1440"/>
        </w:tabs>
        <w:ind w:left="1440" w:hanging="720"/>
      </w:pPr>
      <w:r>
        <w:t>(ii)</w:t>
      </w:r>
      <w:r>
        <w:tab/>
      </w:r>
      <w:proofErr w:type="gramStart"/>
      <w:r w:rsidR="00813AAF" w:rsidRPr="009250A7">
        <w:t>failed</w:t>
      </w:r>
      <w:proofErr w:type="gramEnd"/>
      <w:r w:rsidR="00813AAF" w:rsidRPr="009250A7">
        <w:t xml:space="preserve"> </w:t>
      </w:r>
      <w:r w:rsidR="007310F3" w:rsidRPr="009250A7">
        <w:t>to enforce the law such that she did not receive the “T” documents (or s 37 documents)</w:t>
      </w:r>
    </w:p>
    <w:p w14:paraId="3042C7DB" w14:textId="4B671CC4" w:rsidR="00C02DA8" w:rsidRDefault="008702F8" w:rsidP="008702F8">
      <w:pPr>
        <w:pStyle w:val="ListNo1alt"/>
        <w:numPr>
          <w:ilvl w:val="0"/>
          <w:numId w:val="0"/>
        </w:numPr>
        <w:tabs>
          <w:tab w:val="left" w:pos="720"/>
        </w:tabs>
        <w:ind w:left="720" w:hanging="720"/>
      </w:pPr>
      <w:r>
        <w:t>(c)</w:t>
      </w:r>
      <w:r>
        <w:tab/>
      </w:r>
      <w:proofErr w:type="gramStart"/>
      <w:r w:rsidR="00A5336F" w:rsidRPr="00FB371F">
        <w:t>the</w:t>
      </w:r>
      <w:proofErr w:type="gramEnd"/>
      <w:r w:rsidR="00A5336F" w:rsidRPr="00FB371F">
        <w:t xml:space="preserve"> </w:t>
      </w:r>
      <w:r w:rsidR="00A5336F" w:rsidRPr="00E23CCB">
        <w:rPr>
          <w:u w:val="single"/>
        </w:rPr>
        <w:t>DHS, the Tribunal, and the Deputy President of the AAT</w:t>
      </w:r>
      <w:r w:rsidR="00A5336F">
        <w:t xml:space="preserve"> produced </w:t>
      </w:r>
      <w:r w:rsidR="0099647A">
        <w:t>correspondence</w:t>
      </w:r>
      <w:r w:rsidR="00A62857">
        <w:t xml:space="preserve"> (</w:t>
      </w:r>
      <w:r w:rsidR="00FF5AD0">
        <w:t>b</w:t>
      </w:r>
      <w:r w:rsidR="00A62857">
        <w:t>etween</w:t>
      </w:r>
      <w:r w:rsidR="00F72BFF">
        <w:t xml:space="preserve"> 23 July 2009 and 23 October 2009)</w:t>
      </w:r>
      <w:r w:rsidR="008A1CA7">
        <w:t xml:space="preserve"> in relation to the DHS’ assumption</w:t>
      </w:r>
      <w:r w:rsidR="00B8193B">
        <w:t xml:space="preserve"> of its power to determine the jurisdiction of the Tribunal and the Deputy President and notif</w:t>
      </w:r>
      <w:r w:rsidR="00774F74">
        <w:t>ying her of such;</w:t>
      </w:r>
    </w:p>
    <w:p w14:paraId="584BA5E5" w14:textId="40CB1EBD" w:rsidR="00C02DA8" w:rsidRDefault="008702F8" w:rsidP="008702F8">
      <w:pPr>
        <w:pStyle w:val="ListNo1alt"/>
        <w:numPr>
          <w:ilvl w:val="0"/>
          <w:numId w:val="0"/>
        </w:numPr>
        <w:tabs>
          <w:tab w:val="left" w:pos="720"/>
        </w:tabs>
        <w:ind w:left="720" w:hanging="720"/>
      </w:pPr>
      <w:r>
        <w:t>(d)</w:t>
      </w:r>
      <w:r>
        <w:tab/>
      </w:r>
      <w:proofErr w:type="gramStart"/>
      <w:r w:rsidR="00EB7944" w:rsidRPr="00E23CCB">
        <w:t>the</w:t>
      </w:r>
      <w:proofErr w:type="gramEnd"/>
      <w:r w:rsidR="00EB7944" w:rsidRPr="00E23CCB">
        <w:t xml:space="preserve"> </w:t>
      </w:r>
      <w:r w:rsidR="00EB7944" w:rsidRPr="00FB371F">
        <w:rPr>
          <w:u w:val="single"/>
        </w:rPr>
        <w:t>Tribunal and the Deputy President</w:t>
      </w:r>
      <w:r w:rsidR="00E23CCB" w:rsidRPr="00FB371F">
        <w:rPr>
          <w:u w:val="single"/>
        </w:rPr>
        <w:t xml:space="preserve"> of the AAT</w:t>
      </w:r>
      <w:r w:rsidR="00E67B7D">
        <w:t>:</w:t>
      </w:r>
    </w:p>
    <w:p w14:paraId="22A2F7F3" w14:textId="4B0603C3" w:rsidR="006120D0" w:rsidRDefault="008702F8" w:rsidP="008702F8">
      <w:pPr>
        <w:pStyle w:val="ListNo2alt"/>
        <w:numPr>
          <w:ilvl w:val="0"/>
          <w:numId w:val="0"/>
        </w:numPr>
        <w:tabs>
          <w:tab w:val="left" w:pos="1440"/>
        </w:tabs>
        <w:ind w:left="1440" w:hanging="720"/>
      </w:pPr>
      <w:r>
        <w:t>(</w:t>
      </w:r>
      <w:proofErr w:type="spellStart"/>
      <w:r>
        <w:t>i</w:t>
      </w:r>
      <w:proofErr w:type="spellEnd"/>
      <w:r>
        <w:t>)</w:t>
      </w:r>
      <w:r>
        <w:tab/>
      </w:r>
      <w:proofErr w:type="gramStart"/>
      <w:r w:rsidR="00E67B7D">
        <w:t>listed</w:t>
      </w:r>
      <w:proofErr w:type="gramEnd"/>
      <w:r w:rsidR="00E67B7D">
        <w:t xml:space="preserve"> a jurisdictional hearing </w:t>
      </w:r>
      <w:r w:rsidR="00F72BFF">
        <w:t xml:space="preserve">for 23 October 2009 </w:t>
      </w:r>
      <w:r w:rsidR="00E67B7D">
        <w:t xml:space="preserve">rather than </w:t>
      </w:r>
      <w:r w:rsidR="006120D0">
        <w:t>the substantive application for review and conducting that hearing in the absence of Ms Luck;</w:t>
      </w:r>
      <w:r w:rsidR="009250A7">
        <w:t xml:space="preserve"> and</w:t>
      </w:r>
    </w:p>
    <w:p w14:paraId="1DAC1C76" w14:textId="4A020852" w:rsidR="00E67B7D" w:rsidRDefault="008702F8" w:rsidP="008702F8">
      <w:pPr>
        <w:pStyle w:val="ListNo2alt"/>
        <w:numPr>
          <w:ilvl w:val="0"/>
          <w:numId w:val="0"/>
        </w:numPr>
        <w:tabs>
          <w:tab w:val="left" w:pos="1440"/>
        </w:tabs>
        <w:ind w:left="1440" w:hanging="720"/>
      </w:pPr>
      <w:r>
        <w:lastRenderedPageBreak/>
        <w:t>(ii)</w:t>
      </w:r>
      <w:r>
        <w:tab/>
      </w:r>
      <w:proofErr w:type="gramStart"/>
      <w:r w:rsidR="00C72AC9">
        <w:t>refused</w:t>
      </w:r>
      <w:proofErr w:type="gramEnd"/>
      <w:r w:rsidR="00C72AC9">
        <w:t xml:space="preserve"> to grant Ms Luck a reasonable adjustment by way of an adjournment of </w:t>
      </w:r>
      <w:r w:rsidR="00213202">
        <w:t xml:space="preserve">the </w:t>
      </w:r>
      <w:r w:rsidR="00C72AC9">
        <w:t>hearing</w:t>
      </w:r>
      <w:r w:rsidR="00213202">
        <w:t xml:space="preserve"> on 23 October 2009.</w:t>
      </w:r>
    </w:p>
    <w:p w14:paraId="6EB98224" w14:textId="363C7FDD" w:rsidR="00FB161C" w:rsidRDefault="008702F8" w:rsidP="008702F8">
      <w:pPr>
        <w:pStyle w:val="ParaNumbering"/>
        <w:numPr>
          <w:ilvl w:val="0"/>
          <w:numId w:val="0"/>
        </w:numPr>
        <w:ind w:hanging="720"/>
      </w:pPr>
      <w:r>
        <w:rPr>
          <w:sz w:val="20"/>
        </w:rPr>
        <w:t>55</w:t>
      </w:r>
      <w:r>
        <w:rPr>
          <w:sz w:val="20"/>
        </w:rPr>
        <w:tab/>
      </w:r>
      <w:r w:rsidR="004D124F">
        <w:t xml:space="preserve">This summary reveals the difficulty Ms Luck faces in establishing that </w:t>
      </w:r>
      <w:r w:rsidR="00090E0A">
        <w:t>the pain felt by her in respect of her mind, body and character</w:t>
      </w:r>
      <w:r w:rsidR="00E55BC5">
        <w:t xml:space="preserve"> caused by the alleged wrongs </w:t>
      </w:r>
      <w:r w:rsidR="00D44759">
        <w:t xml:space="preserve">is actionable. </w:t>
      </w:r>
    </w:p>
    <w:p w14:paraId="581BD1AE" w14:textId="02EF6D30" w:rsidR="0039571E" w:rsidRPr="0051103C" w:rsidRDefault="008702F8" w:rsidP="008702F8">
      <w:pPr>
        <w:pStyle w:val="ParaNumbering"/>
        <w:numPr>
          <w:ilvl w:val="0"/>
          <w:numId w:val="0"/>
        </w:numPr>
        <w:ind w:hanging="720"/>
      </w:pPr>
      <w:r w:rsidRPr="0051103C">
        <w:rPr>
          <w:sz w:val="20"/>
        </w:rPr>
        <w:t>56</w:t>
      </w:r>
      <w:r w:rsidRPr="0051103C">
        <w:rPr>
          <w:sz w:val="20"/>
        </w:rPr>
        <w:tab/>
      </w:r>
      <w:r w:rsidR="00F07830">
        <w:t>The i</w:t>
      </w:r>
      <w:r w:rsidR="00FF731C">
        <w:t>nternational h</w:t>
      </w:r>
      <w:r w:rsidR="0039571E">
        <w:t xml:space="preserve">uman rights </w:t>
      </w:r>
      <w:r w:rsidR="00BB5544">
        <w:t xml:space="preserve">obligations under the </w:t>
      </w:r>
      <w:r w:rsidR="002245B8">
        <w:t>international human rights treaties to which Ms Luck referred in her submissions</w:t>
      </w:r>
      <w:r w:rsidR="00FB161C">
        <w:t xml:space="preserve">, being the </w:t>
      </w:r>
      <w:r w:rsidR="006466F7" w:rsidRPr="005639E8">
        <w:rPr>
          <w:i/>
          <w:iCs/>
        </w:rPr>
        <w:t>Convention</w:t>
      </w:r>
      <w:r w:rsidR="00D5138E">
        <w:t xml:space="preserve"> and</w:t>
      </w:r>
      <w:r w:rsidR="00FB161C">
        <w:t xml:space="preserve"> </w:t>
      </w:r>
      <w:r w:rsidR="005639E8">
        <w:t xml:space="preserve">the </w:t>
      </w:r>
      <w:r w:rsidR="00FB161C" w:rsidRPr="00BB0E83">
        <w:rPr>
          <w:i/>
          <w:iCs/>
          <w:szCs w:val="24"/>
          <w:lang w:val="en-GB" w:eastAsia="en-AU"/>
        </w:rPr>
        <w:t>International Covenant on Civil and Political Rights</w:t>
      </w:r>
      <w:r w:rsidR="009A475D">
        <w:rPr>
          <w:szCs w:val="24"/>
          <w:lang w:val="en-GB" w:eastAsia="en-AU"/>
        </w:rPr>
        <w:t>, o</w:t>
      </w:r>
      <w:r w:rsidR="00BB0E83" w:rsidRPr="002C7A03">
        <w:rPr>
          <w:szCs w:val="24"/>
          <w:lang w:val="en-GB" w:eastAsia="en-AU"/>
        </w:rPr>
        <w:t>pened for signature 16 December 1966</w:t>
      </w:r>
      <w:r w:rsidR="002B5429">
        <w:rPr>
          <w:szCs w:val="24"/>
          <w:lang w:val="en-GB" w:eastAsia="en-AU"/>
        </w:rPr>
        <w:t>,</w:t>
      </w:r>
      <w:r w:rsidR="00BB0E83" w:rsidRPr="002C7A03">
        <w:rPr>
          <w:szCs w:val="24"/>
          <w:lang w:val="en-GB" w:eastAsia="en-AU"/>
        </w:rPr>
        <w:t xml:space="preserve"> 999 UNTS 171 (entered into force 23 March 1976</w:t>
      </w:r>
      <w:r w:rsidR="00BB0E83">
        <w:rPr>
          <w:szCs w:val="24"/>
          <w:lang w:val="en-GB" w:eastAsia="en-AU"/>
        </w:rPr>
        <w:t>)</w:t>
      </w:r>
      <w:r w:rsidR="00FB371F">
        <w:rPr>
          <w:szCs w:val="24"/>
          <w:lang w:val="en-GB" w:eastAsia="en-AU"/>
        </w:rPr>
        <w:t xml:space="preserve"> </w:t>
      </w:r>
      <w:r w:rsidR="00BD1693">
        <w:rPr>
          <w:szCs w:val="24"/>
          <w:lang w:val="en-GB" w:eastAsia="en-AU"/>
        </w:rPr>
        <w:t>(</w:t>
      </w:r>
      <w:r w:rsidR="00BD1693" w:rsidRPr="00BD1693">
        <w:rPr>
          <w:b/>
          <w:bCs/>
          <w:i/>
          <w:iCs/>
          <w:szCs w:val="24"/>
          <w:lang w:val="en-GB" w:eastAsia="en-AU"/>
        </w:rPr>
        <w:t>ICCPR</w:t>
      </w:r>
      <w:r w:rsidR="00BD1693">
        <w:rPr>
          <w:szCs w:val="24"/>
          <w:lang w:val="en-GB" w:eastAsia="en-AU"/>
        </w:rPr>
        <w:t>)</w:t>
      </w:r>
      <w:r w:rsidR="00D5138E">
        <w:rPr>
          <w:szCs w:val="24"/>
          <w:lang w:val="en-GB" w:eastAsia="en-AU"/>
        </w:rPr>
        <w:t>, are only partially incorporated into Commonwealth domestic legislation</w:t>
      </w:r>
      <w:r w:rsidR="00A36FCC">
        <w:rPr>
          <w:szCs w:val="24"/>
          <w:lang w:val="en-GB" w:eastAsia="en-AU"/>
        </w:rPr>
        <w:t>. The scope of rights given protection</w:t>
      </w:r>
      <w:r w:rsidR="00840448">
        <w:rPr>
          <w:szCs w:val="24"/>
          <w:lang w:val="en-GB" w:eastAsia="en-AU"/>
        </w:rPr>
        <w:t xml:space="preserve"> by statute is narrower than that protected by international human rights law. </w:t>
      </w:r>
      <w:r w:rsidR="00AF3BD7">
        <w:rPr>
          <w:szCs w:val="24"/>
          <w:lang w:val="en-GB" w:eastAsia="en-AU"/>
        </w:rPr>
        <w:t xml:space="preserve">Furthermore, </w:t>
      </w:r>
      <w:r w:rsidR="00233EC4">
        <w:rPr>
          <w:szCs w:val="24"/>
          <w:lang w:val="en-GB" w:eastAsia="en-AU"/>
        </w:rPr>
        <w:t>there is no right o</w:t>
      </w:r>
      <w:r w:rsidR="006908EB">
        <w:rPr>
          <w:szCs w:val="24"/>
          <w:lang w:val="en-GB" w:eastAsia="en-AU"/>
        </w:rPr>
        <w:t>f direct access to a court or tribunal to enforce</w:t>
      </w:r>
      <w:r w:rsidR="00B0667A">
        <w:rPr>
          <w:szCs w:val="24"/>
          <w:lang w:val="en-GB" w:eastAsia="en-AU"/>
        </w:rPr>
        <w:t xml:space="preserve"> compliance with human rights obligations, nor to prosecute </w:t>
      </w:r>
      <w:r w:rsidR="00BB079E">
        <w:rPr>
          <w:szCs w:val="24"/>
          <w:lang w:val="en-GB" w:eastAsia="en-AU"/>
        </w:rPr>
        <w:t xml:space="preserve">for breach. </w:t>
      </w:r>
      <w:r w:rsidR="003E335E">
        <w:rPr>
          <w:szCs w:val="24"/>
          <w:lang w:val="en-GB" w:eastAsia="en-AU"/>
        </w:rPr>
        <w:t xml:space="preserve">Neither the </w:t>
      </w:r>
      <w:r w:rsidR="00BB079E">
        <w:rPr>
          <w:szCs w:val="24"/>
          <w:lang w:val="en-GB" w:eastAsia="en-AU"/>
        </w:rPr>
        <w:t xml:space="preserve">DDA, the </w:t>
      </w:r>
      <w:r w:rsidR="00BB079E" w:rsidRPr="00D53611">
        <w:rPr>
          <w:i/>
          <w:iCs/>
          <w:szCs w:val="24"/>
          <w:lang w:val="en-GB" w:eastAsia="en-AU"/>
        </w:rPr>
        <w:t>Australian Human Rights Commission Act 1996</w:t>
      </w:r>
      <w:r w:rsidR="00D53611">
        <w:rPr>
          <w:i/>
          <w:iCs/>
          <w:szCs w:val="24"/>
          <w:lang w:val="en-GB" w:eastAsia="en-AU"/>
        </w:rPr>
        <w:t xml:space="preserve"> </w:t>
      </w:r>
      <w:r w:rsidR="00BB079E">
        <w:rPr>
          <w:szCs w:val="24"/>
          <w:lang w:val="en-GB" w:eastAsia="en-AU"/>
        </w:rPr>
        <w:t>(</w:t>
      </w:r>
      <w:proofErr w:type="spellStart"/>
      <w:r w:rsidR="00BB079E">
        <w:rPr>
          <w:szCs w:val="24"/>
          <w:lang w:val="en-GB" w:eastAsia="en-AU"/>
        </w:rPr>
        <w:t>Cth</w:t>
      </w:r>
      <w:proofErr w:type="spellEnd"/>
      <w:r w:rsidR="00BB079E">
        <w:rPr>
          <w:szCs w:val="24"/>
          <w:lang w:val="en-GB" w:eastAsia="en-AU"/>
        </w:rPr>
        <w:t>)</w:t>
      </w:r>
      <w:r w:rsidR="003E335E">
        <w:rPr>
          <w:szCs w:val="24"/>
          <w:lang w:val="en-GB" w:eastAsia="en-AU"/>
        </w:rPr>
        <w:t xml:space="preserve"> (</w:t>
      </w:r>
      <w:r w:rsidR="003E335E" w:rsidRPr="009A3F37">
        <w:rPr>
          <w:b/>
          <w:bCs/>
          <w:szCs w:val="24"/>
          <w:lang w:val="en-GB" w:eastAsia="en-AU"/>
        </w:rPr>
        <w:t>AHRC</w:t>
      </w:r>
      <w:r w:rsidR="00D01496">
        <w:rPr>
          <w:b/>
          <w:bCs/>
          <w:szCs w:val="24"/>
          <w:lang w:val="en-GB" w:eastAsia="en-AU"/>
        </w:rPr>
        <w:t xml:space="preserve"> </w:t>
      </w:r>
      <w:r w:rsidR="003E335E" w:rsidRPr="009A3F37">
        <w:rPr>
          <w:b/>
          <w:bCs/>
          <w:szCs w:val="24"/>
          <w:lang w:val="en-GB" w:eastAsia="en-AU"/>
        </w:rPr>
        <w:t>A</w:t>
      </w:r>
      <w:r w:rsidR="00D01496">
        <w:rPr>
          <w:b/>
          <w:bCs/>
          <w:szCs w:val="24"/>
          <w:lang w:val="en-GB" w:eastAsia="en-AU"/>
        </w:rPr>
        <w:t>ct</w:t>
      </w:r>
      <w:r w:rsidR="003E335E">
        <w:rPr>
          <w:szCs w:val="24"/>
          <w:lang w:val="en-GB" w:eastAsia="en-AU"/>
        </w:rPr>
        <w:t>)</w:t>
      </w:r>
      <w:r w:rsidR="00D53611">
        <w:rPr>
          <w:szCs w:val="24"/>
          <w:lang w:val="en-GB" w:eastAsia="en-AU"/>
        </w:rPr>
        <w:t>,</w:t>
      </w:r>
      <w:r w:rsidR="00BB079E">
        <w:rPr>
          <w:szCs w:val="24"/>
          <w:lang w:val="en-GB" w:eastAsia="en-AU"/>
        </w:rPr>
        <w:t xml:space="preserve"> </w:t>
      </w:r>
      <w:r w:rsidR="003E335E">
        <w:rPr>
          <w:szCs w:val="24"/>
          <w:lang w:val="en-GB" w:eastAsia="en-AU"/>
        </w:rPr>
        <w:t xml:space="preserve">nor </w:t>
      </w:r>
      <w:r w:rsidR="00BB079E" w:rsidRPr="00D53611">
        <w:rPr>
          <w:szCs w:val="24"/>
          <w:lang w:val="en-GB" w:eastAsia="en-AU"/>
        </w:rPr>
        <w:t>the</w:t>
      </w:r>
      <w:r w:rsidR="00BB079E" w:rsidRPr="00D53611">
        <w:rPr>
          <w:i/>
          <w:iCs/>
          <w:szCs w:val="24"/>
          <w:lang w:val="en-GB" w:eastAsia="en-AU"/>
        </w:rPr>
        <w:t xml:space="preserve"> </w:t>
      </w:r>
      <w:r w:rsidR="005F7342" w:rsidRPr="00273E87">
        <w:rPr>
          <w:b/>
          <w:bCs/>
          <w:i/>
          <w:iCs/>
          <w:szCs w:val="24"/>
          <w:lang w:val="en-GB" w:eastAsia="en-AU"/>
        </w:rPr>
        <w:t>Privacy Act</w:t>
      </w:r>
      <w:r w:rsidR="005F7342" w:rsidRPr="00D53611">
        <w:rPr>
          <w:i/>
          <w:iCs/>
          <w:szCs w:val="24"/>
          <w:lang w:val="en-GB" w:eastAsia="en-AU"/>
        </w:rPr>
        <w:t xml:space="preserve"> </w:t>
      </w:r>
      <w:r w:rsidR="00D53611" w:rsidRPr="00D53611">
        <w:rPr>
          <w:i/>
          <w:iCs/>
          <w:szCs w:val="24"/>
          <w:lang w:val="en-GB" w:eastAsia="en-AU"/>
        </w:rPr>
        <w:t>1988</w:t>
      </w:r>
      <w:r w:rsidR="00D53611">
        <w:rPr>
          <w:szCs w:val="24"/>
          <w:lang w:val="en-GB" w:eastAsia="en-AU"/>
        </w:rPr>
        <w:t xml:space="preserve"> (</w:t>
      </w:r>
      <w:proofErr w:type="spellStart"/>
      <w:r w:rsidR="00D53611">
        <w:rPr>
          <w:szCs w:val="24"/>
          <w:lang w:val="en-GB" w:eastAsia="en-AU"/>
        </w:rPr>
        <w:t>Cth</w:t>
      </w:r>
      <w:proofErr w:type="spellEnd"/>
      <w:r w:rsidR="00D53611">
        <w:rPr>
          <w:szCs w:val="24"/>
          <w:lang w:val="en-GB" w:eastAsia="en-AU"/>
        </w:rPr>
        <w:t>)</w:t>
      </w:r>
      <w:r w:rsidR="00B2359F" w:rsidRPr="005639E8">
        <w:rPr>
          <w:szCs w:val="24"/>
        </w:rPr>
        <w:t xml:space="preserve"> </w:t>
      </w:r>
      <w:r w:rsidR="00884BEB">
        <w:rPr>
          <w:szCs w:val="24"/>
        </w:rPr>
        <w:t xml:space="preserve">create </w:t>
      </w:r>
      <w:r w:rsidR="00475A1D">
        <w:rPr>
          <w:szCs w:val="24"/>
        </w:rPr>
        <w:t>private causes of action</w:t>
      </w:r>
      <w:r w:rsidR="00683612">
        <w:rPr>
          <w:szCs w:val="24"/>
        </w:rPr>
        <w:t xml:space="preserve">. </w:t>
      </w:r>
      <w:r w:rsidR="006319D4">
        <w:rPr>
          <w:szCs w:val="24"/>
        </w:rPr>
        <w:t xml:space="preserve">The </w:t>
      </w:r>
      <w:r w:rsidR="006319D4" w:rsidRPr="00D83FFD">
        <w:rPr>
          <w:i/>
          <w:iCs/>
          <w:szCs w:val="24"/>
        </w:rPr>
        <w:t>Privacy Act</w:t>
      </w:r>
      <w:r w:rsidR="00D83FFD">
        <w:rPr>
          <w:szCs w:val="24"/>
        </w:rPr>
        <w:t xml:space="preserve"> enables an individual to complain </w:t>
      </w:r>
      <w:r w:rsidR="007E2008">
        <w:rPr>
          <w:szCs w:val="24"/>
        </w:rPr>
        <w:t>about an act or practice that may be an interference with the privacy of the individual (s 3</w:t>
      </w:r>
      <w:r w:rsidR="00CE7FB7">
        <w:rPr>
          <w:szCs w:val="24"/>
        </w:rPr>
        <w:t>6(1))</w:t>
      </w:r>
      <w:r w:rsidR="00CF46F1">
        <w:rPr>
          <w:szCs w:val="24"/>
        </w:rPr>
        <w:t xml:space="preserve"> but the relief available under the Act is limited to </w:t>
      </w:r>
      <w:r w:rsidR="003C52A9">
        <w:rPr>
          <w:szCs w:val="24"/>
        </w:rPr>
        <w:t>public interest decl</w:t>
      </w:r>
      <w:r w:rsidR="00A77599">
        <w:rPr>
          <w:szCs w:val="24"/>
        </w:rPr>
        <w:t>a</w:t>
      </w:r>
      <w:r w:rsidR="003C52A9">
        <w:rPr>
          <w:szCs w:val="24"/>
        </w:rPr>
        <w:t>rations (</w:t>
      </w:r>
      <w:r w:rsidR="009A3F37">
        <w:rPr>
          <w:szCs w:val="24"/>
        </w:rPr>
        <w:t>Part</w:t>
      </w:r>
      <w:r w:rsidR="00A77599">
        <w:rPr>
          <w:szCs w:val="24"/>
        </w:rPr>
        <w:t xml:space="preserve"> VI) and the imposition of civil </w:t>
      </w:r>
      <w:r w:rsidR="00AD21E9">
        <w:rPr>
          <w:szCs w:val="24"/>
        </w:rPr>
        <w:t>penalties</w:t>
      </w:r>
      <w:r w:rsidR="002D0FEC">
        <w:rPr>
          <w:szCs w:val="24"/>
        </w:rPr>
        <w:t xml:space="preserve"> (Part VIB)</w:t>
      </w:r>
      <w:r w:rsidR="00AD21E9">
        <w:rPr>
          <w:szCs w:val="24"/>
        </w:rPr>
        <w:t xml:space="preserve"> </w:t>
      </w:r>
      <w:r w:rsidR="00A77599">
        <w:rPr>
          <w:szCs w:val="24"/>
        </w:rPr>
        <w:t>or criminal</w:t>
      </w:r>
      <w:r w:rsidR="008C2E6A">
        <w:rPr>
          <w:szCs w:val="24"/>
        </w:rPr>
        <w:t xml:space="preserve"> sanctions</w:t>
      </w:r>
      <w:r w:rsidR="00F90F64">
        <w:rPr>
          <w:szCs w:val="24"/>
        </w:rPr>
        <w:t>. Part</w:t>
      </w:r>
      <w:r w:rsidR="00A77599">
        <w:rPr>
          <w:szCs w:val="24"/>
        </w:rPr>
        <w:t xml:space="preserve"> </w:t>
      </w:r>
      <w:r w:rsidR="009A3F37">
        <w:rPr>
          <w:szCs w:val="24"/>
        </w:rPr>
        <w:t>IIB of the AHRC</w:t>
      </w:r>
      <w:r w:rsidR="00D01496">
        <w:rPr>
          <w:szCs w:val="24"/>
        </w:rPr>
        <w:t xml:space="preserve"> </w:t>
      </w:r>
      <w:r w:rsidR="009A3F37">
        <w:rPr>
          <w:szCs w:val="24"/>
        </w:rPr>
        <w:t>A</w:t>
      </w:r>
      <w:r w:rsidR="00D01496">
        <w:rPr>
          <w:szCs w:val="24"/>
        </w:rPr>
        <w:t>ct</w:t>
      </w:r>
      <w:r w:rsidR="009A3F37">
        <w:rPr>
          <w:szCs w:val="24"/>
        </w:rPr>
        <w:t xml:space="preserve"> governs claims for redress under the DDA.</w:t>
      </w:r>
      <w:r w:rsidR="005A34C0">
        <w:rPr>
          <w:szCs w:val="24"/>
        </w:rPr>
        <w:t xml:space="preserve"> Proceedings may only be instituted in this Court for relief arising from a claim under the DDA, where a complaint has been lodged with </w:t>
      </w:r>
      <w:r w:rsidR="008A3E87">
        <w:rPr>
          <w:szCs w:val="24"/>
        </w:rPr>
        <w:t>the Australian Human Rights Commission</w:t>
      </w:r>
      <w:r w:rsidR="004A5188">
        <w:rPr>
          <w:szCs w:val="24"/>
        </w:rPr>
        <w:t xml:space="preserve"> (</w:t>
      </w:r>
      <w:r w:rsidR="004A5188" w:rsidRPr="004A5188">
        <w:rPr>
          <w:b/>
          <w:bCs/>
          <w:szCs w:val="24"/>
        </w:rPr>
        <w:t>AHRC</w:t>
      </w:r>
      <w:r w:rsidR="004A5188">
        <w:rPr>
          <w:szCs w:val="24"/>
        </w:rPr>
        <w:t>)</w:t>
      </w:r>
      <w:r w:rsidR="005A34C0">
        <w:rPr>
          <w:szCs w:val="24"/>
        </w:rPr>
        <w:t xml:space="preserve"> and that complaint has been terminated by the President or her delegate</w:t>
      </w:r>
      <w:r w:rsidR="00DB7AC3">
        <w:rPr>
          <w:szCs w:val="24"/>
        </w:rPr>
        <w:t>: AHRC</w:t>
      </w:r>
      <w:r w:rsidR="00FB371F">
        <w:rPr>
          <w:szCs w:val="24"/>
        </w:rPr>
        <w:t xml:space="preserve"> </w:t>
      </w:r>
      <w:r w:rsidR="00DB7AC3">
        <w:rPr>
          <w:szCs w:val="24"/>
        </w:rPr>
        <w:t>A</w:t>
      </w:r>
      <w:r w:rsidR="00FB371F">
        <w:rPr>
          <w:szCs w:val="24"/>
        </w:rPr>
        <w:t>ct</w:t>
      </w:r>
      <w:r w:rsidR="00DB7AC3">
        <w:rPr>
          <w:szCs w:val="24"/>
        </w:rPr>
        <w:t xml:space="preserve"> s 46P</w:t>
      </w:r>
      <w:r w:rsidR="005A34C0">
        <w:rPr>
          <w:szCs w:val="24"/>
        </w:rPr>
        <w:t>O (3A)</w:t>
      </w:r>
      <w:r w:rsidR="00FB371F">
        <w:rPr>
          <w:szCs w:val="24"/>
        </w:rPr>
        <w:t>;</w:t>
      </w:r>
      <w:r w:rsidR="005A34C0">
        <w:rPr>
          <w:szCs w:val="24"/>
        </w:rPr>
        <w:t xml:space="preserve"> </w:t>
      </w:r>
      <w:proofErr w:type="spellStart"/>
      <w:r w:rsidR="005A34C0">
        <w:rPr>
          <w:i/>
          <w:szCs w:val="24"/>
        </w:rPr>
        <w:t>Picos</w:t>
      </w:r>
      <w:proofErr w:type="spellEnd"/>
      <w:r w:rsidR="005A34C0">
        <w:rPr>
          <w:i/>
          <w:szCs w:val="24"/>
        </w:rPr>
        <w:t xml:space="preserve"> v Australian Federal Police </w:t>
      </w:r>
      <w:r w:rsidR="005A34C0">
        <w:rPr>
          <w:szCs w:val="24"/>
        </w:rPr>
        <w:t>[2015] FCA 118 at [36]-[40]</w:t>
      </w:r>
      <w:r w:rsidR="004A5188">
        <w:rPr>
          <w:szCs w:val="24"/>
        </w:rPr>
        <w:t>.</w:t>
      </w:r>
      <w:r w:rsidR="008A3E87">
        <w:rPr>
          <w:szCs w:val="24"/>
        </w:rPr>
        <w:t xml:space="preserve"> </w:t>
      </w:r>
      <w:r w:rsidR="009A3F37">
        <w:rPr>
          <w:szCs w:val="24"/>
        </w:rPr>
        <w:t xml:space="preserve">If a complaint is not resolved by the </w:t>
      </w:r>
      <w:r w:rsidR="004A5188">
        <w:rPr>
          <w:szCs w:val="24"/>
        </w:rPr>
        <w:t xml:space="preserve">AHRC </w:t>
      </w:r>
      <w:r w:rsidR="00D00DBB">
        <w:rPr>
          <w:szCs w:val="24"/>
        </w:rPr>
        <w:t>during a conciliation process</w:t>
      </w:r>
      <w:r w:rsidR="005A34C0">
        <w:rPr>
          <w:szCs w:val="24"/>
        </w:rPr>
        <w:t xml:space="preserve"> or is terminated on a basis which allows it to proceed</w:t>
      </w:r>
      <w:r w:rsidR="00D00DBB">
        <w:rPr>
          <w:szCs w:val="24"/>
        </w:rPr>
        <w:t xml:space="preserve">, </w:t>
      </w:r>
      <w:r w:rsidR="004A5188">
        <w:rPr>
          <w:szCs w:val="24"/>
        </w:rPr>
        <w:t xml:space="preserve">only then </w:t>
      </w:r>
      <w:r w:rsidR="00DE69A4">
        <w:rPr>
          <w:szCs w:val="24"/>
        </w:rPr>
        <w:t xml:space="preserve">may </w:t>
      </w:r>
      <w:r w:rsidR="00D00DBB">
        <w:rPr>
          <w:szCs w:val="24"/>
        </w:rPr>
        <w:t xml:space="preserve">enforcement proceedings be commenced in </w:t>
      </w:r>
      <w:r w:rsidR="00DE509B">
        <w:rPr>
          <w:szCs w:val="24"/>
        </w:rPr>
        <w:t>the Federal Court of Australia or the Federal Circuit and Family Court of Australia.</w:t>
      </w:r>
      <w:r w:rsidR="000B3D0B">
        <w:rPr>
          <w:szCs w:val="24"/>
        </w:rPr>
        <w:t xml:space="preserve"> Section </w:t>
      </w:r>
      <w:proofErr w:type="gramStart"/>
      <w:r w:rsidR="000B3D0B">
        <w:rPr>
          <w:szCs w:val="24"/>
        </w:rPr>
        <w:t>46PO(</w:t>
      </w:r>
      <w:proofErr w:type="gramEnd"/>
      <w:r w:rsidR="000B3D0B">
        <w:rPr>
          <w:szCs w:val="24"/>
        </w:rPr>
        <w:t>4)(d)</w:t>
      </w:r>
      <w:r w:rsidR="00BA631F">
        <w:rPr>
          <w:szCs w:val="24"/>
        </w:rPr>
        <w:t xml:space="preserve"> of </w:t>
      </w:r>
      <w:r w:rsidR="00792AE9">
        <w:rPr>
          <w:szCs w:val="24"/>
        </w:rPr>
        <w:t>the AHRC</w:t>
      </w:r>
      <w:r w:rsidR="00FB371F">
        <w:rPr>
          <w:szCs w:val="24"/>
        </w:rPr>
        <w:t xml:space="preserve"> </w:t>
      </w:r>
      <w:r w:rsidR="00792AE9">
        <w:rPr>
          <w:szCs w:val="24"/>
        </w:rPr>
        <w:t>A</w:t>
      </w:r>
      <w:r w:rsidR="00FB371F">
        <w:rPr>
          <w:szCs w:val="24"/>
        </w:rPr>
        <w:t>ct</w:t>
      </w:r>
      <w:r w:rsidR="00792AE9">
        <w:rPr>
          <w:szCs w:val="24"/>
        </w:rPr>
        <w:t xml:space="preserve"> provides that a court may make an order </w:t>
      </w:r>
      <w:r w:rsidR="00FE4B01">
        <w:rPr>
          <w:szCs w:val="24"/>
        </w:rPr>
        <w:t xml:space="preserve">requiring a respondent to pay damages by way of compensation for </w:t>
      </w:r>
      <w:r w:rsidR="0086048D">
        <w:rPr>
          <w:szCs w:val="24"/>
        </w:rPr>
        <w:t xml:space="preserve">any loss or damage suffered because of </w:t>
      </w:r>
      <w:r w:rsidR="00671DFF">
        <w:rPr>
          <w:szCs w:val="24"/>
        </w:rPr>
        <w:t>unlawful discrimination by the respondent.</w:t>
      </w:r>
    </w:p>
    <w:p w14:paraId="31596767" w14:textId="1880093F" w:rsidR="0051103C" w:rsidRPr="005A720D" w:rsidRDefault="008702F8" w:rsidP="008702F8">
      <w:pPr>
        <w:pStyle w:val="ParaNumbering"/>
        <w:numPr>
          <w:ilvl w:val="0"/>
          <w:numId w:val="0"/>
        </w:numPr>
        <w:ind w:hanging="720"/>
      </w:pPr>
      <w:r w:rsidRPr="005A720D">
        <w:rPr>
          <w:sz w:val="20"/>
        </w:rPr>
        <w:t>57</w:t>
      </w:r>
      <w:r w:rsidRPr="005A720D">
        <w:rPr>
          <w:sz w:val="20"/>
        </w:rPr>
        <w:tab/>
      </w:r>
      <w:r w:rsidR="0051103C">
        <w:rPr>
          <w:szCs w:val="24"/>
        </w:rPr>
        <w:t>The statutory wrong</w:t>
      </w:r>
      <w:r w:rsidR="00896BA5">
        <w:rPr>
          <w:szCs w:val="24"/>
        </w:rPr>
        <w:t xml:space="preserve">s </w:t>
      </w:r>
      <w:r w:rsidR="0051103C">
        <w:rPr>
          <w:szCs w:val="24"/>
        </w:rPr>
        <w:t xml:space="preserve">created by </w:t>
      </w:r>
      <w:r w:rsidR="00896BA5">
        <w:rPr>
          <w:szCs w:val="24"/>
        </w:rPr>
        <w:t xml:space="preserve">Commonwealth anti-discrimination </w:t>
      </w:r>
      <w:r w:rsidR="00EF1610">
        <w:rPr>
          <w:szCs w:val="24"/>
        </w:rPr>
        <w:t xml:space="preserve">are </w:t>
      </w:r>
      <w:r w:rsidR="00EF1610" w:rsidRPr="00E56281">
        <w:rPr>
          <w:i/>
          <w:szCs w:val="24"/>
        </w:rPr>
        <w:t>sui generis</w:t>
      </w:r>
      <w:r w:rsidR="00EF1610">
        <w:rPr>
          <w:szCs w:val="24"/>
        </w:rPr>
        <w:t>; they are not the same as torts</w:t>
      </w:r>
      <w:r w:rsidR="00E34A32">
        <w:rPr>
          <w:szCs w:val="24"/>
        </w:rPr>
        <w:t xml:space="preserve">. In </w:t>
      </w:r>
      <w:r w:rsidR="00E34A32" w:rsidRPr="0083068A">
        <w:rPr>
          <w:i/>
          <w:iCs/>
          <w:szCs w:val="24"/>
        </w:rPr>
        <w:t>Commissioner of Police v Mohamed</w:t>
      </w:r>
      <w:r w:rsidR="00E34A32">
        <w:rPr>
          <w:szCs w:val="24"/>
        </w:rPr>
        <w:t xml:space="preserve"> [2009] NSWCA 432 at [47]-[48], Baston JA</w:t>
      </w:r>
      <w:r w:rsidR="0051103C">
        <w:rPr>
          <w:szCs w:val="24"/>
        </w:rPr>
        <w:t xml:space="preserve"> </w:t>
      </w:r>
      <w:r w:rsidR="0083068A">
        <w:rPr>
          <w:szCs w:val="24"/>
        </w:rPr>
        <w:t>said:</w:t>
      </w:r>
    </w:p>
    <w:p w14:paraId="43638CDE" w14:textId="678148CF" w:rsidR="005A720D" w:rsidRPr="00994836" w:rsidRDefault="00945C83" w:rsidP="00FB371F">
      <w:pPr>
        <w:pStyle w:val="Quote1"/>
        <w:ind w:left="1440" w:hanging="703"/>
        <w:rPr>
          <w:lang w:eastAsia="en-GB"/>
        </w:rPr>
      </w:pPr>
      <w:r w:rsidRPr="00994836">
        <w:rPr>
          <w:lang w:eastAsia="en-GB"/>
        </w:rPr>
        <w:t>47</w:t>
      </w:r>
      <w:r w:rsidRPr="00994836">
        <w:rPr>
          <w:lang w:eastAsia="en-GB"/>
        </w:rPr>
        <w:tab/>
      </w:r>
      <w:r w:rsidR="004E05AA" w:rsidRPr="00994836">
        <w:rPr>
          <w:lang w:eastAsia="en-GB"/>
        </w:rPr>
        <w:t>[</w:t>
      </w:r>
      <w:r w:rsidR="005A720D" w:rsidRPr="00994836">
        <w:rPr>
          <w:lang w:eastAsia="en-GB"/>
        </w:rPr>
        <w:t>t</w:t>
      </w:r>
      <w:r w:rsidR="004E05AA" w:rsidRPr="00994836">
        <w:rPr>
          <w:lang w:eastAsia="en-GB"/>
        </w:rPr>
        <w:t>]</w:t>
      </w:r>
      <w:r w:rsidR="005A720D" w:rsidRPr="00994836">
        <w:rPr>
          <w:lang w:eastAsia="en-GB"/>
        </w:rPr>
        <w:t xml:space="preserve">he submission that a complaint under the </w:t>
      </w:r>
      <w:r w:rsidR="005A720D" w:rsidRPr="00994836">
        <w:rPr>
          <w:i/>
          <w:iCs/>
          <w:lang w:eastAsia="en-GB"/>
        </w:rPr>
        <w:t>Anti-Discrimination Act</w:t>
      </w:r>
      <w:r w:rsidR="005A720D" w:rsidRPr="00994836">
        <w:rPr>
          <w:lang w:eastAsia="en-GB"/>
        </w:rPr>
        <w:t xml:space="preserve"> gives rise to an action in tort is of limited assistance. In </w:t>
      </w:r>
      <w:r w:rsidR="005A720D" w:rsidRPr="00994836">
        <w:rPr>
          <w:i/>
          <w:iCs/>
          <w:lang w:eastAsia="en-GB"/>
        </w:rPr>
        <w:t>Australian Postal Commission v Dao</w:t>
      </w:r>
      <w:r w:rsidR="005A720D" w:rsidRPr="00994836">
        <w:rPr>
          <w:lang w:eastAsia="en-GB"/>
        </w:rPr>
        <w:t> </w:t>
      </w:r>
      <w:r w:rsidR="005A720D" w:rsidRPr="00994836">
        <w:rPr>
          <w:color w:val="000000" w:themeColor="text1"/>
          <w:lang w:eastAsia="en-GB"/>
        </w:rPr>
        <w:t>(1985) 3 NSWLR 565 </w:t>
      </w:r>
      <w:r w:rsidR="005A720D" w:rsidRPr="00994836">
        <w:rPr>
          <w:lang w:eastAsia="en-GB"/>
        </w:rPr>
        <w:t xml:space="preserve">at 604-605 McHugh JA described an action under </w:t>
      </w:r>
      <w:r w:rsidR="005A720D" w:rsidRPr="00994836">
        <w:rPr>
          <w:lang w:eastAsia="en-GB"/>
        </w:rPr>
        <w:lastRenderedPageBreak/>
        <w:t>the </w:t>
      </w:r>
      <w:r w:rsidR="005A720D" w:rsidRPr="00994836">
        <w:rPr>
          <w:i/>
          <w:iCs/>
          <w:color w:val="000000" w:themeColor="text1"/>
          <w:lang w:eastAsia="en-GB"/>
        </w:rPr>
        <w:t>Anti-Discrimination Act</w:t>
      </w:r>
      <w:r w:rsidR="005A720D" w:rsidRPr="00994836">
        <w:rPr>
          <w:color w:val="000000" w:themeColor="text1"/>
          <w:lang w:eastAsia="en-GB"/>
        </w:rPr>
        <w:t> </w:t>
      </w:r>
      <w:r w:rsidR="005A720D" w:rsidRPr="00994836">
        <w:rPr>
          <w:lang w:eastAsia="en-GB"/>
        </w:rPr>
        <w:t>as “an action in tort”, but in a context in which he was considering the operation of </w:t>
      </w:r>
      <w:r w:rsidR="005A720D" w:rsidRPr="00994836">
        <w:rPr>
          <w:color w:val="000000" w:themeColor="text1"/>
          <w:lang w:eastAsia="en-GB"/>
        </w:rPr>
        <w:t>s 64 </w:t>
      </w:r>
      <w:r w:rsidR="005A720D" w:rsidRPr="00994836">
        <w:rPr>
          <w:lang w:eastAsia="en-GB"/>
        </w:rPr>
        <w:t>of the </w:t>
      </w:r>
      <w:r w:rsidR="005A720D" w:rsidRPr="00994836">
        <w:rPr>
          <w:i/>
          <w:iCs/>
          <w:color w:val="000000" w:themeColor="text1"/>
          <w:lang w:eastAsia="en-GB"/>
        </w:rPr>
        <w:t>Judiciary Act 1903</w:t>
      </w:r>
      <w:r w:rsidR="005A720D" w:rsidRPr="00994836">
        <w:rPr>
          <w:lang w:eastAsia="en-GB"/>
        </w:rPr>
        <w:t> (</w:t>
      </w:r>
      <w:proofErr w:type="spellStart"/>
      <w:r w:rsidR="005A720D" w:rsidRPr="00994836">
        <w:rPr>
          <w:lang w:eastAsia="en-GB"/>
        </w:rPr>
        <w:t>Cth</w:t>
      </w:r>
      <w:proofErr w:type="spellEnd"/>
      <w:r w:rsidR="005A720D" w:rsidRPr="00994836">
        <w:rPr>
          <w:lang w:eastAsia="en-GB"/>
        </w:rPr>
        <w:t>) in rendering a Commonwealth authority liable to suit under the </w:t>
      </w:r>
      <w:r w:rsidR="005A720D" w:rsidRPr="00994836">
        <w:rPr>
          <w:i/>
          <w:iCs/>
          <w:color w:val="000000" w:themeColor="text1"/>
          <w:lang w:eastAsia="en-GB"/>
        </w:rPr>
        <w:t>Anti-Discrimination Act.</w:t>
      </w:r>
      <w:r w:rsidR="005A720D" w:rsidRPr="00994836">
        <w:rPr>
          <w:color w:val="000000" w:themeColor="text1"/>
          <w:lang w:eastAsia="en-GB"/>
        </w:rPr>
        <w:t xml:space="preserve"> </w:t>
      </w:r>
      <w:r w:rsidR="005A720D" w:rsidRPr="00994836">
        <w:rPr>
          <w:lang w:eastAsia="en-GB"/>
        </w:rPr>
        <w:t xml:space="preserve">That description, as noted by </w:t>
      </w:r>
      <w:proofErr w:type="spellStart"/>
      <w:r w:rsidR="005A720D" w:rsidRPr="00994836">
        <w:rPr>
          <w:lang w:eastAsia="en-GB"/>
        </w:rPr>
        <w:t>Spigelman</w:t>
      </w:r>
      <w:proofErr w:type="spellEnd"/>
      <w:r w:rsidR="005A720D" w:rsidRPr="00994836">
        <w:rPr>
          <w:lang w:eastAsia="en-GB"/>
        </w:rPr>
        <w:t xml:space="preserve"> CJ in Russell, was adopted from the judgment of Lee J in </w:t>
      </w:r>
      <w:proofErr w:type="spellStart"/>
      <w:r w:rsidR="005A720D" w:rsidRPr="00994836">
        <w:rPr>
          <w:i/>
          <w:iCs/>
          <w:lang w:eastAsia="en-GB"/>
        </w:rPr>
        <w:t>Allders</w:t>
      </w:r>
      <w:proofErr w:type="spellEnd"/>
      <w:r w:rsidR="005A720D" w:rsidRPr="00994836">
        <w:rPr>
          <w:i/>
          <w:iCs/>
          <w:lang w:eastAsia="en-GB"/>
        </w:rPr>
        <w:t xml:space="preserve"> International Pty Ltd v </w:t>
      </w:r>
      <w:proofErr w:type="spellStart"/>
      <w:r w:rsidR="005A720D" w:rsidRPr="00994836">
        <w:rPr>
          <w:i/>
          <w:iCs/>
          <w:lang w:eastAsia="en-GB"/>
        </w:rPr>
        <w:t>Anstee</w:t>
      </w:r>
      <w:proofErr w:type="spellEnd"/>
      <w:r w:rsidR="005A720D" w:rsidRPr="00994836">
        <w:rPr>
          <w:lang w:eastAsia="en-GB"/>
        </w:rPr>
        <w:t> </w:t>
      </w:r>
      <w:r w:rsidR="005A720D" w:rsidRPr="00994836">
        <w:rPr>
          <w:i/>
          <w:iCs/>
          <w:color w:val="000000" w:themeColor="text1"/>
          <w:lang w:eastAsia="en-GB"/>
        </w:rPr>
        <w:t>(1986) 5 NSWLR 47</w:t>
      </w:r>
      <w:r w:rsidR="005A720D" w:rsidRPr="00994836">
        <w:rPr>
          <w:color w:val="000000" w:themeColor="text1"/>
          <w:lang w:eastAsia="en-GB"/>
        </w:rPr>
        <w:t> </w:t>
      </w:r>
      <w:r w:rsidR="005A720D" w:rsidRPr="00994836">
        <w:rPr>
          <w:lang w:eastAsia="en-GB"/>
        </w:rPr>
        <w:t>at 65: see </w:t>
      </w:r>
      <w:r w:rsidR="005A720D" w:rsidRPr="00994836">
        <w:rPr>
          <w:i/>
          <w:iCs/>
          <w:lang w:eastAsia="en-GB"/>
        </w:rPr>
        <w:t>Russell</w:t>
      </w:r>
      <w:r w:rsidR="005A720D" w:rsidRPr="00994836">
        <w:rPr>
          <w:lang w:eastAsia="en-GB"/>
        </w:rPr>
        <w:t> at [55]. In considering the application of the </w:t>
      </w:r>
      <w:r w:rsidR="005A720D" w:rsidRPr="00994836">
        <w:rPr>
          <w:i/>
          <w:iCs/>
          <w:color w:val="000000" w:themeColor="text1"/>
          <w:lang w:eastAsia="en-GB"/>
        </w:rPr>
        <w:t>Law Reform (Vicarious Liability) Act 1983</w:t>
      </w:r>
      <w:r w:rsidR="005A720D" w:rsidRPr="00994836">
        <w:rPr>
          <w:color w:val="000000" w:themeColor="text1"/>
          <w:lang w:eastAsia="en-GB"/>
        </w:rPr>
        <w:t> </w:t>
      </w:r>
      <w:r w:rsidR="005A720D" w:rsidRPr="00994836">
        <w:rPr>
          <w:lang w:eastAsia="en-GB"/>
        </w:rPr>
        <w:t>(NSW) to a cause of action under the </w:t>
      </w:r>
      <w:r w:rsidR="005A720D" w:rsidRPr="00994836">
        <w:rPr>
          <w:i/>
          <w:iCs/>
          <w:color w:val="000000" w:themeColor="text1"/>
          <w:lang w:eastAsia="en-GB"/>
        </w:rPr>
        <w:t>Anti-Discrimination Act</w:t>
      </w:r>
      <w:r w:rsidR="005A720D" w:rsidRPr="00994836">
        <w:rPr>
          <w:lang w:eastAsia="en-GB"/>
        </w:rPr>
        <w:t xml:space="preserve">, the Chief Justice said “it is not accurate to describe proceedings by way of complaint before a tribunal as a ‘right of action’”: at [71]. Rather, his Honour preferred the reasoning of </w:t>
      </w:r>
      <w:proofErr w:type="spellStart"/>
      <w:r w:rsidR="005A720D" w:rsidRPr="00994836">
        <w:rPr>
          <w:lang w:eastAsia="en-GB"/>
        </w:rPr>
        <w:t>Menhennitt</w:t>
      </w:r>
      <w:proofErr w:type="spellEnd"/>
      <w:r w:rsidR="005A720D" w:rsidRPr="00994836">
        <w:rPr>
          <w:lang w:eastAsia="en-GB"/>
        </w:rPr>
        <w:t xml:space="preserve"> J in </w:t>
      </w:r>
      <w:r w:rsidR="005A720D" w:rsidRPr="00994836">
        <w:rPr>
          <w:i/>
          <w:iCs/>
          <w:lang w:eastAsia="en-GB"/>
        </w:rPr>
        <w:t xml:space="preserve">Philip Morris Ltd v </w:t>
      </w:r>
      <w:proofErr w:type="spellStart"/>
      <w:r w:rsidR="005A720D" w:rsidRPr="00994836">
        <w:rPr>
          <w:i/>
          <w:iCs/>
          <w:lang w:eastAsia="en-GB"/>
        </w:rPr>
        <w:t>Ainley</w:t>
      </w:r>
      <w:proofErr w:type="spellEnd"/>
      <w:r w:rsidR="005A720D" w:rsidRPr="00994836">
        <w:rPr>
          <w:i/>
          <w:iCs/>
          <w:lang w:eastAsia="en-GB"/>
        </w:rPr>
        <w:t xml:space="preserve"> &amp; </w:t>
      </w:r>
      <w:proofErr w:type="spellStart"/>
      <w:r w:rsidR="005A720D" w:rsidRPr="00994836">
        <w:rPr>
          <w:i/>
          <w:iCs/>
          <w:lang w:eastAsia="en-GB"/>
        </w:rPr>
        <w:t>Inc</w:t>
      </w:r>
      <w:proofErr w:type="spellEnd"/>
      <w:r w:rsidR="005A720D" w:rsidRPr="00994836">
        <w:rPr>
          <w:i/>
          <w:iCs/>
          <w:lang w:eastAsia="en-GB"/>
        </w:rPr>
        <w:t xml:space="preserve"> Nominal Defendant</w:t>
      </w:r>
      <w:r w:rsidR="005A720D" w:rsidRPr="00994836">
        <w:rPr>
          <w:color w:val="000000" w:themeColor="text1"/>
          <w:lang w:eastAsia="en-GB"/>
        </w:rPr>
        <w:t> </w:t>
      </w:r>
      <w:hyperlink r:id="rId29" w:tooltip="View LawCiteRecord" w:history="1">
        <w:r w:rsidR="005A720D" w:rsidRPr="00994836">
          <w:rPr>
            <w:color w:val="000000" w:themeColor="text1"/>
            <w:lang w:eastAsia="en-GB"/>
          </w:rPr>
          <w:t>[1975] VR 345</w:t>
        </w:r>
      </w:hyperlink>
      <w:r w:rsidR="005A720D" w:rsidRPr="00994836">
        <w:rPr>
          <w:lang w:eastAsia="en-GB"/>
        </w:rPr>
        <w:t> at 349 that “an action of tort is one in which the remedy is a common law cause of action although the right being enforced in the action may be a right created by either the common law or statute: at [72].</w:t>
      </w:r>
    </w:p>
    <w:p w14:paraId="26A5B633" w14:textId="18D82E47" w:rsidR="005A720D" w:rsidRPr="00B55D5A" w:rsidRDefault="00994836" w:rsidP="00FB371F">
      <w:pPr>
        <w:pStyle w:val="Quote1"/>
        <w:ind w:left="1440" w:hanging="703"/>
        <w:rPr>
          <w:lang w:eastAsia="en-GB"/>
        </w:rPr>
      </w:pPr>
      <w:r w:rsidRPr="00994836">
        <w:rPr>
          <w:lang w:eastAsia="en-GB"/>
        </w:rPr>
        <w:t>48</w:t>
      </w:r>
      <w:r w:rsidRPr="00994836">
        <w:rPr>
          <w:lang w:eastAsia="en-GB"/>
        </w:rPr>
        <w:tab/>
      </w:r>
      <w:r w:rsidR="005A720D" w:rsidRPr="00994836">
        <w:rPr>
          <w:lang w:eastAsia="en-GB"/>
        </w:rPr>
        <w:t>However one characterises the cause of action under the </w:t>
      </w:r>
      <w:r w:rsidR="005A720D" w:rsidRPr="00994836">
        <w:rPr>
          <w:i/>
          <w:iCs/>
          <w:color w:val="000000" w:themeColor="text1"/>
          <w:lang w:eastAsia="en-GB"/>
        </w:rPr>
        <w:t>Anti-Discrimination Act</w:t>
      </w:r>
      <w:r w:rsidR="005A720D" w:rsidRPr="00994836">
        <w:rPr>
          <w:lang w:eastAsia="en-GB"/>
        </w:rPr>
        <w:t>, it does not involve the creation of a general law duty of care, of the kind discussed in </w:t>
      </w:r>
      <w:r w:rsidR="005A720D" w:rsidRPr="00994836">
        <w:rPr>
          <w:i/>
          <w:iCs/>
          <w:lang w:eastAsia="en-GB"/>
        </w:rPr>
        <w:t>Hill</w:t>
      </w:r>
      <w:r w:rsidR="005A720D" w:rsidRPr="00994836">
        <w:rPr>
          <w:lang w:eastAsia="en-GB"/>
        </w:rPr>
        <w:t>, </w:t>
      </w:r>
      <w:r w:rsidR="005A720D" w:rsidRPr="00994836">
        <w:rPr>
          <w:i/>
          <w:iCs/>
          <w:lang w:eastAsia="en-GB"/>
        </w:rPr>
        <w:t>Tame</w:t>
      </w:r>
      <w:r w:rsidR="005A720D" w:rsidRPr="00994836">
        <w:rPr>
          <w:lang w:eastAsia="en-GB"/>
        </w:rPr>
        <w:t> and </w:t>
      </w:r>
      <w:r w:rsidR="005A720D" w:rsidRPr="00994836">
        <w:rPr>
          <w:i/>
          <w:iCs/>
          <w:lang w:eastAsia="en-GB"/>
        </w:rPr>
        <w:t>Sullivan</w:t>
      </w:r>
      <w:r w:rsidR="005A720D" w:rsidRPr="00994836">
        <w:rPr>
          <w:lang w:eastAsia="en-GB"/>
        </w:rPr>
        <w:t>. Nor does it give rise to the kind of policy questions which affect the scope of such a duty. Rather, its scope is to be identified as a matter of statutory interpretation. If the Parliament seeks to subject the Police Force to statutory prohibitions, with civil remedies for breach, the courts must apply the statute, which is not in any sense contingent upon the existence of a general law duty of care, nor on matters of legal principle which underlie the existence or absence of such a duty. Accordingly, submissions based on these authorities should be rejected.</w:t>
      </w:r>
    </w:p>
    <w:p w14:paraId="73E35C9A" w14:textId="07E5DDF1" w:rsidR="00B55D5A" w:rsidRDefault="008702F8" w:rsidP="008702F8">
      <w:pPr>
        <w:pStyle w:val="ParaNumbering"/>
        <w:numPr>
          <w:ilvl w:val="0"/>
          <w:numId w:val="0"/>
        </w:numPr>
        <w:ind w:hanging="720"/>
      </w:pPr>
      <w:r>
        <w:rPr>
          <w:sz w:val="20"/>
        </w:rPr>
        <w:t>58</w:t>
      </w:r>
      <w:r>
        <w:rPr>
          <w:sz w:val="20"/>
        </w:rPr>
        <w:tab/>
      </w:r>
      <w:r w:rsidR="00B55D5A">
        <w:t xml:space="preserve">Ms Luck frankly informed the Court that she has never brought any complaint before the AHRC with respect to any of the purported “treatment” she has received. </w:t>
      </w:r>
      <w:r w:rsidR="00925C47">
        <w:t xml:space="preserve">Any opportunity that she may have had to pursue </w:t>
      </w:r>
      <w:r w:rsidR="005B43BE">
        <w:t xml:space="preserve">such a complaint has long since passed. </w:t>
      </w:r>
      <w:r w:rsidR="00B55D5A">
        <w:t xml:space="preserve">It cannot be accepted that Ms Luck’s action is one under the Australian </w:t>
      </w:r>
      <w:r w:rsidR="00A1298F">
        <w:t>h</w:t>
      </w:r>
      <w:r w:rsidR="00B55D5A">
        <w:t xml:space="preserve">uman </w:t>
      </w:r>
      <w:r w:rsidR="00A1298F">
        <w:t>r</w:t>
      </w:r>
      <w:r w:rsidR="00B55D5A">
        <w:t>ights legislation. Ms Luck is precluded from bringing any claim under the DDA in th</w:t>
      </w:r>
      <w:r w:rsidR="00A1298F">
        <w:t>is</w:t>
      </w:r>
      <w:r w:rsidR="00B55D5A">
        <w:t xml:space="preserve"> Court without first having made a complaint to the AHRC</w:t>
      </w:r>
      <w:r w:rsidR="005A34C0">
        <w:t xml:space="preserve"> </w:t>
      </w:r>
      <w:r w:rsidR="00B55D5A">
        <w:t>and that complaint being terminated by the President or her delegate of the AHRC: s 46PO of the AHRC Act.</w:t>
      </w:r>
    </w:p>
    <w:p w14:paraId="2547FAC1" w14:textId="6D5C4592" w:rsidR="00461834" w:rsidRDefault="008702F8" w:rsidP="008702F8">
      <w:pPr>
        <w:pStyle w:val="ParaNumbering"/>
        <w:numPr>
          <w:ilvl w:val="0"/>
          <w:numId w:val="0"/>
        </w:numPr>
        <w:ind w:hanging="720"/>
      </w:pPr>
      <w:r>
        <w:rPr>
          <w:sz w:val="20"/>
        </w:rPr>
        <w:t>59</w:t>
      </w:r>
      <w:r>
        <w:rPr>
          <w:sz w:val="20"/>
        </w:rPr>
        <w:tab/>
      </w:r>
      <w:r w:rsidR="00A1298F">
        <w:t xml:space="preserve">Further, at no stage </w:t>
      </w:r>
      <w:r w:rsidR="008A2DA9">
        <w:t xml:space="preserve">of the proceedings has Ms Luck sought to frame her cause of action as one for damages. </w:t>
      </w:r>
      <w:r w:rsidR="00E15785">
        <w:t xml:space="preserve">During the </w:t>
      </w:r>
      <w:r w:rsidR="00FB371F">
        <w:t>hearing, Ms Luck informed the Co</w:t>
      </w:r>
      <w:r w:rsidR="00E15785">
        <w:t xml:space="preserve">urt candidly that she made no claim for damages as part of her initial claim to the </w:t>
      </w:r>
      <w:r w:rsidR="00FB371F">
        <w:t>Tribunal</w:t>
      </w:r>
      <w:r w:rsidR="008A2DA9">
        <w:t>. Rather,</w:t>
      </w:r>
      <w:r w:rsidR="00E15785">
        <w:t xml:space="preserve"> she described her underlying claim as being one for “documents”</w:t>
      </w:r>
      <w:r w:rsidR="008A2DA9">
        <w:t>,</w:t>
      </w:r>
      <w:r w:rsidR="00E15785">
        <w:t xml:space="preserve"> not damages. </w:t>
      </w:r>
      <w:r w:rsidR="00375D54">
        <w:t xml:space="preserve">Unlike the circumstances in </w:t>
      </w:r>
      <w:r w:rsidR="00375D54" w:rsidRPr="008450EC">
        <w:rPr>
          <w:i/>
          <w:iCs/>
        </w:rPr>
        <w:t>Fisher</w:t>
      </w:r>
      <w:r w:rsidR="00375D54">
        <w:t xml:space="preserve">, </w:t>
      </w:r>
      <w:r w:rsidR="005D6004">
        <w:t xml:space="preserve">and </w:t>
      </w:r>
      <w:r w:rsidR="004A7491">
        <w:t>as</w:t>
      </w:r>
      <w:r w:rsidR="005D6004">
        <w:t xml:space="preserve"> submitted by the DHS, </w:t>
      </w:r>
      <w:r w:rsidR="00245861">
        <w:t xml:space="preserve">nothing done by any of the respondents in relation to </w:t>
      </w:r>
      <w:r w:rsidR="008450EC">
        <w:t>her application for production of documents impugned her character such that her claim became analogous with one for defamation.</w:t>
      </w:r>
      <w:r w:rsidR="005D6004" w:rsidRPr="005D6004">
        <w:t xml:space="preserve"> </w:t>
      </w:r>
      <w:r w:rsidR="005019AD">
        <w:t>Further, as t</w:t>
      </w:r>
      <w:r w:rsidR="005D6004">
        <w:t xml:space="preserve">he DHS contended there was no evidence that the purpose of </w:t>
      </w:r>
      <w:r w:rsidR="00362345">
        <w:t xml:space="preserve">Ms Luck’s </w:t>
      </w:r>
      <w:r w:rsidR="005D6004">
        <w:t>request</w:t>
      </w:r>
      <w:r w:rsidR="00362345">
        <w:t xml:space="preserve"> </w:t>
      </w:r>
      <w:r w:rsidR="005D6004">
        <w:t>related to employment or income</w:t>
      </w:r>
      <w:r w:rsidR="00362345">
        <w:t>. Her request was for what might be described in broad terms as various manuals and documents relating to the policies and procedures of the DHS.</w:t>
      </w:r>
    </w:p>
    <w:p w14:paraId="34ED9EA7" w14:textId="39B4EFB2" w:rsidR="00F52780" w:rsidRDefault="008702F8" w:rsidP="008702F8">
      <w:pPr>
        <w:pStyle w:val="ParaNumbering"/>
        <w:numPr>
          <w:ilvl w:val="0"/>
          <w:numId w:val="0"/>
        </w:numPr>
        <w:ind w:hanging="720"/>
      </w:pPr>
      <w:r>
        <w:rPr>
          <w:sz w:val="20"/>
        </w:rPr>
        <w:lastRenderedPageBreak/>
        <w:t>60</w:t>
      </w:r>
      <w:r>
        <w:rPr>
          <w:sz w:val="20"/>
        </w:rPr>
        <w:tab/>
      </w:r>
      <w:r w:rsidR="00F52780">
        <w:t xml:space="preserve">Likewise, </w:t>
      </w:r>
      <w:r w:rsidR="00D61017">
        <w:t xml:space="preserve">the obiter dicta of the Full Court in </w:t>
      </w:r>
      <w:r w:rsidR="00D61017" w:rsidRPr="00D61017">
        <w:rPr>
          <w:i/>
          <w:iCs/>
        </w:rPr>
        <w:t>Luck v Chief Executive Officer of Centr</w:t>
      </w:r>
      <w:r w:rsidR="00D61017">
        <w:rPr>
          <w:i/>
          <w:iCs/>
        </w:rPr>
        <w:t>e</w:t>
      </w:r>
      <w:r w:rsidR="00D61017" w:rsidRPr="00D61017">
        <w:rPr>
          <w:i/>
          <w:iCs/>
        </w:rPr>
        <w:t>link</w:t>
      </w:r>
      <w:r w:rsidR="00D61017">
        <w:t xml:space="preserve"> [2017] FCAFC 92; 251 FCR 295</w:t>
      </w:r>
      <w:r w:rsidR="0078769B">
        <w:t xml:space="preserve"> at [25] that Ms Luck’s application for judicial review under s 5 of the </w:t>
      </w:r>
      <w:r w:rsidR="0078769B" w:rsidRPr="005E2BA2">
        <w:rPr>
          <w:i/>
          <w:iCs/>
        </w:rPr>
        <w:t>Administ</w:t>
      </w:r>
      <w:r w:rsidR="005E2BA2" w:rsidRPr="005E2BA2">
        <w:rPr>
          <w:i/>
          <w:iCs/>
        </w:rPr>
        <w:t>rative Decisions (Judicial Review) Act 1977</w:t>
      </w:r>
      <w:r w:rsidR="005E2BA2">
        <w:t xml:space="preserve"> (</w:t>
      </w:r>
      <w:proofErr w:type="spellStart"/>
      <w:r w:rsidR="005E2BA2">
        <w:t>Cth</w:t>
      </w:r>
      <w:proofErr w:type="spellEnd"/>
      <w:r w:rsidR="005E2BA2">
        <w:t>)</w:t>
      </w:r>
      <w:r w:rsidR="005E3872">
        <w:t xml:space="preserve"> was “a right of action (if it be a right of action) that relates to the ap</w:t>
      </w:r>
      <w:r w:rsidR="00472F7F">
        <w:t>pellant’s “</w:t>
      </w:r>
      <w:r w:rsidR="005E3872">
        <w:t>person or feelings</w:t>
      </w:r>
      <w:r w:rsidR="00472F7F">
        <w:t>”</w:t>
      </w:r>
      <w:r w:rsidR="005E3872">
        <w:t xml:space="preserve"> and thus remains with her”</w:t>
      </w:r>
      <w:r w:rsidR="00CA7043">
        <w:t xml:space="preserve"> do not assist. The impugned decision in that case </w:t>
      </w:r>
      <w:r w:rsidR="003E58D1">
        <w:t xml:space="preserve">was one which prevented Ms Luck from </w:t>
      </w:r>
      <w:r w:rsidR="00AB28F0">
        <w:t>entering</w:t>
      </w:r>
      <w:r w:rsidR="00BA0D10">
        <w:t xml:space="preserve"> Centrelink</w:t>
      </w:r>
      <w:r w:rsidR="00AB28F0">
        <w:t>’s premises for three months</w:t>
      </w:r>
      <w:r w:rsidR="0059617D">
        <w:t>, thereby allegedly impugning her character in various different ways.</w:t>
      </w:r>
      <w:r w:rsidR="00425042">
        <w:t xml:space="preserve"> </w:t>
      </w:r>
      <w:r w:rsidR="00F4305C">
        <w:t xml:space="preserve">The Court upheld the </w:t>
      </w:r>
      <w:r w:rsidR="005E01CE">
        <w:t>decision at first instance that decision was not revi</w:t>
      </w:r>
      <w:r w:rsidR="0018705F">
        <w:t>ewable, it not having been made “under an enactment”.</w:t>
      </w:r>
    </w:p>
    <w:p w14:paraId="1C3A31BF" w14:textId="74534618" w:rsidR="00765019" w:rsidRDefault="008702F8" w:rsidP="008702F8">
      <w:pPr>
        <w:pStyle w:val="ParaNumbering"/>
        <w:numPr>
          <w:ilvl w:val="0"/>
          <w:numId w:val="0"/>
        </w:numPr>
        <w:ind w:hanging="720"/>
      </w:pPr>
      <w:r>
        <w:rPr>
          <w:sz w:val="20"/>
        </w:rPr>
        <w:t>61</w:t>
      </w:r>
      <w:r>
        <w:rPr>
          <w:sz w:val="20"/>
        </w:rPr>
        <w:tab/>
      </w:r>
      <w:r w:rsidR="009F0556" w:rsidRPr="00B80A12">
        <w:rPr>
          <w:bCs/>
          <w:iCs/>
        </w:rPr>
        <w:t>In</w:t>
      </w:r>
      <w:r w:rsidR="009F0556">
        <w:rPr>
          <w:b/>
          <w:i/>
        </w:rPr>
        <w:t xml:space="preserve"> </w:t>
      </w:r>
      <w:r w:rsidR="00765019" w:rsidRPr="004250ED">
        <w:rPr>
          <w:bCs/>
          <w:i/>
        </w:rPr>
        <w:t>Garrett</w:t>
      </w:r>
      <w:r w:rsidR="00830569">
        <w:t xml:space="preserve">, the applicant sought </w:t>
      </w:r>
      <w:r w:rsidR="004E296A">
        <w:t>judicial review of the validity of tax assessments and the existence or quantum of prior tax debts.</w:t>
      </w:r>
      <w:r w:rsidR="005D01B6">
        <w:t xml:space="preserve"> In determining </w:t>
      </w:r>
      <w:r w:rsidR="00765019">
        <w:t xml:space="preserve">whether the applicant </w:t>
      </w:r>
      <w:r w:rsidR="005D01B6">
        <w:t xml:space="preserve">was </w:t>
      </w:r>
      <w:r w:rsidR="00765019">
        <w:t>able to continue the proceedings</w:t>
      </w:r>
      <w:r w:rsidR="005D01B6">
        <w:t xml:space="preserve"> because of s 60(4),</w:t>
      </w:r>
      <w:r w:rsidR="00765019">
        <w:t xml:space="preserve"> Kenny J considered whether Mr Garrett’s claim fell within the species of an action in respect of “any personal injury or wrong” and concluded that it was not</w:t>
      </w:r>
      <w:r w:rsidR="00472F7F">
        <w:t>, at [39</w:t>
      </w:r>
      <w:r w:rsidR="00EB6703">
        <w:t>]</w:t>
      </w:r>
      <w:r w:rsidR="00765019">
        <w:t>:</w:t>
      </w:r>
    </w:p>
    <w:p w14:paraId="7F931D16" w14:textId="5C1E7B6C" w:rsidR="00765019" w:rsidRPr="00225D18" w:rsidRDefault="00765019" w:rsidP="00765019">
      <w:pPr>
        <w:pStyle w:val="Quote1"/>
        <w:rPr>
          <w:lang w:eastAsia="en-AU"/>
        </w:rPr>
      </w:pPr>
      <w:r>
        <w:rPr>
          <w:lang w:eastAsia="en-AU"/>
        </w:rPr>
        <w:t xml:space="preserve">When Mr Garrett’s application and statement of claim is examined, it is clear that the action was not in respect of “any personal injury or wrong” as that phrase has been interpreted by the authorities. Mr Garrett sought judicial review on the basis that the respondent Commissioner and other public officers have misconducted themselves with respect to his taxation liabilities. His proposed appeal is in respect of the primary judge’s disposition of that judicial review proceeding. This is not an action of a kind to which s 60(4) applies: </w:t>
      </w:r>
      <w:proofErr w:type="spellStart"/>
      <w:r>
        <w:rPr>
          <w:lang w:eastAsia="en-AU"/>
        </w:rPr>
        <w:t>cf</w:t>
      </w:r>
      <w:proofErr w:type="spellEnd"/>
      <w:r>
        <w:rPr>
          <w:lang w:eastAsia="en-AU"/>
        </w:rPr>
        <w:t xml:space="preserve"> </w:t>
      </w:r>
      <w:r>
        <w:rPr>
          <w:rFonts w:ascii="Times-Italic" w:hAnsi="Times-Italic" w:cs="Times-Italic"/>
          <w:i/>
          <w:iCs/>
          <w:lang w:eastAsia="en-AU"/>
        </w:rPr>
        <w:t>Bryant v</w:t>
      </w:r>
      <w:r>
        <w:rPr>
          <w:lang w:eastAsia="en-AU"/>
        </w:rPr>
        <w:t xml:space="preserve"> </w:t>
      </w:r>
      <w:r>
        <w:rPr>
          <w:rFonts w:ascii="Times-Italic" w:hAnsi="Times-Italic" w:cs="Times-Italic"/>
          <w:i/>
          <w:iCs/>
          <w:lang w:eastAsia="en-AU"/>
        </w:rPr>
        <w:t xml:space="preserve">Commonwealth Bank of Australia </w:t>
      </w:r>
      <w:r>
        <w:rPr>
          <w:lang w:eastAsia="en-AU"/>
        </w:rPr>
        <w:t xml:space="preserve">(1997) 75 FCR 545 at 564 per O’Loughlin and Merkel JJ. Whilst this judicial review proceeding was brought to an end at first instance on the making of the vexatious proceedings order and not on any other basis, this does not convert Mr Garrett’s proposed appeal against this order into an action in respect of a “personal injury or wrong” under s 60(4) of the </w:t>
      </w:r>
      <w:r w:rsidRPr="00472F7F">
        <w:rPr>
          <w:rFonts w:ascii="Times-Italic" w:hAnsi="Times-Italic" w:cs="Times-Italic"/>
          <w:iCs/>
          <w:lang w:eastAsia="en-AU"/>
        </w:rPr>
        <w:t>Bankruptcy Act</w:t>
      </w:r>
      <w:r w:rsidRPr="00472F7F">
        <w:rPr>
          <w:lang w:eastAsia="en-AU"/>
        </w:rPr>
        <w:t>.</w:t>
      </w:r>
      <w:r>
        <w:rPr>
          <w:lang w:eastAsia="en-AU"/>
        </w:rPr>
        <w:t xml:space="preserve"> Nor does Mr Garrett’s asserted reliance on claimed human </w:t>
      </w:r>
      <w:r>
        <w:rPr>
          <w:rFonts w:ascii="Times-Roman" w:hAnsi="Times-Roman" w:cs="Times-Roman"/>
          <w:lang w:eastAsia="en-AU"/>
        </w:rPr>
        <w:t xml:space="preserve">rights issues under the </w:t>
      </w:r>
      <w:r w:rsidRPr="00225D18">
        <w:rPr>
          <w:i/>
          <w:lang w:eastAsia="en-AU"/>
        </w:rPr>
        <w:t>Human Rights and Equal Opportunity Commission Act</w:t>
      </w:r>
      <w:r w:rsidR="00472F7F">
        <w:rPr>
          <w:lang w:eastAsia="en-AU"/>
        </w:rPr>
        <w:t xml:space="preserve"> 1986 (</w:t>
      </w:r>
      <w:proofErr w:type="spellStart"/>
      <w:r w:rsidR="00472F7F">
        <w:rPr>
          <w:lang w:eastAsia="en-AU"/>
        </w:rPr>
        <w:t>Cth</w:t>
      </w:r>
      <w:proofErr w:type="spellEnd"/>
      <w:r w:rsidR="00472F7F">
        <w:rPr>
          <w:lang w:eastAsia="en-AU"/>
        </w:rPr>
        <w:t xml:space="preserve">) </w:t>
      </w:r>
      <w:r w:rsidRPr="00472F7F">
        <w:rPr>
          <w:rFonts w:ascii="Times-Roman" w:hAnsi="Times-Roman" w:cs="Times-Roman"/>
          <w:lang w:eastAsia="en-AU"/>
        </w:rPr>
        <w:t>and</w:t>
      </w:r>
      <w:r w:rsidRPr="00225D18">
        <w:rPr>
          <w:rFonts w:ascii="Times-Roman" w:hAnsi="Times-Roman" w:cs="Times-Roman"/>
          <w:i/>
          <w:lang w:eastAsia="en-AU"/>
        </w:rPr>
        <w:t xml:space="preserve"> </w:t>
      </w:r>
      <w:r w:rsidRPr="00225D18">
        <w:rPr>
          <w:i/>
          <w:lang w:eastAsia="en-AU"/>
        </w:rPr>
        <w:t>Charter of Human Rights and Responsibilities Act</w:t>
      </w:r>
      <w:r>
        <w:rPr>
          <w:lang w:eastAsia="en-AU"/>
        </w:rPr>
        <w:t xml:space="preserve"> </w:t>
      </w:r>
      <w:r w:rsidR="00472F7F">
        <w:rPr>
          <w:lang w:eastAsia="en-AU"/>
        </w:rPr>
        <w:t xml:space="preserve">2006 (Vic) </w:t>
      </w:r>
      <w:r>
        <w:rPr>
          <w:rFonts w:ascii="Times-Roman" w:hAnsi="Times-Roman" w:cs="Times-Roman"/>
          <w:lang w:eastAsia="en-AU"/>
        </w:rPr>
        <w:t>or his assertion that he</w:t>
      </w:r>
      <w:r>
        <w:rPr>
          <w:lang w:eastAsia="en-AU"/>
        </w:rPr>
        <w:t xml:space="preserve"> has suffered “damages to mind and body” from the respondents’ asserted unconscionable conduct and criminal acts, which apparently related to his judicial review proceeding.</w:t>
      </w:r>
    </w:p>
    <w:p w14:paraId="49CFD7BE" w14:textId="2BEE6988" w:rsidR="00765019" w:rsidRDefault="008702F8" w:rsidP="008702F8">
      <w:pPr>
        <w:pStyle w:val="ParaNumbering"/>
        <w:numPr>
          <w:ilvl w:val="0"/>
          <w:numId w:val="0"/>
        </w:numPr>
        <w:ind w:hanging="720"/>
      </w:pPr>
      <w:r>
        <w:rPr>
          <w:sz w:val="20"/>
        </w:rPr>
        <w:t>62</w:t>
      </w:r>
      <w:r>
        <w:rPr>
          <w:sz w:val="20"/>
        </w:rPr>
        <w:tab/>
      </w:r>
      <w:r w:rsidR="00765019">
        <w:t>Notably</w:t>
      </w:r>
      <w:r w:rsidR="00B80A12">
        <w:t>,</w:t>
      </w:r>
      <w:r w:rsidR="00765019">
        <w:t xml:space="preserve"> as can be seen from the end of </w:t>
      </w:r>
      <w:r w:rsidR="002C7A03">
        <w:t xml:space="preserve">the </w:t>
      </w:r>
      <w:r w:rsidR="00765019">
        <w:t>above extract, her Honour considered like assertions by Mr Garrett to that of Ms Luck regarding his reliance of claimed human rights issues. Assertions</w:t>
      </w:r>
      <w:r w:rsidR="00A71967">
        <w:t xml:space="preserve"> of</w:t>
      </w:r>
      <w:r w:rsidR="00765019">
        <w:t xml:space="preserve"> having suffered “damages to mind or body” are not sufficient to bring the action under the scope of s 60(4). Attention must be given to </w:t>
      </w:r>
      <w:r w:rsidR="00A71967">
        <w:t xml:space="preserve">the </w:t>
      </w:r>
      <w:r w:rsidR="00765019">
        <w:t xml:space="preserve">word “action” defined in s 60(5), namely “any civil proceeding, whether at law or in equity”. Justice Kenny considered the same earlier </w:t>
      </w:r>
      <w:r w:rsidR="00E045D8">
        <w:t xml:space="preserve">argument </w:t>
      </w:r>
      <w:r w:rsidR="00765019">
        <w:t xml:space="preserve">in her </w:t>
      </w:r>
      <w:r w:rsidR="002C7A03">
        <w:t xml:space="preserve">Honour’s </w:t>
      </w:r>
      <w:r w:rsidR="00765019">
        <w:t>judgment at [24]:</w:t>
      </w:r>
    </w:p>
    <w:p w14:paraId="45946C84" w14:textId="627D03B2" w:rsidR="00765019" w:rsidRPr="00770385" w:rsidRDefault="00B813F4" w:rsidP="00770385">
      <w:pPr>
        <w:pStyle w:val="Quote1"/>
        <w:rPr>
          <w:lang w:eastAsia="en-AU"/>
        </w:rPr>
      </w:pPr>
      <w:hyperlink r:id="rId30" w:history="1">
        <w:r w:rsidR="00770385" w:rsidRPr="00770385">
          <w:rPr>
            <w:i/>
            <w:lang w:eastAsia="en-AU"/>
          </w:rPr>
          <w:t>Want v Moss</w:t>
        </w:r>
      </w:hyperlink>
      <w:r w:rsidR="00770385" w:rsidRPr="00770385">
        <w:rPr>
          <w:i/>
          <w:lang w:eastAsia="en-AU"/>
        </w:rPr>
        <w:t> </w:t>
      </w:r>
      <w:r w:rsidR="00770385" w:rsidRPr="00770385">
        <w:rPr>
          <w:lang w:eastAsia="en-AU"/>
        </w:rPr>
        <w:t>10 LR (NSW) 274, </w:t>
      </w:r>
      <w:proofErr w:type="spellStart"/>
      <w:r w:rsidR="009533A6">
        <w:fldChar w:fldCharType="begin"/>
      </w:r>
      <w:r w:rsidR="009533A6">
        <w:instrText xml:space="preserve"> HYPERLINK "https://jade.io/article/801038" </w:instrText>
      </w:r>
      <w:r w:rsidR="009533A6">
        <w:fldChar w:fldCharType="separate"/>
      </w:r>
      <w:r w:rsidR="00770385" w:rsidRPr="00770385">
        <w:rPr>
          <w:i/>
          <w:lang w:eastAsia="en-AU"/>
        </w:rPr>
        <w:t>Daemar</w:t>
      </w:r>
      <w:proofErr w:type="spellEnd"/>
      <w:r w:rsidR="009533A6">
        <w:rPr>
          <w:i/>
          <w:lang w:eastAsia="en-AU"/>
        </w:rPr>
        <w:fldChar w:fldCharType="end"/>
      </w:r>
      <w:r w:rsidR="00770385" w:rsidRPr="00770385">
        <w:rPr>
          <w:lang w:eastAsia="en-AU"/>
        </w:rPr>
        <w:t> 12 NSWLR 45, </w:t>
      </w:r>
      <w:hyperlink r:id="rId31" w:history="1">
        <w:r w:rsidR="00770385" w:rsidRPr="00770385">
          <w:rPr>
            <w:i/>
            <w:lang w:eastAsia="en-AU"/>
          </w:rPr>
          <w:t>Cummings</w:t>
        </w:r>
      </w:hyperlink>
      <w:r w:rsidR="00770385" w:rsidRPr="00770385">
        <w:rPr>
          <w:lang w:eastAsia="en-AU"/>
        </w:rPr>
        <w:t> 185 CLR 124 and </w:t>
      </w:r>
      <w:hyperlink r:id="rId32" w:history="1">
        <w:r w:rsidR="00770385" w:rsidRPr="00770385">
          <w:rPr>
            <w:i/>
            <w:lang w:eastAsia="en-AU"/>
          </w:rPr>
          <w:t>Sarkis v Moussa</w:t>
        </w:r>
        <w:r w:rsidR="00770385" w:rsidRPr="00770385">
          <w:rPr>
            <w:lang w:eastAsia="en-AU"/>
          </w:rPr>
          <w:t> </w:t>
        </w:r>
      </w:hyperlink>
      <w:r w:rsidR="00770385" w:rsidRPr="00770385">
        <w:rPr>
          <w:lang w:eastAsia="en-AU"/>
        </w:rPr>
        <w:t>262 FLR 359 indicate that the word “proceeding” in s </w:t>
      </w:r>
      <w:hyperlink r:id="rId33" w:history="1">
        <w:r w:rsidR="00770385" w:rsidRPr="00770385">
          <w:rPr>
            <w:lang w:eastAsia="en-AU"/>
          </w:rPr>
          <w:t>60(5)</w:t>
        </w:r>
      </w:hyperlink>
      <w:r w:rsidR="00770385" w:rsidRPr="00770385">
        <w:rPr>
          <w:lang w:eastAsia="en-AU"/>
        </w:rPr>
        <w:t> bears a meaning generally co-incident with its ordinary meaning and, in particular, co-incident with the definition of proceeding in s </w:t>
      </w:r>
      <w:hyperlink r:id="rId34" w:history="1">
        <w:r w:rsidR="00770385" w:rsidRPr="00770385">
          <w:rPr>
            <w:lang w:eastAsia="en-AU"/>
          </w:rPr>
          <w:t>4</w:t>
        </w:r>
      </w:hyperlink>
      <w:r w:rsidR="00770385" w:rsidRPr="00770385">
        <w:rPr>
          <w:lang w:eastAsia="en-AU"/>
        </w:rPr>
        <w:t> of the </w:t>
      </w:r>
      <w:hyperlink r:id="rId35" w:history="1">
        <w:r w:rsidR="00770385" w:rsidRPr="00770385">
          <w:rPr>
            <w:lang w:eastAsia="en-AU"/>
          </w:rPr>
          <w:t>Federal Court Act</w:t>
        </w:r>
      </w:hyperlink>
      <w:r w:rsidR="00770385" w:rsidRPr="00770385">
        <w:rPr>
          <w:lang w:eastAsia="en-AU"/>
        </w:rPr>
        <w:t xml:space="preserve">. </w:t>
      </w:r>
      <w:r w:rsidR="00770385" w:rsidRPr="00770385">
        <w:rPr>
          <w:lang w:eastAsia="en-AU"/>
        </w:rPr>
        <w:lastRenderedPageBreak/>
        <w:t>The ordinary meaning of the word “proceeding” was mentioned earlier (at </w:t>
      </w:r>
      <w:hyperlink r:id="rId36" w:history="1">
        <w:r w:rsidR="00770385" w:rsidRPr="00770385">
          <w:rPr>
            <w:lang w:eastAsia="en-AU"/>
          </w:rPr>
          <w:t>[11]</w:t>
        </w:r>
      </w:hyperlink>
      <w:r w:rsidR="00770385" w:rsidRPr="00770385">
        <w:rPr>
          <w:lang w:eastAsia="en-AU"/>
        </w:rPr>
        <w:t> above). In the </w:t>
      </w:r>
      <w:hyperlink r:id="rId37" w:history="1">
        <w:r w:rsidR="00770385" w:rsidRPr="00770385">
          <w:rPr>
            <w:lang w:eastAsia="en-AU"/>
          </w:rPr>
          <w:t>Federal Court Act</w:t>
        </w:r>
      </w:hyperlink>
      <w:r w:rsidR="00770385" w:rsidRPr="00770385">
        <w:rPr>
          <w:lang w:eastAsia="en-AU"/>
        </w:rPr>
        <w:t>, s </w:t>
      </w:r>
      <w:hyperlink r:id="rId38" w:history="1">
        <w:r w:rsidR="00770385" w:rsidRPr="00770385">
          <w:rPr>
            <w:lang w:eastAsia="en-AU"/>
          </w:rPr>
          <w:t>4</w:t>
        </w:r>
      </w:hyperlink>
      <w:r w:rsidR="00770385" w:rsidRPr="00770385">
        <w:rPr>
          <w:lang w:eastAsia="en-AU"/>
        </w:rPr>
        <w:t>, the word “proceeding” is defined as “a proceeding in a court, whether between parties or not, and includes an incidental proceeding in the course of, or in connexion with, a proceeding, and also includes an appeal”. An application under s </w:t>
      </w:r>
      <w:hyperlink r:id="rId39" w:history="1">
        <w:r w:rsidR="00770385" w:rsidRPr="00770385">
          <w:rPr>
            <w:lang w:eastAsia="en-AU"/>
          </w:rPr>
          <w:t>37AR</w:t>
        </w:r>
      </w:hyperlink>
      <w:r w:rsidR="00770385" w:rsidRPr="00770385">
        <w:rPr>
          <w:lang w:eastAsia="en-AU"/>
        </w:rPr>
        <w:t> of the </w:t>
      </w:r>
      <w:hyperlink r:id="rId40" w:history="1">
        <w:r w:rsidR="00770385" w:rsidRPr="00770385">
          <w:rPr>
            <w:lang w:eastAsia="en-AU"/>
          </w:rPr>
          <w:t>Federal Court Act</w:t>
        </w:r>
      </w:hyperlink>
      <w:r w:rsidR="00770385" w:rsidRPr="00770385">
        <w:rPr>
          <w:lang w:eastAsia="en-AU"/>
        </w:rPr>
        <w:t>, for leave to institute an appeal that is subject to a vexatious proceeding order, falls within this definition. This indicates that not only is Mr Garrett’s current application properly characterised as a “civil proceeding” within s </w:t>
      </w:r>
      <w:hyperlink r:id="rId41" w:history="1">
        <w:r w:rsidR="00770385" w:rsidRPr="00770385">
          <w:rPr>
            <w:lang w:eastAsia="en-AU"/>
          </w:rPr>
          <w:t>60(5)</w:t>
        </w:r>
      </w:hyperlink>
      <w:r w:rsidR="00770385" w:rsidRPr="00770385">
        <w:rPr>
          <w:lang w:eastAsia="en-AU"/>
        </w:rPr>
        <w:t> but also as an “action” within s </w:t>
      </w:r>
      <w:hyperlink r:id="rId42" w:history="1">
        <w:r w:rsidR="00770385" w:rsidRPr="00770385">
          <w:rPr>
            <w:lang w:eastAsia="en-AU"/>
          </w:rPr>
          <w:t>60(2)</w:t>
        </w:r>
      </w:hyperlink>
      <w:r w:rsidR="00770385" w:rsidRPr="00770385">
        <w:rPr>
          <w:lang w:eastAsia="en-AU"/>
        </w:rPr>
        <w:t xml:space="preserve">. It is only if there is some implied additional requirement, such as some further connection with the bankrupt’s </w:t>
      </w:r>
      <w:proofErr w:type="gramStart"/>
      <w:r w:rsidR="00770385" w:rsidRPr="00770385">
        <w:rPr>
          <w:lang w:eastAsia="en-AU"/>
        </w:rPr>
        <w:t>estate, that the application could fall outside s </w:t>
      </w:r>
      <w:hyperlink r:id="rId43" w:history="1">
        <w:r w:rsidR="00770385" w:rsidRPr="00770385">
          <w:rPr>
            <w:lang w:eastAsia="en-AU"/>
          </w:rPr>
          <w:t>60(2</w:t>
        </w:r>
        <w:proofErr w:type="gramEnd"/>
        <w:r w:rsidR="00770385" w:rsidRPr="00770385">
          <w:rPr>
            <w:lang w:eastAsia="en-AU"/>
          </w:rPr>
          <w:t>)</w:t>
        </w:r>
      </w:hyperlink>
      <w:r w:rsidR="00770385" w:rsidRPr="00770385">
        <w:rPr>
          <w:lang w:eastAsia="en-AU"/>
        </w:rPr>
        <w:t>.</w:t>
      </w:r>
    </w:p>
    <w:p w14:paraId="0904C064" w14:textId="1729715B" w:rsidR="00020983" w:rsidRDefault="008702F8" w:rsidP="008702F8">
      <w:pPr>
        <w:pStyle w:val="ParaNumbering"/>
        <w:numPr>
          <w:ilvl w:val="0"/>
          <w:numId w:val="0"/>
        </w:numPr>
        <w:ind w:hanging="720"/>
      </w:pPr>
      <w:r>
        <w:rPr>
          <w:sz w:val="20"/>
        </w:rPr>
        <w:t>63</w:t>
      </w:r>
      <w:r>
        <w:rPr>
          <w:sz w:val="20"/>
        </w:rPr>
        <w:tab/>
      </w:r>
      <w:r w:rsidR="00F078EB">
        <w:t xml:space="preserve">That the character of Ms Luck’s action was not sufficient to bring it within the scope of s 60(4) can be </w:t>
      </w:r>
      <w:r w:rsidR="00695FE7">
        <w:t xml:space="preserve">seen from the primary judge’s summary </w:t>
      </w:r>
      <w:r w:rsidR="00D27C3D">
        <w:t>(</w:t>
      </w:r>
      <w:r w:rsidR="00695FE7">
        <w:t>he used the term “recasting”</w:t>
      </w:r>
      <w:r w:rsidR="00D27C3D">
        <w:t>)</w:t>
      </w:r>
      <w:r w:rsidR="00695FE7">
        <w:t xml:space="preserve"> of the three matters which had been remitted to him</w:t>
      </w:r>
      <w:r w:rsidR="000F2C5D">
        <w:t xml:space="preserve"> (</w:t>
      </w:r>
      <w:r w:rsidR="000F2C5D" w:rsidRPr="00BC1F63">
        <w:rPr>
          <w:i/>
          <w:iCs/>
        </w:rPr>
        <w:t>Luck No 4 [2016</w:t>
      </w:r>
      <w:r w:rsidR="00BC1F63" w:rsidRPr="00BC1F63">
        <w:rPr>
          <w:i/>
          <w:iCs/>
        </w:rPr>
        <w:t>]</w:t>
      </w:r>
      <w:r w:rsidR="00BC1F63">
        <w:t>) at [3]</w:t>
      </w:r>
      <w:r w:rsidR="00695FE7">
        <w:t>:</w:t>
      </w:r>
    </w:p>
    <w:p w14:paraId="5746575F" w14:textId="532A3AE7" w:rsidR="00BC1F63" w:rsidRPr="00770385" w:rsidRDefault="00F67486" w:rsidP="00770385">
      <w:pPr>
        <w:pStyle w:val="Quote1"/>
        <w:rPr>
          <w:highlight w:val="yellow"/>
        </w:rPr>
      </w:pPr>
      <w:r w:rsidRPr="00770385">
        <w:rPr>
          <w:i/>
          <w:iCs/>
        </w:rPr>
        <w:t>first</w:t>
      </w:r>
      <w:r w:rsidRPr="00770385">
        <w:t>,</w:t>
      </w:r>
      <w:r w:rsidR="003A4CDC" w:rsidRPr="00770385">
        <w:t xml:space="preserve"> the Administrative Appeals Tribunal (“</w:t>
      </w:r>
      <w:r w:rsidR="003A4CDC" w:rsidRPr="00770385">
        <w:rPr>
          <w:b/>
          <w:bCs/>
        </w:rPr>
        <w:t>AAT</w:t>
      </w:r>
      <w:r w:rsidR="003A4CDC" w:rsidRPr="00770385">
        <w:t xml:space="preserve">”) was wrong to deny that it had jurisdiction (ground u);  </w:t>
      </w:r>
      <w:r w:rsidR="003A4CDC" w:rsidRPr="00770385">
        <w:rPr>
          <w:i/>
          <w:iCs/>
        </w:rPr>
        <w:t>second</w:t>
      </w:r>
      <w:r w:rsidR="003A4CDC" w:rsidRPr="00770385">
        <w:t>, the AAT was wrong to have failed to require the Department of Human</w:t>
      </w:r>
      <w:r w:rsidR="003A4CDC" w:rsidRPr="00161855">
        <w:t xml:space="preserve"> Services (“</w:t>
      </w:r>
      <w:proofErr w:type="spellStart"/>
      <w:r w:rsidR="003A4CDC" w:rsidRPr="00161855">
        <w:rPr>
          <w:bCs/>
        </w:rPr>
        <w:t>DoHS</w:t>
      </w:r>
      <w:proofErr w:type="spellEnd"/>
      <w:r w:rsidR="003A4CDC" w:rsidRPr="00161855">
        <w:t xml:space="preserve">”) to provide Ms Luck with the documents contemplated by s 37(1)(b) of the </w:t>
      </w:r>
      <w:r w:rsidR="003A4CDC" w:rsidRPr="00161855">
        <w:rPr>
          <w:i/>
          <w:iCs/>
        </w:rPr>
        <w:t>Administrative Appeals Tribunal Act 1975</w:t>
      </w:r>
      <w:r w:rsidR="003A4CDC" w:rsidRPr="00161855">
        <w:t xml:space="preserve"> (</w:t>
      </w:r>
      <w:proofErr w:type="spellStart"/>
      <w:r w:rsidR="003A4CDC" w:rsidRPr="00161855">
        <w:t>Cth</w:t>
      </w:r>
      <w:proofErr w:type="spellEnd"/>
      <w:r w:rsidR="003A4CDC" w:rsidRPr="00161855">
        <w:t>) (“</w:t>
      </w:r>
      <w:r w:rsidR="003A4CDC" w:rsidRPr="00161855">
        <w:rPr>
          <w:bCs/>
        </w:rPr>
        <w:t>AAT Act</w:t>
      </w:r>
      <w:r w:rsidR="003A4CDC" w:rsidRPr="00161855">
        <w:t xml:space="preserve">”) (ground o);  </w:t>
      </w:r>
      <w:r w:rsidR="003A4CDC" w:rsidRPr="00161855">
        <w:rPr>
          <w:i/>
          <w:iCs/>
        </w:rPr>
        <w:t>third</w:t>
      </w:r>
      <w:r w:rsidR="003A4CDC" w:rsidRPr="00161855">
        <w:t>, the AAT and the third respondent (“</w:t>
      </w:r>
      <w:proofErr w:type="spellStart"/>
      <w:r w:rsidR="003A4CDC" w:rsidRPr="00161855">
        <w:rPr>
          <w:bCs/>
        </w:rPr>
        <w:t>Forgie</w:t>
      </w:r>
      <w:proofErr w:type="spellEnd"/>
      <w:r w:rsidR="003A4CDC" w:rsidRPr="00161855">
        <w:rPr>
          <w:bCs/>
        </w:rPr>
        <w:t> DP</w:t>
      </w:r>
      <w:r w:rsidR="003A4CDC" w:rsidRPr="00161855">
        <w:t>”) denied Ms Luck procedural fairness by refusing to grant her extensions of time and adjournments (ground aa).</w:t>
      </w:r>
    </w:p>
    <w:p w14:paraId="479B372C" w14:textId="0F42F7CF" w:rsidR="00EE23C8" w:rsidRDefault="008702F8" w:rsidP="008702F8">
      <w:pPr>
        <w:pStyle w:val="ParaNumbering"/>
        <w:numPr>
          <w:ilvl w:val="0"/>
          <w:numId w:val="0"/>
        </w:numPr>
        <w:ind w:hanging="720"/>
      </w:pPr>
      <w:r>
        <w:rPr>
          <w:sz w:val="20"/>
        </w:rPr>
        <w:t>64</w:t>
      </w:r>
      <w:r>
        <w:rPr>
          <w:sz w:val="20"/>
        </w:rPr>
        <w:tab/>
      </w:r>
      <w:r w:rsidR="00EE23C8">
        <w:t xml:space="preserve">As to the </w:t>
      </w:r>
      <w:r w:rsidR="007D63B8">
        <w:t xml:space="preserve">first </w:t>
      </w:r>
      <w:r w:rsidR="00580A5D">
        <w:t>question</w:t>
      </w:r>
      <w:r w:rsidR="007D63B8">
        <w:t>, the primary judge held the Tribunal was correct to hold that its ability to review a decision is dependent on it</w:t>
      </w:r>
      <w:r w:rsidR="008D0CB9">
        <w:t xml:space="preserve"> having been given jurisdiction by statute</w:t>
      </w:r>
      <w:r w:rsidR="009D1E34">
        <w:t>, relevantly to Ms Luck’s claims, pursuant to s 55 of the FOI Act.</w:t>
      </w:r>
      <w:r w:rsidR="00FC62AF">
        <w:t xml:space="preserve"> No such jurisdiction having been conferred on the Tribunal</w:t>
      </w:r>
      <w:r w:rsidR="001168D8">
        <w:t>, it did not err in concluding that it lacked jurisdiction</w:t>
      </w:r>
      <w:r w:rsidR="00A37BD2">
        <w:t xml:space="preserve">: </w:t>
      </w:r>
      <w:r w:rsidR="00A37BD2" w:rsidRPr="00BC1F63">
        <w:rPr>
          <w:i/>
          <w:iCs/>
        </w:rPr>
        <w:t>Luck No 4 [2016]</w:t>
      </w:r>
      <w:r w:rsidR="00A37BD2">
        <w:t xml:space="preserve"> at [18]-[19].</w:t>
      </w:r>
      <w:r w:rsidR="001168D8">
        <w:t xml:space="preserve"> </w:t>
      </w:r>
      <w:r w:rsidR="00D55198">
        <w:t>Although this conclusion was sufficient to</w:t>
      </w:r>
      <w:r w:rsidR="00580A5D">
        <w:t xml:space="preserve"> dispose of the question, the primary judge undertook an analysis</w:t>
      </w:r>
      <w:r w:rsidR="00741132">
        <w:t xml:space="preserve">, </w:t>
      </w:r>
      <w:r w:rsidR="00580A5D">
        <w:t>on the basis of all the documents available to him</w:t>
      </w:r>
      <w:r w:rsidR="00741132">
        <w:t>, of whether there were any decisions made by the DHS that were reviewable</w:t>
      </w:r>
      <w:r w:rsidR="00DB579D">
        <w:t xml:space="preserve"> and of which Ms</w:t>
      </w:r>
      <w:r w:rsidR="008162FF">
        <w:t> </w:t>
      </w:r>
      <w:r w:rsidR="00DB579D">
        <w:t>Luck sought review. The primary judge concluded that there were no decisions meeting both of those criteria</w:t>
      </w:r>
      <w:r w:rsidR="00803ECC">
        <w:t xml:space="preserve">: </w:t>
      </w:r>
      <w:r w:rsidR="00803ECC" w:rsidRPr="00BC1F63">
        <w:rPr>
          <w:i/>
          <w:iCs/>
        </w:rPr>
        <w:t>Luck No 4 [2016]</w:t>
      </w:r>
      <w:r w:rsidR="00803ECC">
        <w:t xml:space="preserve"> at [86]. </w:t>
      </w:r>
      <w:r w:rsidR="00A73AA1">
        <w:t>This question, as remitted to the primary judge, cannot be characterised as one giving rise to an action for a per</w:t>
      </w:r>
      <w:r w:rsidR="002F2BD7">
        <w:t>so</w:t>
      </w:r>
      <w:r w:rsidR="00A73AA1">
        <w:t>nal injury or wrong</w:t>
      </w:r>
      <w:r w:rsidR="002F2BD7">
        <w:t>.</w:t>
      </w:r>
    </w:p>
    <w:p w14:paraId="24EF175C" w14:textId="11875134" w:rsidR="00272030" w:rsidRDefault="008702F8" w:rsidP="008702F8">
      <w:pPr>
        <w:pStyle w:val="ParaNumbering"/>
        <w:numPr>
          <w:ilvl w:val="0"/>
          <w:numId w:val="0"/>
        </w:numPr>
        <w:ind w:hanging="720"/>
      </w:pPr>
      <w:r>
        <w:rPr>
          <w:sz w:val="20"/>
        </w:rPr>
        <w:t>65</w:t>
      </w:r>
      <w:r>
        <w:rPr>
          <w:sz w:val="20"/>
        </w:rPr>
        <w:tab/>
      </w:r>
      <w:r w:rsidR="00272030">
        <w:t xml:space="preserve">As to the second question, </w:t>
      </w:r>
      <w:r w:rsidR="00050EF8">
        <w:t>the essence of the complaint before the primary judge was</w:t>
      </w:r>
      <w:r w:rsidR="00507D76">
        <w:t xml:space="preserve"> that the Tribunal was not entitled to have permitted the DHS to delay compliance with or ignore its requirement to lodge the documents contemplated by s 37(1</w:t>
      </w:r>
      <w:proofErr w:type="gramStart"/>
      <w:r w:rsidR="00507D76">
        <w:t>)(</w:t>
      </w:r>
      <w:proofErr w:type="gramEnd"/>
      <w:r w:rsidR="00507D76">
        <w:t>b).</w:t>
      </w:r>
      <w:r w:rsidR="00974898">
        <w:t xml:space="preserve"> Having already determined that the Tribunal </w:t>
      </w:r>
      <w:r w:rsidR="00131BCE">
        <w:t xml:space="preserve">lacked jurisdiction, the underlying premise of the complaint fell away: </w:t>
      </w:r>
      <w:r w:rsidR="00131BCE" w:rsidRPr="00BC1F63">
        <w:rPr>
          <w:i/>
          <w:iCs/>
        </w:rPr>
        <w:t>Luck No 4 [2016]</w:t>
      </w:r>
      <w:r w:rsidR="00131BCE">
        <w:t xml:space="preserve"> at [91]. Further, the primary judge held that</w:t>
      </w:r>
      <w:r w:rsidR="00153936">
        <w:t xml:space="preserve"> Ms Luck had failed to identify which documents, had they been before the Tribunal, would have led to a different outcome</w:t>
      </w:r>
      <w:r w:rsidR="009E43AD">
        <w:t xml:space="preserve">: </w:t>
      </w:r>
      <w:r w:rsidR="009E43AD" w:rsidRPr="00BC1F63">
        <w:rPr>
          <w:i/>
          <w:iCs/>
        </w:rPr>
        <w:t>Luck No 4 [2016]</w:t>
      </w:r>
      <w:r w:rsidR="009E43AD">
        <w:t xml:space="preserve"> at [96]. Similarly, this </w:t>
      </w:r>
      <w:r w:rsidR="00913514">
        <w:t>question, as remitted to the primary judge, cannot be characterised as one giving rise to an action for a personal injury or wrong.</w:t>
      </w:r>
    </w:p>
    <w:p w14:paraId="3C71F53E" w14:textId="1E2877C4" w:rsidR="00913514" w:rsidRDefault="008702F8" w:rsidP="008702F8">
      <w:pPr>
        <w:pStyle w:val="ParaNumbering"/>
        <w:numPr>
          <w:ilvl w:val="0"/>
          <w:numId w:val="0"/>
        </w:numPr>
        <w:ind w:hanging="720"/>
      </w:pPr>
      <w:r>
        <w:rPr>
          <w:sz w:val="20"/>
        </w:rPr>
        <w:lastRenderedPageBreak/>
        <w:t>66</w:t>
      </w:r>
      <w:r>
        <w:rPr>
          <w:sz w:val="20"/>
        </w:rPr>
        <w:tab/>
      </w:r>
      <w:r w:rsidR="00913514">
        <w:t xml:space="preserve">As to the third question, </w:t>
      </w:r>
      <w:r w:rsidR="00AE6304">
        <w:t xml:space="preserve">the primary judge concluded that it was unnecessary to decide the question because unless the Tribunal actually had jurisdiction to deal with Ms Luck’s application, which </w:t>
      </w:r>
      <w:r w:rsidR="0017360B">
        <w:t xml:space="preserve">it did not, a procedurally fair hearing would necessarily have resulted in the same conclusion. Consequently, there was no utility to the relief sought: </w:t>
      </w:r>
      <w:r w:rsidR="0017360B" w:rsidRPr="00BC1F63">
        <w:rPr>
          <w:i/>
          <w:iCs/>
        </w:rPr>
        <w:t>Luck No 4 [2016]</w:t>
      </w:r>
      <w:r w:rsidR="0017360B">
        <w:t xml:space="preserve"> at [112]. The question of whether a person has been denied procedural fairness is </w:t>
      </w:r>
      <w:r w:rsidR="004E3CD0">
        <w:t xml:space="preserve">not </w:t>
      </w:r>
      <w:r w:rsidR="0017360B">
        <w:t>one giving rise to an action for a personal injury or wrong.</w:t>
      </w:r>
    </w:p>
    <w:p w14:paraId="0BD340F6" w14:textId="0EBDB07E" w:rsidR="00224919" w:rsidRDefault="008702F8" w:rsidP="008702F8">
      <w:pPr>
        <w:pStyle w:val="ParaNumbering"/>
        <w:numPr>
          <w:ilvl w:val="0"/>
          <w:numId w:val="0"/>
        </w:numPr>
        <w:ind w:hanging="720"/>
      </w:pPr>
      <w:r>
        <w:rPr>
          <w:sz w:val="20"/>
        </w:rPr>
        <w:t>67</w:t>
      </w:r>
      <w:r>
        <w:rPr>
          <w:sz w:val="20"/>
        </w:rPr>
        <w:tab/>
      </w:r>
      <w:r w:rsidR="00224919">
        <w:t xml:space="preserve">The </w:t>
      </w:r>
      <w:r w:rsidR="00FB541B">
        <w:t>irresistible</w:t>
      </w:r>
      <w:r w:rsidR="00224919">
        <w:t xml:space="preserve"> conclusion is that the pain felt by Ms Luck in respect of her mind, body and character said to be caused by the injuries inflicted and wron</w:t>
      </w:r>
      <w:r w:rsidR="00770385">
        <w:t>gs done to her by the DHS, the Tribunal</w:t>
      </w:r>
      <w:r w:rsidR="00FB541B">
        <w:t xml:space="preserve">, </w:t>
      </w:r>
      <w:r w:rsidR="00224919">
        <w:t xml:space="preserve">and the Deputy President are simply not actionable and certainly did not form the basis of any pleaded cause of action in the proceedings before the primary judge. Her application was, and always </w:t>
      </w:r>
      <w:r w:rsidR="00EB5DB0">
        <w:t xml:space="preserve">has </w:t>
      </w:r>
      <w:r w:rsidR="00224919">
        <w:t xml:space="preserve">been, one for judicial review. </w:t>
      </w:r>
    </w:p>
    <w:p w14:paraId="0FC31BA7" w14:textId="1ACEE897" w:rsidR="00676E30" w:rsidRDefault="008702F8" w:rsidP="008702F8">
      <w:pPr>
        <w:pStyle w:val="ParaNumbering"/>
        <w:numPr>
          <w:ilvl w:val="0"/>
          <w:numId w:val="0"/>
        </w:numPr>
        <w:ind w:hanging="720"/>
      </w:pPr>
      <w:r>
        <w:rPr>
          <w:sz w:val="20"/>
        </w:rPr>
        <w:t>68</w:t>
      </w:r>
      <w:r>
        <w:rPr>
          <w:sz w:val="20"/>
        </w:rPr>
        <w:tab/>
      </w:r>
      <w:r w:rsidR="00846B06">
        <w:t xml:space="preserve">That being so, there is in fact no </w:t>
      </w:r>
      <w:r w:rsidR="009E71CC">
        <w:t xml:space="preserve">extant </w:t>
      </w:r>
      <w:r w:rsidR="00086B3A">
        <w:t>action in respect of any personal injury or wrong done to Ms Luck which could be continued in her name</w:t>
      </w:r>
      <w:r w:rsidR="009E71CC">
        <w:t xml:space="preserve">. </w:t>
      </w:r>
      <w:r w:rsidR="00212843">
        <w:t>As such, the appeal is deemed to be abandoned by force of s 60(</w:t>
      </w:r>
      <w:r w:rsidR="00CD3938">
        <w:t xml:space="preserve">3) and it should be summarily dismissed pursuant to s 25(2B) of the </w:t>
      </w:r>
      <w:r w:rsidR="00237594">
        <w:t xml:space="preserve">FCA </w:t>
      </w:r>
      <w:r w:rsidR="00CD3938">
        <w:t>Act</w:t>
      </w:r>
      <w:r w:rsidR="00237594">
        <w:t>.</w:t>
      </w:r>
    </w:p>
    <w:p w14:paraId="703738CE" w14:textId="77777777" w:rsidR="00A36D4E" w:rsidRDefault="00A36D4E" w:rsidP="00A36D4E">
      <w:pPr>
        <w:pStyle w:val="Heading2"/>
      </w:pPr>
      <w:r>
        <w:t>The “special case questions”</w:t>
      </w:r>
    </w:p>
    <w:p w14:paraId="304A6AEC" w14:textId="1A3FC0AA" w:rsidR="00A36D4E" w:rsidRDefault="008702F8" w:rsidP="008702F8">
      <w:pPr>
        <w:pStyle w:val="ParaNumbering"/>
        <w:numPr>
          <w:ilvl w:val="0"/>
          <w:numId w:val="0"/>
        </w:numPr>
        <w:ind w:hanging="720"/>
      </w:pPr>
      <w:r>
        <w:rPr>
          <w:sz w:val="20"/>
        </w:rPr>
        <w:t>69</w:t>
      </w:r>
      <w:r>
        <w:rPr>
          <w:sz w:val="20"/>
        </w:rPr>
        <w:tab/>
      </w:r>
      <w:r w:rsidR="00A36D4E">
        <w:t xml:space="preserve">Ms Luck’s application in relation to the special case questions is for directions in relation to the management, conduct and hearing of those questions as set out in her outline of submissions </w:t>
      </w:r>
      <w:r w:rsidR="00E345A5">
        <w:t>lodge</w:t>
      </w:r>
      <w:r w:rsidR="00A36D4E">
        <w:t>d on 31 October 2022 or referral of those questions to a Full Court of the High Court.</w:t>
      </w:r>
      <w:r w:rsidR="00882D30">
        <w:t xml:space="preserve">  Given the conclusion we have reached in relation to the operation and effect of s 60 of the </w:t>
      </w:r>
      <w:r w:rsidR="00882D30" w:rsidRPr="00E345A5">
        <w:rPr>
          <w:i/>
          <w:iCs/>
        </w:rPr>
        <w:t>Bankruptcy Act</w:t>
      </w:r>
      <w:r w:rsidR="00882D30">
        <w:t>, we cannot accede to any of these proposed courses.</w:t>
      </w:r>
    </w:p>
    <w:p w14:paraId="614E06B3" w14:textId="61F2F513" w:rsidR="004219F4" w:rsidRDefault="00D311FD" w:rsidP="00E03032">
      <w:pPr>
        <w:pStyle w:val="Heading2"/>
      </w:pPr>
      <w:r>
        <w:t xml:space="preserve">The </w:t>
      </w:r>
      <w:r w:rsidR="00E03032">
        <w:t>non-recusal applications</w:t>
      </w:r>
    </w:p>
    <w:p w14:paraId="5BA392EB" w14:textId="163F6CDB" w:rsidR="00A957C3" w:rsidRDefault="008702F8" w:rsidP="008702F8">
      <w:pPr>
        <w:pStyle w:val="ParaNumbering"/>
        <w:numPr>
          <w:ilvl w:val="0"/>
          <w:numId w:val="0"/>
        </w:numPr>
        <w:ind w:hanging="720"/>
      </w:pPr>
      <w:r>
        <w:rPr>
          <w:sz w:val="20"/>
        </w:rPr>
        <w:t>70</w:t>
      </w:r>
      <w:r>
        <w:rPr>
          <w:sz w:val="20"/>
        </w:rPr>
        <w:tab/>
      </w:r>
      <w:r w:rsidR="004347B3">
        <w:t>Likewise, g</w:t>
      </w:r>
      <w:r w:rsidR="00E03032">
        <w:t xml:space="preserve">iven the conclusion we have reached in relation to the operation and effect of s 60 of the </w:t>
      </w:r>
      <w:r w:rsidR="00E03032" w:rsidRPr="00E345A5">
        <w:rPr>
          <w:i/>
          <w:iCs/>
        </w:rPr>
        <w:t xml:space="preserve">Bankruptcy </w:t>
      </w:r>
      <w:r w:rsidR="006832A8" w:rsidRPr="00E345A5">
        <w:rPr>
          <w:i/>
          <w:iCs/>
        </w:rPr>
        <w:t>Act</w:t>
      </w:r>
      <w:r w:rsidR="006832A8">
        <w:t xml:space="preserve">, there is no utility in considering the applications in relation to non-recusal by Kerr, O’Callaghan, Snaden and </w:t>
      </w:r>
      <w:proofErr w:type="spellStart"/>
      <w:r w:rsidR="006832A8">
        <w:t>Moshinky</w:t>
      </w:r>
      <w:proofErr w:type="spellEnd"/>
      <w:r w:rsidR="006832A8">
        <w:t xml:space="preserve"> JJ. </w:t>
      </w:r>
    </w:p>
    <w:p w14:paraId="7D15483C" w14:textId="73AF8139" w:rsidR="00EB1C12" w:rsidRDefault="00EB1C12" w:rsidP="00EB1C12">
      <w:pPr>
        <w:pStyle w:val="Heading2"/>
      </w:pPr>
      <w:r>
        <w:t>Joinder applications</w:t>
      </w:r>
    </w:p>
    <w:p w14:paraId="56CFA9DB" w14:textId="07FD29F6" w:rsidR="003D5F04" w:rsidRDefault="008702F8" w:rsidP="008702F8">
      <w:pPr>
        <w:pStyle w:val="ParaNumbering"/>
        <w:numPr>
          <w:ilvl w:val="0"/>
          <w:numId w:val="0"/>
        </w:numPr>
        <w:ind w:hanging="720"/>
      </w:pPr>
      <w:r>
        <w:rPr>
          <w:sz w:val="20"/>
        </w:rPr>
        <w:t>71</w:t>
      </w:r>
      <w:r>
        <w:rPr>
          <w:sz w:val="20"/>
        </w:rPr>
        <w:tab/>
      </w:r>
      <w:r w:rsidR="006832A8">
        <w:t xml:space="preserve">For the same reason, it is unnecessary to deal with the application for </w:t>
      </w:r>
      <w:r w:rsidR="00EB1C12">
        <w:t xml:space="preserve">the joinder of the Chief Executive Officer of the Federal Court of Australia, the Principal Registrar of the Federal Court of Australia, the Attorney-General of Australia and the Commonwealth of Australia. </w:t>
      </w:r>
    </w:p>
    <w:p w14:paraId="314FAD16" w14:textId="0DCB4B69" w:rsidR="00EB1C12" w:rsidRDefault="00EB1C12" w:rsidP="00E61093">
      <w:pPr>
        <w:pStyle w:val="Heading2"/>
      </w:pPr>
      <w:r>
        <w:lastRenderedPageBreak/>
        <w:t>Disposition</w:t>
      </w:r>
    </w:p>
    <w:p w14:paraId="0EF54429" w14:textId="58B73871" w:rsidR="00EB1C12" w:rsidRDefault="008702F8" w:rsidP="008702F8">
      <w:pPr>
        <w:pStyle w:val="ParaNumbering"/>
        <w:numPr>
          <w:ilvl w:val="0"/>
          <w:numId w:val="0"/>
        </w:numPr>
        <w:ind w:hanging="720"/>
      </w:pPr>
      <w:r>
        <w:rPr>
          <w:sz w:val="20"/>
        </w:rPr>
        <w:t>72</w:t>
      </w:r>
      <w:r>
        <w:rPr>
          <w:sz w:val="20"/>
        </w:rPr>
        <w:tab/>
      </w:r>
      <w:r w:rsidR="00EB1C12">
        <w:t>For the</w:t>
      </w:r>
      <w:r w:rsidR="00EF1C90">
        <w:t>se</w:t>
      </w:r>
      <w:r w:rsidR="00EB1C12">
        <w:t xml:space="preserve"> reasons </w:t>
      </w:r>
      <w:r w:rsidR="000538B4">
        <w:t>the DHS</w:t>
      </w:r>
      <w:r w:rsidR="00720B73">
        <w:t>’s interlocutory application f</w:t>
      </w:r>
      <w:r w:rsidR="00CA4A4D">
        <w:t xml:space="preserve">iled on 5 </w:t>
      </w:r>
      <w:r w:rsidR="00720B73">
        <w:t xml:space="preserve">December 2019 to summarily dismiss Ms Luck’s appeal should be allowed. </w:t>
      </w:r>
      <w:r w:rsidR="000F1BF4">
        <w:t xml:space="preserve">The corollary is that Ms Luck’s interlocutory application </w:t>
      </w:r>
      <w:r w:rsidR="00632665">
        <w:t xml:space="preserve">filed on 7 November 2022 </w:t>
      </w:r>
      <w:r w:rsidR="000F1BF4">
        <w:t xml:space="preserve">for </w:t>
      </w:r>
      <w:r w:rsidR="00552278">
        <w:t xml:space="preserve">summary </w:t>
      </w:r>
      <w:r w:rsidR="00017A50">
        <w:t>dismissal of the D</w:t>
      </w:r>
      <w:r w:rsidR="00632665">
        <w:t>HS’s application should be dismissed.</w:t>
      </w:r>
    </w:p>
    <w:p w14:paraId="1F8B735C" w14:textId="17740381" w:rsidR="00161855" w:rsidRDefault="008702F8" w:rsidP="008702F8">
      <w:pPr>
        <w:pStyle w:val="ParaNumbering"/>
        <w:numPr>
          <w:ilvl w:val="0"/>
          <w:numId w:val="0"/>
        </w:numPr>
        <w:ind w:hanging="720"/>
      </w:pPr>
      <w:r>
        <w:rPr>
          <w:sz w:val="20"/>
        </w:rPr>
        <w:t>73</w:t>
      </w:r>
      <w:r>
        <w:rPr>
          <w:sz w:val="20"/>
        </w:rPr>
        <w:tab/>
      </w:r>
      <w:r w:rsidR="007E1116" w:rsidRPr="00770385">
        <w:t>Further</w:t>
      </w:r>
      <w:r w:rsidR="00162C42">
        <w:t>,</w:t>
      </w:r>
      <w:r w:rsidR="007E1116" w:rsidRPr="00770385">
        <w:t xml:space="preserve"> Ms Luck’s </w:t>
      </w:r>
      <w:r w:rsidR="00CA4A4D">
        <w:t xml:space="preserve">interlocutory applications filed on </w:t>
      </w:r>
      <w:r w:rsidR="00770385" w:rsidRPr="00770385">
        <w:t>27 May 2021; 20 March 2020; 20 December 2019; 26 November 2019; 23 August 2019; 9 August 2019; 9</w:t>
      </w:r>
      <w:r w:rsidR="00CA4A4D">
        <w:t xml:space="preserve"> August 2019; 24 July 2019; </w:t>
      </w:r>
      <w:r w:rsidR="00770385" w:rsidRPr="00770385">
        <w:t>20 May 2019</w:t>
      </w:r>
      <w:r w:rsidR="005E0E63">
        <w:t>; and made in submissions dated 12 August 2019</w:t>
      </w:r>
      <w:r w:rsidR="00770385" w:rsidRPr="00770385">
        <w:t xml:space="preserve"> should also be dismissed. </w:t>
      </w:r>
    </w:p>
    <w:tbl>
      <w:tblPr>
        <w:tblW w:w="0" w:type="auto"/>
        <w:tblLook w:val="04A0" w:firstRow="1" w:lastRow="0" w:firstColumn="1" w:lastColumn="0" w:noHBand="0" w:noVBand="1"/>
      </w:tblPr>
      <w:tblGrid>
        <w:gridCol w:w="3794"/>
      </w:tblGrid>
      <w:tr w:rsidR="00770385" w:rsidRPr="00770385" w14:paraId="38024281" w14:textId="77777777">
        <w:tc>
          <w:tcPr>
            <w:tcW w:w="3794" w:type="dxa"/>
            <w:shd w:val="clear" w:color="auto" w:fill="auto"/>
          </w:tcPr>
          <w:p w14:paraId="4F2ACCDE" w14:textId="6820CF4F" w:rsidR="00770385" w:rsidRPr="00770385" w:rsidRDefault="00770385" w:rsidP="00161855">
            <w:pPr>
              <w:pStyle w:val="Normal1linespace"/>
            </w:pPr>
            <w:bookmarkStart w:id="18" w:name="Certification"/>
            <w:r w:rsidRPr="00770385">
              <w:t xml:space="preserve">I certify that the preceding </w:t>
            </w:r>
            <w:bookmarkStart w:id="19" w:name="NumberWord"/>
            <w:r>
              <w:t>seventy-</w:t>
            </w:r>
            <w:bookmarkEnd w:id="19"/>
            <w:r w:rsidR="00161855">
              <w:t>three</w:t>
            </w:r>
            <w:r w:rsidRPr="00770385">
              <w:t xml:space="preserve"> (</w:t>
            </w:r>
            <w:bookmarkStart w:id="20" w:name="NumberNumeral"/>
            <w:r>
              <w:t>7</w:t>
            </w:r>
            <w:bookmarkEnd w:id="20"/>
            <w:r>
              <w:t>3</w:t>
            </w:r>
            <w:r w:rsidRPr="00770385">
              <w:t xml:space="preserve">) numbered </w:t>
            </w:r>
            <w:bookmarkStart w:id="21" w:name="CertPara"/>
            <w:r>
              <w:t>paragraphs are</w:t>
            </w:r>
            <w:bookmarkEnd w:id="21"/>
            <w:r w:rsidRPr="00770385">
              <w:t xml:space="preserve"> a true copy of the Reasons for Judgment of </w:t>
            </w:r>
            <w:bookmarkStart w:id="22" w:name="bkHonourable"/>
            <w:r w:rsidRPr="00770385">
              <w:t xml:space="preserve">the Honourable </w:t>
            </w:r>
            <w:bookmarkStart w:id="23" w:name="Justice"/>
            <w:bookmarkEnd w:id="22"/>
            <w:r>
              <w:t>Justices Farrell, S</w:t>
            </w:r>
            <w:r w:rsidR="00161855">
              <w:t xml:space="preserve">arah </w:t>
            </w:r>
            <w:r>
              <w:t>C Derrington and Raper</w:t>
            </w:r>
            <w:bookmarkEnd w:id="23"/>
            <w:r w:rsidRPr="00770385">
              <w:t>.</w:t>
            </w:r>
          </w:p>
        </w:tc>
      </w:tr>
    </w:tbl>
    <w:p w14:paraId="1DD68DBD" w14:textId="58430F11" w:rsidR="00770385" w:rsidRDefault="00770385" w:rsidP="00260510">
      <w:pPr>
        <w:pStyle w:val="BodyText"/>
      </w:pPr>
    </w:p>
    <w:p w14:paraId="1B13DDB8" w14:textId="48E79309" w:rsidR="00770385" w:rsidRDefault="00770385" w:rsidP="00260510">
      <w:pPr>
        <w:pStyle w:val="BodyText"/>
      </w:pPr>
      <w:r>
        <w:t>Associate:</w:t>
      </w:r>
      <w:bookmarkStart w:id="24" w:name="_GoBack"/>
      <w:bookmarkEnd w:id="24"/>
    </w:p>
    <w:p w14:paraId="7700A1F9" w14:textId="57249798" w:rsidR="00F92077" w:rsidRDefault="00F92077" w:rsidP="00260510">
      <w:pPr>
        <w:pStyle w:val="BodyText"/>
      </w:pPr>
    </w:p>
    <w:p w14:paraId="4538D36F" w14:textId="7E0D9F0D" w:rsidR="00770385" w:rsidRDefault="00770385" w:rsidP="00161855">
      <w:pPr>
        <w:pStyle w:val="BodyText"/>
        <w:tabs>
          <w:tab w:val="left" w:pos="1134"/>
        </w:tabs>
      </w:pPr>
      <w:r>
        <w:t>Dated:</w:t>
      </w:r>
      <w:r>
        <w:tab/>
        <w:t xml:space="preserve">5 December 2022 </w:t>
      </w:r>
    </w:p>
    <w:bookmarkEnd w:id="18"/>
    <w:p w14:paraId="5F68F0C6" w14:textId="77777777" w:rsidR="00964716" w:rsidRPr="009440A2" w:rsidRDefault="00964716" w:rsidP="00770385">
      <w:pPr>
        <w:pStyle w:val="BodyText"/>
      </w:pPr>
    </w:p>
    <w:sectPr w:rsidR="00964716" w:rsidRPr="009440A2" w:rsidSect="00A84FD0">
      <w:headerReference w:type="even" r:id="rId44"/>
      <w:headerReference w:type="default" r:id="rId45"/>
      <w:footerReference w:type="default" r:id="rId46"/>
      <w:headerReference w:type="first" r:id="rId47"/>
      <w:footerReference w:type="first" r:id="rId48"/>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49318" w14:textId="77777777" w:rsidR="00161855" w:rsidRDefault="00161855">
      <w:pPr>
        <w:spacing w:line="20" w:lineRule="exact"/>
      </w:pPr>
    </w:p>
    <w:p w14:paraId="72DBB584" w14:textId="77777777" w:rsidR="00161855" w:rsidRDefault="00161855"/>
    <w:p w14:paraId="71CF72D3" w14:textId="77777777" w:rsidR="00161855" w:rsidRDefault="00161855"/>
  </w:endnote>
  <w:endnote w:type="continuationSeparator" w:id="0">
    <w:p w14:paraId="28ED61CF" w14:textId="77777777" w:rsidR="00161855" w:rsidRDefault="00161855">
      <w:r>
        <w:t xml:space="preserve"> </w:t>
      </w:r>
    </w:p>
    <w:p w14:paraId="35CE16B8" w14:textId="77777777" w:rsidR="00161855" w:rsidRDefault="00161855"/>
    <w:p w14:paraId="3E4A667D" w14:textId="77777777" w:rsidR="00161855" w:rsidRDefault="00161855"/>
  </w:endnote>
  <w:endnote w:type="continuationNotice" w:id="1">
    <w:p w14:paraId="132F5967" w14:textId="77777777" w:rsidR="00161855" w:rsidRDefault="00161855">
      <w:r>
        <w:t xml:space="preserve"> </w:t>
      </w:r>
    </w:p>
    <w:p w14:paraId="1A857DAA" w14:textId="77777777" w:rsidR="00161855" w:rsidRDefault="00161855"/>
    <w:p w14:paraId="0E32B3E9" w14:textId="77777777" w:rsidR="00161855" w:rsidRDefault="001618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Italic">
    <w:altName w:val="Times New Roman"/>
    <w:charset w:val="00"/>
    <w:family w:val="auto"/>
    <w:pitch w:val="variable"/>
    <w:sig w:usb0="E00002FF" w:usb1="5000205A" w:usb2="00000000" w:usb3="00000000" w:csb0="0000019F" w:csb1="00000000"/>
  </w:font>
  <w:font w:name="Times-Roman">
    <w:altName w:val="Times New Roman"/>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30861" w14:textId="57472CAB" w:rsidR="00161855" w:rsidRPr="00C47B9D" w:rsidRDefault="00161855"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0" behindDoc="0" locked="0" layoutInCell="1" allowOverlap="1" wp14:anchorId="1080BC8D" wp14:editId="08434136">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14ACA1"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EA590F">
          <w:rPr>
            <w:bCs/>
            <w:sz w:val="18"/>
            <w:szCs w:val="18"/>
          </w:rPr>
          <w:t xml:space="preserve"> Luck v Secretary of Services Australia [2022] FCAFC 195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38339" w14:textId="21CA92BD" w:rsidR="00161855" w:rsidRPr="00C47B9D" w:rsidRDefault="00161855"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2" behindDoc="0" locked="0" layoutInCell="1" allowOverlap="1" wp14:anchorId="20D95861" wp14:editId="79F10AAA">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888F49" id="Straight Connector 6"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CC50A550741B4D519EF34DF80B18198D"/>
        </w:placeholder>
        <w:dataBinding w:prefixMappings="xmlns:ns0='http://schemas.globalmacros.com/FCA'" w:xpath="/ns0:root[1]/ns0:Name[1]" w:storeItemID="{687E7CCB-4AA5-44E7-B148-17BA2B6F57C0}"/>
        <w:text w:multiLine="1"/>
      </w:sdtPr>
      <w:sdtEndPr/>
      <w:sdtContent>
        <w:r w:rsidR="00EA590F">
          <w:rPr>
            <w:bCs/>
            <w:sz w:val="18"/>
            <w:szCs w:val="18"/>
          </w:rPr>
          <w:t xml:space="preserve"> Luck v Secretary of Services Australia [2022] FCAFC 195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B813F4">
      <w:rPr>
        <w:bCs/>
        <w:noProof/>
        <w:sz w:val="20"/>
      </w:rPr>
      <w:t>ii</w:t>
    </w:r>
    <w:r w:rsidRPr="00EA7F6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1A797" w14:textId="596A4776" w:rsidR="00161855" w:rsidRPr="00C47B9D" w:rsidRDefault="00161855"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1" behindDoc="0" locked="0" layoutInCell="1" allowOverlap="1" wp14:anchorId="35CDE1B0" wp14:editId="3F5D2F62">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9FD2DF"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1310A6A217694F729D24058207BF9664"/>
        </w:placeholder>
        <w:dataBinding w:prefixMappings="xmlns:ns0='http://schemas.globalmacros.com/FCA'" w:xpath="/ns0:root[1]/ns0:Name[1]" w:storeItemID="{687E7CCB-4AA5-44E7-B148-17BA2B6F57C0}"/>
        <w:text w:multiLine="1"/>
      </w:sdtPr>
      <w:sdtEndPr/>
      <w:sdtContent>
        <w:r w:rsidR="00EA590F">
          <w:rPr>
            <w:bCs/>
            <w:sz w:val="18"/>
            <w:szCs w:val="18"/>
          </w:rPr>
          <w:t xml:space="preserve"> Luck v Secretary of Services Australia [2022] FCAFC 195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B813F4">
      <w:rPr>
        <w:bCs/>
        <w:noProof/>
        <w:sz w:val="20"/>
      </w:rPr>
      <w:t>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8B3F5" w14:textId="2B2CAE28" w:rsidR="00161855" w:rsidRPr="00C47B9D" w:rsidRDefault="00161855"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4" behindDoc="0" locked="0" layoutInCell="1" allowOverlap="1" wp14:anchorId="7E83757A" wp14:editId="506693F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900E62" id="Straight Connector 7"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4D5DBF5470A94F99B7881DFA697444DE"/>
        </w:placeholder>
        <w:dataBinding w:prefixMappings="xmlns:ns0='http://schemas.globalmacros.com/FCA'" w:xpath="/ns0:root[1]/ns0:Name[1]" w:storeItemID="{687E7CCB-4AA5-44E7-B148-17BA2B6F57C0}"/>
        <w:text w:multiLine="1"/>
      </w:sdtPr>
      <w:sdtEndPr/>
      <w:sdtContent>
        <w:r w:rsidR="00EA590F">
          <w:rPr>
            <w:bCs/>
            <w:sz w:val="18"/>
            <w:szCs w:val="18"/>
          </w:rPr>
          <w:t xml:space="preserve"> Luck v Secretary of Services Australia [2022] FCAFC 195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B813F4">
      <w:rPr>
        <w:bCs/>
        <w:noProof/>
        <w:sz w:val="20"/>
      </w:rPr>
      <w:t>23</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60C85" w14:textId="48DC7460" w:rsidR="00161855" w:rsidRPr="00C47B9D" w:rsidRDefault="00161855"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3" behindDoc="0" locked="0" layoutInCell="1" allowOverlap="1" wp14:anchorId="57C57200" wp14:editId="26FB309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A92D28" id="Straight Connector 3"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5D0309D90DF64E94B46D1A6D34C405E8"/>
        </w:placeholder>
        <w:dataBinding w:prefixMappings="xmlns:ns0='http://schemas.globalmacros.com/FCA'" w:xpath="/ns0:root[1]/ns0:Name[1]" w:storeItemID="{687E7CCB-4AA5-44E7-B148-17BA2B6F57C0}"/>
        <w:text w:multiLine="1"/>
      </w:sdtPr>
      <w:sdtEndPr/>
      <w:sdtContent>
        <w:r w:rsidR="00EA590F">
          <w:rPr>
            <w:bCs/>
            <w:sz w:val="18"/>
            <w:szCs w:val="18"/>
          </w:rPr>
          <w:t xml:space="preserve"> Luck v Secretary of Services Australia [2022] FCAFC 195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B813F4">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F0D7C" w14:textId="77777777" w:rsidR="00161855" w:rsidRDefault="00161855"/>
  </w:footnote>
  <w:footnote w:type="continuationSeparator" w:id="0">
    <w:p w14:paraId="38CE6484" w14:textId="77777777" w:rsidR="00161855" w:rsidRDefault="00161855">
      <w:r>
        <w:continuationSeparator/>
      </w:r>
    </w:p>
    <w:p w14:paraId="60F2F411" w14:textId="77777777" w:rsidR="00161855" w:rsidRDefault="00161855"/>
    <w:p w14:paraId="638A2164" w14:textId="77777777" w:rsidR="00161855" w:rsidRDefault="00161855"/>
  </w:footnote>
  <w:footnote w:type="continuationNotice" w:id="1">
    <w:p w14:paraId="59686BE6" w14:textId="77777777" w:rsidR="00161855" w:rsidRDefault="0016185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6D064" w14:textId="77777777" w:rsidR="00161855" w:rsidRDefault="00161855">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FEF7D" w14:textId="77777777" w:rsidR="00161855" w:rsidRDefault="00161855">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F1C98" w14:textId="77777777" w:rsidR="00161855" w:rsidRDefault="00161855"/>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7AA69" w14:textId="77777777" w:rsidR="00161855" w:rsidRDefault="00161855">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4DBDC" w14:textId="77777777" w:rsidR="00161855" w:rsidRDefault="00161855"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79CACC3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6F461D"/>
    <w:multiLevelType w:val="hybridMultilevel"/>
    <w:tmpl w:val="B3D81C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1E2A6F96"/>
    <w:multiLevelType w:val="multilevel"/>
    <w:tmpl w:val="5A281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314305"/>
    <w:multiLevelType w:val="multilevel"/>
    <w:tmpl w:val="BCC0B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AE3DD1"/>
    <w:multiLevelType w:val="singleLevel"/>
    <w:tmpl w:val="62860BE8"/>
    <w:lvl w:ilvl="0">
      <w:start w:val="1"/>
      <w:numFmt w:val="decimal"/>
      <w:lvlRestart w:val="0"/>
      <w:pStyle w:val="ParaNumbering"/>
      <w:lvlText w:val="%1"/>
      <w:lvlJc w:val="left"/>
      <w:pPr>
        <w:tabs>
          <w:tab w:val="num" w:pos="6401"/>
        </w:tabs>
        <w:ind w:left="5681" w:hanging="720"/>
      </w:pPr>
      <w:rPr>
        <w:rFonts w:ascii="Times New Roman" w:hAnsi="Times New Roman" w:cs="Times New Roman" w:hint="default"/>
        <w:sz w:val="20"/>
      </w:rPr>
    </w:lvl>
  </w:abstractNum>
  <w:abstractNum w:abstractNumId="18"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9"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0"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34D5580"/>
    <w:multiLevelType w:val="hybridMultilevel"/>
    <w:tmpl w:val="A77A6BE0"/>
    <w:lvl w:ilvl="0" w:tplc="AB22C538">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2"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3" w15:restartNumberingAfterBreak="0">
    <w:nsid w:val="3C5D76D2"/>
    <w:multiLevelType w:val="hybridMultilevel"/>
    <w:tmpl w:val="1AA81D40"/>
    <w:lvl w:ilvl="0" w:tplc="3F04D5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94817A7"/>
    <w:multiLevelType w:val="multilevel"/>
    <w:tmpl w:val="0F0EC90E"/>
    <w:numStyleLink w:val="FCListNo"/>
  </w:abstractNum>
  <w:abstractNum w:abstractNumId="25"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51351F81"/>
    <w:multiLevelType w:val="hybridMultilevel"/>
    <w:tmpl w:val="48F2D696"/>
    <w:lvl w:ilvl="0" w:tplc="9A0EA48E">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8" w15:restartNumberingAfterBreak="0">
    <w:nsid w:val="59F01C97"/>
    <w:multiLevelType w:val="hybridMultilevel"/>
    <w:tmpl w:val="21F65F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F566E4"/>
    <w:multiLevelType w:val="hybridMultilevel"/>
    <w:tmpl w:val="31F25D0E"/>
    <w:lvl w:ilvl="0" w:tplc="2E90A1A8">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0" w15:restartNumberingAfterBreak="0">
    <w:nsid w:val="62E12869"/>
    <w:multiLevelType w:val="multilevel"/>
    <w:tmpl w:val="130AC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2"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3" w15:restartNumberingAfterBreak="0">
    <w:nsid w:val="74151D0D"/>
    <w:multiLevelType w:val="multilevel"/>
    <w:tmpl w:val="5756E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E21FD7"/>
    <w:multiLevelType w:val="hybridMultilevel"/>
    <w:tmpl w:val="928C6BF2"/>
    <w:lvl w:ilvl="0" w:tplc="A10E2068">
      <w:start w:val="1"/>
      <w:numFmt w:val="decimal"/>
      <w:lvlText w:val="%1."/>
      <w:lvlJc w:val="left"/>
      <w:pPr>
        <w:ind w:left="1097" w:hanging="360"/>
      </w:pPr>
      <w:rPr>
        <w:rFonts w:ascii="Times New Roman" w:hAnsi="Times New Roman" w:cs="Times New Roman" w:hint="default"/>
        <w:sz w:val="22"/>
      </w:rPr>
    </w:lvl>
    <w:lvl w:ilvl="1" w:tplc="0C090019">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5"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25"/>
  </w:num>
  <w:num w:numId="14">
    <w:abstractNumId w:val="26"/>
  </w:num>
  <w:num w:numId="15">
    <w:abstractNumId w:val="35"/>
  </w:num>
  <w:num w:numId="16">
    <w:abstractNumId w:val="14"/>
  </w:num>
  <w:num w:numId="17">
    <w:abstractNumId w:val="32"/>
  </w:num>
  <w:num w:numId="18">
    <w:abstractNumId w:val="11"/>
  </w:num>
  <w:num w:numId="19">
    <w:abstractNumId w:val="22"/>
  </w:num>
  <w:num w:numId="20">
    <w:abstractNumId w:val="18"/>
  </w:num>
  <w:num w:numId="21">
    <w:abstractNumId w:val="19"/>
  </w:num>
  <w:num w:numId="22">
    <w:abstractNumId w:val="24"/>
  </w:num>
  <w:num w:numId="23">
    <w:abstractNumId w:val="10"/>
  </w:num>
  <w:num w:numId="24">
    <w:abstractNumId w:val="10"/>
    <w:lvlOverride w:ilvl="0">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lvl w:ilvl="1">
        <w:start w:val="1"/>
        <w:numFmt w:val="lowerRoman"/>
        <w:pStyle w:val="ListNo2alt"/>
        <w:lvlText w:val="(%2)"/>
        <w:lvlJc w:val="left"/>
        <w:pPr>
          <w:tabs>
            <w:tab w:val="num" w:pos="1440"/>
          </w:tabs>
          <w:ind w:left="1440" w:hanging="720"/>
        </w:pPr>
        <w:rPr>
          <w:rFonts w:hint="default"/>
        </w:rPr>
      </w:lvl>
    </w:lvlOverride>
    <w:lvlOverride w:ilvl="2">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25">
    <w:abstractNumId w:val="13"/>
  </w:num>
  <w:num w:numId="26">
    <w:abstractNumId w:val="20"/>
  </w:num>
  <w:num w:numId="27">
    <w:abstractNumId w:val="20"/>
  </w:num>
  <w:num w:numId="28">
    <w:abstractNumId w:val="20"/>
  </w:num>
  <w:num w:numId="29">
    <w:abstractNumId w:val="27"/>
  </w:num>
  <w:num w:numId="30">
    <w:abstractNumId w:val="21"/>
  </w:num>
  <w:num w:numId="31">
    <w:abstractNumId w:val="29"/>
  </w:num>
  <w:num w:numId="32">
    <w:abstractNumId w:val="34"/>
  </w:num>
  <w:num w:numId="33">
    <w:abstractNumId w:val="12"/>
  </w:num>
  <w:num w:numId="34">
    <w:abstractNumId w:val="24"/>
    <w:lvlOverride w:ilvl="0">
      <w:startOverride w:val="1"/>
      <w:lvl w:ilvl="0">
        <w:start w:val="1"/>
        <w:numFmt w:val="decimal"/>
        <w:pStyle w:val="ListNo1"/>
        <w:lvlText w:val=""/>
        <w:lvlJc w:val="left"/>
      </w:lvl>
    </w:lvlOverride>
    <w:lvlOverride w:ilvl="1">
      <w:startOverride w:val="1"/>
      <w:lvl w:ilvl="1">
        <w:start w:val="1"/>
        <w:numFmt w:val="lowerLetter"/>
        <w:pStyle w:val="ListNo2"/>
        <w:lvlText w:val="(%2)"/>
        <w:lvlJc w:val="left"/>
        <w:pPr>
          <w:tabs>
            <w:tab w:val="num" w:pos="2880"/>
          </w:tabs>
          <w:ind w:left="2880" w:hanging="720"/>
        </w:pPr>
        <w:rPr>
          <w:rFonts w:hint="default"/>
        </w:rPr>
      </w:lvl>
    </w:lvlOverride>
    <w:lvlOverride w:ilvl="2">
      <w:startOverride w:val="1"/>
      <w:lvl w:ilvl="2">
        <w:start w:val="1"/>
        <w:numFmt w:val="decimal"/>
        <w:pStyle w:val="ListNo3"/>
        <w:lvlText w:val=""/>
        <w:lvlJc w:val="left"/>
      </w:lvl>
    </w:lvlOverride>
    <w:lvlOverride w:ilvl="3">
      <w:lvl w:ilvl="3">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35">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decimal"/>
        <w:pStyle w:val="ListNo2alt"/>
        <w:lvlText w:val=""/>
        <w:lvlJc w:val="left"/>
      </w:lvl>
    </w:lvlOverride>
    <w:lvlOverride w:ilvl="2">
      <w:startOverride w:val="1"/>
      <w:lvl w:ilvl="2">
        <w:start w:val="1"/>
        <w:numFmt w:val="decimal"/>
        <w:pStyle w:val="ListNo3alt"/>
        <w:lvlText w:val=""/>
        <w:lvlJc w:val="left"/>
      </w:lvl>
    </w:lvlOverride>
    <w:lvlOverride w:ilvl="3">
      <w:lvl w:ilvl="3">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0">
    <w:abstractNumId w:val="33"/>
  </w:num>
  <w:num w:numId="41">
    <w:abstractNumId w:val="30"/>
    <w:lvlOverride w:ilvl="0">
      <w:startOverride w:val="1"/>
    </w:lvlOverride>
  </w:num>
  <w:num w:numId="42">
    <w:abstractNumId w:val="18"/>
    <w:lvlOverride w:ilvl="0">
      <w:startOverride w:val="48"/>
    </w:lvlOverride>
  </w:num>
  <w:num w:numId="43">
    <w:abstractNumId w:val="23"/>
  </w:num>
  <w:num w:numId="44">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5">
    <w:abstractNumId w:val="28"/>
  </w:num>
  <w:num w:numId="46">
    <w:abstractNumId w:val="16"/>
    <w:lvlOverride w:ilvl="0">
      <w:startOverride w:val="35"/>
    </w:lvlOverride>
  </w:num>
  <w:num w:numId="47">
    <w:abstractNumId w:val="15"/>
    <w:lvlOverride w:ilvl="0">
      <w:startOverride w:val="24"/>
    </w:lvlOverride>
  </w:num>
  <w:num w:numId="48">
    <w:abstractNumId w:val="24"/>
    <w:lvlOverride w:ilvl="0">
      <w:startOverride w:val="1"/>
      <w:lvl w:ilvl="0">
        <w:start w:val="1"/>
        <w:numFmt w:val="decimal"/>
        <w:pStyle w:val="ListNo1"/>
        <w:lvlText w:val=""/>
        <w:lvlJc w:val="left"/>
      </w:lvl>
    </w:lvlOverride>
    <w:lvlOverride w:ilvl="1">
      <w:startOverride w:val="1"/>
      <w:lvl w:ilvl="1">
        <w:start w:val="1"/>
        <w:numFmt w:val="lowerLetter"/>
        <w:pStyle w:val="ListNo2"/>
        <w:lvlText w:val="(%2)"/>
        <w:lvlJc w:val="left"/>
        <w:pPr>
          <w:tabs>
            <w:tab w:val="num" w:pos="2880"/>
          </w:tabs>
          <w:ind w:left="2880" w:hanging="720"/>
        </w:pPr>
        <w:rPr>
          <w:rFonts w:hint="default"/>
        </w:rPr>
      </w:lvl>
    </w:lvlOverride>
    <w:lvlOverride w:ilvl="2">
      <w:startOverride w:val="1"/>
      <w:lvl w:ilvl="2">
        <w:start w:val="1"/>
        <w:numFmt w:val="decimal"/>
        <w:pStyle w:val="ListNo3"/>
        <w:lvlText w:val=""/>
        <w:lvlJc w:val="left"/>
      </w:lvl>
    </w:lvlOverride>
    <w:lvlOverride w:ilvl="3">
      <w:lvl w:ilvl="3">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9">
    <w:abstractNumId w:val="24"/>
    <w:lvlOverride w:ilvl="0">
      <w:startOverride w:val="1"/>
      <w:lvl w:ilvl="0">
        <w:start w:val="1"/>
        <w:numFmt w:val="decimal"/>
        <w:pStyle w:val="ListNo1"/>
        <w:lvlText w:val=""/>
        <w:lvlJc w:val="left"/>
      </w:lvl>
    </w:lvlOverride>
    <w:lvlOverride w:ilvl="1">
      <w:startOverride w:val="1"/>
      <w:lvl w:ilvl="1">
        <w:start w:val="1"/>
        <w:numFmt w:val="lowerLetter"/>
        <w:pStyle w:val="ListNo2"/>
        <w:lvlText w:val="(%2)"/>
        <w:lvlJc w:val="left"/>
        <w:pPr>
          <w:tabs>
            <w:tab w:val="num" w:pos="2880"/>
          </w:tabs>
          <w:ind w:left="2880" w:hanging="720"/>
        </w:pPr>
        <w:rPr>
          <w:rFonts w:hint="default"/>
        </w:rPr>
      </w:lvl>
    </w:lvlOverride>
    <w:lvlOverride w:ilvl="2">
      <w:startOverride w:val="1"/>
      <w:lvl w:ilvl="2">
        <w:start w:val="1"/>
        <w:numFmt w:val="decimal"/>
        <w:pStyle w:val="ListNo3"/>
        <w:lvlText w:val=""/>
        <w:lvlJc w:val="left"/>
      </w:lvl>
    </w:lvlOverride>
    <w:lvlOverride w:ilvl="3">
      <w:lvl w:ilvl="3">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0">
    <w:abstractNumId w:val="18"/>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E0B"/>
    <w:rsid w:val="00000747"/>
    <w:rsid w:val="00003AC6"/>
    <w:rsid w:val="000115C5"/>
    <w:rsid w:val="00011AA6"/>
    <w:rsid w:val="00011B64"/>
    <w:rsid w:val="0001469E"/>
    <w:rsid w:val="00014C99"/>
    <w:rsid w:val="00014F92"/>
    <w:rsid w:val="00015993"/>
    <w:rsid w:val="00017A50"/>
    <w:rsid w:val="00020983"/>
    <w:rsid w:val="00021CCB"/>
    <w:rsid w:val="00022289"/>
    <w:rsid w:val="000237E9"/>
    <w:rsid w:val="00024F3F"/>
    <w:rsid w:val="0002599A"/>
    <w:rsid w:val="00027398"/>
    <w:rsid w:val="00030801"/>
    <w:rsid w:val="000309A9"/>
    <w:rsid w:val="0003201A"/>
    <w:rsid w:val="0003207A"/>
    <w:rsid w:val="00032F9F"/>
    <w:rsid w:val="00036B3C"/>
    <w:rsid w:val="00041C07"/>
    <w:rsid w:val="00043B04"/>
    <w:rsid w:val="00044855"/>
    <w:rsid w:val="00045BB7"/>
    <w:rsid w:val="00050EF8"/>
    <w:rsid w:val="00053086"/>
    <w:rsid w:val="0005350B"/>
    <w:rsid w:val="000538B4"/>
    <w:rsid w:val="00054755"/>
    <w:rsid w:val="00055719"/>
    <w:rsid w:val="0005641B"/>
    <w:rsid w:val="00057B01"/>
    <w:rsid w:val="000608DA"/>
    <w:rsid w:val="0006196A"/>
    <w:rsid w:val="000648DC"/>
    <w:rsid w:val="000650F0"/>
    <w:rsid w:val="000702A1"/>
    <w:rsid w:val="0007169D"/>
    <w:rsid w:val="00071FB3"/>
    <w:rsid w:val="000742B5"/>
    <w:rsid w:val="00076C54"/>
    <w:rsid w:val="00077768"/>
    <w:rsid w:val="000800E4"/>
    <w:rsid w:val="000811E4"/>
    <w:rsid w:val="00081298"/>
    <w:rsid w:val="00081497"/>
    <w:rsid w:val="00081F46"/>
    <w:rsid w:val="000831EC"/>
    <w:rsid w:val="00084126"/>
    <w:rsid w:val="00084524"/>
    <w:rsid w:val="00085255"/>
    <w:rsid w:val="0008585F"/>
    <w:rsid w:val="00086B3A"/>
    <w:rsid w:val="00087000"/>
    <w:rsid w:val="00090E0A"/>
    <w:rsid w:val="00095AC6"/>
    <w:rsid w:val="000A0446"/>
    <w:rsid w:val="000A044C"/>
    <w:rsid w:val="000A2E76"/>
    <w:rsid w:val="000A4807"/>
    <w:rsid w:val="000A4BE4"/>
    <w:rsid w:val="000A6F43"/>
    <w:rsid w:val="000A7FFA"/>
    <w:rsid w:val="000A7FFB"/>
    <w:rsid w:val="000B3D0B"/>
    <w:rsid w:val="000B695E"/>
    <w:rsid w:val="000C023E"/>
    <w:rsid w:val="000C234B"/>
    <w:rsid w:val="000C405D"/>
    <w:rsid w:val="000C4699"/>
    <w:rsid w:val="000C5195"/>
    <w:rsid w:val="000C5AAD"/>
    <w:rsid w:val="000C62EF"/>
    <w:rsid w:val="000D2137"/>
    <w:rsid w:val="000D3FD2"/>
    <w:rsid w:val="000D4102"/>
    <w:rsid w:val="000D4B2E"/>
    <w:rsid w:val="000D541E"/>
    <w:rsid w:val="000D5C6C"/>
    <w:rsid w:val="000D606E"/>
    <w:rsid w:val="000E3FC8"/>
    <w:rsid w:val="000E7BAE"/>
    <w:rsid w:val="000F064A"/>
    <w:rsid w:val="000F133D"/>
    <w:rsid w:val="000F1BF4"/>
    <w:rsid w:val="000F2C5D"/>
    <w:rsid w:val="000F7D45"/>
    <w:rsid w:val="0010536B"/>
    <w:rsid w:val="0011145C"/>
    <w:rsid w:val="001128BD"/>
    <w:rsid w:val="0011389B"/>
    <w:rsid w:val="0011419D"/>
    <w:rsid w:val="00114B02"/>
    <w:rsid w:val="0011539F"/>
    <w:rsid w:val="001168D8"/>
    <w:rsid w:val="0011741E"/>
    <w:rsid w:val="001226C0"/>
    <w:rsid w:val="00124916"/>
    <w:rsid w:val="00125435"/>
    <w:rsid w:val="00126E9E"/>
    <w:rsid w:val="00126EC8"/>
    <w:rsid w:val="0012731C"/>
    <w:rsid w:val="00131BCE"/>
    <w:rsid w:val="00132054"/>
    <w:rsid w:val="00134964"/>
    <w:rsid w:val="001351B9"/>
    <w:rsid w:val="0013696B"/>
    <w:rsid w:val="00137FA7"/>
    <w:rsid w:val="0014294B"/>
    <w:rsid w:val="00143071"/>
    <w:rsid w:val="001510C2"/>
    <w:rsid w:val="00151A37"/>
    <w:rsid w:val="00153936"/>
    <w:rsid w:val="00155CD2"/>
    <w:rsid w:val="00156124"/>
    <w:rsid w:val="00157C7E"/>
    <w:rsid w:val="00160EE6"/>
    <w:rsid w:val="0016133E"/>
    <w:rsid w:val="00161855"/>
    <w:rsid w:val="00162C42"/>
    <w:rsid w:val="00163477"/>
    <w:rsid w:val="00167275"/>
    <w:rsid w:val="00167C22"/>
    <w:rsid w:val="001727A4"/>
    <w:rsid w:val="00173601"/>
    <w:rsid w:val="0017360B"/>
    <w:rsid w:val="0017376C"/>
    <w:rsid w:val="001738AB"/>
    <w:rsid w:val="00174065"/>
    <w:rsid w:val="001765E0"/>
    <w:rsid w:val="00177759"/>
    <w:rsid w:val="00180BB3"/>
    <w:rsid w:val="0018143F"/>
    <w:rsid w:val="00181DD2"/>
    <w:rsid w:val="00185DD6"/>
    <w:rsid w:val="00185E6B"/>
    <w:rsid w:val="0018705F"/>
    <w:rsid w:val="00187BBC"/>
    <w:rsid w:val="001932F3"/>
    <w:rsid w:val="001A109A"/>
    <w:rsid w:val="001A21BB"/>
    <w:rsid w:val="001A2B40"/>
    <w:rsid w:val="001A4309"/>
    <w:rsid w:val="001A46AE"/>
    <w:rsid w:val="001A5C2D"/>
    <w:rsid w:val="001A5F5E"/>
    <w:rsid w:val="001A6C52"/>
    <w:rsid w:val="001B1053"/>
    <w:rsid w:val="001B14AC"/>
    <w:rsid w:val="001B451E"/>
    <w:rsid w:val="001B4930"/>
    <w:rsid w:val="001B7940"/>
    <w:rsid w:val="001C171A"/>
    <w:rsid w:val="001C2FE0"/>
    <w:rsid w:val="001C37CA"/>
    <w:rsid w:val="001C4085"/>
    <w:rsid w:val="001C76BD"/>
    <w:rsid w:val="001D067C"/>
    <w:rsid w:val="001D1380"/>
    <w:rsid w:val="001D2BD2"/>
    <w:rsid w:val="001D4303"/>
    <w:rsid w:val="001D6746"/>
    <w:rsid w:val="001E0C61"/>
    <w:rsid w:val="001E2A98"/>
    <w:rsid w:val="001E3B49"/>
    <w:rsid w:val="001E4A05"/>
    <w:rsid w:val="001E6A19"/>
    <w:rsid w:val="001E7388"/>
    <w:rsid w:val="001F0E6A"/>
    <w:rsid w:val="001F13DD"/>
    <w:rsid w:val="001F2473"/>
    <w:rsid w:val="001F2D04"/>
    <w:rsid w:val="001F2DBC"/>
    <w:rsid w:val="001F73E8"/>
    <w:rsid w:val="001F7BE5"/>
    <w:rsid w:val="0020262C"/>
    <w:rsid w:val="00202723"/>
    <w:rsid w:val="002029C7"/>
    <w:rsid w:val="002043F5"/>
    <w:rsid w:val="002100C7"/>
    <w:rsid w:val="00211A3E"/>
    <w:rsid w:val="00212843"/>
    <w:rsid w:val="00213202"/>
    <w:rsid w:val="00213F20"/>
    <w:rsid w:val="00214055"/>
    <w:rsid w:val="00214F5B"/>
    <w:rsid w:val="00215BCA"/>
    <w:rsid w:val="002160F5"/>
    <w:rsid w:val="00217992"/>
    <w:rsid w:val="00217AC4"/>
    <w:rsid w:val="00221461"/>
    <w:rsid w:val="00224537"/>
    <w:rsid w:val="002245B8"/>
    <w:rsid w:val="00224919"/>
    <w:rsid w:val="00225D18"/>
    <w:rsid w:val="002278AA"/>
    <w:rsid w:val="002336A9"/>
    <w:rsid w:val="00233EC4"/>
    <w:rsid w:val="00235956"/>
    <w:rsid w:val="00237594"/>
    <w:rsid w:val="002403DA"/>
    <w:rsid w:val="00240F40"/>
    <w:rsid w:val="00243E5E"/>
    <w:rsid w:val="00245861"/>
    <w:rsid w:val="00245E7C"/>
    <w:rsid w:val="00245F12"/>
    <w:rsid w:val="002467A6"/>
    <w:rsid w:val="00247C9A"/>
    <w:rsid w:val="0025160C"/>
    <w:rsid w:val="002535D0"/>
    <w:rsid w:val="002539B3"/>
    <w:rsid w:val="002558BE"/>
    <w:rsid w:val="00256336"/>
    <w:rsid w:val="002566E9"/>
    <w:rsid w:val="00257C3E"/>
    <w:rsid w:val="002602C2"/>
    <w:rsid w:val="00260510"/>
    <w:rsid w:val="00262392"/>
    <w:rsid w:val="00264500"/>
    <w:rsid w:val="0026545A"/>
    <w:rsid w:val="002654A3"/>
    <w:rsid w:val="0026643F"/>
    <w:rsid w:val="002666C9"/>
    <w:rsid w:val="00270136"/>
    <w:rsid w:val="00270FD7"/>
    <w:rsid w:val="00272030"/>
    <w:rsid w:val="00273E87"/>
    <w:rsid w:val="00274A61"/>
    <w:rsid w:val="00274F5B"/>
    <w:rsid w:val="00274F97"/>
    <w:rsid w:val="00277781"/>
    <w:rsid w:val="00280836"/>
    <w:rsid w:val="002829E6"/>
    <w:rsid w:val="00282E1A"/>
    <w:rsid w:val="00283124"/>
    <w:rsid w:val="002840F1"/>
    <w:rsid w:val="00285922"/>
    <w:rsid w:val="0029113B"/>
    <w:rsid w:val="002934C0"/>
    <w:rsid w:val="00293E1F"/>
    <w:rsid w:val="0029764C"/>
    <w:rsid w:val="002A03E0"/>
    <w:rsid w:val="002A1B50"/>
    <w:rsid w:val="002B0E91"/>
    <w:rsid w:val="002B132C"/>
    <w:rsid w:val="002B3F23"/>
    <w:rsid w:val="002B4EB5"/>
    <w:rsid w:val="002B5429"/>
    <w:rsid w:val="002B5AF5"/>
    <w:rsid w:val="002B6779"/>
    <w:rsid w:val="002B71C0"/>
    <w:rsid w:val="002B7A34"/>
    <w:rsid w:val="002C0B7A"/>
    <w:rsid w:val="002C1152"/>
    <w:rsid w:val="002C313E"/>
    <w:rsid w:val="002C31AD"/>
    <w:rsid w:val="002C37F6"/>
    <w:rsid w:val="002C4FF0"/>
    <w:rsid w:val="002C7385"/>
    <w:rsid w:val="002C7498"/>
    <w:rsid w:val="002C7A03"/>
    <w:rsid w:val="002D0FEC"/>
    <w:rsid w:val="002D2DBB"/>
    <w:rsid w:val="002D2F9A"/>
    <w:rsid w:val="002D37D8"/>
    <w:rsid w:val="002D43FB"/>
    <w:rsid w:val="002D54A6"/>
    <w:rsid w:val="002D5722"/>
    <w:rsid w:val="002D5DCF"/>
    <w:rsid w:val="002E1C70"/>
    <w:rsid w:val="002E2F9F"/>
    <w:rsid w:val="002E3779"/>
    <w:rsid w:val="002E44DE"/>
    <w:rsid w:val="002E5BF9"/>
    <w:rsid w:val="002E6A7A"/>
    <w:rsid w:val="002F1152"/>
    <w:rsid w:val="002F1E49"/>
    <w:rsid w:val="002F2BD7"/>
    <w:rsid w:val="002F2F1D"/>
    <w:rsid w:val="002F3AD7"/>
    <w:rsid w:val="002F3C3E"/>
    <w:rsid w:val="002F4E9C"/>
    <w:rsid w:val="002F6E15"/>
    <w:rsid w:val="002F6F24"/>
    <w:rsid w:val="00302F4E"/>
    <w:rsid w:val="003058CB"/>
    <w:rsid w:val="00306184"/>
    <w:rsid w:val="0031256C"/>
    <w:rsid w:val="00314D6C"/>
    <w:rsid w:val="00316D2A"/>
    <w:rsid w:val="00317681"/>
    <w:rsid w:val="00322A7C"/>
    <w:rsid w:val="00322EEC"/>
    <w:rsid w:val="00323061"/>
    <w:rsid w:val="00326020"/>
    <w:rsid w:val="003402D3"/>
    <w:rsid w:val="0034068E"/>
    <w:rsid w:val="003431CE"/>
    <w:rsid w:val="00343ABC"/>
    <w:rsid w:val="00345B00"/>
    <w:rsid w:val="003463FE"/>
    <w:rsid w:val="003472FC"/>
    <w:rsid w:val="00347D41"/>
    <w:rsid w:val="00354A70"/>
    <w:rsid w:val="003552E6"/>
    <w:rsid w:val="003554B3"/>
    <w:rsid w:val="00356632"/>
    <w:rsid w:val="00357C7E"/>
    <w:rsid w:val="00357F74"/>
    <w:rsid w:val="0036223B"/>
    <w:rsid w:val="00362345"/>
    <w:rsid w:val="003648AF"/>
    <w:rsid w:val="003653B6"/>
    <w:rsid w:val="00370327"/>
    <w:rsid w:val="00371E5F"/>
    <w:rsid w:val="00374CC4"/>
    <w:rsid w:val="00375C15"/>
    <w:rsid w:val="00375D54"/>
    <w:rsid w:val="003774B2"/>
    <w:rsid w:val="00380F2D"/>
    <w:rsid w:val="003830F6"/>
    <w:rsid w:val="003845A9"/>
    <w:rsid w:val="003850C9"/>
    <w:rsid w:val="00386348"/>
    <w:rsid w:val="0039080A"/>
    <w:rsid w:val="00390883"/>
    <w:rsid w:val="003922F8"/>
    <w:rsid w:val="00394879"/>
    <w:rsid w:val="0039571E"/>
    <w:rsid w:val="00395B24"/>
    <w:rsid w:val="003A1EF9"/>
    <w:rsid w:val="003A2D38"/>
    <w:rsid w:val="003A4CDC"/>
    <w:rsid w:val="003A7ECC"/>
    <w:rsid w:val="003B00B9"/>
    <w:rsid w:val="003B0BDD"/>
    <w:rsid w:val="003B1E73"/>
    <w:rsid w:val="003B2C72"/>
    <w:rsid w:val="003B58B4"/>
    <w:rsid w:val="003B58E6"/>
    <w:rsid w:val="003C055C"/>
    <w:rsid w:val="003C1333"/>
    <w:rsid w:val="003C20F6"/>
    <w:rsid w:val="003C20FF"/>
    <w:rsid w:val="003C2709"/>
    <w:rsid w:val="003C52A9"/>
    <w:rsid w:val="003C550A"/>
    <w:rsid w:val="003C6055"/>
    <w:rsid w:val="003D2650"/>
    <w:rsid w:val="003D4E17"/>
    <w:rsid w:val="003D560C"/>
    <w:rsid w:val="003D5C00"/>
    <w:rsid w:val="003D5F04"/>
    <w:rsid w:val="003D76AF"/>
    <w:rsid w:val="003D7FA2"/>
    <w:rsid w:val="003E16CD"/>
    <w:rsid w:val="003E274D"/>
    <w:rsid w:val="003E3154"/>
    <w:rsid w:val="003E335E"/>
    <w:rsid w:val="003E5874"/>
    <w:rsid w:val="003E58D1"/>
    <w:rsid w:val="003E6C1E"/>
    <w:rsid w:val="003E72D3"/>
    <w:rsid w:val="003F15F8"/>
    <w:rsid w:val="003F193E"/>
    <w:rsid w:val="003F242C"/>
    <w:rsid w:val="003F34F1"/>
    <w:rsid w:val="003F3BBE"/>
    <w:rsid w:val="004031D8"/>
    <w:rsid w:val="004074D7"/>
    <w:rsid w:val="00407DAD"/>
    <w:rsid w:val="004104B6"/>
    <w:rsid w:val="00411AE8"/>
    <w:rsid w:val="00413B74"/>
    <w:rsid w:val="004168DC"/>
    <w:rsid w:val="004219F4"/>
    <w:rsid w:val="0042292F"/>
    <w:rsid w:val="00423030"/>
    <w:rsid w:val="00425042"/>
    <w:rsid w:val="004250ED"/>
    <w:rsid w:val="0042519D"/>
    <w:rsid w:val="00425C11"/>
    <w:rsid w:val="004266A6"/>
    <w:rsid w:val="00431D32"/>
    <w:rsid w:val="00432F7C"/>
    <w:rsid w:val="004342F3"/>
    <w:rsid w:val="004347B3"/>
    <w:rsid w:val="00435C5F"/>
    <w:rsid w:val="00436155"/>
    <w:rsid w:val="00436460"/>
    <w:rsid w:val="00440C40"/>
    <w:rsid w:val="00440F45"/>
    <w:rsid w:val="00441A68"/>
    <w:rsid w:val="00441B78"/>
    <w:rsid w:val="00441E98"/>
    <w:rsid w:val="004444F2"/>
    <w:rsid w:val="00444AC9"/>
    <w:rsid w:val="004462D7"/>
    <w:rsid w:val="00446385"/>
    <w:rsid w:val="00446A65"/>
    <w:rsid w:val="00450F3A"/>
    <w:rsid w:val="004532F7"/>
    <w:rsid w:val="00455FB3"/>
    <w:rsid w:val="00457115"/>
    <w:rsid w:val="00460A62"/>
    <w:rsid w:val="00461834"/>
    <w:rsid w:val="00461B67"/>
    <w:rsid w:val="00461BDF"/>
    <w:rsid w:val="00464D51"/>
    <w:rsid w:val="004668C5"/>
    <w:rsid w:val="00472027"/>
    <w:rsid w:val="0047239C"/>
    <w:rsid w:val="00472F7F"/>
    <w:rsid w:val="00475A1D"/>
    <w:rsid w:val="004804CF"/>
    <w:rsid w:val="00483314"/>
    <w:rsid w:val="00483F55"/>
    <w:rsid w:val="00484962"/>
    <w:rsid w:val="00484F6D"/>
    <w:rsid w:val="00484FB7"/>
    <w:rsid w:val="0048554D"/>
    <w:rsid w:val="0049338A"/>
    <w:rsid w:val="0049417F"/>
    <w:rsid w:val="00496D41"/>
    <w:rsid w:val="004A0C8A"/>
    <w:rsid w:val="004A5188"/>
    <w:rsid w:val="004A63CC"/>
    <w:rsid w:val="004A6602"/>
    <w:rsid w:val="004A7491"/>
    <w:rsid w:val="004B2744"/>
    <w:rsid w:val="004B2927"/>
    <w:rsid w:val="004B3EFA"/>
    <w:rsid w:val="004B68DB"/>
    <w:rsid w:val="004C2A87"/>
    <w:rsid w:val="004C4D7B"/>
    <w:rsid w:val="004C4ED3"/>
    <w:rsid w:val="004C4EF7"/>
    <w:rsid w:val="004C5426"/>
    <w:rsid w:val="004C645D"/>
    <w:rsid w:val="004C667B"/>
    <w:rsid w:val="004C7ECD"/>
    <w:rsid w:val="004D08B7"/>
    <w:rsid w:val="004D124F"/>
    <w:rsid w:val="004D21FA"/>
    <w:rsid w:val="004D2EA5"/>
    <w:rsid w:val="004D32A6"/>
    <w:rsid w:val="004D53E5"/>
    <w:rsid w:val="004D576F"/>
    <w:rsid w:val="004D7950"/>
    <w:rsid w:val="004E051E"/>
    <w:rsid w:val="004E05AA"/>
    <w:rsid w:val="004E24DD"/>
    <w:rsid w:val="004E296A"/>
    <w:rsid w:val="004E34A4"/>
    <w:rsid w:val="004E3CD0"/>
    <w:rsid w:val="004E6DC4"/>
    <w:rsid w:val="004E7660"/>
    <w:rsid w:val="004F0219"/>
    <w:rsid w:val="004F0631"/>
    <w:rsid w:val="004F21C1"/>
    <w:rsid w:val="004F58FC"/>
    <w:rsid w:val="004F7E81"/>
    <w:rsid w:val="00500656"/>
    <w:rsid w:val="005006B6"/>
    <w:rsid w:val="005019AD"/>
    <w:rsid w:val="00501A12"/>
    <w:rsid w:val="005024A2"/>
    <w:rsid w:val="0050309C"/>
    <w:rsid w:val="0050496B"/>
    <w:rsid w:val="00504FFB"/>
    <w:rsid w:val="00507D76"/>
    <w:rsid w:val="0051103C"/>
    <w:rsid w:val="0051327C"/>
    <w:rsid w:val="0051346D"/>
    <w:rsid w:val="00513EAE"/>
    <w:rsid w:val="0051434F"/>
    <w:rsid w:val="0051657F"/>
    <w:rsid w:val="00516806"/>
    <w:rsid w:val="0052098C"/>
    <w:rsid w:val="00522BF0"/>
    <w:rsid w:val="00523E85"/>
    <w:rsid w:val="00525A49"/>
    <w:rsid w:val="005262D1"/>
    <w:rsid w:val="00526C75"/>
    <w:rsid w:val="00530538"/>
    <w:rsid w:val="00530876"/>
    <w:rsid w:val="005310A3"/>
    <w:rsid w:val="00535613"/>
    <w:rsid w:val="005359EB"/>
    <w:rsid w:val="00540A69"/>
    <w:rsid w:val="0054254A"/>
    <w:rsid w:val="00543205"/>
    <w:rsid w:val="00544AD2"/>
    <w:rsid w:val="00544F7B"/>
    <w:rsid w:val="0054500B"/>
    <w:rsid w:val="005466B5"/>
    <w:rsid w:val="00547EDD"/>
    <w:rsid w:val="0055066C"/>
    <w:rsid w:val="00552278"/>
    <w:rsid w:val="00553EA8"/>
    <w:rsid w:val="00554314"/>
    <w:rsid w:val="005577C4"/>
    <w:rsid w:val="00560D16"/>
    <w:rsid w:val="00561195"/>
    <w:rsid w:val="00561285"/>
    <w:rsid w:val="00562829"/>
    <w:rsid w:val="005629B3"/>
    <w:rsid w:val="005639E8"/>
    <w:rsid w:val="0057068C"/>
    <w:rsid w:val="0057128A"/>
    <w:rsid w:val="00571C43"/>
    <w:rsid w:val="005724F6"/>
    <w:rsid w:val="00573AC4"/>
    <w:rsid w:val="005758C5"/>
    <w:rsid w:val="00576AAF"/>
    <w:rsid w:val="005801FC"/>
    <w:rsid w:val="00580A5D"/>
    <w:rsid w:val="00583E47"/>
    <w:rsid w:val="00585BA9"/>
    <w:rsid w:val="00587359"/>
    <w:rsid w:val="005941B9"/>
    <w:rsid w:val="00594CF2"/>
    <w:rsid w:val="00595016"/>
    <w:rsid w:val="0059617D"/>
    <w:rsid w:val="00597AAE"/>
    <w:rsid w:val="005A0325"/>
    <w:rsid w:val="005A222C"/>
    <w:rsid w:val="005A34C0"/>
    <w:rsid w:val="005A3C87"/>
    <w:rsid w:val="005A4DF8"/>
    <w:rsid w:val="005A720D"/>
    <w:rsid w:val="005A78C8"/>
    <w:rsid w:val="005B1426"/>
    <w:rsid w:val="005B43BE"/>
    <w:rsid w:val="005B4A04"/>
    <w:rsid w:val="005B513C"/>
    <w:rsid w:val="005C0A8E"/>
    <w:rsid w:val="005C1767"/>
    <w:rsid w:val="005C185C"/>
    <w:rsid w:val="005C42EF"/>
    <w:rsid w:val="005C4563"/>
    <w:rsid w:val="005C7111"/>
    <w:rsid w:val="005C7412"/>
    <w:rsid w:val="005D01B6"/>
    <w:rsid w:val="005D24B1"/>
    <w:rsid w:val="005D6004"/>
    <w:rsid w:val="005D718F"/>
    <w:rsid w:val="005D7A3F"/>
    <w:rsid w:val="005E01CE"/>
    <w:rsid w:val="005E02F5"/>
    <w:rsid w:val="005E0510"/>
    <w:rsid w:val="005E0E63"/>
    <w:rsid w:val="005E176E"/>
    <w:rsid w:val="005E218E"/>
    <w:rsid w:val="005E2BA2"/>
    <w:rsid w:val="005E35A0"/>
    <w:rsid w:val="005E3872"/>
    <w:rsid w:val="005E3AB6"/>
    <w:rsid w:val="005F0D1B"/>
    <w:rsid w:val="005F1865"/>
    <w:rsid w:val="005F3D07"/>
    <w:rsid w:val="005F585E"/>
    <w:rsid w:val="005F7342"/>
    <w:rsid w:val="006007BD"/>
    <w:rsid w:val="006013C8"/>
    <w:rsid w:val="0060173E"/>
    <w:rsid w:val="006019F0"/>
    <w:rsid w:val="00602202"/>
    <w:rsid w:val="00602558"/>
    <w:rsid w:val="0060270D"/>
    <w:rsid w:val="00604342"/>
    <w:rsid w:val="00604611"/>
    <w:rsid w:val="00611586"/>
    <w:rsid w:val="006120D0"/>
    <w:rsid w:val="00612D26"/>
    <w:rsid w:val="00615855"/>
    <w:rsid w:val="00615B4A"/>
    <w:rsid w:val="006172E6"/>
    <w:rsid w:val="00620DA8"/>
    <w:rsid w:val="0062172F"/>
    <w:rsid w:val="00621887"/>
    <w:rsid w:val="00623872"/>
    <w:rsid w:val="006244B1"/>
    <w:rsid w:val="00624520"/>
    <w:rsid w:val="006271F5"/>
    <w:rsid w:val="006319D4"/>
    <w:rsid w:val="00631D77"/>
    <w:rsid w:val="0063227C"/>
    <w:rsid w:val="00632300"/>
    <w:rsid w:val="00632665"/>
    <w:rsid w:val="00632BB7"/>
    <w:rsid w:val="00633799"/>
    <w:rsid w:val="00633F57"/>
    <w:rsid w:val="00635B36"/>
    <w:rsid w:val="00635E8F"/>
    <w:rsid w:val="00636871"/>
    <w:rsid w:val="00640EE1"/>
    <w:rsid w:val="00640F4E"/>
    <w:rsid w:val="00642669"/>
    <w:rsid w:val="00643690"/>
    <w:rsid w:val="00643DE0"/>
    <w:rsid w:val="0064437D"/>
    <w:rsid w:val="00644E85"/>
    <w:rsid w:val="006452DC"/>
    <w:rsid w:val="006466F7"/>
    <w:rsid w:val="0064734C"/>
    <w:rsid w:val="00650633"/>
    <w:rsid w:val="006508B0"/>
    <w:rsid w:val="006516D8"/>
    <w:rsid w:val="00652C52"/>
    <w:rsid w:val="0066063F"/>
    <w:rsid w:val="00662BB0"/>
    <w:rsid w:val="00663878"/>
    <w:rsid w:val="006658A8"/>
    <w:rsid w:val="00667773"/>
    <w:rsid w:val="00670743"/>
    <w:rsid w:val="00670D13"/>
    <w:rsid w:val="0067176D"/>
    <w:rsid w:val="00671DFF"/>
    <w:rsid w:val="00672FA0"/>
    <w:rsid w:val="00676887"/>
    <w:rsid w:val="00676E30"/>
    <w:rsid w:val="00677C2B"/>
    <w:rsid w:val="00680A85"/>
    <w:rsid w:val="00681ADF"/>
    <w:rsid w:val="006832A8"/>
    <w:rsid w:val="00683612"/>
    <w:rsid w:val="006908EB"/>
    <w:rsid w:val="00690EE2"/>
    <w:rsid w:val="00693854"/>
    <w:rsid w:val="00694BEB"/>
    <w:rsid w:val="0069510E"/>
    <w:rsid w:val="00695FE7"/>
    <w:rsid w:val="006A0E20"/>
    <w:rsid w:val="006A1DF1"/>
    <w:rsid w:val="006A24E3"/>
    <w:rsid w:val="006A3285"/>
    <w:rsid w:val="006A5695"/>
    <w:rsid w:val="006B0439"/>
    <w:rsid w:val="006B1CED"/>
    <w:rsid w:val="006B3702"/>
    <w:rsid w:val="006B3904"/>
    <w:rsid w:val="006B5562"/>
    <w:rsid w:val="006B5B7D"/>
    <w:rsid w:val="006B5C09"/>
    <w:rsid w:val="006C5B46"/>
    <w:rsid w:val="006C6E0C"/>
    <w:rsid w:val="006C6E39"/>
    <w:rsid w:val="006D0ECF"/>
    <w:rsid w:val="006D171A"/>
    <w:rsid w:val="006D259D"/>
    <w:rsid w:val="006D3D5B"/>
    <w:rsid w:val="006D4C92"/>
    <w:rsid w:val="006D4EB6"/>
    <w:rsid w:val="006D7FBC"/>
    <w:rsid w:val="006E35BF"/>
    <w:rsid w:val="006E524D"/>
    <w:rsid w:val="006E777E"/>
    <w:rsid w:val="006E7850"/>
    <w:rsid w:val="006F0818"/>
    <w:rsid w:val="006F19D8"/>
    <w:rsid w:val="006F46D6"/>
    <w:rsid w:val="006F4BBB"/>
    <w:rsid w:val="006F78AF"/>
    <w:rsid w:val="007028D9"/>
    <w:rsid w:val="0070435E"/>
    <w:rsid w:val="00707218"/>
    <w:rsid w:val="00710D04"/>
    <w:rsid w:val="00711948"/>
    <w:rsid w:val="00712B1D"/>
    <w:rsid w:val="00715751"/>
    <w:rsid w:val="007171BA"/>
    <w:rsid w:val="00717616"/>
    <w:rsid w:val="00720351"/>
    <w:rsid w:val="00720B73"/>
    <w:rsid w:val="007262E0"/>
    <w:rsid w:val="007310F3"/>
    <w:rsid w:val="007325D9"/>
    <w:rsid w:val="0073413F"/>
    <w:rsid w:val="0073583B"/>
    <w:rsid w:val="007360CA"/>
    <w:rsid w:val="00736BEF"/>
    <w:rsid w:val="00741132"/>
    <w:rsid w:val="00741960"/>
    <w:rsid w:val="00745E7D"/>
    <w:rsid w:val="0074667B"/>
    <w:rsid w:val="007470BD"/>
    <w:rsid w:val="00750003"/>
    <w:rsid w:val="007500CB"/>
    <w:rsid w:val="007547E7"/>
    <w:rsid w:val="007562D8"/>
    <w:rsid w:val="0076014E"/>
    <w:rsid w:val="00760EC0"/>
    <w:rsid w:val="00764771"/>
    <w:rsid w:val="00765019"/>
    <w:rsid w:val="00765067"/>
    <w:rsid w:val="00767D24"/>
    <w:rsid w:val="00770385"/>
    <w:rsid w:val="007711BD"/>
    <w:rsid w:val="0077121B"/>
    <w:rsid w:val="00774F74"/>
    <w:rsid w:val="0078003A"/>
    <w:rsid w:val="00780771"/>
    <w:rsid w:val="0078769B"/>
    <w:rsid w:val="00790889"/>
    <w:rsid w:val="0079163D"/>
    <w:rsid w:val="0079188F"/>
    <w:rsid w:val="007929CF"/>
    <w:rsid w:val="00792AE9"/>
    <w:rsid w:val="00792B3F"/>
    <w:rsid w:val="0079651B"/>
    <w:rsid w:val="00797BA8"/>
    <w:rsid w:val="007A081D"/>
    <w:rsid w:val="007A2D89"/>
    <w:rsid w:val="007A49E7"/>
    <w:rsid w:val="007A66C8"/>
    <w:rsid w:val="007A6F28"/>
    <w:rsid w:val="007B03C6"/>
    <w:rsid w:val="007B0DB1"/>
    <w:rsid w:val="007B41AD"/>
    <w:rsid w:val="007B5673"/>
    <w:rsid w:val="007B7238"/>
    <w:rsid w:val="007B76FF"/>
    <w:rsid w:val="007C1990"/>
    <w:rsid w:val="007C3BF6"/>
    <w:rsid w:val="007C67B3"/>
    <w:rsid w:val="007D07CC"/>
    <w:rsid w:val="007D0FD2"/>
    <w:rsid w:val="007D2EF8"/>
    <w:rsid w:val="007D3A00"/>
    <w:rsid w:val="007D561F"/>
    <w:rsid w:val="007D5A46"/>
    <w:rsid w:val="007D6305"/>
    <w:rsid w:val="007D63B8"/>
    <w:rsid w:val="007D7FD2"/>
    <w:rsid w:val="007E1116"/>
    <w:rsid w:val="007E13D9"/>
    <w:rsid w:val="007E2008"/>
    <w:rsid w:val="007E298B"/>
    <w:rsid w:val="007E2AEC"/>
    <w:rsid w:val="007E41BE"/>
    <w:rsid w:val="007E4DB6"/>
    <w:rsid w:val="007E6733"/>
    <w:rsid w:val="007E6CF4"/>
    <w:rsid w:val="007E74F3"/>
    <w:rsid w:val="007E7CD4"/>
    <w:rsid w:val="007F12AC"/>
    <w:rsid w:val="007F1B79"/>
    <w:rsid w:val="007F4501"/>
    <w:rsid w:val="007F5F2D"/>
    <w:rsid w:val="007F60DF"/>
    <w:rsid w:val="00801800"/>
    <w:rsid w:val="00801861"/>
    <w:rsid w:val="008019E1"/>
    <w:rsid w:val="00801B5B"/>
    <w:rsid w:val="00803ECC"/>
    <w:rsid w:val="008047F8"/>
    <w:rsid w:val="00805A30"/>
    <w:rsid w:val="00810DC8"/>
    <w:rsid w:val="008119CA"/>
    <w:rsid w:val="00813AAF"/>
    <w:rsid w:val="0081420E"/>
    <w:rsid w:val="008162FF"/>
    <w:rsid w:val="008216E7"/>
    <w:rsid w:val="0082481A"/>
    <w:rsid w:val="00825BE6"/>
    <w:rsid w:val="00826209"/>
    <w:rsid w:val="008276B4"/>
    <w:rsid w:val="00830569"/>
    <w:rsid w:val="0083068A"/>
    <w:rsid w:val="0083171B"/>
    <w:rsid w:val="00831927"/>
    <w:rsid w:val="008326F6"/>
    <w:rsid w:val="008360FB"/>
    <w:rsid w:val="00836F21"/>
    <w:rsid w:val="00837288"/>
    <w:rsid w:val="00837C0F"/>
    <w:rsid w:val="00840448"/>
    <w:rsid w:val="00840853"/>
    <w:rsid w:val="00841BD3"/>
    <w:rsid w:val="0084273D"/>
    <w:rsid w:val="008431D3"/>
    <w:rsid w:val="00843B09"/>
    <w:rsid w:val="00843DB0"/>
    <w:rsid w:val="00844E3F"/>
    <w:rsid w:val="008450EC"/>
    <w:rsid w:val="008453CF"/>
    <w:rsid w:val="00845A54"/>
    <w:rsid w:val="00845A83"/>
    <w:rsid w:val="00845D44"/>
    <w:rsid w:val="00846B06"/>
    <w:rsid w:val="00846BB9"/>
    <w:rsid w:val="008539F1"/>
    <w:rsid w:val="00853C89"/>
    <w:rsid w:val="008565CC"/>
    <w:rsid w:val="0086048D"/>
    <w:rsid w:val="00860798"/>
    <w:rsid w:val="0086260B"/>
    <w:rsid w:val="00862CAC"/>
    <w:rsid w:val="008649D5"/>
    <w:rsid w:val="00864D94"/>
    <w:rsid w:val="00866893"/>
    <w:rsid w:val="008702F8"/>
    <w:rsid w:val="008712BB"/>
    <w:rsid w:val="008806C6"/>
    <w:rsid w:val="00882D30"/>
    <w:rsid w:val="008830E7"/>
    <w:rsid w:val="008831D7"/>
    <w:rsid w:val="0088485D"/>
    <w:rsid w:val="00884BEB"/>
    <w:rsid w:val="00887314"/>
    <w:rsid w:val="00890EDE"/>
    <w:rsid w:val="0089167F"/>
    <w:rsid w:val="00892B38"/>
    <w:rsid w:val="008946FF"/>
    <w:rsid w:val="00896BA5"/>
    <w:rsid w:val="008A07DF"/>
    <w:rsid w:val="008A1741"/>
    <w:rsid w:val="008A1CA7"/>
    <w:rsid w:val="008A2484"/>
    <w:rsid w:val="008A2DA9"/>
    <w:rsid w:val="008A3E87"/>
    <w:rsid w:val="008A51BB"/>
    <w:rsid w:val="008A52F3"/>
    <w:rsid w:val="008A6970"/>
    <w:rsid w:val="008B5B09"/>
    <w:rsid w:val="008B76C5"/>
    <w:rsid w:val="008C096F"/>
    <w:rsid w:val="008C0AA1"/>
    <w:rsid w:val="008C26D9"/>
    <w:rsid w:val="008C2E6A"/>
    <w:rsid w:val="008C3C3F"/>
    <w:rsid w:val="008C6D50"/>
    <w:rsid w:val="008C7167"/>
    <w:rsid w:val="008C7503"/>
    <w:rsid w:val="008C7711"/>
    <w:rsid w:val="008D0BF9"/>
    <w:rsid w:val="008D0CB9"/>
    <w:rsid w:val="008D10A9"/>
    <w:rsid w:val="008D1617"/>
    <w:rsid w:val="008D330F"/>
    <w:rsid w:val="008D3DEC"/>
    <w:rsid w:val="008D408D"/>
    <w:rsid w:val="008D48C1"/>
    <w:rsid w:val="008D7CBF"/>
    <w:rsid w:val="008E56BE"/>
    <w:rsid w:val="008E6315"/>
    <w:rsid w:val="008E6AB3"/>
    <w:rsid w:val="008F0480"/>
    <w:rsid w:val="008F07FC"/>
    <w:rsid w:val="008F11E0"/>
    <w:rsid w:val="008F1B58"/>
    <w:rsid w:val="008F1F5E"/>
    <w:rsid w:val="008F33ED"/>
    <w:rsid w:val="008F3EA7"/>
    <w:rsid w:val="008F78BC"/>
    <w:rsid w:val="008F7B63"/>
    <w:rsid w:val="008F7D6A"/>
    <w:rsid w:val="009017C0"/>
    <w:rsid w:val="00901C86"/>
    <w:rsid w:val="00901D67"/>
    <w:rsid w:val="00903603"/>
    <w:rsid w:val="009054CB"/>
    <w:rsid w:val="0091147C"/>
    <w:rsid w:val="00911F8D"/>
    <w:rsid w:val="00912F94"/>
    <w:rsid w:val="00913514"/>
    <w:rsid w:val="00913B9D"/>
    <w:rsid w:val="009171BC"/>
    <w:rsid w:val="00921CE5"/>
    <w:rsid w:val="00922C24"/>
    <w:rsid w:val="00922D1D"/>
    <w:rsid w:val="0092481E"/>
    <w:rsid w:val="0092497E"/>
    <w:rsid w:val="009250A7"/>
    <w:rsid w:val="0092590B"/>
    <w:rsid w:val="00925BF3"/>
    <w:rsid w:val="00925C47"/>
    <w:rsid w:val="00925E60"/>
    <w:rsid w:val="009264B3"/>
    <w:rsid w:val="0092695C"/>
    <w:rsid w:val="00930E58"/>
    <w:rsid w:val="009310D0"/>
    <w:rsid w:val="00931E4C"/>
    <w:rsid w:val="009365E0"/>
    <w:rsid w:val="00937E20"/>
    <w:rsid w:val="0094290A"/>
    <w:rsid w:val="00942BA2"/>
    <w:rsid w:val="009432B7"/>
    <w:rsid w:val="009440A2"/>
    <w:rsid w:val="00944C86"/>
    <w:rsid w:val="00945C83"/>
    <w:rsid w:val="00947C02"/>
    <w:rsid w:val="00950BE6"/>
    <w:rsid w:val="009533A6"/>
    <w:rsid w:val="00957DE8"/>
    <w:rsid w:val="0096098F"/>
    <w:rsid w:val="00960ECB"/>
    <w:rsid w:val="009615D6"/>
    <w:rsid w:val="00962982"/>
    <w:rsid w:val="009629F7"/>
    <w:rsid w:val="00964716"/>
    <w:rsid w:val="00965913"/>
    <w:rsid w:val="009676B3"/>
    <w:rsid w:val="00967855"/>
    <w:rsid w:val="00970DE9"/>
    <w:rsid w:val="00971CD1"/>
    <w:rsid w:val="00972967"/>
    <w:rsid w:val="00974709"/>
    <w:rsid w:val="00974898"/>
    <w:rsid w:val="009801AE"/>
    <w:rsid w:val="00980736"/>
    <w:rsid w:val="00980E12"/>
    <w:rsid w:val="00981A39"/>
    <w:rsid w:val="00982D56"/>
    <w:rsid w:val="00983DBF"/>
    <w:rsid w:val="00987097"/>
    <w:rsid w:val="009873A4"/>
    <w:rsid w:val="00987CA9"/>
    <w:rsid w:val="00991123"/>
    <w:rsid w:val="00991CAB"/>
    <w:rsid w:val="00992205"/>
    <w:rsid w:val="00994710"/>
    <w:rsid w:val="00994836"/>
    <w:rsid w:val="0099647A"/>
    <w:rsid w:val="009A001B"/>
    <w:rsid w:val="009A043D"/>
    <w:rsid w:val="009A2BBB"/>
    <w:rsid w:val="009A3A9C"/>
    <w:rsid w:val="009A3F37"/>
    <w:rsid w:val="009A475D"/>
    <w:rsid w:val="009B046C"/>
    <w:rsid w:val="009B13FA"/>
    <w:rsid w:val="009B1E2D"/>
    <w:rsid w:val="009B2472"/>
    <w:rsid w:val="009B5E41"/>
    <w:rsid w:val="009B6BEB"/>
    <w:rsid w:val="009C1F39"/>
    <w:rsid w:val="009C32EA"/>
    <w:rsid w:val="009C59FB"/>
    <w:rsid w:val="009C6F3B"/>
    <w:rsid w:val="009C7704"/>
    <w:rsid w:val="009D1467"/>
    <w:rsid w:val="009D1E34"/>
    <w:rsid w:val="009D328D"/>
    <w:rsid w:val="009D337E"/>
    <w:rsid w:val="009E1F8B"/>
    <w:rsid w:val="009E43AD"/>
    <w:rsid w:val="009E4FA6"/>
    <w:rsid w:val="009E71CC"/>
    <w:rsid w:val="009E7D93"/>
    <w:rsid w:val="009F0556"/>
    <w:rsid w:val="009F0EB1"/>
    <w:rsid w:val="009F3C34"/>
    <w:rsid w:val="009F43B7"/>
    <w:rsid w:val="009F462C"/>
    <w:rsid w:val="009F5AEA"/>
    <w:rsid w:val="009F5C33"/>
    <w:rsid w:val="009F67C4"/>
    <w:rsid w:val="00A00258"/>
    <w:rsid w:val="00A0046E"/>
    <w:rsid w:val="00A01D49"/>
    <w:rsid w:val="00A026F0"/>
    <w:rsid w:val="00A0354A"/>
    <w:rsid w:val="00A03EAC"/>
    <w:rsid w:val="00A045F5"/>
    <w:rsid w:val="00A04DBB"/>
    <w:rsid w:val="00A06ECE"/>
    <w:rsid w:val="00A07EA0"/>
    <w:rsid w:val="00A11CA6"/>
    <w:rsid w:val="00A1298F"/>
    <w:rsid w:val="00A13EC1"/>
    <w:rsid w:val="00A145C5"/>
    <w:rsid w:val="00A20C49"/>
    <w:rsid w:val="00A22344"/>
    <w:rsid w:val="00A22932"/>
    <w:rsid w:val="00A23DDB"/>
    <w:rsid w:val="00A26560"/>
    <w:rsid w:val="00A269CA"/>
    <w:rsid w:val="00A27FF8"/>
    <w:rsid w:val="00A336EE"/>
    <w:rsid w:val="00A33F46"/>
    <w:rsid w:val="00A3427E"/>
    <w:rsid w:val="00A359AC"/>
    <w:rsid w:val="00A36D4E"/>
    <w:rsid w:val="00A36FCC"/>
    <w:rsid w:val="00A37A6D"/>
    <w:rsid w:val="00A37BD2"/>
    <w:rsid w:val="00A37D98"/>
    <w:rsid w:val="00A4001D"/>
    <w:rsid w:val="00A4034F"/>
    <w:rsid w:val="00A40F83"/>
    <w:rsid w:val="00A410FB"/>
    <w:rsid w:val="00A41413"/>
    <w:rsid w:val="00A421A1"/>
    <w:rsid w:val="00A431E6"/>
    <w:rsid w:val="00A436E8"/>
    <w:rsid w:val="00A45FB1"/>
    <w:rsid w:val="00A4607C"/>
    <w:rsid w:val="00A46A0F"/>
    <w:rsid w:val="00A46CCC"/>
    <w:rsid w:val="00A47996"/>
    <w:rsid w:val="00A51CFE"/>
    <w:rsid w:val="00A5204D"/>
    <w:rsid w:val="00A5336F"/>
    <w:rsid w:val="00A534FC"/>
    <w:rsid w:val="00A56E77"/>
    <w:rsid w:val="00A57920"/>
    <w:rsid w:val="00A61605"/>
    <w:rsid w:val="00A62857"/>
    <w:rsid w:val="00A6347B"/>
    <w:rsid w:val="00A6411E"/>
    <w:rsid w:val="00A65F97"/>
    <w:rsid w:val="00A71967"/>
    <w:rsid w:val="00A72E0B"/>
    <w:rsid w:val="00A73AA1"/>
    <w:rsid w:val="00A73B04"/>
    <w:rsid w:val="00A74268"/>
    <w:rsid w:val="00A74A5C"/>
    <w:rsid w:val="00A74B4B"/>
    <w:rsid w:val="00A76C13"/>
    <w:rsid w:val="00A77599"/>
    <w:rsid w:val="00A8186D"/>
    <w:rsid w:val="00A81E08"/>
    <w:rsid w:val="00A849D3"/>
    <w:rsid w:val="00A84FD0"/>
    <w:rsid w:val="00A85664"/>
    <w:rsid w:val="00A92774"/>
    <w:rsid w:val="00A92E79"/>
    <w:rsid w:val="00A93547"/>
    <w:rsid w:val="00A950B6"/>
    <w:rsid w:val="00A957C3"/>
    <w:rsid w:val="00A95D45"/>
    <w:rsid w:val="00A96E4A"/>
    <w:rsid w:val="00AA3EA8"/>
    <w:rsid w:val="00AA5DA4"/>
    <w:rsid w:val="00AB28F0"/>
    <w:rsid w:val="00AB41C1"/>
    <w:rsid w:val="00AB4CF2"/>
    <w:rsid w:val="00AB6CCA"/>
    <w:rsid w:val="00AB7CDC"/>
    <w:rsid w:val="00AC223F"/>
    <w:rsid w:val="00AC33B1"/>
    <w:rsid w:val="00AC573B"/>
    <w:rsid w:val="00AC718A"/>
    <w:rsid w:val="00AC7EDF"/>
    <w:rsid w:val="00AD0179"/>
    <w:rsid w:val="00AD12A8"/>
    <w:rsid w:val="00AD21E9"/>
    <w:rsid w:val="00AD5A65"/>
    <w:rsid w:val="00AD6218"/>
    <w:rsid w:val="00AE023F"/>
    <w:rsid w:val="00AE1C30"/>
    <w:rsid w:val="00AE6304"/>
    <w:rsid w:val="00AE767B"/>
    <w:rsid w:val="00AF0B21"/>
    <w:rsid w:val="00AF3577"/>
    <w:rsid w:val="00AF35F9"/>
    <w:rsid w:val="00AF3BD7"/>
    <w:rsid w:val="00B0424C"/>
    <w:rsid w:val="00B05C7D"/>
    <w:rsid w:val="00B05E4D"/>
    <w:rsid w:val="00B0667A"/>
    <w:rsid w:val="00B115E2"/>
    <w:rsid w:val="00B13452"/>
    <w:rsid w:val="00B14117"/>
    <w:rsid w:val="00B14D29"/>
    <w:rsid w:val="00B15D57"/>
    <w:rsid w:val="00B162B6"/>
    <w:rsid w:val="00B16347"/>
    <w:rsid w:val="00B17929"/>
    <w:rsid w:val="00B1796E"/>
    <w:rsid w:val="00B17D6E"/>
    <w:rsid w:val="00B2359F"/>
    <w:rsid w:val="00B2435E"/>
    <w:rsid w:val="00B27657"/>
    <w:rsid w:val="00B314CE"/>
    <w:rsid w:val="00B3226D"/>
    <w:rsid w:val="00B3269F"/>
    <w:rsid w:val="00B328D4"/>
    <w:rsid w:val="00B346C3"/>
    <w:rsid w:val="00B363C7"/>
    <w:rsid w:val="00B36F19"/>
    <w:rsid w:val="00B4005C"/>
    <w:rsid w:val="00B415E0"/>
    <w:rsid w:val="00B4227E"/>
    <w:rsid w:val="00B44177"/>
    <w:rsid w:val="00B4471C"/>
    <w:rsid w:val="00B451A6"/>
    <w:rsid w:val="00B55D5A"/>
    <w:rsid w:val="00B56D2D"/>
    <w:rsid w:val="00B56D6E"/>
    <w:rsid w:val="00B64347"/>
    <w:rsid w:val="00B650E5"/>
    <w:rsid w:val="00B65DC6"/>
    <w:rsid w:val="00B66234"/>
    <w:rsid w:val="00B66EEF"/>
    <w:rsid w:val="00B67AC2"/>
    <w:rsid w:val="00B716AA"/>
    <w:rsid w:val="00B722DE"/>
    <w:rsid w:val="00B7470C"/>
    <w:rsid w:val="00B751E3"/>
    <w:rsid w:val="00B7575D"/>
    <w:rsid w:val="00B75BA6"/>
    <w:rsid w:val="00B769DD"/>
    <w:rsid w:val="00B76C44"/>
    <w:rsid w:val="00B8027F"/>
    <w:rsid w:val="00B8071D"/>
    <w:rsid w:val="00B80A12"/>
    <w:rsid w:val="00B813F4"/>
    <w:rsid w:val="00B8184A"/>
    <w:rsid w:val="00B8193B"/>
    <w:rsid w:val="00B82283"/>
    <w:rsid w:val="00B828D8"/>
    <w:rsid w:val="00B83F87"/>
    <w:rsid w:val="00B87CDC"/>
    <w:rsid w:val="00B910C1"/>
    <w:rsid w:val="00B93C2E"/>
    <w:rsid w:val="00BA0D10"/>
    <w:rsid w:val="00BA2CA4"/>
    <w:rsid w:val="00BA2EFA"/>
    <w:rsid w:val="00BA39E0"/>
    <w:rsid w:val="00BA3DBC"/>
    <w:rsid w:val="00BA3E83"/>
    <w:rsid w:val="00BA443F"/>
    <w:rsid w:val="00BA5B69"/>
    <w:rsid w:val="00BA631F"/>
    <w:rsid w:val="00BA707A"/>
    <w:rsid w:val="00BB079E"/>
    <w:rsid w:val="00BB0E83"/>
    <w:rsid w:val="00BB1AFB"/>
    <w:rsid w:val="00BB27AE"/>
    <w:rsid w:val="00BB2DA2"/>
    <w:rsid w:val="00BB35CF"/>
    <w:rsid w:val="00BB5544"/>
    <w:rsid w:val="00BB56DC"/>
    <w:rsid w:val="00BB6D2F"/>
    <w:rsid w:val="00BC1F63"/>
    <w:rsid w:val="00BC2619"/>
    <w:rsid w:val="00BD1693"/>
    <w:rsid w:val="00BD1A30"/>
    <w:rsid w:val="00BE0874"/>
    <w:rsid w:val="00BE183D"/>
    <w:rsid w:val="00BF08D1"/>
    <w:rsid w:val="00BF0D86"/>
    <w:rsid w:val="00BF24C2"/>
    <w:rsid w:val="00BF2922"/>
    <w:rsid w:val="00BF5204"/>
    <w:rsid w:val="00BF5D7A"/>
    <w:rsid w:val="00BF786F"/>
    <w:rsid w:val="00C01C2E"/>
    <w:rsid w:val="00C02D33"/>
    <w:rsid w:val="00C02DA8"/>
    <w:rsid w:val="00C02E50"/>
    <w:rsid w:val="00C04B53"/>
    <w:rsid w:val="00C1232C"/>
    <w:rsid w:val="00C128C7"/>
    <w:rsid w:val="00C13C4C"/>
    <w:rsid w:val="00C13E8F"/>
    <w:rsid w:val="00C14C72"/>
    <w:rsid w:val="00C159ED"/>
    <w:rsid w:val="00C16C21"/>
    <w:rsid w:val="00C2278F"/>
    <w:rsid w:val="00C22BFB"/>
    <w:rsid w:val="00C259D6"/>
    <w:rsid w:val="00C27C6B"/>
    <w:rsid w:val="00C30C00"/>
    <w:rsid w:val="00C32F4B"/>
    <w:rsid w:val="00C3542D"/>
    <w:rsid w:val="00C3594D"/>
    <w:rsid w:val="00C36213"/>
    <w:rsid w:val="00C36442"/>
    <w:rsid w:val="00C400CE"/>
    <w:rsid w:val="00C410FD"/>
    <w:rsid w:val="00C42FBF"/>
    <w:rsid w:val="00C44203"/>
    <w:rsid w:val="00C457DE"/>
    <w:rsid w:val="00C47DD3"/>
    <w:rsid w:val="00C523D5"/>
    <w:rsid w:val="00C528C3"/>
    <w:rsid w:val="00C5316F"/>
    <w:rsid w:val="00C53562"/>
    <w:rsid w:val="00C539FB"/>
    <w:rsid w:val="00C54BA9"/>
    <w:rsid w:val="00C558B0"/>
    <w:rsid w:val="00C55CED"/>
    <w:rsid w:val="00C57EA5"/>
    <w:rsid w:val="00C64EEF"/>
    <w:rsid w:val="00C66AA3"/>
    <w:rsid w:val="00C66E57"/>
    <w:rsid w:val="00C67377"/>
    <w:rsid w:val="00C718A3"/>
    <w:rsid w:val="00C724D7"/>
    <w:rsid w:val="00C72AC9"/>
    <w:rsid w:val="00C74150"/>
    <w:rsid w:val="00C75594"/>
    <w:rsid w:val="00C75C02"/>
    <w:rsid w:val="00C81E17"/>
    <w:rsid w:val="00C81E4B"/>
    <w:rsid w:val="00C85982"/>
    <w:rsid w:val="00C8726B"/>
    <w:rsid w:val="00C91E85"/>
    <w:rsid w:val="00C949B2"/>
    <w:rsid w:val="00C96E99"/>
    <w:rsid w:val="00C97F3D"/>
    <w:rsid w:val="00CA0466"/>
    <w:rsid w:val="00CA246D"/>
    <w:rsid w:val="00CA3E87"/>
    <w:rsid w:val="00CA4A4D"/>
    <w:rsid w:val="00CA50D9"/>
    <w:rsid w:val="00CA5453"/>
    <w:rsid w:val="00CA7043"/>
    <w:rsid w:val="00CA7A3A"/>
    <w:rsid w:val="00CB3054"/>
    <w:rsid w:val="00CB5636"/>
    <w:rsid w:val="00CB5F30"/>
    <w:rsid w:val="00CB63A0"/>
    <w:rsid w:val="00CB6F0B"/>
    <w:rsid w:val="00CC3EE5"/>
    <w:rsid w:val="00CC5089"/>
    <w:rsid w:val="00CC6E47"/>
    <w:rsid w:val="00CD1346"/>
    <w:rsid w:val="00CD1EF4"/>
    <w:rsid w:val="00CD3938"/>
    <w:rsid w:val="00CD6700"/>
    <w:rsid w:val="00CD792C"/>
    <w:rsid w:val="00CD7EF1"/>
    <w:rsid w:val="00CE425C"/>
    <w:rsid w:val="00CE58AC"/>
    <w:rsid w:val="00CE7FB7"/>
    <w:rsid w:val="00CF0DCB"/>
    <w:rsid w:val="00CF3E81"/>
    <w:rsid w:val="00CF45D8"/>
    <w:rsid w:val="00CF46F1"/>
    <w:rsid w:val="00CF4C7C"/>
    <w:rsid w:val="00CF5A80"/>
    <w:rsid w:val="00CF6392"/>
    <w:rsid w:val="00D00DBB"/>
    <w:rsid w:val="00D01496"/>
    <w:rsid w:val="00D02A1C"/>
    <w:rsid w:val="00D045EE"/>
    <w:rsid w:val="00D05091"/>
    <w:rsid w:val="00D05527"/>
    <w:rsid w:val="00D10CA6"/>
    <w:rsid w:val="00D10F21"/>
    <w:rsid w:val="00D11D8F"/>
    <w:rsid w:val="00D134CF"/>
    <w:rsid w:val="00D1573B"/>
    <w:rsid w:val="00D16E99"/>
    <w:rsid w:val="00D20800"/>
    <w:rsid w:val="00D22390"/>
    <w:rsid w:val="00D22422"/>
    <w:rsid w:val="00D233FF"/>
    <w:rsid w:val="00D24806"/>
    <w:rsid w:val="00D27C3D"/>
    <w:rsid w:val="00D311FD"/>
    <w:rsid w:val="00D34040"/>
    <w:rsid w:val="00D34E69"/>
    <w:rsid w:val="00D35ED5"/>
    <w:rsid w:val="00D368BE"/>
    <w:rsid w:val="00D36C78"/>
    <w:rsid w:val="00D37220"/>
    <w:rsid w:val="00D375EE"/>
    <w:rsid w:val="00D41D62"/>
    <w:rsid w:val="00D44759"/>
    <w:rsid w:val="00D5138E"/>
    <w:rsid w:val="00D53611"/>
    <w:rsid w:val="00D5396E"/>
    <w:rsid w:val="00D55198"/>
    <w:rsid w:val="00D55AE8"/>
    <w:rsid w:val="00D56056"/>
    <w:rsid w:val="00D6085F"/>
    <w:rsid w:val="00D61017"/>
    <w:rsid w:val="00D623CB"/>
    <w:rsid w:val="00D62699"/>
    <w:rsid w:val="00D64C4E"/>
    <w:rsid w:val="00D70AA2"/>
    <w:rsid w:val="00D76E2D"/>
    <w:rsid w:val="00D7702C"/>
    <w:rsid w:val="00D778E9"/>
    <w:rsid w:val="00D812BF"/>
    <w:rsid w:val="00D82620"/>
    <w:rsid w:val="00D82B30"/>
    <w:rsid w:val="00D83FFD"/>
    <w:rsid w:val="00D85707"/>
    <w:rsid w:val="00D86585"/>
    <w:rsid w:val="00D8714B"/>
    <w:rsid w:val="00D9269E"/>
    <w:rsid w:val="00D9725F"/>
    <w:rsid w:val="00D978F8"/>
    <w:rsid w:val="00DA01B1"/>
    <w:rsid w:val="00DA11A2"/>
    <w:rsid w:val="00DA14ED"/>
    <w:rsid w:val="00DA26D6"/>
    <w:rsid w:val="00DA5112"/>
    <w:rsid w:val="00DB2EF1"/>
    <w:rsid w:val="00DB3DE1"/>
    <w:rsid w:val="00DB579D"/>
    <w:rsid w:val="00DB5907"/>
    <w:rsid w:val="00DB5DA0"/>
    <w:rsid w:val="00DB716C"/>
    <w:rsid w:val="00DB7AC3"/>
    <w:rsid w:val="00DC147A"/>
    <w:rsid w:val="00DC2C18"/>
    <w:rsid w:val="00DC3D72"/>
    <w:rsid w:val="00DC5670"/>
    <w:rsid w:val="00DC5891"/>
    <w:rsid w:val="00DC5C85"/>
    <w:rsid w:val="00DC7B50"/>
    <w:rsid w:val="00DC7C5D"/>
    <w:rsid w:val="00DD0872"/>
    <w:rsid w:val="00DD0EC2"/>
    <w:rsid w:val="00DD159D"/>
    <w:rsid w:val="00DD179C"/>
    <w:rsid w:val="00DD4236"/>
    <w:rsid w:val="00DD44F1"/>
    <w:rsid w:val="00DD4524"/>
    <w:rsid w:val="00DD6957"/>
    <w:rsid w:val="00DD6E7A"/>
    <w:rsid w:val="00DE3067"/>
    <w:rsid w:val="00DE509B"/>
    <w:rsid w:val="00DE59FE"/>
    <w:rsid w:val="00DE69A4"/>
    <w:rsid w:val="00DF0056"/>
    <w:rsid w:val="00DF1B3C"/>
    <w:rsid w:val="00DF32BC"/>
    <w:rsid w:val="00DF3EEE"/>
    <w:rsid w:val="00DF62A4"/>
    <w:rsid w:val="00DF71FB"/>
    <w:rsid w:val="00DF75E1"/>
    <w:rsid w:val="00E01831"/>
    <w:rsid w:val="00E027BC"/>
    <w:rsid w:val="00E02A06"/>
    <w:rsid w:val="00E02C5C"/>
    <w:rsid w:val="00E03032"/>
    <w:rsid w:val="00E045BE"/>
    <w:rsid w:val="00E045D8"/>
    <w:rsid w:val="00E0772B"/>
    <w:rsid w:val="00E10A4B"/>
    <w:rsid w:val="00E10F0D"/>
    <w:rsid w:val="00E124F8"/>
    <w:rsid w:val="00E14EA5"/>
    <w:rsid w:val="00E15785"/>
    <w:rsid w:val="00E2070E"/>
    <w:rsid w:val="00E21133"/>
    <w:rsid w:val="00E2327E"/>
    <w:rsid w:val="00E23577"/>
    <w:rsid w:val="00E23CCB"/>
    <w:rsid w:val="00E266EF"/>
    <w:rsid w:val="00E326A8"/>
    <w:rsid w:val="00E33643"/>
    <w:rsid w:val="00E345A5"/>
    <w:rsid w:val="00E34A32"/>
    <w:rsid w:val="00E35BA4"/>
    <w:rsid w:val="00E3746B"/>
    <w:rsid w:val="00E413CA"/>
    <w:rsid w:val="00E432E6"/>
    <w:rsid w:val="00E4419E"/>
    <w:rsid w:val="00E44E0E"/>
    <w:rsid w:val="00E45266"/>
    <w:rsid w:val="00E47428"/>
    <w:rsid w:val="00E50184"/>
    <w:rsid w:val="00E53AC3"/>
    <w:rsid w:val="00E55BC5"/>
    <w:rsid w:val="00E56281"/>
    <w:rsid w:val="00E56C8E"/>
    <w:rsid w:val="00E5716B"/>
    <w:rsid w:val="00E57B32"/>
    <w:rsid w:val="00E57F1F"/>
    <w:rsid w:val="00E61093"/>
    <w:rsid w:val="00E64207"/>
    <w:rsid w:val="00E66B9F"/>
    <w:rsid w:val="00E67B7D"/>
    <w:rsid w:val="00E7049B"/>
    <w:rsid w:val="00E70A6A"/>
    <w:rsid w:val="00E710D6"/>
    <w:rsid w:val="00E73DA4"/>
    <w:rsid w:val="00E7628B"/>
    <w:rsid w:val="00E76E45"/>
    <w:rsid w:val="00E777C9"/>
    <w:rsid w:val="00E81767"/>
    <w:rsid w:val="00E81BC7"/>
    <w:rsid w:val="00E81DA6"/>
    <w:rsid w:val="00E84212"/>
    <w:rsid w:val="00E8652F"/>
    <w:rsid w:val="00E9086C"/>
    <w:rsid w:val="00E90AAA"/>
    <w:rsid w:val="00E91A0F"/>
    <w:rsid w:val="00E92386"/>
    <w:rsid w:val="00E930F5"/>
    <w:rsid w:val="00E94A71"/>
    <w:rsid w:val="00E94CBF"/>
    <w:rsid w:val="00E94D91"/>
    <w:rsid w:val="00E9543B"/>
    <w:rsid w:val="00EA03CE"/>
    <w:rsid w:val="00EA23E5"/>
    <w:rsid w:val="00EA3220"/>
    <w:rsid w:val="00EA4D5C"/>
    <w:rsid w:val="00EA4E2E"/>
    <w:rsid w:val="00EA590F"/>
    <w:rsid w:val="00EA5F2B"/>
    <w:rsid w:val="00EA70BB"/>
    <w:rsid w:val="00EB1C12"/>
    <w:rsid w:val="00EB2417"/>
    <w:rsid w:val="00EB2CCB"/>
    <w:rsid w:val="00EB3A97"/>
    <w:rsid w:val="00EB40D7"/>
    <w:rsid w:val="00EB5DB0"/>
    <w:rsid w:val="00EB6703"/>
    <w:rsid w:val="00EB7944"/>
    <w:rsid w:val="00EB7A25"/>
    <w:rsid w:val="00EC0F3E"/>
    <w:rsid w:val="00EC1D12"/>
    <w:rsid w:val="00EC269A"/>
    <w:rsid w:val="00EC31FD"/>
    <w:rsid w:val="00EC3AD8"/>
    <w:rsid w:val="00EC57A7"/>
    <w:rsid w:val="00ED0817"/>
    <w:rsid w:val="00ED1BA6"/>
    <w:rsid w:val="00ED2A44"/>
    <w:rsid w:val="00ED554E"/>
    <w:rsid w:val="00ED606B"/>
    <w:rsid w:val="00ED6AF2"/>
    <w:rsid w:val="00ED7DD9"/>
    <w:rsid w:val="00EE05B9"/>
    <w:rsid w:val="00EE23C8"/>
    <w:rsid w:val="00EE3061"/>
    <w:rsid w:val="00EE445B"/>
    <w:rsid w:val="00EE77A0"/>
    <w:rsid w:val="00EF031D"/>
    <w:rsid w:val="00EF1610"/>
    <w:rsid w:val="00EF1C90"/>
    <w:rsid w:val="00EF3113"/>
    <w:rsid w:val="00EF3F84"/>
    <w:rsid w:val="00EF55BC"/>
    <w:rsid w:val="00EF77A3"/>
    <w:rsid w:val="00EF7A06"/>
    <w:rsid w:val="00EF7E00"/>
    <w:rsid w:val="00F02763"/>
    <w:rsid w:val="00F047F1"/>
    <w:rsid w:val="00F04EE0"/>
    <w:rsid w:val="00F07528"/>
    <w:rsid w:val="00F07830"/>
    <w:rsid w:val="00F078EB"/>
    <w:rsid w:val="00F10519"/>
    <w:rsid w:val="00F12499"/>
    <w:rsid w:val="00F14CE2"/>
    <w:rsid w:val="00F176AC"/>
    <w:rsid w:val="00F22CAE"/>
    <w:rsid w:val="00F26F28"/>
    <w:rsid w:val="00F27714"/>
    <w:rsid w:val="00F31B2E"/>
    <w:rsid w:val="00F3276E"/>
    <w:rsid w:val="00F33D3C"/>
    <w:rsid w:val="00F35664"/>
    <w:rsid w:val="00F35E1B"/>
    <w:rsid w:val="00F37A91"/>
    <w:rsid w:val="00F40416"/>
    <w:rsid w:val="00F40889"/>
    <w:rsid w:val="00F408A0"/>
    <w:rsid w:val="00F4305C"/>
    <w:rsid w:val="00F450D2"/>
    <w:rsid w:val="00F45CF5"/>
    <w:rsid w:val="00F4740A"/>
    <w:rsid w:val="00F47DB0"/>
    <w:rsid w:val="00F50C3F"/>
    <w:rsid w:val="00F50E34"/>
    <w:rsid w:val="00F51AFB"/>
    <w:rsid w:val="00F52780"/>
    <w:rsid w:val="00F53EF7"/>
    <w:rsid w:val="00F54BF2"/>
    <w:rsid w:val="00F60076"/>
    <w:rsid w:val="00F62BAE"/>
    <w:rsid w:val="00F642F2"/>
    <w:rsid w:val="00F67486"/>
    <w:rsid w:val="00F72BFF"/>
    <w:rsid w:val="00F730F3"/>
    <w:rsid w:val="00F775AC"/>
    <w:rsid w:val="00F81060"/>
    <w:rsid w:val="00F82042"/>
    <w:rsid w:val="00F850E1"/>
    <w:rsid w:val="00F8792F"/>
    <w:rsid w:val="00F90F64"/>
    <w:rsid w:val="00F91180"/>
    <w:rsid w:val="00F92077"/>
    <w:rsid w:val="00F9214D"/>
    <w:rsid w:val="00F92355"/>
    <w:rsid w:val="00F93963"/>
    <w:rsid w:val="00F94291"/>
    <w:rsid w:val="00F948E9"/>
    <w:rsid w:val="00F97919"/>
    <w:rsid w:val="00F97C1E"/>
    <w:rsid w:val="00FA298A"/>
    <w:rsid w:val="00FA5B66"/>
    <w:rsid w:val="00FB0B9C"/>
    <w:rsid w:val="00FB161C"/>
    <w:rsid w:val="00FB30EB"/>
    <w:rsid w:val="00FB371F"/>
    <w:rsid w:val="00FB541B"/>
    <w:rsid w:val="00FB5E70"/>
    <w:rsid w:val="00FB64C8"/>
    <w:rsid w:val="00FB7982"/>
    <w:rsid w:val="00FC0734"/>
    <w:rsid w:val="00FC0FC5"/>
    <w:rsid w:val="00FC31CD"/>
    <w:rsid w:val="00FC338E"/>
    <w:rsid w:val="00FC4852"/>
    <w:rsid w:val="00FC588F"/>
    <w:rsid w:val="00FC5958"/>
    <w:rsid w:val="00FC5EA9"/>
    <w:rsid w:val="00FC62AF"/>
    <w:rsid w:val="00FC6879"/>
    <w:rsid w:val="00FD0386"/>
    <w:rsid w:val="00FD05CD"/>
    <w:rsid w:val="00FD1308"/>
    <w:rsid w:val="00FD43C2"/>
    <w:rsid w:val="00FD57CC"/>
    <w:rsid w:val="00FD5CBD"/>
    <w:rsid w:val="00FE0B00"/>
    <w:rsid w:val="00FE1057"/>
    <w:rsid w:val="00FE1444"/>
    <w:rsid w:val="00FE1B30"/>
    <w:rsid w:val="00FE2220"/>
    <w:rsid w:val="00FE33BC"/>
    <w:rsid w:val="00FE3851"/>
    <w:rsid w:val="00FE4B01"/>
    <w:rsid w:val="00FE5092"/>
    <w:rsid w:val="00FE7B44"/>
    <w:rsid w:val="00FF5AD0"/>
    <w:rsid w:val="00FF66DC"/>
    <w:rsid w:val="00FF71AC"/>
    <w:rsid w:val="00FF731C"/>
    <w:rsid w:val="0108F60F"/>
    <w:rsid w:val="0488BB1A"/>
    <w:rsid w:val="09751FAA"/>
    <w:rsid w:val="0F73609E"/>
    <w:rsid w:val="146A0A15"/>
    <w:rsid w:val="1641E08E"/>
    <w:rsid w:val="1A9870F3"/>
    <w:rsid w:val="1AB52470"/>
    <w:rsid w:val="1B0EF2BE"/>
    <w:rsid w:val="1D086ECE"/>
    <w:rsid w:val="1EA82904"/>
    <w:rsid w:val="2998CDE8"/>
    <w:rsid w:val="2B066B2B"/>
    <w:rsid w:val="2D186A9C"/>
    <w:rsid w:val="2F1C5ECA"/>
    <w:rsid w:val="2F88E311"/>
    <w:rsid w:val="2FC6E7C9"/>
    <w:rsid w:val="30C86EC4"/>
    <w:rsid w:val="31EBDBBF"/>
    <w:rsid w:val="3390AC0C"/>
    <w:rsid w:val="38C627D8"/>
    <w:rsid w:val="3C11E3F6"/>
    <w:rsid w:val="3CF01823"/>
    <w:rsid w:val="3D1612AC"/>
    <w:rsid w:val="3D956958"/>
    <w:rsid w:val="41ECDC22"/>
    <w:rsid w:val="43A5BD70"/>
    <w:rsid w:val="4705850D"/>
    <w:rsid w:val="47442D49"/>
    <w:rsid w:val="48D4EA32"/>
    <w:rsid w:val="4D74DEA4"/>
    <w:rsid w:val="4D75BB84"/>
    <w:rsid w:val="509E2A56"/>
    <w:rsid w:val="5881255A"/>
    <w:rsid w:val="5D695E68"/>
    <w:rsid w:val="5ED2BD7A"/>
    <w:rsid w:val="631D6451"/>
    <w:rsid w:val="63DB2DB2"/>
    <w:rsid w:val="65ABEF95"/>
    <w:rsid w:val="66118908"/>
    <w:rsid w:val="6966E860"/>
    <w:rsid w:val="704E6994"/>
    <w:rsid w:val="72DE209E"/>
    <w:rsid w:val="73D98B36"/>
    <w:rsid w:val="7479F0FF"/>
    <w:rsid w:val="7615C160"/>
    <w:rsid w:val="76FEA55D"/>
    <w:rsid w:val="7984F9B0"/>
    <w:rsid w:val="7D7E5F34"/>
    <w:rsid w:val="7F1117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391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B161C"/>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6401"/>
      </w:tabs>
      <w:spacing w:before="180" w:after="180"/>
      <w:ind w:left="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uiPriority w:val="99"/>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character" w:customStyle="1" w:styleId="charsectno">
    <w:name w:val="charsectno"/>
    <w:basedOn w:val="DefaultParagraphFont"/>
    <w:rsid w:val="005941B9"/>
  </w:style>
  <w:style w:type="paragraph" w:customStyle="1" w:styleId="006b632e">
    <w:name w:val="006b632e"/>
    <w:basedOn w:val="Normal"/>
    <w:rsid w:val="00930E58"/>
    <w:pPr>
      <w:spacing w:before="100" w:beforeAutospacing="1" w:after="100" w:afterAutospacing="1" w:line="240" w:lineRule="auto"/>
      <w:jc w:val="left"/>
    </w:pPr>
    <w:rPr>
      <w:rFonts w:eastAsia="Times New Roman"/>
      <w:szCs w:val="24"/>
      <w:lang w:eastAsia="en-AU"/>
    </w:rPr>
  </w:style>
  <w:style w:type="paragraph" w:customStyle="1" w:styleId="00b65860">
    <w:name w:val="00b65860"/>
    <w:basedOn w:val="Normal"/>
    <w:rsid w:val="00930E58"/>
    <w:pPr>
      <w:spacing w:before="100" w:beforeAutospacing="1" w:after="100" w:afterAutospacing="1" w:line="240" w:lineRule="auto"/>
      <w:jc w:val="left"/>
    </w:pPr>
    <w:rPr>
      <w:rFonts w:eastAsia="Times New Roman"/>
      <w:szCs w:val="24"/>
      <w:lang w:eastAsia="en-AU"/>
    </w:rPr>
  </w:style>
  <w:style w:type="paragraph" w:styleId="Revision">
    <w:name w:val="Revision"/>
    <w:hidden/>
    <w:uiPriority w:val="99"/>
    <w:semiHidden/>
    <w:rsid w:val="002F3C3E"/>
    <w:rPr>
      <w:sz w:val="24"/>
      <w:lang w:eastAsia="en-US"/>
    </w:rPr>
  </w:style>
  <w:style w:type="paragraph" w:customStyle="1" w:styleId="00ac405c">
    <w:name w:val="00ac405c"/>
    <w:basedOn w:val="Normal"/>
    <w:rsid w:val="00720351"/>
    <w:pPr>
      <w:spacing w:before="100" w:beforeAutospacing="1" w:after="100" w:afterAutospacing="1" w:line="240" w:lineRule="auto"/>
      <w:jc w:val="left"/>
    </w:pPr>
    <w:rPr>
      <w:rFonts w:eastAsia="Times New Roman"/>
      <w:szCs w:val="24"/>
      <w:lang w:eastAsia="en-GB"/>
    </w:rPr>
  </w:style>
  <w:style w:type="paragraph" w:customStyle="1" w:styleId="006f1d98">
    <w:name w:val="006f1d98"/>
    <w:basedOn w:val="Normal"/>
    <w:rsid w:val="00720351"/>
    <w:pPr>
      <w:spacing w:before="100" w:beforeAutospacing="1" w:after="100" w:afterAutospacing="1" w:line="240" w:lineRule="auto"/>
      <w:jc w:val="left"/>
    </w:pPr>
    <w:rPr>
      <w:rFonts w:eastAsia="Times New Roman"/>
      <w:szCs w:val="24"/>
      <w:lang w:eastAsia="en-GB"/>
    </w:rPr>
  </w:style>
  <w:style w:type="paragraph" w:customStyle="1" w:styleId="Default">
    <w:name w:val="Default"/>
    <w:rsid w:val="00B6623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18785">
      <w:bodyDiv w:val="1"/>
      <w:marLeft w:val="0"/>
      <w:marRight w:val="0"/>
      <w:marTop w:val="0"/>
      <w:marBottom w:val="0"/>
      <w:divBdr>
        <w:top w:val="none" w:sz="0" w:space="0" w:color="auto"/>
        <w:left w:val="none" w:sz="0" w:space="0" w:color="auto"/>
        <w:bottom w:val="none" w:sz="0" w:space="0" w:color="auto"/>
        <w:right w:val="none" w:sz="0" w:space="0" w:color="auto"/>
      </w:divBdr>
      <w:divsChild>
        <w:div w:id="694886596">
          <w:marLeft w:val="0"/>
          <w:marRight w:val="0"/>
          <w:marTop w:val="0"/>
          <w:marBottom w:val="0"/>
          <w:divBdr>
            <w:top w:val="none" w:sz="0" w:space="0" w:color="auto"/>
            <w:left w:val="none" w:sz="0" w:space="0" w:color="auto"/>
            <w:bottom w:val="none" w:sz="0" w:space="0" w:color="auto"/>
            <w:right w:val="none" w:sz="0" w:space="0" w:color="auto"/>
          </w:divBdr>
          <w:divsChild>
            <w:div w:id="65877894">
              <w:marLeft w:val="0"/>
              <w:marRight w:val="0"/>
              <w:marTop w:val="0"/>
              <w:marBottom w:val="0"/>
              <w:divBdr>
                <w:top w:val="none" w:sz="0" w:space="0" w:color="auto"/>
                <w:left w:val="none" w:sz="0" w:space="0" w:color="auto"/>
                <w:bottom w:val="none" w:sz="0" w:space="0" w:color="auto"/>
                <w:right w:val="none" w:sz="0" w:space="0" w:color="auto"/>
              </w:divBdr>
              <w:divsChild>
                <w:div w:id="5377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34596">
      <w:bodyDiv w:val="1"/>
      <w:marLeft w:val="0"/>
      <w:marRight w:val="0"/>
      <w:marTop w:val="0"/>
      <w:marBottom w:val="0"/>
      <w:divBdr>
        <w:top w:val="none" w:sz="0" w:space="0" w:color="auto"/>
        <w:left w:val="none" w:sz="0" w:space="0" w:color="auto"/>
        <w:bottom w:val="none" w:sz="0" w:space="0" w:color="auto"/>
        <w:right w:val="none" w:sz="0" w:space="0" w:color="auto"/>
      </w:divBdr>
    </w:div>
    <w:div w:id="458644641">
      <w:bodyDiv w:val="1"/>
      <w:marLeft w:val="0"/>
      <w:marRight w:val="0"/>
      <w:marTop w:val="0"/>
      <w:marBottom w:val="0"/>
      <w:divBdr>
        <w:top w:val="none" w:sz="0" w:space="0" w:color="auto"/>
        <w:left w:val="none" w:sz="0" w:space="0" w:color="auto"/>
        <w:bottom w:val="none" w:sz="0" w:space="0" w:color="auto"/>
        <w:right w:val="none" w:sz="0" w:space="0" w:color="auto"/>
      </w:divBdr>
    </w:div>
    <w:div w:id="550577502">
      <w:bodyDiv w:val="1"/>
      <w:marLeft w:val="0"/>
      <w:marRight w:val="0"/>
      <w:marTop w:val="0"/>
      <w:marBottom w:val="0"/>
      <w:divBdr>
        <w:top w:val="none" w:sz="0" w:space="0" w:color="auto"/>
        <w:left w:val="none" w:sz="0" w:space="0" w:color="auto"/>
        <w:bottom w:val="none" w:sz="0" w:space="0" w:color="auto"/>
        <w:right w:val="none" w:sz="0" w:space="0" w:color="auto"/>
      </w:divBdr>
      <w:divsChild>
        <w:div w:id="1803956530">
          <w:marLeft w:val="0"/>
          <w:marRight w:val="0"/>
          <w:marTop w:val="0"/>
          <w:marBottom w:val="120"/>
          <w:divBdr>
            <w:top w:val="none" w:sz="0" w:space="0" w:color="auto"/>
            <w:left w:val="none" w:sz="0" w:space="0" w:color="auto"/>
            <w:bottom w:val="none" w:sz="0" w:space="0" w:color="auto"/>
            <w:right w:val="none" w:sz="0" w:space="0" w:color="auto"/>
          </w:divBdr>
          <w:divsChild>
            <w:div w:id="347952834">
              <w:marLeft w:val="0"/>
              <w:marRight w:val="0"/>
              <w:marTop w:val="0"/>
              <w:marBottom w:val="0"/>
              <w:divBdr>
                <w:top w:val="none" w:sz="0" w:space="0" w:color="auto"/>
                <w:left w:val="none" w:sz="0" w:space="0" w:color="auto"/>
                <w:bottom w:val="none" w:sz="0" w:space="0" w:color="auto"/>
                <w:right w:val="none" w:sz="0" w:space="0" w:color="auto"/>
              </w:divBdr>
            </w:div>
          </w:divsChild>
        </w:div>
        <w:div w:id="725182726">
          <w:marLeft w:val="0"/>
          <w:marRight w:val="0"/>
          <w:marTop w:val="0"/>
          <w:marBottom w:val="120"/>
          <w:divBdr>
            <w:top w:val="none" w:sz="0" w:space="0" w:color="auto"/>
            <w:left w:val="none" w:sz="0" w:space="0" w:color="auto"/>
            <w:bottom w:val="none" w:sz="0" w:space="0" w:color="auto"/>
            <w:right w:val="none" w:sz="0" w:space="0" w:color="auto"/>
          </w:divBdr>
          <w:divsChild>
            <w:div w:id="141767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643011">
      <w:bodyDiv w:val="1"/>
      <w:marLeft w:val="0"/>
      <w:marRight w:val="0"/>
      <w:marTop w:val="0"/>
      <w:marBottom w:val="0"/>
      <w:divBdr>
        <w:top w:val="none" w:sz="0" w:space="0" w:color="auto"/>
        <w:left w:val="none" w:sz="0" w:space="0" w:color="auto"/>
        <w:bottom w:val="none" w:sz="0" w:space="0" w:color="auto"/>
        <w:right w:val="none" w:sz="0" w:space="0" w:color="auto"/>
      </w:divBdr>
    </w:div>
    <w:div w:id="649601349">
      <w:bodyDiv w:val="1"/>
      <w:marLeft w:val="0"/>
      <w:marRight w:val="0"/>
      <w:marTop w:val="0"/>
      <w:marBottom w:val="0"/>
      <w:divBdr>
        <w:top w:val="none" w:sz="0" w:space="0" w:color="auto"/>
        <w:left w:val="none" w:sz="0" w:space="0" w:color="auto"/>
        <w:bottom w:val="none" w:sz="0" w:space="0" w:color="auto"/>
        <w:right w:val="none" w:sz="0" w:space="0" w:color="auto"/>
      </w:divBdr>
    </w:div>
    <w:div w:id="687946587">
      <w:bodyDiv w:val="1"/>
      <w:marLeft w:val="0"/>
      <w:marRight w:val="0"/>
      <w:marTop w:val="0"/>
      <w:marBottom w:val="0"/>
      <w:divBdr>
        <w:top w:val="none" w:sz="0" w:space="0" w:color="auto"/>
        <w:left w:val="none" w:sz="0" w:space="0" w:color="auto"/>
        <w:bottom w:val="none" w:sz="0" w:space="0" w:color="auto"/>
        <w:right w:val="none" w:sz="0" w:space="0" w:color="auto"/>
      </w:divBdr>
    </w:div>
    <w:div w:id="1115517309">
      <w:bodyDiv w:val="1"/>
      <w:marLeft w:val="0"/>
      <w:marRight w:val="0"/>
      <w:marTop w:val="0"/>
      <w:marBottom w:val="0"/>
      <w:divBdr>
        <w:top w:val="none" w:sz="0" w:space="0" w:color="auto"/>
        <w:left w:val="none" w:sz="0" w:space="0" w:color="auto"/>
        <w:bottom w:val="none" w:sz="0" w:space="0" w:color="auto"/>
        <w:right w:val="none" w:sz="0" w:space="0" w:color="auto"/>
      </w:divBdr>
      <w:divsChild>
        <w:div w:id="778140125">
          <w:marLeft w:val="0"/>
          <w:marRight w:val="0"/>
          <w:marTop w:val="0"/>
          <w:marBottom w:val="0"/>
          <w:divBdr>
            <w:top w:val="none" w:sz="0" w:space="0" w:color="auto"/>
            <w:left w:val="none" w:sz="0" w:space="0" w:color="auto"/>
            <w:bottom w:val="none" w:sz="0" w:space="0" w:color="auto"/>
            <w:right w:val="none" w:sz="0" w:space="0" w:color="auto"/>
          </w:divBdr>
          <w:divsChild>
            <w:div w:id="1982345841">
              <w:marLeft w:val="0"/>
              <w:marRight w:val="0"/>
              <w:marTop w:val="0"/>
              <w:marBottom w:val="0"/>
              <w:divBdr>
                <w:top w:val="none" w:sz="0" w:space="0" w:color="auto"/>
                <w:left w:val="none" w:sz="0" w:space="0" w:color="auto"/>
                <w:bottom w:val="none" w:sz="0" w:space="0" w:color="auto"/>
                <w:right w:val="none" w:sz="0" w:space="0" w:color="auto"/>
              </w:divBdr>
              <w:divsChild>
                <w:div w:id="141246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871516">
      <w:bodyDiv w:val="1"/>
      <w:marLeft w:val="0"/>
      <w:marRight w:val="0"/>
      <w:marTop w:val="0"/>
      <w:marBottom w:val="0"/>
      <w:divBdr>
        <w:top w:val="none" w:sz="0" w:space="0" w:color="auto"/>
        <w:left w:val="none" w:sz="0" w:space="0" w:color="auto"/>
        <w:bottom w:val="none" w:sz="0" w:space="0" w:color="auto"/>
        <w:right w:val="none" w:sz="0" w:space="0" w:color="auto"/>
      </w:divBdr>
      <w:divsChild>
        <w:div w:id="348215687">
          <w:marLeft w:val="0"/>
          <w:marRight w:val="0"/>
          <w:marTop w:val="0"/>
          <w:marBottom w:val="0"/>
          <w:divBdr>
            <w:top w:val="none" w:sz="0" w:space="0" w:color="auto"/>
            <w:left w:val="none" w:sz="0" w:space="0" w:color="auto"/>
            <w:bottom w:val="none" w:sz="0" w:space="0" w:color="auto"/>
            <w:right w:val="none" w:sz="0" w:space="0" w:color="auto"/>
          </w:divBdr>
          <w:divsChild>
            <w:div w:id="886644829">
              <w:marLeft w:val="0"/>
              <w:marRight w:val="0"/>
              <w:marTop w:val="0"/>
              <w:marBottom w:val="0"/>
              <w:divBdr>
                <w:top w:val="none" w:sz="0" w:space="0" w:color="auto"/>
                <w:left w:val="none" w:sz="0" w:space="0" w:color="auto"/>
                <w:bottom w:val="none" w:sz="0" w:space="0" w:color="auto"/>
                <w:right w:val="none" w:sz="0" w:space="0" w:color="auto"/>
              </w:divBdr>
              <w:divsChild>
                <w:div w:id="160657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850548">
      <w:bodyDiv w:val="1"/>
      <w:marLeft w:val="0"/>
      <w:marRight w:val="0"/>
      <w:marTop w:val="0"/>
      <w:marBottom w:val="0"/>
      <w:divBdr>
        <w:top w:val="none" w:sz="0" w:space="0" w:color="auto"/>
        <w:left w:val="none" w:sz="0" w:space="0" w:color="auto"/>
        <w:bottom w:val="none" w:sz="0" w:space="0" w:color="auto"/>
        <w:right w:val="none" w:sz="0" w:space="0" w:color="auto"/>
      </w:divBdr>
    </w:div>
    <w:div w:id="1526169507">
      <w:bodyDiv w:val="1"/>
      <w:marLeft w:val="0"/>
      <w:marRight w:val="0"/>
      <w:marTop w:val="0"/>
      <w:marBottom w:val="0"/>
      <w:divBdr>
        <w:top w:val="none" w:sz="0" w:space="0" w:color="auto"/>
        <w:left w:val="none" w:sz="0" w:space="0" w:color="auto"/>
        <w:bottom w:val="none" w:sz="0" w:space="0" w:color="auto"/>
        <w:right w:val="none" w:sz="0" w:space="0" w:color="auto"/>
      </w:divBdr>
    </w:div>
    <w:div w:id="1872761988">
      <w:bodyDiv w:val="1"/>
      <w:marLeft w:val="0"/>
      <w:marRight w:val="0"/>
      <w:marTop w:val="0"/>
      <w:marBottom w:val="0"/>
      <w:divBdr>
        <w:top w:val="none" w:sz="0" w:space="0" w:color="auto"/>
        <w:left w:val="none" w:sz="0" w:space="0" w:color="auto"/>
        <w:bottom w:val="none" w:sz="0" w:space="0" w:color="auto"/>
        <w:right w:val="none" w:sz="0" w:space="0" w:color="auto"/>
      </w:divBdr>
    </w:div>
    <w:div w:id="1884442688">
      <w:bodyDiv w:val="1"/>
      <w:marLeft w:val="0"/>
      <w:marRight w:val="0"/>
      <w:marTop w:val="0"/>
      <w:marBottom w:val="0"/>
      <w:divBdr>
        <w:top w:val="none" w:sz="0" w:space="0" w:color="auto"/>
        <w:left w:val="none" w:sz="0" w:space="0" w:color="auto"/>
        <w:bottom w:val="none" w:sz="0" w:space="0" w:color="auto"/>
        <w:right w:val="none" w:sz="0" w:space="0" w:color="auto"/>
      </w:divBdr>
    </w:div>
    <w:div w:id="2061860594">
      <w:bodyDiv w:val="1"/>
      <w:marLeft w:val="0"/>
      <w:marRight w:val="0"/>
      <w:marTop w:val="0"/>
      <w:marBottom w:val="0"/>
      <w:divBdr>
        <w:top w:val="none" w:sz="0" w:space="0" w:color="auto"/>
        <w:left w:val="none" w:sz="0" w:space="0" w:color="auto"/>
        <w:bottom w:val="none" w:sz="0" w:space="0" w:color="auto"/>
        <w:right w:val="none" w:sz="0" w:space="0" w:color="auto"/>
      </w:divBdr>
    </w:div>
    <w:div w:id="21345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jade.io/article/260718" TargetMode="External"/><Relationship Id="rId26" Type="http://schemas.openxmlformats.org/officeDocument/2006/relationships/hyperlink" Target="https://jade.io/article/260718" TargetMode="External"/><Relationship Id="rId39" Type="http://schemas.openxmlformats.org/officeDocument/2006/relationships/hyperlink" Target="https://jade.io/article/218757/section/294473" TargetMode="External"/><Relationship Id="rId3" Type="http://schemas.openxmlformats.org/officeDocument/2006/relationships/customXml" Target="../customXml/item3.xml"/><Relationship Id="rId21" Type="http://schemas.openxmlformats.org/officeDocument/2006/relationships/hyperlink" Target="https://jade.io/citation/17877876" TargetMode="External"/><Relationship Id="rId34" Type="http://schemas.openxmlformats.org/officeDocument/2006/relationships/hyperlink" Target="https://jade.io/article/218757/section/82" TargetMode="External"/><Relationship Id="rId42" Type="http://schemas.openxmlformats.org/officeDocument/2006/relationships/hyperlink" Target="https://jade.io/article/218327/section/3261" TargetMode="External"/><Relationship Id="rId47" Type="http://schemas.openxmlformats.org/officeDocument/2006/relationships/header" Target="header5.xml"/><Relationship Id="rId50"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jade.io/citation/2363744" TargetMode="External"/><Relationship Id="rId25" Type="http://schemas.openxmlformats.org/officeDocument/2006/relationships/hyperlink" Target="https://jade.io/citation/17877876" TargetMode="External"/><Relationship Id="rId33" Type="http://schemas.openxmlformats.org/officeDocument/2006/relationships/hyperlink" Target="https://jade.io/article/218327/section/12132" TargetMode="External"/><Relationship Id="rId38" Type="http://schemas.openxmlformats.org/officeDocument/2006/relationships/hyperlink" Target="https://jade.io/article/218757/section/82" TargetMode="External"/><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jade.io/article/218327/section/3261" TargetMode="External"/><Relationship Id="rId29" Type="http://schemas.openxmlformats.org/officeDocument/2006/relationships/hyperlink" Target="http://classic.austlii.edu.au/cgi-bin/LawCite?cit=%5b1975%5d%20VR%20345?stem=0&amp;synonyms=0&amp;query=title(Commissioner%20of%20Police%20near%20Mohamed)" TargetMode="External"/><Relationship Id="rId41" Type="http://schemas.openxmlformats.org/officeDocument/2006/relationships/hyperlink" Target="https://jade.io/article/218327/section/1213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jade.io/article/218327/section/3261" TargetMode="External"/><Relationship Id="rId32" Type="http://schemas.openxmlformats.org/officeDocument/2006/relationships/hyperlink" Target="https://jade.io/article/264980" TargetMode="External"/><Relationship Id="rId37" Type="http://schemas.openxmlformats.org/officeDocument/2006/relationships/hyperlink" Target="https://jade.io/article/218757" TargetMode="External"/><Relationship Id="rId40" Type="http://schemas.openxmlformats.org/officeDocument/2006/relationships/hyperlink" Target="https://jade.io/article/218757" TargetMode="External"/><Relationship Id="rId45"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jade.io/article/218327/section/3261" TargetMode="External"/><Relationship Id="rId28" Type="http://schemas.openxmlformats.org/officeDocument/2006/relationships/hyperlink" Target="https://jade.io/article/218757" TargetMode="External"/><Relationship Id="rId36" Type="http://schemas.openxmlformats.org/officeDocument/2006/relationships/hyperlink" Target="https://jade.io/article/401358/section/140185"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jade.io/article/260718/section/140176" TargetMode="External"/><Relationship Id="rId31" Type="http://schemas.openxmlformats.org/officeDocument/2006/relationships/hyperlink" Target="https://jade.io/article/67949"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jade.io/article/260718" TargetMode="External"/><Relationship Id="rId27" Type="http://schemas.openxmlformats.org/officeDocument/2006/relationships/hyperlink" Target="https://jade.io/article/218757/section/294473" TargetMode="External"/><Relationship Id="rId30" Type="http://schemas.openxmlformats.org/officeDocument/2006/relationships/hyperlink" Target="https://jade.io/citation/4754657" TargetMode="External"/><Relationship Id="rId35" Type="http://schemas.openxmlformats.org/officeDocument/2006/relationships/hyperlink" Target="https://jade.io/article/218757" TargetMode="External"/><Relationship Id="rId43" Type="http://schemas.openxmlformats.org/officeDocument/2006/relationships/hyperlink" Target="https://jade.io/article/218327/section/3261" TargetMode="External"/><Relationship Id="rId48" Type="http://schemas.openxmlformats.org/officeDocument/2006/relationships/footer" Target="footer5.xml"/><Relationship Id="rId8" Type="http://schemas.openxmlformats.org/officeDocument/2006/relationships/settings" Target="setting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murad\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8B15EF37354FD08042BDF8E83C55B8"/>
        <w:category>
          <w:name w:val="General"/>
          <w:gallery w:val="placeholder"/>
        </w:category>
        <w:types>
          <w:type w:val="bbPlcHdr"/>
        </w:types>
        <w:behaviors>
          <w:behavior w:val="content"/>
        </w:behaviors>
        <w:guid w:val="{6C688D3B-BF88-4684-A419-5C5C2F5C9ED0}"/>
      </w:docPartPr>
      <w:docPartBody>
        <w:p w:rsidR="006D6762" w:rsidRDefault="006D6762">
          <w:pPr>
            <w:pStyle w:val="698B15EF37354FD08042BDF8E83C55B8"/>
          </w:pPr>
          <w:r>
            <w:rPr>
              <w:rStyle w:val="PlaceholderText"/>
            </w:rPr>
            <w:t>MNC Text</w:t>
          </w:r>
        </w:p>
      </w:docPartBody>
    </w:docPart>
    <w:docPart>
      <w:docPartPr>
        <w:name w:val="CC50A550741B4D519EF34DF80B18198D"/>
        <w:category>
          <w:name w:val="General"/>
          <w:gallery w:val="placeholder"/>
        </w:category>
        <w:types>
          <w:type w:val="bbPlcHdr"/>
        </w:types>
        <w:behaviors>
          <w:behavior w:val="content"/>
        </w:behaviors>
        <w:guid w:val="{3E898BDC-89E8-4144-9CAC-5E205208E32F}"/>
      </w:docPartPr>
      <w:docPartBody>
        <w:p w:rsidR="006D6762" w:rsidRDefault="006D6762">
          <w:pPr>
            <w:pStyle w:val="CC50A550741B4D519EF34DF80B18198D"/>
          </w:pPr>
          <w:r w:rsidRPr="005C44BE">
            <w:rPr>
              <w:rStyle w:val="PlaceholderText"/>
            </w:rPr>
            <w:t>Click or tap here to enter text.</w:t>
          </w:r>
        </w:p>
      </w:docPartBody>
    </w:docPart>
    <w:docPart>
      <w:docPartPr>
        <w:name w:val="1310A6A217694F729D24058207BF9664"/>
        <w:category>
          <w:name w:val="General"/>
          <w:gallery w:val="placeholder"/>
        </w:category>
        <w:types>
          <w:type w:val="bbPlcHdr"/>
        </w:types>
        <w:behaviors>
          <w:behavior w:val="content"/>
        </w:behaviors>
        <w:guid w:val="{891BF3CC-0B96-44D4-9C0B-432DE6C8AB33}"/>
      </w:docPartPr>
      <w:docPartBody>
        <w:p w:rsidR="006D6762" w:rsidRDefault="006D6762">
          <w:pPr>
            <w:pStyle w:val="1310A6A217694F729D24058207BF9664"/>
          </w:pPr>
          <w:r w:rsidRPr="005C44BE">
            <w:rPr>
              <w:rStyle w:val="PlaceholderText"/>
            </w:rPr>
            <w:t>Click or tap here to enter text.</w:t>
          </w:r>
        </w:p>
      </w:docPartBody>
    </w:docPart>
    <w:docPart>
      <w:docPartPr>
        <w:name w:val="4D5DBF5470A94F99B7881DFA697444DE"/>
        <w:category>
          <w:name w:val="General"/>
          <w:gallery w:val="placeholder"/>
        </w:category>
        <w:types>
          <w:type w:val="bbPlcHdr"/>
        </w:types>
        <w:behaviors>
          <w:behavior w:val="content"/>
        </w:behaviors>
        <w:guid w:val="{D916F048-4C00-4A9C-846D-74456FDAA9AF}"/>
      </w:docPartPr>
      <w:docPartBody>
        <w:p w:rsidR="006D6762" w:rsidRDefault="006D6762">
          <w:pPr>
            <w:pStyle w:val="4D5DBF5470A94F99B7881DFA697444DE"/>
          </w:pPr>
          <w:r w:rsidRPr="005C44BE">
            <w:rPr>
              <w:rStyle w:val="PlaceholderText"/>
            </w:rPr>
            <w:t>Click or tap here to enter text.</w:t>
          </w:r>
        </w:p>
      </w:docPartBody>
    </w:docPart>
    <w:docPart>
      <w:docPartPr>
        <w:name w:val="5D0309D90DF64E94B46D1A6D34C405E8"/>
        <w:category>
          <w:name w:val="General"/>
          <w:gallery w:val="placeholder"/>
        </w:category>
        <w:types>
          <w:type w:val="bbPlcHdr"/>
        </w:types>
        <w:behaviors>
          <w:behavior w:val="content"/>
        </w:behaviors>
        <w:guid w:val="{D013D444-599B-4316-90E3-46DFAE22D601}"/>
      </w:docPartPr>
      <w:docPartBody>
        <w:p w:rsidR="006D6762" w:rsidRDefault="006D6762">
          <w:pPr>
            <w:pStyle w:val="5D0309D90DF64E94B46D1A6D34C405E8"/>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Italic">
    <w:altName w:val="Times New Roman"/>
    <w:charset w:val="00"/>
    <w:family w:val="auto"/>
    <w:pitch w:val="variable"/>
    <w:sig w:usb0="E00002FF" w:usb1="5000205A" w:usb2="00000000" w:usb3="00000000" w:csb0="0000019F" w:csb1="00000000"/>
  </w:font>
  <w:font w:name="Times-Roman">
    <w:altName w:val="Times New Roman"/>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762"/>
    <w:rsid w:val="000156CC"/>
    <w:rsid w:val="00093EA0"/>
    <w:rsid w:val="002B39F3"/>
    <w:rsid w:val="003105C3"/>
    <w:rsid w:val="003F308D"/>
    <w:rsid w:val="004F7774"/>
    <w:rsid w:val="0062571F"/>
    <w:rsid w:val="006D6762"/>
    <w:rsid w:val="006F3D64"/>
    <w:rsid w:val="00770BD3"/>
    <w:rsid w:val="009036E3"/>
    <w:rsid w:val="009970EF"/>
    <w:rsid w:val="00A3571B"/>
    <w:rsid w:val="00B31E62"/>
    <w:rsid w:val="00BF77EE"/>
    <w:rsid w:val="00CC318C"/>
    <w:rsid w:val="00D56E65"/>
    <w:rsid w:val="00D96E81"/>
    <w:rsid w:val="00E53000"/>
    <w:rsid w:val="00E668F6"/>
    <w:rsid w:val="00F7786F"/>
    <w:rsid w:val="00FD5FC9"/>
    <w:rsid w:val="00FE79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98B15EF37354FD08042BDF8E83C55B8">
    <w:name w:val="698B15EF37354FD08042BDF8E83C55B8"/>
  </w:style>
  <w:style w:type="paragraph" w:customStyle="1" w:styleId="CC50A550741B4D519EF34DF80B18198D">
    <w:name w:val="CC50A550741B4D519EF34DF80B18198D"/>
  </w:style>
  <w:style w:type="paragraph" w:customStyle="1" w:styleId="1310A6A217694F729D24058207BF9664">
    <w:name w:val="1310A6A217694F729D24058207BF9664"/>
  </w:style>
  <w:style w:type="paragraph" w:customStyle="1" w:styleId="4D5DBF5470A94F99B7881DFA697444DE">
    <w:name w:val="4D5DBF5470A94F99B7881DFA697444DE"/>
  </w:style>
  <w:style w:type="paragraph" w:customStyle="1" w:styleId="5D0309D90DF64E94B46D1A6D34C405E8">
    <w:name w:val="5D0309D90DF64E94B46D1A6D34C405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E6E21F7A5ED04387901D30F649857B" ma:contentTypeVersion="13" ma:contentTypeDescription="Create a new document." ma:contentTypeScope="" ma:versionID="fe4d990cdb6a22ce25ac27d52cc2b9cb">
  <xsd:schema xmlns:xsd="http://www.w3.org/2001/XMLSchema" xmlns:xs="http://www.w3.org/2001/XMLSchema" xmlns:p="http://schemas.microsoft.com/office/2006/metadata/properties" xmlns:ns3="519779f5-9e34-4ce5-8a32-cbb046083036" xmlns:ns4="c64b8e9e-2d96-4cce-a0c5-07c21b0901cc" targetNamespace="http://schemas.microsoft.com/office/2006/metadata/properties" ma:root="true" ma:fieldsID="a4b50a38dceea61a2f80d42e952480d8" ns3:_="" ns4:_="">
    <xsd:import namespace="519779f5-9e34-4ce5-8a32-cbb046083036"/>
    <xsd:import namespace="c64b8e9e-2d96-4cce-a0c5-07c21b0901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779f5-9e34-4ce5-8a32-cbb0460830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4b8e9e-2d96-4cce-a0c5-07c21b0901c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root xmlns="http://schemas.globalmacros.com/FCA">
  <Name> Luck v Secretary of Services Australia [2022] FCAFC 195 </Name>
</roo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5D9AB-E306-4A08-A122-ED0C5258E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779f5-9e34-4ce5-8a32-cbb046083036"/>
    <ds:schemaRef ds:uri="c64b8e9e-2d96-4cce-a0c5-07c21b090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5FBA53-779B-4F24-8939-9D51C1B04772}">
  <ds:schemaRefs>
    <ds:schemaRef ds:uri="http://purl.org/dc/elements/1.1/"/>
    <ds:schemaRef ds:uri="http://purl.org/dc/dcmitype/"/>
    <ds:schemaRef ds:uri="519779f5-9e34-4ce5-8a32-cbb046083036"/>
    <ds:schemaRef ds:uri="c64b8e9e-2d96-4cce-a0c5-07c21b0901cc"/>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87E7CCB-4AA5-44E7-B148-17BA2B6F57C0}">
  <ds:schemaRefs>
    <ds:schemaRef ds:uri="http://schemas.globalmacros.com/FCA"/>
  </ds:schemaRefs>
</ds:datastoreItem>
</file>

<file path=customXml/itemProps4.xml><?xml version="1.0" encoding="utf-8"?>
<ds:datastoreItem xmlns:ds="http://schemas.openxmlformats.org/officeDocument/2006/customXml" ds:itemID="{71DFC0D5-DA87-428F-865F-9BEA8B82EC8B}">
  <ds:schemaRefs>
    <ds:schemaRef ds:uri="http://schemas.microsoft.com/sharepoint/v3/contenttype/forms"/>
  </ds:schemaRefs>
</ds:datastoreItem>
</file>

<file path=customXml/itemProps5.xml><?xml version="1.0" encoding="utf-8"?>
<ds:datastoreItem xmlns:ds="http://schemas.openxmlformats.org/officeDocument/2006/customXml" ds:itemID="{1C143D7F-E2A7-473D-B9C4-2AB8468D1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28</Pages>
  <Words>11268</Words>
  <Characters>57012</Characters>
  <Application>Microsoft Office Word</Application>
  <DocSecurity>0</DocSecurity>
  <PresentationFormat/>
  <Lines>1096</Lines>
  <Paragraphs>365</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Luck v Secretary of Services Australia [2022] FCAFC 195</vt:lpstr>
    </vt:vector>
  </TitlesOfParts>
  <Manager/>
  <Company/>
  <LinksUpToDate>false</LinksUpToDate>
  <CharactersWithSpaces>67915</CharactersWithSpaces>
  <SharedDoc>false</SharedDoc>
  <HyperlinkBase/>
  <HLinks>
    <vt:vector size="6" baseType="variant">
      <vt:variant>
        <vt:i4>3604534</vt:i4>
      </vt:variant>
      <vt:variant>
        <vt:i4>21</vt:i4>
      </vt:variant>
      <vt:variant>
        <vt:i4>0</vt:i4>
      </vt:variant>
      <vt:variant>
        <vt:i4>5</vt:i4>
      </vt:variant>
      <vt:variant>
        <vt:lpwstr>http://classic.austlii.edu.au/cgi-bin/LawCite?cit=%5b1975%5d%20VR%20345?stem=0&amp;synonyms=0&amp;query=title(Commissioner%20of%20Police%20near%20Mohamed)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2022-12-02T04:57:00Z</cp:lastPrinted>
  <dcterms:created xsi:type="dcterms:W3CDTF">2022-12-05T00:53:00Z</dcterms:created>
  <dcterms:modified xsi:type="dcterms:W3CDTF">2022-12-05T00:55:00Z</dcterms:modified>
  <cp:category/>
  <cp:contentStatus/>
  <dc:language/>
  <cp:version/>
</cp:coreProperties>
</file>