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415D" w14:textId="77777777" w:rsidR="00395B24" w:rsidRPr="0047414B" w:rsidRDefault="003471CE" w:rsidP="00A22932">
      <w:pPr>
        <w:pStyle w:val="CourtTitle"/>
      </w:pPr>
      <w:r>
        <w:fldChar w:fldCharType="begin"/>
      </w:r>
      <w:r>
        <w:instrText xml:space="preserve"> DOCPROPERTY  Court  \* MERGEFORMAT </w:instrText>
      </w:r>
      <w:r>
        <w:fldChar w:fldCharType="separate"/>
      </w:r>
      <w:r w:rsidR="00FC5367" w:rsidRPr="0047414B">
        <w:t>Federal Court of Australia</w:t>
      </w:r>
      <w:r>
        <w:fldChar w:fldCharType="end"/>
      </w:r>
    </w:p>
    <w:p w14:paraId="172A6308" w14:textId="77777777" w:rsidR="004D7950" w:rsidRPr="0047414B" w:rsidRDefault="004D7950">
      <w:pPr>
        <w:pStyle w:val="NormalHeadings"/>
        <w:jc w:val="center"/>
        <w:rPr>
          <w:sz w:val="32"/>
        </w:rPr>
      </w:pPr>
    </w:p>
    <w:bookmarkStart w:id="0" w:name="MNC"/>
    <w:p w14:paraId="5025E001" w14:textId="67DE77C9" w:rsidR="00374CC4" w:rsidRPr="0047414B" w:rsidRDefault="00DF7053" w:rsidP="001A2B40">
      <w:pPr>
        <w:pStyle w:val="MNC"/>
      </w:pPr>
      <w:sdt>
        <w:sdtPr>
          <w:alias w:val="MNC"/>
          <w:tag w:val="MNC"/>
          <w:id w:val="343289786"/>
          <w:lock w:val="sdtLocked"/>
          <w:placeholder>
            <w:docPart w:val="0C2917A7DE234E35B2C6E49E49CCA056"/>
          </w:placeholder>
          <w:dataBinding w:prefixMappings="xmlns:ns0='http://schemas.globalmacros.com/FCA'" w:xpath="/ns0:root[1]/ns0:Name[1]" w:storeItemID="{687E7CCB-4AA5-44E7-B148-17BA2B6F57C0}"/>
          <w:text w:multiLine="1"/>
        </w:sdtPr>
        <w:sdtEndPr/>
        <w:sdtContent>
          <w:r w:rsidR="00674E40" w:rsidRPr="00674E40">
            <w:t xml:space="preserve">Hedges v Commissioner of Taxation [2023] FCAFC 105 </w:t>
          </w:r>
        </w:sdtContent>
      </w:sdt>
      <w:bookmarkEnd w:id="0"/>
    </w:p>
    <w:tbl>
      <w:tblPr>
        <w:tblW w:w="9038" w:type="dxa"/>
        <w:tblLayout w:type="fixed"/>
        <w:tblLook w:val="01E0" w:firstRow="1" w:lastRow="1" w:firstColumn="1" w:lastColumn="1" w:noHBand="0" w:noVBand="0"/>
        <w:tblCaption w:val="Cover Table"/>
        <w:tblDescription w:val="Cover Table"/>
      </w:tblPr>
      <w:tblGrid>
        <w:gridCol w:w="3084"/>
        <w:gridCol w:w="5954"/>
      </w:tblGrid>
      <w:tr w:rsidR="0047414B" w:rsidRPr="0047414B" w14:paraId="7F14159C" w14:textId="77777777" w:rsidTr="00663878">
        <w:tc>
          <w:tcPr>
            <w:tcW w:w="3084" w:type="dxa"/>
            <w:shd w:val="clear" w:color="auto" w:fill="auto"/>
          </w:tcPr>
          <w:p w14:paraId="580F65BF" w14:textId="77777777" w:rsidR="00FC5367" w:rsidRPr="0047414B" w:rsidRDefault="00FC5367" w:rsidP="002539B3">
            <w:pPr>
              <w:pStyle w:val="Normal1linespace"/>
              <w:widowControl w:val="0"/>
              <w:spacing w:after="60"/>
              <w:jc w:val="left"/>
            </w:pPr>
            <w:bookmarkStart w:id="1" w:name="AppealFrom_row" w:colFirst="0" w:colLast="1"/>
            <w:r w:rsidRPr="0047414B">
              <w:t>Appeal from:</w:t>
            </w:r>
          </w:p>
        </w:tc>
        <w:tc>
          <w:tcPr>
            <w:tcW w:w="5954" w:type="dxa"/>
            <w:shd w:val="clear" w:color="auto" w:fill="auto"/>
          </w:tcPr>
          <w:p w14:paraId="61BF32FE" w14:textId="77777777" w:rsidR="00FC5367" w:rsidRPr="0047414B" w:rsidRDefault="00DF7053" w:rsidP="002539B3">
            <w:pPr>
              <w:pStyle w:val="CasesLegislationAppealFrom"/>
              <w:spacing w:after="60"/>
            </w:pPr>
            <w:r>
              <w:fldChar w:fldCharType="begin"/>
            </w:r>
            <w:r>
              <w:instrText xml:space="preserve"> DOCPROPERTY  AppealFrom  \* MERGEFORMAT </w:instrText>
            </w:r>
            <w:r>
              <w:fldChar w:fldCharType="separate"/>
            </w:r>
            <w:r w:rsidR="00FC5367" w:rsidRPr="002D6615">
              <w:rPr>
                <w:i/>
              </w:rPr>
              <w:t>Hedges v Commissioner of Taxation</w:t>
            </w:r>
            <w:r w:rsidR="00FC5367" w:rsidRPr="0047414B">
              <w:t xml:space="preserve"> [2022] FCA 1389</w:t>
            </w:r>
            <w:r>
              <w:fldChar w:fldCharType="end"/>
            </w:r>
          </w:p>
        </w:tc>
      </w:tr>
      <w:tr w:rsidR="0047414B" w:rsidRPr="0047414B" w14:paraId="332B4BF7" w14:textId="77777777" w:rsidTr="00663878">
        <w:tc>
          <w:tcPr>
            <w:tcW w:w="3084" w:type="dxa"/>
            <w:shd w:val="clear" w:color="auto" w:fill="auto"/>
          </w:tcPr>
          <w:p w14:paraId="408DEB9F" w14:textId="77777777" w:rsidR="00FC5367" w:rsidRPr="0047414B" w:rsidRDefault="00FC5367" w:rsidP="00663878">
            <w:pPr>
              <w:pStyle w:val="Normal1linespace"/>
              <w:widowControl w:val="0"/>
              <w:jc w:val="left"/>
            </w:pPr>
          </w:p>
        </w:tc>
        <w:tc>
          <w:tcPr>
            <w:tcW w:w="5954" w:type="dxa"/>
            <w:shd w:val="clear" w:color="auto" w:fill="auto"/>
          </w:tcPr>
          <w:p w14:paraId="1F95069C" w14:textId="77777777" w:rsidR="00FC5367" w:rsidRPr="0047414B" w:rsidRDefault="00FC5367" w:rsidP="00663878">
            <w:pPr>
              <w:pStyle w:val="Normal1linespace"/>
              <w:widowControl w:val="0"/>
              <w:jc w:val="left"/>
            </w:pPr>
          </w:p>
        </w:tc>
      </w:tr>
      <w:bookmarkEnd w:id="1"/>
      <w:tr w:rsidR="0047414B" w:rsidRPr="0047414B" w14:paraId="1F1240E8" w14:textId="77777777" w:rsidTr="00663878">
        <w:tc>
          <w:tcPr>
            <w:tcW w:w="3084" w:type="dxa"/>
            <w:shd w:val="clear" w:color="auto" w:fill="auto"/>
          </w:tcPr>
          <w:p w14:paraId="1F0E0C8A" w14:textId="77777777" w:rsidR="00395B24" w:rsidRPr="0047414B" w:rsidRDefault="002C7385" w:rsidP="00663878">
            <w:pPr>
              <w:pStyle w:val="Normal1linespace"/>
              <w:widowControl w:val="0"/>
              <w:jc w:val="left"/>
            </w:pPr>
            <w:r w:rsidRPr="0047414B">
              <w:t>File number(s):</w:t>
            </w:r>
          </w:p>
        </w:tc>
        <w:tc>
          <w:tcPr>
            <w:tcW w:w="5954" w:type="dxa"/>
            <w:shd w:val="clear" w:color="auto" w:fill="auto"/>
          </w:tcPr>
          <w:p w14:paraId="7903BA62" w14:textId="5D91ECE2" w:rsidR="00395B24" w:rsidRPr="0047414B" w:rsidRDefault="00DF7053" w:rsidP="00FC5367">
            <w:pPr>
              <w:pStyle w:val="Normal1linespace"/>
              <w:jc w:val="left"/>
            </w:pPr>
            <w:r>
              <w:fldChar w:fldCharType="begin" w:fldLock="1"/>
            </w:r>
            <w:r>
              <w:instrText xml:space="preserve"> REF  FileNo  \* MERGEFORMAT </w:instrText>
            </w:r>
            <w:r>
              <w:fldChar w:fldCharType="separate"/>
            </w:r>
            <w:r w:rsidR="00FC5367" w:rsidRPr="0047414B">
              <w:t>NSD 1</w:t>
            </w:r>
            <w:r w:rsidR="00397381" w:rsidRPr="0047414B">
              <w:t>0</w:t>
            </w:r>
            <w:r w:rsidR="00FC5367" w:rsidRPr="0047414B">
              <w:t>94 of 2022</w:t>
            </w:r>
            <w:r>
              <w:fldChar w:fldCharType="end"/>
            </w:r>
          </w:p>
        </w:tc>
      </w:tr>
      <w:tr w:rsidR="0047414B" w:rsidRPr="0047414B" w14:paraId="606E1C14" w14:textId="77777777" w:rsidTr="00663878">
        <w:tc>
          <w:tcPr>
            <w:tcW w:w="3084" w:type="dxa"/>
            <w:shd w:val="clear" w:color="auto" w:fill="auto"/>
          </w:tcPr>
          <w:p w14:paraId="1A50CF23" w14:textId="77777777" w:rsidR="00395B24" w:rsidRPr="0047414B" w:rsidRDefault="00395B24" w:rsidP="00663878">
            <w:pPr>
              <w:pStyle w:val="Normal1linespace"/>
              <w:widowControl w:val="0"/>
              <w:jc w:val="left"/>
            </w:pPr>
          </w:p>
        </w:tc>
        <w:tc>
          <w:tcPr>
            <w:tcW w:w="5954" w:type="dxa"/>
            <w:shd w:val="clear" w:color="auto" w:fill="auto"/>
          </w:tcPr>
          <w:p w14:paraId="292736CD" w14:textId="77777777" w:rsidR="00395B24" w:rsidRPr="0047414B" w:rsidRDefault="00395B24" w:rsidP="00663878">
            <w:pPr>
              <w:pStyle w:val="Normal1linespace"/>
              <w:widowControl w:val="0"/>
              <w:jc w:val="left"/>
            </w:pPr>
          </w:p>
        </w:tc>
      </w:tr>
      <w:tr w:rsidR="0047414B" w:rsidRPr="0047414B" w14:paraId="6586167D" w14:textId="77777777" w:rsidTr="00663878">
        <w:tc>
          <w:tcPr>
            <w:tcW w:w="3084" w:type="dxa"/>
            <w:shd w:val="clear" w:color="auto" w:fill="auto"/>
          </w:tcPr>
          <w:p w14:paraId="7B3821A6" w14:textId="77777777" w:rsidR="00395B24" w:rsidRPr="0047414B" w:rsidRDefault="002C7385" w:rsidP="00663878">
            <w:pPr>
              <w:pStyle w:val="Normal1linespace"/>
              <w:widowControl w:val="0"/>
              <w:jc w:val="left"/>
            </w:pPr>
            <w:r w:rsidRPr="0047414B">
              <w:t>Judg</w:t>
            </w:r>
            <w:r w:rsidR="005724F6" w:rsidRPr="0047414B">
              <w:t>ment of</w:t>
            </w:r>
            <w:r w:rsidRPr="0047414B">
              <w:t>:</w:t>
            </w:r>
          </w:p>
        </w:tc>
        <w:tc>
          <w:tcPr>
            <w:tcW w:w="5954" w:type="dxa"/>
            <w:shd w:val="clear" w:color="auto" w:fill="auto"/>
          </w:tcPr>
          <w:p w14:paraId="336FDD35" w14:textId="278D0461" w:rsidR="00395B24" w:rsidRPr="0047414B" w:rsidRDefault="002C7385" w:rsidP="00663878">
            <w:pPr>
              <w:pStyle w:val="Normal1linespace"/>
              <w:widowControl w:val="0"/>
              <w:jc w:val="left"/>
              <w:rPr>
                <w:b/>
              </w:rPr>
            </w:pPr>
            <w:r w:rsidRPr="0047414B">
              <w:rPr>
                <w:b/>
              </w:rPr>
              <w:fldChar w:fldCharType="begin" w:fldLock="1"/>
            </w:r>
            <w:r w:rsidRPr="0047414B">
              <w:rPr>
                <w:b/>
              </w:rPr>
              <w:instrText xml:space="preserve"> REF  Judge  \* MERGEFORMAT </w:instrText>
            </w:r>
            <w:r w:rsidRPr="0047414B">
              <w:rPr>
                <w:b/>
              </w:rPr>
              <w:fldChar w:fldCharType="separate"/>
            </w:r>
            <w:r w:rsidR="002D6615">
              <w:rPr>
                <w:b/>
                <w:caps/>
                <w:szCs w:val="24"/>
              </w:rPr>
              <w:t xml:space="preserve">LOGAN, GOODMAN AND </w:t>
            </w:r>
            <w:r w:rsidR="00FC5367" w:rsidRPr="0047414B">
              <w:rPr>
                <w:b/>
                <w:caps/>
                <w:szCs w:val="24"/>
              </w:rPr>
              <w:t>HESPE JJ</w:t>
            </w:r>
            <w:r w:rsidRPr="0047414B">
              <w:rPr>
                <w:b/>
              </w:rPr>
              <w:fldChar w:fldCharType="end"/>
            </w:r>
          </w:p>
        </w:tc>
      </w:tr>
      <w:tr w:rsidR="0047414B" w:rsidRPr="0047414B" w14:paraId="2AD0668F" w14:textId="77777777" w:rsidTr="00663878">
        <w:tc>
          <w:tcPr>
            <w:tcW w:w="3084" w:type="dxa"/>
            <w:shd w:val="clear" w:color="auto" w:fill="auto"/>
          </w:tcPr>
          <w:p w14:paraId="6419AA40" w14:textId="77777777" w:rsidR="00395B24" w:rsidRPr="0047414B" w:rsidRDefault="00395B24" w:rsidP="00663878">
            <w:pPr>
              <w:pStyle w:val="Normal1linespace"/>
              <w:widowControl w:val="0"/>
              <w:jc w:val="left"/>
            </w:pPr>
          </w:p>
        </w:tc>
        <w:tc>
          <w:tcPr>
            <w:tcW w:w="5954" w:type="dxa"/>
            <w:shd w:val="clear" w:color="auto" w:fill="auto"/>
          </w:tcPr>
          <w:p w14:paraId="47A54838" w14:textId="77777777" w:rsidR="00395B24" w:rsidRPr="0047414B" w:rsidRDefault="00395B24" w:rsidP="00663878">
            <w:pPr>
              <w:pStyle w:val="Normal1linespace"/>
              <w:widowControl w:val="0"/>
              <w:jc w:val="left"/>
            </w:pPr>
          </w:p>
        </w:tc>
      </w:tr>
      <w:tr w:rsidR="0047414B" w:rsidRPr="0047414B" w14:paraId="794E8387" w14:textId="77777777" w:rsidTr="00663878">
        <w:tc>
          <w:tcPr>
            <w:tcW w:w="3084" w:type="dxa"/>
            <w:shd w:val="clear" w:color="auto" w:fill="auto"/>
          </w:tcPr>
          <w:p w14:paraId="17FB4A1A" w14:textId="77777777" w:rsidR="00395B24" w:rsidRPr="0047414B" w:rsidRDefault="002C7385" w:rsidP="00663878">
            <w:pPr>
              <w:pStyle w:val="Normal1linespace"/>
              <w:widowControl w:val="0"/>
              <w:jc w:val="left"/>
            </w:pPr>
            <w:r w:rsidRPr="0047414B">
              <w:t>Date of judgment:</w:t>
            </w:r>
          </w:p>
        </w:tc>
        <w:tc>
          <w:tcPr>
            <w:tcW w:w="5954" w:type="dxa"/>
            <w:shd w:val="clear" w:color="auto" w:fill="auto"/>
          </w:tcPr>
          <w:p w14:paraId="1E568C3B" w14:textId="14050883" w:rsidR="00395B24" w:rsidRPr="0047414B" w:rsidRDefault="0083698B" w:rsidP="00663878">
            <w:pPr>
              <w:pStyle w:val="Normal1linespace"/>
              <w:widowControl w:val="0"/>
              <w:jc w:val="left"/>
            </w:pPr>
            <w:r>
              <w:t>12 July 2023</w:t>
            </w:r>
          </w:p>
        </w:tc>
      </w:tr>
      <w:tr w:rsidR="0047414B" w:rsidRPr="0047414B" w14:paraId="1F05F39C" w14:textId="77777777" w:rsidTr="00663878">
        <w:tc>
          <w:tcPr>
            <w:tcW w:w="3084" w:type="dxa"/>
            <w:shd w:val="clear" w:color="auto" w:fill="auto"/>
          </w:tcPr>
          <w:p w14:paraId="5418D8EA" w14:textId="77777777" w:rsidR="00395B24" w:rsidRPr="0047414B" w:rsidRDefault="00395B24" w:rsidP="00663878">
            <w:pPr>
              <w:pStyle w:val="Normal1linespace"/>
              <w:widowControl w:val="0"/>
              <w:jc w:val="left"/>
            </w:pPr>
          </w:p>
        </w:tc>
        <w:tc>
          <w:tcPr>
            <w:tcW w:w="5954" w:type="dxa"/>
            <w:shd w:val="clear" w:color="auto" w:fill="auto"/>
          </w:tcPr>
          <w:p w14:paraId="5846610C" w14:textId="77777777" w:rsidR="00395B24" w:rsidRPr="0047414B" w:rsidRDefault="00395B24" w:rsidP="00663878">
            <w:pPr>
              <w:pStyle w:val="Normal1linespace"/>
              <w:widowControl w:val="0"/>
              <w:jc w:val="left"/>
            </w:pPr>
          </w:p>
        </w:tc>
      </w:tr>
      <w:tr w:rsidR="0047414B" w:rsidRPr="0047414B" w14:paraId="041C2002" w14:textId="77777777" w:rsidTr="00663878">
        <w:tc>
          <w:tcPr>
            <w:tcW w:w="3084" w:type="dxa"/>
            <w:shd w:val="clear" w:color="auto" w:fill="auto"/>
          </w:tcPr>
          <w:p w14:paraId="425F70E1" w14:textId="77777777" w:rsidR="00395B24" w:rsidRPr="0047414B" w:rsidRDefault="002C7385" w:rsidP="00663878">
            <w:pPr>
              <w:pStyle w:val="Normal1linespace"/>
              <w:widowControl w:val="0"/>
              <w:jc w:val="left"/>
            </w:pPr>
            <w:r w:rsidRPr="0047414B">
              <w:t>Catchwords:</w:t>
            </w:r>
          </w:p>
        </w:tc>
        <w:tc>
          <w:tcPr>
            <w:tcW w:w="5954" w:type="dxa"/>
            <w:shd w:val="clear" w:color="auto" w:fill="auto"/>
          </w:tcPr>
          <w:p w14:paraId="627A2CF8" w14:textId="4560D414" w:rsidR="00395B24" w:rsidRPr="0047414B" w:rsidRDefault="009144E9" w:rsidP="009507CD">
            <w:pPr>
              <w:pStyle w:val="Normal1linespace"/>
              <w:widowControl w:val="0"/>
              <w:jc w:val="left"/>
            </w:pPr>
            <w:r w:rsidRPr="0047414B">
              <w:rPr>
                <w:b/>
              </w:rPr>
              <w:t>TAXATION</w:t>
            </w:r>
            <w:r w:rsidRPr="0047414B">
              <w:t xml:space="preserve"> –</w:t>
            </w:r>
            <w:r w:rsidR="00B02FEC" w:rsidRPr="0047414B">
              <w:t xml:space="preserve"> </w:t>
            </w:r>
            <w:r w:rsidR="00435337" w:rsidRPr="0047414B">
              <w:t xml:space="preserve">appeal from decision of primary judge dismissing </w:t>
            </w:r>
            <w:r w:rsidR="009507CD" w:rsidRPr="0047414B">
              <w:t>appeal from</w:t>
            </w:r>
            <w:r w:rsidR="00435337" w:rsidRPr="0047414B">
              <w:t xml:space="preserve"> decision of Administrative Appeals Tribunal – where taxpayer is retired partner of a law firm – whether appellant was entitled to receive capital proceeds from disposal of interest in goodwill of partnership </w:t>
            </w:r>
            <w:r w:rsidR="002D623E" w:rsidRPr="0047414B">
              <w:t>– whether appellant made a capital gain</w:t>
            </w:r>
          </w:p>
        </w:tc>
      </w:tr>
      <w:tr w:rsidR="0047414B" w:rsidRPr="0047414B" w14:paraId="743F0A0D" w14:textId="77777777" w:rsidTr="00663878">
        <w:tc>
          <w:tcPr>
            <w:tcW w:w="3084" w:type="dxa"/>
            <w:shd w:val="clear" w:color="auto" w:fill="auto"/>
          </w:tcPr>
          <w:p w14:paraId="46048E25" w14:textId="77777777" w:rsidR="00395B24" w:rsidRPr="0047414B" w:rsidRDefault="00395B24" w:rsidP="00663878">
            <w:pPr>
              <w:pStyle w:val="Normal1linespace"/>
              <w:widowControl w:val="0"/>
              <w:jc w:val="left"/>
            </w:pPr>
          </w:p>
        </w:tc>
        <w:tc>
          <w:tcPr>
            <w:tcW w:w="5954" w:type="dxa"/>
            <w:shd w:val="clear" w:color="auto" w:fill="auto"/>
          </w:tcPr>
          <w:p w14:paraId="37CDFBBB" w14:textId="77777777" w:rsidR="00395B24" w:rsidRPr="0047414B" w:rsidRDefault="00395B24" w:rsidP="00663878">
            <w:pPr>
              <w:pStyle w:val="Normal1linespace"/>
              <w:widowControl w:val="0"/>
              <w:jc w:val="left"/>
            </w:pPr>
          </w:p>
        </w:tc>
      </w:tr>
      <w:tr w:rsidR="0047414B" w:rsidRPr="0047414B" w14:paraId="04605891" w14:textId="77777777" w:rsidTr="00663878">
        <w:tc>
          <w:tcPr>
            <w:tcW w:w="3084" w:type="dxa"/>
            <w:shd w:val="clear" w:color="auto" w:fill="auto"/>
          </w:tcPr>
          <w:p w14:paraId="31717BC0" w14:textId="77777777" w:rsidR="00395B24" w:rsidRPr="0047414B" w:rsidRDefault="002C7385" w:rsidP="00663878">
            <w:pPr>
              <w:pStyle w:val="Normal1linespace"/>
              <w:widowControl w:val="0"/>
              <w:jc w:val="left"/>
            </w:pPr>
            <w:r w:rsidRPr="0047414B">
              <w:t>Legislation:</w:t>
            </w:r>
          </w:p>
        </w:tc>
        <w:tc>
          <w:tcPr>
            <w:tcW w:w="5954" w:type="dxa"/>
            <w:shd w:val="clear" w:color="auto" w:fill="auto"/>
          </w:tcPr>
          <w:p w14:paraId="7ED839EE" w14:textId="77777777" w:rsidR="008930DB" w:rsidRPr="0047414B" w:rsidRDefault="008930DB" w:rsidP="00B02FEC">
            <w:pPr>
              <w:pStyle w:val="CasesLegislationAppealFrom"/>
              <w:spacing w:after="60"/>
            </w:pPr>
            <w:bookmarkStart w:id="2" w:name="Legislation"/>
            <w:r w:rsidRPr="0047414B">
              <w:rPr>
                <w:i/>
              </w:rPr>
              <w:t xml:space="preserve">Income Tax Assessment Act 1936 </w:t>
            </w:r>
            <w:r w:rsidRPr="0047414B">
              <w:t>(</w:t>
            </w:r>
            <w:proofErr w:type="spellStart"/>
            <w:r w:rsidRPr="0047414B">
              <w:t>Cth</w:t>
            </w:r>
            <w:proofErr w:type="spellEnd"/>
            <w:r w:rsidRPr="0047414B">
              <w:t xml:space="preserve">) </w:t>
            </w:r>
          </w:p>
          <w:p w14:paraId="48335014" w14:textId="77777777" w:rsidR="008930DB" w:rsidRPr="0047414B" w:rsidRDefault="008930DB" w:rsidP="00B02FEC">
            <w:pPr>
              <w:pStyle w:val="CasesLegislationAppealFrom"/>
              <w:spacing w:after="60"/>
            </w:pPr>
            <w:r w:rsidRPr="0047414B">
              <w:rPr>
                <w:i/>
              </w:rPr>
              <w:t>Income Tax Assessment Act 1997</w:t>
            </w:r>
            <w:r w:rsidRPr="0047414B">
              <w:t xml:space="preserve"> (</w:t>
            </w:r>
            <w:proofErr w:type="spellStart"/>
            <w:r w:rsidRPr="0047414B">
              <w:t>Cth</w:t>
            </w:r>
            <w:proofErr w:type="spellEnd"/>
            <w:r w:rsidRPr="0047414B">
              <w:t>)</w:t>
            </w:r>
          </w:p>
          <w:p w14:paraId="7393E967" w14:textId="65FD4387" w:rsidR="008930DB" w:rsidRPr="0047414B" w:rsidRDefault="008930DB" w:rsidP="008930DB">
            <w:pPr>
              <w:pStyle w:val="CasesLegislationAppealFrom"/>
              <w:spacing w:after="60"/>
            </w:pPr>
            <w:r w:rsidRPr="0047414B">
              <w:rPr>
                <w:i/>
              </w:rPr>
              <w:t>Tax Law Improvement Act (No. 1) 1998</w:t>
            </w:r>
            <w:r w:rsidRPr="0047414B">
              <w:t xml:space="preserve"> (</w:t>
            </w:r>
            <w:proofErr w:type="spellStart"/>
            <w:r w:rsidRPr="0047414B">
              <w:t>Cth</w:t>
            </w:r>
            <w:proofErr w:type="spellEnd"/>
            <w:r w:rsidRPr="0047414B">
              <w:t>)</w:t>
            </w:r>
          </w:p>
          <w:p w14:paraId="69A5454C" w14:textId="1912A20C" w:rsidR="00395B24" w:rsidRPr="0047414B" w:rsidRDefault="008930DB" w:rsidP="00B02FEC">
            <w:pPr>
              <w:pStyle w:val="CasesLegislationAppealFrom"/>
              <w:spacing w:after="60"/>
            </w:pPr>
            <w:r w:rsidRPr="0047414B">
              <w:rPr>
                <w:i/>
              </w:rPr>
              <w:t>Taxation Laws Amendment Act 1991</w:t>
            </w:r>
            <w:bookmarkEnd w:id="2"/>
            <w:r w:rsidR="00B94CDC" w:rsidRPr="0047414B">
              <w:rPr>
                <w:i/>
              </w:rPr>
              <w:t xml:space="preserve"> </w:t>
            </w:r>
            <w:r w:rsidRPr="0047414B">
              <w:t>(</w:t>
            </w:r>
            <w:proofErr w:type="spellStart"/>
            <w:r w:rsidRPr="0047414B">
              <w:t>Cth</w:t>
            </w:r>
            <w:proofErr w:type="spellEnd"/>
            <w:r w:rsidRPr="0047414B">
              <w:t xml:space="preserve">) </w:t>
            </w:r>
          </w:p>
        </w:tc>
      </w:tr>
      <w:tr w:rsidR="0047414B" w:rsidRPr="0047414B" w14:paraId="735FE738" w14:textId="77777777" w:rsidTr="00663878">
        <w:tc>
          <w:tcPr>
            <w:tcW w:w="3084" w:type="dxa"/>
            <w:shd w:val="clear" w:color="auto" w:fill="auto"/>
          </w:tcPr>
          <w:p w14:paraId="7F3271FD" w14:textId="77777777" w:rsidR="00395B24" w:rsidRPr="0047414B" w:rsidRDefault="00395B24" w:rsidP="00663878">
            <w:pPr>
              <w:pStyle w:val="Normal1linespace"/>
              <w:widowControl w:val="0"/>
              <w:jc w:val="left"/>
            </w:pPr>
          </w:p>
        </w:tc>
        <w:tc>
          <w:tcPr>
            <w:tcW w:w="5954" w:type="dxa"/>
            <w:shd w:val="clear" w:color="auto" w:fill="auto"/>
          </w:tcPr>
          <w:p w14:paraId="4D4BE368" w14:textId="77777777" w:rsidR="00395B24" w:rsidRPr="0047414B" w:rsidRDefault="00395B24" w:rsidP="00663878">
            <w:pPr>
              <w:pStyle w:val="Normal1linespace"/>
              <w:widowControl w:val="0"/>
              <w:jc w:val="left"/>
            </w:pPr>
          </w:p>
        </w:tc>
      </w:tr>
      <w:tr w:rsidR="0047414B" w:rsidRPr="0047414B" w14:paraId="26AE3612" w14:textId="77777777" w:rsidTr="00663878">
        <w:tc>
          <w:tcPr>
            <w:tcW w:w="3084" w:type="dxa"/>
            <w:shd w:val="clear" w:color="auto" w:fill="auto"/>
          </w:tcPr>
          <w:p w14:paraId="41363266" w14:textId="77777777" w:rsidR="00395B24" w:rsidRPr="0047414B" w:rsidRDefault="002C7385" w:rsidP="00663878">
            <w:pPr>
              <w:pStyle w:val="Normal1linespace"/>
              <w:widowControl w:val="0"/>
              <w:jc w:val="left"/>
            </w:pPr>
            <w:r w:rsidRPr="0047414B">
              <w:t>Cases cited:</w:t>
            </w:r>
          </w:p>
        </w:tc>
        <w:tc>
          <w:tcPr>
            <w:tcW w:w="5954" w:type="dxa"/>
            <w:shd w:val="clear" w:color="auto" w:fill="auto"/>
          </w:tcPr>
          <w:p w14:paraId="7C2FDFDD" w14:textId="77777777" w:rsidR="008930DB" w:rsidRPr="0047414B" w:rsidRDefault="008930DB" w:rsidP="00B02FEC">
            <w:pPr>
              <w:pStyle w:val="CasesLegislationAppealFrom"/>
              <w:spacing w:after="60"/>
            </w:pPr>
            <w:bookmarkStart w:id="3" w:name="Cases_Cited"/>
            <w:r w:rsidRPr="0047414B">
              <w:rPr>
                <w:i/>
              </w:rPr>
              <w:t xml:space="preserve">Commissioner of State Revenue (WA) v </w:t>
            </w:r>
            <w:proofErr w:type="spellStart"/>
            <w:r w:rsidRPr="0047414B">
              <w:rPr>
                <w:i/>
              </w:rPr>
              <w:t>Rojoda</w:t>
            </w:r>
            <w:proofErr w:type="spellEnd"/>
            <w:r w:rsidRPr="0047414B">
              <w:rPr>
                <w:i/>
              </w:rPr>
              <w:t xml:space="preserve"> Pty Ltd</w:t>
            </w:r>
            <w:r w:rsidRPr="0047414B" w:rsidDel="00056615">
              <w:t xml:space="preserve"> </w:t>
            </w:r>
            <w:r w:rsidRPr="0047414B">
              <w:t>[2020] HCA 7; (2020) 268 CLR 281</w:t>
            </w:r>
          </w:p>
          <w:p w14:paraId="53AC1B7E" w14:textId="77777777" w:rsidR="008930DB" w:rsidRPr="0047414B" w:rsidRDefault="008930DB" w:rsidP="00B02FEC">
            <w:pPr>
              <w:pStyle w:val="CasesLegislationAppealFrom"/>
              <w:spacing w:after="60"/>
            </w:pPr>
            <w:r w:rsidRPr="0047414B">
              <w:rPr>
                <w:i/>
              </w:rPr>
              <w:t xml:space="preserve">Commissioner of State Taxation v Cyril </w:t>
            </w:r>
            <w:proofErr w:type="spellStart"/>
            <w:r w:rsidRPr="0047414B">
              <w:rPr>
                <w:i/>
              </w:rPr>
              <w:t>Henschke</w:t>
            </w:r>
            <w:proofErr w:type="spellEnd"/>
            <w:r w:rsidRPr="0047414B">
              <w:rPr>
                <w:i/>
              </w:rPr>
              <w:t xml:space="preserve"> Pty Ltd &amp; </w:t>
            </w:r>
            <w:proofErr w:type="spellStart"/>
            <w:r w:rsidRPr="0047414B">
              <w:rPr>
                <w:i/>
              </w:rPr>
              <w:t>Ors</w:t>
            </w:r>
            <w:proofErr w:type="spellEnd"/>
            <w:r w:rsidRPr="0047414B">
              <w:t xml:space="preserve"> [2010] HCA 43; (2010) 242 CLR 508</w:t>
            </w:r>
          </w:p>
          <w:p w14:paraId="0CA79482" w14:textId="77777777" w:rsidR="008930DB" w:rsidRPr="0047414B" w:rsidRDefault="008930DB" w:rsidP="00B02FEC">
            <w:pPr>
              <w:pStyle w:val="CasesLegislationAppealFrom"/>
              <w:spacing w:after="60"/>
            </w:pPr>
            <w:r w:rsidRPr="0047414B">
              <w:rPr>
                <w:i/>
              </w:rPr>
              <w:t>Commissioner of Taxation v Everett</w:t>
            </w:r>
            <w:r w:rsidRPr="0047414B">
              <w:t xml:space="preserve"> [1980] HCA 6; (1980) 143 CLR 440</w:t>
            </w:r>
          </w:p>
          <w:p w14:paraId="573851FD" w14:textId="094B8FC9" w:rsidR="00395B24" w:rsidRPr="0047414B" w:rsidRDefault="008930DB" w:rsidP="00B02FEC">
            <w:pPr>
              <w:pStyle w:val="CasesLegislationAppealFrom"/>
              <w:spacing w:after="60"/>
            </w:pPr>
            <w:r w:rsidRPr="0047414B">
              <w:rPr>
                <w:i/>
              </w:rPr>
              <w:t>Federal Commissioner of Taxation v Sara Lee Household &amp; Body Care (Australia) Pty Ltd</w:t>
            </w:r>
            <w:r w:rsidRPr="0047414B">
              <w:t xml:space="preserve"> [2000] HCA 35; (2000) 201 CLR 520</w:t>
            </w:r>
            <w:bookmarkEnd w:id="3"/>
          </w:p>
        </w:tc>
      </w:tr>
      <w:tr w:rsidR="0047414B" w:rsidRPr="0047414B" w14:paraId="46146DBF" w14:textId="77777777" w:rsidTr="00E753EC">
        <w:tc>
          <w:tcPr>
            <w:tcW w:w="3084" w:type="dxa"/>
            <w:shd w:val="clear" w:color="auto" w:fill="auto"/>
          </w:tcPr>
          <w:p w14:paraId="045D1E3E" w14:textId="77777777" w:rsidR="00FC5367" w:rsidRPr="0047414B" w:rsidRDefault="00FC5367" w:rsidP="00E753EC">
            <w:pPr>
              <w:pStyle w:val="Normal1linespace"/>
              <w:widowControl w:val="0"/>
            </w:pPr>
          </w:p>
        </w:tc>
        <w:tc>
          <w:tcPr>
            <w:tcW w:w="5954" w:type="dxa"/>
            <w:shd w:val="clear" w:color="auto" w:fill="auto"/>
          </w:tcPr>
          <w:p w14:paraId="035DF1DD" w14:textId="77777777" w:rsidR="00FC5367" w:rsidRPr="0047414B" w:rsidRDefault="00FC5367" w:rsidP="00E753EC">
            <w:pPr>
              <w:pStyle w:val="Normal1linespace"/>
              <w:widowControl w:val="0"/>
              <w:jc w:val="left"/>
            </w:pPr>
          </w:p>
        </w:tc>
      </w:tr>
      <w:tr w:rsidR="0047414B" w:rsidRPr="0047414B" w14:paraId="70F315F6" w14:textId="77777777" w:rsidTr="00E753EC">
        <w:tc>
          <w:tcPr>
            <w:tcW w:w="3084" w:type="dxa"/>
            <w:shd w:val="clear" w:color="auto" w:fill="auto"/>
          </w:tcPr>
          <w:p w14:paraId="18C316A6" w14:textId="77777777" w:rsidR="00FC5367" w:rsidRPr="0047414B" w:rsidRDefault="00FC5367" w:rsidP="00501A12">
            <w:pPr>
              <w:pStyle w:val="Normal1linespace"/>
              <w:widowControl w:val="0"/>
            </w:pPr>
            <w:r w:rsidRPr="0047414B">
              <w:t>Division:</w:t>
            </w:r>
          </w:p>
        </w:tc>
        <w:tc>
          <w:tcPr>
            <w:tcW w:w="5954" w:type="dxa"/>
            <w:shd w:val="clear" w:color="auto" w:fill="auto"/>
          </w:tcPr>
          <w:p w14:paraId="0F48A51D" w14:textId="77777777" w:rsidR="00FC5367" w:rsidRPr="0047414B" w:rsidRDefault="00DF7053" w:rsidP="00501A12">
            <w:pPr>
              <w:pStyle w:val="Normal1linespace"/>
              <w:widowControl w:val="0"/>
              <w:jc w:val="left"/>
            </w:pPr>
            <w:r>
              <w:fldChar w:fldCharType="begin"/>
            </w:r>
            <w:r>
              <w:instrText xml:space="preserve"> DOCPROPERTY  Division </w:instrText>
            </w:r>
            <w:r>
              <w:fldChar w:fldCharType="separate"/>
            </w:r>
            <w:r w:rsidR="00FC5367" w:rsidRPr="0047414B">
              <w:t>General Division</w:t>
            </w:r>
            <w:r>
              <w:fldChar w:fldCharType="end"/>
            </w:r>
          </w:p>
        </w:tc>
      </w:tr>
      <w:tr w:rsidR="0047414B" w:rsidRPr="0047414B" w14:paraId="5856B80D" w14:textId="77777777" w:rsidTr="00E753EC">
        <w:tc>
          <w:tcPr>
            <w:tcW w:w="3084" w:type="dxa"/>
            <w:shd w:val="clear" w:color="auto" w:fill="auto"/>
          </w:tcPr>
          <w:p w14:paraId="389E62B2" w14:textId="77777777" w:rsidR="00FC5367" w:rsidRPr="0047414B" w:rsidRDefault="00FC5367" w:rsidP="00501A12">
            <w:pPr>
              <w:pStyle w:val="Normal1linespace"/>
              <w:widowControl w:val="0"/>
            </w:pPr>
            <w:bookmarkStart w:id="4" w:name="Registry_rows" w:colFirst="0" w:colLast="1"/>
          </w:p>
        </w:tc>
        <w:tc>
          <w:tcPr>
            <w:tcW w:w="5954" w:type="dxa"/>
            <w:shd w:val="clear" w:color="auto" w:fill="auto"/>
          </w:tcPr>
          <w:p w14:paraId="2F3D28E5" w14:textId="77777777" w:rsidR="00FC5367" w:rsidRPr="0047414B" w:rsidRDefault="00FC5367" w:rsidP="00501A12">
            <w:pPr>
              <w:pStyle w:val="Normal1linespace"/>
              <w:widowControl w:val="0"/>
              <w:jc w:val="left"/>
            </w:pPr>
          </w:p>
        </w:tc>
      </w:tr>
      <w:tr w:rsidR="0047414B" w:rsidRPr="0047414B" w14:paraId="184DF858" w14:textId="77777777" w:rsidTr="00E753EC">
        <w:tc>
          <w:tcPr>
            <w:tcW w:w="3084" w:type="dxa"/>
            <w:shd w:val="clear" w:color="auto" w:fill="auto"/>
          </w:tcPr>
          <w:p w14:paraId="11DFA2EB" w14:textId="77777777" w:rsidR="00FC5367" w:rsidRPr="0047414B" w:rsidRDefault="00FC5367" w:rsidP="00501A12">
            <w:pPr>
              <w:pStyle w:val="Normal1linespace"/>
              <w:widowControl w:val="0"/>
            </w:pPr>
            <w:r w:rsidRPr="0047414B">
              <w:t>Registry:</w:t>
            </w:r>
          </w:p>
        </w:tc>
        <w:tc>
          <w:tcPr>
            <w:tcW w:w="5954" w:type="dxa"/>
            <w:shd w:val="clear" w:color="auto" w:fill="auto"/>
          </w:tcPr>
          <w:p w14:paraId="4B79BCD4" w14:textId="77777777" w:rsidR="00FC5367" w:rsidRPr="0047414B" w:rsidRDefault="00DF7053" w:rsidP="00501A12">
            <w:pPr>
              <w:pStyle w:val="Normal1linespace"/>
              <w:widowControl w:val="0"/>
              <w:jc w:val="left"/>
            </w:pPr>
            <w:r>
              <w:fldChar w:fldCharType="begin"/>
            </w:r>
            <w:r>
              <w:instrText xml:space="preserve"> DOCPROPERTY  Registry </w:instrText>
            </w:r>
            <w:r>
              <w:fldChar w:fldCharType="separate"/>
            </w:r>
            <w:r w:rsidR="00FC5367" w:rsidRPr="0047414B">
              <w:t>New South Wales</w:t>
            </w:r>
            <w:r>
              <w:fldChar w:fldCharType="end"/>
            </w:r>
          </w:p>
        </w:tc>
      </w:tr>
      <w:tr w:rsidR="0047414B" w:rsidRPr="0047414B" w14:paraId="57574E60" w14:textId="77777777" w:rsidTr="00E753EC">
        <w:tc>
          <w:tcPr>
            <w:tcW w:w="3084" w:type="dxa"/>
            <w:shd w:val="clear" w:color="auto" w:fill="auto"/>
          </w:tcPr>
          <w:p w14:paraId="023D0DF5" w14:textId="77777777" w:rsidR="00FC5367" w:rsidRPr="0047414B" w:rsidRDefault="00FC5367" w:rsidP="00501A12">
            <w:pPr>
              <w:pStyle w:val="Normal1linespace"/>
              <w:widowControl w:val="0"/>
            </w:pPr>
            <w:bookmarkStart w:id="5" w:name="NPARow" w:colFirst="0" w:colLast="1"/>
            <w:bookmarkEnd w:id="4"/>
          </w:p>
        </w:tc>
        <w:tc>
          <w:tcPr>
            <w:tcW w:w="5954" w:type="dxa"/>
            <w:shd w:val="clear" w:color="auto" w:fill="auto"/>
          </w:tcPr>
          <w:p w14:paraId="7B4D1624" w14:textId="77777777" w:rsidR="00FC5367" w:rsidRPr="0047414B" w:rsidRDefault="00FC5367" w:rsidP="00501A12">
            <w:pPr>
              <w:pStyle w:val="Normal1linespace"/>
              <w:widowControl w:val="0"/>
              <w:jc w:val="left"/>
              <w:rPr>
                <w:b/>
              </w:rPr>
            </w:pPr>
          </w:p>
        </w:tc>
      </w:tr>
      <w:tr w:rsidR="0047414B" w:rsidRPr="0047414B" w14:paraId="195669C3" w14:textId="77777777" w:rsidTr="00E753EC">
        <w:tc>
          <w:tcPr>
            <w:tcW w:w="3084" w:type="dxa"/>
            <w:shd w:val="clear" w:color="auto" w:fill="auto"/>
          </w:tcPr>
          <w:p w14:paraId="4B66ADFD" w14:textId="77777777" w:rsidR="00FC5367" w:rsidRPr="0047414B" w:rsidRDefault="00FC5367" w:rsidP="00501A12">
            <w:pPr>
              <w:pStyle w:val="Normal1linespace"/>
              <w:widowControl w:val="0"/>
            </w:pPr>
            <w:r w:rsidRPr="0047414B">
              <w:t>National Practice Area:</w:t>
            </w:r>
          </w:p>
        </w:tc>
        <w:tc>
          <w:tcPr>
            <w:tcW w:w="5954" w:type="dxa"/>
            <w:shd w:val="clear" w:color="auto" w:fill="auto"/>
          </w:tcPr>
          <w:p w14:paraId="3D2D9914" w14:textId="77777777" w:rsidR="00FC5367" w:rsidRPr="0047414B" w:rsidRDefault="00DF7053" w:rsidP="00E753EC">
            <w:pPr>
              <w:pStyle w:val="Normal1linespace"/>
              <w:widowControl w:val="0"/>
              <w:jc w:val="left"/>
              <w:rPr>
                <w:b/>
              </w:rPr>
            </w:pPr>
            <w:r>
              <w:fldChar w:fldCharType="begin"/>
            </w:r>
            <w:r>
              <w:instrText xml:space="preserve"> DOCPROPERTY  "Practice Area"  \* MERGEFORMAT </w:instrText>
            </w:r>
            <w:r>
              <w:fldChar w:fldCharType="separate"/>
            </w:r>
            <w:r w:rsidR="00FC5367" w:rsidRPr="0047414B">
              <w:t>Taxation</w:t>
            </w:r>
            <w:r>
              <w:fldChar w:fldCharType="end"/>
            </w:r>
          </w:p>
        </w:tc>
      </w:tr>
      <w:bookmarkEnd w:id="5"/>
      <w:tr w:rsidR="0047414B" w:rsidRPr="0047414B" w14:paraId="1FD94E5F" w14:textId="77777777" w:rsidTr="00E753EC">
        <w:tc>
          <w:tcPr>
            <w:tcW w:w="3084" w:type="dxa"/>
            <w:shd w:val="clear" w:color="auto" w:fill="auto"/>
          </w:tcPr>
          <w:p w14:paraId="23241AFC" w14:textId="77777777" w:rsidR="00FC5367" w:rsidRPr="0047414B" w:rsidRDefault="00FC5367" w:rsidP="00501A12">
            <w:pPr>
              <w:pStyle w:val="Normal1linespace"/>
              <w:widowControl w:val="0"/>
            </w:pPr>
          </w:p>
        </w:tc>
        <w:tc>
          <w:tcPr>
            <w:tcW w:w="5954" w:type="dxa"/>
            <w:shd w:val="clear" w:color="auto" w:fill="auto"/>
          </w:tcPr>
          <w:p w14:paraId="3B2BF16A" w14:textId="77777777" w:rsidR="00FC5367" w:rsidRPr="0047414B" w:rsidRDefault="00FC5367" w:rsidP="00501A12">
            <w:pPr>
              <w:pStyle w:val="Normal1linespace"/>
              <w:widowControl w:val="0"/>
              <w:jc w:val="left"/>
            </w:pPr>
          </w:p>
        </w:tc>
      </w:tr>
      <w:tr w:rsidR="0047414B" w:rsidRPr="0047414B" w14:paraId="340D2FED" w14:textId="77777777" w:rsidTr="00E753EC">
        <w:tc>
          <w:tcPr>
            <w:tcW w:w="3084" w:type="dxa"/>
            <w:shd w:val="clear" w:color="auto" w:fill="auto"/>
          </w:tcPr>
          <w:p w14:paraId="6EA04456" w14:textId="77777777" w:rsidR="00FC5367" w:rsidRPr="0047414B" w:rsidRDefault="00FC5367" w:rsidP="00501A12">
            <w:pPr>
              <w:pStyle w:val="Normal1linespace"/>
              <w:widowControl w:val="0"/>
            </w:pPr>
            <w:r w:rsidRPr="0047414B">
              <w:t>Number of paragraphs:</w:t>
            </w:r>
          </w:p>
        </w:tc>
        <w:tc>
          <w:tcPr>
            <w:tcW w:w="5954" w:type="dxa"/>
            <w:shd w:val="clear" w:color="auto" w:fill="auto"/>
          </w:tcPr>
          <w:p w14:paraId="156A8F6E" w14:textId="42A54B5A" w:rsidR="00FC5367" w:rsidRPr="0047414B" w:rsidRDefault="009D336F" w:rsidP="00501A12">
            <w:pPr>
              <w:pStyle w:val="Normal1linespace"/>
              <w:widowControl w:val="0"/>
              <w:jc w:val="left"/>
            </w:pPr>
            <w:bookmarkStart w:id="6" w:name="PlaceCategoryParagraphs"/>
            <w:r>
              <w:t>43</w:t>
            </w:r>
            <w:r w:rsidR="00FC5367" w:rsidRPr="0047414B">
              <w:t xml:space="preserve"> </w:t>
            </w:r>
            <w:bookmarkEnd w:id="6"/>
          </w:p>
        </w:tc>
      </w:tr>
      <w:tr w:rsidR="0047414B" w:rsidRPr="0047414B" w14:paraId="556B2B17" w14:textId="77777777" w:rsidTr="00CC3EE5">
        <w:tc>
          <w:tcPr>
            <w:tcW w:w="3084" w:type="dxa"/>
            <w:shd w:val="clear" w:color="auto" w:fill="auto"/>
          </w:tcPr>
          <w:p w14:paraId="224AFE20" w14:textId="77777777" w:rsidR="00FC5367" w:rsidRPr="0047414B" w:rsidRDefault="00FC5367" w:rsidP="00FC5367">
            <w:pPr>
              <w:pStyle w:val="Normal1linespace"/>
              <w:widowControl w:val="0"/>
              <w:jc w:val="left"/>
            </w:pPr>
          </w:p>
        </w:tc>
        <w:tc>
          <w:tcPr>
            <w:tcW w:w="5954" w:type="dxa"/>
            <w:shd w:val="clear" w:color="auto" w:fill="auto"/>
          </w:tcPr>
          <w:p w14:paraId="3203C361" w14:textId="77777777" w:rsidR="00FC5367" w:rsidRPr="0047414B" w:rsidRDefault="00FC5367" w:rsidP="00FC5367">
            <w:pPr>
              <w:pStyle w:val="Normal1linespace"/>
              <w:widowControl w:val="0"/>
              <w:jc w:val="left"/>
            </w:pPr>
          </w:p>
        </w:tc>
      </w:tr>
      <w:tr w:rsidR="0047414B" w:rsidRPr="0047414B" w14:paraId="01825571" w14:textId="77777777" w:rsidTr="00CC3EE5">
        <w:tc>
          <w:tcPr>
            <w:tcW w:w="3084" w:type="dxa"/>
            <w:shd w:val="clear" w:color="auto" w:fill="auto"/>
          </w:tcPr>
          <w:p w14:paraId="0B60FCCE" w14:textId="77777777" w:rsidR="00FC5367" w:rsidRPr="0047414B" w:rsidRDefault="00FC5367" w:rsidP="00FC5367">
            <w:pPr>
              <w:pStyle w:val="Normal1linespace"/>
              <w:widowControl w:val="0"/>
              <w:jc w:val="left"/>
            </w:pPr>
            <w:bookmarkStart w:id="7" w:name="CounselDate" w:colFirst="0" w:colLast="2"/>
            <w:r w:rsidRPr="0047414B">
              <w:t>Date of hearing:</w:t>
            </w:r>
          </w:p>
        </w:tc>
        <w:tc>
          <w:tcPr>
            <w:tcW w:w="5954" w:type="dxa"/>
            <w:shd w:val="clear" w:color="auto" w:fill="auto"/>
          </w:tcPr>
          <w:p w14:paraId="22CF3072" w14:textId="36BFF2DD" w:rsidR="00FC5367" w:rsidRPr="0047414B" w:rsidRDefault="005E4AEF" w:rsidP="00FC5367">
            <w:pPr>
              <w:pStyle w:val="Normal1linespace"/>
              <w:widowControl w:val="0"/>
              <w:jc w:val="left"/>
            </w:pPr>
            <w:r w:rsidRPr="0047414B">
              <w:t xml:space="preserve">25 May 2023 </w:t>
            </w:r>
          </w:p>
        </w:tc>
      </w:tr>
      <w:tr w:rsidR="0047414B" w:rsidRPr="0047414B" w14:paraId="16A9E0CF" w14:textId="77777777" w:rsidTr="00CC3EE5">
        <w:tc>
          <w:tcPr>
            <w:tcW w:w="3084" w:type="dxa"/>
            <w:shd w:val="clear" w:color="auto" w:fill="auto"/>
          </w:tcPr>
          <w:p w14:paraId="0014833B" w14:textId="77777777" w:rsidR="00FC5367" w:rsidRPr="0047414B" w:rsidRDefault="00FC5367" w:rsidP="00FC5367">
            <w:pPr>
              <w:pStyle w:val="Normal1linespace"/>
              <w:widowControl w:val="0"/>
              <w:jc w:val="left"/>
            </w:pPr>
          </w:p>
        </w:tc>
        <w:tc>
          <w:tcPr>
            <w:tcW w:w="5954" w:type="dxa"/>
            <w:shd w:val="clear" w:color="auto" w:fill="auto"/>
          </w:tcPr>
          <w:p w14:paraId="2DFB243C" w14:textId="77777777" w:rsidR="00FC5367" w:rsidRPr="0047414B" w:rsidRDefault="00FC5367" w:rsidP="00FC5367">
            <w:pPr>
              <w:pStyle w:val="Normal1linespace"/>
              <w:widowControl w:val="0"/>
              <w:jc w:val="left"/>
            </w:pPr>
          </w:p>
        </w:tc>
      </w:tr>
      <w:tr w:rsidR="0047414B" w:rsidRPr="0047414B" w14:paraId="1C0019A5" w14:textId="77777777" w:rsidTr="00CC3EE5">
        <w:tc>
          <w:tcPr>
            <w:tcW w:w="3084" w:type="dxa"/>
            <w:shd w:val="clear" w:color="auto" w:fill="auto"/>
          </w:tcPr>
          <w:p w14:paraId="71FA260A" w14:textId="38D40787" w:rsidR="00DF1A15" w:rsidRPr="0047414B" w:rsidRDefault="00DF1A15" w:rsidP="00FC5367">
            <w:pPr>
              <w:pStyle w:val="Normal1linespace"/>
              <w:widowControl w:val="0"/>
              <w:jc w:val="left"/>
            </w:pPr>
            <w:r w:rsidRPr="0047414B">
              <w:t>Counsel for appellant</w:t>
            </w:r>
          </w:p>
        </w:tc>
        <w:tc>
          <w:tcPr>
            <w:tcW w:w="5954" w:type="dxa"/>
            <w:shd w:val="clear" w:color="auto" w:fill="auto"/>
          </w:tcPr>
          <w:p w14:paraId="24924F7C" w14:textId="50B4C3DF" w:rsidR="00DF1A15" w:rsidRPr="0047414B" w:rsidRDefault="00DF1A15" w:rsidP="00FC5367">
            <w:pPr>
              <w:pStyle w:val="Normal1linespace"/>
              <w:widowControl w:val="0"/>
              <w:jc w:val="left"/>
            </w:pPr>
            <w:r w:rsidRPr="0047414B">
              <w:t xml:space="preserve">Mr C.J </w:t>
            </w:r>
            <w:proofErr w:type="spellStart"/>
            <w:r w:rsidRPr="0047414B">
              <w:t>Peadon</w:t>
            </w:r>
            <w:proofErr w:type="spellEnd"/>
            <w:r w:rsidRPr="0047414B">
              <w:t xml:space="preserve"> and Mr M.T Sherman</w:t>
            </w:r>
          </w:p>
        </w:tc>
      </w:tr>
      <w:tr w:rsidR="0047414B" w:rsidRPr="0047414B" w14:paraId="3C2BB490" w14:textId="77777777" w:rsidTr="00CC3EE5">
        <w:tc>
          <w:tcPr>
            <w:tcW w:w="3084" w:type="dxa"/>
            <w:shd w:val="clear" w:color="auto" w:fill="auto"/>
          </w:tcPr>
          <w:p w14:paraId="71B74872" w14:textId="77777777" w:rsidR="00DF1A15" w:rsidRPr="0047414B" w:rsidRDefault="00DF1A15" w:rsidP="00FC5367">
            <w:pPr>
              <w:pStyle w:val="Normal1linespace"/>
              <w:widowControl w:val="0"/>
              <w:jc w:val="left"/>
            </w:pPr>
          </w:p>
        </w:tc>
        <w:tc>
          <w:tcPr>
            <w:tcW w:w="5954" w:type="dxa"/>
            <w:shd w:val="clear" w:color="auto" w:fill="auto"/>
          </w:tcPr>
          <w:p w14:paraId="1F63366D" w14:textId="77777777" w:rsidR="00DF1A15" w:rsidRPr="0047414B" w:rsidRDefault="00DF1A15" w:rsidP="00FC5367">
            <w:pPr>
              <w:pStyle w:val="Normal1linespace"/>
              <w:widowControl w:val="0"/>
              <w:jc w:val="left"/>
            </w:pPr>
          </w:p>
        </w:tc>
      </w:tr>
      <w:tr w:rsidR="0047414B" w:rsidRPr="0047414B" w14:paraId="243A2C7E" w14:textId="77777777" w:rsidTr="00CC3EE5">
        <w:tc>
          <w:tcPr>
            <w:tcW w:w="3084" w:type="dxa"/>
            <w:shd w:val="clear" w:color="auto" w:fill="auto"/>
          </w:tcPr>
          <w:p w14:paraId="588F0AA5" w14:textId="4682316A" w:rsidR="00DF1A15" w:rsidRPr="0047414B" w:rsidRDefault="00DF1A15" w:rsidP="00FC5367">
            <w:pPr>
              <w:pStyle w:val="Normal1linespace"/>
              <w:widowControl w:val="0"/>
              <w:jc w:val="left"/>
            </w:pPr>
            <w:r w:rsidRPr="0047414B">
              <w:t>Solicitor for appellant</w:t>
            </w:r>
          </w:p>
        </w:tc>
        <w:tc>
          <w:tcPr>
            <w:tcW w:w="5954" w:type="dxa"/>
            <w:shd w:val="clear" w:color="auto" w:fill="auto"/>
          </w:tcPr>
          <w:p w14:paraId="0298351C" w14:textId="66293C73" w:rsidR="00DF1A15" w:rsidRPr="0047414B" w:rsidRDefault="00DF1A15" w:rsidP="001B7C46">
            <w:pPr>
              <w:pStyle w:val="Normal1linespace"/>
              <w:widowControl w:val="0"/>
              <w:jc w:val="left"/>
            </w:pPr>
            <w:r w:rsidRPr="0047414B">
              <w:t xml:space="preserve">Walker Hedges </w:t>
            </w:r>
            <w:r w:rsidR="00231CA9" w:rsidRPr="0047414B">
              <w:t>Forestville</w:t>
            </w:r>
          </w:p>
        </w:tc>
      </w:tr>
      <w:tr w:rsidR="0047414B" w:rsidRPr="0047414B" w14:paraId="5F0B7F4D" w14:textId="77777777" w:rsidTr="00CC3EE5">
        <w:tc>
          <w:tcPr>
            <w:tcW w:w="3084" w:type="dxa"/>
            <w:shd w:val="clear" w:color="auto" w:fill="auto"/>
          </w:tcPr>
          <w:p w14:paraId="0A1435A4" w14:textId="77777777" w:rsidR="00DF1A15" w:rsidRPr="0047414B" w:rsidRDefault="00DF1A15" w:rsidP="00FC5367">
            <w:pPr>
              <w:pStyle w:val="Normal1linespace"/>
              <w:widowControl w:val="0"/>
              <w:jc w:val="left"/>
            </w:pPr>
          </w:p>
        </w:tc>
        <w:tc>
          <w:tcPr>
            <w:tcW w:w="5954" w:type="dxa"/>
            <w:shd w:val="clear" w:color="auto" w:fill="auto"/>
          </w:tcPr>
          <w:p w14:paraId="445A80C9" w14:textId="77777777" w:rsidR="00DF1A15" w:rsidRPr="0047414B" w:rsidRDefault="00DF1A15" w:rsidP="00FC5367">
            <w:pPr>
              <w:pStyle w:val="Normal1linespace"/>
              <w:widowControl w:val="0"/>
              <w:jc w:val="left"/>
            </w:pPr>
          </w:p>
        </w:tc>
      </w:tr>
      <w:tr w:rsidR="0047414B" w:rsidRPr="0047414B" w14:paraId="1809B33F" w14:textId="77777777" w:rsidTr="00CC3EE5">
        <w:tc>
          <w:tcPr>
            <w:tcW w:w="3084" w:type="dxa"/>
            <w:shd w:val="clear" w:color="auto" w:fill="auto"/>
          </w:tcPr>
          <w:p w14:paraId="1BA4A260" w14:textId="5CA87398" w:rsidR="00DF1A15" w:rsidRPr="0047414B" w:rsidRDefault="00DF1A15" w:rsidP="00FC5367">
            <w:pPr>
              <w:pStyle w:val="Normal1linespace"/>
              <w:widowControl w:val="0"/>
              <w:jc w:val="left"/>
            </w:pPr>
            <w:r w:rsidRPr="0047414B">
              <w:t>Counsel for respondent</w:t>
            </w:r>
          </w:p>
        </w:tc>
        <w:tc>
          <w:tcPr>
            <w:tcW w:w="5954" w:type="dxa"/>
            <w:shd w:val="clear" w:color="auto" w:fill="auto"/>
          </w:tcPr>
          <w:p w14:paraId="15F5F6CC" w14:textId="000BAB75" w:rsidR="00DF1A15" w:rsidRPr="0047414B" w:rsidRDefault="00DF1A15" w:rsidP="00FC5367">
            <w:pPr>
              <w:pStyle w:val="Normal1linespace"/>
              <w:widowControl w:val="0"/>
              <w:jc w:val="left"/>
            </w:pPr>
            <w:r w:rsidRPr="0047414B">
              <w:t xml:space="preserve">Ms J. </w:t>
            </w:r>
            <w:proofErr w:type="spellStart"/>
            <w:r w:rsidRPr="0047414B">
              <w:t>Gatland</w:t>
            </w:r>
            <w:proofErr w:type="spellEnd"/>
          </w:p>
        </w:tc>
      </w:tr>
      <w:tr w:rsidR="0047414B" w:rsidRPr="0047414B" w14:paraId="0CD1F5FC" w14:textId="77777777" w:rsidTr="00CC3EE5">
        <w:tc>
          <w:tcPr>
            <w:tcW w:w="3084" w:type="dxa"/>
            <w:shd w:val="clear" w:color="auto" w:fill="auto"/>
          </w:tcPr>
          <w:p w14:paraId="5A12F883" w14:textId="77777777" w:rsidR="00DF1A15" w:rsidRPr="0047414B" w:rsidRDefault="00DF1A15" w:rsidP="00FC5367">
            <w:pPr>
              <w:pStyle w:val="Normal1linespace"/>
              <w:widowControl w:val="0"/>
              <w:jc w:val="left"/>
            </w:pPr>
          </w:p>
        </w:tc>
        <w:tc>
          <w:tcPr>
            <w:tcW w:w="5954" w:type="dxa"/>
            <w:shd w:val="clear" w:color="auto" w:fill="auto"/>
          </w:tcPr>
          <w:p w14:paraId="24D4A530" w14:textId="77777777" w:rsidR="00DF1A15" w:rsidRPr="0047414B" w:rsidRDefault="00DF1A15" w:rsidP="00FC5367">
            <w:pPr>
              <w:pStyle w:val="Normal1linespace"/>
              <w:widowControl w:val="0"/>
              <w:jc w:val="left"/>
            </w:pPr>
          </w:p>
        </w:tc>
      </w:tr>
      <w:tr w:rsidR="00DF1A15" w:rsidRPr="0047414B" w14:paraId="3BF33856" w14:textId="77777777" w:rsidTr="00CC3EE5">
        <w:tc>
          <w:tcPr>
            <w:tcW w:w="3084" w:type="dxa"/>
            <w:shd w:val="clear" w:color="auto" w:fill="auto"/>
          </w:tcPr>
          <w:p w14:paraId="3FB6E8A7" w14:textId="4514E677" w:rsidR="00DF1A15" w:rsidRPr="0047414B" w:rsidRDefault="00DF1A15" w:rsidP="00FC5367">
            <w:pPr>
              <w:pStyle w:val="Normal1linespace"/>
              <w:widowControl w:val="0"/>
              <w:jc w:val="left"/>
            </w:pPr>
            <w:r w:rsidRPr="0047414B">
              <w:t>Solicitor for respondent</w:t>
            </w:r>
          </w:p>
        </w:tc>
        <w:tc>
          <w:tcPr>
            <w:tcW w:w="5954" w:type="dxa"/>
            <w:shd w:val="clear" w:color="auto" w:fill="auto"/>
          </w:tcPr>
          <w:p w14:paraId="670813F9" w14:textId="5604DBD8" w:rsidR="00DF1A15" w:rsidRPr="0047414B" w:rsidRDefault="00DF1A15" w:rsidP="001B7C46">
            <w:pPr>
              <w:pStyle w:val="Normal1linespace"/>
              <w:widowControl w:val="0"/>
              <w:jc w:val="left"/>
            </w:pPr>
            <w:r w:rsidRPr="0047414B">
              <w:t xml:space="preserve">ATO </w:t>
            </w:r>
            <w:r w:rsidR="00231CA9" w:rsidRPr="0047414B">
              <w:t>Litigation and Legal Services</w:t>
            </w:r>
          </w:p>
        </w:tc>
      </w:tr>
    </w:tbl>
    <w:p w14:paraId="0E222BBF" w14:textId="77777777" w:rsidR="00B17D6E" w:rsidRPr="0047414B" w:rsidRDefault="00B17D6E">
      <w:pPr>
        <w:pStyle w:val="Normal1linespace"/>
      </w:pPr>
      <w:bookmarkStart w:id="8" w:name="CompletionTable"/>
      <w:bookmarkEnd w:id="7"/>
    </w:p>
    <w:bookmarkEnd w:id="8"/>
    <w:p w14:paraId="4FF5059B" w14:textId="77777777" w:rsidR="007470BD" w:rsidRPr="0047414B" w:rsidRDefault="007470BD">
      <w:pPr>
        <w:pStyle w:val="Normal1linespace"/>
      </w:pPr>
    </w:p>
    <w:p w14:paraId="05E4EAE2" w14:textId="77777777" w:rsidR="00E94CBF" w:rsidRPr="0047414B" w:rsidRDefault="00E94CBF">
      <w:pPr>
        <w:pStyle w:val="Normal1linespace"/>
      </w:pPr>
    </w:p>
    <w:p w14:paraId="3A139A8C" w14:textId="77777777" w:rsidR="00395B24" w:rsidRPr="0047414B" w:rsidRDefault="00395B24">
      <w:pPr>
        <w:pStyle w:val="Normal1linespace"/>
        <w:sectPr w:rsidR="00395B24" w:rsidRPr="0047414B"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D1CBA6A" w14:textId="77777777" w:rsidR="008C7167" w:rsidRPr="0047414B" w:rsidRDefault="0011419D" w:rsidP="00045BB7">
      <w:pPr>
        <w:pStyle w:val="NormalHeadings"/>
        <w:spacing w:line="480" w:lineRule="auto"/>
        <w:jc w:val="center"/>
        <w:rPr>
          <w:sz w:val="28"/>
          <w:szCs w:val="28"/>
        </w:rPr>
      </w:pPr>
      <w:r w:rsidRPr="0047414B">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47414B" w:rsidRPr="0047414B" w14:paraId="6F9E93EA" w14:textId="77777777" w:rsidTr="00E81DA6">
        <w:tc>
          <w:tcPr>
            <w:tcW w:w="6912" w:type="dxa"/>
            <w:gridSpan w:val="2"/>
          </w:tcPr>
          <w:p w14:paraId="722827E8" w14:textId="77777777" w:rsidR="00A46CCC" w:rsidRPr="0047414B" w:rsidRDefault="00A46CCC" w:rsidP="00525A49">
            <w:pPr>
              <w:pStyle w:val="NormalHeadings"/>
            </w:pPr>
          </w:p>
        </w:tc>
        <w:tc>
          <w:tcPr>
            <w:tcW w:w="2330" w:type="dxa"/>
          </w:tcPr>
          <w:p w14:paraId="098FE05A" w14:textId="77777777" w:rsidR="00A46CCC" w:rsidRPr="0047414B" w:rsidRDefault="00FC5367" w:rsidP="00F92355">
            <w:pPr>
              <w:pStyle w:val="NormalHeadings"/>
              <w:jc w:val="right"/>
            </w:pPr>
            <w:bookmarkStart w:id="9" w:name="FileNo"/>
            <w:r w:rsidRPr="0047414B">
              <w:t>NSD 194 of 2022</w:t>
            </w:r>
            <w:bookmarkEnd w:id="9"/>
          </w:p>
        </w:tc>
      </w:tr>
      <w:tr w:rsidR="0047414B" w:rsidRPr="0047414B" w14:paraId="0058E9F5" w14:textId="77777777" w:rsidTr="00E753EC">
        <w:tc>
          <w:tcPr>
            <w:tcW w:w="9242" w:type="dxa"/>
            <w:gridSpan w:val="3"/>
          </w:tcPr>
          <w:p w14:paraId="319D7331" w14:textId="77777777" w:rsidR="00A76C13" w:rsidRPr="0047414B" w:rsidRDefault="00FC5367" w:rsidP="00FC5367">
            <w:pPr>
              <w:pStyle w:val="NormalHeadings"/>
              <w:jc w:val="left"/>
            </w:pPr>
            <w:bookmarkStart w:id="10" w:name="InTheMatterOf"/>
            <w:r w:rsidRPr="0047414B">
              <w:t xml:space="preserve"> </w:t>
            </w:r>
            <w:bookmarkEnd w:id="10"/>
          </w:p>
        </w:tc>
      </w:tr>
      <w:tr w:rsidR="0047414B" w:rsidRPr="0047414B" w14:paraId="5E953011" w14:textId="77777777" w:rsidTr="00E753EC">
        <w:trPr>
          <w:trHeight w:val="386"/>
        </w:trPr>
        <w:tc>
          <w:tcPr>
            <w:tcW w:w="2376" w:type="dxa"/>
          </w:tcPr>
          <w:p w14:paraId="6E141698" w14:textId="77777777" w:rsidR="00A46CCC" w:rsidRPr="0047414B" w:rsidRDefault="00A46CCC" w:rsidP="00E753EC">
            <w:pPr>
              <w:pStyle w:val="NormalHeadings"/>
              <w:jc w:val="left"/>
              <w:rPr>
                <w:caps/>
                <w:szCs w:val="24"/>
              </w:rPr>
            </w:pPr>
            <w:bookmarkStart w:id="11" w:name="Parties"/>
            <w:r w:rsidRPr="0047414B">
              <w:rPr>
                <w:caps/>
                <w:szCs w:val="24"/>
              </w:rPr>
              <w:t>BETWEEN:</w:t>
            </w:r>
          </w:p>
        </w:tc>
        <w:tc>
          <w:tcPr>
            <w:tcW w:w="6866" w:type="dxa"/>
            <w:gridSpan w:val="2"/>
          </w:tcPr>
          <w:p w14:paraId="13B3C713" w14:textId="77777777" w:rsidR="00FC5367" w:rsidRPr="0047414B" w:rsidRDefault="00FC5367" w:rsidP="00FC5367">
            <w:pPr>
              <w:pStyle w:val="NormalHeadings"/>
              <w:jc w:val="left"/>
            </w:pPr>
            <w:bookmarkStart w:id="12" w:name="Applicant"/>
            <w:r w:rsidRPr="0047414B">
              <w:t>BRENT HEDGES</w:t>
            </w:r>
          </w:p>
          <w:p w14:paraId="72E8DD85" w14:textId="77777777" w:rsidR="00FC5367" w:rsidRPr="0047414B" w:rsidRDefault="00FC5367" w:rsidP="00FC5367">
            <w:pPr>
              <w:pStyle w:val="PartyType"/>
            </w:pPr>
            <w:r w:rsidRPr="0047414B">
              <w:t>Appellant</w:t>
            </w:r>
          </w:p>
          <w:bookmarkEnd w:id="12"/>
          <w:p w14:paraId="6A872B4E" w14:textId="77777777" w:rsidR="00A46CCC" w:rsidRPr="0047414B" w:rsidRDefault="00A46CCC" w:rsidP="00E753EC">
            <w:pPr>
              <w:pStyle w:val="NormalHeadings"/>
              <w:jc w:val="left"/>
            </w:pPr>
          </w:p>
        </w:tc>
      </w:tr>
      <w:tr w:rsidR="00A46CCC" w:rsidRPr="0047414B" w14:paraId="66062B21" w14:textId="77777777" w:rsidTr="00E753EC">
        <w:trPr>
          <w:trHeight w:val="386"/>
        </w:trPr>
        <w:tc>
          <w:tcPr>
            <w:tcW w:w="2376" w:type="dxa"/>
          </w:tcPr>
          <w:p w14:paraId="1C61E920" w14:textId="77777777" w:rsidR="00A46CCC" w:rsidRPr="0047414B" w:rsidRDefault="00A46CCC" w:rsidP="00E753EC">
            <w:pPr>
              <w:pStyle w:val="NormalHeadings"/>
              <w:jc w:val="left"/>
              <w:rPr>
                <w:caps/>
                <w:szCs w:val="24"/>
              </w:rPr>
            </w:pPr>
            <w:r w:rsidRPr="0047414B">
              <w:rPr>
                <w:caps/>
                <w:szCs w:val="24"/>
              </w:rPr>
              <w:t>AND:</w:t>
            </w:r>
          </w:p>
        </w:tc>
        <w:tc>
          <w:tcPr>
            <w:tcW w:w="6866" w:type="dxa"/>
            <w:gridSpan w:val="2"/>
          </w:tcPr>
          <w:p w14:paraId="73392825" w14:textId="77777777" w:rsidR="00FC5367" w:rsidRPr="0047414B" w:rsidRDefault="00FC5367" w:rsidP="00FC5367">
            <w:pPr>
              <w:pStyle w:val="NormalHeadings"/>
              <w:jc w:val="left"/>
            </w:pPr>
            <w:bookmarkStart w:id="13" w:name="Respondent"/>
            <w:r w:rsidRPr="0047414B">
              <w:t>COMMISSIONER OF TAXATION</w:t>
            </w:r>
          </w:p>
          <w:p w14:paraId="72C60421" w14:textId="77777777" w:rsidR="00FC5367" w:rsidRPr="0047414B" w:rsidRDefault="00FC5367" w:rsidP="00FC5367">
            <w:pPr>
              <w:pStyle w:val="PartyType"/>
            </w:pPr>
            <w:r w:rsidRPr="0047414B">
              <w:t>Respondent</w:t>
            </w:r>
          </w:p>
          <w:bookmarkEnd w:id="13"/>
          <w:p w14:paraId="31996D63" w14:textId="77777777" w:rsidR="00A46CCC" w:rsidRPr="0047414B" w:rsidRDefault="00A46CCC" w:rsidP="00E753EC">
            <w:pPr>
              <w:pStyle w:val="NormalHeadings"/>
              <w:jc w:val="left"/>
            </w:pPr>
          </w:p>
        </w:tc>
      </w:tr>
    </w:tbl>
    <w:p w14:paraId="15B18BB9" w14:textId="77777777" w:rsidR="00395B24" w:rsidRPr="0047414B"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47414B" w:rsidRPr="0047414B" w14:paraId="02B37AC2" w14:textId="77777777">
        <w:tc>
          <w:tcPr>
            <w:tcW w:w="2376" w:type="dxa"/>
          </w:tcPr>
          <w:p w14:paraId="5749FFEA" w14:textId="77777777" w:rsidR="00395B24" w:rsidRPr="0047414B" w:rsidRDefault="00974709">
            <w:pPr>
              <w:pStyle w:val="NormalHeadings"/>
              <w:spacing w:after="120"/>
              <w:jc w:val="left"/>
              <w:rPr>
                <w:caps/>
                <w:szCs w:val="24"/>
              </w:rPr>
            </w:pPr>
            <w:bookmarkStart w:id="15" w:name="JudgeText"/>
            <w:r w:rsidRPr="0047414B">
              <w:rPr>
                <w:caps/>
                <w:szCs w:val="24"/>
              </w:rPr>
              <w:t>order made by</w:t>
            </w:r>
            <w:bookmarkEnd w:id="15"/>
            <w:r w:rsidR="002C7385" w:rsidRPr="0047414B">
              <w:rPr>
                <w:caps/>
                <w:szCs w:val="24"/>
              </w:rPr>
              <w:t>:</w:t>
            </w:r>
          </w:p>
        </w:tc>
        <w:tc>
          <w:tcPr>
            <w:tcW w:w="6866" w:type="dxa"/>
          </w:tcPr>
          <w:p w14:paraId="4CEB8754" w14:textId="309F1CA2" w:rsidR="00395B24" w:rsidRPr="0047414B" w:rsidRDefault="00B318BF">
            <w:pPr>
              <w:pStyle w:val="NormalHeadings"/>
              <w:jc w:val="left"/>
              <w:rPr>
                <w:caps/>
                <w:szCs w:val="24"/>
              </w:rPr>
            </w:pPr>
            <w:bookmarkStart w:id="16" w:name="Judge"/>
            <w:r>
              <w:rPr>
                <w:caps/>
                <w:szCs w:val="24"/>
              </w:rPr>
              <w:t>LOGAN, GOODMAN AND</w:t>
            </w:r>
            <w:r w:rsidR="00FC5367" w:rsidRPr="0047414B">
              <w:rPr>
                <w:caps/>
                <w:szCs w:val="24"/>
              </w:rPr>
              <w:t xml:space="preserve"> HESPE JJ</w:t>
            </w:r>
            <w:bookmarkEnd w:id="16"/>
          </w:p>
        </w:tc>
      </w:tr>
      <w:tr w:rsidR="00395B24" w:rsidRPr="0047414B" w14:paraId="71AC51C1" w14:textId="77777777">
        <w:tc>
          <w:tcPr>
            <w:tcW w:w="2376" w:type="dxa"/>
          </w:tcPr>
          <w:p w14:paraId="3A7924C4" w14:textId="77777777" w:rsidR="00395B24" w:rsidRPr="0047414B" w:rsidRDefault="002C7385">
            <w:pPr>
              <w:pStyle w:val="NormalHeadings"/>
              <w:spacing w:after="120"/>
              <w:jc w:val="left"/>
              <w:rPr>
                <w:caps/>
                <w:szCs w:val="24"/>
              </w:rPr>
            </w:pPr>
            <w:r w:rsidRPr="0047414B">
              <w:rPr>
                <w:caps/>
                <w:szCs w:val="24"/>
              </w:rPr>
              <w:t>DATE OF ORDER:</w:t>
            </w:r>
          </w:p>
        </w:tc>
        <w:tc>
          <w:tcPr>
            <w:tcW w:w="6866" w:type="dxa"/>
          </w:tcPr>
          <w:p w14:paraId="54844733" w14:textId="6A6054BE" w:rsidR="00395B24" w:rsidRPr="0047414B" w:rsidRDefault="00A30D34" w:rsidP="00A30D34">
            <w:pPr>
              <w:pStyle w:val="NormalHeadings"/>
              <w:jc w:val="left"/>
              <w:rPr>
                <w:caps/>
                <w:szCs w:val="24"/>
              </w:rPr>
            </w:pPr>
            <w:bookmarkStart w:id="17" w:name="Judgment_Dated"/>
            <w:bookmarkEnd w:id="17"/>
            <w:r>
              <w:rPr>
                <w:caps/>
                <w:szCs w:val="24"/>
              </w:rPr>
              <w:t>12 July 2023</w:t>
            </w:r>
          </w:p>
        </w:tc>
      </w:tr>
    </w:tbl>
    <w:p w14:paraId="7AC95E55" w14:textId="77777777" w:rsidR="00395B24" w:rsidRPr="0047414B" w:rsidRDefault="00395B24">
      <w:pPr>
        <w:pStyle w:val="NormalHeadings"/>
        <w:rPr>
          <w:b w:val="0"/>
        </w:rPr>
      </w:pPr>
    </w:p>
    <w:p w14:paraId="1A34E196" w14:textId="77777777" w:rsidR="008D1617" w:rsidRPr="0047414B" w:rsidRDefault="008D1617">
      <w:pPr>
        <w:pStyle w:val="NormalHeadings"/>
        <w:rPr>
          <w:b w:val="0"/>
        </w:rPr>
      </w:pPr>
    </w:p>
    <w:p w14:paraId="79BEF0F6" w14:textId="77777777" w:rsidR="00395B24" w:rsidRPr="0047414B" w:rsidRDefault="002C7385">
      <w:pPr>
        <w:pStyle w:val="NormalHeadings"/>
      </w:pPr>
      <w:r w:rsidRPr="0047414B">
        <w:t>THE COURT ORDERS THAT:</w:t>
      </w:r>
    </w:p>
    <w:p w14:paraId="2D2EF36C" w14:textId="77777777" w:rsidR="007F60DF" w:rsidRPr="0047414B" w:rsidRDefault="007F60DF" w:rsidP="00243E5E">
      <w:pPr>
        <w:pStyle w:val="NormalHeadings"/>
      </w:pPr>
    </w:p>
    <w:p w14:paraId="786FD9E4" w14:textId="0BD9E25A" w:rsidR="00A92CDD" w:rsidRPr="0047414B" w:rsidRDefault="00A92CDD" w:rsidP="00A92CDD">
      <w:pPr>
        <w:pStyle w:val="Order1"/>
      </w:pPr>
      <w:r w:rsidRPr="0047414B">
        <w:t>The appeal be dismissed.</w:t>
      </w:r>
    </w:p>
    <w:p w14:paraId="7D3D38FE" w14:textId="294FFA7C" w:rsidR="001A6C52" w:rsidRPr="0047414B" w:rsidRDefault="00A92CDD" w:rsidP="001D5E60">
      <w:pPr>
        <w:pStyle w:val="Order1"/>
      </w:pPr>
      <w:r w:rsidRPr="0047414B">
        <w:t xml:space="preserve">The appellant pay the respondent’s costs of the appeal, </w:t>
      </w:r>
      <w:r w:rsidR="001D5E60" w:rsidRPr="0047414B">
        <w:t>as agreed or taxed.</w:t>
      </w:r>
    </w:p>
    <w:p w14:paraId="30C06268" w14:textId="77777777" w:rsidR="001A6C52" w:rsidRPr="0047414B" w:rsidRDefault="001A6C52" w:rsidP="001A6C52">
      <w:pPr>
        <w:pStyle w:val="BodyText"/>
      </w:pPr>
    </w:p>
    <w:p w14:paraId="5F8C0C9E" w14:textId="77777777" w:rsidR="00A431E6" w:rsidRPr="0047414B" w:rsidRDefault="00A431E6" w:rsidP="001A6C52">
      <w:pPr>
        <w:pStyle w:val="BodyText"/>
      </w:pPr>
    </w:p>
    <w:p w14:paraId="1ACCE543" w14:textId="77777777" w:rsidR="0050309C" w:rsidRPr="0047414B" w:rsidRDefault="00FC5367" w:rsidP="004D53E5">
      <w:pPr>
        <w:pStyle w:val="SingleSpace"/>
      </w:pPr>
      <w:bookmarkStart w:id="18" w:name="OrdersStatement"/>
      <w:r w:rsidRPr="0047414B">
        <w:t>Note:</w:t>
      </w:r>
      <w:r w:rsidRPr="0047414B">
        <w:tab/>
        <w:t xml:space="preserve">Entry of orders is dealt with in Rule 39.32 of the </w:t>
      </w:r>
      <w:r w:rsidRPr="0047414B">
        <w:rPr>
          <w:i/>
        </w:rPr>
        <w:t>Federal Court Rules 2011</w:t>
      </w:r>
      <w:r w:rsidRPr="0047414B">
        <w:t>.</w:t>
      </w:r>
      <w:bookmarkEnd w:id="18"/>
    </w:p>
    <w:p w14:paraId="41840957" w14:textId="77777777" w:rsidR="00E23577" w:rsidRPr="0047414B" w:rsidRDefault="00E23577" w:rsidP="002B0E91">
      <w:pPr>
        <w:pStyle w:val="BodyText"/>
      </w:pPr>
    </w:p>
    <w:p w14:paraId="01672BD2" w14:textId="77777777" w:rsidR="00395B24" w:rsidRPr="0047414B" w:rsidRDefault="00395B24">
      <w:pPr>
        <w:pStyle w:val="NormalHeadings"/>
        <w:spacing w:before="240" w:after="120"/>
        <w:rPr>
          <w:b w:val="0"/>
        </w:rPr>
        <w:sectPr w:rsidR="00395B24" w:rsidRPr="0047414B"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6E08C944" w14:textId="77777777" w:rsidR="00484F6D" w:rsidRPr="0047414B" w:rsidRDefault="00484F6D" w:rsidP="00045BB7">
      <w:pPr>
        <w:pStyle w:val="NormalHeadings"/>
        <w:spacing w:line="480" w:lineRule="auto"/>
        <w:jc w:val="center"/>
        <w:rPr>
          <w:sz w:val="28"/>
          <w:szCs w:val="28"/>
        </w:rPr>
      </w:pPr>
      <w:bookmarkStart w:id="19" w:name="ReasonsPage"/>
      <w:bookmarkEnd w:id="19"/>
      <w:r w:rsidRPr="0047414B">
        <w:rPr>
          <w:sz w:val="28"/>
          <w:szCs w:val="28"/>
        </w:rPr>
        <w:lastRenderedPageBreak/>
        <w:t>REASONS FOR JUDGMENT</w:t>
      </w:r>
    </w:p>
    <w:p w14:paraId="621E1576" w14:textId="186A3669" w:rsidR="00694BEB" w:rsidRPr="0047414B" w:rsidRDefault="00ED3045" w:rsidP="005E0510">
      <w:pPr>
        <w:pStyle w:val="NormalHeadings"/>
        <w:spacing w:line="360" w:lineRule="auto"/>
        <w:jc w:val="left"/>
        <w:rPr>
          <w:sz w:val="26"/>
          <w:szCs w:val="26"/>
        </w:rPr>
      </w:pPr>
      <w:r w:rsidRPr="0047414B">
        <w:rPr>
          <w:caps/>
          <w:kern w:val="28"/>
        </w:rPr>
        <w:t>The</w:t>
      </w:r>
      <w:r w:rsidRPr="0047414B">
        <w:rPr>
          <w:sz w:val="26"/>
          <w:szCs w:val="26"/>
        </w:rPr>
        <w:t xml:space="preserve"> </w:t>
      </w:r>
      <w:r w:rsidRPr="0047414B">
        <w:rPr>
          <w:caps/>
          <w:kern w:val="28"/>
        </w:rPr>
        <w:t>court</w:t>
      </w:r>
      <w:r w:rsidR="00FC5367" w:rsidRPr="0047414B">
        <w:rPr>
          <w:sz w:val="26"/>
          <w:szCs w:val="26"/>
        </w:rPr>
        <w:t>:</w:t>
      </w:r>
    </w:p>
    <w:p w14:paraId="64ADE79D" w14:textId="15F97616" w:rsidR="00BD7AD4" w:rsidRPr="0047414B" w:rsidRDefault="00BD7AD4" w:rsidP="00BD7AD4">
      <w:pPr>
        <w:pStyle w:val="Heading1"/>
      </w:pPr>
      <w:r w:rsidRPr="0047414B">
        <w:t xml:space="preserve">INTrODUCTION </w:t>
      </w:r>
    </w:p>
    <w:p w14:paraId="6A12B974" w14:textId="78320A88" w:rsidR="00CD1346" w:rsidRPr="0047414B" w:rsidRDefault="00FC5367" w:rsidP="00CD1346">
      <w:pPr>
        <w:pStyle w:val="ParaNumbering"/>
      </w:pPr>
      <w:r w:rsidRPr="0047414B">
        <w:t xml:space="preserve">The appellant appeals from the decision of the primary judge dismissing his </w:t>
      </w:r>
      <w:r w:rsidR="009507CD" w:rsidRPr="0047414B">
        <w:t>appeal from</w:t>
      </w:r>
      <w:r w:rsidRPr="0047414B">
        <w:t xml:space="preserve"> a decision of the Administrative Appeals </w:t>
      </w:r>
      <w:r w:rsidRPr="0047414B">
        <w:rPr>
          <w:b/>
        </w:rPr>
        <w:t>Tribunal</w:t>
      </w:r>
      <w:r w:rsidR="0054338E" w:rsidRPr="0047414B">
        <w:t xml:space="preserve">. </w:t>
      </w:r>
      <w:r w:rsidR="00116802" w:rsidRPr="0047414B">
        <w:t xml:space="preserve"> </w:t>
      </w:r>
      <w:r w:rsidRPr="0047414B">
        <w:t xml:space="preserve">The Tribunal affirmed the </w:t>
      </w:r>
      <w:r w:rsidR="009A1543" w:rsidRPr="0047414B">
        <w:t>respondent’s</w:t>
      </w:r>
      <w:r w:rsidRPr="0047414B">
        <w:t xml:space="preserve"> objection decision disallowing the appellant’s objection to his assessment for the year of income ended 30 June 2009 (</w:t>
      </w:r>
      <w:r w:rsidRPr="0047414B">
        <w:rPr>
          <w:b/>
        </w:rPr>
        <w:t>2009 tax year</w:t>
      </w:r>
      <w:r w:rsidRPr="0047414B">
        <w:t>).</w:t>
      </w:r>
    </w:p>
    <w:p w14:paraId="5FFD8722" w14:textId="65C33271" w:rsidR="00ED3634" w:rsidRPr="0047414B" w:rsidRDefault="00ED3634" w:rsidP="00CD1346">
      <w:pPr>
        <w:pStyle w:val="ParaNumbering"/>
      </w:pPr>
      <w:r w:rsidRPr="0047414B">
        <w:t xml:space="preserve">The central issue in dispute is whether based on the terms of a deed of retirement and a partnership deed, the appellant was entitled to receive capital proceeds for the disposal of his interest in the goodwill of a partnership.  </w:t>
      </w:r>
    </w:p>
    <w:p w14:paraId="5B1A7B19" w14:textId="76FC23B1" w:rsidR="00BD7AD4" w:rsidRPr="0047414B" w:rsidRDefault="00BD7AD4" w:rsidP="009507CD">
      <w:pPr>
        <w:pStyle w:val="Heading1"/>
      </w:pPr>
      <w:r w:rsidRPr="0047414B">
        <w:t>Factual Background</w:t>
      </w:r>
    </w:p>
    <w:p w14:paraId="6B61947E" w14:textId="3DB60FB8" w:rsidR="00FC5367" w:rsidRPr="0047414B" w:rsidRDefault="00FC5367" w:rsidP="00CD1346">
      <w:pPr>
        <w:pStyle w:val="ParaNumbering"/>
      </w:pPr>
      <w:r w:rsidRPr="0047414B">
        <w:t>The appellant is a retired solicitor who relevantly practi</w:t>
      </w:r>
      <w:r w:rsidR="003D74BB" w:rsidRPr="0047414B">
        <w:t>s</w:t>
      </w:r>
      <w:r w:rsidRPr="0047414B">
        <w:t xml:space="preserve">ed as a partner of the </w:t>
      </w:r>
      <w:proofErr w:type="spellStart"/>
      <w:r w:rsidRPr="0047414B">
        <w:t>Curwoods</w:t>
      </w:r>
      <w:proofErr w:type="spellEnd"/>
      <w:r w:rsidRPr="0047414B">
        <w:t xml:space="preserve"> Lawyers </w:t>
      </w:r>
      <w:r w:rsidRPr="0047414B">
        <w:rPr>
          <w:b/>
        </w:rPr>
        <w:t>Partnership</w:t>
      </w:r>
      <w:r w:rsidR="0054338E" w:rsidRPr="0047414B">
        <w:t>.</w:t>
      </w:r>
      <w:r w:rsidR="00116802" w:rsidRPr="0047414B">
        <w:t xml:space="preserve"> </w:t>
      </w:r>
      <w:r w:rsidR="0054338E" w:rsidRPr="0047414B">
        <w:t xml:space="preserve"> </w:t>
      </w:r>
      <w:r w:rsidRPr="0047414B">
        <w:t>He retired from the Partnership at the end of 2008.</w:t>
      </w:r>
    </w:p>
    <w:p w14:paraId="02D9DD0B" w14:textId="07ADCBF7" w:rsidR="00116802" w:rsidRPr="0047414B" w:rsidRDefault="00116802" w:rsidP="009507CD">
      <w:pPr>
        <w:pStyle w:val="Heading2"/>
      </w:pPr>
      <w:r w:rsidRPr="0047414B">
        <w:t>Partnership Deed</w:t>
      </w:r>
    </w:p>
    <w:p w14:paraId="198AA18F" w14:textId="1CF6EA06" w:rsidR="00FC5367" w:rsidRPr="0047414B" w:rsidRDefault="00FC5367" w:rsidP="00CD1346">
      <w:pPr>
        <w:pStyle w:val="ParaNumbering"/>
      </w:pPr>
      <w:r w:rsidRPr="0047414B">
        <w:t xml:space="preserve">The terms of the Partnership were </w:t>
      </w:r>
      <w:r w:rsidR="006E4C9F" w:rsidRPr="0047414B">
        <w:t xml:space="preserve">recorded </w:t>
      </w:r>
      <w:r w:rsidRPr="0047414B">
        <w:t>in a Partnership Deed dated 25 September 2006</w:t>
      </w:r>
      <w:r w:rsidR="0054338E" w:rsidRPr="0047414B">
        <w:t xml:space="preserve">. </w:t>
      </w:r>
      <w:r w:rsidR="00173B78" w:rsidRPr="0047414B">
        <w:t xml:space="preserve"> </w:t>
      </w:r>
      <w:r w:rsidRPr="0047414B">
        <w:t>That deed relevantly provided:</w:t>
      </w:r>
    </w:p>
    <w:p w14:paraId="7664A11F" w14:textId="3CA50D28" w:rsidR="00FC5367" w:rsidRPr="0047414B" w:rsidRDefault="00FC5367" w:rsidP="00480A37">
      <w:pPr>
        <w:pStyle w:val="Quote1"/>
        <w:ind w:left="1440" w:hanging="703"/>
      </w:pPr>
      <w:r w:rsidRPr="0047414B">
        <w:t>2.5</w:t>
      </w:r>
      <w:r w:rsidRPr="0047414B">
        <w:tab/>
        <w:t xml:space="preserve">The Partners agree that the provisions of the </w:t>
      </w:r>
      <w:r w:rsidRPr="0047414B">
        <w:rPr>
          <w:i/>
        </w:rPr>
        <w:t>Partnership Act 1892</w:t>
      </w:r>
      <w:r w:rsidRPr="0047414B">
        <w:t xml:space="preserve"> (NSW) shall only apply to the Partnership where there is no corresponding provision herein, it being the intent of the Partners that this Deed sets out </w:t>
      </w:r>
      <w:r w:rsidR="00950928" w:rsidRPr="0047414B">
        <w:t xml:space="preserve">all </w:t>
      </w:r>
      <w:r w:rsidRPr="0047414B">
        <w:t>the terms and conditions that shall regulate their relations as partners and this Deed shall be construed accordingly.</w:t>
      </w:r>
    </w:p>
    <w:p w14:paraId="745D425D" w14:textId="5C611F6B" w:rsidR="00950928" w:rsidRPr="0047414B" w:rsidRDefault="00FC5367" w:rsidP="00FC5367">
      <w:pPr>
        <w:pStyle w:val="Quote1"/>
        <w:ind w:left="1440" w:hanging="703"/>
      </w:pPr>
      <w:r w:rsidRPr="0047414B">
        <w:t>3.</w:t>
      </w:r>
      <w:r w:rsidRPr="0047414B">
        <w:tab/>
      </w:r>
      <w:r w:rsidR="00950928" w:rsidRPr="0047414B">
        <w:rPr>
          <w:u w:val="single"/>
        </w:rPr>
        <w:t>NO TERMINATION</w:t>
      </w:r>
    </w:p>
    <w:p w14:paraId="0D86089E" w14:textId="6323ED8E" w:rsidR="00FC5367" w:rsidRPr="0047414B" w:rsidRDefault="00FC5367" w:rsidP="009507CD">
      <w:pPr>
        <w:pStyle w:val="Quote2"/>
      </w:pPr>
      <w:r w:rsidRPr="0047414B">
        <w:t>The death, retirement (including deemed retirement), expulsion or the happening of an event which results in a Partner ceasing to be a member of the Partnership does not terminate the Partnership as between the other Partners as long as there are two or more other Partners to continue the Partnership.</w:t>
      </w:r>
    </w:p>
    <w:p w14:paraId="6A054DAB" w14:textId="77777777" w:rsidR="00BB6181" w:rsidRPr="0047414B" w:rsidRDefault="00BB6181" w:rsidP="00FC5367">
      <w:pPr>
        <w:pStyle w:val="Quote1"/>
        <w:ind w:left="1440" w:hanging="703"/>
      </w:pPr>
      <w:r w:rsidRPr="0047414B">
        <w:t>…</w:t>
      </w:r>
    </w:p>
    <w:p w14:paraId="688182C5" w14:textId="77777777" w:rsidR="00FC5367" w:rsidRPr="0047414B" w:rsidRDefault="00FC5367" w:rsidP="00FC5367">
      <w:pPr>
        <w:pStyle w:val="Quote1"/>
        <w:ind w:left="1440" w:hanging="703"/>
        <w:rPr>
          <w:u w:val="single"/>
        </w:rPr>
      </w:pPr>
      <w:r w:rsidRPr="0047414B">
        <w:t>24.</w:t>
      </w:r>
      <w:r w:rsidRPr="0047414B">
        <w:tab/>
      </w:r>
      <w:r w:rsidRPr="0047414B">
        <w:rPr>
          <w:u w:val="single"/>
        </w:rPr>
        <w:t>PARTNER RETIRING BY NOTICE</w:t>
      </w:r>
    </w:p>
    <w:p w14:paraId="4B829DC0" w14:textId="77777777" w:rsidR="00FC5367" w:rsidRPr="0047414B" w:rsidRDefault="00FC5367" w:rsidP="00FC5367">
      <w:pPr>
        <w:pStyle w:val="Quote2"/>
      </w:pPr>
      <w:r w:rsidRPr="0047414B">
        <w:t>A Partner wishing to retire from the Partnership shall give to the other Partners not less than six (6) months' previous notice in writing or at any earlier time with the consent of the other Partners.</w:t>
      </w:r>
    </w:p>
    <w:p w14:paraId="6CEAB4F3" w14:textId="77777777" w:rsidR="00FC5367" w:rsidRPr="0047414B" w:rsidRDefault="00FC5367" w:rsidP="00FC5367">
      <w:pPr>
        <w:pStyle w:val="Quote1"/>
        <w:rPr>
          <w:u w:val="single"/>
          <w:lang w:eastAsia="en-AU"/>
        </w:rPr>
      </w:pPr>
      <w:r w:rsidRPr="0047414B">
        <w:t>25.</w:t>
      </w:r>
      <w:r w:rsidRPr="0047414B">
        <w:tab/>
      </w:r>
      <w:r w:rsidRPr="0047414B">
        <w:rPr>
          <w:u w:val="single"/>
          <w:lang w:eastAsia="en-AU"/>
        </w:rPr>
        <w:t>EFFECT OF RETIREMENT AND PAYMENT</w:t>
      </w:r>
    </w:p>
    <w:p w14:paraId="032CC531" w14:textId="51A64D18" w:rsidR="00FC5367" w:rsidRPr="0047414B" w:rsidRDefault="00FC5367" w:rsidP="00FC5367">
      <w:pPr>
        <w:pStyle w:val="Quote2"/>
      </w:pPr>
      <w:r w:rsidRPr="0047414B">
        <w:t xml:space="preserve">Upon the retirement of a Partner under clauses 22, 23 or 24 hereof, or otherwise </w:t>
      </w:r>
      <w:r w:rsidRPr="0047414B">
        <w:lastRenderedPageBreak/>
        <w:t xml:space="preserve">however arising, </w:t>
      </w:r>
      <w:r w:rsidR="00942CA8">
        <w:t>or, upon the death of a Partner,</w:t>
      </w:r>
      <w:r w:rsidRPr="0047414B">
        <w:t xml:space="preserve"> he, or his legal personal representative, shall be paid:</w:t>
      </w:r>
    </w:p>
    <w:p w14:paraId="6795A677" w14:textId="77777777" w:rsidR="00FC5367" w:rsidRPr="0047414B" w:rsidRDefault="00FC5367" w:rsidP="00FC5367">
      <w:pPr>
        <w:pStyle w:val="Quote2"/>
        <w:ind w:left="2160" w:hanging="720"/>
      </w:pPr>
      <w:r w:rsidRPr="0047414B">
        <w:t>25.1</w:t>
      </w:r>
      <w:r w:rsidRPr="0047414B">
        <w:tab/>
      </w:r>
      <w:proofErr w:type="gramStart"/>
      <w:r w:rsidRPr="0047414B">
        <w:t>the</w:t>
      </w:r>
      <w:proofErr w:type="gramEnd"/>
      <w:r w:rsidRPr="0047414B">
        <w:t xml:space="preserve"> amount standing to the credit of his Capital Account in the books of the Partnership;</w:t>
      </w:r>
    </w:p>
    <w:p w14:paraId="73200FE0" w14:textId="77777777" w:rsidR="00FC5367" w:rsidRPr="0047414B" w:rsidRDefault="00FC5367" w:rsidP="00FC5367">
      <w:pPr>
        <w:pStyle w:val="Quote2"/>
        <w:ind w:left="2160" w:hanging="720"/>
      </w:pPr>
      <w:r w:rsidRPr="0047414B">
        <w:t>25.2</w:t>
      </w:r>
      <w:r w:rsidRPr="0047414B">
        <w:tab/>
      </w:r>
      <w:proofErr w:type="gramStart"/>
      <w:r w:rsidRPr="0047414B">
        <w:t>the</w:t>
      </w:r>
      <w:proofErr w:type="gramEnd"/>
      <w:r w:rsidRPr="0047414B">
        <w:t xml:space="preserve"> amount standing to the credit of his Current Account in the books of the Partnership;</w:t>
      </w:r>
    </w:p>
    <w:p w14:paraId="300E03C1" w14:textId="77777777" w:rsidR="00FC5367" w:rsidRPr="0047414B" w:rsidRDefault="00FC5367" w:rsidP="00FC5367">
      <w:pPr>
        <w:pStyle w:val="Quote2"/>
        <w:ind w:left="2160" w:hanging="720"/>
      </w:pPr>
      <w:r w:rsidRPr="0047414B">
        <w:t>25.3</w:t>
      </w:r>
      <w:r w:rsidRPr="0047414B">
        <w:tab/>
      </w:r>
      <w:proofErr w:type="gramStart"/>
      <w:r w:rsidRPr="0047414B">
        <w:t>his</w:t>
      </w:r>
      <w:proofErr w:type="gramEnd"/>
      <w:r w:rsidRPr="0047414B">
        <w:t xml:space="preserve"> proportionate part calculated in accordance with the Partnership Interests of the Work in Progress. The value of Work in Progress for the purposes of this clause shall be determined either by the Partners, including the Outgoing Partner, or in the absence of such agreement by an independent costs consultant appointed by the President for the time being of the Law Society of New South Wales (or nominee), which consultant shall act as an expert and not as a mediator or arbitrator and whose decision shall be binding on the Partners unless in the case of a manifest and material error of fact. The costs of such consultant shall be a Partnership expense; and</w:t>
      </w:r>
    </w:p>
    <w:p w14:paraId="24B2D4DD" w14:textId="77777777" w:rsidR="00BB6181" w:rsidRPr="0047414B" w:rsidRDefault="00FC5367" w:rsidP="00BB6181">
      <w:pPr>
        <w:pStyle w:val="Quote2"/>
        <w:ind w:left="2160" w:hanging="720"/>
      </w:pPr>
      <w:r w:rsidRPr="0047414B">
        <w:t>25.4</w:t>
      </w:r>
      <w:r w:rsidRPr="0047414B">
        <w:tab/>
      </w:r>
      <w:r w:rsidR="00BB6181" w:rsidRPr="0047414B">
        <w:t>his proportionate part calculated in accordance with the Partnership Interests of the goodwill of the Partnership, the value of the goodwill shall be the equivalent of 50% of the annual net trading profit of the Partnership (as opposed to net taxable profit) averaged over the preceding three (3) years. For the purposes of calculating such net trading profit salaries paid to Equity Partners and the profit component of management fees paid by the Partnership to any associated service entity shall be excluded and shall be added back. In the event of a dispute concerning the proper basis for and/or the calculation of the net trading profit, then such dispute shall be determined by the nominee of the accountants for the Partnership (and being a member of that firm) who shall act as an expert and not as a mediator or arbitrator and whose decision shall be binding on the Partners unless in the case of manifest and material error of fact. The costs of such accountants shall be a Partnership expense. If such accountants decline to so act then by an accountant appointed by the President for the time being of the Law Society of New South Wales (or nominee), which accountant shall act as an expert and not as a mediator or arbitrator and whose decision shall be binding on the Partners unless in the case of a manifest and material error of fact.</w:t>
      </w:r>
    </w:p>
    <w:p w14:paraId="7B9CDC47" w14:textId="77777777" w:rsidR="00FC5367" w:rsidRPr="0047414B" w:rsidRDefault="00BB6181" w:rsidP="00BB6181">
      <w:pPr>
        <w:pStyle w:val="Quote1"/>
        <w:rPr>
          <w:u w:val="single"/>
        </w:rPr>
      </w:pPr>
      <w:r w:rsidRPr="0047414B">
        <w:t>26.</w:t>
      </w:r>
      <w:r w:rsidRPr="0047414B">
        <w:tab/>
      </w:r>
      <w:r w:rsidRPr="0047414B">
        <w:rPr>
          <w:u w:val="single"/>
        </w:rPr>
        <w:t>SET-OFF</w:t>
      </w:r>
    </w:p>
    <w:p w14:paraId="4BBB8043" w14:textId="77777777" w:rsidR="00BB6181" w:rsidRPr="0047414B" w:rsidRDefault="00BB6181" w:rsidP="00BB6181">
      <w:pPr>
        <w:pStyle w:val="Quote2"/>
      </w:pPr>
      <w:r w:rsidRPr="0047414B">
        <w:t>Upon the retirement or death of any Partner, any moneys owing by such Partner as at retirement or death shall be determined and shall be offset against any amount found owing to the Outgoing Partner as at the date of retirement or death.</w:t>
      </w:r>
    </w:p>
    <w:p w14:paraId="7334568A" w14:textId="77777777" w:rsidR="00FC5367" w:rsidRPr="0047414B" w:rsidRDefault="00BB6181" w:rsidP="00BB6181">
      <w:pPr>
        <w:pStyle w:val="Quote1"/>
        <w:rPr>
          <w:u w:val="single"/>
        </w:rPr>
      </w:pPr>
      <w:r w:rsidRPr="0047414B">
        <w:t>27.</w:t>
      </w:r>
      <w:r w:rsidRPr="0047414B">
        <w:tab/>
      </w:r>
      <w:r w:rsidRPr="0047414B">
        <w:rPr>
          <w:u w:val="single"/>
        </w:rPr>
        <w:t>TERMS OF PAYMENT</w:t>
      </w:r>
    </w:p>
    <w:p w14:paraId="39E8E1EC" w14:textId="77777777" w:rsidR="00FC5367" w:rsidRPr="0047414B" w:rsidRDefault="00BB6181" w:rsidP="00BB6181">
      <w:pPr>
        <w:pStyle w:val="Quote2"/>
      </w:pPr>
      <w:r w:rsidRPr="0047414B">
        <w:t>Subject to clauses 25 and 26 hereof the amount payable to the Outgoing Partner shall be paid by three (3) equal consecutive six (6) monthly instalments the first to be paid six (6) months after the date of retirement or death of the Outgoing Partner provided that:</w:t>
      </w:r>
    </w:p>
    <w:p w14:paraId="362FE2E4" w14:textId="062836A8" w:rsidR="00BB6181" w:rsidRPr="0047414B" w:rsidRDefault="00BB6181" w:rsidP="00BB6181">
      <w:pPr>
        <w:pStyle w:val="Quote2"/>
        <w:ind w:left="2160" w:hanging="720"/>
      </w:pPr>
      <w:r w:rsidRPr="0047414B">
        <w:t>27.1</w:t>
      </w:r>
      <w:r w:rsidRPr="0047414B">
        <w:tab/>
        <w:t xml:space="preserve">in respect of the instalments or any or all of them, if the same are not </w:t>
      </w:r>
      <w:r w:rsidRPr="0047414B">
        <w:lastRenderedPageBreak/>
        <w:t xml:space="preserve">paid within seven (7) days of the due date interest shall be payable in respect of such unpaid instalments at the rate for the time being charged to the Partnership on </w:t>
      </w:r>
      <w:r w:rsidR="00D514B9" w:rsidRPr="0047414B">
        <w:t>i</w:t>
      </w:r>
      <w:r w:rsidRPr="0047414B">
        <w:t xml:space="preserve">ts bank overdraft account from the date on which the payment was due to the date of payment (and if the Partnership does not have an overdraft then at the prescribed rate of </w:t>
      </w:r>
      <w:r w:rsidR="00D514B9" w:rsidRPr="0047414B">
        <w:t>i</w:t>
      </w:r>
      <w:r w:rsidRPr="0047414B">
        <w:t>nterest payable on Judgments of the Supreme Court of New South Wales); and</w:t>
      </w:r>
    </w:p>
    <w:p w14:paraId="66201B98" w14:textId="4FC57D62" w:rsidR="00BB6181" w:rsidRPr="0047414B" w:rsidRDefault="00BB6181" w:rsidP="00BB6181">
      <w:pPr>
        <w:pStyle w:val="Quote2"/>
        <w:ind w:left="2160" w:hanging="720"/>
      </w:pPr>
      <w:r w:rsidRPr="0047414B">
        <w:t>27.2</w:t>
      </w:r>
      <w:r w:rsidRPr="0047414B">
        <w:tab/>
        <w:t xml:space="preserve">irrespective of the provisions contained in this clause, the Continuing Partners shall use their best endeavours to discharge their liability hereunder within six (6) months, or such earlier time than eighteen (18) months as may be practicable, having regard to the overall financial position of the Partnership provided that </w:t>
      </w:r>
      <w:r w:rsidR="00A51F7B" w:rsidRPr="0047414B">
        <w:t>i</w:t>
      </w:r>
      <w:r w:rsidRPr="0047414B">
        <w:t>t is not the intention of the Partners that this clause shall operate as a legally enforceable commitment so to do.</w:t>
      </w:r>
    </w:p>
    <w:p w14:paraId="2027D671" w14:textId="5005F53F" w:rsidR="00116802" w:rsidRPr="0047414B" w:rsidRDefault="00116802" w:rsidP="009507CD">
      <w:pPr>
        <w:pStyle w:val="Heading2"/>
      </w:pPr>
      <w:r w:rsidRPr="0047414B">
        <w:t xml:space="preserve">Deed of Retirement </w:t>
      </w:r>
    </w:p>
    <w:p w14:paraId="78CF7D18" w14:textId="5B8B9119" w:rsidR="00FC5367" w:rsidRPr="0047414B" w:rsidRDefault="00BB6181" w:rsidP="00CD1346">
      <w:pPr>
        <w:pStyle w:val="ParaNumbering"/>
      </w:pPr>
      <w:r w:rsidRPr="0047414B">
        <w:t xml:space="preserve">On or about 30 September 2008, the appellant and his then partners executed a </w:t>
      </w:r>
      <w:r w:rsidR="00AD0EE3" w:rsidRPr="0047414B">
        <w:t>D</w:t>
      </w:r>
      <w:r w:rsidRPr="0047414B">
        <w:t xml:space="preserve">eed of </w:t>
      </w:r>
      <w:r w:rsidR="00AD0EE3" w:rsidRPr="0047414B">
        <w:t>P</w:t>
      </w:r>
      <w:r w:rsidRPr="0047414B">
        <w:t xml:space="preserve">artner’s </w:t>
      </w:r>
      <w:r w:rsidR="00AD0EE3" w:rsidRPr="0047414B">
        <w:t>R</w:t>
      </w:r>
      <w:r w:rsidRPr="0047414B">
        <w:t>etirement (</w:t>
      </w:r>
      <w:r w:rsidRPr="0047414B">
        <w:rPr>
          <w:b/>
        </w:rPr>
        <w:t>Retirement Deed</w:t>
      </w:r>
      <w:r w:rsidRPr="0047414B">
        <w:t>)</w:t>
      </w:r>
      <w:r w:rsidR="0054338E" w:rsidRPr="0047414B">
        <w:t xml:space="preserve">. </w:t>
      </w:r>
      <w:r w:rsidR="009814CF" w:rsidRPr="0047414B">
        <w:t xml:space="preserve"> </w:t>
      </w:r>
      <w:r w:rsidRPr="0047414B">
        <w:t>That deed relevantly provided:</w:t>
      </w:r>
    </w:p>
    <w:p w14:paraId="4AFEEA9E" w14:textId="77777777" w:rsidR="00BB6181" w:rsidRPr="0047414B" w:rsidRDefault="00BB6181" w:rsidP="00BB6181">
      <w:pPr>
        <w:pStyle w:val="Quote1"/>
      </w:pPr>
      <w:r w:rsidRPr="0047414B">
        <w:rPr>
          <w:b/>
        </w:rPr>
        <w:t>BACKGROUND</w:t>
      </w:r>
    </w:p>
    <w:p w14:paraId="307B94A1" w14:textId="77777777" w:rsidR="00BB6181" w:rsidRPr="0047414B" w:rsidRDefault="00BB6181" w:rsidP="00BB6181">
      <w:pPr>
        <w:pStyle w:val="Quote1"/>
        <w:ind w:left="1440" w:hanging="703"/>
      </w:pPr>
      <w:r w:rsidRPr="0047414B">
        <w:t>A.</w:t>
      </w:r>
      <w:r w:rsidRPr="0047414B">
        <w:tab/>
        <w:t>The Ongoing Partners and the Retiring Partner are parties to a Partnership Deed of 25 September 2006 ("the Deed") in respect of the legal practice called "</w:t>
      </w:r>
      <w:proofErr w:type="spellStart"/>
      <w:r w:rsidRPr="0047414B">
        <w:t>Curwoods</w:t>
      </w:r>
      <w:proofErr w:type="spellEnd"/>
      <w:r w:rsidRPr="0047414B">
        <w:t xml:space="preserve"> Lawyers" ("the Partnership").</w:t>
      </w:r>
    </w:p>
    <w:p w14:paraId="1001A72D" w14:textId="144A464C" w:rsidR="00BB6181" w:rsidRPr="0047414B" w:rsidRDefault="00BB6181" w:rsidP="00665E1D">
      <w:pPr>
        <w:pStyle w:val="Quote1"/>
        <w:ind w:left="1440" w:hanging="703"/>
      </w:pPr>
      <w:r w:rsidRPr="0047414B">
        <w:t xml:space="preserve">B. </w:t>
      </w:r>
      <w:r w:rsidR="00665E1D" w:rsidRPr="0047414B">
        <w:tab/>
      </w:r>
      <w:r w:rsidRPr="0047414B">
        <w:t>The Retiring Partner is retiring from the Partners</w:t>
      </w:r>
      <w:r w:rsidR="00665E1D" w:rsidRPr="0047414B">
        <w:t xml:space="preserve">hip upon 31 December 2008 ("the </w:t>
      </w:r>
      <w:r w:rsidRPr="0047414B">
        <w:t>Departure Date")</w:t>
      </w:r>
    </w:p>
    <w:p w14:paraId="2A773627" w14:textId="77777777" w:rsidR="00BB6181" w:rsidRPr="0047414B" w:rsidRDefault="00BB6181" w:rsidP="00665E1D">
      <w:pPr>
        <w:pStyle w:val="Quote1"/>
        <w:ind w:left="1440" w:hanging="703"/>
      </w:pPr>
      <w:r w:rsidRPr="0047414B">
        <w:t xml:space="preserve">C. </w:t>
      </w:r>
      <w:r w:rsidR="00665E1D" w:rsidRPr="0047414B">
        <w:tab/>
      </w:r>
      <w:r w:rsidRPr="0047414B">
        <w:t>The Parties intend by this Deed to record their agreemen</w:t>
      </w:r>
      <w:r w:rsidR="00665E1D" w:rsidRPr="0047414B">
        <w:t xml:space="preserve">t as to the retirement from the </w:t>
      </w:r>
      <w:r w:rsidRPr="0047414B">
        <w:t>Partnership of the Retiring Partner to the intent that as and fro</w:t>
      </w:r>
      <w:r w:rsidR="00665E1D" w:rsidRPr="0047414B">
        <w:t xml:space="preserve">m the Departure Date the </w:t>
      </w:r>
      <w:r w:rsidRPr="0047414B">
        <w:t>Retiring Partner (or his nominee) shall have no further inte</w:t>
      </w:r>
      <w:r w:rsidR="00665E1D" w:rsidRPr="0047414B">
        <w:t xml:space="preserve">rest in or association with the </w:t>
      </w:r>
      <w:r w:rsidRPr="0047414B">
        <w:t>Partnership; Quinton; and the Quinton Trust.</w:t>
      </w:r>
    </w:p>
    <w:p w14:paraId="3A65309D" w14:textId="77777777" w:rsidR="00665E1D" w:rsidRPr="0047414B" w:rsidRDefault="00665E1D" w:rsidP="00665E1D">
      <w:pPr>
        <w:pStyle w:val="Quote1"/>
        <w:ind w:left="1440" w:hanging="703"/>
        <w:rPr>
          <w:b/>
          <w:u w:val="single"/>
        </w:rPr>
      </w:pPr>
      <w:r w:rsidRPr="0047414B">
        <w:rPr>
          <w:b/>
          <w:u w:val="single"/>
        </w:rPr>
        <w:t>DEFINITIONS &amp; INTERPRETATION</w:t>
      </w:r>
    </w:p>
    <w:p w14:paraId="5706C496" w14:textId="77777777" w:rsidR="00665E1D" w:rsidRPr="0047414B" w:rsidRDefault="00665E1D" w:rsidP="00665E1D">
      <w:pPr>
        <w:pStyle w:val="Quote1"/>
        <w:rPr>
          <w:b/>
        </w:rPr>
      </w:pPr>
      <w:r w:rsidRPr="0047414B">
        <w:rPr>
          <w:b/>
        </w:rPr>
        <w:t>1.</w:t>
      </w:r>
      <w:r w:rsidRPr="0047414B">
        <w:rPr>
          <w:b/>
        </w:rPr>
        <w:tab/>
        <w:t>Definitions:</w:t>
      </w:r>
    </w:p>
    <w:p w14:paraId="39B08842" w14:textId="77777777" w:rsidR="00665E1D" w:rsidRPr="0047414B" w:rsidRDefault="00665E1D" w:rsidP="00665E1D">
      <w:pPr>
        <w:pStyle w:val="Quote1"/>
      </w:pPr>
      <w:r w:rsidRPr="0047414B">
        <w:t>…</w:t>
      </w:r>
    </w:p>
    <w:p w14:paraId="446816AE" w14:textId="7CCCE453" w:rsidR="00665E1D" w:rsidRPr="0047414B" w:rsidRDefault="00665E1D" w:rsidP="00665E1D">
      <w:pPr>
        <w:pStyle w:val="Quote1"/>
      </w:pPr>
      <w:r w:rsidRPr="0047414B">
        <w:t>“</w:t>
      </w:r>
      <w:r w:rsidRPr="0047414B">
        <w:rPr>
          <w:b/>
        </w:rPr>
        <w:t>Accounts of the Partnership</w:t>
      </w:r>
      <w:r w:rsidRPr="0047414B">
        <w:t>” means the financial statements (including profit and loss account and balance sheet of the Partnership and the Quinton Trust) prepared by the Accountants as at the Departure Date for the purposes of Clauses 3.7, 3.8, 3.9 and 3.10 hereof.</w:t>
      </w:r>
    </w:p>
    <w:p w14:paraId="5B6043FB" w14:textId="32F7B8E4" w:rsidR="00FB0CA7" w:rsidRPr="0047414B" w:rsidRDefault="00FB0CA7" w:rsidP="00665E1D">
      <w:pPr>
        <w:pStyle w:val="Quote1"/>
      </w:pPr>
      <w:r w:rsidRPr="0047414B">
        <w:t>…</w:t>
      </w:r>
    </w:p>
    <w:p w14:paraId="683AEEB8" w14:textId="77777777" w:rsidR="00665E1D" w:rsidRPr="0047414B" w:rsidRDefault="00665E1D" w:rsidP="00665E1D">
      <w:pPr>
        <w:pStyle w:val="Quote1"/>
        <w:ind w:left="1440" w:hanging="703"/>
        <w:rPr>
          <w:b/>
        </w:rPr>
      </w:pPr>
      <w:r w:rsidRPr="0047414B">
        <w:rPr>
          <w:b/>
        </w:rPr>
        <w:t>OPERATIVE PROVISIONS</w:t>
      </w:r>
    </w:p>
    <w:p w14:paraId="37E4FD0F" w14:textId="77777777" w:rsidR="00665E1D" w:rsidRPr="0047414B" w:rsidRDefault="00665E1D" w:rsidP="00665E1D">
      <w:pPr>
        <w:pStyle w:val="Quote1"/>
        <w:ind w:left="1440" w:hanging="703"/>
        <w:rPr>
          <w:u w:val="single"/>
        </w:rPr>
      </w:pPr>
      <w:r w:rsidRPr="0047414B">
        <w:rPr>
          <w:u w:val="single"/>
        </w:rPr>
        <w:t>Departure Date</w:t>
      </w:r>
    </w:p>
    <w:p w14:paraId="66CCF7B9" w14:textId="77777777" w:rsidR="00665E1D" w:rsidRPr="0047414B" w:rsidRDefault="00665E1D" w:rsidP="00665E1D">
      <w:pPr>
        <w:pStyle w:val="Quote1"/>
        <w:rPr>
          <w:lang w:eastAsia="en-AU"/>
        </w:rPr>
      </w:pPr>
      <w:r w:rsidRPr="0047414B">
        <w:t>3.1</w:t>
      </w:r>
      <w:r w:rsidRPr="0047414B">
        <w:tab/>
      </w:r>
      <w:r w:rsidRPr="0047414B">
        <w:rPr>
          <w:lang w:eastAsia="en-AU"/>
        </w:rPr>
        <w:t>The Retiring Partner shall retire from the Partnership upon the Departure Date</w:t>
      </w:r>
    </w:p>
    <w:p w14:paraId="604854CA" w14:textId="77777777" w:rsidR="00665E1D" w:rsidRPr="0047414B" w:rsidRDefault="00665E1D" w:rsidP="00665E1D">
      <w:pPr>
        <w:pStyle w:val="Quote1"/>
        <w:rPr>
          <w:lang w:eastAsia="en-AU"/>
        </w:rPr>
      </w:pPr>
      <w:r w:rsidRPr="0047414B">
        <w:rPr>
          <w:lang w:eastAsia="en-AU"/>
        </w:rPr>
        <w:t>…</w:t>
      </w:r>
    </w:p>
    <w:p w14:paraId="51E9A864" w14:textId="77777777" w:rsidR="00665E1D" w:rsidRPr="0047414B" w:rsidRDefault="00665E1D" w:rsidP="00665E1D">
      <w:pPr>
        <w:pStyle w:val="Quote1"/>
        <w:rPr>
          <w:b/>
          <w:lang w:eastAsia="en-AU"/>
        </w:rPr>
      </w:pPr>
      <w:r w:rsidRPr="0047414B">
        <w:rPr>
          <w:b/>
          <w:lang w:eastAsia="en-AU"/>
        </w:rPr>
        <w:t>Releases and Indemnities</w:t>
      </w:r>
    </w:p>
    <w:p w14:paraId="0BEDEA75" w14:textId="77777777" w:rsidR="00665E1D" w:rsidRPr="0047414B" w:rsidRDefault="00665E1D" w:rsidP="00665E1D">
      <w:pPr>
        <w:pStyle w:val="Quote1"/>
        <w:ind w:left="1440" w:hanging="703"/>
        <w:rPr>
          <w:lang w:eastAsia="en-AU"/>
        </w:rPr>
      </w:pPr>
      <w:r w:rsidRPr="0047414B">
        <w:rPr>
          <w:lang w:eastAsia="en-AU"/>
        </w:rPr>
        <w:lastRenderedPageBreak/>
        <w:t>3.4</w:t>
      </w:r>
      <w:r w:rsidRPr="0047414B">
        <w:rPr>
          <w:lang w:eastAsia="en-AU"/>
        </w:rPr>
        <w:tab/>
        <w:t>Effective as and from the Departure Date the Ongoing Partners hereby release and indemnify the Retiring Partner from and indemnify him in relation to his liabilities (if any) arising out of each of the following and where the liabilities, guarantees, indemnities, or obligations are owed to a third party shall use their reasonable endeavours (and being no less than the reasonable endeavours used before the date hereof in respect of other retiring partners) to procure from that third party the release of the Retiring Partner from:-</w:t>
      </w:r>
    </w:p>
    <w:p w14:paraId="41485415" w14:textId="77777777" w:rsidR="00665E1D" w:rsidRPr="0047414B" w:rsidRDefault="00665E1D" w:rsidP="00665E1D">
      <w:pPr>
        <w:pStyle w:val="Quote1"/>
        <w:ind w:left="1440" w:hanging="703"/>
        <w:rPr>
          <w:lang w:eastAsia="en-AU"/>
        </w:rPr>
      </w:pPr>
      <w:r w:rsidRPr="0047414B">
        <w:rPr>
          <w:lang w:eastAsia="en-AU"/>
        </w:rPr>
        <w:t>3.4.1</w:t>
      </w:r>
      <w:r w:rsidRPr="0047414B">
        <w:rPr>
          <w:lang w:eastAsia="en-AU"/>
        </w:rPr>
        <w:tab/>
        <w:t xml:space="preserve">Partnership </w:t>
      </w:r>
      <w:r w:rsidR="009A1543" w:rsidRPr="0047414B">
        <w:rPr>
          <w:lang w:eastAsia="en-AU"/>
        </w:rPr>
        <w:t>Liabilities</w:t>
      </w:r>
      <w:r w:rsidRPr="0047414B">
        <w:rPr>
          <w:lang w:eastAsia="en-AU"/>
        </w:rPr>
        <w:t>;</w:t>
      </w:r>
    </w:p>
    <w:p w14:paraId="0ECE91B5" w14:textId="77777777" w:rsidR="00665E1D" w:rsidRPr="0047414B" w:rsidRDefault="00665E1D" w:rsidP="00665E1D">
      <w:pPr>
        <w:pStyle w:val="Quote1"/>
        <w:ind w:left="1440" w:hanging="703"/>
        <w:rPr>
          <w:lang w:eastAsia="en-AU"/>
        </w:rPr>
      </w:pPr>
      <w:r w:rsidRPr="0047414B">
        <w:rPr>
          <w:lang w:eastAsia="en-AU"/>
        </w:rPr>
        <w:t>3.4.2</w:t>
      </w:r>
      <w:r w:rsidRPr="0047414B">
        <w:rPr>
          <w:lang w:eastAsia="en-AU"/>
        </w:rPr>
        <w:tab/>
        <w:t>Partnership Guarantees; and</w:t>
      </w:r>
    </w:p>
    <w:p w14:paraId="25B88BB2" w14:textId="77777777" w:rsidR="00665E1D" w:rsidRPr="0047414B" w:rsidRDefault="00665E1D" w:rsidP="00665E1D">
      <w:pPr>
        <w:pStyle w:val="Quote1"/>
        <w:ind w:left="1440" w:hanging="703"/>
        <w:rPr>
          <w:lang w:eastAsia="en-AU"/>
        </w:rPr>
      </w:pPr>
      <w:r w:rsidRPr="0047414B">
        <w:rPr>
          <w:lang w:eastAsia="en-AU"/>
        </w:rPr>
        <w:t>3.4.3</w:t>
      </w:r>
      <w:r w:rsidRPr="0047414B">
        <w:rPr>
          <w:lang w:eastAsia="en-AU"/>
        </w:rPr>
        <w:tab/>
        <w:t>Partnership Obligations;</w:t>
      </w:r>
    </w:p>
    <w:p w14:paraId="33D3F552" w14:textId="11F1A6D2" w:rsidR="00665E1D" w:rsidRPr="0047414B" w:rsidRDefault="00665E1D" w:rsidP="00665E1D">
      <w:pPr>
        <w:pStyle w:val="Quote1"/>
        <w:ind w:left="1440" w:hanging="703"/>
        <w:rPr>
          <w:lang w:eastAsia="en-AU"/>
        </w:rPr>
      </w:pPr>
      <w:r w:rsidRPr="0047414B">
        <w:rPr>
          <w:lang w:eastAsia="en-AU"/>
        </w:rPr>
        <w:t>3.5</w:t>
      </w:r>
      <w:r w:rsidRPr="0047414B">
        <w:rPr>
          <w:lang w:eastAsia="en-AU"/>
        </w:rPr>
        <w:tab/>
      </w:r>
      <w:r w:rsidR="009A1543" w:rsidRPr="0047414B">
        <w:rPr>
          <w:lang w:eastAsia="en-AU"/>
        </w:rPr>
        <w:t>U</w:t>
      </w:r>
      <w:r w:rsidRPr="0047414B">
        <w:rPr>
          <w:lang w:eastAsia="en-AU"/>
        </w:rPr>
        <w:t xml:space="preserve">ntil the Retiring Partner is </w:t>
      </w:r>
      <w:r w:rsidR="009A1543" w:rsidRPr="0047414B">
        <w:rPr>
          <w:lang w:eastAsia="en-AU"/>
        </w:rPr>
        <w:t>released</w:t>
      </w:r>
      <w:r w:rsidRPr="0047414B">
        <w:rPr>
          <w:lang w:eastAsia="en-AU"/>
        </w:rPr>
        <w:t xml:space="preserve"> by a third party as aforesaid the Ongoing Partners shall indemnify and hold indemnified the </w:t>
      </w:r>
      <w:r w:rsidR="009A1543" w:rsidRPr="0047414B">
        <w:rPr>
          <w:lang w:eastAsia="en-AU"/>
        </w:rPr>
        <w:t>Retiring</w:t>
      </w:r>
      <w:r w:rsidRPr="0047414B">
        <w:rPr>
          <w:lang w:eastAsia="en-AU"/>
        </w:rPr>
        <w:t xml:space="preserve"> Partner from all</w:t>
      </w:r>
      <w:r w:rsidR="001541AC" w:rsidRPr="0047414B">
        <w:rPr>
          <w:lang w:eastAsia="en-AU"/>
        </w:rPr>
        <w:t>:</w:t>
      </w:r>
      <w:r w:rsidR="00FD1002" w:rsidRPr="0047414B">
        <w:rPr>
          <w:lang w:eastAsia="en-AU"/>
        </w:rPr>
        <w:t xml:space="preserve">- </w:t>
      </w:r>
    </w:p>
    <w:p w14:paraId="65771378" w14:textId="77777777" w:rsidR="00665E1D" w:rsidRPr="0047414B" w:rsidRDefault="00665E1D" w:rsidP="00665E1D">
      <w:pPr>
        <w:pStyle w:val="Quote1"/>
        <w:ind w:left="1440" w:hanging="703"/>
        <w:rPr>
          <w:lang w:eastAsia="en-AU"/>
        </w:rPr>
      </w:pPr>
      <w:r w:rsidRPr="0047414B">
        <w:rPr>
          <w:lang w:eastAsia="en-AU"/>
        </w:rPr>
        <w:t>3.5.1</w:t>
      </w:r>
      <w:r w:rsidRPr="0047414B">
        <w:rPr>
          <w:lang w:eastAsia="en-AU"/>
        </w:rPr>
        <w:tab/>
      </w:r>
      <w:r w:rsidR="009A1543" w:rsidRPr="0047414B">
        <w:rPr>
          <w:lang w:eastAsia="en-AU"/>
        </w:rPr>
        <w:t>Partnership</w:t>
      </w:r>
      <w:r w:rsidRPr="0047414B">
        <w:rPr>
          <w:lang w:eastAsia="en-AU"/>
        </w:rPr>
        <w:t xml:space="preserve"> Liabilities;</w:t>
      </w:r>
    </w:p>
    <w:p w14:paraId="2432C3C7" w14:textId="77777777" w:rsidR="00665E1D" w:rsidRPr="0047414B" w:rsidRDefault="00665E1D" w:rsidP="00665E1D">
      <w:pPr>
        <w:pStyle w:val="Quote1"/>
        <w:ind w:left="1440" w:hanging="703"/>
        <w:rPr>
          <w:lang w:eastAsia="en-AU"/>
        </w:rPr>
      </w:pPr>
      <w:r w:rsidRPr="0047414B">
        <w:rPr>
          <w:lang w:eastAsia="en-AU"/>
        </w:rPr>
        <w:t>3.5.2</w:t>
      </w:r>
      <w:r w:rsidRPr="0047414B">
        <w:rPr>
          <w:lang w:eastAsia="en-AU"/>
        </w:rPr>
        <w:tab/>
        <w:t>Partnership Guarantees; and</w:t>
      </w:r>
    </w:p>
    <w:p w14:paraId="4A8D7352" w14:textId="61CBB767" w:rsidR="00665E1D" w:rsidRPr="0047414B" w:rsidRDefault="00C96A9D" w:rsidP="00665E1D">
      <w:pPr>
        <w:pStyle w:val="Quote1"/>
        <w:ind w:left="1440" w:hanging="703"/>
        <w:rPr>
          <w:lang w:eastAsia="en-AU"/>
        </w:rPr>
      </w:pPr>
      <w:r w:rsidRPr="0047414B">
        <w:rPr>
          <w:lang w:eastAsia="en-AU"/>
        </w:rPr>
        <w:t>3.5.3</w:t>
      </w:r>
      <w:r w:rsidRPr="0047414B">
        <w:rPr>
          <w:lang w:eastAsia="en-AU"/>
        </w:rPr>
        <w:tab/>
        <w:t>P</w:t>
      </w:r>
      <w:r w:rsidR="00665E1D" w:rsidRPr="0047414B">
        <w:rPr>
          <w:lang w:eastAsia="en-AU"/>
        </w:rPr>
        <w:t>artnership Obligations;</w:t>
      </w:r>
    </w:p>
    <w:p w14:paraId="2F8DFC50" w14:textId="77777777" w:rsidR="00665E1D" w:rsidRPr="0047414B" w:rsidRDefault="00665E1D" w:rsidP="00665E1D">
      <w:pPr>
        <w:pStyle w:val="Quote1"/>
        <w:ind w:left="1440" w:hanging="703"/>
        <w:rPr>
          <w:lang w:eastAsia="en-AU"/>
        </w:rPr>
      </w:pPr>
      <w:r w:rsidRPr="0047414B">
        <w:rPr>
          <w:lang w:eastAsia="en-AU"/>
        </w:rPr>
        <w:t>3.6.1</w:t>
      </w:r>
      <w:r w:rsidRPr="0047414B">
        <w:rPr>
          <w:lang w:eastAsia="en-AU"/>
        </w:rPr>
        <w:tab/>
      </w:r>
      <w:proofErr w:type="gramStart"/>
      <w:r w:rsidRPr="0047414B">
        <w:rPr>
          <w:lang w:eastAsia="en-AU"/>
        </w:rPr>
        <w:t>save</w:t>
      </w:r>
      <w:proofErr w:type="gramEnd"/>
      <w:r w:rsidRPr="0047414B">
        <w:rPr>
          <w:lang w:eastAsia="en-AU"/>
        </w:rPr>
        <w:t xml:space="preserve"> for any obligations to be performed or observed by a party under this Deed; </w:t>
      </w:r>
      <w:r w:rsidRPr="0047414B">
        <w:rPr>
          <w:u w:val="single"/>
          <w:lang w:eastAsia="en-AU"/>
        </w:rPr>
        <w:t>AND</w:t>
      </w:r>
    </w:p>
    <w:p w14:paraId="751555A3" w14:textId="77777777" w:rsidR="00665E1D" w:rsidRPr="0047414B" w:rsidRDefault="00665E1D" w:rsidP="00665E1D">
      <w:pPr>
        <w:pStyle w:val="Quote1"/>
        <w:ind w:left="1440" w:hanging="703"/>
        <w:rPr>
          <w:lang w:eastAsia="en-AU"/>
        </w:rPr>
      </w:pPr>
      <w:r w:rsidRPr="0047414B">
        <w:rPr>
          <w:lang w:eastAsia="en-AU"/>
        </w:rPr>
        <w:t>3.6.2</w:t>
      </w:r>
      <w:r w:rsidRPr="0047414B">
        <w:rPr>
          <w:lang w:eastAsia="en-AU"/>
        </w:rPr>
        <w:tab/>
      </w:r>
      <w:proofErr w:type="gramStart"/>
      <w:r w:rsidRPr="0047414B">
        <w:rPr>
          <w:lang w:eastAsia="en-AU"/>
        </w:rPr>
        <w:t>save</w:t>
      </w:r>
      <w:proofErr w:type="gramEnd"/>
      <w:r w:rsidRPr="0047414B">
        <w:rPr>
          <w:lang w:eastAsia="en-AU"/>
        </w:rPr>
        <w:t xml:space="preserve"> for any releases and indemnities given by one party to another party under this Deed </w:t>
      </w:r>
      <w:r w:rsidRPr="0047414B">
        <w:rPr>
          <w:u w:val="single"/>
          <w:lang w:eastAsia="en-AU"/>
        </w:rPr>
        <w:t xml:space="preserve">AND </w:t>
      </w:r>
    </w:p>
    <w:p w14:paraId="4E83407B" w14:textId="77777777" w:rsidR="00665E1D" w:rsidRPr="0047414B" w:rsidRDefault="00665E1D" w:rsidP="00665E1D">
      <w:pPr>
        <w:pStyle w:val="Quote1"/>
        <w:ind w:left="1440" w:hanging="703"/>
        <w:rPr>
          <w:lang w:eastAsia="en-AU"/>
        </w:rPr>
      </w:pPr>
      <w:r w:rsidRPr="0047414B">
        <w:rPr>
          <w:lang w:eastAsia="en-AU"/>
        </w:rPr>
        <w:t>3.6.3</w:t>
      </w:r>
      <w:r w:rsidRPr="0047414B">
        <w:rPr>
          <w:lang w:eastAsia="en-AU"/>
        </w:rPr>
        <w:tab/>
        <w:t>Subject to the above the Retiring Partner and the Ongoing Partners mutually release the other from all Claims that either has or may have against the other, whether arising before or after the Departure Date in relation to:-</w:t>
      </w:r>
    </w:p>
    <w:p w14:paraId="1C4D88AD" w14:textId="77777777" w:rsidR="00665E1D" w:rsidRPr="0047414B" w:rsidRDefault="00FC73FA" w:rsidP="00DF7053">
      <w:pPr>
        <w:pStyle w:val="Quote2"/>
        <w:ind w:left="2160" w:hanging="720"/>
        <w:rPr>
          <w:lang w:eastAsia="en-AU"/>
        </w:rPr>
      </w:pPr>
      <w:r w:rsidRPr="0047414B">
        <w:rPr>
          <w:lang w:eastAsia="en-AU"/>
        </w:rPr>
        <w:t>(a)</w:t>
      </w:r>
      <w:r w:rsidRPr="0047414B">
        <w:rPr>
          <w:lang w:eastAsia="en-AU"/>
        </w:rPr>
        <w:tab/>
      </w:r>
      <w:proofErr w:type="gramStart"/>
      <w:r w:rsidRPr="0047414B">
        <w:rPr>
          <w:lang w:eastAsia="en-AU"/>
        </w:rPr>
        <w:t>the</w:t>
      </w:r>
      <w:proofErr w:type="gramEnd"/>
      <w:r w:rsidRPr="0047414B">
        <w:rPr>
          <w:lang w:eastAsia="en-AU"/>
        </w:rPr>
        <w:t xml:space="preserve"> relationship of the Ongoing Partners and the Retiring Partner as partners in the Partnership;</w:t>
      </w:r>
    </w:p>
    <w:p w14:paraId="65810E17" w14:textId="77777777" w:rsidR="00665E1D" w:rsidRPr="0047414B" w:rsidRDefault="00FC73FA" w:rsidP="00DF7053">
      <w:pPr>
        <w:pStyle w:val="Quote2"/>
        <w:ind w:left="2160" w:hanging="720"/>
      </w:pPr>
      <w:r w:rsidRPr="0047414B">
        <w:rPr>
          <w:lang w:eastAsia="en-AU"/>
        </w:rPr>
        <w:t>(b)</w:t>
      </w:r>
      <w:r w:rsidRPr="0047414B">
        <w:rPr>
          <w:lang w:eastAsia="en-AU"/>
        </w:rPr>
        <w:tab/>
      </w:r>
      <w:proofErr w:type="gramStart"/>
      <w:r w:rsidRPr="0047414B">
        <w:t>the</w:t>
      </w:r>
      <w:proofErr w:type="gramEnd"/>
      <w:r w:rsidRPr="0047414B">
        <w:t xml:space="preserve"> relationship of the Ongoing Partners and the Retiring Partner as directors of Quinton; and</w:t>
      </w:r>
    </w:p>
    <w:p w14:paraId="23067FDE" w14:textId="77777777" w:rsidR="00FC73FA" w:rsidRPr="0047414B" w:rsidRDefault="00FC73FA" w:rsidP="00DF7053">
      <w:pPr>
        <w:pStyle w:val="Quote2"/>
        <w:ind w:left="2160" w:hanging="720"/>
      </w:pPr>
      <w:r w:rsidRPr="0047414B">
        <w:t>(c)</w:t>
      </w:r>
      <w:r w:rsidRPr="0047414B">
        <w:tab/>
      </w:r>
      <w:proofErr w:type="gramStart"/>
      <w:r w:rsidRPr="0047414B">
        <w:t>the</w:t>
      </w:r>
      <w:proofErr w:type="gramEnd"/>
      <w:r w:rsidRPr="0047414B">
        <w:t xml:space="preserve"> relationship of the Ongoing Partners and the Retiring Partner through their respective nominee companies / trusts in the Quinton Trust (in respect of which the Ongoing Partners and the Retiring Partner enter this Deed on behalf of their respective companies / trusts).</w:t>
      </w:r>
    </w:p>
    <w:p w14:paraId="4B64369F" w14:textId="77777777" w:rsidR="00FC73FA" w:rsidRPr="0047414B" w:rsidRDefault="00FC73FA" w:rsidP="00FC73FA">
      <w:pPr>
        <w:pStyle w:val="Quote1"/>
      </w:pPr>
      <w:r w:rsidRPr="0047414B">
        <w:rPr>
          <w:b/>
        </w:rPr>
        <w:t xml:space="preserve">Calculation of </w:t>
      </w:r>
      <w:r w:rsidR="009A1543" w:rsidRPr="0047414B">
        <w:rPr>
          <w:b/>
        </w:rPr>
        <w:t>Retirement</w:t>
      </w:r>
      <w:r w:rsidRPr="0047414B">
        <w:rPr>
          <w:b/>
        </w:rPr>
        <w:t xml:space="preserve"> Moneys</w:t>
      </w:r>
    </w:p>
    <w:p w14:paraId="5E905CD5" w14:textId="77777777" w:rsidR="00FC73FA" w:rsidRPr="0047414B" w:rsidRDefault="00FC73FA" w:rsidP="00FC73FA">
      <w:pPr>
        <w:pStyle w:val="Quote1"/>
        <w:ind w:left="1440" w:hanging="703"/>
      </w:pPr>
      <w:r w:rsidRPr="0047414B">
        <w:t>3.7</w:t>
      </w:r>
      <w:r w:rsidRPr="0047414B">
        <w:tab/>
        <w:t>Subject to Clauses 3.8, 3.9 and 3.10 hereof all moneys payable to the Retiring Partner in relation to the Partnership shall be calculated in accordance with Clauses 25 and 26 of the Deed ("</w:t>
      </w:r>
      <w:r w:rsidRPr="0047414B">
        <w:rPr>
          <w:b/>
        </w:rPr>
        <w:t>the Retirement Moneys</w:t>
      </w:r>
      <w:r w:rsidRPr="0047414B">
        <w:t>") on terms provided by Clause 3. 8 hereof.</w:t>
      </w:r>
    </w:p>
    <w:p w14:paraId="634646DF" w14:textId="77777777" w:rsidR="00FC73FA" w:rsidRPr="0047414B" w:rsidRDefault="00FC73FA" w:rsidP="00FC73FA">
      <w:pPr>
        <w:pStyle w:val="Quote1"/>
        <w:ind w:left="1440" w:hanging="703"/>
      </w:pPr>
      <w:r w:rsidRPr="0047414B">
        <w:t>3.8</w:t>
      </w:r>
      <w:r w:rsidRPr="0047414B">
        <w:tab/>
        <w:t>Notwithstanding Clause 27 of the Deed, in lieu of three (3) instalments payable thereunder on account of the Retirement Moneys the Ongoing Partners agree to pay or cause to be paid the Retirement Moneys as follows:</w:t>
      </w:r>
    </w:p>
    <w:p w14:paraId="1A19BDA5" w14:textId="77777777" w:rsidR="00FC73FA" w:rsidRPr="0047414B" w:rsidRDefault="00FC73FA" w:rsidP="00FC73FA">
      <w:pPr>
        <w:pStyle w:val="Quote1"/>
        <w:ind w:left="1440" w:hanging="703"/>
      </w:pPr>
      <w:r w:rsidRPr="0047414B">
        <w:t>3.8.1</w:t>
      </w:r>
      <w:r w:rsidRPr="0047414B">
        <w:tab/>
      </w:r>
      <w:r w:rsidRPr="0047414B">
        <w:rPr>
          <w:u w:val="single"/>
        </w:rPr>
        <w:t>Instalment 1</w:t>
      </w:r>
      <w:r w:rsidRPr="0047414B">
        <w:t xml:space="preserve"> - or before 31 March 2009 - 15% thereof;</w:t>
      </w:r>
    </w:p>
    <w:p w14:paraId="688D143E" w14:textId="77777777" w:rsidR="00FC73FA" w:rsidRPr="0047414B" w:rsidRDefault="00FC73FA" w:rsidP="00FC73FA">
      <w:pPr>
        <w:pStyle w:val="Quote1"/>
        <w:ind w:left="1440" w:hanging="703"/>
      </w:pPr>
      <w:r w:rsidRPr="0047414B">
        <w:t>3.8.2</w:t>
      </w:r>
      <w:r w:rsidRPr="0047414B">
        <w:tab/>
      </w:r>
      <w:r w:rsidRPr="0047414B">
        <w:rPr>
          <w:u w:val="single"/>
        </w:rPr>
        <w:t>Instalment 2</w:t>
      </w:r>
      <w:r w:rsidRPr="0047414B">
        <w:t xml:space="preserve"> - on or before 30 June 2009 - 15% thereof;</w:t>
      </w:r>
    </w:p>
    <w:p w14:paraId="074E7C4C" w14:textId="77777777" w:rsidR="00FC73FA" w:rsidRPr="0047414B" w:rsidRDefault="00FC73FA" w:rsidP="00FC73FA">
      <w:pPr>
        <w:pStyle w:val="Quote1"/>
        <w:ind w:left="1440" w:hanging="703"/>
      </w:pPr>
      <w:r w:rsidRPr="0047414B">
        <w:lastRenderedPageBreak/>
        <w:t>3.8.3</w:t>
      </w:r>
      <w:r w:rsidRPr="0047414B">
        <w:tab/>
      </w:r>
      <w:r w:rsidRPr="0047414B">
        <w:rPr>
          <w:u w:val="single"/>
        </w:rPr>
        <w:t>Instalment 3</w:t>
      </w:r>
      <w:r w:rsidRPr="0047414B">
        <w:t xml:space="preserve"> - on or before 30 September 2009 -15% thereof;</w:t>
      </w:r>
    </w:p>
    <w:p w14:paraId="6903270E" w14:textId="77777777" w:rsidR="00FC73FA" w:rsidRPr="0047414B" w:rsidRDefault="00FC73FA" w:rsidP="00FC73FA">
      <w:pPr>
        <w:pStyle w:val="Quote1"/>
        <w:ind w:left="1440" w:hanging="703"/>
      </w:pPr>
      <w:r w:rsidRPr="0047414B">
        <w:t>3.8.4</w:t>
      </w:r>
      <w:r w:rsidRPr="0047414B">
        <w:tab/>
      </w:r>
      <w:r w:rsidRPr="0047414B">
        <w:rPr>
          <w:u w:val="single"/>
        </w:rPr>
        <w:t>Instalment 4</w:t>
      </w:r>
      <w:r w:rsidRPr="0047414B">
        <w:t xml:space="preserve"> - on or before 31 December 2009 - 20% thereof;</w:t>
      </w:r>
    </w:p>
    <w:p w14:paraId="38FE2DCF" w14:textId="77777777" w:rsidR="00FC73FA" w:rsidRPr="0047414B" w:rsidRDefault="00FC73FA" w:rsidP="00FC73FA">
      <w:pPr>
        <w:pStyle w:val="Quote1"/>
        <w:ind w:left="1440" w:hanging="703"/>
      </w:pPr>
      <w:r w:rsidRPr="0047414B">
        <w:t>3.8.5</w:t>
      </w:r>
      <w:r w:rsidRPr="0047414B">
        <w:tab/>
      </w:r>
      <w:r w:rsidRPr="0047414B">
        <w:rPr>
          <w:u w:val="single"/>
        </w:rPr>
        <w:t>Instalment 5</w:t>
      </w:r>
      <w:r w:rsidRPr="0047414B">
        <w:t xml:space="preserve"> - on or before 31 March 2010 - 15% and;</w:t>
      </w:r>
    </w:p>
    <w:p w14:paraId="0A30435B" w14:textId="00779FC4" w:rsidR="00FC73FA" w:rsidRPr="0047414B" w:rsidRDefault="00FC73FA" w:rsidP="00FC73FA">
      <w:pPr>
        <w:pStyle w:val="Quote1"/>
        <w:ind w:left="1440" w:hanging="703"/>
      </w:pPr>
      <w:r w:rsidRPr="0047414B">
        <w:t>3.8.6</w:t>
      </w:r>
      <w:r w:rsidRPr="0047414B">
        <w:tab/>
      </w:r>
      <w:r w:rsidRPr="0047414B">
        <w:rPr>
          <w:u w:val="single"/>
        </w:rPr>
        <w:t>Instalment 6</w:t>
      </w:r>
      <w:r w:rsidRPr="0047414B">
        <w:t xml:space="preserve"> - on or before 30 June 2010 - 20%</w:t>
      </w:r>
    </w:p>
    <w:p w14:paraId="7894B5C6" w14:textId="77777777" w:rsidR="00FC73FA" w:rsidRPr="0047414B" w:rsidRDefault="00FC73FA" w:rsidP="00FC73FA">
      <w:pPr>
        <w:pStyle w:val="Quote1"/>
      </w:pPr>
      <w:r w:rsidRPr="0047414B">
        <w:rPr>
          <w:u w:val="single"/>
        </w:rPr>
        <w:t>PROVIDED THAT</w:t>
      </w:r>
      <w:r w:rsidRPr="0047414B">
        <w:t xml:space="preserve"> in the period commencing 1 January 2009 and ending 30 June 2009 the Ongoing Partners shall pay on account of Instalment 1 and Instalment 2 of the Retirement Moneys $12,000 each fortnight in arrears until Instalment 1 and Instalment 2 have been paid in full ("the Payments") </w:t>
      </w:r>
      <w:r w:rsidRPr="0047414B">
        <w:rPr>
          <w:u w:val="single"/>
        </w:rPr>
        <w:t>PROVIDED FURTHER THAT</w:t>
      </w:r>
      <w:r w:rsidRPr="0047414B">
        <w:t xml:space="preserve"> if at a time prior to Instalment 2 falling due the sum of the Payments so made equals the sum of Instalment 1 and Instalment 2 </w:t>
      </w:r>
      <w:r w:rsidRPr="0047414B">
        <w:rPr>
          <w:u w:val="single"/>
        </w:rPr>
        <w:t>THEN</w:t>
      </w:r>
      <w:r w:rsidRPr="0047414B">
        <w:t xml:space="preserve"> the Ongoing Partners shall be relieved of making any further payments AND if the Payments so made shall be in excess of the sum of Instalment 1 and Instalment 2 then the Ongoing Partners shall offset the overpayment made by them against the next instalment of any other moneys becoming due and payable to the Retiring Partner hereunder on any account.</w:t>
      </w:r>
    </w:p>
    <w:p w14:paraId="7C0E6436" w14:textId="77777777" w:rsidR="00FC73FA" w:rsidRPr="0047414B" w:rsidRDefault="00FC73FA" w:rsidP="00FC73FA">
      <w:pPr>
        <w:pStyle w:val="Quote1"/>
        <w:ind w:left="1440" w:hanging="703"/>
      </w:pPr>
      <w:r w:rsidRPr="0047414B">
        <w:t>3.9</w:t>
      </w:r>
      <w:r w:rsidRPr="0047414B">
        <w:tab/>
        <w:t>All Debtors, Disbursements and WIP that are included in the Accounts of the Partnership as at the Departure Date but which are not paid or recovered on or before the last date for payment referred to in Clause 3.8.6 hereof shall be treated as follows</w:t>
      </w:r>
    </w:p>
    <w:p w14:paraId="4F27726A" w14:textId="77777777" w:rsidR="00FC73FA" w:rsidRPr="0047414B" w:rsidRDefault="00FC73FA" w:rsidP="00FC73FA">
      <w:pPr>
        <w:pStyle w:val="Quote1"/>
        <w:ind w:left="1440" w:hanging="703"/>
      </w:pPr>
      <w:r w:rsidRPr="0047414B">
        <w:t>3.9.1</w:t>
      </w:r>
      <w:r w:rsidRPr="0047414B">
        <w:tab/>
        <w:t>as to Debtors, a bad debt of the Partnership to be written off;</w:t>
      </w:r>
    </w:p>
    <w:p w14:paraId="375D1DA8" w14:textId="77777777" w:rsidR="00FC73FA" w:rsidRPr="0047414B" w:rsidRDefault="00FC73FA" w:rsidP="00FC73FA">
      <w:pPr>
        <w:pStyle w:val="Quote1"/>
        <w:ind w:left="1440" w:hanging="703"/>
      </w:pPr>
      <w:r w:rsidRPr="0047414B">
        <w:t>3.9.2</w:t>
      </w:r>
      <w:r w:rsidRPr="0047414B">
        <w:tab/>
      </w:r>
      <w:proofErr w:type="gramStart"/>
      <w:r w:rsidRPr="0047414B">
        <w:t>as</w:t>
      </w:r>
      <w:proofErr w:type="gramEnd"/>
      <w:r w:rsidRPr="0047414B">
        <w:t xml:space="preserve"> to Disbursements, an unrecoverable Disbursement to be written off; and</w:t>
      </w:r>
    </w:p>
    <w:p w14:paraId="0A478502" w14:textId="77777777" w:rsidR="00FC73FA" w:rsidRPr="0047414B" w:rsidRDefault="00FC73FA" w:rsidP="00FC73FA">
      <w:pPr>
        <w:pStyle w:val="Quote1"/>
        <w:ind w:left="1440" w:hanging="703"/>
      </w:pPr>
      <w:r w:rsidRPr="0047414B">
        <w:t>3.9.3</w:t>
      </w:r>
      <w:r w:rsidRPr="0047414B">
        <w:tab/>
        <w:t>as to WIP, unrecoverable WIP to be written off;</w:t>
      </w:r>
    </w:p>
    <w:p w14:paraId="74C6626F" w14:textId="77777777" w:rsidR="00FC73FA" w:rsidRPr="0047414B" w:rsidRDefault="00FC73FA" w:rsidP="00FC73FA">
      <w:pPr>
        <w:pStyle w:val="Quote2"/>
      </w:pPr>
      <w:r w:rsidRPr="0047414B">
        <w:rPr>
          <w:u w:val="single"/>
        </w:rPr>
        <w:t>AND</w:t>
      </w:r>
      <w:r w:rsidRPr="0047414B">
        <w:t xml:space="preserve"> the amount of Instalment 6 shall be reduced by the Proportionate Amount of the sum of Clauses 3.9.1 to 3.9.3 inclusive above </w:t>
      </w:r>
      <w:r w:rsidRPr="0047414B">
        <w:rPr>
          <w:u w:val="single"/>
        </w:rPr>
        <w:t>PROVIDED THAT</w:t>
      </w:r>
      <w:r w:rsidRPr="0047414B">
        <w:t xml:space="preserve"> if between the Departure Date and the date that Instalment 6 is paid Debtors, Disbursements and WIP that had been written off in the Accounts of the Partnership are subsequently paid or recovered then Instalment 6 shall be increased by the Proportionate Amount of the sum so paid or recovered.</w:t>
      </w:r>
    </w:p>
    <w:p w14:paraId="79BB2BD0" w14:textId="77777777" w:rsidR="00FC73FA" w:rsidRPr="0047414B" w:rsidRDefault="00FC73FA" w:rsidP="00FC73FA">
      <w:pPr>
        <w:pStyle w:val="Quote1"/>
        <w:ind w:left="1440" w:hanging="703"/>
      </w:pPr>
      <w:r w:rsidRPr="0047414B">
        <w:t>3.10</w:t>
      </w:r>
      <w:r w:rsidRPr="0047414B">
        <w:tab/>
        <w:t xml:space="preserve">The parties acknowledge and agree that for the purposes of Clauses 3.7, 3.8 and 3.9 hereof the Accountants shall prepare, based upon the Accounts of the Partnership and the operation of Clauses 3.7. 3.8 </w:t>
      </w:r>
      <w:proofErr w:type="gramStart"/>
      <w:r w:rsidRPr="0047414B">
        <w:t>and</w:t>
      </w:r>
      <w:proofErr w:type="gramEnd"/>
      <w:r w:rsidRPr="0047414B">
        <w:t xml:space="preserve"> 3.9 hereof Summary Sheets as at the Departure Date and as at the date of Instalment 6.</w:t>
      </w:r>
    </w:p>
    <w:p w14:paraId="1C8CD58F" w14:textId="77777777" w:rsidR="00FC73FA" w:rsidRPr="0047414B" w:rsidRDefault="00FC73FA" w:rsidP="00FC73FA">
      <w:pPr>
        <w:pStyle w:val="Quote1"/>
        <w:ind w:left="1440" w:hanging="703"/>
      </w:pPr>
      <w:r w:rsidRPr="0047414B">
        <w:t>…</w:t>
      </w:r>
    </w:p>
    <w:p w14:paraId="61E98053" w14:textId="77777777" w:rsidR="00FC73FA" w:rsidRPr="0047414B" w:rsidRDefault="00FC73FA" w:rsidP="00FC73FA">
      <w:pPr>
        <w:pStyle w:val="Quote1"/>
        <w:ind w:left="1440" w:hanging="703"/>
      </w:pPr>
      <w:r w:rsidRPr="0047414B">
        <w:t>3.15</w:t>
      </w:r>
      <w:r w:rsidRPr="0047414B">
        <w:tab/>
        <w:t>The parties hereto agree that Clause 3.11 and 3.12 override Clauses 28.2.1 and 28.2.3 of the Deed.</w:t>
      </w:r>
    </w:p>
    <w:p w14:paraId="55ECE4E4" w14:textId="109864CD" w:rsidR="00FC73FA" w:rsidRPr="0047414B" w:rsidRDefault="00FC73FA" w:rsidP="00FC73FA">
      <w:pPr>
        <w:pStyle w:val="Quote1"/>
        <w:ind w:left="1440" w:hanging="703"/>
      </w:pPr>
      <w:r w:rsidRPr="0047414B">
        <w:t>…</w:t>
      </w:r>
    </w:p>
    <w:p w14:paraId="415FD0A8" w14:textId="1EF62646" w:rsidR="00C75D3E" w:rsidRPr="0047414B" w:rsidRDefault="00C75D3E" w:rsidP="00FC73FA">
      <w:pPr>
        <w:pStyle w:val="Quote1"/>
        <w:ind w:left="1440" w:hanging="703"/>
      </w:pPr>
      <w:r w:rsidRPr="0047414B">
        <w:rPr>
          <w:b/>
        </w:rPr>
        <w:t>Confirmation</w:t>
      </w:r>
    </w:p>
    <w:p w14:paraId="7C15D884" w14:textId="77777777" w:rsidR="00FC73FA" w:rsidRPr="0047414B" w:rsidRDefault="00FC73FA" w:rsidP="00FC73FA">
      <w:pPr>
        <w:pStyle w:val="Quote1"/>
        <w:ind w:left="1440" w:hanging="703"/>
      </w:pPr>
      <w:r w:rsidRPr="0047414B">
        <w:t>3.20</w:t>
      </w:r>
      <w:r w:rsidRPr="0047414B">
        <w:tab/>
        <w:t>The Ongoing Partners confirm that the Partnership (save for the retirement of the Retiring Partner effective upon the Departure Date by this Deed) shall continue after the Departure Date in accordance with the Deed.</w:t>
      </w:r>
    </w:p>
    <w:p w14:paraId="6D202A0D" w14:textId="77777777" w:rsidR="00FC73FA" w:rsidRPr="0047414B" w:rsidRDefault="00FC73FA" w:rsidP="00FC73FA">
      <w:pPr>
        <w:pStyle w:val="Quote1"/>
        <w:ind w:left="1440" w:hanging="703"/>
      </w:pPr>
      <w:r w:rsidRPr="0047414B">
        <w:t>3.21</w:t>
      </w:r>
      <w:r w:rsidRPr="0047414B">
        <w:tab/>
        <w:t xml:space="preserve">The parties agree to the full extent contemplated by the Deed (unless varied by this Deed) that the provisions of the Deed shall apply as between the Ongoing Partner and the Retiring Partner up to the Departure Date, and thereafter as </w:t>
      </w:r>
      <w:r w:rsidRPr="0047414B">
        <w:lastRenderedPageBreak/>
        <w:t>between the Ongoing Partners only.</w:t>
      </w:r>
    </w:p>
    <w:p w14:paraId="05FA165C" w14:textId="77777777" w:rsidR="00FC73FA" w:rsidRPr="0047414B" w:rsidRDefault="00FC73FA" w:rsidP="00FC73FA">
      <w:pPr>
        <w:pStyle w:val="Quote1"/>
        <w:ind w:left="1440" w:hanging="703"/>
      </w:pPr>
      <w:r w:rsidRPr="0047414B">
        <w:t>…</w:t>
      </w:r>
    </w:p>
    <w:p w14:paraId="66386E9B" w14:textId="77777777" w:rsidR="00FC73FA" w:rsidRPr="0047414B" w:rsidRDefault="0016448B" w:rsidP="00FC73FA">
      <w:pPr>
        <w:pStyle w:val="Quote1"/>
        <w:ind w:left="1440" w:hanging="703"/>
      </w:pPr>
      <w:r w:rsidRPr="0047414B">
        <w:rPr>
          <w:b/>
        </w:rPr>
        <w:t>4.7</w:t>
      </w:r>
      <w:r w:rsidRPr="0047414B">
        <w:rPr>
          <w:b/>
        </w:rPr>
        <w:tab/>
        <w:t>Whole Agreement</w:t>
      </w:r>
    </w:p>
    <w:p w14:paraId="1DF83070" w14:textId="333BB965" w:rsidR="0016448B" w:rsidRPr="0047414B" w:rsidRDefault="0016448B" w:rsidP="0016448B">
      <w:pPr>
        <w:pStyle w:val="Quote1"/>
        <w:ind w:left="2160" w:hanging="1423"/>
      </w:pPr>
      <w:r w:rsidRPr="0047414B">
        <w:t>47.1[sic]</w:t>
      </w:r>
      <w:r w:rsidRPr="0047414B">
        <w:tab/>
        <w:t>This Deed contains all the terms and conditions relating to or which concern its subject matter and unless expressly referred to herein there are no other agreements or understandings (oral or in writing) between the parties.</w:t>
      </w:r>
    </w:p>
    <w:p w14:paraId="672F477B" w14:textId="764E044F" w:rsidR="00E721A3" w:rsidRPr="0047414B" w:rsidRDefault="00E721A3" w:rsidP="00E721A3">
      <w:pPr>
        <w:pStyle w:val="ParaNumbering"/>
      </w:pPr>
      <w:r w:rsidRPr="0047414B">
        <w:t xml:space="preserve">It was </w:t>
      </w:r>
      <w:r w:rsidR="00A63A64" w:rsidRPr="0047414B">
        <w:t xml:space="preserve">an </w:t>
      </w:r>
      <w:r w:rsidRPr="0047414B">
        <w:t xml:space="preserve">agreed </w:t>
      </w:r>
      <w:r w:rsidR="00A63A64" w:rsidRPr="0047414B">
        <w:t xml:space="preserve">fact </w:t>
      </w:r>
      <w:r w:rsidRPr="0047414B">
        <w:t>that the</w:t>
      </w:r>
      <w:r w:rsidR="00FB4D86" w:rsidRPr="0047414B">
        <w:t xml:space="preserve"> following was a summary of the</w:t>
      </w:r>
      <w:r w:rsidRPr="0047414B">
        <w:t xml:space="preserve"> final payments: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0"/>
        <w:gridCol w:w="1841"/>
        <w:gridCol w:w="1700"/>
        <w:gridCol w:w="1842"/>
        <w:gridCol w:w="1508"/>
      </w:tblGrid>
      <w:tr w:rsidR="0047414B" w:rsidRPr="0047414B" w14:paraId="3FBAD1D4" w14:textId="77777777" w:rsidTr="00DF7053">
        <w:tc>
          <w:tcPr>
            <w:tcW w:w="2122" w:type="dxa"/>
          </w:tcPr>
          <w:p w14:paraId="1BD633BF" w14:textId="77777777" w:rsidR="00E721A3" w:rsidRPr="0047414B" w:rsidRDefault="00E721A3" w:rsidP="007405BC">
            <w:pPr>
              <w:pStyle w:val="Small-TableswithinQuotes"/>
            </w:pPr>
          </w:p>
        </w:tc>
        <w:tc>
          <w:tcPr>
            <w:tcW w:w="1842" w:type="dxa"/>
          </w:tcPr>
          <w:p w14:paraId="038BD5BF" w14:textId="77777777" w:rsidR="00E721A3" w:rsidRPr="0047414B" w:rsidRDefault="00E721A3" w:rsidP="007405BC">
            <w:pPr>
              <w:pStyle w:val="Small-TableswithinQuotes"/>
              <w:rPr>
                <w:b/>
              </w:rPr>
            </w:pPr>
            <w:r w:rsidRPr="0047414B">
              <w:rPr>
                <w:b/>
              </w:rPr>
              <w:t>Total Amount entitled</w:t>
            </w:r>
          </w:p>
        </w:tc>
        <w:tc>
          <w:tcPr>
            <w:tcW w:w="1701" w:type="dxa"/>
          </w:tcPr>
          <w:p w14:paraId="2693AC12" w14:textId="77777777" w:rsidR="00E721A3" w:rsidRPr="0047414B" w:rsidRDefault="00E721A3" w:rsidP="007405BC">
            <w:pPr>
              <w:pStyle w:val="Small-TableswithinQuotes"/>
              <w:rPr>
                <w:b/>
              </w:rPr>
            </w:pPr>
            <w:r w:rsidRPr="0047414B">
              <w:rPr>
                <w:b/>
              </w:rPr>
              <w:t>Year ended 30 June 2009</w:t>
            </w:r>
          </w:p>
        </w:tc>
        <w:tc>
          <w:tcPr>
            <w:tcW w:w="1843" w:type="dxa"/>
          </w:tcPr>
          <w:p w14:paraId="0A3D0469" w14:textId="77777777" w:rsidR="00E721A3" w:rsidRPr="0047414B" w:rsidRDefault="00E721A3" w:rsidP="007405BC">
            <w:pPr>
              <w:pStyle w:val="Small-TableswithinQuotes"/>
            </w:pPr>
            <w:r w:rsidRPr="0047414B">
              <w:rPr>
                <w:b/>
              </w:rPr>
              <w:t>Year ended 30 June 2010</w:t>
            </w:r>
          </w:p>
        </w:tc>
        <w:tc>
          <w:tcPr>
            <w:tcW w:w="1509" w:type="dxa"/>
          </w:tcPr>
          <w:p w14:paraId="61DEE9C3" w14:textId="77777777" w:rsidR="00E721A3" w:rsidRPr="0047414B" w:rsidRDefault="00E721A3" w:rsidP="007405BC">
            <w:pPr>
              <w:pStyle w:val="Small-TableswithinQuotes"/>
            </w:pPr>
            <w:r w:rsidRPr="0047414B">
              <w:rPr>
                <w:b/>
              </w:rPr>
              <w:t>Year ended 30 June 2011</w:t>
            </w:r>
          </w:p>
        </w:tc>
      </w:tr>
      <w:tr w:rsidR="0047414B" w:rsidRPr="0047414B" w14:paraId="6FDE3862" w14:textId="77777777" w:rsidTr="00DF7053">
        <w:tc>
          <w:tcPr>
            <w:tcW w:w="2122" w:type="dxa"/>
          </w:tcPr>
          <w:p w14:paraId="7D1092BF" w14:textId="77777777" w:rsidR="00E721A3" w:rsidRPr="0047414B" w:rsidRDefault="00E721A3" w:rsidP="007405BC">
            <w:pPr>
              <w:pStyle w:val="Small-TableswithinQuotes"/>
            </w:pPr>
            <w:r w:rsidRPr="0047414B">
              <w:rPr>
                <w:b/>
              </w:rPr>
              <w:t>Capital and Current Account</w:t>
            </w:r>
          </w:p>
        </w:tc>
        <w:tc>
          <w:tcPr>
            <w:tcW w:w="1842" w:type="dxa"/>
          </w:tcPr>
          <w:p w14:paraId="7FDA9654" w14:textId="77777777" w:rsidR="00E721A3" w:rsidRPr="0047414B" w:rsidRDefault="00E721A3" w:rsidP="007405BC">
            <w:pPr>
              <w:pStyle w:val="Small-TableswithinQuotes"/>
            </w:pPr>
            <w:r w:rsidRPr="0047414B">
              <w:t>$0</w:t>
            </w:r>
          </w:p>
        </w:tc>
        <w:tc>
          <w:tcPr>
            <w:tcW w:w="1701" w:type="dxa"/>
          </w:tcPr>
          <w:p w14:paraId="7FC618E9" w14:textId="77777777" w:rsidR="00E721A3" w:rsidRPr="0047414B" w:rsidRDefault="00E721A3" w:rsidP="007405BC">
            <w:pPr>
              <w:pStyle w:val="Small-TableswithinQuotes"/>
              <w:rPr>
                <w:b/>
              </w:rPr>
            </w:pPr>
            <w:r w:rsidRPr="0047414B">
              <w:rPr>
                <w:b/>
              </w:rPr>
              <w:t>-</w:t>
            </w:r>
          </w:p>
        </w:tc>
        <w:tc>
          <w:tcPr>
            <w:tcW w:w="1843" w:type="dxa"/>
          </w:tcPr>
          <w:p w14:paraId="6DB6A159" w14:textId="77777777" w:rsidR="00E721A3" w:rsidRPr="0047414B" w:rsidRDefault="00E721A3" w:rsidP="007405BC">
            <w:pPr>
              <w:pStyle w:val="Small-TableswithinQuotes"/>
              <w:rPr>
                <w:b/>
              </w:rPr>
            </w:pPr>
            <w:r w:rsidRPr="0047414B">
              <w:rPr>
                <w:b/>
              </w:rPr>
              <w:t>-</w:t>
            </w:r>
          </w:p>
        </w:tc>
        <w:tc>
          <w:tcPr>
            <w:tcW w:w="1509" w:type="dxa"/>
          </w:tcPr>
          <w:p w14:paraId="1258B32B" w14:textId="77777777" w:rsidR="00E721A3" w:rsidRPr="0047414B" w:rsidRDefault="00E721A3" w:rsidP="007405BC">
            <w:pPr>
              <w:pStyle w:val="Small-TableswithinQuotes"/>
              <w:rPr>
                <w:b/>
              </w:rPr>
            </w:pPr>
            <w:r w:rsidRPr="0047414B">
              <w:rPr>
                <w:b/>
              </w:rPr>
              <w:t>-</w:t>
            </w:r>
          </w:p>
        </w:tc>
      </w:tr>
      <w:tr w:rsidR="0047414B" w:rsidRPr="0047414B" w14:paraId="57E36EC1" w14:textId="77777777" w:rsidTr="00DF7053">
        <w:tc>
          <w:tcPr>
            <w:tcW w:w="2122" w:type="dxa"/>
          </w:tcPr>
          <w:p w14:paraId="3B25F78C" w14:textId="77777777" w:rsidR="00E721A3" w:rsidRPr="0047414B" w:rsidRDefault="00E721A3" w:rsidP="007405BC">
            <w:pPr>
              <w:pStyle w:val="Small-TableswithinQuotes"/>
              <w:rPr>
                <w:b/>
              </w:rPr>
            </w:pPr>
            <w:r w:rsidRPr="0047414B">
              <w:rPr>
                <w:b/>
              </w:rPr>
              <w:t>Goodwill</w:t>
            </w:r>
          </w:p>
        </w:tc>
        <w:tc>
          <w:tcPr>
            <w:tcW w:w="1842" w:type="dxa"/>
          </w:tcPr>
          <w:p w14:paraId="3A9677B9" w14:textId="77777777" w:rsidR="00E721A3" w:rsidRPr="0047414B" w:rsidRDefault="00E721A3" w:rsidP="007405BC">
            <w:pPr>
              <w:pStyle w:val="Small-TableswithinQuotes"/>
            </w:pPr>
            <w:r w:rsidRPr="0047414B">
              <w:t>$182,629</w:t>
            </w:r>
          </w:p>
        </w:tc>
        <w:tc>
          <w:tcPr>
            <w:tcW w:w="1701" w:type="dxa"/>
          </w:tcPr>
          <w:p w14:paraId="397BC116" w14:textId="77777777" w:rsidR="00E721A3" w:rsidRPr="0047414B" w:rsidRDefault="00E721A3" w:rsidP="007405BC">
            <w:pPr>
              <w:pStyle w:val="Small-TableswithinQuotes"/>
            </w:pPr>
            <w:r w:rsidRPr="0047414B">
              <w:t>$54,789</w:t>
            </w:r>
          </w:p>
        </w:tc>
        <w:tc>
          <w:tcPr>
            <w:tcW w:w="1843" w:type="dxa"/>
          </w:tcPr>
          <w:p w14:paraId="5BAB2A67" w14:textId="77777777" w:rsidR="00E721A3" w:rsidRPr="0047414B" w:rsidRDefault="00E721A3" w:rsidP="007405BC">
            <w:pPr>
              <w:pStyle w:val="Small-TableswithinQuotes"/>
            </w:pPr>
            <w:r w:rsidRPr="0047414B">
              <w:t>$91,315</w:t>
            </w:r>
          </w:p>
        </w:tc>
        <w:tc>
          <w:tcPr>
            <w:tcW w:w="1509" w:type="dxa"/>
          </w:tcPr>
          <w:p w14:paraId="5086A136" w14:textId="77777777" w:rsidR="00E721A3" w:rsidRPr="0047414B" w:rsidRDefault="00E721A3" w:rsidP="007405BC">
            <w:pPr>
              <w:pStyle w:val="Small-TableswithinQuotes"/>
            </w:pPr>
            <w:r w:rsidRPr="0047414B">
              <w:t>$36,525</w:t>
            </w:r>
          </w:p>
        </w:tc>
      </w:tr>
      <w:tr w:rsidR="0047414B" w:rsidRPr="0047414B" w14:paraId="15E3E271" w14:textId="77777777" w:rsidTr="00DF7053">
        <w:tc>
          <w:tcPr>
            <w:tcW w:w="2122" w:type="dxa"/>
          </w:tcPr>
          <w:p w14:paraId="4B1CCFA8" w14:textId="77777777" w:rsidR="00E721A3" w:rsidRPr="0047414B" w:rsidRDefault="00E721A3" w:rsidP="007405BC">
            <w:pPr>
              <w:pStyle w:val="Small-TableswithinQuotes"/>
              <w:rPr>
                <w:b/>
              </w:rPr>
            </w:pPr>
            <w:r w:rsidRPr="0047414B">
              <w:rPr>
                <w:b/>
              </w:rPr>
              <w:t>Work in progress</w:t>
            </w:r>
          </w:p>
        </w:tc>
        <w:tc>
          <w:tcPr>
            <w:tcW w:w="1842" w:type="dxa"/>
          </w:tcPr>
          <w:p w14:paraId="2B574F4D" w14:textId="77777777" w:rsidR="00E721A3" w:rsidRPr="0047414B" w:rsidRDefault="00E721A3" w:rsidP="007405BC">
            <w:pPr>
              <w:pStyle w:val="Small-TableswithinQuotes"/>
              <w:rPr>
                <w:szCs w:val="22"/>
              </w:rPr>
            </w:pPr>
            <w:r w:rsidRPr="0047414B">
              <w:rPr>
                <w:szCs w:val="22"/>
              </w:rPr>
              <w:t xml:space="preserve">$410,320 </w:t>
            </w:r>
          </w:p>
        </w:tc>
        <w:tc>
          <w:tcPr>
            <w:tcW w:w="1701" w:type="dxa"/>
          </w:tcPr>
          <w:p w14:paraId="4F8A0CB2" w14:textId="77777777" w:rsidR="00E721A3" w:rsidRPr="0047414B" w:rsidRDefault="00E721A3" w:rsidP="007405BC">
            <w:pPr>
              <w:pStyle w:val="Small-TableswithinQuotes"/>
              <w:rPr>
                <w:szCs w:val="22"/>
              </w:rPr>
            </w:pPr>
            <w:r w:rsidRPr="0047414B">
              <w:rPr>
                <w:szCs w:val="22"/>
              </w:rPr>
              <w:t xml:space="preserve">$131,265 </w:t>
            </w:r>
          </w:p>
        </w:tc>
        <w:tc>
          <w:tcPr>
            <w:tcW w:w="1843" w:type="dxa"/>
          </w:tcPr>
          <w:p w14:paraId="7E15ECB1" w14:textId="77777777" w:rsidR="00E721A3" w:rsidRPr="0047414B" w:rsidRDefault="00E721A3" w:rsidP="007405BC">
            <w:pPr>
              <w:pStyle w:val="Small-TableswithinQuotes"/>
              <w:rPr>
                <w:szCs w:val="22"/>
              </w:rPr>
            </w:pPr>
            <w:r w:rsidRPr="0047414B">
              <w:rPr>
                <w:szCs w:val="22"/>
              </w:rPr>
              <w:t xml:space="preserve">$218,775 </w:t>
            </w:r>
          </w:p>
        </w:tc>
        <w:tc>
          <w:tcPr>
            <w:tcW w:w="1509" w:type="dxa"/>
          </w:tcPr>
          <w:p w14:paraId="2A262EF3" w14:textId="77777777" w:rsidR="00E721A3" w:rsidRPr="0047414B" w:rsidRDefault="00E721A3" w:rsidP="007405BC">
            <w:pPr>
              <w:pStyle w:val="Small-TableswithinQuotes"/>
              <w:rPr>
                <w:szCs w:val="22"/>
              </w:rPr>
            </w:pPr>
            <w:r w:rsidRPr="0047414B">
              <w:rPr>
                <w:szCs w:val="22"/>
              </w:rPr>
              <w:t xml:space="preserve">$60,280 </w:t>
            </w:r>
          </w:p>
        </w:tc>
      </w:tr>
      <w:tr w:rsidR="0047414B" w:rsidRPr="0047414B" w14:paraId="7647A45D" w14:textId="77777777" w:rsidTr="00DF7053">
        <w:tc>
          <w:tcPr>
            <w:tcW w:w="2122" w:type="dxa"/>
          </w:tcPr>
          <w:p w14:paraId="6272CB6F" w14:textId="77777777" w:rsidR="00E721A3" w:rsidRPr="0047414B" w:rsidRDefault="00E721A3" w:rsidP="007405BC">
            <w:pPr>
              <w:pStyle w:val="Small-TableswithinQuotes"/>
              <w:rPr>
                <w:b/>
              </w:rPr>
            </w:pPr>
            <w:r w:rsidRPr="0047414B">
              <w:rPr>
                <w:b/>
              </w:rPr>
              <w:t>Other amounts</w:t>
            </w:r>
          </w:p>
        </w:tc>
        <w:tc>
          <w:tcPr>
            <w:tcW w:w="1842" w:type="dxa"/>
          </w:tcPr>
          <w:p w14:paraId="68F35EFA" w14:textId="77777777" w:rsidR="00E721A3" w:rsidRPr="0047414B" w:rsidRDefault="00E721A3" w:rsidP="007405BC">
            <w:pPr>
              <w:pStyle w:val="Small-TableswithinQuotes"/>
              <w:rPr>
                <w:szCs w:val="22"/>
              </w:rPr>
            </w:pPr>
            <w:r w:rsidRPr="0047414B">
              <w:rPr>
                <w:szCs w:val="22"/>
              </w:rPr>
              <w:t>$3,250</w:t>
            </w:r>
          </w:p>
        </w:tc>
        <w:tc>
          <w:tcPr>
            <w:tcW w:w="1701" w:type="dxa"/>
          </w:tcPr>
          <w:p w14:paraId="5B8F8E1C" w14:textId="77777777" w:rsidR="00E721A3" w:rsidRPr="0047414B" w:rsidRDefault="00E721A3" w:rsidP="007405BC">
            <w:pPr>
              <w:pStyle w:val="Small-TableswithinQuotes"/>
              <w:rPr>
                <w:szCs w:val="22"/>
              </w:rPr>
            </w:pPr>
            <w:r w:rsidRPr="0047414B">
              <w:rPr>
                <w:szCs w:val="22"/>
              </w:rPr>
              <w:t>$975</w:t>
            </w:r>
          </w:p>
        </w:tc>
        <w:tc>
          <w:tcPr>
            <w:tcW w:w="1843" w:type="dxa"/>
          </w:tcPr>
          <w:p w14:paraId="2D4BBA97" w14:textId="77777777" w:rsidR="00E721A3" w:rsidRPr="0047414B" w:rsidRDefault="00E721A3" w:rsidP="007405BC">
            <w:pPr>
              <w:pStyle w:val="Small-TableswithinQuotes"/>
              <w:rPr>
                <w:szCs w:val="22"/>
              </w:rPr>
            </w:pPr>
            <w:r w:rsidRPr="0047414B">
              <w:rPr>
                <w:szCs w:val="22"/>
              </w:rPr>
              <w:t>$1,625</w:t>
            </w:r>
          </w:p>
        </w:tc>
        <w:tc>
          <w:tcPr>
            <w:tcW w:w="1509" w:type="dxa"/>
          </w:tcPr>
          <w:p w14:paraId="4D41F458" w14:textId="77777777" w:rsidR="00E721A3" w:rsidRPr="0047414B" w:rsidRDefault="00E721A3" w:rsidP="007405BC">
            <w:pPr>
              <w:pStyle w:val="Small-TableswithinQuotes"/>
              <w:rPr>
                <w:szCs w:val="22"/>
              </w:rPr>
            </w:pPr>
            <w:r w:rsidRPr="0047414B">
              <w:rPr>
                <w:szCs w:val="22"/>
              </w:rPr>
              <w:t>$650</w:t>
            </w:r>
          </w:p>
        </w:tc>
      </w:tr>
      <w:tr w:rsidR="0047414B" w:rsidRPr="0047414B" w14:paraId="22627DDF" w14:textId="77777777" w:rsidTr="00DF7053">
        <w:tc>
          <w:tcPr>
            <w:tcW w:w="2122" w:type="dxa"/>
          </w:tcPr>
          <w:p w14:paraId="3579802B" w14:textId="77777777" w:rsidR="00E721A3" w:rsidRPr="0047414B" w:rsidRDefault="00E721A3" w:rsidP="007405BC">
            <w:pPr>
              <w:pStyle w:val="Small-TableswithinQuotes"/>
              <w:rPr>
                <w:b/>
              </w:rPr>
            </w:pPr>
            <w:r w:rsidRPr="0047414B">
              <w:rPr>
                <w:b/>
              </w:rPr>
              <w:t>Repayment of capital account</w:t>
            </w:r>
          </w:p>
        </w:tc>
        <w:tc>
          <w:tcPr>
            <w:tcW w:w="1842" w:type="dxa"/>
          </w:tcPr>
          <w:p w14:paraId="1136B92E" w14:textId="77777777" w:rsidR="00E721A3" w:rsidRPr="0047414B" w:rsidRDefault="00E721A3" w:rsidP="007405BC">
            <w:pPr>
              <w:pStyle w:val="Small-TableswithinQuotes"/>
              <w:rPr>
                <w:szCs w:val="22"/>
              </w:rPr>
            </w:pPr>
            <w:r w:rsidRPr="0047414B">
              <w:rPr>
                <w:szCs w:val="22"/>
              </w:rPr>
              <w:t>($197,126)</w:t>
            </w:r>
          </w:p>
        </w:tc>
        <w:tc>
          <w:tcPr>
            <w:tcW w:w="1701" w:type="dxa"/>
          </w:tcPr>
          <w:p w14:paraId="7B6ADF17" w14:textId="77777777" w:rsidR="00E721A3" w:rsidRPr="0047414B" w:rsidRDefault="00E721A3" w:rsidP="007405BC">
            <w:pPr>
              <w:pStyle w:val="Small-TableswithinQuotes"/>
              <w:rPr>
                <w:szCs w:val="22"/>
              </w:rPr>
            </w:pPr>
            <w:r w:rsidRPr="0047414B">
              <w:rPr>
                <w:szCs w:val="22"/>
              </w:rPr>
              <w:t>($31,029)</w:t>
            </w:r>
          </w:p>
        </w:tc>
        <w:tc>
          <w:tcPr>
            <w:tcW w:w="1843" w:type="dxa"/>
          </w:tcPr>
          <w:p w14:paraId="4DFD7D33" w14:textId="77777777" w:rsidR="00E721A3" w:rsidRPr="0047414B" w:rsidRDefault="00E721A3" w:rsidP="007405BC">
            <w:pPr>
              <w:pStyle w:val="Small-TableswithinQuotes"/>
              <w:rPr>
                <w:szCs w:val="22"/>
              </w:rPr>
            </w:pPr>
            <w:r w:rsidRPr="0047414B">
              <w:rPr>
                <w:szCs w:val="22"/>
              </w:rPr>
              <w:t>($118,641)</w:t>
            </w:r>
          </w:p>
        </w:tc>
        <w:tc>
          <w:tcPr>
            <w:tcW w:w="1509" w:type="dxa"/>
          </w:tcPr>
          <w:p w14:paraId="10B8F382" w14:textId="77777777" w:rsidR="00E721A3" w:rsidRPr="0047414B" w:rsidRDefault="00E721A3" w:rsidP="007405BC">
            <w:pPr>
              <w:pStyle w:val="Small-TableswithinQuotes"/>
              <w:rPr>
                <w:szCs w:val="22"/>
              </w:rPr>
            </w:pPr>
            <w:r w:rsidRPr="0047414B">
              <w:rPr>
                <w:szCs w:val="22"/>
              </w:rPr>
              <w:t>($47,456)</w:t>
            </w:r>
          </w:p>
        </w:tc>
      </w:tr>
      <w:tr w:rsidR="00E721A3" w:rsidRPr="0047414B" w14:paraId="056C97AA" w14:textId="77777777" w:rsidTr="00DF7053">
        <w:tc>
          <w:tcPr>
            <w:tcW w:w="2122" w:type="dxa"/>
          </w:tcPr>
          <w:p w14:paraId="37839DF7" w14:textId="77777777" w:rsidR="00E721A3" w:rsidRPr="0047414B" w:rsidRDefault="00E721A3" w:rsidP="007405BC">
            <w:pPr>
              <w:pStyle w:val="Small-TableswithinQuotes"/>
              <w:rPr>
                <w:b/>
              </w:rPr>
            </w:pPr>
            <w:r w:rsidRPr="0047414B">
              <w:rPr>
                <w:b/>
              </w:rPr>
              <w:t>Total</w:t>
            </w:r>
          </w:p>
        </w:tc>
        <w:tc>
          <w:tcPr>
            <w:tcW w:w="1842" w:type="dxa"/>
          </w:tcPr>
          <w:p w14:paraId="4F4FF149" w14:textId="77777777" w:rsidR="00E721A3" w:rsidRPr="0047414B" w:rsidRDefault="00E721A3" w:rsidP="007405BC">
            <w:pPr>
              <w:pStyle w:val="Small-TableswithinQuotes"/>
              <w:rPr>
                <w:szCs w:val="22"/>
              </w:rPr>
            </w:pPr>
            <w:r w:rsidRPr="0047414B">
              <w:rPr>
                <w:szCs w:val="22"/>
              </w:rPr>
              <w:t>$399,073</w:t>
            </w:r>
          </w:p>
        </w:tc>
        <w:tc>
          <w:tcPr>
            <w:tcW w:w="1701" w:type="dxa"/>
          </w:tcPr>
          <w:p w14:paraId="48E84E38" w14:textId="77777777" w:rsidR="00E721A3" w:rsidRPr="0047414B" w:rsidRDefault="00E721A3" w:rsidP="007405BC">
            <w:pPr>
              <w:pStyle w:val="Small-TableswithinQuotes"/>
              <w:rPr>
                <w:szCs w:val="22"/>
              </w:rPr>
            </w:pPr>
            <w:r w:rsidRPr="0047414B">
              <w:rPr>
                <w:szCs w:val="22"/>
              </w:rPr>
              <w:t>$156,000</w:t>
            </w:r>
          </w:p>
        </w:tc>
        <w:tc>
          <w:tcPr>
            <w:tcW w:w="1843" w:type="dxa"/>
          </w:tcPr>
          <w:p w14:paraId="130D85E0" w14:textId="77777777" w:rsidR="00E721A3" w:rsidRPr="0047414B" w:rsidRDefault="00E721A3" w:rsidP="007405BC">
            <w:pPr>
              <w:pStyle w:val="Small-TableswithinQuotes"/>
              <w:rPr>
                <w:szCs w:val="22"/>
              </w:rPr>
            </w:pPr>
            <w:r w:rsidRPr="0047414B">
              <w:rPr>
                <w:szCs w:val="22"/>
              </w:rPr>
              <w:t>$193,074</w:t>
            </w:r>
          </w:p>
        </w:tc>
        <w:tc>
          <w:tcPr>
            <w:tcW w:w="1509" w:type="dxa"/>
          </w:tcPr>
          <w:p w14:paraId="08D59973" w14:textId="77777777" w:rsidR="00E721A3" w:rsidRPr="0047414B" w:rsidRDefault="00E721A3" w:rsidP="007405BC">
            <w:pPr>
              <w:pStyle w:val="Small-TableswithinQuotes"/>
              <w:rPr>
                <w:szCs w:val="22"/>
              </w:rPr>
            </w:pPr>
            <w:r w:rsidRPr="0047414B">
              <w:rPr>
                <w:szCs w:val="22"/>
              </w:rPr>
              <w:t>$50,000</w:t>
            </w:r>
          </w:p>
        </w:tc>
      </w:tr>
    </w:tbl>
    <w:p w14:paraId="15442DA3" w14:textId="77777777" w:rsidR="00E721A3" w:rsidRPr="0047414B" w:rsidRDefault="00E721A3" w:rsidP="0016448B">
      <w:pPr>
        <w:pStyle w:val="Quote1"/>
        <w:ind w:left="2160" w:hanging="1423"/>
      </w:pPr>
    </w:p>
    <w:p w14:paraId="654F7ACC" w14:textId="7E5A7461" w:rsidR="001541AC" w:rsidRPr="0047414B" w:rsidRDefault="001541AC" w:rsidP="009507CD">
      <w:pPr>
        <w:pStyle w:val="Heading2"/>
      </w:pPr>
      <w:r w:rsidRPr="0047414B">
        <w:t>Assessment</w:t>
      </w:r>
    </w:p>
    <w:p w14:paraId="55670364" w14:textId="09B39BBF" w:rsidR="00BB6181" w:rsidRPr="0047414B" w:rsidRDefault="0016448B" w:rsidP="00CD1346">
      <w:pPr>
        <w:pStyle w:val="ParaNumbering"/>
      </w:pPr>
      <w:r w:rsidRPr="0047414B">
        <w:t>The respondent assessed the appellant</w:t>
      </w:r>
      <w:r w:rsidR="0054338E" w:rsidRPr="0047414B">
        <w:t xml:space="preserve"> to tax </w:t>
      </w:r>
      <w:r w:rsidRPr="0047414B">
        <w:t>for the 2009 tax year by including in his assessable income a discount capital gain from the disposal of goodwill in the Partnership’s business in the amount of $91,314, calculated as capital procee</w:t>
      </w:r>
      <w:r w:rsidR="00ED3634" w:rsidRPr="0047414B">
        <w:t>ds of $182,629 less a cost base</w:t>
      </w:r>
      <w:r w:rsidRPr="0047414B">
        <w:t xml:space="preserve"> of $0 and applying a 50% CGT discount</w:t>
      </w:r>
      <w:r w:rsidR="0054338E" w:rsidRPr="0047414B">
        <w:t xml:space="preserve">. </w:t>
      </w:r>
      <w:r w:rsidR="00145A2B" w:rsidRPr="0047414B">
        <w:t xml:space="preserve"> </w:t>
      </w:r>
      <w:r w:rsidRPr="0047414B">
        <w:t xml:space="preserve">In determining the capital gain the </w:t>
      </w:r>
      <w:r w:rsidRPr="0047414B">
        <w:rPr>
          <w:b/>
        </w:rPr>
        <w:t>Commissioner</w:t>
      </w:r>
      <w:r w:rsidR="00B96FDC" w:rsidRPr="0047414B">
        <w:t xml:space="preserve"> of Taxation</w:t>
      </w:r>
      <w:r w:rsidRPr="0047414B">
        <w:t xml:space="preserve"> applied cl 25 of the Partnership Deed.</w:t>
      </w:r>
    </w:p>
    <w:p w14:paraId="06329482" w14:textId="2B885D67" w:rsidR="00BD7AD4" w:rsidRPr="0047414B" w:rsidRDefault="00BD7AD4" w:rsidP="009507CD">
      <w:pPr>
        <w:pStyle w:val="Heading1"/>
      </w:pPr>
      <w:r w:rsidRPr="0047414B">
        <w:t>Decision of the Primary Judge</w:t>
      </w:r>
    </w:p>
    <w:p w14:paraId="6BF9F0D6" w14:textId="0838C0A1" w:rsidR="0016448B" w:rsidRPr="0047414B" w:rsidRDefault="0016448B" w:rsidP="00CD1346">
      <w:pPr>
        <w:pStyle w:val="ParaNumbering"/>
      </w:pPr>
      <w:r w:rsidRPr="0047414B">
        <w:t xml:space="preserve">Before the primary judge the appellant contended that applying </w:t>
      </w:r>
      <w:proofErr w:type="spellStart"/>
      <w:r w:rsidRPr="0047414B">
        <w:t>cl</w:t>
      </w:r>
      <w:r w:rsidR="00ED3634" w:rsidRPr="0047414B">
        <w:t>l</w:t>
      </w:r>
      <w:proofErr w:type="spellEnd"/>
      <w:r w:rsidR="005F7992" w:rsidRPr="0047414B">
        <w:t> </w:t>
      </w:r>
      <w:r w:rsidR="00ED3634" w:rsidRPr="0047414B">
        <w:t>25 and</w:t>
      </w:r>
      <w:r w:rsidRPr="0047414B">
        <w:t xml:space="preserve"> 26 of the Partnership Deed and c</w:t>
      </w:r>
      <w:r w:rsidR="00ED3634" w:rsidRPr="0047414B">
        <w:t xml:space="preserve">l 3.7 of the Retirement Deed, the amount he was entitled </w:t>
      </w:r>
      <w:r w:rsidR="00024263" w:rsidRPr="0047414B">
        <w:t xml:space="preserve">to </w:t>
      </w:r>
      <w:r w:rsidR="00ED3634" w:rsidRPr="0047414B">
        <w:t xml:space="preserve">receive in respect of goodwill was nil </w:t>
      </w:r>
      <w:r w:rsidRPr="0047414B">
        <w:t xml:space="preserve">because the goodwill amount was </w:t>
      </w:r>
      <w:proofErr w:type="spellStart"/>
      <w:r w:rsidRPr="0047414B">
        <w:t>set</w:t>
      </w:r>
      <w:r w:rsidRPr="0047414B">
        <w:noBreakHyphen/>
        <w:t>off</w:t>
      </w:r>
      <w:proofErr w:type="spellEnd"/>
      <w:r w:rsidRPr="0047414B">
        <w:t xml:space="preserve"> against an amount the appellant owed to the </w:t>
      </w:r>
      <w:r w:rsidR="009A1543" w:rsidRPr="0047414B">
        <w:t>Partnership</w:t>
      </w:r>
      <w:r w:rsidRPr="0047414B">
        <w:t>.</w:t>
      </w:r>
    </w:p>
    <w:p w14:paraId="6E9935F4" w14:textId="72106398" w:rsidR="0016448B" w:rsidRPr="0047414B" w:rsidRDefault="0016448B" w:rsidP="00CD1346">
      <w:pPr>
        <w:pStyle w:val="ParaNumbering"/>
      </w:pPr>
      <w:r w:rsidRPr="0047414B">
        <w:t>The primary judge dismissed the appellant’s application</w:t>
      </w:r>
      <w:r w:rsidR="0054338E" w:rsidRPr="0047414B">
        <w:t xml:space="preserve">. </w:t>
      </w:r>
      <w:r w:rsidR="0010091D" w:rsidRPr="0047414B">
        <w:t xml:space="preserve"> </w:t>
      </w:r>
      <w:r w:rsidRPr="0047414B">
        <w:t>At PJ [48]</w:t>
      </w:r>
      <w:r w:rsidR="005B673F">
        <w:t xml:space="preserve"> </w:t>
      </w:r>
      <w:r w:rsidRPr="0047414B">
        <w:t>–</w:t>
      </w:r>
      <w:r w:rsidR="005B673F">
        <w:t xml:space="preserve"> </w:t>
      </w:r>
      <w:r w:rsidRPr="0047414B">
        <w:t>[51] the primary judge stated:</w:t>
      </w:r>
    </w:p>
    <w:p w14:paraId="06B7C75B" w14:textId="77777777" w:rsidR="0016448B" w:rsidRPr="0047414B" w:rsidRDefault="0016448B" w:rsidP="0016448B">
      <w:pPr>
        <w:pStyle w:val="Quote1"/>
      </w:pPr>
      <w:r w:rsidRPr="0047414B">
        <w:t xml:space="preserve">Clause 25 of the Partnership Deed is under the heading “Effect of retirement and payment”. In plain terms, it provides that upon the happening of the designated event – here, retirement – the Partner shall be paid the amounts specified in </w:t>
      </w:r>
      <w:proofErr w:type="spellStart"/>
      <w:r w:rsidRPr="0047414B">
        <w:t>cll</w:t>
      </w:r>
      <w:proofErr w:type="spellEnd"/>
      <w:r w:rsidRPr="0047414B">
        <w:t xml:space="preserve"> 25.1 to 25.4. The amount that “shall be paid” “upon retirement” in respect of goodwill is Mr Hedges’ proportionate part, calculated in accordance with his Partnership Interest of </w:t>
      </w:r>
      <w:r w:rsidRPr="0047414B">
        <w:lastRenderedPageBreak/>
        <w:t>12.57%, of the goodwill of the Partnership, the value of which is calculated as the equivalent of 50% of the annual net trading profit of the Partnership, averaged over the preceding three years. Clause 25 is the source of Mr Hedges’ right to be paid an amount in respect of his proportionate share in the goodwill of the Partnership upon his retirement.</w:t>
      </w:r>
    </w:p>
    <w:p w14:paraId="5367AF52" w14:textId="77777777" w:rsidR="0016448B" w:rsidRPr="0047414B" w:rsidRDefault="0016448B" w:rsidP="0016448B">
      <w:pPr>
        <w:pStyle w:val="Quote1"/>
      </w:pPr>
      <w:r w:rsidRPr="0047414B">
        <w:t>Clause 26 does not confer on Mr Hedges a right to receive payment upon his retirement in respect of, relevantly, goodwill. Clause 26 is directed to providing a set-off mechanism. It requires that “any moneys owing” by an Outgoing Partner “shall be determined” and “shall be offset against any amount found owing to” the Outgoing Partner. Clause 26 requires the determination of amounts owing by and to an Outgoing Partner, but it is not the source of the relevant obligations in respect of such payments. Clause 26 is merely a mechanism that provides a convenient method by which the Partnership can recover amounts owed by Outgoing Partners to the Partnership on their retirement.</w:t>
      </w:r>
    </w:p>
    <w:p w14:paraId="4BBDBEA5" w14:textId="77777777" w:rsidR="00E753EC" w:rsidRPr="0047414B" w:rsidRDefault="00E753EC" w:rsidP="0016448B">
      <w:pPr>
        <w:pStyle w:val="Quote1"/>
      </w:pPr>
      <w:r w:rsidRPr="0047414B">
        <w:t>Clause 3.7 of the Retirement Deed is similarly directed to the “calculation” of “the Retirement Moneys” which are “all moneys payable” to the Outgoing Partner. Clause 3.7 is directed to the net payment position. Of itself, cl 3.7 does not establish a right to the component payments. Clause 3.7 says that the Retirement Moneys “shall be calculated in accordance with [</w:t>
      </w:r>
      <w:proofErr w:type="spellStart"/>
      <w:r w:rsidRPr="0047414B">
        <w:t>cll</w:t>
      </w:r>
      <w:proofErr w:type="spellEnd"/>
      <w:r w:rsidRPr="0047414B">
        <w:t xml:space="preserve">] 25 and 26 of the [Partnership] Deed”. Attention is directed back to cl 25, which is the source of the entitlement to the four categories of payments identified in </w:t>
      </w:r>
      <w:proofErr w:type="spellStart"/>
      <w:r w:rsidRPr="0047414B">
        <w:t>cll</w:t>
      </w:r>
      <w:proofErr w:type="spellEnd"/>
      <w:r w:rsidRPr="0047414B">
        <w:t xml:space="preserve"> 25.1 to 25.4 (inclusive), and to cl 26, which addresses the mechanism by which the net payment is calculated after applying the contractually agreed set-off mechanism by which debts owed by the Outgoing Partner are recovered. The Tribunal was correct to construe the relevant deeds as giving Mr Hedges an entitlement upon his retirement to the goodwill payment which derived from cl 25, specifically cl 25.4. The relevant event for the purpose of s 116-20(1</w:t>
      </w:r>
      <w:proofErr w:type="gramStart"/>
      <w:r w:rsidRPr="0047414B">
        <w:t>)(</w:t>
      </w:r>
      <w:proofErr w:type="gramEnd"/>
      <w:r w:rsidRPr="0047414B">
        <w:t>a) of the ITAA 1997 was Mr Hedges’ retirement. Upon this event, Mr Hedges became “entitled to receive” the goodwill payment within the meaning of s 116-20(1</w:t>
      </w:r>
      <w:proofErr w:type="gramStart"/>
      <w:r w:rsidRPr="0047414B">
        <w:t>)(</w:t>
      </w:r>
      <w:proofErr w:type="gramEnd"/>
      <w:r w:rsidRPr="0047414B">
        <w:t>a) of the ITAA 1997.</w:t>
      </w:r>
    </w:p>
    <w:p w14:paraId="4947A252" w14:textId="6CB73D10" w:rsidR="0016448B" w:rsidRPr="0047414B" w:rsidRDefault="00E753EC" w:rsidP="0016448B">
      <w:pPr>
        <w:pStyle w:val="Quote1"/>
      </w:pPr>
      <w:r w:rsidRPr="0047414B">
        <w:t>The Tribunal was also correct to recognise that, notwithstanding that the goodwill payment was liable to be applied to offset Mr Hedges’ obligation to repay the debt due on the capital account, the capital proceeds of the CGT event were not reduced by the reason of the offset. The effect of s 103-10 of the ITAA 1997 was that Mr Hedges was deemed to receive the goodwill payment at the time it was applied for his benefit in reducing his debt in respect of the capital account.</w:t>
      </w:r>
    </w:p>
    <w:p w14:paraId="4CAE837A" w14:textId="7EEA5E1E" w:rsidR="00BD7AD4" w:rsidRPr="0047414B" w:rsidRDefault="00BD7AD4" w:rsidP="009507CD">
      <w:pPr>
        <w:pStyle w:val="Heading1"/>
      </w:pPr>
      <w:r w:rsidRPr="0047414B">
        <w:t>Grounds of Appeal</w:t>
      </w:r>
    </w:p>
    <w:p w14:paraId="5C2B1095" w14:textId="04428A3A" w:rsidR="0016448B" w:rsidRPr="0047414B" w:rsidRDefault="00E753EC" w:rsidP="00CD1346">
      <w:pPr>
        <w:pStyle w:val="ParaNumbering"/>
      </w:pPr>
      <w:r w:rsidRPr="0047414B">
        <w:t xml:space="preserve">By an amended notice of appeal the </w:t>
      </w:r>
      <w:r w:rsidR="003F58CA" w:rsidRPr="0047414B">
        <w:t xml:space="preserve">appellant </w:t>
      </w:r>
      <w:r w:rsidR="00F858BD" w:rsidRPr="0047414B">
        <w:t>raised</w:t>
      </w:r>
      <w:r w:rsidRPr="0047414B">
        <w:t xml:space="preserve"> two grounds of appeal:</w:t>
      </w:r>
    </w:p>
    <w:p w14:paraId="7B281A70" w14:textId="07BD98B8" w:rsidR="00E753EC" w:rsidRPr="0047414B" w:rsidRDefault="00E753EC" w:rsidP="00E753EC">
      <w:pPr>
        <w:pStyle w:val="ListNo1"/>
      </w:pPr>
      <w:r w:rsidRPr="0047414B">
        <w:t>The learned primary judge erred in holding that cl 25 of the Partnership Deed dated 25</w:t>
      </w:r>
      <w:r w:rsidR="0004051A" w:rsidRPr="0047414B">
        <w:t xml:space="preserve"> </w:t>
      </w:r>
      <w:r w:rsidRPr="0047414B">
        <w:t>September 2006 was the source of the appellant’s right to be paid an amount in respect of his proportionate share in the goodwill of the partnership on his retirement (</w:t>
      </w:r>
      <w:r w:rsidRPr="0047414B">
        <w:rPr>
          <w:i/>
        </w:rPr>
        <w:t>Hedges v Commissioner of Taxation</w:t>
      </w:r>
      <w:r w:rsidRPr="0047414B">
        <w:t xml:space="preserve"> [2022] FCA 1389 at [41], [48] and [50]</w:t>
      </w:r>
      <w:r w:rsidR="004B70E3" w:rsidRPr="0047414B">
        <w:rPr>
          <w:rFonts w:ascii="Arial" w:hAnsi="Arial" w:cs="Arial"/>
          <w:sz w:val="21"/>
          <w:szCs w:val="21"/>
          <w:shd w:val="clear" w:color="auto" w:fill="FFFFFF"/>
        </w:rPr>
        <w:t xml:space="preserve"> –</w:t>
      </w:r>
      <w:r w:rsidR="004B70E3" w:rsidRPr="0047414B">
        <w:t xml:space="preserve"> </w:t>
      </w:r>
      <w:r w:rsidR="00EA18D4" w:rsidRPr="0047414B">
        <w:t>[51]</w:t>
      </w:r>
      <w:r w:rsidRPr="0047414B">
        <w:t>).</w:t>
      </w:r>
    </w:p>
    <w:p w14:paraId="4C8B339F" w14:textId="77777777" w:rsidR="00E753EC" w:rsidRPr="0047414B" w:rsidRDefault="00E753EC" w:rsidP="00E753EC">
      <w:pPr>
        <w:pStyle w:val="ListNo1"/>
      </w:pPr>
      <w:r w:rsidRPr="0047414B">
        <w:t>The learned primary judge should have held that:</w:t>
      </w:r>
    </w:p>
    <w:p w14:paraId="13483B33" w14:textId="77777777" w:rsidR="00E753EC" w:rsidRPr="0047414B" w:rsidRDefault="00E753EC" w:rsidP="00E753EC">
      <w:pPr>
        <w:pStyle w:val="ListNo2"/>
      </w:pPr>
      <w:proofErr w:type="spellStart"/>
      <w:r w:rsidRPr="0047414B">
        <w:lastRenderedPageBreak/>
        <w:t>cll</w:t>
      </w:r>
      <w:proofErr w:type="spellEnd"/>
      <w:r w:rsidRPr="0047414B">
        <w:t xml:space="preserve"> 3.7, 3.8 and 3.9 of the Deed of Partner’s Retirement dated 30 September 2008 (</w:t>
      </w:r>
      <w:r w:rsidRPr="0047414B">
        <w:rPr>
          <w:b/>
        </w:rPr>
        <w:t>Retirement Deed</w:t>
      </w:r>
      <w:r w:rsidRPr="0047414B">
        <w:t>) were the source of the appellant’s right to be paid an amount of “Retirement Moneys”;</w:t>
      </w:r>
    </w:p>
    <w:p w14:paraId="5513BE3C" w14:textId="6D68B176" w:rsidR="00E753EC" w:rsidRPr="0047414B" w:rsidRDefault="00E753EC" w:rsidP="00E753EC">
      <w:pPr>
        <w:pStyle w:val="ListNo2"/>
      </w:pPr>
      <w:r w:rsidRPr="0047414B">
        <w:t>the “Retirement Moneys” did not include moneys in respect of the disposal of the appellant’s share in the goodwill of the partnership for the purposes of s</w:t>
      </w:r>
      <w:r w:rsidR="00244EC7" w:rsidRPr="0047414B">
        <w:t> </w:t>
      </w:r>
      <w:r w:rsidRPr="0047414B">
        <w:t>116</w:t>
      </w:r>
      <w:r w:rsidRPr="0047414B">
        <w:noBreakHyphen/>
        <w:t xml:space="preserve">20(1) of the </w:t>
      </w:r>
      <w:r w:rsidRPr="0047414B">
        <w:rPr>
          <w:i/>
        </w:rPr>
        <w:t>Income Tax Assessment Act 1997</w:t>
      </w:r>
      <w:r w:rsidRPr="0047414B">
        <w:t xml:space="preserve"> (</w:t>
      </w:r>
      <w:proofErr w:type="spellStart"/>
      <w:r w:rsidRPr="0047414B">
        <w:t>Cth</w:t>
      </w:r>
      <w:proofErr w:type="spellEnd"/>
      <w:r w:rsidRPr="0047414B">
        <w:t>).</w:t>
      </w:r>
    </w:p>
    <w:p w14:paraId="7175F22A" w14:textId="65075B43" w:rsidR="00E753EC" w:rsidRPr="0047414B" w:rsidRDefault="00E753EC" w:rsidP="00CD1346">
      <w:pPr>
        <w:pStyle w:val="ParaNumbering"/>
      </w:pPr>
      <w:r w:rsidRPr="0047414B">
        <w:t>The Commissioner did not object to leave being granted for the appellant to file and rely upon the ground set out in the amended notice of appeal</w:t>
      </w:r>
      <w:r w:rsidR="0054338E" w:rsidRPr="0047414B">
        <w:t xml:space="preserve">. </w:t>
      </w:r>
      <w:r w:rsidR="00BD7AD4" w:rsidRPr="0047414B">
        <w:t xml:space="preserve"> </w:t>
      </w:r>
      <w:r w:rsidRPr="0047414B">
        <w:t>Leave was granted at the commencement of the hearing.</w:t>
      </w:r>
    </w:p>
    <w:p w14:paraId="54D82473" w14:textId="77777777" w:rsidR="00E753EC" w:rsidRPr="0047414B" w:rsidRDefault="00E753EC" w:rsidP="00BD7AD4">
      <w:pPr>
        <w:pStyle w:val="Heading1"/>
      </w:pPr>
      <w:r w:rsidRPr="0047414B">
        <w:t>Relevant statutory provisions</w:t>
      </w:r>
    </w:p>
    <w:p w14:paraId="02FB3EE6" w14:textId="6A1FDB47" w:rsidR="00E753EC" w:rsidRPr="0047414B" w:rsidRDefault="00FB160A" w:rsidP="00CD1346">
      <w:pPr>
        <w:pStyle w:val="ParaNumbering"/>
      </w:pPr>
      <w:r w:rsidRPr="0047414B">
        <w:t>Section 104-10(1) of the</w:t>
      </w:r>
      <w:r w:rsidR="00C046A2" w:rsidRPr="0047414B">
        <w:t xml:space="preserve"> </w:t>
      </w:r>
      <w:r w:rsidR="00C046A2" w:rsidRPr="0047414B">
        <w:rPr>
          <w:i/>
        </w:rPr>
        <w:t xml:space="preserve">Income Tax Assessment Act 1997 </w:t>
      </w:r>
      <w:r w:rsidR="00C046A2" w:rsidRPr="0047414B">
        <w:t>(</w:t>
      </w:r>
      <w:proofErr w:type="spellStart"/>
      <w:r w:rsidR="00C046A2" w:rsidRPr="0047414B">
        <w:t>Cth</w:t>
      </w:r>
      <w:proofErr w:type="spellEnd"/>
      <w:r w:rsidR="00C046A2" w:rsidRPr="0047414B">
        <w:t>)</w:t>
      </w:r>
      <w:r w:rsidRPr="0047414B">
        <w:t xml:space="preserve"> </w:t>
      </w:r>
      <w:r w:rsidR="00C046A2" w:rsidRPr="0047414B">
        <w:t>(</w:t>
      </w:r>
      <w:r w:rsidRPr="0047414B">
        <w:rPr>
          <w:b/>
        </w:rPr>
        <w:t>ITAA 97</w:t>
      </w:r>
      <w:r w:rsidR="00C046A2" w:rsidRPr="0047414B">
        <w:t>)</w:t>
      </w:r>
      <w:r w:rsidRPr="0047414B">
        <w:t xml:space="preserve"> provides that CGT event A1 happens if you dispose of a CGT asset.  </w:t>
      </w:r>
      <w:r w:rsidR="0033049A" w:rsidRPr="0047414B">
        <w:t xml:space="preserve">Relevantly, </w:t>
      </w:r>
      <w:r w:rsidR="00C046A2" w:rsidRPr="0047414B">
        <w:t>t</w:t>
      </w:r>
      <w:r w:rsidRPr="0047414B">
        <w:t xml:space="preserve">he time of the event is </w:t>
      </w:r>
      <w:r w:rsidR="0033049A" w:rsidRPr="0047414B">
        <w:t>when you enter into the contract for the disposal: s</w:t>
      </w:r>
      <w:r w:rsidR="001F6FE1" w:rsidRPr="0047414B">
        <w:t> </w:t>
      </w:r>
      <w:r w:rsidR="0033049A" w:rsidRPr="0047414B">
        <w:t>104-10(3</w:t>
      </w:r>
      <w:proofErr w:type="gramStart"/>
      <w:r w:rsidR="0033049A" w:rsidRPr="0047414B">
        <w:t>)(</w:t>
      </w:r>
      <w:proofErr w:type="gramEnd"/>
      <w:r w:rsidR="0033049A" w:rsidRPr="0047414B">
        <w:t>a).  A capital gain is made if the capital proceeds from the disposal are more than the asset’s cost base: s 104-10(4).</w:t>
      </w:r>
    </w:p>
    <w:p w14:paraId="7BA8BF57" w14:textId="2E40ACAC" w:rsidR="00E753EC" w:rsidRPr="0047414B" w:rsidRDefault="0033049A" w:rsidP="00CD1346">
      <w:pPr>
        <w:pStyle w:val="ParaNumbering"/>
      </w:pPr>
      <w:r w:rsidRPr="0047414B">
        <w:t xml:space="preserve">The general rule </w:t>
      </w:r>
      <w:r w:rsidR="00F57AE4">
        <w:t>(provided for in s </w:t>
      </w:r>
      <w:r w:rsidR="00CF13A0" w:rsidRPr="0047414B">
        <w:t xml:space="preserve">116-20(1)) </w:t>
      </w:r>
      <w:r w:rsidRPr="0047414B">
        <w:t>is that the capital proceeds from a CGT event are the total of:</w:t>
      </w:r>
    </w:p>
    <w:p w14:paraId="05C44D54" w14:textId="54CE9BA5" w:rsidR="00CF13A0" w:rsidRPr="0047414B" w:rsidRDefault="00CF13A0" w:rsidP="00CF13A0">
      <w:pPr>
        <w:pStyle w:val="Quote1"/>
        <w:ind w:left="1440" w:hanging="703"/>
        <w:rPr>
          <w:lang w:eastAsia="en-AU"/>
        </w:rPr>
      </w:pPr>
      <w:r w:rsidRPr="0047414B">
        <w:rPr>
          <w:lang w:eastAsia="en-AU"/>
        </w:rPr>
        <w:t>(a)</w:t>
      </w:r>
      <w:r w:rsidRPr="0047414B">
        <w:rPr>
          <w:lang w:eastAsia="en-AU"/>
        </w:rPr>
        <w:tab/>
      </w:r>
      <w:proofErr w:type="gramStart"/>
      <w:r w:rsidRPr="0047414B">
        <w:rPr>
          <w:lang w:eastAsia="en-AU"/>
        </w:rPr>
        <w:t>the</w:t>
      </w:r>
      <w:proofErr w:type="gramEnd"/>
      <w:r w:rsidRPr="0047414B">
        <w:rPr>
          <w:lang w:eastAsia="en-AU"/>
        </w:rPr>
        <w:t xml:space="preserve"> money you have received, or are entitled to receive, in respect of the event happening; and</w:t>
      </w:r>
    </w:p>
    <w:p w14:paraId="23C5C5C3" w14:textId="7FABE6A2" w:rsidR="0033049A" w:rsidRPr="0047414B" w:rsidRDefault="00CF13A0" w:rsidP="00CF13A0">
      <w:pPr>
        <w:pStyle w:val="Quote1"/>
        <w:ind w:left="1440" w:hanging="703"/>
        <w:rPr>
          <w:lang w:eastAsia="en-AU"/>
        </w:rPr>
      </w:pPr>
      <w:r w:rsidRPr="0047414B">
        <w:rPr>
          <w:lang w:eastAsia="en-AU"/>
        </w:rPr>
        <w:t>(b)</w:t>
      </w:r>
      <w:r w:rsidRPr="0047414B">
        <w:rPr>
          <w:lang w:eastAsia="en-AU"/>
        </w:rPr>
        <w:tab/>
      </w:r>
      <w:proofErr w:type="gramStart"/>
      <w:r w:rsidRPr="0047414B">
        <w:rPr>
          <w:lang w:eastAsia="en-AU"/>
        </w:rPr>
        <w:t>the</w:t>
      </w:r>
      <w:proofErr w:type="gramEnd"/>
      <w:r w:rsidRPr="0047414B">
        <w:rPr>
          <w:lang w:eastAsia="en-AU"/>
        </w:rPr>
        <w:t xml:space="preserve"> *market value of any other property you have received, or are entitled to receive, in respect of the event happening (worked out as at the time of the event).</w:t>
      </w:r>
    </w:p>
    <w:p w14:paraId="13C158E2" w14:textId="68672FB1" w:rsidR="00E753EC" w:rsidRPr="0047414B" w:rsidRDefault="00F75720" w:rsidP="00CD1346">
      <w:pPr>
        <w:pStyle w:val="ParaNumbering"/>
      </w:pPr>
      <w:r w:rsidRPr="0047414B">
        <w:t xml:space="preserve">Section 103-10 provides: </w:t>
      </w:r>
    </w:p>
    <w:p w14:paraId="70BFC705" w14:textId="7A52A20E" w:rsidR="008C400C" w:rsidRPr="0047414B" w:rsidRDefault="008C400C" w:rsidP="00783D38">
      <w:pPr>
        <w:pStyle w:val="Quote1"/>
        <w:ind w:left="1440" w:hanging="703"/>
      </w:pPr>
      <w:r w:rsidRPr="0047414B">
        <w:t xml:space="preserve">(1) </w:t>
      </w:r>
      <w:r w:rsidR="00783D38" w:rsidRPr="0047414B">
        <w:tab/>
      </w:r>
      <w:r w:rsidRPr="0047414B">
        <w:t xml:space="preserve">This Part and Part 3-3 apply to you as if you had received money or other property if it has been applied for your benefit (including by discharging all or part of a debt you owe) or as you direct. </w:t>
      </w:r>
    </w:p>
    <w:p w14:paraId="773F23A8" w14:textId="7D7B68C9" w:rsidR="008C400C" w:rsidRPr="0047414B" w:rsidRDefault="008C400C" w:rsidP="00783D38">
      <w:pPr>
        <w:pStyle w:val="Quote1"/>
        <w:ind w:left="1440" w:hanging="703"/>
      </w:pPr>
      <w:r w:rsidRPr="0047414B">
        <w:t xml:space="preserve">(2) </w:t>
      </w:r>
      <w:r w:rsidR="00783D38" w:rsidRPr="0047414B">
        <w:tab/>
      </w:r>
      <w:r w:rsidRPr="0047414B">
        <w:t>Those Parts apply to you as if you are entitled to receive money or other property:</w:t>
      </w:r>
    </w:p>
    <w:p w14:paraId="012DCD4F" w14:textId="6497DEF2" w:rsidR="008C400C" w:rsidRPr="0047414B" w:rsidRDefault="008C400C" w:rsidP="00DF7053">
      <w:pPr>
        <w:pStyle w:val="Quote2"/>
      </w:pPr>
      <w:r w:rsidRPr="0047414B">
        <w:t>(a)</w:t>
      </w:r>
      <w:r w:rsidR="00783D38" w:rsidRPr="0047414B">
        <w:tab/>
      </w:r>
      <w:proofErr w:type="gramStart"/>
      <w:r w:rsidRPr="0047414B">
        <w:t>if</w:t>
      </w:r>
      <w:proofErr w:type="gramEnd"/>
      <w:r w:rsidRPr="0047414B">
        <w:t xml:space="preserve"> you are entitled to have it so applied; or </w:t>
      </w:r>
    </w:p>
    <w:p w14:paraId="7D36C1AD" w14:textId="2EF1066C" w:rsidR="008C400C" w:rsidRPr="0047414B" w:rsidRDefault="008C400C" w:rsidP="00DF7053">
      <w:pPr>
        <w:pStyle w:val="Quote2"/>
      </w:pPr>
      <w:r w:rsidRPr="0047414B">
        <w:t xml:space="preserve">(b) </w:t>
      </w:r>
      <w:r w:rsidR="00783D38" w:rsidRPr="0047414B">
        <w:tab/>
      </w:r>
      <w:proofErr w:type="gramStart"/>
      <w:r w:rsidRPr="0047414B">
        <w:t>if</w:t>
      </w:r>
      <w:proofErr w:type="gramEnd"/>
      <w:r w:rsidRPr="0047414B">
        <w:t>:</w:t>
      </w:r>
    </w:p>
    <w:p w14:paraId="732224B5" w14:textId="7D0D9CBC" w:rsidR="008C400C" w:rsidRPr="0047414B" w:rsidRDefault="008C400C" w:rsidP="00DF7053">
      <w:pPr>
        <w:pStyle w:val="Quote3"/>
      </w:pPr>
      <w:r w:rsidRPr="0047414B">
        <w:t>(</w:t>
      </w:r>
      <w:proofErr w:type="spellStart"/>
      <w:r w:rsidRPr="0047414B">
        <w:t>i</w:t>
      </w:r>
      <w:proofErr w:type="spellEnd"/>
      <w:r w:rsidRPr="0047414B">
        <w:t xml:space="preserve">) </w:t>
      </w:r>
      <w:r w:rsidR="00783D38" w:rsidRPr="0047414B">
        <w:tab/>
      </w:r>
      <w:proofErr w:type="gramStart"/>
      <w:r w:rsidRPr="0047414B">
        <w:t>you</w:t>
      </w:r>
      <w:proofErr w:type="gramEnd"/>
      <w:r w:rsidRPr="0047414B">
        <w:t xml:space="preserve"> will not receive it until a later time; or </w:t>
      </w:r>
    </w:p>
    <w:p w14:paraId="3F210610" w14:textId="64B81F60" w:rsidR="008C400C" w:rsidRPr="0047414B" w:rsidRDefault="008C400C" w:rsidP="00DF7053">
      <w:pPr>
        <w:pStyle w:val="Quote3"/>
      </w:pPr>
      <w:r w:rsidRPr="0047414B">
        <w:t>(ii)</w:t>
      </w:r>
      <w:r w:rsidR="00783D38" w:rsidRPr="0047414B">
        <w:tab/>
      </w:r>
      <w:proofErr w:type="gramStart"/>
      <w:r w:rsidRPr="0047414B">
        <w:t>the</w:t>
      </w:r>
      <w:proofErr w:type="gramEnd"/>
      <w:r w:rsidRPr="0047414B">
        <w:t xml:space="preserve"> money is payable by instalments. </w:t>
      </w:r>
    </w:p>
    <w:p w14:paraId="52E2E0DA" w14:textId="0313A44C" w:rsidR="00F75720" w:rsidRPr="0047414B" w:rsidRDefault="00B13885" w:rsidP="00CD1346">
      <w:pPr>
        <w:pStyle w:val="ParaNumbering"/>
      </w:pPr>
      <w:r>
        <w:t>A CGT asset is defined in s </w:t>
      </w:r>
      <w:r w:rsidR="00F75720" w:rsidRPr="0047414B">
        <w:t>108-5.  Relevant</w:t>
      </w:r>
      <w:r w:rsidR="00680C88" w:rsidRPr="0047414B">
        <w:t>ly that section provides:</w:t>
      </w:r>
    </w:p>
    <w:p w14:paraId="6731CF6A" w14:textId="73B2DB52" w:rsidR="00680C88" w:rsidRPr="0047414B" w:rsidRDefault="00680C88" w:rsidP="00680C88">
      <w:pPr>
        <w:pStyle w:val="Quote1"/>
      </w:pPr>
      <w:r w:rsidRPr="0047414B">
        <w:lastRenderedPageBreak/>
        <w:t xml:space="preserve">(1) </w:t>
      </w:r>
      <w:r w:rsidR="00783D38" w:rsidRPr="0047414B">
        <w:tab/>
      </w:r>
      <w:r w:rsidRPr="0047414B">
        <w:t>A CGT asset is:</w:t>
      </w:r>
    </w:p>
    <w:p w14:paraId="0A782B3D" w14:textId="0F9AAB45" w:rsidR="00680C88" w:rsidRPr="0047414B" w:rsidRDefault="00680C88" w:rsidP="00DF7053">
      <w:pPr>
        <w:pStyle w:val="Quote2"/>
      </w:pPr>
      <w:r w:rsidRPr="0047414B">
        <w:t xml:space="preserve">(a) </w:t>
      </w:r>
      <w:r w:rsidR="00783D38" w:rsidRPr="0047414B">
        <w:tab/>
      </w:r>
      <w:proofErr w:type="gramStart"/>
      <w:r w:rsidRPr="0047414B">
        <w:t>any</w:t>
      </w:r>
      <w:proofErr w:type="gramEnd"/>
      <w:r w:rsidRPr="0047414B">
        <w:t xml:space="preserve"> kind of property; or </w:t>
      </w:r>
    </w:p>
    <w:p w14:paraId="3FA3F5BF" w14:textId="1D017071" w:rsidR="00680C88" w:rsidRPr="0047414B" w:rsidRDefault="00680C88" w:rsidP="00DF7053">
      <w:pPr>
        <w:pStyle w:val="Quote2"/>
      </w:pPr>
      <w:r w:rsidRPr="0047414B">
        <w:t xml:space="preserve">(b) </w:t>
      </w:r>
      <w:r w:rsidR="00783D38" w:rsidRPr="0047414B">
        <w:tab/>
      </w:r>
      <w:proofErr w:type="gramStart"/>
      <w:r w:rsidRPr="0047414B">
        <w:t>a</w:t>
      </w:r>
      <w:proofErr w:type="gramEnd"/>
      <w:r w:rsidRPr="0047414B">
        <w:t xml:space="preserve"> legal or equitable right that is not property.</w:t>
      </w:r>
    </w:p>
    <w:p w14:paraId="58174605" w14:textId="1FAB225E" w:rsidR="00680C88" w:rsidRPr="0047414B" w:rsidRDefault="00680C88" w:rsidP="00680C88">
      <w:pPr>
        <w:pStyle w:val="Quote1"/>
      </w:pPr>
      <w:r w:rsidRPr="0047414B">
        <w:t xml:space="preserve">(2) </w:t>
      </w:r>
      <w:r w:rsidR="00783D38" w:rsidRPr="0047414B">
        <w:tab/>
      </w:r>
      <w:r w:rsidRPr="0047414B">
        <w:t xml:space="preserve">To avoid doubt, these are CGT assets:  </w:t>
      </w:r>
    </w:p>
    <w:p w14:paraId="043FE7CC" w14:textId="77777777" w:rsidR="00680C88" w:rsidRPr="0047414B" w:rsidRDefault="00680C88" w:rsidP="00680C88">
      <w:pPr>
        <w:pStyle w:val="Quote1"/>
        <w:rPr>
          <w:lang w:eastAsia="en-AU"/>
        </w:rPr>
      </w:pPr>
      <w:r w:rsidRPr="0047414B">
        <w:rPr>
          <w:lang w:eastAsia="en-AU"/>
        </w:rPr>
        <w:t>…</w:t>
      </w:r>
    </w:p>
    <w:p w14:paraId="2D4565C6" w14:textId="43D124BD" w:rsidR="00680C88" w:rsidRPr="0047414B" w:rsidRDefault="00680C88" w:rsidP="00DF7053">
      <w:pPr>
        <w:pStyle w:val="Quote2"/>
      </w:pPr>
      <w:r w:rsidRPr="0047414B">
        <w:t xml:space="preserve">(c) </w:t>
      </w:r>
      <w:r w:rsidR="00783D38" w:rsidRPr="0047414B">
        <w:tab/>
      </w:r>
      <w:proofErr w:type="gramStart"/>
      <w:r w:rsidRPr="0047414B">
        <w:t>an</w:t>
      </w:r>
      <w:proofErr w:type="gramEnd"/>
      <w:r w:rsidRPr="0047414B">
        <w:t xml:space="preserve"> interest in an asset of a partnership; </w:t>
      </w:r>
    </w:p>
    <w:p w14:paraId="071D95C1" w14:textId="0FDD4787" w:rsidR="00680C88" w:rsidRPr="0047414B" w:rsidRDefault="00680C88" w:rsidP="00DF7053">
      <w:pPr>
        <w:pStyle w:val="Quote2"/>
      </w:pPr>
      <w:r w:rsidRPr="0047414B">
        <w:t xml:space="preserve">(d) </w:t>
      </w:r>
      <w:r w:rsidR="00783D38" w:rsidRPr="0047414B">
        <w:tab/>
      </w:r>
      <w:proofErr w:type="gramStart"/>
      <w:r w:rsidRPr="0047414B">
        <w:t>an</w:t>
      </w:r>
      <w:proofErr w:type="gramEnd"/>
      <w:r w:rsidRPr="0047414B">
        <w:t xml:space="preserve"> interest in a partnership that is not covered by paragraph (c).</w:t>
      </w:r>
    </w:p>
    <w:p w14:paraId="56A1BAB9" w14:textId="5F6FC2B4" w:rsidR="00680C88" w:rsidRPr="0047414B" w:rsidRDefault="00680C88" w:rsidP="00680C88">
      <w:pPr>
        <w:pStyle w:val="Quote1"/>
      </w:pPr>
      <w:r w:rsidRPr="0047414B">
        <w:t>(</w:t>
      </w:r>
      <w:proofErr w:type="gramStart"/>
      <w:r w:rsidRPr="0047414B">
        <w:t>notes</w:t>
      </w:r>
      <w:proofErr w:type="gramEnd"/>
      <w:r w:rsidRPr="0047414B">
        <w:t xml:space="preserve"> omitted.) </w:t>
      </w:r>
    </w:p>
    <w:p w14:paraId="087785C3" w14:textId="7B22811D" w:rsidR="007A4DAE" w:rsidRPr="0047414B" w:rsidRDefault="00CF1A19" w:rsidP="00CD1346">
      <w:pPr>
        <w:pStyle w:val="ParaNumbering"/>
      </w:pPr>
      <w:r w:rsidRPr="0047414B">
        <w:t xml:space="preserve">Section 106-5 of the ITAA 97 is entitled “Partnerships”.  It relevantly provides: </w:t>
      </w:r>
    </w:p>
    <w:p w14:paraId="1552C25C" w14:textId="0655671C" w:rsidR="000679F3" w:rsidRPr="0047414B" w:rsidRDefault="000679F3" w:rsidP="00783D38">
      <w:pPr>
        <w:pStyle w:val="Quote1"/>
        <w:ind w:left="1440" w:hanging="703"/>
      </w:pPr>
      <w:r w:rsidRPr="0047414B">
        <w:t xml:space="preserve">(1) </w:t>
      </w:r>
      <w:r w:rsidR="00783D38" w:rsidRPr="0047414B">
        <w:tab/>
      </w:r>
      <w:r w:rsidRPr="0047414B">
        <w:t>Any *capital gain or *capital loss from a *CGT event happening in relation to a partnership or one of its *CGT assets is made by the partners individually.</w:t>
      </w:r>
    </w:p>
    <w:p w14:paraId="088E347E" w14:textId="77777777" w:rsidR="000679F3" w:rsidRPr="0047414B" w:rsidRDefault="000679F3" w:rsidP="00783D38">
      <w:pPr>
        <w:pStyle w:val="Quote2"/>
      </w:pPr>
      <w:r w:rsidRPr="0047414B">
        <w:t>Each partner’s gain or loss is calculated by reference to the partnership agreement, or partnership law if there is no agreement.</w:t>
      </w:r>
    </w:p>
    <w:p w14:paraId="52807461" w14:textId="239577E7" w:rsidR="000679F3" w:rsidRPr="0047414B" w:rsidRDefault="000679F3" w:rsidP="00783D38">
      <w:pPr>
        <w:pStyle w:val="Quote2"/>
        <w:ind w:left="2880" w:hanging="1440"/>
        <w:rPr>
          <w:sz w:val="20"/>
        </w:rPr>
      </w:pPr>
      <w:r w:rsidRPr="0047414B">
        <w:rPr>
          <w:sz w:val="20"/>
        </w:rPr>
        <w:t xml:space="preserve">Example 1: </w:t>
      </w:r>
      <w:r w:rsidR="00783D38" w:rsidRPr="0047414B">
        <w:rPr>
          <w:sz w:val="20"/>
        </w:rPr>
        <w:tab/>
      </w:r>
      <w:r w:rsidRPr="0047414B">
        <w:rPr>
          <w:sz w:val="20"/>
        </w:rPr>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14:paraId="24FD91D5" w14:textId="7445FEE3" w:rsidR="000679F3" w:rsidRPr="0047414B" w:rsidRDefault="000679F3" w:rsidP="00783D38">
      <w:pPr>
        <w:pStyle w:val="Quote2"/>
        <w:ind w:left="2880" w:hanging="1440"/>
        <w:rPr>
          <w:sz w:val="20"/>
        </w:rPr>
      </w:pPr>
      <w:r w:rsidRPr="0047414B">
        <w:rPr>
          <w:sz w:val="20"/>
        </w:rPr>
        <w:t xml:space="preserve">Example 2: </w:t>
      </w:r>
      <w:r w:rsidR="00783D38" w:rsidRPr="0047414B">
        <w:rPr>
          <w:sz w:val="20"/>
        </w:rPr>
        <w:tab/>
      </w:r>
      <w:r w:rsidRPr="0047414B">
        <w:rPr>
          <w:sz w:val="20"/>
        </w:rPr>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14:paraId="6FBF4022" w14:textId="4558C853" w:rsidR="000679F3" w:rsidRPr="0047414B" w:rsidRDefault="000679F3" w:rsidP="00783D38">
      <w:pPr>
        <w:pStyle w:val="Quote4"/>
        <w:rPr>
          <w:sz w:val="20"/>
        </w:rPr>
      </w:pPr>
      <w:r w:rsidRPr="0047414B">
        <w:rPr>
          <w:sz w:val="20"/>
        </w:rPr>
        <w:t xml:space="preserve">When the land is sold, Helen’s capital gain or loss will be determined on the basis of her 75% interest. For other partnership assets, Helen’s gain or loss will be determined on the basis of her 50% interest (under the relevant Partnership Act).   </w:t>
      </w:r>
    </w:p>
    <w:p w14:paraId="3556F010" w14:textId="06607302" w:rsidR="000679F3" w:rsidRPr="0047414B" w:rsidRDefault="000679F3" w:rsidP="003D45AB">
      <w:pPr>
        <w:pStyle w:val="Quote1"/>
        <w:ind w:left="1440" w:hanging="703"/>
      </w:pPr>
      <w:r w:rsidRPr="0047414B">
        <w:t xml:space="preserve">(2) </w:t>
      </w:r>
      <w:r w:rsidR="003D45AB" w:rsidRPr="0047414B">
        <w:tab/>
      </w:r>
      <w:r w:rsidRPr="0047414B">
        <w:t>Each partner has a separate *cost base and *reduced cost base for the partner’s interest in each *CGT asset of the partnership.</w:t>
      </w:r>
    </w:p>
    <w:p w14:paraId="3EA8441F" w14:textId="1A6D6E98" w:rsidR="000679F3" w:rsidRPr="0047414B" w:rsidRDefault="000679F3" w:rsidP="003D45AB">
      <w:pPr>
        <w:pStyle w:val="Quote1"/>
        <w:ind w:left="1440" w:hanging="703"/>
      </w:pPr>
      <w:r w:rsidRPr="0047414B">
        <w:t xml:space="preserve">(3) </w:t>
      </w:r>
      <w:r w:rsidR="003D45AB" w:rsidRPr="0047414B">
        <w:tab/>
      </w:r>
      <w:r w:rsidRPr="0047414B">
        <w:t>If a partner leaves a partnership, a remaining partner *acquires a separate *CGT asset to the extent that the remaining partner acquires a share of the departing partner’s interest in a partnership asset.</w:t>
      </w:r>
    </w:p>
    <w:p w14:paraId="584A2756" w14:textId="77777777" w:rsidR="000679F3" w:rsidRPr="0047414B" w:rsidRDefault="000679F3" w:rsidP="003D45AB">
      <w:pPr>
        <w:pStyle w:val="Quote2"/>
        <w:rPr>
          <w:sz w:val="20"/>
        </w:rPr>
      </w:pPr>
      <w:r w:rsidRPr="0047414B">
        <w:rPr>
          <w:sz w:val="20"/>
        </w:rPr>
        <w:t>Note: The remaining partners would not be affected if the departing partner sells its interests to an entity that was not a partner.</w:t>
      </w:r>
    </w:p>
    <w:p w14:paraId="2FD3F26C" w14:textId="77777777" w:rsidR="000679F3" w:rsidRPr="0047414B" w:rsidRDefault="000679F3" w:rsidP="003D45AB">
      <w:pPr>
        <w:pStyle w:val="Quote2"/>
        <w:rPr>
          <w:sz w:val="20"/>
        </w:rPr>
      </w:pPr>
      <w:r w:rsidRPr="0047414B">
        <w:rPr>
          <w:sz w:val="20"/>
        </w:rPr>
        <w:t>Example: (Indexation is ignored for the purpose of this example).</w:t>
      </w:r>
    </w:p>
    <w:p w14:paraId="7107ED73" w14:textId="77777777" w:rsidR="000679F3" w:rsidRPr="0047414B" w:rsidRDefault="000679F3" w:rsidP="003D45AB">
      <w:pPr>
        <w:pStyle w:val="Quote2"/>
        <w:rPr>
          <w:sz w:val="20"/>
        </w:rPr>
      </w:pPr>
      <w:r w:rsidRPr="0047414B">
        <w:rPr>
          <w:sz w:val="20"/>
        </w:rPr>
        <w:t>John, Wil and Patricia form a partnership (in equal shares).</w:t>
      </w:r>
    </w:p>
    <w:p w14:paraId="582D5B46" w14:textId="77777777" w:rsidR="000679F3" w:rsidRPr="0047414B" w:rsidRDefault="000679F3" w:rsidP="003D45AB">
      <w:pPr>
        <w:pStyle w:val="Quote2"/>
        <w:rPr>
          <w:sz w:val="20"/>
        </w:rPr>
      </w:pPr>
      <w:r w:rsidRPr="0047414B">
        <w:rPr>
          <w:sz w:val="20"/>
        </w:rPr>
        <w:t>John contributes a building (which is a pre-20 September 1985 asset) having a market value of $200,000. Wil and Patricia contribute $200,000 each in cash.</w:t>
      </w:r>
    </w:p>
    <w:p w14:paraId="5F136811" w14:textId="77777777" w:rsidR="000679F3" w:rsidRPr="0047414B" w:rsidRDefault="000679F3" w:rsidP="003D45AB">
      <w:pPr>
        <w:pStyle w:val="Quote2"/>
        <w:rPr>
          <w:sz w:val="20"/>
        </w:rPr>
      </w:pPr>
      <w:r w:rsidRPr="0047414B">
        <w:rPr>
          <w:sz w:val="20"/>
        </w:rPr>
        <w:t>The partnership buys another asset for $400,000.</w:t>
      </w:r>
    </w:p>
    <w:p w14:paraId="068C33A3" w14:textId="77777777" w:rsidR="000679F3" w:rsidRPr="0047414B" w:rsidRDefault="000679F3" w:rsidP="003D45AB">
      <w:pPr>
        <w:pStyle w:val="Quote2"/>
        <w:rPr>
          <w:sz w:val="20"/>
        </w:rPr>
      </w:pPr>
      <w:r w:rsidRPr="0047414B">
        <w:rPr>
          <w:sz w:val="20"/>
        </w:rPr>
        <w:t xml:space="preserve">John is taken to have disposed of 2/3 of his interest in the building (1/3 to Wil and 1/3 </w:t>
      </w:r>
      <w:r w:rsidRPr="0047414B">
        <w:rPr>
          <w:sz w:val="20"/>
        </w:rPr>
        <w:lastRenderedPageBreak/>
        <w:t>to Patricia). His remaining 1/3 share in the building remains a pre-CGT asset. The 1/3 shares that Wil and Patricia acquire are post-CGT assets.</w:t>
      </w:r>
    </w:p>
    <w:p w14:paraId="6F9AF5FD" w14:textId="77777777" w:rsidR="000679F3" w:rsidRPr="0047414B" w:rsidRDefault="000679F3" w:rsidP="003D45AB">
      <w:pPr>
        <w:pStyle w:val="Quote2"/>
        <w:rPr>
          <w:sz w:val="20"/>
        </w:rPr>
      </w:pPr>
      <w:r w:rsidRPr="0047414B">
        <w:rPr>
          <w:sz w:val="20"/>
        </w:rPr>
        <w:t>Wil retires from the partnership when the partnership assets have a market value of $1,200,000 ($500,000 for the building and $700,000 for the other asset). John and Patricia pay Wil $400,000 for his interest in the partnership.</w:t>
      </w:r>
    </w:p>
    <w:p w14:paraId="7A0A035F" w14:textId="26DBD815" w:rsidR="000679F3" w:rsidRPr="0047414B" w:rsidRDefault="000679F3" w:rsidP="003D45AB">
      <w:pPr>
        <w:pStyle w:val="Quote2"/>
        <w:rPr>
          <w:sz w:val="20"/>
        </w:rPr>
      </w:pPr>
      <w:r w:rsidRPr="0047414B">
        <w:rPr>
          <w:sz w:val="20"/>
        </w:rPr>
        <w:t xml:space="preserve">Wil has a capital gain of $100,000 on the building and $100,000 on the other asset. John and Patricia each acquire an additional 1/6 interest in the partnership assets. These additional interests are separate assets and post-CGT assets. </w:t>
      </w:r>
    </w:p>
    <w:p w14:paraId="7B7B8C45" w14:textId="77777777" w:rsidR="00E753EC" w:rsidRPr="0047414B" w:rsidRDefault="00E753EC" w:rsidP="00BD7AD4">
      <w:pPr>
        <w:pStyle w:val="Heading1"/>
      </w:pPr>
      <w:r w:rsidRPr="0047414B">
        <w:t xml:space="preserve">Nature of </w:t>
      </w:r>
      <w:r w:rsidR="009A1543" w:rsidRPr="0047414B">
        <w:t>partnership</w:t>
      </w:r>
      <w:r w:rsidRPr="0047414B">
        <w:t xml:space="preserve"> </w:t>
      </w:r>
      <w:r w:rsidR="009A1543" w:rsidRPr="0047414B">
        <w:t>interest</w:t>
      </w:r>
      <w:r w:rsidRPr="0047414B">
        <w:t xml:space="preserve"> under general law</w:t>
      </w:r>
    </w:p>
    <w:p w14:paraId="4DC13FC8" w14:textId="632C3581" w:rsidR="00E753EC" w:rsidRPr="0047414B" w:rsidRDefault="001D0CD1" w:rsidP="00056615">
      <w:pPr>
        <w:pStyle w:val="ParaNumbering"/>
      </w:pPr>
      <w:r w:rsidRPr="0047414B">
        <w:t xml:space="preserve">Under general law, the partners in a partnership hold legal title to partnership property on trust </w:t>
      </w:r>
      <w:r w:rsidR="00242DFA" w:rsidRPr="0047414B">
        <w:t>for</w:t>
      </w:r>
      <w:r w:rsidRPr="0047414B">
        <w:t xml:space="preserve"> the partners.  However, an individual partner does not have an equitable interest in any particular asset of the partnership.  As the majority of the High Court in </w:t>
      </w:r>
      <w:r w:rsidR="00056615" w:rsidRPr="0047414B">
        <w:rPr>
          <w:i/>
        </w:rPr>
        <w:t xml:space="preserve">Commissioner of State Revenue (WA) v </w:t>
      </w:r>
      <w:proofErr w:type="spellStart"/>
      <w:r w:rsidR="00056615" w:rsidRPr="0047414B">
        <w:rPr>
          <w:i/>
        </w:rPr>
        <w:t>Rojoda</w:t>
      </w:r>
      <w:proofErr w:type="spellEnd"/>
      <w:r w:rsidR="00056615" w:rsidRPr="0047414B">
        <w:rPr>
          <w:i/>
        </w:rPr>
        <w:t xml:space="preserve"> Pty Ltd</w:t>
      </w:r>
      <w:r w:rsidR="00056615" w:rsidRPr="0047414B" w:rsidDel="00056615">
        <w:t xml:space="preserve"> </w:t>
      </w:r>
      <w:r w:rsidR="00056615" w:rsidRPr="0047414B">
        <w:t xml:space="preserve">[2020] HCA 7; (2020) 268 CLR 281 </w:t>
      </w:r>
      <w:r w:rsidRPr="0047414B">
        <w:t>said</w:t>
      </w:r>
      <w:r w:rsidR="00056615" w:rsidRPr="0047414B">
        <w:t xml:space="preserve"> at 302 [33]</w:t>
      </w:r>
      <w:r w:rsidRPr="0047414B">
        <w:t>:</w:t>
      </w:r>
    </w:p>
    <w:p w14:paraId="4C2BD599" w14:textId="0DA15804" w:rsidR="001D0CD1" w:rsidRPr="0047414B" w:rsidRDefault="001D0CD1" w:rsidP="006F2F71">
      <w:pPr>
        <w:pStyle w:val="Quote1"/>
        <w:rPr>
          <w:shd w:val="clear" w:color="auto" w:fill="FFFFFF"/>
        </w:rPr>
      </w:pPr>
      <w:proofErr w:type="gramStart"/>
      <w:r w:rsidRPr="0047414B">
        <w:rPr>
          <w:shd w:val="clear" w:color="auto" w:fill="FFFFFF"/>
        </w:rPr>
        <w:t>unlike</w:t>
      </w:r>
      <w:proofErr w:type="gramEnd"/>
      <w:r w:rsidRPr="0047414B">
        <w:rPr>
          <w:shd w:val="clear" w:color="auto" w:fill="FFFFFF"/>
        </w:rPr>
        <w:t xml:space="preserve"> a beneficiary of a fixed trust, it was well established that a partner's interest was not an interest in, or in relation to, any specific asset other than an entitlement to the partner's share of the net proceeds from the sale of each asset at the completion of winding up. In other words, the only right that the partners have, both before and after dissolution, in relation to each asset is a right to the account and distribution after sale of the proceeds of that asset – "not to an individual proportion of a specific article, but to an account: the property to be made the most of, and divided". Hence, a partner's equitable interest is not accurately expressed as a "beneficial interest", at least in the sense of being a right to any proportion of, or for the personal use of, or for the benefit from, any particular asset.</w:t>
      </w:r>
    </w:p>
    <w:p w14:paraId="2E6D9856" w14:textId="1FBEBDCB" w:rsidR="006D3B5D" w:rsidRPr="0047414B" w:rsidRDefault="006D3B5D" w:rsidP="006F2F71">
      <w:pPr>
        <w:pStyle w:val="Quote1"/>
      </w:pPr>
      <w:r w:rsidRPr="0047414B">
        <w:rPr>
          <w:shd w:val="clear" w:color="auto" w:fill="FFFFFF"/>
        </w:rPr>
        <w:t>(</w:t>
      </w:r>
      <w:proofErr w:type="gramStart"/>
      <w:r w:rsidRPr="0047414B">
        <w:rPr>
          <w:shd w:val="clear" w:color="auto" w:fill="FFFFFF"/>
        </w:rPr>
        <w:t>footnotes</w:t>
      </w:r>
      <w:proofErr w:type="gramEnd"/>
      <w:r w:rsidRPr="0047414B">
        <w:rPr>
          <w:shd w:val="clear" w:color="auto" w:fill="FFFFFF"/>
        </w:rPr>
        <w:t xml:space="preserve"> omitted.) </w:t>
      </w:r>
    </w:p>
    <w:p w14:paraId="09B8BA4B" w14:textId="477244E8" w:rsidR="00E753EC" w:rsidRPr="0047414B" w:rsidRDefault="001D0CD1" w:rsidP="00AD5EEA">
      <w:pPr>
        <w:pStyle w:val="ParaNumbering"/>
      </w:pPr>
      <w:r w:rsidRPr="0047414B">
        <w:t xml:space="preserve">Each partner may thus be said to have an indivisible proportionate interest in the totality of the partnership property.  That proportionate interest was itself property that was capable of being assigned.  The majority of the High Court in </w:t>
      </w:r>
      <w:r w:rsidR="00AD5EEA" w:rsidRPr="0047414B">
        <w:rPr>
          <w:i/>
        </w:rPr>
        <w:t>Commissioner of Taxation v Everett</w:t>
      </w:r>
      <w:r w:rsidR="00AD5EEA" w:rsidRPr="0047414B">
        <w:t xml:space="preserve"> [1980] HCA 6; (1980) 143 CLR 440 at 446</w:t>
      </w:r>
      <w:r w:rsidR="00AD5EEA" w:rsidRPr="0047414B" w:rsidDel="00AD5EEA">
        <w:t xml:space="preserve"> </w:t>
      </w:r>
      <w:r w:rsidR="001D382D" w:rsidRPr="0047414B">
        <w:t xml:space="preserve">– 447 </w:t>
      </w:r>
      <w:r w:rsidR="006F2F71" w:rsidRPr="0047414B">
        <w:t>explained the position as follows:</w:t>
      </w:r>
    </w:p>
    <w:p w14:paraId="6FC5879E" w14:textId="799253E9" w:rsidR="006F2F71" w:rsidRPr="0047414B" w:rsidRDefault="006F2F71" w:rsidP="006F2F71">
      <w:pPr>
        <w:pStyle w:val="Quote1"/>
        <w:rPr>
          <w:lang w:eastAsia="en-AU"/>
        </w:rPr>
      </w:pPr>
      <w:r w:rsidRPr="0047414B">
        <w:rPr>
          <w:lang w:eastAsia="en-AU"/>
        </w:rPr>
        <w:t>Although a partner has no title to specific property owned by the partnership, he has a beneficial interest in the partnership assets, indeed in each and every asset of the partnership (</w:t>
      </w:r>
      <w:r w:rsidRPr="0047414B">
        <w:rPr>
          <w:i/>
          <w:lang w:eastAsia="en-AU"/>
        </w:rPr>
        <w:t>Canny Gabriel Castle Jackson Advertising Pty. Ltd. v. Volume Sales (Finance) Pty. Ltd.</w:t>
      </w:r>
      <w:r w:rsidR="000E476A" w:rsidRPr="0047414B">
        <w:rPr>
          <w:lang w:eastAsia="en-AU"/>
        </w:rPr>
        <w:t xml:space="preserve"> [1974] HCA 22</w:t>
      </w:r>
      <w:r w:rsidRPr="0047414B">
        <w:rPr>
          <w:lang w:eastAsia="en-AU"/>
        </w:rPr>
        <w:t>; (1974) 131 CLR 321, at pp 327-</w:t>
      </w:r>
      <w:proofErr w:type="gramStart"/>
      <w:r w:rsidRPr="0047414B">
        <w:rPr>
          <w:lang w:eastAsia="en-AU"/>
        </w:rPr>
        <w:t>328 ;</w:t>
      </w:r>
      <w:proofErr w:type="gramEnd"/>
      <w:r w:rsidRPr="0047414B">
        <w:rPr>
          <w:lang w:eastAsia="en-AU"/>
        </w:rPr>
        <w:t xml:space="preserve"> </w:t>
      </w:r>
      <w:r w:rsidRPr="0047414B">
        <w:rPr>
          <w:i/>
          <w:lang w:eastAsia="en-AU"/>
        </w:rPr>
        <w:t>Livingston v. Commissioner of Stamp Duties (Q.)</w:t>
      </w:r>
      <w:r w:rsidR="002026A0" w:rsidRPr="0047414B">
        <w:rPr>
          <w:i/>
          <w:lang w:eastAsia="en-AU"/>
        </w:rPr>
        <w:t xml:space="preserve"> </w:t>
      </w:r>
      <w:r w:rsidR="002026A0" w:rsidRPr="0047414B">
        <w:rPr>
          <w:lang w:eastAsia="en-AU"/>
        </w:rPr>
        <w:t>[1960] HCA 94</w:t>
      </w:r>
      <w:r w:rsidRPr="0047414B">
        <w:rPr>
          <w:lang w:eastAsia="en-AU"/>
        </w:rPr>
        <w:t>; (1960) 107 CLR 411, at p 453). His share in the partnership consists of a right to a proportion of the surplus after the realization of the assets and payment of the debts and liabilities of the partnership (</w:t>
      </w:r>
      <w:r w:rsidRPr="0047414B">
        <w:rPr>
          <w:i/>
          <w:lang w:eastAsia="en-AU"/>
        </w:rPr>
        <w:t>Bakewell v. Deputy Federal Commissioner of Taxation (S.A.)</w:t>
      </w:r>
      <w:r w:rsidR="001D382D" w:rsidRPr="0047414B">
        <w:rPr>
          <w:lang w:eastAsia="en-AU"/>
        </w:rPr>
        <w:t xml:space="preserve"> </w:t>
      </w:r>
      <w:hyperlink r:id="rId22" w:tooltip="View Case" w:history="1">
        <w:r w:rsidRPr="0047414B">
          <w:rPr>
            <w:lang w:eastAsia="en-AU"/>
          </w:rPr>
          <w:t>[1937] HCA 11</w:t>
        </w:r>
      </w:hyperlink>
      <w:r w:rsidRPr="0047414B">
        <w:rPr>
          <w:lang w:eastAsia="en-AU"/>
        </w:rPr>
        <w:t xml:space="preserve">; (1937) 58 CLR 743, at p 770; </w:t>
      </w:r>
      <w:r w:rsidRPr="0047414B">
        <w:rPr>
          <w:i/>
          <w:lang w:eastAsia="en-AU"/>
        </w:rPr>
        <w:t>Bolton v. Federal Commissioner of Taxation</w:t>
      </w:r>
      <w:r w:rsidRPr="0047414B">
        <w:rPr>
          <w:lang w:eastAsia="en-AU"/>
        </w:rPr>
        <w:t xml:space="preserve"> (1965) ALR 481, at p 485; (1964) 9 AITR 385, at p 389). Historically the interest of a partner in a partnership has been considered to be an equitable interest because it is a right or interest enforceable in equity and not at law (</w:t>
      </w:r>
      <w:r w:rsidRPr="0047414B">
        <w:rPr>
          <w:i/>
          <w:lang w:eastAsia="en-AU"/>
        </w:rPr>
        <w:t>Bolton's Case</w:t>
      </w:r>
      <w:r w:rsidRPr="0047414B">
        <w:rPr>
          <w:lang w:eastAsia="en-AU"/>
        </w:rPr>
        <w:t xml:space="preserve">). </w:t>
      </w:r>
    </w:p>
    <w:p w14:paraId="07F0B575" w14:textId="3536DD5D" w:rsidR="006F2F71" w:rsidRPr="0047414B" w:rsidRDefault="006F2F71" w:rsidP="006F2F71">
      <w:pPr>
        <w:pStyle w:val="Quote1"/>
        <w:rPr>
          <w:lang w:eastAsia="en-AU"/>
        </w:rPr>
      </w:pPr>
      <w:r w:rsidRPr="0047414B">
        <w:rPr>
          <w:lang w:eastAsia="en-AU"/>
        </w:rPr>
        <w:t>A partner's interest in the partnership is a chose in action assignable in whole or in part (</w:t>
      </w:r>
      <w:r w:rsidRPr="0047414B">
        <w:rPr>
          <w:i/>
          <w:lang w:eastAsia="en-AU"/>
        </w:rPr>
        <w:t>Hocking v. Western Australian Bank</w:t>
      </w:r>
      <w:r w:rsidRPr="0047414B">
        <w:rPr>
          <w:lang w:eastAsia="en-AU"/>
        </w:rPr>
        <w:t xml:space="preserve"> (1909) 9 CLR 738, at p</w:t>
      </w:r>
      <w:r w:rsidR="00950DB2" w:rsidRPr="0047414B">
        <w:rPr>
          <w:lang w:eastAsia="en-AU"/>
        </w:rPr>
        <w:t>.</w:t>
      </w:r>
      <w:r w:rsidRPr="0047414B">
        <w:rPr>
          <w:lang w:eastAsia="en-AU"/>
        </w:rPr>
        <w:t xml:space="preserve"> 743). The better opinion </w:t>
      </w:r>
      <w:r w:rsidRPr="0047414B">
        <w:rPr>
          <w:lang w:eastAsia="en-AU"/>
        </w:rPr>
        <w:lastRenderedPageBreak/>
        <w:t>seems to be that, though the interest of a partner is an equitable interest, it may be assigned under</w:t>
      </w:r>
      <w:r w:rsidR="00950DB2" w:rsidRPr="0047414B">
        <w:rPr>
          <w:lang w:eastAsia="en-AU"/>
        </w:rPr>
        <w:t xml:space="preserve"> s. 12 </w:t>
      </w:r>
      <w:r w:rsidRPr="0047414B">
        <w:rPr>
          <w:lang w:eastAsia="en-AU"/>
        </w:rPr>
        <w:t>of the</w:t>
      </w:r>
      <w:r w:rsidR="00950DB2" w:rsidRPr="0047414B">
        <w:rPr>
          <w:lang w:eastAsia="en-AU"/>
        </w:rPr>
        <w:t xml:space="preserve"> </w:t>
      </w:r>
      <w:r w:rsidR="00950DB2" w:rsidRPr="0047414B">
        <w:rPr>
          <w:i/>
          <w:lang w:eastAsia="en-AU"/>
        </w:rPr>
        <w:t>Conveyancing Act</w:t>
      </w:r>
      <w:r w:rsidR="00950DB2" w:rsidRPr="0047414B">
        <w:rPr>
          <w:lang w:eastAsia="en-AU"/>
        </w:rPr>
        <w:t xml:space="preserve">, 1919 </w:t>
      </w:r>
      <w:r w:rsidRPr="0047414B">
        <w:rPr>
          <w:lang w:eastAsia="en-AU"/>
        </w:rPr>
        <w:t xml:space="preserve">(N.S.W.), as amended, the counterpart of s. 25 (6) of the </w:t>
      </w:r>
      <w:r w:rsidRPr="0047414B">
        <w:rPr>
          <w:i/>
          <w:lang w:eastAsia="en-AU"/>
        </w:rPr>
        <w:t>Supreme Court of Judicature Act</w:t>
      </w:r>
      <w:r w:rsidRPr="0047414B">
        <w:rPr>
          <w:lang w:eastAsia="en-AU"/>
        </w:rPr>
        <w:t xml:space="preserve">, 1873 (U.K.), now s. 136 of the </w:t>
      </w:r>
      <w:r w:rsidRPr="0047414B">
        <w:rPr>
          <w:i/>
          <w:lang w:eastAsia="en-AU"/>
        </w:rPr>
        <w:t>Law of Property Act,</w:t>
      </w:r>
      <w:r w:rsidRPr="0047414B">
        <w:rPr>
          <w:lang w:eastAsia="en-AU"/>
        </w:rPr>
        <w:t xml:space="preserve"> 1925 (U.K.). </w:t>
      </w:r>
    </w:p>
    <w:p w14:paraId="4C354997" w14:textId="77777777" w:rsidR="00E753EC" w:rsidRPr="0047414B" w:rsidRDefault="00E753EC" w:rsidP="00BD7AD4">
      <w:pPr>
        <w:pStyle w:val="Heading1"/>
      </w:pPr>
      <w:r w:rsidRPr="0047414B">
        <w:t>CGT and partnerships</w:t>
      </w:r>
    </w:p>
    <w:p w14:paraId="6D656CE8" w14:textId="14D703F1" w:rsidR="00DF45D5" w:rsidRPr="0047414B" w:rsidRDefault="00DF45D5" w:rsidP="00CD1346">
      <w:pPr>
        <w:pStyle w:val="ParaNumbering"/>
      </w:pPr>
      <w:r w:rsidRPr="0047414B">
        <w:t xml:space="preserve">As is apparent from the statutory provisions extracted above, unlike the position at general law, the </w:t>
      </w:r>
      <w:r w:rsidR="00276454" w:rsidRPr="0047414B">
        <w:t>capital gains</w:t>
      </w:r>
      <w:r w:rsidRPr="0047414B">
        <w:t xml:space="preserve"> provisions are drafted on the basis that each partner has an interest in each partnership asset.</w:t>
      </w:r>
    </w:p>
    <w:p w14:paraId="6E41996C" w14:textId="2F691EB2" w:rsidR="00DF45D5" w:rsidRPr="0047414B" w:rsidRDefault="00DF45D5" w:rsidP="00CD1346">
      <w:pPr>
        <w:pStyle w:val="ParaNumbering"/>
      </w:pPr>
      <w:r w:rsidRPr="0047414B">
        <w:t>This is confirmed by the legislative history.</w:t>
      </w:r>
    </w:p>
    <w:p w14:paraId="045FB66E" w14:textId="62F77A04" w:rsidR="000861F6" w:rsidRPr="0047414B" w:rsidRDefault="000C0FF5" w:rsidP="00CD1346">
      <w:pPr>
        <w:pStyle w:val="ParaNumbering"/>
      </w:pPr>
      <w:r w:rsidRPr="0047414B">
        <w:t xml:space="preserve">Following the introduction of Part </w:t>
      </w:r>
      <w:r w:rsidR="00AD7B1E" w:rsidRPr="0047414B">
        <w:t>IIIA</w:t>
      </w:r>
      <w:r w:rsidRPr="0047414B">
        <w:t xml:space="preserve"> of the </w:t>
      </w:r>
      <w:r w:rsidR="00472EA8" w:rsidRPr="0047414B">
        <w:rPr>
          <w:i/>
        </w:rPr>
        <w:t xml:space="preserve">Income Tax Assessment Act 1936 </w:t>
      </w:r>
      <w:r w:rsidR="00472EA8" w:rsidRPr="0047414B">
        <w:t>(</w:t>
      </w:r>
      <w:proofErr w:type="spellStart"/>
      <w:r w:rsidR="00472EA8" w:rsidRPr="0047414B">
        <w:t>Cth</w:t>
      </w:r>
      <w:proofErr w:type="spellEnd"/>
      <w:r w:rsidR="00472EA8" w:rsidRPr="0047414B">
        <w:t>) (</w:t>
      </w:r>
      <w:r w:rsidRPr="0047414B">
        <w:rPr>
          <w:b/>
        </w:rPr>
        <w:t>ITAA 36</w:t>
      </w:r>
      <w:r w:rsidR="00472EA8" w:rsidRPr="0047414B">
        <w:t>)</w:t>
      </w:r>
      <w:r w:rsidRPr="0047414B">
        <w:t xml:space="preserve">, </w:t>
      </w:r>
      <w:r w:rsidR="00276454" w:rsidRPr="0047414B">
        <w:t>providing for capital gains and capital losses to be included in assessable income (</w:t>
      </w:r>
      <w:r w:rsidR="00276454" w:rsidRPr="0047414B">
        <w:rPr>
          <w:b/>
        </w:rPr>
        <w:t>CGT</w:t>
      </w:r>
      <w:r w:rsidR="00276454" w:rsidRPr="0047414B">
        <w:t xml:space="preserve">), </w:t>
      </w:r>
      <w:r w:rsidRPr="0047414B">
        <w:t xml:space="preserve">issues arose in relation to dealings with </w:t>
      </w:r>
      <w:r w:rsidR="00BE16D6" w:rsidRPr="0047414B">
        <w:t>partnership</w:t>
      </w:r>
      <w:r w:rsidRPr="0047414B">
        <w:t xml:space="preserve"> assets.  Part of the complexity arose because although </w:t>
      </w:r>
      <w:r w:rsidR="009507CD" w:rsidRPr="0047414B">
        <w:t xml:space="preserve">a </w:t>
      </w:r>
      <w:r w:rsidRPr="0047414B">
        <w:t xml:space="preserve">partnership is not a separate legal entity, the taxable income of a partnership was required to be determined on the basis </w:t>
      </w:r>
      <w:r w:rsidR="00AD7B1E" w:rsidRPr="0047414B">
        <w:t>that</w:t>
      </w:r>
      <w:r w:rsidRPr="0047414B">
        <w:t xml:space="preserve"> the partnership were a resident taxpayer.  In 1991 </w:t>
      </w:r>
      <w:r w:rsidR="00B21B65" w:rsidRPr="0047414B">
        <w:t>Part IIIA</w:t>
      </w:r>
      <w:r w:rsidRPr="0047414B">
        <w:t xml:space="preserve"> </w:t>
      </w:r>
      <w:r w:rsidR="00B21B65" w:rsidRPr="0047414B">
        <w:t xml:space="preserve">was </w:t>
      </w:r>
      <w:r w:rsidRPr="0047414B">
        <w:t>amended</w:t>
      </w:r>
      <w:r w:rsidR="00BE16D6" w:rsidRPr="0047414B">
        <w:t xml:space="preserve"> by the </w:t>
      </w:r>
      <w:r w:rsidR="00BE16D6" w:rsidRPr="0047414B">
        <w:rPr>
          <w:i/>
        </w:rPr>
        <w:t xml:space="preserve">Taxation Laws Amendment Act 1991 </w:t>
      </w:r>
      <w:r w:rsidR="008930DB" w:rsidRPr="0047414B">
        <w:t>(</w:t>
      </w:r>
      <w:proofErr w:type="spellStart"/>
      <w:r w:rsidR="008930DB" w:rsidRPr="0047414B">
        <w:t>Cth</w:t>
      </w:r>
      <w:proofErr w:type="spellEnd"/>
      <w:r w:rsidR="008930DB" w:rsidRPr="0047414B">
        <w:t xml:space="preserve">) </w:t>
      </w:r>
      <w:r w:rsidR="00BE16D6" w:rsidRPr="0047414B">
        <w:t>(originally introduced into Parliament as the Taxation Laws Amendment Bill (No. 6) 1990)</w:t>
      </w:r>
      <w:r w:rsidRPr="0047414B">
        <w:t xml:space="preserve"> to make it</w:t>
      </w:r>
      <w:r w:rsidR="000861F6" w:rsidRPr="0047414B">
        <w:t xml:space="preserve"> clear (in former s 160C)</w:t>
      </w:r>
      <w:r w:rsidRPr="0047414B">
        <w:t xml:space="preserve"> that it </w:t>
      </w:r>
      <w:r w:rsidR="00AD7B1E" w:rsidRPr="0047414B">
        <w:t>was</w:t>
      </w:r>
      <w:r w:rsidRPr="0047414B">
        <w:t xml:space="preserve"> the individual partners who </w:t>
      </w:r>
      <w:r w:rsidR="00AD7B1E" w:rsidRPr="0047414B">
        <w:t xml:space="preserve">were to </w:t>
      </w:r>
      <w:r w:rsidRPr="0047414B">
        <w:t xml:space="preserve">account for capital gains and losses on disposals of partnership assets by providing that in determining the net income of a partnership, the partnership was not to be taken to be a </w:t>
      </w:r>
      <w:r w:rsidR="00DF45D5" w:rsidRPr="0047414B">
        <w:t>taxpayer</w:t>
      </w:r>
      <w:r w:rsidRPr="0047414B">
        <w:t xml:space="preserve"> for the purposes of the </w:t>
      </w:r>
      <w:r w:rsidR="005B61E1" w:rsidRPr="0047414B">
        <w:t>CGT</w:t>
      </w:r>
      <w:r w:rsidRPr="0047414B">
        <w:t xml:space="preserve"> provisions in former Part </w:t>
      </w:r>
      <w:r w:rsidR="00AD7B1E" w:rsidRPr="0047414B">
        <w:t>III</w:t>
      </w:r>
      <w:r w:rsidRPr="0047414B">
        <w:t xml:space="preserve">A.  </w:t>
      </w:r>
    </w:p>
    <w:p w14:paraId="41FA4E97" w14:textId="1B97BE8C" w:rsidR="00DF45D5" w:rsidRPr="0047414B" w:rsidRDefault="00AD7B1E" w:rsidP="00CD1346">
      <w:pPr>
        <w:pStyle w:val="ParaNumbering"/>
      </w:pPr>
      <w:r w:rsidRPr="0047414B">
        <w:t>For</w:t>
      </w:r>
      <w:r w:rsidR="000C0FF5" w:rsidRPr="0047414B">
        <w:t xml:space="preserve"> </w:t>
      </w:r>
      <w:r w:rsidR="006E5847" w:rsidRPr="0047414B">
        <w:t>CGT</w:t>
      </w:r>
      <w:r w:rsidR="000C0FF5" w:rsidRPr="0047414B">
        <w:t xml:space="preserve"> purposes, each part</w:t>
      </w:r>
      <w:r w:rsidR="000861F6" w:rsidRPr="0047414B">
        <w:t xml:space="preserve">ner </w:t>
      </w:r>
      <w:r w:rsidRPr="0047414B">
        <w:t>was to</w:t>
      </w:r>
      <w:r w:rsidR="000861F6" w:rsidRPr="0047414B">
        <w:t xml:space="preserve"> be required to account for capital gains and losses on disposals of partnership assets.  The definition of asset in former s 160A was amended to provide that a partner’s interest in each underlying partnership asset was to be treated as a separate asset for </w:t>
      </w:r>
      <w:r w:rsidR="00D54E3E" w:rsidRPr="0047414B">
        <w:t>CGT</w:t>
      </w:r>
      <w:r w:rsidR="000861F6" w:rsidRPr="0047414B">
        <w:t xml:space="preserve"> purposes.  </w:t>
      </w:r>
      <w:r w:rsidR="00DF45D5" w:rsidRPr="0047414B">
        <w:t xml:space="preserve">The implication was that for </w:t>
      </w:r>
      <w:r w:rsidR="00D54E3E" w:rsidRPr="0047414B">
        <w:t>CGT</w:t>
      </w:r>
      <w:r w:rsidR="00DF45D5" w:rsidRPr="0047414B">
        <w:t xml:space="preserve"> purposes, a partner has an interest in each partnership asset.</w:t>
      </w:r>
    </w:p>
    <w:p w14:paraId="0FF04078" w14:textId="6D416686" w:rsidR="00BE16D6" w:rsidRPr="0047414B" w:rsidRDefault="000861F6" w:rsidP="00CD1346">
      <w:pPr>
        <w:pStyle w:val="ParaNumbering"/>
      </w:pPr>
      <w:r w:rsidRPr="0047414B">
        <w:t xml:space="preserve">At the </w:t>
      </w:r>
      <w:r w:rsidR="00BE16D6" w:rsidRPr="0047414B">
        <w:t>same</w:t>
      </w:r>
      <w:r w:rsidRPr="0047414B">
        <w:t xml:space="preserve"> time, the definition of asset was also </w:t>
      </w:r>
      <w:r w:rsidR="00BE16D6" w:rsidRPr="0047414B">
        <w:t>amended</w:t>
      </w:r>
      <w:r w:rsidRPr="0047414B">
        <w:t xml:space="preserve"> to separately identify as an asset a partner’s </w:t>
      </w:r>
      <w:r w:rsidR="00DF45D5" w:rsidRPr="0047414B">
        <w:t>interest</w:t>
      </w:r>
      <w:r w:rsidRPr="0047414B">
        <w:t xml:space="preserve"> in the partnership.  This separate identification was </w:t>
      </w:r>
      <w:r w:rsidR="00BE16D6" w:rsidRPr="0047414B">
        <w:t xml:space="preserve">to address a concern about potential double taxation.  </w:t>
      </w:r>
      <w:r w:rsidR="00AD7B1E" w:rsidRPr="0047414B">
        <w:t>According</w:t>
      </w:r>
      <w:r w:rsidR="00BE16D6" w:rsidRPr="0047414B">
        <w:t xml:space="preserve"> to the further supplementary explanatory memorandum to </w:t>
      </w:r>
      <w:r w:rsidR="000B0CFC" w:rsidRPr="0047414B">
        <w:t xml:space="preserve">the </w:t>
      </w:r>
      <w:r w:rsidR="00BE16D6" w:rsidRPr="0047414B">
        <w:rPr>
          <w:i/>
        </w:rPr>
        <w:t>Taxation Laws Amendment Bill 1991</w:t>
      </w:r>
      <w:r w:rsidR="00BE16D6" w:rsidRPr="0047414B">
        <w:t>:</w:t>
      </w:r>
    </w:p>
    <w:p w14:paraId="6A559204" w14:textId="77777777" w:rsidR="00BE16D6" w:rsidRPr="0047414B" w:rsidRDefault="00BE16D6" w:rsidP="00BE16D6">
      <w:pPr>
        <w:pStyle w:val="Quote1"/>
      </w:pPr>
      <w:r w:rsidRPr="0047414B">
        <w:t xml:space="preserve">[A] technical argument has been put that because a partnership interest is itself an asset (being a chose in action), the value of which may relate in whole or in part to interests in underlying partnership assets (which themselves are to be treated as separate assets), a partner could be exposed to “double taxation” on the same effective gains. </w:t>
      </w:r>
    </w:p>
    <w:p w14:paraId="194135BB" w14:textId="6FCF97D0" w:rsidR="000C0FF5" w:rsidRPr="0047414B" w:rsidRDefault="00BE16D6" w:rsidP="00BE16D6">
      <w:pPr>
        <w:pStyle w:val="Quote1"/>
      </w:pPr>
      <w:r w:rsidRPr="0047414B">
        <w:lastRenderedPageBreak/>
        <w:t>To ensure that this result cannot occur, the further amendment proposed ensures that a “partnership interest” is to be treated as a separate asset for CGT purposes only to the extent that its value does not relate to a partner’s interests in individual partnership assets which themselves are treated as separate assets for CGT purposes.</w:t>
      </w:r>
      <w:r w:rsidR="000861F6" w:rsidRPr="0047414B">
        <w:t xml:space="preserve"> </w:t>
      </w:r>
    </w:p>
    <w:p w14:paraId="33550C0F" w14:textId="6A0CD37B" w:rsidR="00E753EC" w:rsidRPr="0047414B" w:rsidRDefault="00BE16D6" w:rsidP="00CD1346">
      <w:pPr>
        <w:pStyle w:val="ParaNumbering"/>
      </w:pPr>
      <w:r w:rsidRPr="0047414B">
        <w:t xml:space="preserve">As part of the rewrite of the </w:t>
      </w:r>
      <w:r w:rsidR="00E93113" w:rsidRPr="0047414B">
        <w:t>CGT</w:t>
      </w:r>
      <w:r w:rsidRPr="0047414B">
        <w:t xml:space="preserve"> provisions into the ITAA 97, s</w:t>
      </w:r>
      <w:r w:rsidR="00E93113" w:rsidRPr="0047414B">
        <w:t> </w:t>
      </w:r>
      <w:r w:rsidRPr="0047414B">
        <w:t>106-5 was introduced into the ITAA 97</w:t>
      </w:r>
      <w:r w:rsidR="00AD7B1E" w:rsidRPr="0047414B">
        <w:t xml:space="preserve"> by </w:t>
      </w:r>
      <w:proofErr w:type="spellStart"/>
      <w:r w:rsidR="00AD7B1E" w:rsidRPr="0047414B">
        <w:t>Sch</w:t>
      </w:r>
      <w:proofErr w:type="spellEnd"/>
      <w:r w:rsidR="00AD7B1E" w:rsidRPr="0047414B">
        <w:t xml:space="preserve"> 1 to the </w:t>
      </w:r>
      <w:r w:rsidR="00AD7B1E" w:rsidRPr="0047414B">
        <w:rPr>
          <w:i/>
        </w:rPr>
        <w:t>Tax Law Improvement Act (No. 1) 1998</w:t>
      </w:r>
      <w:r w:rsidR="00AD7B1E" w:rsidRPr="0047414B">
        <w:t xml:space="preserve"> (</w:t>
      </w:r>
      <w:proofErr w:type="spellStart"/>
      <w:r w:rsidR="00AD7B1E" w:rsidRPr="0047414B">
        <w:t>Cth</w:t>
      </w:r>
      <w:proofErr w:type="spellEnd"/>
      <w:r w:rsidR="00AD7B1E" w:rsidRPr="0047414B">
        <w:t>)</w:t>
      </w:r>
      <w:r w:rsidRPr="0047414B">
        <w:t>.  Beyond rewriting the former s 160C to ensure that a capital gain or loss from the happening of a CGT event is made by the individual partners and not the pa</w:t>
      </w:r>
      <w:r w:rsidR="00DF45D5" w:rsidRPr="0047414B">
        <w:t>rtnership</w:t>
      </w:r>
      <w:r w:rsidRPr="0047414B">
        <w:t xml:space="preserve">, the new section also specified the </w:t>
      </w:r>
      <w:r w:rsidR="00E93113" w:rsidRPr="0047414B">
        <w:t xml:space="preserve">CGT </w:t>
      </w:r>
      <w:r w:rsidRPr="0047414B">
        <w:t xml:space="preserve">consequences of a change in the </w:t>
      </w:r>
      <w:r w:rsidR="00DF45D5" w:rsidRPr="0047414B">
        <w:t xml:space="preserve">membership of a partnership.  </w:t>
      </w:r>
    </w:p>
    <w:p w14:paraId="2E68A583" w14:textId="0F1E7869" w:rsidR="0036089F" w:rsidRPr="0047414B" w:rsidRDefault="0036089F" w:rsidP="00D22ABA">
      <w:pPr>
        <w:pStyle w:val="ParaNumbering"/>
      </w:pPr>
      <w:r w:rsidRPr="0047414B">
        <w:t>Because, in this instance, there is a “partnership agreement”</w:t>
      </w:r>
      <w:r w:rsidR="00D22ABA" w:rsidRPr="0047414B">
        <w:t xml:space="preserve"> </w:t>
      </w:r>
      <w:r w:rsidRPr="0047414B">
        <w:t>(the Partnership Deed, as read with the Retirement Deed), it is not necessary, in order to determine the appeal, to consider the specification in s</w:t>
      </w:r>
      <w:r w:rsidR="009F0E2B" w:rsidRPr="0047414B">
        <w:t> </w:t>
      </w:r>
      <w:r w:rsidRPr="0047414B">
        <w:t>106-5</w:t>
      </w:r>
      <w:r w:rsidR="00D22ABA" w:rsidRPr="0047414B">
        <w:t>(1)</w:t>
      </w:r>
      <w:r w:rsidRPr="0047414B">
        <w:t xml:space="preserve"> of the ITAA 97 of calculation by reference to “partnership law”</w:t>
      </w:r>
      <w:r w:rsidR="00D22ABA" w:rsidRPr="0047414B">
        <w:t>, which is only applicable in the absence of a “partnership agreement”</w:t>
      </w:r>
      <w:r w:rsidRPr="0047414B">
        <w:t xml:space="preserve">. </w:t>
      </w:r>
      <w:r w:rsidR="0044250F" w:rsidRPr="0047414B">
        <w:t xml:space="preserve"> </w:t>
      </w:r>
      <w:r w:rsidR="00736AA4" w:rsidRPr="0047414B">
        <w:t xml:space="preserve">That may be fortunate. </w:t>
      </w:r>
      <w:r w:rsidR="0044250F" w:rsidRPr="0047414B">
        <w:t xml:space="preserve"> </w:t>
      </w:r>
      <w:r w:rsidR="00736AA4" w:rsidRPr="0047414B">
        <w:t>That is</w:t>
      </w:r>
      <w:r w:rsidR="00D22ABA" w:rsidRPr="0047414B">
        <w:t xml:space="preserve"> because the reference in s</w:t>
      </w:r>
      <w:r w:rsidR="009F0E2B" w:rsidRPr="0047414B">
        <w:t> </w:t>
      </w:r>
      <w:r w:rsidR="00D22ABA" w:rsidRPr="0047414B">
        <w:t xml:space="preserve">106-5(1) to “partnership law” </w:t>
      </w:r>
      <w:r w:rsidRPr="0047414B">
        <w:t>must be a reference to the general law of partnership, with</w:t>
      </w:r>
      <w:r w:rsidR="00D22ABA" w:rsidRPr="0047414B">
        <w:t xml:space="preserve"> the feature</w:t>
      </w:r>
      <w:r w:rsidR="00A90002" w:rsidRPr="0047414B">
        <w:t xml:space="preserve">, </w:t>
      </w:r>
      <w:r w:rsidR="00736AA4" w:rsidRPr="0047414B">
        <w:t xml:space="preserve">already </w:t>
      </w:r>
      <w:r w:rsidR="00D22ABA" w:rsidRPr="0047414B">
        <w:t>noted</w:t>
      </w:r>
      <w:r w:rsidR="00A90002" w:rsidRPr="0047414B">
        <w:t>,</w:t>
      </w:r>
      <w:r w:rsidR="00D22ABA" w:rsidRPr="0047414B">
        <w:t xml:space="preserve"> of absence of title to specific property owned by the partnership, and yet, contrary to the general law of partnership</w:t>
      </w:r>
      <w:r w:rsidR="00736AA4" w:rsidRPr="0047414B">
        <w:t xml:space="preserve"> and as also already noted</w:t>
      </w:r>
      <w:r w:rsidR="00D22ABA" w:rsidRPr="0047414B">
        <w:t>, the CGT provisions generally treat a partner as having an interest in individual partnership assets which themselves are treated as separate assets for the purposes of those provisions.</w:t>
      </w:r>
    </w:p>
    <w:p w14:paraId="60BC6BFF" w14:textId="20DEAA9A" w:rsidR="00E753EC" w:rsidRPr="0047414B" w:rsidRDefault="00BD7AD4" w:rsidP="00CD1346">
      <w:pPr>
        <w:pStyle w:val="ParaNumbering"/>
      </w:pPr>
      <w:r w:rsidRPr="0047414B">
        <w:t>It is against this background that the facts in the present case are to be considered.</w:t>
      </w:r>
    </w:p>
    <w:p w14:paraId="3787F998" w14:textId="1B61B9CB" w:rsidR="00E753EC" w:rsidRPr="0047414B" w:rsidRDefault="00BD7AD4" w:rsidP="00116802">
      <w:pPr>
        <w:pStyle w:val="Heading1"/>
      </w:pPr>
      <w:r w:rsidRPr="0047414B">
        <w:t>POSITION OF THE PARTIES</w:t>
      </w:r>
    </w:p>
    <w:p w14:paraId="0F216994" w14:textId="386AD375" w:rsidR="00116802" w:rsidRPr="0047414B" w:rsidRDefault="00AD7B1E" w:rsidP="00116802">
      <w:pPr>
        <w:pStyle w:val="ParaNumbering"/>
      </w:pPr>
      <w:r w:rsidRPr="0047414B">
        <w:t>On appeal, the parties were agreed that:</w:t>
      </w:r>
    </w:p>
    <w:p w14:paraId="753F0033" w14:textId="5C31D051" w:rsidR="00AD7B1E" w:rsidRPr="0047414B" w:rsidRDefault="00AD7B1E" w:rsidP="00AD7B1E">
      <w:pPr>
        <w:pStyle w:val="ListNo2"/>
        <w:numPr>
          <w:ilvl w:val="1"/>
          <w:numId w:val="30"/>
        </w:numPr>
      </w:pPr>
      <w:r w:rsidRPr="0047414B">
        <w:t xml:space="preserve">By the time of entry into the </w:t>
      </w:r>
      <w:r w:rsidR="008E0E3C" w:rsidRPr="0047414B">
        <w:t>R</w:t>
      </w:r>
      <w:r w:rsidRPr="0047414B">
        <w:t xml:space="preserve">etirement </w:t>
      </w:r>
      <w:r w:rsidR="008E0E3C" w:rsidRPr="0047414B">
        <w:t>D</w:t>
      </w:r>
      <w:r w:rsidRPr="0047414B">
        <w:t>eed, the appellant’s proportionate interest in the Partnership was 13.435% (</w:t>
      </w:r>
      <w:proofErr w:type="spellStart"/>
      <w:r w:rsidRPr="0047414B">
        <w:t>cf</w:t>
      </w:r>
      <w:proofErr w:type="spellEnd"/>
      <w:r w:rsidRPr="0047414B">
        <w:t xml:space="preserve"> PJ at [15])</w:t>
      </w:r>
      <w:r w:rsidR="00E34B45" w:rsidRPr="0047414B">
        <w:t>.</w:t>
      </w:r>
    </w:p>
    <w:p w14:paraId="43F297E3" w14:textId="7E1189D1" w:rsidR="00E34B45" w:rsidRPr="0047414B" w:rsidRDefault="00E34B45" w:rsidP="00AD7B1E">
      <w:pPr>
        <w:pStyle w:val="ListNo2"/>
        <w:numPr>
          <w:ilvl w:val="1"/>
          <w:numId w:val="30"/>
        </w:numPr>
      </w:pPr>
      <w:r w:rsidRPr="0047414B">
        <w:t xml:space="preserve">CGT event A1 occurred on 30 September 2008.  </w:t>
      </w:r>
      <w:r w:rsidR="00B37D02" w:rsidRPr="0047414B">
        <w:t xml:space="preserve">For the </w:t>
      </w:r>
      <w:r w:rsidR="00BF7214" w:rsidRPr="0047414B">
        <w:t>purposes</w:t>
      </w:r>
      <w:r w:rsidR="00B37D02" w:rsidRPr="0047414B">
        <w:t xml:space="preserve"> of Part 3-1 of the ITAA 97, t</w:t>
      </w:r>
      <w:r w:rsidRPr="0047414B">
        <w:t>he appellant disposed of his interest in the partnership and in</w:t>
      </w:r>
      <w:r w:rsidR="00B37D02" w:rsidRPr="0047414B">
        <w:t xml:space="preserve"> each of</w:t>
      </w:r>
      <w:r w:rsidRPr="0047414B">
        <w:t xml:space="preserve"> the partnership assets </w:t>
      </w:r>
      <w:r w:rsidR="00B37D02" w:rsidRPr="0047414B">
        <w:t>under the Retirement Deed.</w:t>
      </w:r>
    </w:p>
    <w:p w14:paraId="2386FB64" w14:textId="6F1C4713" w:rsidR="00F75720" w:rsidRPr="0047414B" w:rsidRDefault="00F75720" w:rsidP="00AD7B1E">
      <w:pPr>
        <w:pStyle w:val="ListNo2"/>
        <w:numPr>
          <w:ilvl w:val="1"/>
          <w:numId w:val="30"/>
        </w:numPr>
      </w:pPr>
      <w:r w:rsidRPr="0047414B">
        <w:t xml:space="preserve">The appellant had a nil cost base in the </w:t>
      </w:r>
      <w:r w:rsidR="00E62A65" w:rsidRPr="0047414B">
        <w:t>goodwill asset</w:t>
      </w:r>
      <w:r w:rsidRPr="0047414B">
        <w:t xml:space="preserve"> disposed of upon his retirement.</w:t>
      </w:r>
    </w:p>
    <w:p w14:paraId="37E1EA6F" w14:textId="44A3B8CE" w:rsidR="007C1B42" w:rsidRPr="0047414B" w:rsidRDefault="007C1B42" w:rsidP="007C1B42">
      <w:pPr>
        <w:pStyle w:val="Heading2"/>
      </w:pPr>
      <w:r w:rsidRPr="0047414B">
        <w:lastRenderedPageBreak/>
        <w:t>Appellant’s Contentions</w:t>
      </w:r>
    </w:p>
    <w:p w14:paraId="7A8E647F" w14:textId="2AD0E13C" w:rsidR="00AD7B1E" w:rsidRPr="0047414B" w:rsidRDefault="00E34B45" w:rsidP="00AD7B1E">
      <w:pPr>
        <w:pStyle w:val="ParaNumbering"/>
      </w:pPr>
      <w:r w:rsidRPr="0047414B">
        <w:t xml:space="preserve">The appellant contends that the primary judge misconstrued the effect of the Retirement Deed.  The Retirement Deed provided that the Partnership Deed applied between the </w:t>
      </w:r>
      <w:r w:rsidR="00DA2BE8" w:rsidRPr="0047414B">
        <w:t>p</w:t>
      </w:r>
      <w:r w:rsidRPr="0047414B">
        <w:t xml:space="preserve">artners up to the </w:t>
      </w:r>
      <w:r w:rsidR="009D30DC" w:rsidRPr="0047414B">
        <w:t>“</w:t>
      </w:r>
      <w:r w:rsidRPr="0047414B">
        <w:t>Departure Date</w:t>
      </w:r>
      <w:r w:rsidR="009D30DC" w:rsidRPr="0047414B">
        <w:t>”</w:t>
      </w:r>
      <w:r w:rsidRPr="0047414B">
        <w:t xml:space="preserve"> </w:t>
      </w:r>
      <w:r w:rsidR="009D30DC" w:rsidRPr="0047414B">
        <w:t>“</w:t>
      </w:r>
      <w:r w:rsidRPr="0047414B">
        <w:t>unless varied by [</w:t>
      </w:r>
      <w:r w:rsidR="009D30DC" w:rsidRPr="0047414B">
        <w:t xml:space="preserve">the </w:t>
      </w:r>
      <w:r w:rsidRPr="0047414B">
        <w:t>Retirement</w:t>
      </w:r>
      <w:r w:rsidR="009D30DC" w:rsidRPr="0047414B">
        <w:t>]</w:t>
      </w:r>
      <w:r w:rsidRPr="0047414B">
        <w:t xml:space="preserve"> Deed</w:t>
      </w:r>
      <w:r w:rsidR="009D30DC" w:rsidRPr="0047414B">
        <w:t>”</w:t>
      </w:r>
      <w:r w:rsidRPr="0047414B">
        <w:t>: cl 3.21.  The Departure Date was 31 December 2008.</w:t>
      </w:r>
    </w:p>
    <w:p w14:paraId="1BFDFAB8" w14:textId="763494A9" w:rsidR="002E0837" w:rsidRPr="0047414B" w:rsidRDefault="0082684A" w:rsidP="00AD7B1E">
      <w:pPr>
        <w:pStyle w:val="ParaNumbering"/>
      </w:pPr>
      <w:r w:rsidRPr="0047414B">
        <w:t>The appellant contends</w:t>
      </w:r>
      <w:r w:rsidR="005A09B9" w:rsidRPr="0047414B">
        <w:t xml:space="preserve"> that the effect of the Retirement Deed was </w:t>
      </w:r>
      <w:r w:rsidR="00BB3F19" w:rsidRPr="0047414B">
        <w:t>four</w:t>
      </w:r>
      <w:r w:rsidR="005A09B9" w:rsidRPr="0047414B">
        <w:t>fold:</w:t>
      </w:r>
    </w:p>
    <w:p w14:paraId="7D78393C" w14:textId="0A37B49B" w:rsidR="005A09B9" w:rsidRPr="0047414B" w:rsidRDefault="005A09B9" w:rsidP="005A09B9">
      <w:pPr>
        <w:pStyle w:val="ListNo1"/>
        <w:numPr>
          <w:ilvl w:val="0"/>
          <w:numId w:val="32"/>
        </w:numPr>
      </w:pPr>
      <w:r w:rsidRPr="0047414B">
        <w:t>It varied the Partnership Deed up until the Departure Date</w:t>
      </w:r>
      <w:r w:rsidR="00DA2BE8" w:rsidRPr="0047414B">
        <w:t>.</w:t>
      </w:r>
      <w:r w:rsidRPr="0047414B">
        <w:t xml:space="preserve"> </w:t>
      </w:r>
    </w:p>
    <w:p w14:paraId="0979D621" w14:textId="1618633F" w:rsidR="005A09B9" w:rsidRPr="0047414B" w:rsidRDefault="005A09B9" w:rsidP="005A09B9">
      <w:pPr>
        <w:pStyle w:val="ListNo1"/>
        <w:numPr>
          <w:ilvl w:val="0"/>
          <w:numId w:val="32"/>
        </w:numPr>
      </w:pPr>
      <w:r w:rsidRPr="0047414B">
        <w:t>It provided for the Partnership Deed to cease to apply from the Departure Date</w:t>
      </w:r>
      <w:r w:rsidR="00DA2BE8" w:rsidRPr="0047414B">
        <w:t>.</w:t>
      </w:r>
    </w:p>
    <w:p w14:paraId="653745B2" w14:textId="40A41F8F" w:rsidR="005A09B9" w:rsidRPr="0047414B" w:rsidRDefault="005A09B9" w:rsidP="005A09B9">
      <w:pPr>
        <w:pStyle w:val="ListNo1"/>
        <w:numPr>
          <w:ilvl w:val="0"/>
          <w:numId w:val="32"/>
        </w:numPr>
      </w:pPr>
      <w:r w:rsidRPr="0047414B">
        <w:t>It effected a series of mutual releases of all rights and obligations, including accrued rights and obligations</w:t>
      </w:r>
      <w:r w:rsidR="00DA2BE8" w:rsidRPr="0047414B">
        <w:t>.</w:t>
      </w:r>
    </w:p>
    <w:p w14:paraId="6F64973F" w14:textId="5DEBFEA2" w:rsidR="00BB3F19" w:rsidRPr="0047414B" w:rsidRDefault="00BB3F19" w:rsidP="005A09B9">
      <w:pPr>
        <w:pStyle w:val="ListNo1"/>
        <w:numPr>
          <w:ilvl w:val="0"/>
          <w:numId w:val="32"/>
        </w:numPr>
      </w:pPr>
      <w:r w:rsidRPr="0047414B">
        <w:t xml:space="preserve">It exclusively regulated the rights and obligations of the appellant as regards the </w:t>
      </w:r>
      <w:r w:rsidR="001B7C46" w:rsidRPr="0047414B">
        <w:t>O</w:t>
      </w:r>
      <w:r w:rsidRPr="0047414B">
        <w:t xml:space="preserve">ngoing </w:t>
      </w:r>
      <w:r w:rsidR="001B7C46" w:rsidRPr="0047414B">
        <w:t>P</w:t>
      </w:r>
      <w:r w:rsidRPr="0047414B">
        <w:t>artners from the Departure Date.</w:t>
      </w:r>
    </w:p>
    <w:p w14:paraId="7E70E50D" w14:textId="34FDA3A2" w:rsidR="00E34B45" w:rsidRPr="0047414B" w:rsidRDefault="00B37D02" w:rsidP="00AD7B1E">
      <w:pPr>
        <w:pStyle w:val="ParaNumbering"/>
      </w:pPr>
      <w:r w:rsidRPr="0047414B">
        <w:t>The appellant contend</w:t>
      </w:r>
      <w:r w:rsidR="005A09B9" w:rsidRPr="0047414B">
        <w:t>s</w:t>
      </w:r>
      <w:r w:rsidRPr="0047414B">
        <w:t xml:space="preserve"> that the source of </w:t>
      </w:r>
      <w:r w:rsidR="00FB4D86" w:rsidRPr="0047414B">
        <w:t>his</w:t>
      </w:r>
      <w:r w:rsidR="006D2E05" w:rsidRPr="0047414B">
        <w:t xml:space="preserve"> </w:t>
      </w:r>
      <w:r w:rsidRPr="0047414B">
        <w:t xml:space="preserve">contractual </w:t>
      </w:r>
      <w:r w:rsidR="00FB160A" w:rsidRPr="0047414B">
        <w:t>entitlement</w:t>
      </w:r>
      <w:r w:rsidRPr="0047414B">
        <w:t xml:space="preserve"> to a payment on retirement </w:t>
      </w:r>
      <w:r w:rsidR="00FB160A" w:rsidRPr="0047414B">
        <w:t>was</w:t>
      </w:r>
      <w:r w:rsidRPr="0047414B">
        <w:t xml:space="preserve"> </w:t>
      </w:r>
      <w:proofErr w:type="spellStart"/>
      <w:r w:rsidRPr="0047414B">
        <w:t>cll</w:t>
      </w:r>
      <w:proofErr w:type="spellEnd"/>
      <w:r w:rsidRPr="0047414B">
        <w:t xml:space="preserve"> 3.7, 3.8 and 3.9 of the </w:t>
      </w:r>
      <w:r w:rsidR="00FB160A" w:rsidRPr="0047414B">
        <w:t>Retirement</w:t>
      </w:r>
      <w:r w:rsidRPr="0047414B">
        <w:t xml:space="preserve"> Deed and these clauses provided for a single sum of “</w:t>
      </w:r>
      <w:r w:rsidR="00E62A65" w:rsidRPr="0047414B">
        <w:t xml:space="preserve">Retirement Moneys” to be paid.  </w:t>
      </w:r>
      <w:r w:rsidR="00FB160A" w:rsidRPr="0047414B">
        <w:t>The</w:t>
      </w:r>
      <w:r w:rsidRPr="0047414B">
        <w:t xml:space="preserve"> sum of Retirement Moneys was to be calculated by reference to the integers provided for in </w:t>
      </w:r>
      <w:proofErr w:type="spellStart"/>
      <w:r w:rsidR="00FB160A" w:rsidRPr="0047414B">
        <w:t>cll</w:t>
      </w:r>
      <w:proofErr w:type="spellEnd"/>
      <w:r w:rsidR="00FB160A" w:rsidRPr="0047414B">
        <w:t xml:space="preserve"> 25 and 26 of the Partnership Deed.  </w:t>
      </w:r>
      <w:r w:rsidR="005B31D9" w:rsidRPr="0047414B">
        <w:t>Contrary to the conclusions of the primary judge</w:t>
      </w:r>
      <w:r w:rsidR="00E721A3" w:rsidRPr="0047414B">
        <w:t xml:space="preserve"> (</w:t>
      </w:r>
      <w:proofErr w:type="spellStart"/>
      <w:proofErr w:type="gramStart"/>
      <w:r w:rsidR="00E721A3" w:rsidRPr="0047414B">
        <w:t>esp</w:t>
      </w:r>
      <w:proofErr w:type="spellEnd"/>
      <w:proofErr w:type="gramEnd"/>
      <w:r w:rsidR="00E721A3" w:rsidRPr="0047414B">
        <w:t xml:space="preserve"> PJ [48], [50])</w:t>
      </w:r>
      <w:r w:rsidR="005B31D9" w:rsidRPr="0047414B">
        <w:t>, the Partnership Deed was not the source of the appellant’s contractual entitlement to receive moneys</w:t>
      </w:r>
      <w:r w:rsidR="00E721A3" w:rsidRPr="0047414B">
        <w:t>.</w:t>
      </w:r>
    </w:p>
    <w:p w14:paraId="2BBB54F1" w14:textId="7CD527E9" w:rsidR="00FB160A" w:rsidRPr="0047414B" w:rsidRDefault="00FB160A" w:rsidP="00AD7B1E">
      <w:pPr>
        <w:pStyle w:val="ParaNumbering"/>
      </w:pPr>
      <w:r w:rsidRPr="0047414B">
        <w:t xml:space="preserve">Because the only amount to which the appellant was entitled under the Retirement Deed was a sum of </w:t>
      </w:r>
      <w:r w:rsidR="005B31D9" w:rsidRPr="0047414B">
        <w:t>Retirement</w:t>
      </w:r>
      <w:r w:rsidRPr="0047414B">
        <w:t xml:space="preserve"> Moneys, it could not be said that the appellant received or became entitled to receive any amount for the disposal of his interest in the goodwill of the partnership.  No payment was made under the Retirement Deed for </w:t>
      </w:r>
      <w:r w:rsidR="005B31D9" w:rsidRPr="0047414B">
        <w:t xml:space="preserve">the appellant’s interest in the partnership </w:t>
      </w:r>
      <w:r w:rsidRPr="0047414B">
        <w:t>goodwill.</w:t>
      </w:r>
    </w:p>
    <w:p w14:paraId="7DD1761C" w14:textId="0C4A6B11" w:rsidR="00FB160A" w:rsidRPr="0047414B" w:rsidRDefault="00FB160A" w:rsidP="00AD7B1E">
      <w:pPr>
        <w:pStyle w:val="ParaNumbering"/>
      </w:pPr>
      <w:r w:rsidRPr="0047414B">
        <w:t xml:space="preserve">When applying the integers in </w:t>
      </w:r>
      <w:proofErr w:type="spellStart"/>
      <w:r w:rsidRPr="0047414B">
        <w:t>clls</w:t>
      </w:r>
      <w:proofErr w:type="spellEnd"/>
      <w:r w:rsidRPr="0047414B">
        <w:t xml:space="preserve"> 25 and 26 of the Partnership Deed, the resulting sum of Retirement Moneys to which the appellant was entitled was nil and therefore no capital gain arose as a result of CGT event A1 occurring on entry into the Retirement Deed.</w:t>
      </w:r>
    </w:p>
    <w:p w14:paraId="75B8845A" w14:textId="31DA3ECF" w:rsidR="00E753EC" w:rsidRPr="0047414B" w:rsidRDefault="00E753EC" w:rsidP="00BD7AD4">
      <w:pPr>
        <w:pStyle w:val="Heading1"/>
      </w:pPr>
      <w:r w:rsidRPr="0047414B">
        <w:t>Analysis</w:t>
      </w:r>
    </w:p>
    <w:p w14:paraId="25BCE9CB" w14:textId="78FCF960" w:rsidR="00A63A64" w:rsidRPr="0047414B" w:rsidRDefault="00AD7B1E" w:rsidP="00AD7B1E">
      <w:pPr>
        <w:pStyle w:val="ParaNumbering"/>
      </w:pPr>
      <w:r w:rsidRPr="0047414B">
        <w:t>The essence of the dispute as framed on appeal concerns the construction and effect of the Retirement</w:t>
      </w:r>
      <w:r w:rsidR="001B6BCC" w:rsidRPr="0047414B">
        <w:t xml:space="preserve"> Deed</w:t>
      </w:r>
      <w:r w:rsidRPr="0047414B">
        <w:t xml:space="preserve">. </w:t>
      </w:r>
    </w:p>
    <w:p w14:paraId="1DBC776D" w14:textId="48D4486F" w:rsidR="00AD7B1E" w:rsidRPr="0047414B" w:rsidRDefault="00AD7B1E" w:rsidP="00AD7B1E">
      <w:pPr>
        <w:pStyle w:val="ParaNumbering"/>
      </w:pPr>
      <w:r w:rsidRPr="0047414B">
        <w:lastRenderedPageBreak/>
        <w:t>The appellant</w:t>
      </w:r>
      <w:r w:rsidR="00A63A64" w:rsidRPr="0047414B">
        <w:t>’s</w:t>
      </w:r>
      <w:r w:rsidRPr="0047414B">
        <w:t xml:space="preserve"> conten</w:t>
      </w:r>
      <w:r w:rsidR="00A63A64" w:rsidRPr="0047414B">
        <w:t xml:space="preserve">tion </w:t>
      </w:r>
      <w:r w:rsidRPr="0047414B">
        <w:t>that the source of his entitlement to a payment on retirement was cl</w:t>
      </w:r>
      <w:r w:rsidR="007A3A75" w:rsidRPr="0047414B">
        <w:t> </w:t>
      </w:r>
      <w:r w:rsidRPr="0047414B">
        <w:t>3.7 of the Retirement Dee</w:t>
      </w:r>
      <w:r w:rsidR="00A63A64" w:rsidRPr="0047414B">
        <w:t>d and that</w:t>
      </w:r>
      <w:r w:rsidR="0041593C" w:rsidRPr="0047414B">
        <w:t xml:space="preserve">, </w:t>
      </w:r>
      <w:r w:rsidR="00A63A64" w:rsidRPr="0047414B">
        <w:t>a</w:t>
      </w:r>
      <w:r w:rsidRPr="0047414B">
        <w:t xml:space="preserve">lthough calculated by reference to integers derived from </w:t>
      </w:r>
      <w:proofErr w:type="spellStart"/>
      <w:r w:rsidRPr="0047414B">
        <w:t>cl</w:t>
      </w:r>
      <w:r w:rsidR="009871CE" w:rsidRPr="0047414B">
        <w:t>l</w:t>
      </w:r>
      <w:proofErr w:type="spellEnd"/>
      <w:r w:rsidR="009871CE" w:rsidRPr="0047414B">
        <w:t xml:space="preserve"> </w:t>
      </w:r>
      <w:r w:rsidRPr="0047414B">
        <w:t xml:space="preserve">25 and 26 of the Partnership Deed, the only amount which the appellant was entitled to receive </w:t>
      </w:r>
      <w:r w:rsidR="00A63A64" w:rsidRPr="0047414B">
        <w:t xml:space="preserve">pursuant to that clause </w:t>
      </w:r>
      <w:r w:rsidRPr="0047414B">
        <w:t xml:space="preserve">was the </w:t>
      </w:r>
      <w:r w:rsidR="00A63A64" w:rsidRPr="0047414B">
        <w:t xml:space="preserve">calculated net </w:t>
      </w:r>
      <w:r w:rsidRPr="0047414B">
        <w:t>sum</w:t>
      </w:r>
      <w:r w:rsidR="00B73ADD" w:rsidRPr="0047414B">
        <w:t>,</w:t>
      </w:r>
      <w:r w:rsidR="00A63A64" w:rsidRPr="0047414B">
        <w:t xml:space="preserve"> is rejected as a matter of construction of the deeds</w:t>
      </w:r>
      <w:r w:rsidRPr="0047414B">
        <w:t>.</w:t>
      </w:r>
    </w:p>
    <w:p w14:paraId="4BB05543" w14:textId="78C0BD1A" w:rsidR="00520595" w:rsidRPr="0047414B" w:rsidRDefault="00520595" w:rsidP="007405BC">
      <w:pPr>
        <w:pStyle w:val="ParaNumbering"/>
      </w:pPr>
      <w:r w:rsidRPr="0047414B">
        <w:t xml:space="preserve">Clause 3.7 of the Retirement Deed does not </w:t>
      </w:r>
      <w:r w:rsidR="002E0837" w:rsidRPr="0047414B">
        <w:t>confer</w:t>
      </w:r>
      <w:r w:rsidRPr="0047414B">
        <w:t xml:space="preserve"> an entitlement </w:t>
      </w:r>
      <w:r w:rsidR="002E0837" w:rsidRPr="0047414B">
        <w:t xml:space="preserve">on the appellant </w:t>
      </w:r>
      <w:r w:rsidRPr="0047414B">
        <w:t>to be paid</w:t>
      </w:r>
      <w:r w:rsidR="00FB4D86" w:rsidRPr="0047414B">
        <w:t xml:space="preserve"> but</w:t>
      </w:r>
      <w:r w:rsidRPr="0047414B">
        <w:t xml:space="preserve"> provides for the terms on which the moneys </w:t>
      </w:r>
      <w:r w:rsidR="008D00BF" w:rsidRPr="0047414B">
        <w:t>payable</w:t>
      </w:r>
      <w:r w:rsidRPr="0047414B">
        <w:t xml:space="preserve"> under the Partnership Deed are to be paid.  It refers to “all moneys payable to the Retiring Partner” </w:t>
      </w:r>
      <w:r w:rsidR="008D00BF" w:rsidRPr="0047414B">
        <w:t>and</w:t>
      </w:r>
      <w:r w:rsidRPr="0047414B">
        <w:t xml:space="preserve"> ascribe</w:t>
      </w:r>
      <w:r w:rsidR="003E3FA3" w:rsidRPr="0047414B">
        <w:t>s</w:t>
      </w:r>
      <w:r w:rsidRPr="0047414B">
        <w:t xml:space="preserve"> to the</w:t>
      </w:r>
      <w:r w:rsidR="008D00BF" w:rsidRPr="0047414B">
        <w:t xml:space="preserve"> total of the</w:t>
      </w:r>
      <w:r w:rsidRPr="0047414B">
        <w:t xml:space="preserve">se moneys the label </w:t>
      </w:r>
      <w:r w:rsidR="009871CE" w:rsidRPr="0047414B">
        <w:t>“</w:t>
      </w:r>
      <w:r w:rsidR="008D00BF" w:rsidRPr="0047414B">
        <w:t>Retirement</w:t>
      </w:r>
      <w:r w:rsidRPr="0047414B">
        <w:t xml:space="preserve"> Moneys</w:t>
      </w:r>
      <w:r w:rsidR="009871CE" w:rsidRPr="0047414B">
        <w:t>”</w:t>
      </w:r>
      <w:r w:rsidRPr="0047414B">
        <w:t xml:space="preserve"> but it does not create in the Partnership or in the remaining partne</w:t>
      </w:r>
      <w:r w:rsidR="008D00BF" w:rsidRPr="0047414B">
        <w:t>r</w:t>
      </w:r>
      <w:r w:rsidRPr="0047414B">
        <w:t xml:space="preserve">s the obligation to pay moneys.  The Retirement Moneys </w:t>
      </w:r>
      <w:r w:rsidR="00655BC4" w:rsidRPr="0047414B">
        <w:t>is the total of</w:t>
      </w:r>
      <w:r w:rsidRPr="0047414B">
        <w:t xml:space="preserve"> those moneys payable to the appellant pursuant to cl 25 of t</w:t>
      </w:r>
      <w:r w:rsidR="008D00BF" w:rsidRPr="0047414B">
        <w:t>h</w:t>
      </w:r>
      <w:r w:rsidRPr="0047414B">
        <w:t xml:space="preserve">e </w:t>
      </w:r>
      <w:r w:rsidR="008D00BF" w:rsidRPr="0047414B">
        <w:t>Partnership Deed</w:t>
      </w:r>
      <w:r w:rsidR="00655BC4" w:rsidRPr="0047414B">
        <w:t xml:space="preserve"> and does not constitute an obligation to pay an </w:t>
      </w:r>
      <w:proofErr w:type="spellStart"/>
      <w:r w:rsidR="00655BC4" w:rsidRPr="0047414B">
        <w:t>undissected</w:t>
      </w:r>
      <w:proofErr w:type="spellEnd"/>
      <w:r w:rsidR="00655BC4" w:rsidRPr="0047414B">
        <w:t xml:space="preserve"> lump sum</w:t>
      </w:r>
      <w:r w:rsidR="009871CE" w:rsidRPr="0047414B">
        <w:t xml:space="preserve"> for the appellant’s partnership interest</w:t>
      </w:r>
      <w:r w:rsidR="008D00BF" w:rsidRPr="0047414B">
        <w:t xml:space="preserve">.  Clause 3.7 of the Retirement Deed incorporates the terms of </w:t>
      </w:r>
      <w:proofErr w:type="spellStart"/>
      <w:r w:rsidR="008D00BF" w:rsidRPr="0047414B">
        <w:t>cl</w:t>
      </w:r>
      <w:r w:rsidR="00557549" w:rsidRPr="0047414B">
        <w:t>l</w:t>
      </w:r>
      <w:proofErr w:type="spellEnd"/>
      <w:r w:rsidR="008D00BF" w:rsidRPr="0047414B">
        <w:t xml:space="preserve"> 25 and 26 of the Partnership Deed and provides for cl 3.8 to determine the instalments</w:t>
      </w:r>
      <w:r w:rsidR="00655BC4" w:rsidRPr="0047414B">
        <w:t xml:space="preserve"> for payment of the moneys liable to be paid pursuant to </w:t>
      </w:r>
      <w:proofErr w:type="spellStart"/>
      <w:r w:rsidR="00655BC4" w:rsidRPr="0047414B">
        <w:t>cll</w:t>
      </w:r>
      <w:proofErr w:type="spellEnd"/>
      <w:r w:rsidR="00655BC4" w:rsidRPr="0047414B">
        <w:t xml:space="preserve"> 25 and 26 of the Partnership Deed</w:t>
      </w:r>
      <w:r w:rsidR="008D00BF" w:rsidRPr="0047414B">
        <w:t xml:space="preserve">.  The effect of cl 3.8 was to amend the instalment regime otherwise provided for in cl 27 of the Partnership Deed. </w:t>
      </w:r>
    </w:p>
    <w:p w14:paraId="1CA84A11" w14:textId="55644398" w:rsidR="00AD7B1E" w:rsidRPr="0047414B" w:rsidRDefault="008D00BF" w:rsidP="00AD7B1E">
      <w:pPr>
        <w:pStyle w:val="ParaNumbering"/>
      </w:pPr>
      <w:r w:rsidRPr="0047414B">
        <w:t xml:space="preserve">Because the appellant’s entitlement </w:t>
      </w:r>
      <w:r w:rsidR="006C7AC0" w:rsidRPr="0047414B">
        <w:t>to</w:t>
      </w:r>
      <w:r w:rsidRPr="0047414B">
        <w:t xml:space="preserve"> receive moneys was created by cl 25</w:t>
      </w:r>
      <w:r w:rsidR="009507CD" w:rsidRPr="0047414B">
        <w:t xml:space="preserve"> of the Partnership Deed</w:t>
      </w:r>
      <w:r w:rsidRPr="0047414B">
        <w:t xml:space="preserve">, one of the amounts the appellant was entitled to receive was </w:t>
      </w:r>
      <w:r w:rsidR="00A971EA" w:rsidRPr="0047414B">
        <w:t xml:space="preserve">a </w:t>
      </w:r>
      <w:r w:rsidRPr="0047414B">
        <w:t>“proportionate part calculated in accordance with the Partnership Interests of the goodwill of the Partnership”</w:t>
      </w:r>
      <w:r w:rsidR="00AC1D48" w:rsidRPr="0047414B">
        <w:t>: Partnership Deed</w:t>
      </w:r>
      <w:r w:rsidRPr="0047414B">
        <w:t xml:space="preserve"> cl 25.</w:t>
      </w:r>
      <w:r w:rsidR="00A971EA" w:rsidRPr="0047414B">
        <w:t>4</w:t>
      </w:r>
      <w:r w:rsidRPr="0047414B">
        <w:t xml:space="preserve">.  That </w:t>
      </w:r>
      <w:r w:rsidR="003A537D" w:rsidRPr="0047414B">
        <w:t>proportionate</w:t>
      </w:r>
      <w:r w:rsidRPr="0047414B">
        <w:t xml:space="preserve"> amount was an</w:t>
      </w:r>
      <w:r w:rsidR="003A537D" w:rsidRPr="0047414B">
        <w:t xml:space="preserve"> amount</w:t>
      </w:r>
      <w:r w:rsidRPr="0047414B">
        <w:t xml:space="preserve"> </w:t>
      </w:r>
      <w:r w:rsidR="003A537D" w:rsidRPr="0047414B">
        <w:t xml:space="preserve">calculated as referable to the appellant’s interest in the partnership asset of goodwill.  </w:t>
      </w:r>
      <w:r w:rsidR="0021239C" w:rsidRPr="0047414B">
        <w:t xml:space="preserve">For </w:t>
      </w:r>
      <w:r w:rsidR="00B44920" w:rsidRPr="0047414B">
        <w:t>CGT</w:t>
      </w:r>
      <w:r w:rsidR="0021239C" w:rsidRPr="0047414B">
        <w:t xml:space="preserve"> purposes, the appellant had a CGT asset in the form of his interest in the goodwill of the Partnership with a separate cost base.  </w:t>
      </w:r>
    </w:p>
    <w:p w14:paraId="3FA0156A" w14:textId="6650975B" w:rsidR="00DD4049" w:rsidRPr="0047414B" w:rsidRDefault="00655BC4">
      <w:pPr>
        <w:pStyle w:val="ParaNumbering"/>
      </w:pPr>
      <w:r w:rsidRPr="0047414B">
        <w:t>By its terms, the Retirement Deed did not rescind the Partnership Deed</w:t>
      </w:r>
      <w:r w:rsidR="00641B47" w:rsidRPr="0047414B">
        <w:t xml:space="preserve"> but </w:t>
      </w:r>
      <w:r w:rsidR="00152181" w:rsidRPr="0047414B">
        <w:t>purported to vary it</w:t>
      </w:r>
      <w:r w:rsidR="00641B47" w:rsidRPr="0047414B">
        <w:t xml:space="preserve">: </w:t>
      </w:r>
      <w:r w:rsidR="008C5943" w:rsidRPr="0047414B">
        <w:rPr>
          <w:i/>
        </w:rPr>
        <w:t xml:space="preserve">Federal Commissioner of Taxation v </w:t>
      </w:r>
      <w:r w:rsidR="008C5943" w:rsidRPr="0047414B">
        <w:rPr>
          <w:b/>
          <w:i/>
        </w:rPr>
        <w:t>Sara Lee</w:t>
      </w:r>
      <w:r w:rsidR="008C5943" w:rsidRPr="0047414B">
        <w:rPr>
          <w:i/>
        </w:rPr>
        <w:t xml:space="preserve"> Household &amp; Body Care (Australia) Pty Ltd</w:t>
      </w:r>
      <w:r w:rsidR="008C5943" w:rsidRPr="0047414B">
        <w:t xml:space="preserve"> [2000] HCA 35; </w:t>
      </w:r>
      <w:r w:rsidR="00294E9B" w:rsidRPr="0047414B">
        <w:t xml:space="preserve">(2000) </w:t>
      </w:r>
      <w:r w:rsidR="008C5943" w:rsidRPr="0047414B">
        <w:t xml:space="preserve">201 CLR 520 </w:t>
      </w:r>
      <w:r w:rsidR="00641B47" w:rsidRPr="0047414B">
        <w:t>at [22]</w:t>
      </w:r>
      <w:r w:rsidR="00CF5933" w:rsidRPr="0047414B">
        <w:rPr>
          <w:rFonts w:ascii="Arial" w:hAnsi="Arial" w:cs="Arial"/>
          <w:sz w:val="21"/>
          <w:szCs w:val="21"/>
          <w:shd w:val="clear" w:color="auto" w:fill="FFFFFF"/>
        </w:rPr>
        <w:t xml:space="preserve"> – </w:t>
      </w:r>
      <w:r w:rsidR="00641B47" w:rsidRPr="0047414B">
        <w:t>[24]</w:t>
      </w:r>
      <w:r w:rsidRPr="0047414B">
        <w:t xml:space="preserve">.  </w:t>
      </w:r>
      <w:r w:rsidR="009C661A" w:rsidRPr="0047414B">
        <w:t>Unless varied by the Retirement Deed, t</w:t>
      </w:r>
      <w:r w:rsidR="003A537D" w:rsidRPr="0047414B">
        <w:t>he provisions of the Partnership Deed applied up to the Departure Date, and thereafter as be</w:t>
      </w:r>
      <w:r w:rsidR="009C661A" w:rsidRPr="0047414B">
        <w:t xml:space="preserve">tween the Ongoing Partners only: Retirement Deed cl 3.21.  </w:t>
      </w:r>
      <w:r w:rsidR="001351D1" w:rsidRPr="0047414B">
        <w:t>The purpose of the Retirement Deed was not to bring the Partnership Deed to an end</w:t>
      </w:r>
      <w:r w:rsidR="00053509" w:rsidRPr="0047414B">
        <w:t xml:space="preserve"> but to provide for the appellant’s departure date and with “the intent </w:t>
      </w:r>
      <w:r w:rsidR="00DD4049" w:rsidRPr="0047414B">
        <w:t>that as and from the Departure Date the Retiring Partner (or his nominee) shall have no further interest in or association with the Partnership”</w:t>
      </w:r>
      <w:r w:rsidR="00AC1D48" w:rsidRPr="0047414B">
        <w:t>: Retirement Deed</w:t>
      </w:r>
      <w:r w:rsidR="00DD4049" w:rsidRPr="0047414B">
        <w:t xml:space="preserve"> recital C.  </w:t>
      </w:r>
      <w:r w:rsidR="00430F4B" w:rsidRPr="0047414B">
        <w:t xml:space="preserve">The releases effected by the Retirement Deed are to be construed in light of </w:t>
      </w:r>
      <w:r w:rsidR="00430F4B" w:rsidRPr="0047414B">
        <w:lastRenderedPageBreak/>
        <w:t xml:space="preserve">the purpose of the Retirement Deed. </w:t>
      </w:r>
      <w:r w:rsidR="00866530" w:rsidRPr="0047414B">
        <w:t xml:space="preserve"> It was the claims arising from the partnership relationship which were released by cl 3.6.3.  </w:t>
      </w:r>
      <w:r w:rsidR="00430F4B" w:rsidRPr="0047414B">
        <w:t>In releasing accrued rights and obligations</w:t>
      </w:r>
      <w:r w:rsidR="00780D2B" w:rsidRPr="0047414B">
        <w:t>,</w:t>
      </w:r>
      <w:r w:rsidR="00430F4B" w:rsidRPr="0047414B">
        <w:t xml:space="preserve"> the release in cl 3.6.3 did not effect a release of rights and obligations otherwise accruing upon the retirement of the appellant but related to rights and obligations that accrued in relation to the business </w:t>
      </w:r>
      <w:r w:rsidR="0016296B" w:rsidRPr="0047414B">
        <w:t xml:space="preserve">operations </w:t>
      </w:r>
      <w:r w:rsidR="00430F4B" w:rsidRPr="0047414B">
        <w:t xml:space="preserve">of the Partnership.  </w:t>
      </w:r>
    </w:p>
    <w:p w14:paraId="55C53293" w14:textId="25FBE4F5" w:rsidR="003A537D" w:rsidRPr="0047414B" w:rsidRDefault="00DD4049" w:rsidP="003A537D">
      <w:pPr>
        <w:pStyle w:val="ParaNumbering"/>
      </w:pPr>
      <w:r w:rsidRPr="0047414B">
        <w:t xml:space="preserve">The purpose of cl 3.7 of the Retirement Deed was not to </w:t>
      </w:r>
      <w:r w:rsidR="00056616" w:rsidRPr="0047414B">
        <w:t xml:space="preserve">confer a right on the appellant to be paid or to impose an obligation on the remaining partners to pay </w:t>
      </w:r>
      <w:r w:rsidRPr="0047414B">
        <w:t>the monetary entitlements of the appellant upon his retirement but to vary the payment terms</w:t>
      </w:r>
      <w:r w:rsidR="00056616" w:rsidRPr="0047414B">
        <w:t xml:space="preserve"> and manner of calculation of the quantum</w:t>
      </w:r>
      <w:r w:rsidRPr="0047414B">
        <w:t xml:space="preserve">.  Properly construed, cl 3.7 did not create a new obligation to pay “Retirement Moneys”.  The term </w:t>
      </w:r>
      <w:r w:rsidR="00CF103F" w:rsidRPr="0047414B">
        <w:t>“</w:t>
      </w:r>
      <w:r w:rsidRPr="0047414B">
        <w:t>Retirement Moneys</w:t>
      </w:r>
      <w:r w:rsidR="00CF103F" w:rsidRPr="0047414B">
        <w:t>”</w:t>
      </w:r>
      <w:r w:rsidRPr="0047414B">
        <w:t xml:space="preserve"> was just a convenient label to ascribe to the total of the moneys which </w:t>
      </w:r>
      <w:r w:rsidR="00B77407" w:rsidRPr="0047414B">
        <w:t xml:space="preserve">cl 25 of </w:t>
      </w:r>
      <w:r w:rsidRPr="0047414B">
        <w:t xml:space="preserve">the Partnership Deed required the remaining partners to pay </w:t>
      </w:r>
      <w:r w:rsidR="00B77407" w:rsidRPr="0047414B">
        <w:t xml:space="preserve">after the set-off provided for in cl 26 of the Partnership Deed.  Clause 3.8 </w:t>
      </w:r>
      <w:r w:rsidR="00AD1147" w:rsidRPr="0047414B">
        <w:t xml:space="preserve">of the Retirement Deed </w:t>
      </w:r>
      <w:r w:rsidR="00B77407" w:rsidRPr="0047414B">
        <w:t xml:space="preserve">varied the instalment schedule provided for in cl 27 of the Partnership Deed.  </w:t>
      </w:r>
      <w:r w:rsidR="0016296B" w:rsidRPr="0047414B">
        <w:t>The concluding words of cl 3.8 “</w:t>
      </w:r>
      <w:r w:rsidR="00BB3F19" w:rsidRPr="0047414B">
        <w:t xml:space="preserve">any other moneys </w:t>
      </w:r>
      <w:r w:rsidR="0016296B" w:rsidRPr="0047414B">
        <w:t>becoming due and payable to the Retiring Partner hereunder on any account” do not confer an entitlement on the appellant to be paid</w:t>
      </w:r>
      <w:r w:rsidR="00BB3F19" w:rsidRPr="0047414B">
        <w:t xml:space="preserve"> “Retirement Moneys”.  </w:t>
      </w:r>
      <w:r w:rsidR="00B77407" w:rsidRPr="0047414B">
        <w:t xml:space="preserve">Clause 3.9 varied the basis on which the last instalment was to be calculated </w:t>
      </w:r>
      <w:r w:rsidR="00056616" w:rsidRPr="0047414B">
        <w:t>and cl 3.10 provided for the preparation of accounts for the calculation of both the total and the instalment amounts.</w:t>
      </w:r>
    </w:p>
    <w:p w14:paraId="7558FE1A" w14:textId="286D3064" w:rsidR="00EA2B77" w:rsidRPr="0047414B" w:rsidRDefault="0021239C" w:rsidP="003A537D">
      <w:pPr>
        <w:pStyle w:val="ParaNumbering"/>
      </w:pPr>
      <w:r w:rsidRPr="0047414B">
        <w:t>Clause 26</w:t>
      </w:r>
      <w:r w:rsidR="00EA2B77" w:rsidRPr="0047414B">
        <w:t xml:space="preserve"> is of no assistance </w:t>
      </w:r>
      <w:r w:rsidR="00655BC4" w:rsidRPr="0047414B">
        <w:t>to</w:t>
      </w:r>
      <w:r w:rsidR="00EA2B77" w:rsidRPr="0047414B">
        <w:t xml:space="preserve"> the appellant’s construction.  As the primary judge correctly concluded</w:t>
      </w:r>
      <w:r w:rsidR="00E14DC9" w:rsidRPr="0047414B">
        <w:t xml:space="preserve"> (PJ at [49])</w:t>
      </w:r>
      <w:r w:rsidR="00EA2B77" w:rsidRPr="0047414B">
        <w:t>:</w:t>
      </w:r>
    </w:p>
    <w:p w14:paraId="2F4CB37F" w14:textId="5EE44CC8" w:rsidR="00EA2B77" w:rsidRPr="0047414B" w:rsidRDefault="00EA2B77" w:rsidP="00655BC4">
      <w:pPr>
        <w:pStyle w:val="Quote1"/>
      </w:pPr>
      <w:r w:rsidRPr="0047414B">
        <w:t xml:space="preserve">Clause 26 is merely a mechanism that provides a convenient method by which the Partnership can recover amounts owed by Outgoing Partners to the Partnership on </w:t>
      </w:r>
      <w:r w:rsidR="00326E38" w:rsidRPr="0047414B">
        <w:t xml:space="preserve">their </w:t>
      </w:r>
      <w:r w:rsidRPr="0047414B">
        <w:t>retirement.</w:t>
      </w:r>
    </w:p>
    <w:p w14:paraId="6E7EE60B" w14:textId="6C6BB30A" w:rsidR="00EA2B77" w:rsidRPr="0047414B" w:rsidRDefault="0021239C" w:rsidP="00655BC4">
      <w:pPr>
        <w:pStyle w:val="ParaNumbering"/>
        <w:rPr>
          <w:szCs w:val="24"/>
          <w:lang w:eastAsia="en-AU"/>
        </w:rPr>
      </w:pPr>
      <w:r w:rsidRPr="0047414B">
        <w:t>Clause 26</w:t>
      </w:r>
      <w:r w:rsidR="00EA2B77" w:rsidRPr="0047414B">
        <w:t xml:space="preserve"> provides for an offset of amounts owing to the retiring partner against amounts owed by the retiring partner.  That offse</w:t>
      </w:r>
      <w:r w:rsidR="002E4936" w:rsidRPr="0047414B">
        <w:t xml:space="preserve">t is not constrained to the retiring partner’s proportionate share of goodwill of the Partnership.  </w:t>
      </w:r>
      <w:r w:rsidR="00655BC4" w:rsidRPr="0047414B">
        <w:t xml:space="preserve">Contrary to the submissions of the appellant, </w:t>
      </w:r>
      <w:r w:rsidR="00655BC4" w:rsidRPr="0047414B">
        <w:rPr>
          <w:szCs w:val="24"/>
          <w:lang w:eastAsia="en-AU"/>
        </w:rPr>
        <w:t xml:space="preserve">that offset did not </w:t>
      </w:r>
      <w:r w:rsidR="00655BC4" w:rsidRPr="0047414B">
        <w:t xml:space="preserve">result in the cl 25.4 amount being “zeroed” in the calculation of the Retirement Moneys. </w:t>
      </w:r>
      <w:r w:rsidR="00655BC4" w:rsidRPr="0047414B">
        <w:rPr>
          <w:rFonts w:ascii="TimesNewRomanPSMT" w:hAnsi="TimesNewRomanPSMT" w:cs="TimesNewRomanPSMT"/>
          <w:szCs w:val="24"/>
          <w:lang w:eastAsia="en-AU"/>
        </w:rPr>
        <w:t xml:space="preserve"> </w:t>
      </w:r>
      <w:r w:rsidR="002E4936" w:rsidRPr="0047414B">
        <w:t xml:space="preserve">The amount of cash to be paid to the appellant was a balance remaining after offset.  It was that balance that was to be subject to the quantum adjustment and instalment regime provided for in the Retirement Deed.  </w:t>
      </w:r>
    </w:p>
    <w:p w14:paraId="03B47106" w14:textId="49CBF875" w:rsidR="002E4936" w:rsidRPr="0047414B" w:rsidRDefault="002E4936" w:rsidP="002E4936">
      <w:pPr>
        <w:pStyle w:val="ParaNumbering"/>
      </w:pPr>
      <w:r w:rsidRPr="0047414B">
        <w:t xml:space="preserve">There was no dispute that the appellant had disposed of his interest in the Partnership goodwill for CGT purposes.  Clause 25 provided for the appellant to be entitled to receive an amount for </w:t>
      </w:r>
      <w:r w:rsidRPr="0047414B">
        <w:lastRenderedPageBreak/>
        <w:t>that interest in the goodwill and for the agreed basis on which the value of that goodwill was to be determined.</w:t>
      </w:r>
    </w:p>
    <w:p w14:paraId="593E4DF9" w14:textId="3CCB6130" w:rsidR="00BB3F19" w:rsidRPr="0047414B" w:rsidRDefault="0006207A" w:rsidP="005B18EB">
      <w:pPr>
        <w:pStyle w:val="ParaNumbering"/>
      </w:pPr>
      <w:r w:rsidRPr="0047414B">
        <w:t>It was agreed</w:t>
      </w:r>
      <w:r w:rsidR="001F351C" w:rsidRPr="0047414B">
        <w:t xml:space="preserve"> that the time of the CGT event was upon entry into of the Retirement Deed.  </w:t>
      </w:r>
      <w:r w:rsidR="001351D1" w:rsidRPr="0047414B">
        <w:t xml:space="preserve">The High Court in </w:t>
      </w:r>
      <w:r w:rsidR="001351D1" w:rsidRPr="0047414B">
        <w:rPr>
          <w:i/>
        </w:rPr>
        <w:t xml:space="preserve">Sara Lee </w:t>
      </w:r>
      <w:r w:rsidR="002F5091" w:rsidRPr="0047414B">
        <w:t>a</w:t>
      </w:r>
      <w:r w:rsidR="00283C5B" w:rsidRPr="0047414B">
        <w:t>t [49</w:t>
      </w:r>
      <w:r w:rsidR="002F5091" w:rsidRPr="0047414B">
        <w:t xml:space="preserve">] </w:t>
      </w:r>
      <w:r w:rsidR="001351D1" w:rsidRPr="0047414B">
        <w:t>held that the relevant contract for the purposes of determin</w:t>
      </w:r>
      <w:r w:rsidR="00DD4049" w:rsidRPr="0047414B">
        <w:t>in</w:t>
      </w:r>
      <w:r w:rsidR="001351D1" w:rsidRPr="0047414B">
        <w:t xml:space="preserve">g the timing of a disposal was that contract which was the source of the taxpayer’s obligation to dispose of the asset.  </w:t>
      </w:r>
      <w:r w:rsidRPr="0047414B">
        <w:t>Th</w:t>
      </w:r>
      <w:r w:rsidR="001351D1" w:rsidRPr="0047414B">
        <w:t xml:space="preserve">e context in the present case is a disposal which occurs as a matter of law upon the retirement of a partner.  It is the retirement of a partner which brings the existing partnership to an end and which results in the </w:t>
      </w:r>
      <w:r w:rsidRPr="0047414B">
        <w:t>remaining</w:t>
      </w:r>
      <w:r w:rsidR="001351D1" w:rsidRPr="0047414B">
        <w:t xml:space="preserve"> partners </w:t>
      </w:r>
      <w:r w:rsidRPr="0047414B">
        <w:t>being</w:t>
      </w:r>
      <w:r w:rsidR="001351D1" w:rsidRPr="0047414B">
        <w:t xml:space="preserve"> taken to have acquired the leaving partner’s interest in each of the assets of the partnership.  </w:t>
      </w:r>
      <w:r w:rsidRPr="0047414B">
        <w:t xml:space="preserve">The obligation of the partners to account to the retiring partner was reflected in equitable principles and did not find its source in contract: </w:t>
      </w:r>
      <w:r w:rsidR="00B44920" w:rsidRPr="0047414B">
        <w:rPr>
          <w:i/>
        </w:rPr>
        <w:t>Commissioner o</w:t>
      </w:r>
      <w:r w:rsidR="00283C5B" w:rsidRPr="0047414B">
        <w:rPr>
          <w:i/>
        </w:rPr>
        <w:t xml:space="preserve">f State Taxation v Cyril </w:t>
      </w:r>
      <w:proofErr w:type="spellStart"/>
      <w:r w:rsidR="00283C5B" w:rsidRPr="0047414B">
        <w:rPr>
          <w:i/>
        </w:rPr>
        <w:t>Henschke</w:t>
      </w:r>
      <w:proofErr w:type="spellEnd"/>
      <w:r w:rsidR="00283C5B" w:rsidRPr="0047414B">
        <w:rPr>
          <w:i/>
        </w:rPr>
        <w:t xml:space="preserve"> Pty Ltd &amp; </w:t>
      </w:r>
      <w:proofErr w:type="spellStart"/>
      <w:r w:rsidR="00283C5B" w:rsidRPr="0047414B">
        <w:rPr>
          <w:i/>
        </w:rPr>
        <w:t>Ors</w:t>
      </w:r>
      <w:proofErr w:type="spellEnd"/>
      <w:r w:rsidR="00283C5B" w:rsidRPr="0047414B">
        <w:t xml:space="preserve"> [2010] HCA 43; (2010) 242 CLR 508</w:t>
      </w:r>
      <w:r w:rsidR="00283C5B" w:rsidRPr="0047414B" w:rsidDel="00283C5B">
        <w:rPr>
          <w:i/>
        </w:rPr>
        <w:t xml:space="preserve"> </w:t>
      </w:r>
      <w:r w:rsidRPr="0047414B">
        <w:t xml:space="preserve">at [22].  </w:t>
      </w:r>
      <w:r w:rsidR="001351D1" w:rsidRPr="0047414B">
        <w:t xml:space="preserve">The </w:t>
      </w:r>
      <w:r w:rsidR="00BB3F19" w:rsidRPr="0047414B">
        <w:t xml:space="preserve">parties proceeded on the basis that the </w:t>
      </w:r>
      <w:r w:rsidR="001351D1" w:rsidRPr="0047414B">
        <w:t>contract for the disposal is in this context the contract for the retirement of the leaving partner</w:t>
      </w:r>
      <w:r w:rsidR="00BB3F19" w:rsidRPr="0047414B">
        <w:t xml:space="preserve"> which in </w:t>
      </w:r>
      <w:r w:rsidRPr="0047414B">
        <w:t>the present case was th</w:t>
      </w:r>
      <w:r w:rsidR="00AE3B8D" w:rsidRPr="0047414B">
        <w:t>e</w:t>
      </w:r>
      <w:r w:rsidRPr="0047414B">
        <w:t xml:space="preserve"> deed that </w:t>
      </w:r>
      <w:r w:rsidR="001351D1" w:rsidRPr="0047414B">
        <w:t xml:space="preserve">set the </w:t>
      </w:r>
      <w:r w:rsidRPr="0047414B">
        <w:t xml:space="preserve">agreed </w:t>
      </w:r>
      <w:r w:rsidR="001351D1" w:rsidRPr="0047414B">
        <w:t xml:space="preserve">departure date of the appellant from the partnership.  </w:t>
      </w:r>
    </w:p>
    <w:p w14:paraId="6FC859DB" w14:textId="77777777" w:rsidR="00E753EC" w:rsidRPr="0047414B" w:rsidRDefault="009A1543" w:rsidP="00BD7AD4">
      <w:pPr>
        <w:pStyle w:val="Heading1"/>
      </w:pPr>
      <w:r w:rsidRPr="0047414B">
        <w:t>Disposition</w:t>
      </w:r>
    </w:p>
    <w:p w14:paraId="742C1154" w14:textId="1865A194" w:rsidR="009A1543" w:rsidRDefault="00655BC4" w:rsidP="00E753EC">
      <w:pPr>
        <w:pStyle w:val="ParaNumbering"/>
      </w:pPr>
      <w:r w:rsidRPr="0047414B">
        <w:t>The appeal is to be dismissed with costs.</w:t>
      </w:r>
    </w:p>
    <w:tbl>
      <w:tblPr>
        <w:tblW w:w="0" w:type="auto"/>
        <w:tblLook w:val="04A0" w:firstRow="1" w:lastRow="0" w:firstColumn="1" w:lastColumn="0" w:noHBand="0" w:noVBand="1"/>
      </w:tblPr>
      <w:tblGrid>
        <w:gridCol w:w="3794"/>
      </w:tblGrid>
      <w:tr w:rsidR="009D336F" w:rsidRPr="00E536B5" w14:paraId="503A09AC" w14:textId="77777777" w:rsidTr="00833B6E">
        <w:tc>
          <w:tcPr>
            <w:tcW w:w="3794" w:type="dxa"/>
            <w:shd w:val="clear" w:color="auto" w:fill="auto"/>
          </w:tcPr>
          <w:p w14:paraId="14E5D571" w14:textId="652A000B" w:rsidR="009D336F" w:rsidRPr="00E536B5" w:rsidRDefault="009D336F" w:rsidP="00DF7053">
            <w:pPr>
              <w:pStyle w:val="Normal1linespace"/>
            </w:pPr>
            <w:r w:rsidRPr="00E536B5">
              <w:t xml:space="preserve">I certify that the preceding </w:t>
            </w:r>
            <w:bookmarkStart w:id="20" w:name="NumberWord"/>
            <w:r>
              <w:t>forty-thre</w:t>
            </w:r>
            <w:bookmarkEnd w:id="20"/>
            <w:r w:rsidR="00DF7053">
              <w:t xml:space="preserve">e </w:t>
            </w:r>
            <w:bookmarkStart w:id="21" w:name="_GoBack"/>
            <w:bookmarkEnd w:id="21"/>
            <w:r w:rsidR="00DF7053" w:rsidRPr="00A30F01">
              <w:t>(</w:t>
            </w:r>
            <w:r w:rsidR="00DF7053">
              <w:t>43</w:t>
            </w:r>
            <w:r w:rsidR="00DF7053" w:rsidRPr="00A30F01">
              <w:t>)</w:t>
            </w:r>
            <w:r w:rsidRPr="00E536B5">
              <w:t xml:space="preserve"> numbered </w:t>
            </w:r>
            <w:bookmarkStart w:id="22" w:name="CertPara"/>
            <w:r>
              <w:t>paragraphs are</w:t>
            </w:r>
            <w:bookmarkEnd w:id="22"/>
            <w:r w:rsidRPr="00E536B5">
              <w:t xml:space="preserve"> a true copy of the Reasons for Judgment of </w:t>
            </w:r>
            <w:bookmarkStart w:id="23" w:name="bkHonourable"/>
            <w:r w:rsidRPr="00E536B5">
              <w:t xml:space="preserve">the Honourable </w:t>
            </w:r>
            <w:bookmarkStart w:id="24" w:name="Justice"/>
            <w:bookmarkEnd w:id="23"/>
            <w:r>
              <w:t xml:space="preserve">Justices Logan, Goodman and Hespe. </w:t>
            </w:r>
            <w:bookmarkEnd w:id="24"/>
          </w:p>
        </w:tc>
      </w:tr>
    </w:tbl>
    <w:p w14:paraId="41204EDB" w14:textId="77777777" w:rsidR="009D336F" w:rsidRDefault="009D336F" w:rsidP="009D336F">
      <w:pPr>
        <w:pStyle w:val="BodyText"/>
      </w:pPr>
    </w:p>
    <w:p w14:paraId="6CD81C74" w14:textId="77777777" w:rsidR="009D336F" w:rsidRDefault="009D336F" w:rsidP="009D336F">
      <w:pPr>
        <w:pStyle w:val="BodyText"/>
      </w:pPr>
    </w:p>
    <w:p w14:paraId="39C87B03" w14:textId="31F9E341" w:rsidR="009D336F" w:rsidRDefault="009D336F" w:rsidP="009D336F">
      <w:pPr>
        <w:pStyle w:val="BodyText"/>
      </w:pPr>
      <w:r>
        <w:t>Associate:</w:t>
      </w:r>
      <w:r w:rsidR="00BC5CC8">
        <w:t xml:space="preserve"> </w:t>
      </w:r>
    </w:p>
    <w:p w14:paraId="5B23F915" w14:textId="77777777" w:rsidR="009D336F" w:rsidRDefault="009D336F" w:rsidP="009D336F">
      <w:pPr>
        <w:pStyle w:val="BodyText"/>
      </w:pPr>
    </w:p>
    <w:p w14:paraId="0E17700D" w14:textId="6F721AB0" w:rsidR="009D336F" w:rsidRDefault="009D336F" w:rsidP="009D336F">
      <w:pPr>
        <w:pStyle w:val="BodyText"/>
        <w:tabs>
          <w:tab w:val="left" w:pos="1134"/>
        </w:tabs>
      </w:pPr>
      <w:r>
        <w:t>Dated:</w:t>
      </w:r>
      <w:r>
        <w:tab/>
      </w:r>
      <w:bookmarkStart w:id="25" w:name="CertifyDated"/>
      <w:r>
        <w:t>12 July 2023</w:t>
      </w:r>
      <w:bookmarkEnd w:id="25"/>
    </w:p>
    <w:p w14:paraId="0DF46570" w14:textId="68BC7303" w:rsidR="009D336F" w:rsidRDefault="009D336F" w:rsidP="009D336F">
      <w:pPr>
        <w:pStyle w:val="ParaNumbering"/>
        <w:numPr>
          <w:ilvl w:val="0"/>
          <w:numId w:val="0"/>
        </w:numPr>
      </w:pPr>
    </w:p>
    <w:p w14:paraId="7F661F67" w14:textId="77777777" w:rsidR="009D336F" w:rsidRPr="0047414B" w:rsidRDefault="009D336F" w:rsidP="009D336F">
      <w:pPr>
        <w:pStyle w:val="ParaNumbering"/>
        <w:numPr>
          <w:ilvl w:val="0"/>
          <w:numId w:val="0"/>
        </w:numPr>
      </w:pPr>
    </w:p>
    <w:sectPr w:rsidR="009D336F" w:rsidRPr="0047414B" w:rsidSect="00A84FD0">
      <w:headerReference w:type="even" r:id="rId23"/>
      <w:headerReference w:type="default"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FABD" w14:textId="77777777" w:rsidR="007405BC" w:rsidRDefault="007405BC">
      <w:pPr>
        <w:spacing w:line="20" w:lineRule="exact"/>
      </w:pPr>
    </w:p>
    <w:p w14:paraId="7DA3FDE5" w14:textId="77777777" w:rsidR="007405BC" w:rsidRDefault="007405BC"/>
    <w:p w14:paraId="17504736" w14:textId="77777777" w:rsidR="007405BC" w:rsidRDefault="007405BC"/>
  </w:endnote>
  <w:endnote w:type="continuationSeparator" w:id="0">
    <w:p w14:paraId="12587239" w14:textId="77777777" w:rsidR="007405BC" w:rsidRDefault="007405BC">
      <w:r>
        <w:t xml:space="preserve"> </w:t>
      </w:r>
    </w:p>
    <w:p w14:paraId="6622AE2D" w14:textId="77777777" w:rsidR="007405BC" w:rsidRDefault="007405BC"/>
    <w:p w14:paraId="5B80DA66" w14:textId="77777777" w:rsidR="007405BC" w:rsidRDefault="007405BC"/>
  </w:endnote>
  <w:endnote w:type="continuationNotice" w:id="1">
    <w:p w14:paraId="42D54CBD" w14:textId="77777777" w:rsidR="007405BC" w:rsidRDefault="007405BC">
      <w:r>
        <w:t xml:space="preserve"> </w:t>
      </w:r>
    </w:p>
    <w:p w14:paraId="0BEDD398" w14:textId="77777777" w:rsidR="007405BC" w:rsidRDefault="007405BC"/>
    <w:p w14:paraId="3DDB1508" w14:textId="77777777" w:rsidR="007405BC" w:rsidRDefault="00740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FAEE" w14:textId="77777777" w:rsidR="000C3B41" w:rsidRDefault="000C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841D" w14:textId="37465707" w:rsidR="007405BC" w:rsidRPr="00C47B9D" w:rsidRDefault="007405B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49536" behindDoc="0" locked="0" layoutInCell="1" allowOverlap="1" wp14:anchorId="5B40DE45" wp14:editId="629BE06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867F8"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74E40">
          <w:rPr>
            <w:bCs/>
            <w:sz w:val="18"/>
            <w:szCs w:val="18"/>
          </w:rPr>
          <w:t xml:space="preserve">Hedges v Commissioner of Taxation [2023] FCAFC 105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C13E" w14:textId="2DAF843A" w:rsidR="007405BC" w:rsidRPr="000C3B41" w:rsidRDefault="007405BC" w:rsidP="000C3B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9967" w14:textId="3D5F7729" w:rsidR="007405BC" w:rsidRPr="00C47B9D" w:rsidRDefault="007405B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10FD6388" wp14:editId="63E0192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2F913"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53EF41A259144CDA06CB7718609A400"/>
        </w:placeholder>
        <w:dataBinding w:prefixMappings="xmlns:ns0='http://schemas.globalmacros.com/FCA'" w:xpath="/ns0:root[1]/ns0:Name[1]" w:storeItemID="{687E7CCB-4AA5-44E7-B148-17BA2B6F57C0}"/>
        <w:text w:multiLine="1"/>
      </w:sdtPr>
      <w:sdtEndPr/>
      <w:sdtContent>
        <w:r w:rsidR="00674E40">
          <w:rPr>
            <w:bCs/>
            <w:sz w:val="18"/>
            <w:szCs w:val="18"/>
          </w:rPr>
          <w:t xml:space="preserve">Hedges v Commissioner of Taxation [2023] FCAFC 105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DAEC" w14:textId="0395BAD9" w:rsidR="007405BC" w:rsidRPr="00C47B9D" w:rsidRDefault="007405B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0560" behindDoc="0" locked="0" layoutInCell="1" allowOverlap="1" wp14:anchorId="273177E2" wp14:editId="2FD0F1F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5A1C9" id="Straight Connector 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7B972A7BF76047B1B202FBD2E0140D52"/>
        </w:placeholder>
        <w:dataBinding w:prefixMappings="xmlns:ns0='http://schemas.globalmacros.com/FCA'" w:xpath="/ns0:root[1]/ns0:Name[1]" w:storeItemID="{687E7CCB-4AA5-44E7-B148-17BA2B6F57C0}"/>
        <w:text w:multiLine="1"/>
      </w:sdtPr>
      <w:sdtEndPr/>
      <w:sdtContent>
        <w:r w:rsidR="00674E40">
          <w:rPr>
            <w:bCs/>
            <w:sz w:val="18"/>
            <w:szCs w:val="18"/>
          </w:rPr>
          <w:t xml:space="preserve">Hedges v Commissioner of Taxation [2023] FCAFC 105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F7053">
      <w:rPr>
        <w:bCs/>
        <w:noProof/>
        <w:sz w:val="20"/>
      </w:rPr>
      <w:t>i</w:t>
    </w:r>
    <w:r w:rsidRPr="00EA7F6D">
      <w:rPr>
        <w:bCs/>
        <w:noProof/>
        <w:sz w:val="20"/>
      </w:rPr>
      <w:fldChar w:fldCharType="end"/>
    </w:r>
  </w:p>
  <w:p w14:paraId="6C3D78DB" w14:textId="237C9D5F" w:rsidR="007405BC" w:rsidRPr="00A436E8" w:rsidRDefault="007405BC" w:rsidP="00A436E8">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75B8" w14:textId="2979873E" w:rsidR="007405BC" w:rsidRPr="00C47B9D" w:rsidRDefault="007405B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920" behindDoc="0" locked="0" layoutInCell="1" allowOverlap="1" wp14:anchorId="2B2594FE" wp14:editId="5BD1970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E712D" id="Straight Connector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E2F2100CAA54755BE416E88773A43DB"/>
        </w:placeholder>
        <w:dataBinding w:prefixMappings="xmlns:ns0='http://schemas.globalmacros.com/FCA'" w:xpath="/ns0:root[1]/ns0:Name[1]" w:storeItemID="{687E7CCB-4AA5-44E7-B148-17BA2B6F57C0}"/>
        <w:text w:multiLine="1"/>
      </w:sdtPr>
      <w:sdtEndPr/>
      <w:sdtContent>
        <w:r w:rsidR="00674E40">
          <w:rPr>
            <w:bCs/>
            <w:sz w:val="18"/>
            <w:szCs w:val="18"/>
          </w:rPr>
          <w:t xml:space="preserve">Hedges v Commissioner of Taxation [2023] FCAFC 105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F7053">
      <w:rPr>
        <w:bCs/>
        <w:noProof/>
        <w:sz w:val="20"/>
      </w:rPr>
      <w:t>15</w:t>
    </w:r>
    <w:r w:rsidRPr="00EA7F6D">
      <w:rPr>
        <w:bCs/>
        <w:noProof/>
        <w:sz w:val="20"/>
      </w:rPr>
      <w:fldChar w:fldCharType="end"/>
    </w:r>
  </w:p>
  <w:p w14:paraId="529EEF7B" w14:textId="1C802F9C" w:rsidR="007405BC" w:rsidRPr="00A84FD0" w:rsidRDefault="007405BC" w:rsidP="00A84FD0">
    <w:pPr>
      <w:pStyle w:val="Footer"/>
      <w:jc w:val="center"/>
      <w:rPr>
        <w:sz w:val="2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F46D" w14:textId="0939335A" w:rsidR="007405BC" w:rsidRPr="00C47B9D" w:rsidRDefault="007405B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4896" behindDoc="0" locked="0" layoutInCell="1" allowOverlap="1" wp14:anchorId="129C080B" wp14:editId="06ED445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16293"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50AA9CE61DF94006807899053713437D"/>
        </w:placeholder>
        <w:dataBinding w:prefixMappings="xmlns:ns0='http://schemas.globalmacros.com/FCA'" w:xpath="/ns0:root[1]/ns0:Name[1]" w:storeItemID="{687E7CCB-4AA5-44E7-B148-17BA2B6F57C0}"/>
        <w:text w:multiLine="1"/>
      </w:sdtPr>
      <w:sdtEndPr/>
      <w:sdtContent>
        <w:r w:rsidR="00674E40">
          <w:rPr>
            <w:bCs/>
            <w:sz w:val="18"/>
            <w:szCs w:val="18"/>
          </w:rPr>
          <w:t xml:space="preserve">Hedges v Commissioner of Taxation [2023] FCAFC 105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F7053">
      <w:rPr>
        <w:bCs/>
        <w:noProof/>
        <w:sz w:val="20"/>
      </w:rPr>
      <w:t>1</w:t>
    </w:r>
    <w:r w:rsidRPr="00EA7F6D">
      <w:rPr>
        <w:bCs/>
        <w:noProof/>
        <w:sz w:val="20"/>
      </w:rPr>
      <w:fldChar w:fldCharType="end"/>
    </w:r>
  </w:p>
  <w:p w14:paraId="5692C9C5" w14:textId="3511BFA7" w:rsidR="007405BC" w:rsidRPr="00A84FD0" w:rsidRDefault="007405BC"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8A08" w14:textId="77777777" w:rsidR="007405BC" w:rsidRDefault="007405BC"/>
  </w:footnote>
  <w:footnote w:type="continuationSeparator" w:id="0">
    <w:p w14:paraId="1A07BD7C" w14:textId="77777777" w:rsidR="007405BC" w:rsidRDefault="007405BC">
      <w:r>
        <w:continuationSeparator/>
      </w:r>
    </w:p>
    <w:p w14:paraId="35FCFA37" w14:textId="77777777" w:rsidR="007405BC" w:rsidRDefault="007405BC"/>
    <w:p w14:paraId="4517E45A" w14:textId="77777777" w:rsidR="007405BC" w:rsidRDefault="007405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AB17" w14:textId="77777777" w:rsidR="000C3B41" w:rsidRDefault="000C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DBC9" w14:textId="77777777" w:rsidR="000C3B41" w:rsidRDefault="000C3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68F7" w14:textId="77777777" w:rsidR="000C3B41" w:rsidRDefault="000C3B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FF1B" w14:textId="77777777" w:rsidR="007405BC" w:rsidRDefault="007405B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398E" w14:textId="77777777" w:rsidR="007405BC" w:rsidRDefault="007405BC">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5A23" w14:textId="77777777" w:rsidR="007405BC" w:rsidRDefault="007405B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A17C5" w14:textId="77777777" w:rsidR="007405BC" w:rsidRDefault="007405BC">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4BA7" w14:textId="77777777" w:rsidR="007405BC" w:rsidRDefault="007405BC"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0087C51"/>
    <w:multiLevelType w:val="hybridMultilevel"/>
    <w:tmpl w:val="30C0B930"/>
    <w:lvl w:ilvl="0" w:tplc="D7CAF878">
      <w:start w:val="1"/>
      <w:numFmt w:val="decimal"/>
      <w:lvlText w:val="%1."/>
      <w:lvlJc w:val="left"/>
      <w:pPr>
        <w:ind w:left="1445" w:hanging="708"/>
      </w:pPr>
      <w:rPr>
        <w:rFonts w:ascii="Times New Roman" w:eastAsia="Batang"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6CD7A60"/>
    <w:multiLevelType w:val="hybridMultilevel"/>
    <w:tmpl w:val="F3164D26"/>
    <w:lvl w:ilvl="0" w:tplc="24F66F2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3"/>
  </w:num>
  <w:num w:numId="17">
    <w:abstractNumId w:val="25"/>
  </w:num>
  <w:num w:numId="18">
    <w:abstractNumId w:val="11"/>
  </w:num>
  <w:num w:numId="19">
    <w:abstractNumId w:val="19"/>
  </w:num>
  <w:num w:numId="20">
    <w:abstractNumId w:val="16"/>
  </w:num>
  <w:num w:numId="21">
    <w:abstractNumId w:val="17"/>
  </w:num>
  <w:num w:numId="22">
    <w:abstractNumId w:val="21"/>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14"/>
  </w:num>
  <w:num w:numId="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Hedges v Commissioner of Taxation [2022] FCA 1389"/>
    <w:docVar w:name="Appellant" w:val="Brent Hedges"/>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94 of 2022"/>
    <w:docVar w:name="Initiators" w:val="(and another named in the Schedule)"/>
    <w:docVar w:name="Judgdate" w:val="##"/>
    <w:docVar w:name="Judge" w:val="Logan, Goodman, Hespe"/>
    <w:docVar w:name="JudgeType" w:val="Justices"/>
    <w:docVar w:name="NSD" w:val="NSD "/>
    <w:docVar w:name="NumApps"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mmissioner of Taxation"/>
    <w:docVar w:name="ResState" w:val="New South Wales"/>
    <w:docVar w:name="SubArea" w:val="(none)"/>
  </w:docVars>
  <w:rsids>
    <w:rsidRoot w:val="00FC5367"/>
    <w:rsid w:val="00000747"/>
    <w:rsid w:val="000048F8"/>
    <w:rsid w:val="000055EC"/>
    <w:rsid w:val="000115C5"/>
    <w:rsid w:val="00012A4F"/>
    <w:rsid w:val="0001469E"/>
    <w:rsid w:val="00015993"/>
    <w:rsid w:val="00021CCB"/>
    <w:rsid w:val="00022289"/>
    <w:rsid w:val="000237E9"/>
    <w:rsid w:val="00024263"/>
    <w:rsid w:val="00025B91"/>
    <w:rsid w:val="00027398"/>
    <w:rsid w:val="0003201A"/>
    <w:rsid w:val="0003207A"/>
    <w:rsid w:val="00032F9F"/>
    <w:rsid w:val="000366C2"/>
    <w:rsid w:val="0004051A"/>
    <w:rsid w:val="00041C07"/>
    <w:rsid w:val="00045BB7"/>
    <w:rsid w:val="00047D99"/>
    <w:rsid w:val="00053509"/>
    <w:rsid w:val="00054D1F"/>
    <w:rsid w:val="00055719"/>
    <w:rsid w:val="0005641B"/>
    <w:rsid w:val="00056615"/>
    <w:rsid w:val="00056616"/>
    <w:rsid w:val="0006196A"/>
    <w:rsid w:val="0006207A"/>
    <w:rsid w:val="000650F0"/>
    <w:rsid w:val="000679F3"/>
    <w:rsid w:val="00071FB3"/>
    <w:rsid w:val="0007441C"/>
    <w:rsid w:val="00077768"/>
    <w:rsid w:val="0008050B"/>
    <w:rsid w:val="00081497"/>
    <w:rsid w:val="000831EC"/>
    <w:rsid w:val="00084126"/>
    <w:rsid w:val="00085255"/>
    <w:rsid w:val="000861F6"/>
    <w:rsid w:val="0009210C"/>
    <w:rsid w:val="00094918"/>
    <w:rsid w:val="000A2E76"/>
    <w:rsid w:val="000A4807"/>
    <w:rsid w:val="000A4BE4"/>
    <w:rsid w:val="000B0CFC"/>
    <w:rsid w:val="000C023E"/>
    <w:rsid w:val="000C0FF5"/>
    <w:rsid w:val="000C1AF4"/>
    <w:rsid w:val="000C3B41"/>
    <w:rsid w:val="000C405D"/>
    <w:rsid w:val="000C5195"/>
    <w:rsid w:val="000C62EF"/>
    <w:rsid w:val="000D2137"/>
    <w:rsid w:val="000D3FD2"/>
    <w:rsid w:val="000D4B2E"/>
    <w:rsid w:val="000E0893"/>
    <w:rsid w:val="000E3FC8"/>
    <w:rsid w:val="000E476A"/>
    <w:rsid w:val="000E7BAE"/>
    <w:rsid w:val="000F133D"/>
    <w:rsid w:val="0010091D"/>
    <w:rsid w:val="0010536B"/>
    <w:rsid w:val="0011145C"/>
    <w:rsid w:val="001128BD"/>
    <w:rsid w:val="0011419D"/>
    <w:rsid w:val="00114B02"/>
    <w:rsid w:val="00116802"/>
    <w:rsid w:val="001226C0"/>
    <w:rsid w:val="00126EC8"/>
    <w:rsid w:val="0012731C"/>
    <w:rsid w:val="00132054"/>
    <w:rsid w:val="00134964"/>
    <w:rsid w:val="001351B9"/>
    <w:rsid w:val="001351D1"/>
    <w:rsid w:val="001457EA"/>
    <w:rsid w:val="00145A2B"/>
    <w:rsid w:val="00152181"/>
    <w:rsid w:val="00152700"/>
    <w:rsid w:val="001541AC"/>
    <w:rsid w:val="00155CD2"/>
    <w:rsid w:val="0016296B"/>
    <w:rsid w:val="0016448B"/>
    <w:rsid w:val="001727A4"/>
    <w:rsid w:val="001736B9"/>
    <w:rsid w:val="0017376C"/>
    <w:rsid w:val="001738AB"/>
    <w:rsid w:val="00173B78"/>
    <w:rsid w:val="001765E0"/>
    <w:rsid w:val="00177759"/>
    <w:rsid w:val="00180BB3"/>
    <w:rsid w:val="001839BC"/>
    <w:rsid w:val="00185DD6"/>
    <w:rsid w:val="00185E6B"/>
    <w:rsid w:val="00187BBC"/>
    <w:rsid w:val="001932F3"/>
    <w:rsid w:val="001A2B40"/>
    <w:rsid w:val="001A4309"/>
    <w:rsid w:val="001A46AE"/>
    <w:rsid w:val="001A6C52"/>
    <w:rsid w:val="001B1053"/>
    <w:rsid w:val="001B14AC"/>
    <w:rsid w:val="001B6BCC"/>
    <w:rsid w:val="001B7940"/>
    <w:rsid w:val="001B7C46"/>
    <w:rsid w:val="001C171A"/>
    <w:rsid w:val="001C2FE0"/>
    <w:rsid w:val="001C37CA"/>
    <w:rsid w:val="001C38F5"/>
    <w:rsid w:val="001C4085"/>
    <w:rsid w:val="001D0CD1"/>
    <w:rsid w:val="001D382D"/>
    <w:rsid w:val="001D4303"/>
    <w:rsid w:val="001D5E60"/>
    <w:rsid w:val="001D6746"/>
    <w:rsid w:val="001E0C61"/>
    <w:rsid w:val="001E3B49"/>
    <w:rsid w:val="001E4A05"/>
    <w:rsid w:val="001E6A19"/>
    <w:rsid w:val="001E7388"/>
    <w:rsid w:val="001F13DD"/>
    <w:rsid w:val="001F2473"/>
    <w:rsid w:val="001F2DBC"/>
    <w:rsid w:val="001F351C"/>
    <w:rsid w:val="001F4C67"/>
    <w:rsid w:val="001F6D69"/>
    <w:rsid w:val="001F6FE1"/>
    <w:rsid w:val="001F73E8"/>
    <w:rsid w:val="0020262C"/>
    <w:rsid w:val="002026A0"/>
    <w:rsid w:val="00202723"/>
    <w:rsid w:val="00211A3E"/>
    <w:rsid w:val="0021239C"/>
    <w:rsid w:val="00213269"/>
    <w:rsid w:val="00213F20"/>
    <w:rsid w:val="00214055"/>
    <w:rsid w:val="00215AFC"/>
    <w:rsid w:val="00215BCA"/>
    <w:rsid w:val="00215EDB"/>
    <w:rsid w:val="002160F5"/>
    <w:rsid w:val="00217AC4"/>
    <w:rsid w:val="00221461"/>
    <w:rsid w:val="00224537"/>
    <w:rsid w:val="00230B10"/>
    <w:rsid w:val="00231CA9"/>
    <w:rsid w:val="00235956"/>
    <w:rsid w:val="00237081"/>
    <w:rsid w:val="00242DFA"/>
    <w:rsid w:val="00243E5E"/>
    <w:rsid w:val="00244EC7"/>
    <w:rsid w:val="002467A6"/>
    <w:rsid w:val="00247C9A"/>
    <w:rsid w:val="0025160C"/>
    <w:rsid w:val="002535D0"/>
    <w:rsid w:val="002539B3"/>
    <w:rsid w:val="0025402D"/>
    <w:rsid w:val="00256336"/>
    <w:rsid w:val="00257C3E"/>
    <w:rsid w:val="002602C2"/>
    <w:rsid w:val="002666C9"/>
    <w:rsid w:val="00270136"/>
    <w:rsid w:val="00270FD7"/>
    <w:rsid w:val="00274F5B"/>
    <w:rsid w:val="00275DD1"/>
    <w:rsid w:val="00276454"/>
    <w:rsid w:val="00280836"/>
    <w:rsid w:val="00282E1A"/>
    <w:rsid w:val="00283C5B"/>
    <w:rsid w:val="002840F1"/>
    <w:rsid w:val="00285922"/>
    <w:rsid w:val="0029113B"/>
    <w:rsid w:val="002917E6"/>
    <w:rsid w:val="002934C0"/>
    <w:rsid w:val="00293E1F"/>
    <w:rsid w:val="00294E9B"/>
    <w:rsid w:val="0029764C"/>
    <w:rsid w:val="002A1B50"/>
    <w:rsid w:val="002B0556"/>
    <w:rsid w:val="002B0E91"/>
    <w:rsid w:val="002B132C"/>
    <w:rsid w:val="002B3F23"/>
    <w:rsid w:val="002B4EB5"/>
    <w:rsid w:val="002B5AF5"/>
    <w:rsid w:val="002B6779"/>
    <w:rsid w:val="002B71C0"/>
    <w:rsid w:val="002B7A34"/>
    <w:rsid w:val="002C31AD"/>
    <w:rsid w:val="002C7385"/>
    <w:rsid w:val="002D2DBB"/>
    <w:rsid w:val="002D37D8"/>
    <w:rsid w:val="002D54A6"/>
    <w:rsid w:val="002D623E"/>
    <w:rsid w:val="002D6615"/>
    <w:rsid w:val="002E0837"/>
    <w:rsid w:val="002E3779"/>
    <w:rsid w:val="002E4936"/>
    <w:rsid w:val="002E5BF9"/>
    <w:rsid w:val="002E6A7A"/>
    <w:rsid w:val="002F047C"/>
    <w:rsid w:val="002F1E49"/>
    <w:rsid w:val="002F4E9C"/>
    <w:rsid w:val="002F5091"/>
    <w:rsid w:val="002F6E15"/>
    <w:rsid w:val="00302F4E"/>
    <w:rsid w:val="0031256C"/>
    <w:rsid w:val="003132C6"/>
    <w:rsid w:val="00314D6C"/>
    <w:rsid w:val="00316D2A"/>
    <w:rsid w:val="00322A7C"/>
    <w:rsid w:val="00322EEC"/>
    <w:rsid w:val="00323061"/>
    <w:rsid w:val="00326E38"/>
    <w:rsid w:val="0033049A"/>
    <w:rsid w:val="003316A5"/>
    <w:rsid w:val="00336756"/>
    <w:rsid w:val="0033745A"/>
    <w:rsid w:val="003402D3"/>
    <w:rsid w:val="00340535"/>
    <w:rsid w:val="0034068E"/>
    <w:rsid w:val="00340E81"/>
    <w:rsid w:val="00343ABC"/>
    <w:rsid w:val="003463FE"/>
    <w:rsid w:val="003471CE"/>
    <w:rsid w:val="003472FC"/>
    <w:rsid w:val="00347D41"/>
    <w:rsid w:val="00347E86"/>
    <w:rsid w:val="003554B3"/>
    <w:rsid w:val="00356632"/>
    <w:rsid w:val="00357C7E"/>
    <w:rsid w:val="0036089F"/>
    <w:rsid w:val="003646F9"/>
    <w:rsid w:val="003653B6"/>
    <w:rsid w:val="0036726C"/>
    <w:rsid w:val="00370327"/>
    <w:rsid w:val="00374CC4"/>
    <w:rsid w:val="003774B2"/>
    <w:rsid w:val="00380F2D"/>
    <w:rsid w:val="0038220F"/>
    <w:rsid w:val="003845A9"/>
    <w:rsid w:val="003850C9"/>
    <w:rsid w:val="00390883"/>
    <w:rsid w:val="00392110"/>
    <w:rsid w:val="003922F8"/>
    <w:rsid w:val="003939DD"/>
    <w:rsid w:val="00395B24"/>
    <w:rsid w:val="00397381"/>
    <w:rsid w:val="003A2D38"/>
    <w:rsid w:val="003A537D"/>
    <w:rsid w:val="003A7ECC"/>
    <w:rsid w:val="003B2C72"/>
    <w:rsid w:val="003B58B4"/>
    <w:rsid w:val="003C1333"/>
    <w:rsid w:val="003C20FF"/>
    <w:rsid w:val="003C550A"/>
    <w:rsid w:val="003C6055"/>
    <w:rsid w:val="003D2650"/>
    <w:rsid w:val="003D45AB"/>
    <w:rsid w:val="003D4D40"/>
    <w:rsid w:val="003D560C"/>
    <w:rsid w:val="003D5C00"/>
    <w:rsid w:val="003D74BB"/>
    <w:rsid w:val="003E3154"/>
    <w:rsid w:val="003E3FA3"/>
    <w:rsid w:val="003E5874"/>
    <w:rsid w:val="003E72D3"/>
    <w:rsid w:val="003F193E"/>
    <w:rsid w:val="003F242C"/>
    <w:rsid w:val="003F34F1"/>
    <w:rsid w:val="003F44D2"/>
    <w:rsid w:val="003F58CA"/>
    <w:rsid w:val="004031D8"/>
    <w:rsid w:val="004069C5"/>
    <w:rsid w:val="004104B6"/>
    <w:rsid w:val="00411AE8"/>
    <w:rsid w:val="00413B74"/>
    <w:rsid w:val="0041593C"/>
    <w:rsid w:val="00430F4B"/>
    <w:rsid w:val="004342F3"/>
    <w:rsid w:val="00435337"/>
    <w:rsid w:val="00435C5F"/>
    <w:rsid w:val="00436155"/>
    <w:rsid w:val="00436460"/>
    <w:rsid w:val="00441E98"/>
    <w:rsid w:val="0044250F"/>
    <w:rsid w:val="00447707"/>
    <w:rsid w:val="00450F3A"/>
    <w:rsid w:val="004532F7"/>
    <w:rsid w:val="00464D51"/>
    <w:rsid w:val="00470FED"/>
    <w:rsid w:val="00472027"/>
    <w:rsid w:val="00472EA8"/>
    <w:rsid w:val="0047414B"/>
    <w:rsid w:val="004804CF"/>
    <w:rsid w:val="00480A37"/>
    <w:rsid w:val="004814DD"/>
    <w:rsid w:val="00483314"/>
    <w:rsid w:val="00484962"/>
    <w:rsid w:val="00484F6D"/>
    <w:rsid w:val="00484FB7"/>
    <w:rsid w:val="0048554D"/>
    <w:rsid w:val="0049338A"/>
    <w:rsid w:val="0049417F"/>
    <w:rsid w:val="00496D2E"/>
    <w:rsid w:val="00496D41"/>
    <w:rsid w:val="004A6602"/>
    <w:rsid w:val="004B3EFA"/>
    <w:rsid w:val="004B70E3"/>
    <w:rsid w:val="004C2A87"/>
    <w:rsid w:val="004C39FB"/>
    <w:rsid w:val="004C4D7B"/>
    <w:rsid w:val="004C4ED3"/>
    <w:rsid w:val="004C667B"/>
    <w:rsid w:val="004C7ECD"/>
    <w:rsid w:val="004D2EA5"/>
    <w:rsid w:val="004D32A6"/>
    <w:rsid w:val="004D53E5"/>
    <w:rsid w:val="004D7950"/>
    <w:rsid w:val="004E6DC4"/>
    <w:rsid w:val="004F21C1"/>
    <w:rsid w:val="004F78FD"/>
    <w:rsid w:val="00501A12"/>
    <w:rsid w:val="0050309C"/>
    <w:rsid w:val="0051180F"/>
    <w:rsid w:val="0051327C"/>
    <w:rsid w:val="0051346D"/>
    <w:rsid w:val="00513EAE"/>
    <w:rsid w:val="0051434F"/>
    <w:rsid w:val="00516806"/>
    <w:rsid w:val="00520595"/>
    <w:rsid w:val="0052098C"/>
    <w:rsid w:val="00525A49"/>
    <w:rsid w:val="005262D1"/>
    <w:rsid w:val="00530876"/>
    <w:rsid w:val="00535613"/>
    <w:rsid w:val="005359EB"/>
    <w:rsid w:val="00541D5F"/>
    <w:rsid w:val="0054254A"/>
    <w:rsid w:val="0054338E"/>
    <w:rsid w:val="0054500B"/>
    <w:rsid w:val="005466B5"/>
    <w:rsid w:val="00554314"/>
    <w:rsid w:val="00555DCB"/>
    <w:rsid w:val="0055698A"/>
    <w:rsid w:val="00557549"/>
    <w:rsid w:val="00561428"/>
    <w:rsid w:val="00562829"/>
    <w:rsid w:val="005629B3"/>
    <w:rsid w:val="005656FC"/>
    <w:rsid w:val="0057128A"/>
    <w:rsid w:val="005724F6"/>
    <w:rsid w:val="00573AC4"/>
    <w:rsid w:val="005801FC"/>
    <w:rsid w:val="00582C6B"/>
    <w:rsid w:val="00585BA9"/>
    <w:rsid w:val="00587359"/>
    <w:rsid w:val="00595016"/>
    <w:rsid w:val="00597AAE"/>
    <w:rsid w:val="005A09B9"/>
    <w:rsid w:val="005A222C"/>
    <w:rsid w:val="005A2997"/>
    <w:rsid w:val="005A4DF8"/>
    <w:rsid w:val="005A78C8"/>
    <w:rsid w:val="005B1426"/>
    <w:rsid w:val="005B18EB"/>
    <w:rsid w:val="005B31D9"/>
    <w:rsid w:val="005B61E1"/>
    <w:rsid w:val="005B673F"/>
    <w:rsid w:val="005C0A8E"/>
    <w:rsid w:val="005C1767"/>
    <w:rsid w:val="005C185C"/>
    <w:rsid w:val="005C42EF"/>
    <w:rsid w:val="005E02F5"/>
    <w:rsid w:val="005E0510"/>
    <w:rsid w:val="005E176E"/>
    <w:rsid w:val="005E218E"/>
    <w:rsid w:val="005E35A0"/>
    <w:rsid w:val="005E4AEF"/>
    <w:rsid w:val="005F0D1B"/>
    <w:rsid w:val="005F1865"/>
    <w:rsid w:val="005F22D6"/>
    <w:rsid w:val="005F7992"/>
    <w:rsid w:val="006007BD"/>
    <w:rsid w:val="00600F58"/>
    <w:rsid w:val="006013C8"/>
    <w:rsid w:val="0060270D"/>
    <w:rsid w:val="00604342"/>
    <w:rsid w:val="00604611"/>
    <w:rsid w:val="00611586"/>
    <w:rsid w:val="00612D26"/>
    <w:rsid w:val="00615855"/>
    <w:rsid w:val="00620DA8"/>
    <w:rsid w:val="00621887"/>
    <w:rsid w:val="00624520"/>
    <w:rsid w:val="006246DB"/>
    <w:rsid w:val="00625D74"/>
    <w:rsid w:val="006271F5"/>
    <w:rsid w:val="006307F1"/>
    <w:rsid w:val="00632300"/>
    <w:rsid w:val="00632BB7"/>
    <w:rsid w:val="00635B36"/>
    <w:rsid w:val="00636871"/>
    <w:rsid w:val="00636981"/>
    <w:rsid w:val="00640EE1"/>
    <w:rsid w:val="00640F4E"/>
    <w:rsid w:val="00641B47"/>
    <w:rsid w:val="00643DE0"/>
    <w:rsid w:val="0064437D"/>
    <w:rsid w:val="00644E85"/>
    <w:rsid w:val="006505AE"/>
    <w:rsid w:val="006516D8"/>
    <w:rsid w:val="00652C52"/>
    <w:rsid w:val="00655BC4"/>
    <w:rsid w:val="0066063F"/>
    <w:rsid w:val="00662BB0"/>
    <w:rsid w:val="00663878"/>
    <w:rsid w:val="00665E1D"/>
    <w:rsid w:val="00667773"/>
    <w:rsid w:val="00670743"/>
    <w:rsid w:val="00674E40"/>
    <w:rsid w:val="00680A85"/>
    <w:rsid w:val="00680C88"/>
    <w:rsid w:val="00681ADF"/>
    <w:rsid w:val="00690EE2"/>
    <w:rsid w:val="00693854"/>
    <w:rsid w:val="00694BEB"/>
    <w:rsid w:val="006A0E20"/>
    <w:rsid w:val="006A24E3"/>
    <w:rsid w:val="006A5695"/>
    <w:rsid w:val="006B0439"/>
    <w:rsid w:val="006B3904"/>
    <w:rsid w:val="006B5B7D"/>
    <w:rsid w:val="006C5B46"/>
    <w:rsid w:val="006C6E39"/>
    <w:rsid w:val="006C7AC0"/>
    <w:rsid w:val="006C7D6B"/>
    <w:rsid w:val="006D0368"/>
    <w:rsid w:val="006D0ECF"/>
    <w:rsid w:val="006D224A"/>
    <w:rsid w:val="006D2E05"/>
    <w:rsid w:val="006D3B5D"/>
    <w:rsid w:val="006D3D5B"/>
    <w:rsid w:val="006D4C92"/>
    <w:rsid w:val="006D4EB6"/>
    <w:rsid w:val="006D7FBC"/>
    <w:rsid w:val="006E35BF"/>
    <w:rsid w:val="006E4C9F"/>
    <w:rsid w:val="006E5847"/>
    <w:rsid w:val="006E7850"/>
    <w:rsid w:val="006F19D8"/>
    <w:rsid w:val="006F2F71"/>
    <w:rsid w:val="006F46D6"/>
    <w:rsid w:val="006F4BBB"/>
    <w:rsid w:val="00701F8B"/>
    <w:rsid w:val="007028D9"/>
    <w:rsid w:val="00707218"/>
    <w:rsid w:val="00710D04"/>
    <w:rsid w:val="00712B1D"/>
    <w:rsid w:val="00715751"/>
    <w:rsid w:val="007171BA"/>
    <w:rsid w:val="00717616"/>
    <w:rsid w:val="007325D9"/>
    <w:rsid w:val="0073413F"/>
    <w:rsid w:val="0073583B"/>
    <w:rsid w:val="007360CA"/>
    <w:rsid w:val="00736AA4"/>
    <w:rsid w:val="007405BC"/>
    <w:rsid w:val="00745062"/>
    <w:rsid w:val="0074667B"/>
    <w:rsid w:val="007470BD"/>
    <w:rsid w:val="00760EC0"/>
    <w:rsid w:val="00760FAB"/>
    <w:rsid w:val="007711BD"/>
    <w:rsid w:val="0078003A"/>
    <w:rsid w:val="00780771"/>
    <w:rsid w:val="00780D2B"/>
    <w:rsid w:val="00783D38"/>
    <w:rsid w:val="007929CF"/>
    <w:rsid w:val="007935E6"/>
    <w:rsid w:val="00797BA8"/>
    <w:rsid w:val="007A081D"/>
    <w:rsid w:val="007A3A75"/>
    <w:rsid w:val="007A49E7"/>
    <w:rsid w:val="007A4DAE"/>
    <w:rsid w:val="007A6F28"/>
    <w:rsid w:val="007B03C6"/>
    <w:rsid w:val="007B0DB1"/>
    <w:rsid w:val="007B2A37"/>
    <w:rsid w:val="007B5673"/>
    <w:rsid w:val="007B7238"/>
    <w:rsid w:val="007B76FF"/>
    <w:rsid w:val="007C1B42"/>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C3"/>
    <w:rsid w:val="007F60DF"/>
    <w:rsid w:val="00801800"/>
    <w:rsid w:val="00801861"/>
    <w:rsid w:val="00801B5B"/>
    <w:rsid w:val="00805A30"/>
    <w:rsid w:val="00816178"/>
    <w:rsid w:val="00816FAB"/>
    <w:rsid w:val="008216E7"/>
    <w:rsid w:val="00825BE6"/>
    <w:rsid w:val="0082684A"/>
    <w:rsid w:val="008276B4"/>
    <w:rsid w:val="00831927"/>
    <w:rsid w:val="0083698B"/>
    <w:rsid w:val="00836FA2"/>
    <w:rsid w:val="00837288"/>
    <w:rsid w:val="00841BD3"/>
    <w:rsid w:val="0084273D"/>
    <w:rsid w:val="00844232"/>
    <w:rsid w:val="00844E3F"/>
    <w:rsid w:val="00845A83"/>
    <w:rsid w:val="00846BB9"/>
    <w:rsid w:val="008649D5"/>
    <w:rsid w:val="00866530"/>
    <w:rsid w:val="008712BB"/>
    <w:rsid w:val="00873D39"/>
    <w:rsid w:val="008830E7"/>
    <w:rsid w:val="008834D6"/>
    <w:rsid w:val="00890EDE"/>
    <w:rsid w:val="00892B38"/>
    <w:rsid w:val="008930DB"/>
    <w:rsid w:val="008A1741"/>
    <w:rsid w:val="008A2484"/>
    <w:rsid w:val="008A52F3"/>
    <w:rsid w:val="008C129A"/>
    <w:rsid w:val="008C26D9"/>
    <w:rsid w:val="008C400C"/>
    <w:rsid w:val="008C5943"/>
    <w:rsid w:val="008C6D50"/>
    <w:rsid w:val="008C7167"/>
    <w:rsid w:val="008C7503"/>
    <w:rsid w:val="008D00BF"/>
    <w:rsid w:val="008D1617"/>
    <w:rsid w:val="008D330F"/>
    <w:rsid w:val="008D4659"/>
    <w:rsid w:val="008D48C1"/>
    <w:rsid w:val="008E0E3C"/>
    <w:rsid w:val="008E6315"/>
    <w:rsid w:val="008F0480"/>
    <w:rsid w:val="008F07FC"/>
    <w:rsid w:val="008F11E0"/>
    <w:rsid w:val="008F3EA7"/>
    <w:rsid w:val="008F78BC"/>
    <w:rsid w:val="008F7B63"/>
    <w:rsid w:val="008F7D6A"/>
    <w:rsid w:val="00901C86"/>
    <w:rsid w:val="00903603"/>
    <w:rsid w:val="009054CB"/>
    <w:rsid w:val="009065E8"/>
    <w:rsid w:val="009104C6"/>
    <w:rsid w:val="00911F8D"/>
    <w:rsid w:val="009122A4"/>
    <w:rsid w:val="00912F94"/>
    <w:rsid w:val="009144E9"/>
    <w:rsid w:val="009171BC"/>
    <w:rsid w:val="0092497E"/>
    <w:rsid w:val="0092590B"/>
    <w:rsid w:val="00925BF3"/>
    <w:rsid w:val="00925E60"/>
    <w:rsid w:val="009264B3"/>
    <w:rsid w:val="00931E4C"/>
    <w:rsid w:val="009365E0"/>
    <w:rsid w:val="00937258"/>
    <w:rsid w:val="00937ED0"/>
    <w:rsid w:val="00942BA2"/>
    <w:rsid w:val="00942CA8"/>
    <w:rsid w:val="009432B7"/>
    <w:rsid w:val="00943971"/>
    <w:rsid w:val="00944C86"/>
    <w:rsid w:val="00947C02"/>
    <w:rsid w:val="009507CD"/>
    <w:rsid w:val="00950928"/>
    <w:rsid w:val="00950BE6"/>
    <w:rsid w:val="00950DB2"/>
    <w:rsid w:val="00957DE8"/>
    <w:rsid w:val="00960ECB"/>
    <w:rsid w:val="009615D6"/>
    <w:rsid w:val="00967855"/>
    <w:rsid w:val="00971AE2"/>
    <w:rsid w:val="00971CD1"/>
    <w:rsid w:val="00974709"/>
    <w:rsid w:val="009756C7"/>
    <w:rsid w:val="009801AE"/>
    <w:rsid w:val="00980736"/>
    <w:rsid w:val="009814CF"/>
    <w:rsid w:val="00981A39"/>
    <w:rsid w:val="00982D56"/>
    <w:rsid w:val="00983DBF"/>
    <w:rsid w:val="00987097"/>
    <w:rsid w:val="009871CE"/>
    <w:rsid w:val="00991123"/>
    <w:rsid w:val="00991CAB"/>
    <w:rsid w:val="009A1543"/>
    <w:rsid w:val="009A3A9C"/>
    <w:rsid w:val="009A549B"/>
    <w:rsid w:val="009A5877"/>
    <w:rsid w:val="009B046C"/>
    <w:rsid w:val="009B11B2"/>
    <w:rsid w:val="009B13FA"/>
    <w:rsid w:val="009B1E2D"/>
    <w:rsid w:val="009C0B23"/>
    <w:rsid w:val="009C59FB"/>
    <w:rsid w:val="009C661A"/>
    <w:rsid w:val="009C6F3B"/>
    <w:rsid w:val="009D1467"/>
    <w:rsid w:val="009D30DC"/>
    <w:rsid w:val="009D328D"/>
    <w:rsid w:val="009D336F"/>
    <w:rsid w:val="009E4FA6"/>
    <w:rsid w:val="009E7D93"/>
    <w:rsid w:val="009F0BA6"/>
    <w:rsid w:val="009F0E2B"/>
    <w:rsid w:val="009F3C34"/>
    <w:rsid w:val="009F462C"/>
    <w:rsid w:val="009F5C33"/>
    <w:rsid w:val="00A026F0"/>
    <w:rsid w:val="00A03EAC"/>
    <w:rsid w:val="00A04DBB"/>
    <w:rsid w:val="00A07EA0"/>
    <w:rsid w:val="00A11A21"/>
    <w:rsid w:val="00A11CA6"/>
    <w:rsid w:val="00A20C49"/>
    <w:rsid w:val="00A22873"/>
    <w:rsid w:val="00A22932"/>
    <w:rsid w:val="00A269CA"/>
    <w:rsid w:val="00A30D34"/>
    <w:rsid w:val="00A320C7"/>
    <w:rsid w:val="00A336EE"/>
    <w:rsid w:val="00A33F46"/>
    <w:rsid w:val="00A3427E"/>
    <w:rsid w:val="00A359AC"/>
    <w:rsid w:val="00A40F83"/>
    <w:rsid w:val="00A410FB"/>
    <w:rsid w:val="00A41413"/>
    <w:rsid w:val="00A431E6"/>
    <w:rsid w:val="00A436E8"/>
    <w:rsid w:val="00A4376A"/>
    <w:rsid w:val="00A4446A"/>
    <w:rsid w:val="00A45FB1"/>
    <w:rsid w:val="00A46A0F"/>
    <w:rsid w:val="00A46CCC"/>
    <w:rsid w:val="00A47996"/>
    <w:rsid w:val="00A51CFE"/>
    <w:rsid w:val="00A51F7B"/>
    <w:rsid w:val="00A5204D"/>
    <w:rsid w:val="00A56E77"/>
    <w:rsid w:val="00A61097"/>
    <w:rsid w:val="00A61605"/>
    <w:rsid w:val="00A63A64"/>
    <w:rsid w:val="00A65F97"/>
    <w:rsid w:val="00A6786F"/>
    <w:rsid w:val="00A73B04"/>
    <w:rsid w:val="00A76C13"/>
    <w:rsid w:val="00A7721D"/>
    <w:rsid w:val="00A84FD0"/>
    <w:rsid w:val="00A90002"/>
    <w:rsid w:val="00A9028A"/>
    <w:rsid w:val="00A91814"/>
    <w:rsid w:val="00A92CDD"/>
    <w:rsid w:val="00A92E79"/>
    <w:rsid w:val="00A950B6"/>
    <w:rsid w:val="00A95D45"/>
    <w:rsid w:val="00A971EA"/>
    <w:rsid w:val="00AA0BB1"/>
    <w:rsid w:val="00AA3EA8"/>
    <w:rsid w:val="00AB41C1"/>
    <w:rsid w:val="00AB4CF2"/>
    <w:rsid w:val="00AB6CCA"/>
    <w:rsid w:val="00AC05B6"/>
    <w:rsid w:val="00AC1D48"/>
    <w:rsid w:val="00AC223F"/>
    <w:rsid w:val="00AC33B1"/>
    <w:rsid w:val="00AC5184"/>
    <w:rsid w:val="00AC61E2"/>
    <w:rsid w:val="00AC69F8"/>
    <w:rsid w:val="00AD0EE3"/>
    <w:rsid w:val="00AD1147"/>
    <w:rsid w:val="00AD12A8"/>
    <w:rsid w:val="00AD5EEA"/>
    <w:rsid w:val="00AD7B1E"/>
    <w:rsid w:val="00AE023F"/>
    <w:rsid w:val="00AE3B8D"/>
    <w:rsid w:val="00AF3577"/>
    <w:rsid w:val="00AF35F9"/>
    <w:rsid w:val="00B02FEC"/>
    <w:rsid w:val="00B0364E"/>
    <w:rsid w:val="00B0424C"/>
    <w:rsid w:val="00B05C7D"/>
    <w:rsid w:val="00B13885"/>
    <w:rsid w:val="00B15A1A"/>
    <w:rsid w:val="00B15D57"/>
    <w:rsid w:val="00B16347"/>
    <w:rsid w:val="00B17D6E"/>
    <w:rsid w:val="00B21B65"/>
    <w:rsid w:val="00B2435E"/>
    <w:rsid w:val="00B318BF"/>
    <w:rsid w:val="00B3411E"/>
    <w:rsid w:val="00B341EF"/>
    <w:rsid w:val="00B346C3"/>
    <w:rsid w:val="00B37D02"/>
    <w:rsid w:val="00B4005C"/>
    <w:rsid w:val="00B407B7"/>
    <w:rsid w:val="00B4227E"/>
    <w:rsid w:val="00B4471C"/>
    <w:rsid w:val="00B44920"/>
    <w:rsid w:val="00B451A6"/>
    <w:rsid w:val="00B5274C"/>
    <w:rsid w:val="00B56D6E"/>
    <w:rsid w:val="00B63CB2"/>
    <w:rsid w:val="00B64347"/>
    <w:rsid w:val="00B65DC6"/>
    <w:rsid w:val="00B67AC2"/>
    <w:rsid w:val="00B722DE"/>
    <w:rsid w:val="00B73ADD"/>
    <w:rsid w:val="00B751E3"/>
    <w:rsid w:val="00B75BA6"/>
    <w:rsid w:val="00B76C44"/>
    <w:rsid w:val="00B77407"/>
    <w:rsid w:val="00B8184A"/>
    <w:rsid w:val="00B81F88"/>
    <w:rsid w:val="00B82283"/>
    <w:rsid w:val="00B828D8"/>
    <w:rsid w:val="00B83F87"/>
    <w:rsid w:val="00B87CDC"/>
    <w:rsid w:val="00B910C1"/>
    <w:rsid w:val="00B94CDC"/>
    <w:rsid w:val="00B96FDC"/>
    <w:rsid w:val="00BA0139"/>
    <w:rsid w:val="00BA2CA4"/>
    <w:rsid w:val="00BA2EFA"/>
    <w:rsid w:val="00BA329E"/>
    <w:rsid w:val="00BA3DBC"/>
    <w:rsid w:val="00BA707A"/>
    <w:rsid w:val="00BB1AFB"/>
    <w:rsid w:val="00BB27AE"/>
    <w:rsid w:val="00BB2DA2"/>
    <w:rsid w:val="00BB3F19"/>
    <w:rsid w:val="00BB56DC"/>
    <w:rsid w:val="00BB6181"/>
    <w:rsid w:val="00BC5CC8"/>
    <w:rsid w:val="00BD1B69"/>
    <w:rsid w:val="00BD7AD4"/>
    <w:rsid w:val="00BE16D6"/>
    <w:rsid w:val="00BE183D"/>
    <w:rsid w:val="00BF24C2"/>
    <w:rsid w:val="00BF2922"/>
    <w:rsid w:val="00BF5D7A"/>
    <w:rsid w:val="00BF7214"/>
    <w:rsid w:val="00C01C2E"/>
    <w:rsid w:val="00C02D33"/>
    <w:rsid w:val="00C046A2"/>
    <w:rsid w:val="00C04B53"/>
    <w:rsid w:val="00C1232C"/>
    <w:rsid w:val="00C27C6B"/>
    <w:rsid w:val="00C27F82"/>
    <w:rsid w:val="00C3594D"/>
    <w:rsid w:val="00C36442"/>
    <w:rsid w:val="00C400CE"/>
    <w:rsid w:val="00C410FD"/>
    <w:rsid w:val="00C427A1"/>
    <w:rsid w:val="00C457DE"/>
    <w:rsid w:val="00C47DD3"/>
    <w:rsid w:val="00C5316F"/>
    <w:rsid w:val="00C53562"/>
    <w:rsid w:val="00C536C2"/>
    <w:rsid w:val="00C539FB"/>
    <w:rsid w:val="00C66AA3"/>
    <w:rsid w:val="00C66E57"/>
    <w:rsid w:val="00C724D7"/>
    <w:rsid w:val="00C74150"/>
    <w:rsid w:val="00C75594"/>
    <w:rsid w:val="00C75D3E"/>
    <w:rsid w:val="00C85982"/>
    <w:rsid w:val="00C904A7"/>
    <w:rsid w:val="00C96A9D"/>
    <w:rsid w:val="00CA0466"/>
    <w:rsid w:val="00CA246D"/>
    <w:rsid w:val="00CA50D9"/>
    <w:rsid w:val="00CB3054"/>
    <w:rsid w:val="00CB4066"/>
    <w:rsid w:val="00CB5636"/>
    <w:rsid w:val="00CB5F30"/>
    <w:rsid w:val="00CB62CC"/>
    <w:rsid w:val="00CC3EE5"/>
    <w:rsid w:val="00CC41CE"/>
    <w:rsid w:val="00CC6E47"/>
    <w:rsid w:val="00CD1346"/>
    <w:rsid w:val="00CE425C"/>
    <w:rsid w:val="00CE58AC"/>
    <w:rsid w:val="00CF103F"/>
    <w:rsid w:val="00CF13A0"/>
    <w:rsid w:val="00CF1A19"/>
    <w:rsid w:val="00CF5933"/>
    <w:rsid w:val="00CF5A80"/>
    <w:rsid w:val="00D045EE"/>
    <w:rsid w:val="00D05091"/>
    <w:rsid w:val="00D10CA6"/>
    <w:rsid w:val="00D10F21"/>
    <w:rsid w:val="00D13047"/>
    <w:rsid w:val="00D134CF"/>
    <w:rsid w:val="00D1573B"/>
    <w:rsid w:val="00D22ABA"/>
    <w:rsid w:val="00D24806"/>
    <w:rsid w:val="00D34040"/>
    <w:rsid w:val="00D34E69"/>
    <w:rsid w:val="00D36C78"/>
    <w:rsid w:val="00D375EE"/>
    <w:rsid w:val="00D514B9"/>
    <w:rsid w:val="00D5494D"/>
    <w:rsid w:val="00D54E3E"/>
    <w:rsid w:val="00D55AE8"/>
    <w:rsid w:val="00D56056"/>
    <w:rsid w:val="00D6085F"/>
    <w:rsid w:val="00D62699"/>
    <w:rsid w:val="00D76E60"/>
    <w:rsid w:val="00D778E9"/>
    <w:rsid w:val="00D812BF"/>
    <w:rsid w:val="00D81CAF"/>
    <w:rsid w:val="00D82620"/>
    <w:rsid w:val="00D85707"/>
    <w:rsid w:val="00D95F6C"/>
    <w:rsid w:val="00D9725F"/>
    <w:rsid w:val="00DA01B1"/>
    <w:rsid w:val="00DA11A2"/>
    <w:rsid w:val="00DA14ED"/>
    <w:rsid w:val="00DA26D6"/>
    <w:rsid w:val="00DA2BE8"/>
    <w:rsid w:val="00DA3695"/>
    <w:rsid w:val="00DB2EF1"/>
    <w:rsid w:val="00DB3DE1"/>
    <w:rsid w:val="00DB5C08"/>
    <w:rsid w:val="00DB5DA0"/>
    <w:rsid w:val="00DB716C"/>
    <w:rsid w:val="00DC1F6A"/>
    <w:rsid w:val="00DC3355"/>
    <w:rsid w:val="00DC5C85"/>
    <w:rsid w:val="00DC7C5D"/>
    <w:rsid w:val="00DD4049"/>
    <w:rsid w:val="00DD4236"/>
    <w:rsid w:val="00DD44F1"/>
    <w:rsid w:val="00DD4EA5"/>
    <w:rsid w:val="00DD6957"/>
    <w:rsid w:val="00DD6E7A"/>
    <w:rsid w:val="00DE3067"/>
    <w:rsid w:val="00DF1A15"/>
    <w:rsid w:val="00DF3EEE"/>
    <w:rsid w:val="00DF45D5"/>
    <w:rsid w:val="00DF7053"/>
    <w:rsid w:val="00DF75E1"/>
    <w:rsid w:val="00E027BC"/>
    <w:rsid w:val="00E045BE"/>
    <w:rsid w:val="00E10F0D"/>
    <w:rsid w:val="00E14DC9"/>
    <w:rsid w:val="00E14EA5"/>
    <w:rsid w:val="00E2070E"/>
    <w:rsid w:val="00E21133"/>
    <w:rsid w:val="00E2327E"/>
    <w:rsid w:val="00E23577"/>
    <w:rsid w:val="00E266EF"/>
    <w:rsid w:val="00E326A8"/>
    <w:rsid w:val="00E34B45"/>
    <w:rsid w:val="00E47428"/>
    <w:rsid w:val="00E56C8E"/>
    <w:rsid w:val="00E5716B"/>
    <w:rsid w:val="00E57F1F"/>
    <w:rsid w:val="00E62007"/>
    <w:rsid w:val="00E62A65"/>
    <w:rsid w:val="00E63801"/>
    <w:rsid w:val="00E6687A"/>
    <w:rsid w:val="00E66B9F"/>
    <w:rsid w:val="00E70A6A"/>
    <w:rsid w:val="00E710D6"/>
    <w:rsid w:val="00E721A3"/>
    <w:rsid w:val="00E73DA4"/>
    <w:rsid w:val="00E753EC"/>
    <w:rsid w:val="00E76E45"/>
    <w:rsid w:val="00E777C9"/>
    <w:rsid w:val="00E81DA6"/>
    <w:rsid w:val="00E84212"/>
    <w:rsid w:val="00E9086C"/>
    <w:rsid w:val="00E90AAA"/>
    <w:rsid w:val="00E91A0F"/>
    <w:rsid w:val="00E93113"/>
    <w:rsid w:val="00E94A71"/>
    <w:rsid w:val="00E94CBF"/>
    <w:rsid w:val="00EA03CE"/>
    <w:rsid w:val="00EA18D4"/>
    <w:rsid w:val="00EA23E5"/>
    <w:rsid w:val="00EA2B77"/>
    <w:rsid w:val="00EA4E2E"/>
    <w:rsid w:val="00EA5338"/>
    <w:rsid w:val="00EA7AC6"/>
    <w:rsid w:val="00EB2417"/>
    <w:rsid w:val="00EB2CCB"/>
    <w:rsid w:val="00EB7A25"/>
    <w:rsid w:val="00EB7A93"/>
    <w:rsid w:val="00EB7CB4"/>
    <w:rsid w:val="00EC0F3E"/>
    <w:rsid w:val="00EC107A"/>
    <w:rsid w:val="00EC57A7"/>
    <w:rsid w:val="00EC6717"/>
    <w:rsid w:val="00ED0817"/>
    <w:rsid w:val="00ED18A3"/>
    <w:rsid w:val="00ED3045"/>
    <w:rsid w:val="00ED3634"/>
    <w:rsid w:val="00ED7DD9"/>
    <w:rsid w:val="00EE2BCE"/>
    <w:rsid w:val="00EE445B"/>
    <w:rsid w:val="00EF3113"/>
    <w:rsid w:val="00EF3F84"/>
    <w:rsid w:val="00F0117A"/>
    <w:rsid w:val="00F15CF6"/>
    <w:rsid w:val="00F176AC"/>
    <w:rsid w:val="00F22181"/>
    <w:rsid w:val="00F23DD2"/>
    <w:rsid w:val="00F26F28"/>
    <w:rsid w:val="00F27714"/>
    <w:rsid w:val="00F31A6D"/>
    <w:rsid w:val="00F3276E"/>
    <w:rsid w:val="00F33D3C"/>
    <w:rsid w:val="00F3404B"/>
    <w:rsid w:val="00F37A91"/>
    <w:rsid w:val="00F408A0"/>
    <w:rsid w:val="00F45C9A"/>
    <w:rsid w:val="00F45CF5"/>
    <w:rsid w:val="00F47DB0"/>
    <w:rsid w:val="00F50C3F"/>
    <w:rsid w:val="00F50E34"/>
    <w:rsid w:val="00F51AFB"/>
    <w:rsid w:val="00F53EF7"/>
    <w:rsid w:val="00F54BF2"/>
    <w:rsid w:val="00F57AE4"/>
    <w:rsid w:val="00F72709"/>
    <w:rsid w:val="00F744DD"/>
    <w:rsid w:val="00F75720"/>
    <w:rsid w:val="00F775AC"/>
    <w:rsid w:val="00F858BD"/>
    <w:rsid w:val="00F8716A"/>
    <w:rsid w:val="00F8792F"/>
    <w:rsid w:val="00F9214D"/>
    <w:rsid w:val="00F92355"/>
    <w:rsid w:val="00F93963"/>
    <w:rsid w:val="00F94291"/>
    <w:rsid w:val="00F95977"/>
    <w:rsid w:val="00FA298A"/>
    <w:rsid w:val="00FA5B66"/>
    <w:rsid w:val="00FB0B9C"/>
    <w:rsid w:val="00FB0CA7"/>
    <w:rsid w:val="00FB160A"/>
    <w:rsid w:val="00FB30EB"/>
    <w:rsid w:val="00FB4D86"/>
    <w:rsid w:val="00FB757B"/>
    <w:rsid w:val="00FB7982"/>
    <w:rsid w:val="00FC0734"/>
    <w:rsid w:val="00FC0FC5"/>
    <w:rsid w:val="00FC5367"/>
    <w:rsid w:val="00FC588F"/>
    <w:rsid w:val="00FC6879"/>
    <w:rsid w:val="00FC73FA"/>
    <w:rsid w:val="00FD1002"/>
    <w:rsid w:val="00FD43C2"/>
    <w:rsid w:val="00FD57CC"/>
    <w:rsid w:val="00FE1B30"/>
    <w:rsid w:val="00FE6F7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DDF7AE7"/>
  <w15:docId w15:val="{279C052C-D193-44A0-A290-493FD25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0C88"/>
    <w:pPr>
      <w:spacing w:line="360" w:lineRule="auto"/>
      <w:jc w:val="both"/>
    </w:pPr>
    <w:rPr>
      <w:sz w:val="24"/>
      <w:lang w:eastAsia="en-US"/>
    </w:rPr>
  </w:style>
  <w:style w:type="paragraph" w:styleId="Heading1">
    <w:name w:val="heading 1"/>
    <w:basedOn w:val="Normal"/>
    <w:next w:val="ParaNumbering"/>
    <w:qFormat/>
    <w:rsid w:val="00680C88"/>
    <w:pPr>
      <w:keepNext/>
      <w:spacing w:before="240" w:after="60" w:line="240" w:lineRule="auto"/>
      <w:outlineLvl w:val="0"/>
    </w:pPr>
    <w:rPr>
      <w:b/>
      <w:caps/>
      <w:kern w:val="28"/>
    </w:rPr>
  </w:style>
  <w:style w:type="paragraph" w:styleId="Heading2">
    <w:name w:val="heading 2"/>
    <w:basedOn w:val="Normal"/>
    <w:next w:val="ParaNumbering"/>
    <w:qFormat/>
    <w:rsid w:val="00680C88"/>
    <w:pPr>
      <w:keepNext/>
      <w:spacing w:before="240" w:after="60" w:line="240" w:lineRule="auto"/>
      <w:outlineLvl w:val="1"/>
    </w:pPr>
    <w:rPr>
      <w:b/>
      <w:szCs w:val="24"/>
    </w:rPr>
  </w:style>
  <w:style w:type="paragraph" w:styleId="Heading3">
    <w:name w:val="heading 3"/>
    <w:basedOn w:val="Normal"/>
    <w:next w:val="ParaNumbering"/>
    <w:qFormat/>
    <w:rsid w:val="00680C88"/>
    <w:pPr>
      <w:keepNext/>
      <w:spacing w:before="240" w:after="60" w:line="240" w:lineRule="auto"/>
      <w:outlineLvl w:val="2"/>
    </w:pPr>
    <w:rPr>
      <w:b/>
      <w:i/>
    </w:rPr>
  </w:style>
  <w:style w:type="paragraph" w:styleId="Heading4">
    <w:name w:val="heading 4"/>
    <w:basedOn w:val="Normal"/>
    <w:next w:val="ParaNumbering"/>
    <w:qFormat/>
    <w:rsid w:val="00680C88"/>
    <w:pPr>
      <w:keepNext/>
      <w:spacing w:before="240" w:after="60" w:line="240" w:lineRule="auto"/>
      <w:jc w:val="left"/>
      <w:outlineLvl w:val="3"/>
    </w:pPr>
    <w:rPr>
      <w:i/>
      <w:szCs w:val="24"/>
    </w:rPr>
  </w:style>
  <w:style w:type="paragraph" w:styleId="Heading5">
    <w:name w:val="heading 5"/>
    <w:basedOn w:val="fcHeading1"/>
    <w:next w:val="ParaNumbering"/>
    <w:qFormat/>
    <w:rsid w:val="00680C88"/>
    <w:pPr>
      <w:outlineLvl w:val="4"/>
    </w:pPr>
    <w:rPr>
      <w:caps w:val="0"/>
    </w:rPr>
  </w:style>
  <w:style w:type="paragraph" w:styleId="Heading6">
    <w:name w:val="heading 6"/>
    <w:basedOn w:val="fcHeading2"/>
    <w:next w:val="ParaNumbering"/>
    <w:qFormat/>
    <w:rsid w:val="00680C88"/>
    <w:pPr>
      <w:outlineLvl w:val="5"/>
    </w:pPr>
  </w:style>
  <w:style w:type="paragraph" w:styleId="Heading7">
    <w:name w:val="heading 7"/>
    <w:basedOn w:val="fcHeading3"/>
    <w:next w:val="ParaNumbering"/>
    <w:qFormat/>
    <w:rsid w:val="00680C88"/>
    <w:pPr>
      <w:outlineLvl w:val="6"/>
    </w:pPr>
    <w:rPr>
      <w:i w:val="0"/>
    </w:rPr>
  </w:style>
  <w:style w:type="paragraph" w:styleId="Heading8">
    <w:name w:val="heading 8"/>
    <w:basedOn w:val="fcHeading4"/>
    <w:next w:val="ParaNumbering"/>
    <w:rsid w:val="00680C88"/>
    <w:pPr>
      <w:outlineLvl w:val="7"/>
    </w:pPr>
    <w:rPr>
      <w:smallCaps w:val="0"/>
    </w:rPr>
  </w:style>
  <w:style w:type="paragraph" w:styleId="Heading9">
    <w:name w:val="heading 9"/>
    <w:basedOn w:val="fcHeading5"/>
    <w:next w:val="ParaNumbering"/>
    <w:rsid w:val="00680C88"/>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680C88"/>
    <w:pPr>
      <w:spacing w:line="240" w:lineRule="auto"/>
    </w:pPr>
  </w:style>
  <w:style w:type="paragraph" w:styleId="Header">
    <w:name w:val="header"/>
    <w:basedOn w:val="Normal"/>
    <w:semiHidden/>
    <w:rsid w:val="00680C88"/>
    <w:pPr>
      <w:tabs>
        <w:tab w:val="center" w:pos="4320"/>
        <w:tab w:val="right" w:pos="8640"/>
      </w:tabs>
    </w:pPr>
  </w:style>
  <w:style w:type="paragraph" w:styleId="Footer">
    <w:name w:val="footer"/>
    <w:basedOn w:val="Normal"/>
    <w:semiHidden/>
    <w:rsid w:val="00680C88"/>
    <w:pPr>
      <w:tabs>
        <w:tab w:val="center" w:pos="4320"/>
        <w:tab w:val="right" w:pos="8640"/>
      </w:tabs>
    </w:pPr>
  </w:style>
  <w:style w:type="paragraph" w:customStyle="1" w:styleId="ParaNumbering">
    <w:name w:val="ParaNumbering"/>
    <w:basedOn w:val="Normal"/>
    <w:rsid w:val="00680C88"/>
    <w:pPr>
      <w:numPr>
        <w:numId w:val="1"/>
      </w:numPr>
      <w:tabs>
        <w:tab w:val="clear" w:pos="720"/>
      </w:tabs>
      <w:spacing w:before="180" w:after="180"/>
    </w:pPr>
  </w:style>
  <w:style w:type="paragraph" w:customStyle="1" w:styleId="Quote1">
    <w:name w:val="Quote1"/>
    <w:rsid w:val="00680C88"/>
    <w:pPr>
      <w:widowControl w:val="0"/>
      <w:spacing w:after="180"/>
      <w:ind w:left="737" w:right="737"/>
      <w:jc w:val="both"/>
    </w:pPr>
    <w:rPr>
      <w:sz w:val="22"/>
      <w:lang w:eastAsia="en-US"/>
    </w:rPr>
  </w:style>
  <w:style w:type="paragraph" w:customStyle="1" w:styleId="NormalHeadings">
    <w:name w:val="Normal Headings"/>
    <w:link w:val="NormalHeadingsChar"/>
    <w:rsid w:val="00680C88"/>
    <w:pPr>
      <w:widowControl w:val="0"/>
      <w:jc w:val="both"/>
    </w:pPr>
    <w:rPr>
      <w:b/>
      <w:sz w:val="24"/>
      <w:lang w:eastAsia="en-US"/>
    </w:rPr>
  </w:style>
  <w:style w:type="table" w:styleId="TableGrid">
    <w:name w:val="Table Grid"/>
    <w:basedOn w:val="TableNormal"/>
    <w:semiHidden/>
    <w:rsid w:val="00680C8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680C88"/>
    <w:pPr>
      <w:spacing w:before="20" w:after="20"/>
      <w:jc w:val="center"/>
    </w:pPr>
    <w:rPr>
      <w:b/>
      <w:sz w:val="26"/>
    </w:rPr>
  </w:style>
  <w:style w:type="paragraph" w:customStyle="1" w:styleId="Normal1linespace">
    <w:name w:val="Normal1linespace"/>
    <w:basedOn w:val="Normal"/>
    <w:rsid w:val="00680C88"/>
    <w:pPr>
      <w:spacing w:line="240" w:lineRule="auto"/>
    </w:pPr>
  </w:style>
  <w:style w:type="paragraph" w:styleId="BalloonText">
    <w:name w:val="Balloon Text"/>
    <w:basedOn w:val="Normal"/>
    <w:semiHidden/>
    <w:rsid w:val="00680C88"/>
    <w:rPr>
      <w:rFonts w:ascii="Tahoma" w:hAnsi="Tahoma" w:cs="Tahoma"/>
      <w:sz w:val="16"/>
      <w:szCs w:val="16"/>
    </w:rPr>
  </w:style>
  <w:style w:type="paragraph" w:customStyle="1" w:styleId="StyleBold">
    <w:name w:val="Style Bold"/>
    <w:basedOn w:val="Normal"/>
    <w:next w:val="BodyText"/>
    <w:semiHidden/>
    <w:rsid w:val="00680C88"/>
    <w:rPr>
      <w:szCs w:val="24"/>
    </w:rPr>
  </w:style>
  <w:style w:type="paragraph" w:customStyle="1" w:styleId="Bold">
    <w:name w:val="Bold"/>
    <w:basedOn w:val="Normal"/>
    <w:next w:val="Normal"/>
    <w:semiHidden/>
    <w:rsid w:val="00680C88"/>
    <w:pPr>
      <w:suppressAutoHyphens/>
      <w:jc w:val="left"/>
    </w:pPr>
    <w:rPr>
      <w:b/>
      <w:szCs w:val="24"/>
    </w:rPr>
  </w:style>
  <w:style w:type="paragraph" w:customStyle="1" w:styleId="Certify">
    <w:name w:val="Certify"/>
    <w:basedOn w:val="Normal"/>
    <w:link w:val="CertifyChar"/>
    <w:semiHidden/>
    <w:rsid w:val="00680C88"/>
    <w:pPr>
      <w:spacing w:line="240" w:lineRule="auto"/>
    </w:pPr>
    <w:rPr>
      <w:szCs w:val="24"/>
    </w:rPr>
  </w:style>
  <w:style w:type="character" w:styleId="CommentReference">
    <w:name w:val="annotation reference"/>
    <w:semiHidden/>
    <w:rsid w:val="00680C88"/>
    <w:rPr>
      <w:sz w:val="16"/>
      <w:szCs w:val="16"/>
    </w:rPr>
  </w:style>
  <w:style w:type="paragraph" w:styleId="CommentText">
    <w:name w:val="annotation text"/>
    <w:basedOn w:val="Normal"/>
    <w:semiHidden/>
    <w:rsid w:val="00680C88"/>
    <w:rPr>
      <w:sz w:val="20"/>
    </w:rPr>
  </w:style>
  <w:style w:type="paragraph" w:styleId="CommentSubject">
    <w:name w:val="annotation subject"/>
    <w:basedOn w:val="CommentText"/>
    <w:next w:val="CommentText"/>
    <w:semiHidden/>
    <w:rsid w:val="00680C88"/>
    <w:rPr>
      <w:b/>
      <w:bCs/>
    </w:rPr>
  </w:style>
  <w:style w:type="paragraph" w:customStyle="1" w:styleId="FCBullets">
    <w:name w:val="FCBullets"/>
    <w:basedOn w:val="Normal"/>
    <w:rsid w:val="00680C88"/>
    <w:pPr>
      <w:numPr>
        <w:numId w:val="25"/>
      </w:numPr>
      <w:spacing w:before="60" w:after="60"/>
    </w:pPr>
  </w:style>
  <w:style w:type="paragraph" w:customStyle="1" w:styleId="JudgeStyle">
    <w:name w:val="JudgeStyle"/>
    <w:basedOn w:val="Heading1"/>
    <w:next w:val="ParaNumbering"/>
    <w:semiHidden/>
    <w:rsid w:val="00680C88"/>
  </w:style>
  <w:style w:type="paragraph" w:styleId="TOC1">
    <w:name w:val="toc 1"/>
    <w:basedOn w:val="Normal"/>
    <w:next w:val="Normal"/>
    <w:autoRedefine/>
    <w:semiHidden/>
    <w:rsid w:val="00680C88"/>
    <w:pPr>
      <w:tabs>
        <w:tab w:val="right" w:leader="dot" w:pos="9071"/>
      </w:tabs>
    </w:pPr>
  </w:style>
  <w:style w:type="paragraph" w:styleId="TOC2">
    <w:name w:val="toc 2"/>
    <w:basedOn w:val="Normal"/>
    <w:next w:val="Normal"/>
    <w:autoRedefine/>
    <w:semiHidden/>
    <w:rsid w:val="00680C88"/>
    <w:pPr>
      <w:tabs>
        <w:tab w:val="right" w:leader="dot" w:pos="9071"/>
      </w:tabs>
      <w:ind w:left="240"/>
    </w:pPr>
  </w:style>
  <w:style w:type="paragraph" w:styleId="TOC3">
    <w:name w:val="toc 3"/>
    <w:basedOn w:val="Normal"/>
    <w:next w:val="Normal"/>
    <w:autoRedefine/>
    <w:semiHidden/>
    <w:rsid w:val="00680C88"/>
    <w:pPr>
      <w:tabs>
        <w:tab w:val="right" w:leader="dot" w:pos="9071"/>
      </w:tabs>
      <w:ind w:left="480"/>
    </w:pPr>
  </w:style>
  <w:style w:type="paragraph" w:styleId="TOC4">
    <w:name w:val="toc 4"/>
    <w:basedOn w:val="Normal"/>
    <w:next w:val="Normal"/>
    <w:autoRedefine/>
    <w:semiHidden/>
    <w:rsid w:val="00680C88"/>
    <w:pPr>
      <w:tabs>
        <w:tab w:val="right" w:leader="dot" w:pos="9071"/>
      </w:tabs>
      <w:ind w:left="720"/>
    </w:pPr>
  </w:style>
  <w:style w:type="paragraph" w:customStyle="1" w:styleId="NoNum">
    <w:name w:val="No Num"/>
    <w:basedOn w:val="Normal1linespace"/>
    <w:rsid w:val="00680C88"/>
    <w:pPr>
      <w:spacing w:before="120" w:after="180" w:line="360" w:lineRule="auto"/>
    </w:pPr>
  </w:style>
  <w:style w:type="paragraph" w:customStyle="1" w:styleId="AppealTable">
    <w:name w:val="AppealTable"/>
    <w:basedOn w:val="Normal"/>
    <w:unhideWhenUsed/>
    <w:rsid w:val="00680C88"/>
    <w:pPr>
      <w:spacing w:line="240" w:lineRule="auto"/>
      <w:jc w:val="left"/>
    </w:pPr>
    <w:rPr>
      <w:b/>
      <w:caps/>
      <w:sz w:val="22"/>
      <w:szCs w:val="22"/>
    </w:rPr>
  </w:style>
  <w:style w:type="paragraph" w:customStyle="1" w:styleId="Quote3">
    <w:name w:val="Quote3"/>
    <w:basedOn w:val="Quote1"/>
    <w:rsid w:val="00680C88"/>
    <w:pPr>
      <w:ind w:left="2160"/>
    </w:pPr>
  </w:style>
  <w:style w:type="paragraph" w:customStyle="1" w:styleId="Quote2">
    <w:name w:val="Quote2"/>
    <w:basedOn w:val="Quote1"/>
    <w:rsid w:val="00680C88"/>
    <w:pPr>
      <w:ind w:left="1440"/>
    </w:pPr>
  </w:style>
  <w:style w:type="paragraph" w:customStyle="1" w:styleId="FTOC1">
    <w:name w:val="FTOC 1"/>
    <w:basedOn w:val="Normal"/>
    <w:semiHidden/>
    <w:rsid w:val="00680C88"/>
    <w:pPr>
      <w:tabs>
        <w:tab w:val="right" w:leader="dot" w:pos="9072"/>
      </w:tabs>
      <w:spacing w:before="120" w:after="60" w:line="240" w:lineRule="auto"/>
      <w:jc w:val="left"/>
    </w:pPr>
    <w:rPr>
      <w:b/>
      <w:caps/>
      <w:kern w:val="28"/>
    </w:rPr>
  </w:style>
  <w:style w:type="paragraph" w:customStyle="1" w:styleId="ListNo1">
    <w:name w:val="List No 1"/>
    <w:basedOn w:val="Normal"/>
    <w:rsid w:val="00680C88"/>
    <w:pPr>
      <w:numPr>
        <w:numId w:val="22"/>
      </w:numPr>
      <w:spacing w:before="60" w:after="60"/>
    </w:pPr>
  </w:style>
  <w:style w:type="paragraph" w:customStyle="1" w:styleId="FTOC2">
    <w:name w:val="FTOC 2"/>
    <w:basedOn w:val="Normal"/>
    <w:semiHidden/>
    <w:rsid w:val="00680C88"/>
    <w:pPr>
      <w:tabs>
        <w:tab w:val="right" w:leader="dot" w:pos="9072"/>
      </w:tabs>
      <w:spacing w:before="120" w:after="60" w:line="240" w:lineRule="auto"/>
      <w:ind w:left="238"/>
      <w:jc w:val="left"/>
    </w:pPr>
    <w:rPr>
      <w:b/>
    </w:rPr>
  </w:style>
  <w:style w:type="paragraph" w:customStyle="1" w:styleId="FTOC3">
    <w:name w:val="FTOC 3"/>
    <w:basedOn w:val="Normal"/>
    <w:semiHidden/>
    <w:rsid w:val="00680C88"/>
    <w:pPr>
      <w:tabs>
        <w:tab w:val="right" w:leader="dot" w:pos="9072"/>
      </w:tabs>
      <w:spacing w:before="120" w:after="60" w:line="240" w:lineRule="auto"/>
      <w:ind w:left="482"/>
      <w:jc w:val="left"/>
    </w:pPr>
    <w:rPr>
      <w:b/>
      <w:i/>
    </w:rPr>
  </w:style>
  <w:style w:type="paragraph" w:customStyle="1" w:styleId="FTOC4">
    <w:name w:val="FTOC 4"/>
    <w:basedOn w:val="Normal"/>
    <w:semiHidden/>
    <w:rsid w:val="00680C88"/>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680C88"/>
    <w:pPr>
      <w:tabs>
        <w:tab w:val="right" w:leader="dot" w:pos="9072"/>
      </w:tabs>
      <w:ind w:left="960"/>
    </w:pPr>
  </w:style>
  <w:style w:type="numbering" w:styleId="111111">
    <w:name w:val="Outline List 2"/>
    <w:basedOn w:val="NoList"/>
    <w:semiHidden/>
    <w:rsid w:val="00680C88"/>
    <w:pPr>
      <w:numPr>
        <w:numId w:val="12"/>
      </w:numPr>
    </w:pPr>
  </w:style>
  <w:style w:type="numbering" w:styleId="1ai">
    <w:name w:val="Outline List 1"/>
    <w:basedOn w:val="NoList"/>
    <w:semiHidden/>
    <w:rsid w:val="00680C88"/>
    <w:pPr>
      <w:numPr>
        <w:numId w:val="13"/>
      </w:numPr>
    </w:pPr>
  </w:style>
  <w:style w:type="numbering" w:styleId="ArticleSection">
    <w:name w:val="Outline List 3"/>
    <w:basedOn w:val="NoList"/>
    <w:semiHidden/>
    <w:rsid w:val="00680C88"/>
    <w:pPr>
      <w:numPr>
        <w:numId w:val="14"/>
      </w:numPr>
    </w:pPr>
  </w:style>
  <w:style w:type="paragraph" w:styleId="BodyText">
    <w:name w:val="Body Text"/>
    <w:basedOn w:val="Normal"/>
    <w:link w:val="BodyTextChar"/>
    <w:qFormat/>
    <w:rsid w:val="00680C88"/>
  </w:style>
  <w:style w:type="paragraph" w:styleId="BodyText2">
    <w:name w:val="Body Text 2"/>
    <w:basedOn w:val="Normal"/>
    <w:semiHidden/>
    <w:rsid w:val="00680C88"/>
    <w:pPr>
      <w:spacing w:after="120" w:line="480" w:lineRule="auto"/>
    </w:pPr>
  </w:style>
  <w:style w:type="paragraph" w:styleId="BodyText3">
    <w:name w:val="Body Text 3"/>
    <w:basedOn w:val="Normal"/>
    <w:semiHidden/>
    <w:rsid w:val="00680C88"/>
    <w:pPr>
      <w:spacing w:after="120"/>
    </w:pPr>
    <w:rPr>
      <w:sz w:val="16"/>
      <w:szCs w:val="16"/>
    </w:rPr>
  </w:style>
  <w:style w:type="paragraph" w:styleId="BodyTextFirstIndent">
    <w:name w:val="Body Text First Indent"/>
    <w:basedOn w:val="BodyText"/>
    <w:semiHidden/>
    <w:rsid w:val="00680C88"/>
    <w:pPr>
      <w:ind w:firstLine="210"/>
    </w:pPr>
  </w:style>
  <w:style w:type="paragraph" w:styleId="BodyTextIndent">
    <w:name w:val="Body Text Indent"/>
    <w:basedOn w:val="Normal"/>
    <w:semiHidden/>
    <w:rsid w:val="00680C88"/>
    <w:pPr>
      <w:spacing w:after="120"/>
      <w:ind w:left="283"/>
    </w:pPr>
  </w:style>
  <w:style w:type="paragraph" w:styleId="BodyTextFirstIndent2">
    <w:name w:val="Body Text First Indent 2"/>
    <w:basedOn w:val="BodyTextIndent"/>
    <w:semiHidden/>
    <w:rsid w:val="00680C88"/>
    <w:pPr>
      <w:ind w:firstLine="210"/>
    </w:pPr>
  </w:style>
  <w:style w:type="paragraph" w:styleId="BodyTextIndent2">
    <w:name w:val="Body Text Indent 2"/>
    <w:basedOn w:val="Normal"/>
    <w:semiHidden/>
    <w:rsid w:val="00680C88"/>
    <w:pPr>
      <w:spacing w:after="120" w:line="480" w:lineRule="auto"/>
      <w:ind w:left="283"/>
    </w:pPr>
  </w:style>
  <w:style w:type="paragraph" w:styleId="BodyTextIndent3">
    <w:name w:val="Body Text Indent 3"/>
    <w:basedOn w:val="Normal"/>
    <w:semiHidden/>
    <w:rsid w:val="00680C88"/>
    <w:pPr>
      <w:spacing w:after="120"/>
      <w:ind w:left="283"/>
    </w:pPr>
    <w:rPr>
      <w:sz w:val="16"/>
      <w:szCs w:val="16"/>
    </w:rPr>
  </w:style>
  <w:style w:type="paragraph" w:styleId="Closing">
    <w:name w:val="Closing"/>
    <w:basedOn w:val="Normal"/>
    <w:semiHidden/>
    <w:rsid w:val="00680C88"/>
    <w:pPr>
      <w:ind w:left="4252"/>
    </w:pPr>
  </w:style>
  <w:style w:type="paragraph" w:styleId="Date">
    <w:name w:val="Date"/>
    <w:basedOn w:val="Normal"/>
    <w:next w:val="Normal"/>
    <w:semiHidden/>
    <w:rsid w:val="00680C88"/>
  </w:style>
  <w:style w:type="paragraph" w:styleId="E-mailSignature">
    <w:name w:val="E-mail Signature"/>
    <w:basedOn w:val="Normal"/>
    <w:semiHidden/>
    <w:rsid w:val="00680C88"/>
  </w:style>
  <w:style w:type="character" w:styleId="Emphasis">
    <w:name w:val="Emphasis"/>
    <w:semiHidden/>
    <w:rsid w:val="00680C88"/>
    <w:rPr>
      <w:i/>
      <w:iCs/>
    </w:rPr>
  </w:style>
  <w:style w:type="paragraph" w:styleId="EnvelopeAddress">
    <w:name w:val="envelope address"/>
    <w:basedOn w:val="Normal"/>
    <w:semiHidden/>
    <w:rsid w:val="00680C8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680C88"/>
    <w:rPr>
      <w:rFonts w:ascii="Arial" w:hAnsi="Arial" w:cs="Arial"/>
      <w:sz w:val="20"/>
    </w:rPr>
  </w:style>
  <w:style w:type="character" w:styleId="FollowedHyperlink">
    <w:name w:val="FollowedHyperlink"/>
    <w:semiHidden/>
    <w:rsid w:val="00680C88"/>
    <w:rPr>
      <w:color w:val="800080"/>
      <w:u w:val="single"/>
    </w:rPr>
  </w:style>
  <w:style w:type="character" w:styleId="HTMLAcronym">
    <w:name w:val="HTML Acronym"/>
    <w:basedOn w:val="DefaultParagraphFont"/>
    <w:semiHidden/>
    <w:rsid w:val="00680C88"/>
  </w:style>
  <w:style w:type="paragraph" w:styleId="HTMLAddress">
    <w:name w:val="HTML Address"/>
    <w:basedOn w:val="Normal"/>
    <w:semiHidden/>
    <w:rsid w:val="00680C88"/>
    <w:rPr>
      <w:i/>
      <w:iCs/>
    </w:rPr>
  </w:style>
  <w:style w:type="character" w:styleId="HTMLCite">
    <w:name w:val="HTML Cite"/>
    <w:semiHidden/>
    <w:rsid w:val="00680C88"/>
    <w:rPr>
      <w:i/>
      <w:iCs/>
    </w:rPr>
  </w:style>
  <w:style w:type="character" w:styleId="HTMLCode">
    <w:name w:val="HTML Code"/>
    <w:semiHidden/>
    <w:rsid w:val="00680C88"/>
    <w:rPr>
      <w:rFonts w:ascii="Courier New" w:hAnsi="Courier New" w:cs="Courier New"/>
      <w:sz w:val="20"/>
      <w:szCs w:val="20"/>
    </w:rPr>
  </w:style>
  <w:style w:type="character" w:styleId="HTMLDefinition">
    <w:name w:val="HTML Definition"/>
    <w:semiHidden/>
    <w:rsid w:val="00680C88"/>
    <w:rPr>
      <w:i/>
      <w:iCs/>
    </w:rPr>
  </w:style>
  <w:style w:type="character" w:styleId="HTMLKeyboard">
    <w:name w:val="HTML Keyboard"/>
    <w:semiHidden/>
    <w:rsid w:val="00680C88"/>
    <w:rPr>
      <w:rFonts w:ascii="Courier New" w:hAnsi="Courier New" w:cs="Courier New"/>
      <w:sz w:val="20"/>
      <w:szCs w:val="20"/>
    </w:rPr>
  </w:style>
  <w:style w:type="paragraph" w:styleId="HTMLPreformatted">
    <w:name w:val="HTML Preformatted"/>
    <w:basedOn w:val="Normal"/>
    <w:semiHidden/>
    <w:rsid w:val="00680C88"/>
    <w:rPr>
      <w:rFonts w:ascii="Courier New" w:hAnsi="Courier New" w:cs="Courier New"/>
      <w:sz w:val="20"/>
    </w:rPr>
  </w:style>
  <w:style w:type="character" w:styleId="HTMLSample">
    <w:name w:val="HTML Sample"/>
    <w:semiHidden/>
    <w:rsid w:val="00680C88"/>
    <w:rPr>
      <w:rFonts w:ascii="Courier New" w:hAnsi="Courier New" w:cs="Courier New"/>
    </w:rPr>
  </w:style>
  <w:style w:type="character" w:styleId="HTMLTypewriter">
    <w:name w:val="HTML Typewriter"/>
    <w:semiHidden/>
    <w:rsid w:val="00680C88"/>
    <w:rPr>
      <w:rFonts w:ascii="Courier New" w:hAnsi="Courier New" w:cs="Courier New"/>
      <w:sz w:val="20"/>
      <w:szCs w:val="20"/>
    </w:rPr>
  </w:style>
  <w:style w:type="character" w:styleId="HTMLVariable">
    <w:name w:val="HTML Variable"/>
    <w:semiHidden/>
    <w:rsid w:val="00680C88"/>
    <w:rPr>
      <w:i/>
      <w:iCs/>
    </w:rPr>
  </w:style>
  <w:style w:type="character" w:styleId="Hyperlink">
    <w:name w:val="Hyperlink"/>
    <w:semiHidden/>
    <w:rsid w:val="00680C88"/>
    <w:rPr>
      <w:color w:val="0000FF"/>
      <w:u w:val="single"/>
    </w:rPr>
  </w:style>
  <w:style w:type="character" w:styleId="LineNumber">
    <w:name w:val="line number"/>
    <w:basedOn w:val="DefaultParagraphFont"/>
    <w:semiHidden/>
    <w:rsid w:val="00680C88"/>
  </w:style>
  <w:style w:type="paragraph" w:styleId="List">
    <w:name w:val="List"/>
    <w:basedOn w:val="Normal"/>
    <w:semiHidden/>
    <w:rsid w:val="00680C88"/>
    <w:pPr>
      <w:ind w:left="283" w:hanging="283"/>
    </w:pPr>
  </w:style>
  <w:style w:type="paragraph" w:styleId="List2">
    <w:name w:val="List 2"/>
    <w:basedOn w:val="Normal"/>
    <w:semiHidden/>
    <w:rsid w:val="00680C88"/>
    <w:pPr>
      <w:ind w:left="566" w:hanging="283"/>
    </w:pPr>
  </w:style>
  <w:style w:type="paragraph" w:styleId="List3">
    <w:name w:val="List 3"/>
    <w:basedOn w:val="Normal"/>
    <w:semiHidden/>
    <w:rsid w:val="00680C88"/>
    <w:pPr>
      <w:ind w:left="849" w:hanging="283"/>
    </w:pPr>
  </w:style>
  <w:style w:type="paragraph" w:styleId="List4">
    <w:name w:val="List 4"/>
    <w:basedOn w:val="Normal"/>
    <w:semiHidden/>
    <w:rsid w:val="00680C88"/>
    <w:pPr>
      <w:ind w:left="1132" w:hanging="283"/>
    </w:pPr>
  </w:style>
  <w:style w:type="paragraph" w:styleId="List5">
    <w:name w:val="List 5"/>
    <w:basedOn w:val="Normal"/>
    <w:semiHidden/>
    <w:rsid w:val="00680C88"/>
    <w:pPr>
      <w:ind w:left="1415" w:hanging="283"/>
    </w:pPr>
  </w:style>
  <w:style w:type="paragraph" w:styleId="ListBullet">
    <w:name w:val="List Bullet"/>
    <w:basedOn w:val="Normal"/>
    <w:semiHidden/>
    <w:rsid w:val="00680C88"/>
    <w:pPr>
      <w:numPr>
        <w:numId w:val="2"/>
      </w:numPr>
    </w:pPr>
  </w:style>
  <w:style w:type="paragraph" w:styleId="ListBullet2">
    <w:name w:val="List Bullet 2"/>
    <w:basedOn w:val="Normal"/>
    <w:semiHidden/>
    <w:rsid w:val="00680C88"/>
    <w:pPr>
      <w:numPr>
        <w:numId w:val="3"/>
      </w:numPr>
    </w:pPr>
  </w:style>
  <w:style w:type="paragraph" w:styleId="ListBullet3">
    <w:name w:val="List Bullet 3"/>
    <w:basedOn w:val="Normal"/>
    <w:semiHidden/>
    <w:rsid w:val="00680C88"/>
    <w:pPr>
      <w:numPr>
        <w:numId w:val="4"/>
      </w:numPr>
    </w:pPr>
  </w:style>
  <w:style w:type="paragraph" w:styleId="ListBullet4">
    <w:name w:val="List Bullet 4"/>
    <w:basedOn w:val="Normal"/>
    <w:semiHidden/>
    <w:rsid w:val="00680C88"/>
    <w:pPr>
      <w:numPr>
        <w:numId w:val="5"/>
      </w:numPr>
    </w:pPr>
  </w:style>
  <w:style w:type="paragraph" w:styleId="ListBullet5">
    <w:name w:val="List Bullet 5"/>
    <w:basedOn w:val="Normal"/>
    <w:semiHidden/>
    <w:rsid w:val="00680C88"/>
    <w:pPr>
      <w:numPr>
        <w:numId w:val="6"/>
      </w:numPr>
    </w:pPr>
  </w:style>
  <w:style w:type="paragraph" w:styleId="ListContinue">
    <w:name w:val="List Continue"/>
    <w:basedOn w:val="Normal"/>
    <w:semiHidden/>
    <w:rsid w:val="00680C88"/>
    <w:pPr>
      <w:spacing w:after="120"/>
      <w:ind w:left="283"/>
    </w:pPr>
  </w:style>
  <w:style w:type="paragraph" w:styleId="ListContinue2">
    <w:name w:val="List Continue 2"/>
    <w:basedOn w:val="Normal"/>
    <w:semiHidden/>
    <w:rsid w:val="00680C88"/>
    <w:pPr>
      <w:spacing w:after="120"/>
      <w:ind w:left="566"/>
    </w:pPr>
  </w:style>
  <w:style w:type="paragraph" w:styleId="ListContinue3">
    <w:name w:val="List Continue 3"/>
    <w:basedOn w:val="Normal"/>
    <w:semiHidden/>
    <w:rsid w:val="00680C88"/>
    <w:pPr>
      <w:spacing w:after="120"/>
      <w:ind w:left="849"/>
    </w:pPr>
  </w:style>
  <w:style w:type="paragraph" w:styleId="ListContinue4">
    <w:name w:val="List Continue 4"/>
    <w:basedOn w:val="Normal"/>
    <w:semiHidden/>
    <w:rsid w:val="00680C88"/>
    <w:pPr>
      <w:spacing w:after="120"/>
      <w:ind w:left="1132"/>
    </w:pPr>
  </w:style>
  <w:style w:type="paragraph" w:styleId="ListContinue5">
    <w:name w:val="List Continue 5"/>
    <w:basedOn w:val="Normal"/>
    <w:semiHidden/>
    <w:rsid w:val="00680C88"/>
    <w:pPr>
      <w:spacing w:after="120"/>
      <w:ind w:left="1415"/>
    </w:pPr>
  </w:style>
  <w:style w:type="paragraph" w:styleId="ListNumber">
    <w:name w:val="List Number"/>
    <w:basedOn w:val="Normal"/>
    <w:semiHidden/>
    <w:rsid w:val="00680C88"/>
    <w:pPr>
      <w:numPr>
        <w:numId w:val="7"/>
      </w:numPr>
    </w:pPr>
  </w:style>
  <w:style w:type="paragraph" w:styleId="ListNumber2">
    <w:name w:val="List Number 2"/>
    <w:basedOn w:val="Normal"/>
    <w:semiHidden/>
    <w:rsid w:val="00680C88"/>
    <w:pPr>
      <w:numPr>
        <w:numId w:val="8"/>
      </w:numPr>
    </w:pPr>
  </w:style>
  <w:style w:type="paragraph" w:styleId="ListNumber3">
    <w:name w:val="List Number 3"/>
    <w:basedOn w:val="Normal"/>
    <w:semiHidden/>
    <w:rsid w:val="00680C88"/>
    <w:pPr>
      <w:numPr>
        <w:numId w:val="9"/>
      </w:numPr>
    </w:pPr>
  </w:style>
  <w:style w:type="paragraph" w:styleId="ListNumber4">
    <w:name w:val="List Number 4"/>
    <w:basedOn w:val="Normal"/>
    <w:semiHidden/>
    <w:rsid w:val="00680C88"/>
    <w:pPr>
      <w:numPr>
        <w:numId w:val="10"/>
      </w:numPr>
    </w:pPr>
  </w:style>
  <w:style w:type="paragraph" w:styleId="ListNumber5">
    <w:name w:val="List Number 5"/>
    <w:basedOn w:val="Normal"/>
    <w:semiHidden/>
    <w:rsid w:val="00680C88"/>
    <w:pPr>
      <w:numPr>
        <w:numId w:val="11"/>
      </w:numPr>
    </w:pPr>
  </w:style>
  <w:style w:type="paragraph" w:styleId="MessageHeader">
    <w:name w:val="Message Header"/>
    <w:basedOn w:val="Normal"/>
    <w:semiHidden/>
    <w:rsid w:val="00680C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680C88"/>
    <w:rPr>
      <w:szCs w:val="24"/>
    </w:rPr>
  </w:style>
  <w:style w:type="paragraph" w:styleId="NormalIndent">
    <w:name w:val="Normal Indent"/>
    <w:basedOn w:val="Normal"/>
    <w:semiHidden/>
    <w:rsid w:val="00680C88"/>
    <w:pPr>
      <w:ind w:left="720"/>
    </w:pPr>
  </w:style>
  <w:style w:type="paragraph" w:styleId="NoteHeading">
    <w:name w:val="Note Heading"/>
    <w:basedOn w:val="Normal"/>
    <w:next w:val="Normal"/>
    <w:semiHidden/>
    <w:rsid w:val="00680C88"/>
  </w:style>
  <w:style w:type="character" w:styleId="PageNumber">
    <w:name w:val="page number"/>
    <w:basedOn w:val="DefaultParagraphFont"/>
    <w:semiHidden/>
    <w:rsid w:val="00680C88"/>
  </w:style>
  <w:style w:type="paragraph" w:styleId="PlainText">
    <w:name w:val="Plain Text"/>
    <w:basedOn w:val="Normal"/>
    <w:semiHidden/>
    <w:rsid w:val="00680C88"/>
    <w:rPr>
      <w:rFonts w:ascii="Courier New" w:hAnsi="Courier New" w:cs="Courier New"/>
      <w:sz w:val="20"/>
    </w:rPr>
  </w:style>
  <w:style w:type="paragraph" w:styleId="Salutation">
    <w:name w:val="Salutation"/>
    <w:basedOn w:val="Normal"/>
    <w:next w:val="Normal"/>
    <w:semiHidden/>
    <w:rsid w:val="00680C88"/>
  </w:style>
  <w:style w:type="paragraph" w:styleId="Signature">
    <w:name w:val="Signature"/>
    <w:basedOn w:val="Normal"/>
    <w:semiHidden/>
    <w:rsid w:val="00680C88"/>
    <w:pPr>
      <w:ind w:left="4252"/>
    </w:pPr>
  </w:style>
  <w:style w:type="character" w:styleId="Strong">
    <w:name w:val="Strong"/>
    <w:semiHidden/>
    <w:rsid w:val="00680C88"/>
    <w:rPr>
      <w:b/>
      <w:bCs/>
    </w:rPr>
  </w:style>
  <w:style w:type="paragraph" w:styleId="Subtitle">
    <w:name w:val="Subtitle"/>
    <w:basedOn w:val="Normal"/>
    <w:semiHidden/>
    <w:rsid w:val="00680C88"/>
    <w:pPr>
      <w:spacing w:after="60"/>
      <w:jc w:val="center"/>
      <w:outlineLvl w:val="1"/>
    </w:pPr>
    <w:rPr>
      <w:rFonts w:ascii="Arial" w:hAnsi="Arial" w:cs="Arial"/>
      <w:szCs w:val="24"/>
    </w:rPr>
  </w:style>
  <w:style w:type="table" w:styleId="Table3Deffects1">
    <w:name w:val="Table 3D effects 1"/>
    <w:basedOn w:val="TableNormal"/>
    <w:semiHidden/>
    <w:rsid w:val="00680C88"/>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0C88"/>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0C88"/>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80C88"/>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0C88"/>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0C88"/>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0C88"/>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80C88"/>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0C88"/>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0C88"/>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80C88"/>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0C88"/>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0C88"/>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0C88"/>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0C88"/>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80C88"/>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80C88"/>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80C8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0C88"/>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0C88"/>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0C88"/>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0C88"/>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0C88"/>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0C88"/>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0C88"/>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80C88"/>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0C88"/>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0C88"/>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0C88"/>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0C8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0C88"/>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0C88"/>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0C88"/>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80C88"/>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80C88"/>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0C88"/>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0C88"/>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0C88"/>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0C88"/>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80C8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80C88"/>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0C88"/>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0C88"/>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680C88"/>
    <w:pPr>
      <w:spacing w:before="120" w:after="60" w:line="240" w:lineRule="auto"/>
      <w:jc w:val="left"/>
    </w:pPr>
  </w:style>
  <w:style w:type="paragraph" w:customStyle="1" w:styleId="bTOC2">
    <w:name w:val="bTOC 2"/>
    <w:basedOn w:val="TOC2"/>
    <w:semiHidden/>
    <w:rsid w:val="00680C88"/>
    <w:pPr>
      <w:spacing w:before="120" w:after="60" w:line="240" w:lineRule="auto"/>
      <w:ind w:left="238"/>
      <w:jc w:val="left"/>
    </w:pPr>
  </w:style>
  <w:style w:type="paragraph" w:customStyle="1" w:styleId="bTOC3">
    <w:name w:val="bTOC 3"/>
    <w:basedOn w:val="TOC3"/>
    <w:semiHidden/>
    <w:rsid w:val="00680C88"/>
    <w:pPr>
      <w:spacing w:before="120" w:after="60" w:line="240" w:lineRule="auto"/>
      <w:ind w:left="482"/>
      <w:jc w:val="left"/>
    </w:pPr>
  </w:style>
  <w:style w:type="paragraph" w:customStyle="1" w:styleId="bTOC4">
    <w:name w:val="bTOC 4"/>
    <w:basedOn w:val="TOC4"/>
    <w:semiHidden/>
    <w:rsid w:val="00680C88"/>
    <w:pPr>
      <w:spacing w:before="120" w:after="60" w:line="240" w:lineRule="auto"/>
      <w:jc w:val="left"/>
    </w:pPr>
  </w:style>
  <w:style w:type="paragraph" w:customStyle="1" w:styleId="Counsel">
    <w:name w:val="Counsel"/>
    <w:basedOn w:val="Normal"/>
    <w:unhideWhenUsed/>
    <w:rsid w:val="00680C88"/>
    <w:pPr>
      <w:widowControl w:val="0"/>
      <w:suppressAutoHyphens/>
      <w:spacing w:line="240" w:lineRule="auto"/>
    </w:pPr>
  </w:style>
  <w:style w:type="character" w:customStyle="1" w:styleId="CertifyChar">
    <w:name w:val="Certify Char"/>
    <w:link w:val="Certify"/>
    <w:semiHidden/>
    <w:rsid w:val="00680C88"/>
    <w:rPr>
      <w:sz w:val="24"/>
      <w:szCs w:val="24"/>
      <w:lang w:eastAsia="en-US"/>
    </w:rPr>
  </w:style>
  <w:style w:type="paragraph" w:customStyle="1" w:styleId="fcHeading1">
    <w:name w:val="fcHeading 1"/>
    <w:basedOn w:val="Normal"/>
    <w:next w:val="ParaNumbering"/>
    <w:semiHidden/>
    <w:rsid w:val="00680C88"/>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680C88"/>
    <w:pPr>
      <w:keepNext/>
      <w:numPr>
        <w:ilvl w:val="1"/>
        <w:numId w:val="15"/>
      </w:numPr>
      <w:spacing w:before="240" w:after="60" w:line="240" w:lineRule="auto"/>
    </w:pPr>
    <w:rPr>
      <w:b/>
    </w:rPr>
  </w:style>
  <w:style w:type="paragraph" w:customStyle="1" w:styleId="fcHeading3">
    <w:name w:val="fcHeading 3"/>
    <w:basedOn w:val="Normal"/>
    <w:next w:val="ParaNumbering"/>
    <w:semiHidden/>
    <w:rsid w:val="00680C88"/>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680C88"/>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680C88"/>
    <w:pPr>
      <w:keepNext/>
      <w:numPr>
        <w:ilvl w:val="4"/>
        <w:numId w:val="15"/>
      </w:numPr>
      <w:spacing w:before="240" w:after="60" w:line="240" w:lineRule="auto"/>
    </w:pPr>
    <w:rPr>
      <w:b/>
      <w:caps/>
    </w:rPr>
  </w:style>
  <w:style w:type="paragraph" w:customStyle="1" w:styleId="FTOC5">
    <w:name w:val="FTOC 5"/>
    <w:basedOn w:val="Normal"/>
    <w:semiHidden/>
    <w:rsid w:val="00680C8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80C8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80C8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80C8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80C8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680C88"/>
    <w:pPr>
      <w:tabs>
        <w:tab w:val="right" w:leader="dot" w:pos="9072"/>
      </w:tabs>
      <w:spacing w:before="120" w:after="60" w:line="240" w:lineRule="auto"/>
      <w:ind w:left="709" w:hanging="709"/>
      <w:jc w:val="left"/>
    </w:pPr>
  </w:style>
  <w:style w:type="paragraph" w:customStyle="1" w:styleId="bTOC6">
    <w:name w:val="bTOC 6"/>
    <w:basedOn w:val="Normal"/>
    <w:semiHidden/>
    <w:rsid w:val="00680C88"/>
    <w:pPr>
      <w:tabs>
        <w:tab w:val="right" w:leader="dot" w:pos="9072"/>
      </w:tabs>
      <w:spacing w:before="120" w:after="60" w:line="240" w:lineRule="auto"/>
      <w:ind w:left="1418" w:hanging="709"/>
      <w:jc w:val="left"/>
    </w:pPr>
  </w:style>
  <w:style w:type="paragraph" w:customStyle="1" w:styleId="bTOC7">
    <w:name w:val="bTOC 7"/>
    <w:basedOn w:val="Normal"/>
    <w:semiHidden/>
    <w:rsid w:val="00680C88"/>
    <w:pPr>
      <w:tabs>
        <w:tab w:val="right" w:leader="dot" w:pos="9072"/>
      </w:tabs>
      <w:spacing w:before="120" w:after="60" w:line="240" w:lineRule="auto"/>
      <w:ind w:left="2240" w:hanging="822"/>
      <w:jc w:val="left"/>
    </w:pPr>
  </w:style>
  <w:style w:type="paragraph" w:customStyle="1" w:styleId="bTOC8">
    <w:name w:val="bTOC 8"/>
    <w:basedOn w:val="Normal"/>
    <w:semiHidden/>
    <w:rsid w:val="00680C88"/>
    <w:pPr>
      <w:keepNext/>
      <w:tabs>
        <w:tab w:val="right" w:leader="dot" w:pos="9072"/>
      </w:tabs>
      <w:spacing w:before="120" w:after="60" w:line="240" w:lineRule="auto"/>
      <w:ind w:left="3373" w:hanging="1247"/>
      <w:jc w:val="left"/>
    </w:pPr>
  </w:style>
  <w:style w:type="paragraph" w:customStyle="1" w:styleId="bTOC9">
    <w:name w:val="bTOC 9"/>
    <w:basedOn w:val="Normal"/>
    <w:semiHidden/>
    <w:rsid w:val="00680C88"/>
    <w:pPr>
      <w:keepNext/>
      <w:tabs>
        <w:tab w:val="right" w:leader="dot" w:pos="9072"/>
      </w:tabs>
      <w:spacing w:before="120" w:after="60" w:line="240" w:lineRule="auto"/>
      <w:ind w:left="4082" w:hanging="1247"/>
      <w:jc w:val="left"/>
    </w:pPr>
  </w:style>
  <w:style w:type="paragraph" w:customStyle="1" w:styleId="ListNo2">
    <w:name w:val="List No 2"/>
    <w:basedOn w:val="ListNo1"/>
    <w:rsid w:val="00680C88"/>
    <w:pPr>
      <w:numPr>
        <w:ilvl w:val="1"/>
      </w:numPr>
    </w:pPr>
  </w:style>
  <w:style w:type="paragraph" w:customStyle="1" w:styleId="ListNo3">
    <w:name w:val="List No 3"/>
    <w:basedOn w:val="ListNo2"/>
    <w:rsid w:val="00680C88"/>
    <w:pPr>
      <w:numPr>
        <w:ilvl w:val="2"/>
      </w:numPr>
    </w:pPr>
  </w:style>
  <w:style w:type="numbering" w:customStyle="1" w:styleId="FCListNo">
    <w:name w:val="FCListNo"/>
    <w:uiPriority w:val="99"/>
    <w:rsid w:val="00680C88"/>
    <w:pPr>
      <w:numPr>
        <w:numId w:val="16"/>
      </w:numPr>
    </w:pPr>
  </w:style>
  <w:style w:type="paragraph" w:customStyle="1" w:styleId="SingleSpace">
    <w:name w:val="SingleSpace"/>
    <w:basedOn w:val="Normal"/>
    <w:rsid w:val="00680C88"/>
    <w:pPr>
      <w:spacing w:line="240" w:lineRule="auto"/>
    </w:pPr>
    <w:rPr>
      <w:szCs w:val="22"/>
    </w:rPr>
  </w:style>
  <w:style w:type="paragraph" w:customStyle="1" w:styleId="Quote1Bullet">
    <w:name w:val="Quote1 Bullet"/>
    <w:basedOn w:val="Quote1"/>
    <w:rsid w:val="00680C88"/>
    <w:pPr>
      <w:numPr>
        <w:numId w:val="17"/>
      </w:numPr>
      <w:ind w:left="1440" w:hanging="720"/>
    </w:pPr>
  </w:style>
  <w:style w:type="paragraph" w:customStyle="1" w:styleId="Quote2Bullet">
    <w:name w:val="Quote2 Bullet"/>
    <w:basedOn w:val="Quote2"/>
    <w:rsid w:val="00680C88"/>
    <w:pPr>
      <w:numPr>
        <w:numId w:val="18"/>
      </w:numPr>
      <w:ind w:hanging="720"/>
    </w:pPr>
  </w:style>
  <w:style w:type="paragraph" w:customStyle="1" w:styleId="Quote3Bullet">
    <w:name w:val="Quote3 Bullet"/>
    <w:basedOn w:val="Quote3"/>
    <w:rsid w:val="00680C88"/>
    <w:pPr>
      <w:numPr>
        <w:numId w:val="19"/>
      </w:numPr>
      <w:ind w:hanging="720"/>
    </w:pPr>
  </w:style>
  <w:style w:type="paragraph" w:customStyle="1" w:styleId="Order1">
    <w:name w:val="Order 1"/>
    <w:basedOn w:val="Normal"/>
    <w:rsid w:val="00680C88"/>
    <w:pPr>
      <w:numPr>
        <w:numId w:val="20"/>
      </w:numPr>
      <w:spacing w:before="60" w:after="60"/>
    </w:pPr>
  </w:style>
  <w:style w:type="numbering" w:customStyle="1" w:styleId="FCOrders">
    <w:name w:val="FCOrders"/>
    <w:uiPriority w:val="99"/>
    <w:rsid w:val="00680C88"/>
    <w:pPr>
      <w:numPr>
        <w:numId w:val="20"/>
      </w:numPr>
    </w:pPr>
  </w:style>
  <w:style w:type="paragraph" w:customStyle="1" w:styleId="BodyTextBold">
    <w:name w:val="Body Text Bold"/>
    <w:basedOn w:val="BodyText"/>
    <w:rsid w:val="00680C88"/>
    <w:rPr>
      <w:b/>
    </w:rPr>
  </w:style>
  <w:style w:type="paragraph" w:customStyle="1" w:styleId="GeneralHeading">
    <w:name w:val="General Heading"/>
    <w:basedOn w:val="BodyTextBold"/>
    <w:next w:val="BodyText"/>
    <w:rsid w:val="00680C88"/>
    <w:pPr>
      <w:spacing w:line="480" w:lineRule="auto"/>
      <w:jc w:val="center"/>
    </w:pPr>
    <w:rPr>
      <w:sz w:val="28"/>
    </w:rPr>
  </w:style>
  <w:style w:type="paragraph" w:customStyle="1" w:styleId="ReasonJudge">
    <w:name w:val="Reason Judge"/>
    <w:basedOn w:val="BodyText"/>
    <w:next w:val="BodyText"/>
    <w:rsid w:val="00680C88"/>
    <w:pPr>
      <w:jc w:val="left"/>
    </w:pPr>
    <w:rPr>
      <w:b/>
      <w:sz w:val="26"/>
    </w:rPr>
  </w:style>
  <w:style w:type="paragraph" w:customStyle="1" w:styleId="FileNo">
    <w:name w:val="FileNo"/>
    <w:basedOn w:val="NormalHeadings"/>
    <w:rsid w:val="00680C88"/>
    <w:pPr>
      <w:tabs>
        <w:tab w:val="right" w:pos="3609"/>
      </w:tabs>
      <w:spacing w:line="276" w:lineRule="auto"/>
      <w:jc w:val="right"/>
    </w:pPr>
    <w:rPr>
      <w:szCs w:val="24"/>
    </w:rPr>
  </w:style>
  <w:style w:type="paragraph" w:customStyle="1" w:styleId="CasesLegislationAppealFrom">
    <w:name w:val="Cases Legislation Appeal From"/>
    <w:basedOn w:val="Normal1linespace"/>
    <w:rsid w:val="00680C88"/>
    <w:pPr>
      <w:widowControl w:val="0"/>
      <w:spacing w:after="100"/>
      <w:jc w:val="left"/>
    </w:pPr>
  </w:style>
  <w:style w:type="paragraph" w:customStyle="1" w:styleId="PartyName">
    <w:name w:val="Party Name"/>
    <w:basedOn w:val="NormalHeadings"/>
    <w:rsid w:val="00680C88"/>
    <w:pPr>
      <w:jc w:val="left"/>
    </w:pPr>
    <w:rPr>
      <w:szCs w:val="24"/>
    </w:rPr>
  </w:style>
  <w:style w:type="paragraph" w:customStyle="1" w:styleId="PartyType">
    <w:name w:val="Party Type"/>
    <w:basedOn w:val="PartyName"/>
    <w:rsid w:val="00680C88"/>
    <w:rPr>
      <w:b w:val="0"/>
    </w:rPr>
  </w:style>
  <w:style w:type="paragraph" w:customStyle="1" w:styleId="Small-TableswithinQuotes">
    <w:name w:val="Small - Tables within Quotes"/>
    <w:basedOn w:val="BodyText"/>
    <w:rsid w:val="00680C88"/>
    <w:pPr>
      <w:spacing w:line="240" w:lineRule="auto"/>
      <w:jc w:val="left"/>
    </w:pPr>
    <w:rPr>
      <w:sz w:val="22"/>
    </w:rPr>
  </w:style>
  <w:style w:type="character" w:customStyle="1" w:styleId="BodyTextChar">
    <w:name w:val="Body Text Char"/>
    <w:basedOn w:val="DefaultParagraphFont"/>
    <w:link w:val="BodyText"/>
    <w:rsid w:val="00680C88"/>
    <w:rPr>
      <w:sz w:val="24"/>
      <w:lang w:eastAsia="en-US"/>
    </w:rPr>
  </w:style>
  <w:style w:type="character" w:customStyle="1" w:styleId="NormalHeadingsChar">
    <w:name w:val="Normal Headings Char"/>
    <w:basedOn w:val="DefaultParagraphFont"/>
    <w:link w:val="NormalHeadings"/>
    <w:rsid w:val="00680C88"/>
    <w:rPr>
      <w:b/>
      <w:sz w:val="24"/>
      <w:lang w:eastAsia="en-US"/>
    </w:rPr>
  </w:style>
  <w:style w:type="paragraph" w:customStyle="1" w:styleId="CourtTitle">
    <w:name w:val="CourtTitle"/>
    <w:basedOn w:val="NormalHeadings"/>
    <w:rsid w:val="00680C88"/>
    <w:pPr>
      <w:jc w:val="center"/>
    </w:pPr>
    <w:rPr>
      <w:caps/>
      <w:sz w:val="32"/>
    </w:rPr>
  </w:style>
  <w:style w:type="paragraph" w:customStyle="1" w:styleId="MNC">
    <w:name w:val="MNC"/>
    <w:basedOn w:val="MediaNeutralStyle"/>
    <w:rsid w:val="00680C88"/>
    <w:pPr>
      <w:spacing w:after="240"/>
    </w:pPr>
    <w:rPr>
      <w:sz w:val="28"/>
    </w:rPr>
  </w:style>
  <w:style w:type="paragraph" w:customStyle="1" w:styleId="Quote4">
    <w:name w:val="Quote4"/>
    <w:basedOn w:val="Quote1"/>
    <w:rsid w:val="00680C88"/>
    <w:pPr>
      <w:ind w:left="2880"/>
    </w:pPr>
  </w:style>
  <w:style w:type="paragraph" w:customStyle="1" w:styleId="Quote4Bullet">
    <w:name w:val="Quote4 Bullet"/>
    <w:basedOn w:val="Quote4"/>
    <w:rsid w:val="00680C88"/>
    <w:pPr>
      <w:numPr>
        <w:numId w:val="21"/>
      </w:numPr>
      <w:ind w:hanging="720"/>
    </w:pPr>
  </w:style>
  <w:style w:type="character" w:styleId="PlaceholderText">
    <w:name w:val="Placeholder Text"/>
    <w:basedOn w:val="DefaultParagraphFont"/>
    <w:uiPriority w:val="99"/>
    <w:semiHidden/>
    <w:rsid w:val="00680C88"/>
    <w:rPr>
      <w:color w:val="808080"/>
    </w:rPr>
  </w:style>
  <w:style w:type="paragraph" w:customStyle="1" w:styleId="Order2">
    <w:name w:val="Order 2"/>
    <w:basedOn w:val="Order1"/>
    <w:rsid w:val="00680C88"/>
    <w:pPr>
      <w:numPr>
        <w:ilvl w:val="1"/>
      </w:numPr>
    </w:pPr>
  </w:style>
  <w:style w:type="paragraph" w:customStyle="1" w:styleId="Order3">
    <w:name w:val="Order 3"/>
    <w:basedOn w:val="Order2"/>
    <w:rsid w:val="00680C88"/>
    <w:pPr>
      <w:numPr>
        <w:ilvl w:val="2"/>
      </w:numPr>
    </w:pPr>
  </w:style>
  <w:style w:type="paragraph" w:customStyle="1" w:styleId="ListNo1alt">
    <w:name w:val="List No 1 (alt)"/>
    <w:basedOn w:val="Normal"/>
    <w:rsid w:val="00680C88"/>
    <w:pPr>
      <w:numPr>
        <w:numId w:val="23"/>
      </w:numPr>
      <w:spacing w:before="60" w:after="60"/>
    </w:pPr>
  </w:style>
  <w:style w:type="paragraph" w:customStyle="1" w:styleId="ListNo2alt">
    <w:name w:val="List No 2 (alt)"/>
    <w:basedOn w:val="ListNo1alt"/>
    <w:rsid w:val="00680C88"/>
    <w:pPr>
      <w:numPr>
        <w:ilvl w:val="1"/>
      </w:numPr>
    </w:pPr>
  </w:style>
  <w:style w:type="paragraph" w:customStyle="1" w:styleId="ListNo3alt">
    <w:name w:val="List No 3 (alt)"/>
    <w:basedOn w:val="ListNo2alt"/>
    <w:rsid w:val="00680C88"/>
    <w:pPr>
      <w:numPr>
        <w:ilvl w:val="2"/>
      </w:numPr>
    </w:pPr>
  </w:style>
  <w:style w:type="numbering" w:customStyle="1" w:styleId="FCListNoalt">
    <w:name w:val="FC List No (alt)"/>
    <w:uiPriority w:val="99"/>
    <w:rsid w:val="00680C88"/>
    <w:pPr>
      <w:numPr>
        <w:numId w:val="23"/>
      </w:numPr>
    </w:pPr>
  </w:style>
  <w:style w:type="paragraph" w:customStyle="1" w:styleId="Order4">
    <w:name w:val="Order 4"/>
    <w:basedOn w:val="Order3"/>
    <w:rsid w:val="00680C88"/>
    <w:pPr>
      <w:numPr>
        <w:ilvl w:val="3"/>
      </w:numPr>
    </w:pPr>
  </w:style>
  <w:style w:type="paragraph" w:styleId="FootnoteText">
    <w:name w:val="footnote text"/>
    <w:basedOn w:val="Normal"/>
    <w:link w:val="FootnoteTextChar"/>
    <w:semiHidden/>
    <w:unhideWhenUsed/>
    <w:rsid w:val="00680C88"/>
    <w:pPr>
      <w:spacing w:line="240" w:lineRule="auto"/>
    </w:pPr>
    <w:rPr>
      <w:sz w:val="20"/>
    </w:rPr>
  </w:style>
  <w:style w:type="character" w:customStyle="1" w:styleId="FootnoteTextChar">
    <w:name w:val="Footnote Text Char"/>
    <w:basedOn w:val="DefaultParagraphFont"/>
    <w:link w:val="FootnoteText"/>
    <w:semiHidden/>
    <w:rsid w:val="00680C88"/>
    <w:rPr>
      <w:lang w:eastAsia="en-US"/>
    </w:rPr>
  </w:style>
  <w:style w:type="character" w:styleId="FootnoteReference">
    <w:name w:val="footnote reference"/>
    <w:basedOn w:val="DefaultParagraphFont"/>
    <w:semiHidden/>
    <w:unhideWhenUsed/>
    <w:rsid w:val="00680C88"/>
    <w:rPr>
      <w:vertAlign w:val="superscript"/>
    </w:rPr>
  </w:style>
  <w:style w:type="paragraph" w:customStyle="1" w:styleId="FCBullets2">
    <w:name w:val="FCBullets2"/>
    <w:basedOn w:val="FCBullets"/>
    <w:rsid w:val="00680C88"/>
    <w:pPr>
      <w:numPr>
        <w:ilvl w:val="1"/>
      </w:numPr>
    </w:pPr>
  </w:style>
  <w:style w:type="numbering" w:customStyle="1" w:styleId="FCNotes">
    <w:name w:val="FCNotes"/>
    <w:uiPriority w:val="99"/>
    <w:rsid w:val="00680C88"/>
    <w:pPr>
      <w:numPr>
        <w:numId w:val="26"/>
      </w:numPr>
    </w:pPr>
  </w:style>
  <w:style w:type="paragraph" w:customStyle="1" w:styleId="Notes">
    <w:name w:val="Notes"/>
    <w:basedOn w:val="Normal"/>
    <w:rsid w:val="00680C88"/>
    <w:pPr>
      <w:numPr>
        <w:numId w:val="26"/>
      </w:numPr>
      <w:spacing w:before="60" w:after="60"/>
    </w:pPr>
  </w:style>
  <w:style w:type="paragraph" w:customStyle="1" w:styleId="OrdersHeading1">
    <w:name w:val="Orders Heading 1"/>
    <w:basedOn w:val="Normal"/>
    <w:next w:val="BodyText"/>
    <w:rsid w:val="00680C88"/>
    <w:pPr>
      <w:keepNext/>
      <w:spacing w:before="240" w:after="180" w:line="240" w:lineRule="auto"/>
    </w:pPr>
    <w:rPr>
      <w:b/>
      <w:caps/>
    </w:rPr>
  </w:style>
  <w:style w:type="paragraph" w:customStyle="1" w:styleId="OrdersHeading2">
    <w:name w:val="Orders Heading 2"/>
    <w:basedOn w:val="Normal"/>
    <w:next w:val="BodyText"/>
    <w:rsid w:val="00680C88"/>
    <w:pPr>
      <w:keepNext/>
      <w:spacing w:before="240" w:after="180" w:line="240" w:lineRule="auto"/>
    </w:pPr>
    <w:rPr>
      <w:b/>
    </w:rPr>
  </w:style>
  <w:style w:type="paragraph" w:customStyle="1" w:styleId="Default">
    <w:name w:val="Default"/>
    <w:rsid w:val="00E753EC"/>
    <w:pPr>
      <w:autoSpaceDE w:val="0"/>
      <w:autoSpaceDN w:val="0"/>
      <w:adjustRightInd w:val="0"/>
    </w:pPr>
    <w:rPr>
      <w:color w:val="000000"/>
      <w:sz w:val="24"/>
      <w:szCs w:val="24"/>
    </w:rPr>
  </w:style>
  <w:style w:type="character" w:customStyle="1" w:styleId="sup">
    <w:name w:val="sup"/>
    <w:basedOn w:val="DefaultParagraphFont"/>
    <w:rsid w:val="001D0CD1"/>
  </w:style>
  <w:style w:type="paragraph" w:styleId="Revision">
    <w:name w:val="Revision"/>
    <w:hidden/>
    <w:uiPriority w:val="99"/>
    <w:semiHidden/>
    <w:rsid w:val="00F31A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7072">
      <w:bodyDiv w:val="1"/>
      <w:marLeft w:val="0"/>
      <w:marRight w:val="0"/>
      <w:marTop w:val="0"/>
      <w:marBottom w:val="0"/>
      <w:divBdr>
        <w:top w:val="none" w:sz="0" w:space="0" w:color="auto"/>
        <w:left w:val="none" w:sz="0" w:space="0" w:color="auto"/>
        <w:bottom w:val="none" w:sz="0" w:space="0" w:color="auto"/>
        <w:right w:val="none" w:sz="0" w:space="0" w:color="auto"/>
      </w:divBdr>
    </w:div>
    <w:div w:id="981613115">
      <w:bodyDiv w:val="1"/>
      <w:marLeft w:val="0"/>
      <w:marRight w:val="0"/>
      <w:marTop w:val="0"/>
      <w:marBottom w:val="0"/>
      <w:divBdr>
        <w:top w:val="none" w:sz="0" w:space="0" w:color="auto"/>
        <w:left w:val="none" w:sz="0" w:space="0" w:color="auto"/>
        <w:bottom w:val="none" w:sz="0" w:space="0" w:color="auto"/>
        <w:right w:val="none" w:sz="0" w:space="0" w:color="auto"/>
      </w:divBdr>
    </w:div>
    <w:div w:id="18635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ustlii.edu.au/cgi-bin/viewdoc/au/cases/cth/HCA/1937/11.html"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917A7DE234E35B2C6E49E49CCA056"/>
        <w:category>
          <w:name w:val="General"/>
          <w:gallery w:val="placeholder"/>
        </w:category>
        <w:types>
          <w:type w:val="bbPlcHdr"/>
        </w:types>
        <w:behaviors>
          <w:behavior w:val="content"/>
        </w:behaviors>
        <w:guid w:val="{1F5FDAB0-9CB7-4D14-8FC4-F887E5C59F83}"/>
      </w:docPartPr>
      <w:docPartBody>
        <w:p w:rsidR="00A30091" w:rsidRDefault="00A30091">
          <w:pPr>
            <w:pStyle w:val="0C2917A7DE234E35B2C6E49E49CCA056"/>
          </w:pPr>
          <w:r>
            <w:rPr>
              <w:rStyle w:val="PlaceholderText"/>
            </w:rPr>
            <w:t>MNC Text</w:t>
          </w:r>
        </w:p>
      </w:docPartBody>
    </w:docPart>
    <w:docPart>
      <w:docPartPr>
        <w:name w:val="C53EF41A259144CDA06CB7718609A400"/>
        <w:category>
          <w:name w:val="General"/>
          <w:gallery w:val="placeholder"/>
        </w:category>
        <w:types>
          <w:type w:val="bbPlcHdr"/>
        </w:types>
        <w:behaviors>
          <w:behavior w:val="content"/>
        </w:behaviors>
        <w:guid w:val="{EDF19606-5229-4719-93AC-9C1FAB4D3CE5}"/>
      </w:docPartPr>
      <w:docPartBody>
        <w:p w:rsidR="00A30091" w:rsidRDefault="00A30091">
          <w:pPr>
            <w:pStyle w:val="C53EF41A259144CDA06CB7718609A400"/>
          </w:pPr>
          <w:r w:rsidRPr="005C44BE">
            <w:rPr>
              <w:rStyle w:val="PlaceholderText"/>
            </w:rPr>
            <w:t>Click or tap here to enter text.</w:t>
          </w:r>
        </w:p>
      </w:docPartBody>
    </w:docPart>
    <w:docPart>
      <w:docPartPr>
        <w:name w:val="7B972A7BF76047B1B202FBD2E0140D52"/>
        <w:category>
          <w:name w:val="General"/>
          <w:gallery w:val="placeholder"/>
        </w:category>
        <w:types>
          <w:type w:val="bbPlcHdr"/>
        </w:types>
        <w:behaviors>
          <w:behavior w:val="content"/>
        </w:behaviors>
        <w:guid w:val="{A6AEAB6B-96F8-441A-8995-DA239674B960}"/>
      </w:docPartPr>
      <w:docPartBody>
        <w:p w:rsidR="00A30091" w:rsidRDefault="00A30091">
          <w:pPr>
            <w:pStyle w:val="7B972A7BF76047B1B202FBD2E0140D52"/>
          </w:pPr>
          <w:r w:rsidRPr="005C44BE">
            <w:rPr>
              <w:rStyle w:val="PlaceholderText"/>
            </w:rPr>
            <w:t>Click or tap here to enter text.</w:t>
          </w:r>
        </w:p>
      </w:docPartBody>
    </w:docPart>
    <w:docPart>
      <w:docPartPr>
        <w:name w:val="DE2F2100CAA54755BE416E88773A43DB"/>
        <w:category>
          <w:name w:val="General"/>
          <w:gallery w:val="placeholder"/>
        </w:category>
        <w:types>
          <w:type w:val="bbPlcHdr"/>
        </w:types>
        <w:behaviors>
          <w:behavior w:val="content"/>
        </w:behaviors>
        <w:guid w:val="{B8EAC5A7-46B8-4BCC-B241-1C4F2E155484}"/>
      </w:docPartPr>
      <w:docPartBody>
        <w:p w:rsidR="00A30091" w:rsidRDefault="00A30091">
          <w:pPr>
            <w:pStyle w:val="DE2F2100CAA54755BE416E88773A43DB"/>
          </w:pPr>
          <w:r w:rsidRPr="005C44BE">
            <w:rPr>
              <w:rStyle w:val="PlaceholderText"/>
            </w:rPr>
            <w:t>Click or tap here to enter text.</w:t>
          </w:r>
        </w:p>
      </w:docPartBody>
    </w:docPart>
    <w:docPart>
      <w:docPartPr>
        <w:name w:val="50AA9CE61DF94006807899053713437D"/>
        <w:category>
          <w:name w:val="General"/>
          <w:gallery w:val="placeholder"/>
        </w:category>
        <w:types>
          <w:type w:val="bbPlcHdr"/>
        </w:types>
        <w:behaviors>
          <w:behavior w:val="content"/>
        </w:behaviors>
        <w:guid w:val="{69C8A5BF-43F6-4605-879F-8E91672EF794}"/>
      </w:docPartPr>
      <w:docPartBody>
        <w:p w:rsidR="00A30091" w:rsidRDefault="00A30091">
          <w:pPr>
            <w:pStyle w:val="50AA9CE61DF94006807899053713437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91"/>
    <w:rsid w:val="001554AB"/>
    <w:rsid w:val="00A30091"/>
    <w:rsid w:val="00AF1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2917A7DE234E35B2C6E49E49CCA056">
    <w:name w:val="0C2917A7DE234E35B2C6E49E49CCA056"/>
  </w:style>
  <w:style w:type="paragraph" w:customStyle="1" w:styleId="C53EF41A259144CDA06CB7718609A400">
    <w:name w:val="C53EF41A259144CDA06CB7718609A400"/>
  </w:style>
  <w:style w:type="paragraph" w:customStyle="1" w:styleId="7B972A7BF76047B1B202FBD2E0140D52">
    <w:name w:val="7B972A7BF76047B1B202FBD2E0140D52"/>
  </w:style>
  <w:style w:type="paragraph" w:customStyle="1" w:styleId="DE2F2100CAA54755BE416E88773A43DB">
    <w:name w:val="DE2F2100CAA54755BE416E88773A43DB"/>
  </w:style>
  <w:style w:type="paragraph" w:customStyle="1" w:styleId="50AA9CE61DF94006807899053713437D">
    <w:name w:val="50AA9CE61DF940068078990537134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565146-2f8e-461d-9f5d-a2fc47eded3f" xsi:nil="true"/>
  </documentManagement>
</p:properties>
</file>

<file path=customXml/item3.xml><?xml version="1.0" encoding="utf-8"?>
<root xmlns="http://schemas.globalmacros.com/FCA">
  <Name>Hedges v Commissioner of Taxation [2023] FCAFC 105 </Name>
</root>
</file>

<file path=customXml/item4.xml><?xml version="1.0" encoding="utf-8"?>
<ct:contentTypeSchema xmlns:ct="http://schemas.microsoft.com/office/2006/metadata/contentType" xmlns:ma="http://schemas.microsoft.com/office/2006/metadata/properties/metaAttributes" ct:_="" ma:_="" ma:contentTypeName="Document" ma:contentTypeID="0x0101002633E8F2BB9C6944854828B86C17C5A4" ma:contentTypeVersion="14" ma:contentTypeDescription="Create a new document." ma:contentTypeScope="" ma:versionID="ff65c86e2a8ac768b858fb8f605ea8ad">
  <xsd:schema xmlns:xsd="http://www.w3.org/2001/XMLSchema" xmlns:xs="http://www.w3.org/2001/XMLSchema" xmlns:p="http://schemas.microsoft.com/office/2006/metadata/properties" xmlns:ns3="fa565146-2f8e-461d-9f5d-a2fc47eded3f" xmlns:ns4="dfd0b36c-4b04-4bea-bb63-45b64cf84f2b" targetNamespace="http://schemas.microsoft.com/office/2006/metadata/properties" ma:root="true" ma:fieldsID="8a8a3e0c5cf770791643ba78e4b78c55" ns3:_="" ns4:_="">
    <xsd:import namespace="fa565146-2f8e-461d-9f5d-a2fc47eded3f"/>
    <xsd:import namespace="dfd0b36c-4b04-4bea-bb63-45b64cf84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5146-2f8e-461d-9f5d-a2fc47ede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0b36c-4b04-4bea-bb63-45b64cf84f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CE26-2F24-4470-9777-2F37AC1959CC}">
  <ds:schemaRefs>
    <ds:schemaRef ds:uri="http://schemas.microsoft.com/sharepoint/v3/contenttype/forms"/>
  </ds:schemaRefs>
</ds:datastoreItem>
</file>

<file path=customXml/itemProps2.xml><?xml version="1.0" encoding="utf-8"?>
<ds:datastoreItem xmlns:ds="http://schemas.openxmlformats.org/officeDocument/2006/customXml" ds:itemID="{3D7C73F1-7C36-4C62-9FB6-20A29E5C28EB}">
  <ds:schemaRefs>
    <ds:schemaRef ds:uri="http://schemas.microsoft.com/office/infopath/2007/PartnerControls"/>
    <ds:schemaRef ds:uri="dfd0b36c-4b04-4bea-bb63-45b64cf84f2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a565146-2f8e-461d-9f5d-a2fc47eded3f"/>
    <ds:schemaRef ds:uri="http://www.w3.org/XML/1998/namespace"/>
    <ds:schemaRef ds:uri="http://purl.org/dc/dcmitype/"/>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9693E707-A2DA-4E89-A798-347FD40E2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65146-2f8e-461d-9f5d-a2fc47eded3f"/>
    <ds:schemaRef ds:uri="dfd0b36c-4b04-4bea-bb63-45b64cf8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89C9F-4BDB-4B29-B2C4-766877B2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19</Pages>
  <Words>6996</Words>
  <Characters>34458</Characters>
  <Application>Microsoft Office Word</Application>
  <DocSecurity>0</DocSecurity>
  <Lines>733</Lines>
  <Paragraphs>334</Paragraphs>
  <ScaleCrop>false</ScaleCrop>
  <HeadingPairs>
    <vt:vector size="2" baseType="variant">
      <vt:variant>
        <vt:lpstr>Title</vt:lpstr>
      </vt:variant>
      <vt:variant>
        <vt:i4>1</vt:i4>
      </vt:variant>
    </vt:vector>
  </HeadingPairs>
  <TitlesOfParts>
    <vt:vector size="1" baseType="lpstr">
      <vt:lpstr>Hedges v Commissioner of Taxation [2023] FCAFC 105</vt:lpstr>
    </vt:vector>
  </TitlesOfParts>
  <Company>Federal Court of Australia</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Hedges v Commissioner of Taxation [2023] FCAFC 105</dc:title>
  <dc:creator>Federal Court of Australia</dc:creator>
  <dc:description>v1.3</dc:description>
  <cp:lastModifiedBy>Federal Court of Australia</cp:lastModifiedBy>
  <cp:revision>3</cp:revision>
  <cp:lastPrinted>2023-07-04T06:23:00Z</cp:lastPrinted>
  <dcterms:created xsi:type="dcterms:W3CDTF">2023-07-12T00:13:00Z</dcterms:created>
  <dcterms:modified xsi:type="dcterms:W3CDTF">2023-07-12T00:17:00Z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Hedges v Commissioner of Taxation [2022] FCA 1389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0x0101002633E8F2BB9C6944854828B86C17C5A4</vt:lpwstr>
  </property>
</Properties>
</file>