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40CE" w14:textId="005DDB64" w:rsidR="00395B24" w:rsidRDefault="00C75A12" w:rsidP="00A22932">
      <w:pPr>
        <w:pStyle w:val="CourtTitle"/>
      </w:pPr>
      <w:r>
        <w:rPr>
          <w:caps w:val="0"/>
        </w:rPr>
        <w:t>FEDERAL COURT OF AUSTRALIA</w:t>
      </w:r>
    </w:p>
    <w:p w14:paraId="41A82FCC" w14:textId="77777777" w:rsidR="004D7950" w:rsidRDefault="004D7950">
      <w:pPr>
        <w:pStyle w:val="NormalHeadings"/>
        <w:jc w:val="center"/>
        <w:rPr>
          <w:sz w:val="32"/>
        </w:rPr>
      </w:pPr>
    </w:p>
    <w:bookmarkStart w:id="0" w:name="MNC"/>
    <w:p w14:paraId="6C3E7CC6" w14:textId="6E454636" w:rsidR="00374CC4" w:rsidRDefault="00C75A12" w:rsidP="001A2B40">
      <w:pPr>
        <w:pStyle w:val="MNC"/>
      </w:pPr>
      <w:sdt>
        <w:sdtPr>
          <w:alias w:val="MNC"/>
          <w:tag w:val="MNC"/>
          <w:id w:val="343289786"/>
          <w:lock w:val="sdtLocked"/>
          <w:placeholder>
            <w:docPart w:val="71CF713656DC4514B65BF5204CFCCA2E"/>
          </w:placeholder>
          <w:dataBinding w:prefixMappings="xmlns:ns0='http://schemas.globalmacros.com/FCA'" w:xpath="/ns0:root[1]/ns0:Name[1]" w:storeItemID="{687E7CCB-4AA5-44E7-B148-17BA2B6F57C0}"/>
          <w:text w:multiLine="1"/>
        </w:sdtPr>
        <w:sdtEndPr/>
        <w:sdtContent>
          <w:r w:rsidR="008167BB">
            <w:t xml:space="preserve">Australian Securities </w:t>
          </w:r>
          <w:r w:rsidR="000D20CE">
            <w:t>and</w:t>
          </w:r>
          <w:r w:rsidR="008167BB">
            <w:t xml:space="preserve"> Investments Commission v Brite Advisors Pty Ltd [2024] FCA </w:t>
          </w:r>
          <w:r w:rsidR="000D20CE">
            <w:t>69</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7E9AE252" w14:textId="77777777" w:rsidTr="003A042D">
        <w:tc>
          <w:tcPr>
            <w:tcW w:w="3083" w:type="dxa"/>
            <w:shd w:val="clear" w:color="auto" w:fill="auto"/>
          </w:tcPr>
          <w:p w14:paraId="12EA784B" w14:textId="77777777" w:rsidR="00395B24" w:rsidRDefault="002C7385" w:rsidP="00663878">
            <w:pPr>
              <w:pStyle w:val="Normal1linespace"/>
              <w:widowControl w:val="0"/>
              <w:jc w:val="left"/>
            </w:pPr>
            <w:r>
              <w:t>File number(s):</w:t>
            </w:r>
          </w:p>
        </w:tc>
        <w:tc>
          <w:tcPr>
            <w:tcW w:w="5990" w:type="dxa"/>
            <w:shd w:val="clear" w:color="auto" w:fill="auto"/>
          </w:tcPr>
          <w:p w14:paraId="48159250" w14:textId="66C1B634" w:rsidR="00395B24" w:rsidRPr="008167BB" w:rsidRDefault="00C75A12" w:rsidP="008167BB">
            <w:pPr>
              <w:pStyle w:val="Normal1linespace"/>
              <w:jc w:val="left"/>
            </w:pPr>
            <w:r>
              <w:fldChar w:fldCharType="begin" w:fldLock="1"/>
            </w:r>
            <w:r>
              <w:instrText xml:space="preserve"> REF  FileNo  \* MERGEFORMAT </w:instrText>
            </w:r>
            <w:r>
              <w:fldChar w:fldCharType="separate"/>
            </w:r>
            <w:r w:rsidR="008167BB" w:rsidRPr="008167BB">
              <w:t>WAD 13 of 2024</w:t>
            </w:r>
            <w:r>
              <w:fldChar w:fldCharType="end"/>
            </w:r>
          </w:p>
        </w:tc>
      </w:tr>
      <w:tr w:rsidR="00395B24" w14:paraId="3FF9EBD6" w14:textId="77777777" w:rsidTr="003A042D">
        <w:tc>
          <w:tcPr>
            <w:tcW w:w="3083" w:type="dxa"/>
            <w:shd w:val="clear" w:color="auto" w:fill="auto"/>
          </w:tcPr>
          <w:p w14:paraId="16E96D23" w14:textId="77777777" w:rsidR="00395B24" w:rsidRDefault="00395B24" w:rsidP="00663878">
            <w:pPr>
              <w:pStyle w:val="Normal1linespace"/>
              <w:widowControl w:val="0"/>
              <w:jc w:val="left"/>
            </w:pPr>
          </w:p>
        </w:tc>
        <w:tc>
          <w:tcPr>
            <w:tcW w:w="5990" w:type="dxa"/>
            <w:shd w:val="clear" w:color="auto" w:fill="auto"/>
          </w:tcPr>
          <w:p w14:paraId="140C893F" w14:textId="77777777" w:rsidR="00395B24" w:rsidRDefault="00395B24" w:rsidP="00663878">
            <w:pPr>
              <w:pStyle w:val="Normal1linespace"/>
              <w:widowControl w:val="0"/>
              <w:jc w:val="left"/>
            </w:pPr>
          </w:p>
        </w:tc>
      </w:tr>
      <w:tr w:rsidR="00395B24" w14:paraId="74DCC941" w14:textId="77777777" w:rsidTr="003A042D">
        <w:tc>
          <w:tcPr>
            <w:tcW w:w="3083" w:type="dxa"/>
            <w:shd w:val="clear" w:color="auto" w:fill="auto"/>
          </w:tcPr>
          <w:p w14:paraId="71D94230"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36CD1649" w14:textId="04E57F57" w:rsidR="00395B24" w:rsidRDefault="002C7385" w:rsidP="00663878">
            <w:pPr>
              <w:pStyle w:val="Normal1linespace"/>
              <w:widowControl w:val="0"/>
              <w:jc w:val="left"/>
              <w:rPr>
                <w:b/>
              </w:rPr>
            </w:pPr>
            <w:r w:rsidRPr="008167BB">
              <w:rPr>
                <w:b/>
              </w:rPr>
              <w:fldChar w:fldCharType="begin" w:fldLock="1"/>
            </w:r>
            <w:r w:rsidRPr="008167BB">
              <w:rPr>
                <w:b/>
              </w:rPr>
              <w:instrText xml:space="preserve"> REF  Judge  \* MERGEFORMAT </w:instrText>
            </w:r>
            <w:r w:rsidRPr="008167BB">
              <w:rPr>
                <w:b/>
              </w:rPr>
              <w:fldChar w:fldCharType="separate"/>
            </w:r>
            <w:r w:rsidR="008167BB" w:rsidRPr="008167BB">
              <w:rPr>
                <w:b/>
                <w:caps/>
                <w:szCs w:val="24"/>
              </w:rPr>
              <w:t>O'SULLIVAN J</w:t>
            </w:r>
            <w:r w:rsidRPr="008167BB">
              <w:rPr>
                <w:b/>
              </w:rPr>
              <w:fldChar w:fldCharType="end"/>
            </w:r>
          </w:p>
        </w:tc>
      </w:tr>
      <w:tr w:rsidR="00395B24" w14:paraId="36728793" w14:textId="77777777" w:rsidTr="003A042D">
        <w:tc>
          <w:tcPr>
            <w:tcW w:w="3083" w:type="dxa"/>
            <w:shd w:val="clear" w:color="auto" w:fill="auto"/>
          </w:tcPr>
          <w:p w14:paraId="5521C18A" w14:textId="77777777" w:rsidR="00395B24" w:rsidRDefault="00395B24" w:rsidP="00663878">
            <w:pPr>
              <w:pStyle w:val="Normal1linespace"/>
              <w:widowControl w:val="0"/>
              <w:jc w:val="left"/>
            </w:pPr>
          </w:p>
        </w:tc>
        <w:tc>
          <w:tcPr>
            <w:tcW w:w="5990" w:type="dxa"/>
            <w:shd w:val="clear" w:color="auto" w:fill="auto"/>
          </w:tcPr>
          <w:p w14:paraId="0B0ABFF3" w14:textId="77777777" w:rsidR="00395B24" w:rsidRDefault="00395B24" w:rsidP="00663878">
            <w:pPr>
              <w:pStyle w:val="Normal1linespace"/>
              <w:widowControl w:val="0"/>
              <w:jc w:val="left"/>
            </w:pPr>
          </w:p>
        </w:tc>
      </w:tr>
      <w:tr w:rsidR="00F92B9E" w:rsidRPr="00F92B9E" w14:paraId="0FDE07D7" w14:textId="77777777" w:rsidTr="003A042D">
        <w:tc>
          <w:tcPr>
            <w:tcW w:w="3083" w:type="dxa"/>
            <w:shd w:val="clear" w:color="auto" w:fill="auto"/>
          </w:tcPr>
          <w:p w14:paraId="3434A670" w14:textId="77777777" w:rsidR="00F92B9E" w:rsidRPr="00F92B9E" w:rsidRDefault="00F92B9E" w:rsidP="00F92B9E">
            <w:pPr>
              <w:pStyle w:val="Normal1linespace"/>
            </w:pPr>
            <w:r w:rsidRPr="00F92B9E">
              <w:t>Date of judgment:</w:t>
            </w:r>
          </w:p>
        </w:tc>
        <w:tc>
          <w:tcPr>
            <w:tcW w:w="5990" w:type="dxa"/>
            <w:shd w:val="clear" w:color="auto" w:fill="auto"/>
          </w:tcPr>
          <w:p w14:paraId="62E1EA15" w14:textId="48FFE623" w:rsidR="00F92B9E" w:rsidRPr="00F92B9E" w:rsidRDefault="00F92B9E" w:rsidP="00F92B9E">
            <w:pPr>
              <w:pStyle w:val="Normal1linespace"/>
            </w:pPr>
            <w:r>
              <w:t>6 February 2024</w:t>
            </w:r>
          </w:p>
        </w:tc>
      </w:tr>
      <w:tr w:rsidR="00F92B9E" w:rsidRPr="00F92B9E" w14:paraId="04E7A42F" w14:textId="77777777" w:rsidTr="003A042D">
        <w:tc>
          <w:tcPr>
            <w:tcW w:w="3083" w:type="dxa"/>
            <w:shd w:val="clear" w:color="auto" w:fill="auto"/>
          </w:tcPr>
          <w:p w14:paraId="53DF7F46" w14:textId="77777777" w:rsidR="00F92B9E" w:rsidRPr="00F92B9E" w:rsidRDefault="00F92B9E" w:rsidP="00F92B9E">
            <w:pPr>
              <w:pStyle w:val="Normal1linespace"/>
            </w:pPr>
          </w:p>
        </w:tc>
        <w:tc>
          <w:tcPr>
            <w:tcW w:w="5990" w:type="dxa"/>
            <w:shd w:val="clear" w:color="auto" w:fill="auto"/>
          </w:tcPr>
          <w:p w14:paraId="402274CD" w14:textId="77777777" w:rsidR="00F92B9E" w:rsidRPr="00F92B9E" w:rsidRDefault="00F92B9E" w:rsidP="00F92B9E">
            <w:pPr>
              <w:pStyle w:val="Normal1linespace"/>
            </w:pPr>
          </w:p>
        </w:tc>
      </w:tr>
      <w:tr w:rsidR="00F92B9E" w:rsidRPr="00F92B9E" w14:paraId="5AEE7A18" w14:textId="77777777" w:rsidTr="003A042D">
        <w:tc>
          <w:tcPr>
            <w:tcW w:w="3083" w:type="dxa"/>
            <w:shd w:val="clear" w:color="auto" w:fill="auto"/>
          </w:tcPr>
          <w:p w14:paraId="45924C08" w14:textId="77777777" w:rsidR="00F92B9E" w:rsidRPr="00F92B9E" w:rsidRDefault="00F92B9E" w:rsidP="009E49BD">
            <w:pPr>
              <w:pStyle w:val="Normal1linespace"/>
              <w:jc w:val="left"/>
            </w:pPr>
            <w:r w:rsidRPr="00F92B9E">
              <w:t>Date of publication of reasons:</w:t>
            </w:r>
          </w:p>
        </w:tc>
        <w:tc>
          <w:tcPr>
            <w:tcW w:w="5990" w:type="dxa"/>
            <w:shd w:val="clear" w:color="auto" w:fill="auto"/>
          </w:tcPr>
          <w:p w14:paraId="187BA826" w14:textId="07159708" w:rsidR="00F92B9E" w:rsidRPr="00F92B9E" w:rsidRDefault="00F92B9E" w:rsidP="00F92B9E">
            <w:pPr>
              <w:pStyle w:val="Normal1linespace"/>
            </w:pPr>
            <w:r>
              <w:t>9 February 2024</w:t>
            </w:r>
          </w:p>
        </w:tc>
      </w:tr>
      <w:tr w:rsidR="00395B24" w14:paraId="7643B925" w14:textId="77777777" w:rsidTr="003A042D">
        <w:tc>
          <w:tcPr>
            <w:tcW w:w="3083" w:type="dxa"/>
            <w:shd w:val="clear" w:color="auto" w:fill="auto"/>
          </w:tcPr>
          <w:p w14:paraId="1169A1D9" w14:textId="77777777" w:rsidR="00395B24" w:rsidRDefault="00395B24" w:rsidP="00663878">
            <w:pPr>
              <w:pStyle w:val="Normal1linespace"/>
              <w:widowControl w:val="0"/>
              <w:jc w:val="left"/>
            </w:pPr>
          </w:p>
        </w:tc>
        <w:tc>
          <w:tcPr>
            <w:tcW w:w="5990" w:type="dxa"/>
            <w:shd w:val="clear" w:color="auto" w:fill="auto"/>
          </w:tcPr>
          <w:p w14:paraId="1C72AC2B" w14:textId="77777777" w:rsidR="00395B24" w:rsidRDefault="00395B24" w:rsidP="00663878">
            <w:pPr>
              <w:pStyle w:val="Normal1linespace"/>
              <w:widowControl w:val="0"/>
              <w:jc w:val="left"/>
            </w:pPr>
          </w:p>
        </w:tc>
      </w:tr>
      <w:tr w:rsidR="00395B24" w14:paraId="11A95A0D" w14:textId="77777777" w:rsidTr="003A042D">
        <w:tc>
          <w:tcPr>
            <w:tcW w:w="3083" w:type="dxa"/>
            <w:shd w:val="clear" w:color="auto" w:fill="auto"/>
          </w:tcPr>
          <w:p w14:paraId="1F22C43E" w14:textId="77777777" w:rsidR="00395B24" w:rsidRDefault="002C7385" w:rsidP="00663878">
            <w:pPr>
              <w:pStyle w:val="Normal1linespace"/>
              <w:widowControl w:val="0"/>
              <w:jc w:val="left"/>
            </w:pPr>
            <w:r>
              <w:t>Catchwords:</w:t>
            </w:r>
          </w:p>
        </w:tc>
        <w:tc>
          <w:tcPr>
            <w:tcW w:w="5990" w:type="dxa"/>
            <w:shd w:val="clear" w:color="auto" w:fill="auto"/>
          </w:tcPr>
          <w:p w14:paraId="13CF457C" w14:textId="41AC6FBB" w:rsidR="00395B24" w:rsidRDefault="00F277D6" w:rsidP="00663878">
            <w:pPr>
              <w:pStyle w:val="Normal1linespace"/>
              <w:widowControl w:val="0"/>
              <w:jc w:val="left"/>
            </w:pPr>
            <w:bookmarkStart w:id="1" w:name="Catchwords"/>
            <w:r w:rsidRPr="00F277D6">
              <w:rPr>
                <w:b/>
                <w:bCs/>
              </w:rPr>
              <w:t>CORPORATIONS</w:t>
            </w:r>
            <w:r w:rsidRPr="00F277D6">
              <w:t xml:space="preserve"> – application by the Australian Securities and Investments Commission (</w:t>
            </w:r>
            <w:r w:rsidRPr="00F277D6">
              <w:rPr>
                <w:b/>
                <w:bCs/>
              </w:rPr>
              <w:t>ASIC</w:t>
            </w:r>
            <w:r w:rsidRPr="00F277D6">
              <w:t>) to wind up the defendant on just and equitable grounds pursuant to s</w:t>
            </w:r>
            <w:r w:rsidR="003F1BEB">
              <w:t> </w:t>
            </w:r>
            <w:r w:rsidRPr="00F277D6">
              <w:t>461(1)(k) of the</w:t>
            </w:r>
            <w:r w:rsidRPr="00F277D6">
              <w:rPr>
                <w:i/>
                <w:iCs/>
              </w:rPr>
              <w:t xml:space="preserve"> Corporations Act 2001</w:t>
            </w:r>
            <w:r w:rsidRPr="00F277D6">
              <w:t xml:space="preserve"> (Cth) – application by ASIC to appoint liquidators – application by ASIC to appoint receivers and managers of trust assets – relevant principles for winding up orders on just and equitable grounds – where the defendant carries on a financial services business in Australia – defendant already in receivership – whether winding up order should be made – where there is a lack of confidence in the conduct and management of the company affairs and a risk to the public – orders made</w:t>
            </w:r>
            <w:bookmarkEnd w:id="1"/>
          </w:p>
        </w:tc>
      </w:tr>
      <w:tr w:rsidR="00395B24" w14:paraId="24F4DCA3" w14:textId="77777777" w:rsidTr="003A042D">
        <w:tc>
          <w:tcPr>
            <w:tcW w:w="3083" w:type="dxa"/>
            <w:shd w:val="clear" w:color="auto" w:fill="auto"/>
          </w:tcPr>
          <w:p w14:paraId="28F05A73" w14:textId="77777777" w:rsidR="00395B24" w:rsidRDefault="00395B24" w:rsidP="00663878">
            <w:pPr>
              <w:pStyle w:val="Normal1linespace"/>
              <w:widowControl w:val="0"/>
              <w:jc w:val="left"/>
            </w:pPr>
          </w:p>
        </w:tc>
        <w:tc>
          <w:tcPr>
            <w:tcW w:w="5990" w:type="dxa"/>
            <w:shd w:val="clear" w:color="auto" w:fill="auto"/>
          </w:tcPr>
          <w:p w14:paraId="27CAAA52" w14:textId="77777777" w:rsidR="00395B24" w:rsidRDefault="00395B24" w:rsidP="00663878">
            <w:pPr>
              <w:pStyle w:val="Normal1linespace"/>
              <w:widowControl w:val="0"/>
              <w:jc w:val="left"/>
            </w:pPr>
          </w:p>
        </w:tc>
      </w:tr>
      <w:tr w:rsidR="00395B24" w14:paraId="2648E76A" w14:textId="77777777" w:rsidTr="003A042D">
        <w:tc>
          <w:tcPr>
            <w:tcW w:w="3083" w:type="dxa"/>
            <w:shd w:val="clear" w:color="auto" w:fill="auto"/>
          </w:tcPr>
          <w:p w14:paraId="60C132AD" w14:textId="77777777" w:rsidR="00395B24" w:rsidRDefault="002C7385" w:rsidP="00663878">
            <w:pPr>
              <w:pStyle w:val="Normal1linespace"/>
              <w:widowControl w:val="0"/>
              <w:jc w:val="left"/>
            </w:pPr>
            <w:r>
              <w:t>Legislation:</w:t>
            </w:r>
          </w:p>
        </w:tc>
        <w:tc>
          <w:tcPr>
            <w:tcW w:w="5990" w:type="dxa"/>
            <w:shd w:val="clear" w:color="auto" w:fill="auto"/>
          </w:tcPr>
          <w:p w14:paraId="154E95E5" w14:textId="717F68F9" w:rsidR="007060CC" w:rsidRDefault="006D6C28" w:rsidP="00D82620">
            <w:pPr>
              <w:pStyle w:val="CasesLegislationAppealFrom"/>
              <w:spacing w:after="60"/>
            </w:pPr>
            <w:bookmarkStart w:id="2" w:name="Legislation"/>
            <w:r w:rsidRPr="00F96BB8">
              <w:rPr>
                <w:i/>
                <w:iCs/>
              </w:rPr>
              <w:t>Corporations Act 2001</w:t>
            </w:r>
            <w:r>
              <w:t xml:space="preserve"> (Cth), ss </w:t>
            </w:r>
            <w:r w:rsidR="00126AC1">
              <w:t xml:space="preserve">420, </w:t>
            </w:r>
            <w:r>
              <w:t xml:space="preserve">461(1)(k), </w:t>
            </w:r>
            <w:r w:rsidR="00F45DAA">
              <w:t xml:space="preserve">462, </w:t>
            </w:r>
            <w:r w:rsidR="007875AD">
              <w:t xml:space="preserve">464, </w:t>
            </w:r>
            <w:r>
              <w:t xml:space="preserve">466(2), 472(1), </w:t>
            </w:r>
            <w:r w:rsidR="00126AC1">
              <w:t xml:space="preserve">477(2) </w:t>
            </w:r>
          </w:p>
          <w:p w14:paraId="3461FBDB" w14:textId="45143552" w:rsidR="007060CC" w:rsidRDefault="00E2638B" w:rsidP="00D82620">
            <w:pPr>
              <w:pStyle w:val="CasesLegislationAppealFrom"/>
              <w:spacing w:after="60"/>
            </w:pPr>
            <w:r w:rsidRPr="00F96BB8">
              <w:rPr>
                <w:i/>
                <w:iCs/>
              </w:rPr>
              <w:t>Federal Court of Australia Act 1976</w:t>
            </w:r>
            <w:r>
              <w:t xml:space="preserve"> (Cth), s 57</w:t>
            </w:r>
          </w:p>
          <w:p w14:paraId="6EC21267" w14:textId="6B8AC9A7" w:rsidR="00395B24" w:rsidRDefault="00126AC1" w:rsidP="00F96BB8">
            <w:pPr>
              <w:pStyle w:val="CasesLegislationAppealFrom"/>
              <w:spacing w:after="60"/>
            </w:pPr>
            <w:r w:rsidRPr="00F96BB8">
              <w:rPr>
                <w:i/>
                <w:iCs/>
              </w:rPr>
              <w:t>Federal Court Rules 2011</w:t>
            </w:r>
            <w:r>
              <w:t xml:space="preserve"> (Cth), rr 14.21, 14.22</w:t>
            </w:r>
            <w:bookmarkEnd w:id="2"/>
          </w:p>
        </w:tc>
      </w:tr>
      <w:tr w:rsidR="00395B24" w14:paraId="293B326F" w14:textId="77777777" w:rsidTr="003A042D">
        <w:tc>
          <w:tcPr>
            <w:tcW w:w="3083" w:type="dxa"/>
            <w:shd w:val="clear" w:color="auto" w:fill="auto"/>
          </w:tcPr>
          <w:p w14:paraId="55E299DC" w14:textId="77777777" w:rsidR="00395B24" w:rsidRDefault="00395B24" w:rsidP="00663878">
            <w:pPr>
              <w:pStyle w:val="Normal1linespace"/>
              <w:widowControl w:val="0"/>
              <w:jc w:val="left"/>
            </w:pPr>
          </w:p>
        </w:tc>
        <w:tc>
          <w:tcPr>
            <w:tcW w:w="5990" w:type="dxa"/>
            <w:shd w:val="clear" w:color="auto" w:fill="auto"/>
          </w:tcPr>
          <w:p w14:paraId="71356A48" w14:textId="77777777" w:rsidR="00395B24" w:rsidRDefault="00395B24" w:rsidP="00663878">
            <w:pPr>
              <w:pStyle w:val="Normal1linespace"/>
              <w:widowControl w:val="0"/>
              <w:jc w:val="left"/>
            </w:pPr>
          </w:p>
        </w:tc>
      </w:tr>
      <w:tr w:rsidR="00395B24" w14:paraId="30F39D22" w14:textId="77777777" w:rsidTr="003A042D">
        <w:tc>
          <w:tcPr>
            <w:tcW w:w="3083" w:type="dxa"/>
            <w:shd w:val="clear" w:color="auto" w:fill="auto"/>
          </w:tcPr>
          <w:p w14:paraId="5F0AA3EA" w14:textId="77777777" w:rsidR="00395B24" w:rsidRDefault="002C7385" w:rsidP="00663878">
            <w:pPr>
              <w:pStyle w:val="Normal1linespace"/>
              <w:widowControl w:val="0"/>
              <w:jc w:val="left"/>
            </w:pPr>
            <w:r>
              <w:t>Cases cited:</w:t>
            </w:r>
          </w:p>
        </w:tc>
        <w:tc>
          <w:tcPr>
            <w:tcW w:w="5990" w:type="dxa"/>
            <w:shd w:val="clear" w:color="auto" w:fill="auto"/>
          </w:tcPr>
          <w:p w14:paraId="1796624A" w14:textId="77777777" w:rsidR="00F6721A" w:rsidRDefault="00F6721A" w:rsidP="00D82620">
            <w:pPr>
              <w:pStyle w:val="CasesLegislationAppealFrom"/>
              <w:spacing w:after="60"/>
            </w:pPr>
            <w:r w:rsidRPr="00012C8B">
              <w:rPr>
                <w:i/>
                <w:iCs/>
              </w:rPr>
              <w:t xml:space="preserve">ASIC v Chase Capital </w:t>
            </w:r>
            <w:r>
              <w:t>[2001] WASC 27; (2001) 36 ACSR 778</w:t>
            </w:r>
          </w:p>
          <w:p w14:paraId="7F455FA2" w14:textId="77777777" w:rsidR="00F6721A" w:rsidRDefault="00F6721A" w:rsidP="00D82620">
            <w:pPr>
              <w:pStyle w:val="CasesLegislationAppealFrom"/>
              <w:spacing w:after="60"/>
            </w:pPr>
            <w:r w:rsidRPr="00620E68">
              <w:rPr>
                <w:i/>
                <w:iCs/>
              </w:rPr>
              <w:t xml:space="preserve">Australian Securities and Investments Commission v </w:t>
            </w:r>
            <w:r w:rsidRPr="0014099F">
              <w:rPr>
                <w:i/>
                <w:iCs/>
              </w:rPr>
              <w:t>Activesuper</w:t>
            </w:r>
            <w:r w:rsidRPr="00E6615F">
              <w:rPr>
                <w:b/>
                <w:bCs/>
                <w:i/>
                <w:iCs/>
              </w:rPr>
              <w:t xml:space="preserve"> </w:t>
            </w:r>
            <w:r w:rsidRPr="00620E68">
              <w:rPr>
                <w:i/>
                <w:iCs/>
              </w:rPr>
              <w:t>Pty Ltd (No 2)</w:t>
            </w:r>
            <w:r>
              <w:t xml:space="preserve"> [2013] FCA 234; (2013) 93 ACSR 189</w:t>
            </w:r>
          </w:p>
          <w:p w14:paraId="2372D73E" w14:textId="77777777" w:rsidR="00F6721A" w:rsidRDefault="00F6721A" w:rsidP="00D82620">
            <w:pPr>
              <w:pStyle w:val="CasesLegislationAppealFrom"/>
              <w:spacing w:after="60"/>
            </w:pPr>
            <w:r w:rsidRPr="00317B7B">
              <w:rPr>
                <w:i/>
                <w:iCs/>
              </w:rPr>
              <w:t xml:space="preserve">Australian Securities and Investments Commission v </w:t>
            </w:r>
            <w:r w:rsidRPr="00D51953">
              <w:rPr>
                <w:i/>
                <w:iCs/>
              </w:rPr>
              <w:t>Finchley Central Funds Management Ltd</w:t>
            </w:r>
            <w:r>
              <w:t xml:space="preserve"> [2009] FCA 1110</w:t>
            </w:r>
          </w:p>
          <w:p w14:paraId="07B83613" w14:textId="77777777" w:rsidR="00F6721A" w:rsidRDefault="00F6721A" w:rsidP="00D82620">
            <w:pPr>
              <w:pStyle w:val="CasesLegislationAppealFrom"/>
              <w:spacing w:after="60"/>
            </w:pPr>
            <w:r w:rsidRPr="004A2C1F">
              <w:rPr>
                <w:i/>
                <w:iCs/>
              </w:rPr>
              <w:t>Australian Securities and Investments Commission v Merlin Diamonds Ltd (ACN 009 153 119)</w:t>
            </w:r>
            <w:r>
              <w:t xml:space="preserve"> [2020] FCA 411; (2020) 143 ACSR 426</w:t>
            </w:r>
          </w:p>
          <w:p w14:paraId="363F2ECF" w14:textId="463D0A8F" w:rsidR="00F6721A" w:rsidRDefault="00F6721A" w:rsidP="00D82620">
            <w:pPr>
              <w:pStyle w:val="CasesLegislationAppealFrom"/>
              <w:spacing w:after="60"/>
            </w:pPr>
            <w:r w:rsidRPr="00551F7F">
              <w:rPr>
                <w:i/>
              </w:rPr>
              <w:t>Australian Securities Commission v AS Nominees Limited</w:t>
            </w:r>
            <w:r>
              <w:t xml:space="preserve"> (1995) 18 ACSR 459</w:t>
            </w:r>
          </w:p>
        </w:tc>
      </w:tr>
      <w:tr w:rsidR="008167BB" w14:paraId="07AB9648" w14:textId="77777777" w:rsidTr="003A042D">
        <w:tc>
          <w:tcPr>
            <w:tcW w:w="3083" w:type="dxa"/>
            <w:shd w:val="clear" w:color="auto" w:fill="auto"/>
          </w:tcPr>
          <w:p w14:paraId="268B578D" w14:textId="77777777" w:rsidR="008167BB" w:rsidRDefault="008167BB" w:rsidP="002F7154">
            <w:pPr>
              <w:pStyle w:val="Normal1linespace"/>
              <w:widowControl w:val="0"/>
            </w:pPr>
          </w:p>
        </w:tc>
        <w:tc>
          <w:tcPr>
            <w:tcW w:w="5990" w:type="dxa"/>
            <w:shd w:val="clear" w:color="auto" w:fill="auto"/>
          </w:tcPr>
          <w:p w14:paraId="4AAA7086" w14:textId="77777777" w:rsidR="008167BB" w:rsidRDefault="008167BB" w:rsidP="002F7154">
            <w:pPr>
              <w:pStyle w:val="Normal1linespace"/>
              <w:widowControl w:val="0"/>
              <w:jc w:val="left"/>
            </w:pPr>
          </w:p>
        </w:tc>
      </w:tr>
      <w:tr w:rsidR="008167BB" w14:paraId="0933C5E6" w14:textId="77777777" w:rsidTr="003A042D">
        <w:tc>
          <w:tcPr>
            <w:tcW w:w="3083" w:type="dxa"/>
            <w:shd w:val="clear" w:color="auto" w:fill="auto"/>
          </w:tcPr>
          <w:p w14:paraId="5CB0F436" w14:textId="77777777" w:rsidR="008167BB" w:rsidRDefault="008167BB" w:rsidP="00501A12">
            <w:pPr>
              <w:pStyle w:val="Normal1linespace"/>
              <w:widowControl w:val="0"/>
            </w:pPr>
            <w:r>
              <w:lastRenderedPageBreak/>
              <w:t>Division:</w:t>
            </w:r>
          </w:p>
        </w:tc>
        <w:tc>
          <w:tcPr>
            <w:tcW w:w="5990" w:type="dxa"/>
            <w:shd w:val="clear" w:color="auto" w:fill="auto"/>
          </w:tcPr>
          <w:p w14:paraId="0B95B455" w14:textId="62C38710" w:rsidR="008167BB" w:rsidRPr="00F17599" w:rsidRDefault="008167BB" w:rsidP="00501A12">
            <w:pPr>
              <w:pStyle w:val="Normal1linespace"/>
              <w:widowControl w:val="0"/>
              <w:jc w:val="left"/>
            </w:pPr>
            <w:r>
              <w:t>General Division</w:t>
            </w:r>
          </w:p>
        </w:tc>
      </w:tr>
      <w:tr w:rsidR="008167BB" w14:paraId="5090023E" w14:textId="77777777" w:rsidTr="003A042D">
        <w:tc>
          <w:tcPr>
            <w:tcW w:w="3083" w:type="dxa"/>
            <w:shd w:val="clear" w:color="auto" w:fill="auto"/>
          </w:tcPr>
          <w:p w14:paraId="223BB1B1" w14:textId="77777777" w:rsidR="008167BB" w:rsidRDefault="008167BB" w:rsidP="00501A12">
            <w:pPr>
              <w:pStyle w:val="Normal1linespace"/>
              <w:widowControl w:val="0"/>
            </w:pPr>
            <w:bookmarkStart w:id="3" w:name="Registry_rows" w:colFirst="0" w:colLast="1"/>
          </w:p>
        </w:tc>
        <w:tc>
          <w:tcPr>
            <w:tcW w:w="5990" w:type="dxa"/>
            <w:shd w:val="clear" w:color="auto" w:fill="auto"/>
          </w:tcPr>
          <w:p w14:paraId="671CA26C" w14:textId="77777777" w:rsidR="008167BB" w:rsidRDefault="008167BB" w:rsidP="00501A12">
            <w:pPr>
              <w:pStyle w:val="Normal1linespace"/>
              <w:widowControl w:val="0"/>
              <w:jc w:val="left"/>
            </w:pPr>
          </w:p>
        </w:tc>
      </w:tr>
      <w:tr w:rsidR="008167BB" w14:paraId="3B0ED753" w14:textId="77777777" w:rsidTr="003A042D">
        <w:tc>
          <w:tcPr>
            <w:tcW w:w="3083" w:type="dxa"/>
            <w:shd w:val="clear" w:color="auto" w:fill="auto"/>
          </w:tcPr>
          <w:p w14:paraId="3FB2EBC6" w14:textId="77777777" w:rsidR="008167BB" w:rsidRDefault="008167BB" w:rsidP="00501A12">
            <w:pPr>
              <w:pStyle w:val="Normal1linespace"/>
              <w:widowControl w:val="0"/>
            </w:pPr>
            <w:r>
              <w:t>Registry:</w:t>
            </w:r>
          </w:p>
        </w:tc>
        <w:tc>
          <w:tcPr>
            <w:tcW w:w="5990" w:type="dxa"/>
            <w:shd w:val="clear" w:color="auto" w:fill="auto"/>
          </w:tcPr>
          <w:p w14:paraId="4E0BF04F" w14:textId="5304612F" w:rsidR="008167BB" w:rsidRPr="00F17599" w:rsidRDefault="008167BB" w:rsidP="00501A12">
            <w:pPr>
              <w:pStyle w:val="Normal1linespace"/>
              <w:widowControl w:val="0"/>
              <w:jc w:val="left"/>
            </w:pPr>
            <w:r>
              <w:t>Western Australia</w:t>
            </w:r>
          </w:p>
        </w:tc>
      </w:tr>
      <w:tr w:rsidR="008167BB" w14:paraId="135A4D24" w14:textId="77777777" w:rsidTr="003A042D">
        <w:tc>
          <w:tcPr>
            <w:tcW w:w="3083" w:type="dxa"/>
            <w:shd w:val="clear" w:color="auto" w:fill="auto"/>
          </w:tcPr>
          <w:p w14:paraId="3BD142F7" w14:textId="77777777" w:rsidR="008167BB" w:rsidRDefault="008167BB" w:rsidP="00501A12">
            <w:pPr>
              <w:pStyle w:val="Normal1linespace"/>
              <w:widowControl w:val="0"/>
            </w:pPr>
            <w:bookmarkStart w:id="4" w:name="NPARow" w:colFirst="0" w:colLast="1"/>
            <w:bookmarkEnd w:id="3"/>
          </w:p>
        </w:tc>
        <w:tc>
          <w:tcPr>
            <w:tcW w:w="5990" w:type="dxa"/>
            <w:shd w:val="clear" w:color="auto" w:fill="auto"/>
          </w:tcPr>
          <w:p w14:paraId="6602C55C" w14:textId="77777777" w:rsidR="008167BB" w:rsidRPr="00F17599" w:rsidRDefault="008167BB" w:rsidP="00501A12">
            <w:pPr>
              <w:pStyle w:val="Normal1linespace"/>
              <w:widowControl w:val="0"/>
              <w:jc w:val="left"/>
              <w:rPr>
                <w:b/>
              </w:rPr>
            </w:pPr>
          </w:p>
        </w:tc>
      </w:tr>
      <w:tr w:rsidR="008167BB" w14:paraId="2DF59C3B" w14:textId="77777777" w:rsidTr="003A042D">
        <w:tc>
          <w:tcPr>
            <w:tcW w:w="3083" w:type="dxa"/>
            <w:shd w:val="clear" w:color="auto" w:fill="auto"/>
          </w:tcPr>
          <w:p w14:paraId="0A4E1514" w14:textId="77777777" w:rsidR="008167BB" w:rsidRDefault="008167BB" w:rsidP="00501A12">
            <w:pPr>
              <w:pStyle w:val="Normal1linespace"/>
              <w:widowControl w:val="0"/>
            </w:pPr>
            <w:r>
              <w:t>National Practice Area:</w:t>
            </w:r>
          </w:p>
        </w:tc>
        <w:tc>
          <w:tcPr>
            <w:tcW w:w="5990" w:type="dxa"/>
            <w:shd w:val="clear" w:color="auto" w:fill="auto"/>
          </w:tcPr>
          <w:p w14:paraId="708B602D" w14:textId="302C2137" w:rsidR="008167BB" w:rsidRPr="00F17599" w:rsidRDefault="008167BB" w:rsidP="00171DBB">
            <w:pPr>
              <w:pStyle w:val="Normal1linespace"/>
              <w:widowControl w:val="0"/>
              <w:jc w:val="left"/>
              <w:rPr>
                <w:b/>
              </w:rPr>
            </w:pPr>
            <w:r>
              <w:t>Commercial and Corporations</w:t>
            </w:r>
          </w:p>
        </w:tc>
      </w:tr>
      <w:tr w:rsidR="008167BB" w14:paraId="03D0C613" w14:textId="77777777" w:rsidTr="003A042D">
        <w:tc>
          <w:tcPr>
            <w:tcW w:w="3083" w:type="dxa"/>
            <w:shd w:val="clear" w:color="auto" w:fill="auto"/>
          </w:tcPr>
          <w:p w14:paraId="42773CE7" w14:textId="77777777" w:rsidR="008167BB" w:rsidRDefault="008167BB" w:rsidP="00501A12">
            <w:pPr>
              <w:pStyle w:val="Normal1linespace"/>
              <w:widowControl w:val="0"/>
            </w:pPr>
            <w:bookmarkStart w:id="5" w:name="SubAreaRow" w:colFirst="0" w:colLast="1"/>
            <w:bookmarkEnd w:id="4"/>
          </w:p>
        </w:tc>
        <w:tc>
          <w:tcPr>
            <w:tcW w:w="5990" w:type="dxa"/>
            <w:shd w:val="clear" w:color="auto" w:fill="auto"/>
          </w:tcPr>
          <w:p w14:paraId="73684FF8" w14:textId="77777777" w:rsidR="008167BB" w:rsidRDefault="008167BB" w:rsidP="00171DBB">
            <w:pPr>
              <w:pStyle w:val="Normal1linespace"/>
              <w:widowControl w:val="0"/>
              <w:jc w:val="left"/>
            </w:pPr>
          </w:p>
        </w:tc>
      </w:tr>
      <w:tr w:rsidR="008167BB" w14:paraId="7BA6391D" w14:textId="77777777" w:rsidTr="003A042D">
        <w:tc>
          <w:tcPr>
            <w:tcW w:w="3083" w:type="dxa"/>
            <w:shd w:val="clear" w:color="auto" w:fill="auto"/>
          </w:tcPr>
          <w:p w14:paraId="7B4B6672" w14:textId="77777777" w:rsidR="008167BB" w:rsidRDefault="008167BB" w:rsidP="00501A12">
            <w:pPr>
              <w:pStyle w:val="Normal1linespace"/>
              <w:widowControl w:val="0"/>
            </w:pPr>
            <w:r>
              <w:t>Sub-area:</w:t>
            </w:r>
          </w:p>
        </w:tc>
        <w:tc>
          <w:tcPr>
            <w:tcW w:w="5990" w:type="dxa"/>
            <w:shd w:val="clear" w:color="auto" w:fill="auto"/>
          </w:tcPr>
          <w:p w14:paraId="16A60F50" w14:textId="18CCB344" w:rsidR="008167BB" w:rsidRPr="00837288" w:rsidRDefault="008167BB" w:rsidP="00435936">
            <w:pPr>
              <w:pStyle w:val="Normal1linespace"/>
              <w:widowControl w:val="0"/>
              <w:jc w:val="left"/>
            </w:pPr>
            <w:r w:rsidRPr="008167BB">
              <w:rPr>
                <w:lang w:val="en-US"/>
              </w:rPr>
              <w:t xml:space="preserve">Commercial Contracts, </w:t>
            </w:r>
            <w:r>
              <w:t>Banking, Finance and Insurance</w:t>
            </w:r>
          </w:p>
        </w:tc>
      </w:tr>
      <w:bookmarkEnd w:id="5"/>
      <w:tr w:rsidR="008167BB" w14:paraId="6B9D3637" w14:textId="77777777" w:rsidTr="003A042D">
        <w:tc>
          <w:tcPr>
            <w:tcW w:w="3083" w:type="dxa"/>
            <w:shd w:val="clear" w:color="auto" w:fill="auto"/>
          </w:tcPr>
          <w:p w14:paraId="5C01E868" w14:textId="77777777" w:rsidR="008167BB" w:rsidRDefault="008167BB" w:rsidP="00501A12">
            <w:pPr>
              <w:pStyle w:val="Normal1linespace"/>
              <w:widowControl w:val="0"/>
            </w:pPr>
          </w:p>
        </w:tc>
        <w:tc>
          <w:tcPr>
            <w:tcW w:w="5990" w:type="dxa"/>
            <w:shd w:val="clear" w:color="auto" w:fill="auto"/>
          </w:tcPr>
          <w:p w14:paraId="503DBD8A" w14:textId="77777777" w:rsidR="008167BB" w:rsidRDefault="008167BB" w:rsidP="00501A12">
            <w:pPr>
              <w:pStyle w:val="Normal1linespace"/>
              <w:widowControl w:val="0"/>
              <w:jc w:val="left"/>
            </w:pPr>
          </w:p>
        </w:tc>
      </w:tr>
      <w:tr w:rsidR="008167BB" w14:paraId="2E9AA6A9" w14:textId="77777777" w:rsidTr="003A042D">
        <w:tc>
          <w:tcPr>
            <w:tcW w:w="3083" w:type="dxa"/>
            <w:shd w:val="clear" w:color="auto" w:fill="auto"/>
          </w:tcPr>
          <w:p w14:paraId="0935C914" w14:textId="77777777" w:rsidR="008167BB" w:rsidRDefault="008167BB" w:rsidP="00501A12">
            <w:pPr>
              <w:pStyle w:val="Normal1linespace"/>
              <w:widowControl w:val="0"/>
            </w:pPr>
            <w:r>
              <w:t>Number of paragraphs:</w:t>
            </w:r>
          </w:p>
        </w:tc>
        <w:tc>
          <w:tcPr>
            <w:tcW w:w="5990" w:type="dxa"/>
            <w:shd w:val="clear" w:color="auto" w:fill="auto"/>
          </w:tcPr>
          <w:p w14:paraId="6F6FC9B9" w14:textId="52D8B7D9" w:rsidR="008167BB" w:rsidRDefault="00865F20" w:rsidP="00501A12">
            <w:pPr>
              <w:pStyle w:val="Normal1linespace"/>
              <w:widowControl w:val="0"/>
              <w:jc w:val="left"/>
            </w:pPr>
            <w:r>
              <w:t>68</w:t>
            </w:r>
          </w:p>
        </w:tc>
      </w:tr>
      <w:tr w:rsidR="008167BB" w14:paraId="27914C4B" w14:textId="77777777" w:rsidTr="003A042D">
        <w:tc>
          <w:tcPr>
            <w:tcW w:w="3083" w:type="dxa"/>
            <w:shd w:val="clear" w:color="auto" w:fill="auto"/>
          </w:tcPr>
          <w:p w14:paraId="45C454C5" w14:textId="77777777" w:rsidR="008167BB" w:rsidRDefault="008167BB" w:rsidP="008167BB">
            <w:pPr>
              <w:pStyle w:val="Normal1linespace"/>
              <w:widowControl w:val="0"/>
              <w:jc w:val="left"/>
            </w:pPr>
          </w:p>
        </w:tc>
        <w:tc>
          <w:tcPr>
            <w:tcW w:w="5990" w:type="dxa"/>
            <w:shd w:val="clear" w:color="auto" w:fill="auto"/>
          </w:tcPr>
          <w:p w14:paraId="17F4DB64" w14:textId="77777777" w:rsidR="008167BB" w:rsidRDefault="008167BB" w:rsidP="008167BB">
            <w:pPr>
              <w:pStyle w:val="Normal1linespace"/>
              <w:widowControl w:val="0"/>
              <w:jc w:val="left"/>
            </w:pPr>
          </w:p>
        </w:tc>
      </w:tr>
      <w:tr w:rsidR="008167BB" w14:paraId="1F3A14D7" w14:textId="77777777" w:rsidTr="003A042D">
        <w:tc>
          <w:tcPr>
            <w:tcW w:w="3083" w:type="dxa"/>
            <w:shd w:val="clear" w:color="auto" w:fill="auto"/>
          </w:tcPr>
          <w:p w14:paraId="17417C77" w14:textId="77777777" w:rsidR="008167BB" w:rsidRDefault="008167BB" w:rsidP="008167BB">
            <w:pPr>
              <w:pStyle w:val="Normal1linespace"/>
              <w:widowControl w:val="0"/>
              <w:jc w:val="left"/>
            </w:pPr>
            <w:bookmarkStart w:id="6" w:name="CounselDate" w:colFirst="0" w:colLast="2"/>
            <w:r w:rsidRPr="006A24E3">
              <w:t>Date of hearing:</w:t>
            </w:r>
          </w:p>
        </w:tc>
        <w:tc>
          <w:tcPr>
            <w:tcW w:w="5990" w:type="dxa"/>
            <w:shd w:val="clear" w:color="auto" w:fill="auto"/>
          </w:tcPr>
          <w:p w14:paraId="4650A797" w14:textId="1B663EA7" w:rsidR="008167BB" w:rsidRDefault="008167BB" w:rsidP="008167BB">
            <w:pPr>
              <w:pStyle w:val="Normal1linespace"/>
              <w:widowControl w:val="0"/>
              <w:jc w:val="left"/>
            </w:pPr>
            <w:bookmarkStart w:id="7" w:name="HearingDate"/>
            <w:r>
              <w:t xml:space="preserve">6 February 2024 </w:t>
            </w:r>
            <w:bookmarkEnd w:id="7"/>
          </w:p>
        </w:tc>
      </w:tr>
      <w:tr w:rsidR="008167BB" w14:paraId="63668A74" w14:textId="77777777" w:rsidTr="003A042D">
        <w:tc>
          <w:tcPr>
            <w:tcW w:w="3083" w:type="dxa"/>
            <w:shd w:val="clear" w:color="auto" w:fill="auto"/>
          </w:tcPr>
          <w:p w14:paraId="123E2C70" w14:textId="77777777" w:rsidR="008167BB" w:rsidRDefault="008167BB" w:rsidP="008167BB">
            <w:pPr>
              <w:pStyle w:val="Normal1linespace"/>
              <w:widowControl w:val="0"/>
              <w:jc w:val="left"/>
            </w:pPr>
          </w:p>
        </w:tc>
        <w:tc>
          <w:tcPr>
            <w:tcW w:w="5990" w:type="dxa"/>
            <w:shd w:val="clear" w:color="auto" w:fill="auto"/>
          </w:tcPr>
          <w:p w14:paraId="763B7E3B" w14:textId="77777777" w:rsidR="008167BB" w:rsidRDefault="008167BB" w:rsidP="008167BB">
            <w:pPr>
              <w:pStyle w:val="Normal1linespace"/>
              <w:widowControl w:val="0"/>
              <w:jc w:val="left"/>
            </w:pPr>
          </w:p>
        </w:tc>
      </w:tr>
      <w:tr w:rsidR="003A042D" w14:paraId="2ED84ECB" w14:textId="77777777" w:rsidTr="003A042D">
        <w:tc>
          <w:tcPr>
            <w:tcW w:w="3083" w:type="dxa"/>
            <w:shd w:val="clear" w:color="auto" w:fill="auto"/>
          </w:tcPr>
          <w:p w14:paraId="38CC6C0B" w14:textId="21471E5A" w:rsidR="003A042D" w:rsidRDefault="003A042D" w:rsidP="003A042D">
            <w:pPr>
              <w:pStyle w:val="Normal1linespace"/>
              <w:widowControl w:val="0"/>
              <w:jc w:val="left"/>
            </w:pPr>
            <w:bookmarkStart w:id="8" w:name="Counsel" w:colFirst="0" w:colLast="2"/>
            <w:bookmarkEnd w:id="6"/>
            <w:r>
              <w:t>Counsel for the Plaintiff:</w:t>
            </w:r>
          </w:p>
        </w:tc>
        <w:tc>
          <w:tcPr>
            <w:tcW w:w="5990" w:type="dxa"/>
            <w:shd w:val="clear" w:color="auto" w:fill="auto"/>
          </w:tcPr>
          <w:p w14:paraId="1559BDF0" w14:textId="38A38255" w:rsidR="003A042D" w:rsidRDefault="003A042D" w:rsidP="003A042D">
            <w:pPr>
              <w:pStyle w:val="Normal1linespace"/>
              <w:widowControl w:val="0"/>
              <w:jc w:val="left"/>
            </w:pPr>
            <w:bookmarkStart w:id="9" w:name="AppCounsel"/>
            <w:bookmarkEnd w:id="9"/>
            <w:r>
              <w:t>Mr J P Moore KC with Ms C E Klemis</w:t>
            </w:r>
          </w:p>
        </w:tc>
      </w:tr>
      <w:tr w:rsidR="003A042D" w14:paraId="5CE9BFA5" w14:textId="77777777" w:rsidTr="003A042D">
        <w:tc>
          <w:tcPr>
            <w:tcW w:w="3083" w:type="dxa"/>
            <w:shd w:val="clear" w:color="auto" w:fill="auto"/>
          </w:tcPr>
          <w:p w14:paraId="56FDED56" w14:textId="77777777" w:rsidR="003A042D" w:rsidRDefault="003A042D" w:rsidP="003A042D">
            <w:pPr>
              <w:pStyle w:val="Normal1linespace"/>
              <w:widowControl w:val="0"/>
              <w:jc w:val="left"/>
            </w:pPr>
          </w:p>
        </w:tc>
        <w:tc>
          <w:tcPr>
            <w:tcW w:w="5990" w:type="dxa"/>
            <w:shd w:val="clear" w:color="auto" w:fill="auto"/>
          </w:tcPr>
          <w:p w14:paraId="6686D016" w14:textId="77777777" w:rsidR="003A042D" w:rsidRDefault="003A042D" w:rsidP="003A042D">
            <w:pPr>
              <w:pStyle w:val="Normal1linespace"/>
              <w:widowControl w:val="0"/>
              <w:jc w:val="left"/>
            </w:pPr>
          </w:p>
        </w:tc>
      </w:tr>
      <w:tr w:rsidR="003A042D" w14:paraId="3B5BF3F1" w14:textId="77777777" w:rsidTr="00C00499">
        <w:tc>
          <w:tcPr>
            <w:tcW w:w="3083" w:type="dxa"/>
            <w:shd w:val="clear" w:color="auto" w:fill="auto"/>
          </w:tcPr>
          <w:p w14:paraId="47683B53" w14:textId="51AA2E48" w:rsidR="003A042D" w:rsidRDefault="003A042D" w:rsidP="003A042D">
            <w:pPr>
              <w:pStyle w:val="Normal1linespace"/>
              <w:widowControl w:val="0"/>
              <w:jc w:val="left"/>
            </w:pPr>
            <w:r>
              <w:t>Solicitor for the Plaintiff:</w:t>
            </w:r>
          </w:p>
        </w:tc>
        <w:tc>
          <w:tcPr>
            <w:tcW w:w="5990" w:type="dxa"/>
            <w:shd w:val="clear" w:color="auto" w:fill="auto"/>
          </w:tcPr>
          <w:p w14:paraId="04B8A9EF" w14:textId="08BE4FCF" w:rsidR="003A042D" w:rsidRDefault="003A042D" w:rsidP="003A042D">
            <w:pPr>
              <w:pStyle w:val="Normal1linespace"/>
              <w:widowControl w:val="0"/>
              <w:jc w:val="left"/>
            </w:pPr>
            <w:r>
              <w:t>Australian Securities and Investments Commission</w:t>
            </w:r>
          </w:p>
        </w:tc>
      </w:tr>
      <w:tr w:rsidR="003A042D" w14:paraId="33AAFECE" w14:textId="77777777" w:rsidTr="00C00499">
        <w:tc>
          <w:tcPr>
            <w:tcW w:w="3083" w:type="dxa"/>
            <w:shd w:val="clear" w:color="auto" w:fill="auto"/>
          </w:tcPr>
          <w:p w14:paraId="18D69A02" w14:textId="77777777" w:rsidR="003A042D" w:rsidRDefault="003A042D" w:rsidP="003A042D">
            <w:pPr>
              <w:pStyle w:val="Normal1linespace"/>
              <w:widowControl w:val="0"/>
              <w:jc w:val="left"/>
            </w:pPr>
          </w:p>
        </w:tc>
        <w:tc>
          <w:tcPr>
            <w:tcW w:w="5990" w:type="dxa"/>
            <w:shd w:val="clear" w:color="auto" w:fill="auto"/>
          </w:tcPr>
          <w:p w14:paraId="7BDEF6B2" w14:textId="77777777" w:rsidR="003A042D" w:rsidRDefault="003A042D" w:rsidP="003A042D">
            <w:pPr>
              <w:pStyle w:val="Normal1linespace"/>
              <w:widowControl w:val="0"/>
              <w:jc w:val="left"/>
            </w:pPr>
          </w:p>
        </w:tc>
      </w:tr>
      <w:tr w:rsidR="003A042D" w14:paraId="1485A755" w14:textId="77777777" w:rsidTr="00C00499">
        <w:tc>
          <w:tcPr>
            <w:tcW w:w="3083" w:type="dxa"/>
            <w:shd w:val="clear" w:color="auto" w:fill="auto"/>
          </w:tcPr>
          <w:p w14:paraId="1F8A4513" w14:textId="667124DE" w:rsidR="003A042D" w:rsidRDefault="003A042D" w:rsidP="003A042D">
            <w:pPr>
              <w:pStyle w:val="Normal1linespace"/>
              <w:widowControl w:val="0"/>
              <w:jc w:val="left"/>
            </w:pPr>
            <w:r>
              <w:t>Counsel for the Defendant:</w:t>
            </w:r>
          </w:p>
        </w:tc>
        <w:tc>
          <w:tcPr>
            <w:tcW w:w="5990" w:type="dxa"/>
            <w:shd w:val="clear" w:color="auto" w:fill="auto"/>
          </w:tcPr>
          <w:p w14:paraId="1688ADF1" w14:textId="38F40423" w:rsidR="003A042D" w:rsidRDefault="00FF0641" w:rsidP="003A042D">
            <w:pPr>
              <w:pStyle w:val="Normal1linespace"/>
              <w:widowControl w:val="0"/>
              <w:jc w:val="left"/>
            </w:pPr>
            <w:r>
              <w:t>The</w:t>
            </w:r>
            <w:r w:rsidR="003E1B05">
              <w:t xml:space="preserve"> defendant did not appear</w:t>
            </w:r>
          </w:p>
        </w:tc>
      </w:tr>
      <w:tr w:rsidR="00C00499" w14:paraId="0D4B553F" w14:textId="77777777" w:rsidTr="00C00499">
        <w:tc>
          <w:tcPr>
            <w:tcW w:w="3083" w:type="dxa"/>
            <w:shd w:val="clear" w:color="auto" w:fill="auto"/>
          </w:tcPr>
          <w:p w14:paraId="7191661A" w14:textId="77777777" w:rsidR="00C00499" w:rsidRDefault="00C00499" w:rsidP="003A042D">
            <w:pPr>
              <w:pStyle w:val="Normal1linespace"/>
              <w:widowControl w:val="0"/>
              <w:jc w:val="left"/>
            </w:pPr>
          </w:p>
        </w:tc>
        <w:tc>
          <w:tcPr>
            <w:tcW w:w="5990" w:type="dxa"/>
            <w:shd w:val="clear" w:color="auto" w:fill="auto"/>
          </w:tcPr>
          <w:p w14:paraId="7206E34F" w14:textId="77777777" w:rsidR="00C00499" w:rsidRDefault="00C00499" w:rsidP="003A042D">
            <w:pPr>
              <w:pStyle w:val="Normal1linespace"/>
              <w:widowControl w:val="0"/>
              <w:jc w:val="left"/>
            </w:pPr>
          </w:p>
        </w:tc>
      </w:tr>
      <w:tr w:rsidR="00C00499" w14:paraId="1036B897" w14:textId="77777777" w:rsidTr="00D357BC">
        <w:tc>
          <w:tcPr>
            <w:tcW w:w="3083" w:type="dxa"/>
            <w:shd w:val="clear" w:color="auto" w:fill="auto"/>
          </w:tcPr>
          <w:p w14:paraId="60830FDE" w14:textId="4C18E394" w:rsidR="00C00499" w:rsidRDefault="00C00499" w:rsidP="00D357BC">
            <w:pPr>
              <w:pStyle w:val="Normal1linespace"/>
              <w:widowControl w:val="0"/>
              <w:jc w:val="left"/>
            </w:pPr>
            <w:r>
              <w:t xml:space="preserve">Counsel for the </w:t>
            </w:r>
            <w:r w:rsidR="00317C51">
              <w:t xml:space="preserve">Receivers </w:t>
            </w:r>
            <w:r w:rsidR="003E1B05">
              <w:t>and</w:t>
            </w:r>
            <w:r w:rsidR="00317C51">
              <w:t xml:space="preserve"> Managers</w:t>
            </w:r>
            <w:r>
              <w:t>:</w:t>
            </w:r>
          </w:p>
        </w:tc>
        <w:tc>
          <w:tcPr>
            <w:tcW w:w="5990" w:type="dxa"/>
            <w:shd w:val="clear" w:color="auto" w:fill="auto"/>
          </w:tcPr>
          <w:p w14:paraId="1F04A4E5" w14:textId="13C3550E" w:rsidR="00C00499" w:rsidRDefault="00317C51" w:rsidP="00D357BC">
            <w:pPr>
              <w:pStyle w:val="Normal1linespace"/>
              <w:widowControl w:val="0"/>
              <w:jc w:val="left"/>
            </w:pPr>
            <w:r>
              <w:t>Mr P Edgar SC with Mr J Birch</w:t>
            </w:r>
          </w:p>
        </w:tc>
      </w:tr>
      <w:tr w:rsidR="00C00499" w14:paraId="24724552" w14:textId="77777777" w:rsidTr="00D357BC">
        <w:tc>
          <w:tcPr>
            <w:tcW w:w="3083" w:type="dxa"/>
            <w:shd w:val="clear" w:color="auto" w:fill="auto"/>
          </w:tcPr>
          <w:p w14:paraId="1E5432B4" w14:textId="77777777" w:rsidR="00C00499" w:rsidRDefault="00C00499" w:rsidP="00D357BC">
            <w:pPr>
              <w:pStyle w:val="Normal1linespace"/>
              <w:widowControl w:val="0"/>
              <w:jc w:val="left"/>
            </w:pPr>
          </w:p>
        </w:tc>
        <w:tc>
          <w:tcPr>
            <w:tcW w:w="5990" w:type="dxa"/>
            <w:shd w:val="clear" w:color="auto" w:fill="auto"/>
          </w:tcPr>
          <w:p w14:paraId="1F29DF8F" w14:textId="77777777" w:rsidR="00C00499" w:rsidRDefault="00C00499" w:rsidP="00D357BC">
            <w:pPr>
              <w:pStyle w:val="Normal1linespace"/>
              <w:widowControl w:val="0"/>
              <w:jc w:val="left"/>
            </w:pPr>
          </w:p>
        </w:tc>
      </w:tr>
      <w:tr w:rsidR="00C00499" w14:paraId="0291A2BF" w14:textId="77777777" w:rsidTr="00C00499">
        <w:tc>
          <w:tcPr>
            <w:tcW w:w="3083" w:type="dxa"/>
            <w:shd w:val="clear" w:color="auto" w:fill="auto"/>
          </w:tcPr>
          <w:p w14:paraId="4EDA227F" w14:textId="15982087" w:rsidR="00C00499" w:rsidRDefault="00C00499" w:rsidP="00D357BC">
            <w:pPr>
              <w:pStyle w:val="Normal1linespace"/>
              <w:widowControl w:val="0"/>
              <w:jc w:val="left"/>
            </w:pPr>
            <w:r>
              <w:t xml:space="preserve">Solicitor for the </w:t>
            </w:r>
            <w:r w:rsidR="00317C51">
              <w:t xml:space="preserve">Receivers </w:t>
            </w:r>
            <w:r w:rsidR="003E1B05">
              <w:t>and</w:t>
            </w:r>
            <w:r w:rsidR="00317C51">
              <w:t xml:space="preserve"> Managers</w:t>
            </w:r>
            <w:r>
              <w:t>:</w:t>
            </w:r>
          </w:p>
        </w:tc>
        <w:tc>
          <w:tcPr>
            <w:tcW w:w="5990" w:type="dxa"/>
            <w:shd w:val="clear" w:color="auto" w:fill="auto"/>
          </w:tcPr>
          <w:p w14:paraId="216A3576" w14:textId="466AABC3" w:rsidR="00C00499" w:rsidRDefault="00317C51" w:rsidP="00D357BC">
            <w:pPr>
              <w:pStyle w:val="Normal1linespace"/>
              <w:widowControl w:val="0"/>
              <w:jc w:val="left"/>
            </w:pPr>
            <w:r>
              <w:t>HWL Ebsworth</w:t>
            </w:r>
          </w:p>
        </w:tc>
      </w:tr>
      <w:tr w:rsidR="00C00499" w14:paraId="51112C0F" w14:textId="77777777" w:rsidTr="00C00499">
        <w:tc>
          <w:tcPr>
            <w:tcW w:w="3083" w:type="dxa"/>
            <w:shd w:val="clear" w:color="auto" w:fill="auto"/>
          </w:tcPr>
          <w:p w14:paraId="286456E0" w14:textId="77777777" w:rsidR="00C00499" w:rsidRDefault="00C00499" w:rsidP="003A042D">
            <w:pPr>
              <w:pStyle w:val="Normal1linespace"/>
              <w:widowControl w:val="0"/>
              <w:jc w:val="left"/>
            </w:pPr>
          </w:p>
        </w:tc>
        <w:tc>
          <w:tcPr>
            <w:tcW w:w="5990" w:type="dxa"/>
            <w:shd w:val="clear" w:color="auto" w:fill="auto"/>
          </w:tcPr>
          <w:p w14:paraId="2C659BA7" w14:textId="77777777" w:rsidR="00C00499" w:rsidRDefault="00C00499" w:rsidP="003A042D">
            <w:pPr>
              <w:pStyle w:val="Normal1linespace"/>
              <w:widowControl w:val="0"/>
              <w:jc w:val="left"/>
            </w:pPr>
          </w:p>
        </w:tc>
      </w:tr>
      <w:bookmarkEnd w:id="8"/>
    </w:tbl>
    <w:p w14:paraId="2FA7C70E" w14:textId="77777777" w:rsidR="007470BD" w:rsidRDefault="007470BD">
      <w:pPr>
        <w:pStyle w:val="Normal1linespace"/>
      </w:pPr>
    </w:p>
    <w:p w14:paraId="528C30BD" w14:textId="77777777" w:rsidR="00E94CBF" w:rsidRDefault="00E94CBF">
      <w:pPr>
        <w:pStyle w:val="Normal1linespace"/>
      </w:pPr>
    </w:p>
    <w:p w14:paraId="67369587"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3413583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7B28935" w14:textId="77777777" w:rsidTr="00E81DA6">
        <w:tc>
          <w:tcPr>
            <w:tcW w:w="6912" w:type="dxa"/>
            <w:gridSpan w:val="2"/>
          </w:tcPr>
          <w:p w14:paraId="652B758A" w14:textId="77777777" w:rsidR="00A46CCC" w:rsidRPr="001765E0" w:rsidRDefault="00A46CCC" w:rsidP="00525A49">
            <w:pPr>
              <w:pStyle w:val="NormalHeadings"/>
            </w:pPr>
          </w:p>
        </w:tc>
        <w:tc>
          <w:tcPr>
            <w:tcW w:w="2330" w:type="dxa"/>
          </w:tcPr>
          <w:p w14:paraId="447355E2" w14:textId="0DA9BA5C" w:rsidR="00A46CCC" w:rsidRDefault="008167BB" w:rsidP="00F92355">
            <w:pPr>
              <w:pStyle w:val="NormalHeadings"/>
              <w:jc w:val="right"/>
            </w:pPr>
            <w:bookmarkStart w:id="10" w:name="FileNo"/>
            <w:r>
              <w:t>WAD 13 of 2024</w:t>
            </w:r>
            <w:bookmarkEnd w:id="10"/>
          </w:p>
        </w:tc>
      </w:tr>
      <w:tr w:rsidR="00A76C13" w14:paraId="2704B20F" w14:textId="77777777" w:rsidTr="00F461A4">
        <w:tc>
          <w:tcPr>
            <w:tcW w:w="9242" w:type="dxa"/>
            <w:gridSpan w:val="3"/>
          </w:tcPr>
          <w:p w14:paraId="37468262" w14:textId="29F253F8" w:rsidR="00A76C13" w:rsidRPr="00A76C13" w:rsidRDefault="008167BB" w:rsidP="008167BB">
            <w:pPr>
              <w:pStyle w:val="NormalHeadings"/>
              <w:jc w:val="left"/>
            </w:pPr>
            <w:bookmarkStart w:id="11" w:name="InTheMatterOf"/>
            <w:r>
              <w:t xml:space="preserve"> </w:t>
            </w:r>
            <w:bookmarkEnd w:id="11"/>
          </w:p>
        </w:tc>
      </w:tr>
      <w:tr w:rsidR="00A46CCC" w14:paraId="36EFA5D7" w14:textId="77777777" w:rsidTr="005041F0">
        <w:trPr>
          <w:trHeight w:val="386"/>
        </w:trPr>
        <w:tc>
          <w:tcPr>
            <w:tcW w:w="2376" w:type="dxa"/>
          </w:tcPr>
          <w:p w14:paraId="7A2FB5B9"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05FE45D7" w14:textId="73307909" w:rsidR="008167BB" w:rsidRDefault="008167BB" w:rsidP="008167BB">
            <w:pPr>
              <w:pStyle w:val="NormalHeadings"/>
              <w:jc w:val="left"/>
            </w:pPr>
            <w:bookmarkStart w:id="13" w:name="Applicant"/>
            <w:r>
              <w:t xml:space="preserve">AUSTRALIAN SECURITIES </w:t>
            </w:r>
            <w:r w:rsidR="00486B4A">
              <w:t>AND</w:t>
            </w:r>
            <w:r>
              <w:t xml:space="preserve"> INVESTMENTS COMMISSION</w:t>
            </w:r>
          </w:p>
          <w:p w14:paraId="0DA994C7" w14:textId="77777777" w:rsidR="008167BB" w:rsidRDefault="008167BB" w:rsidP="008167BB">
            <w:pPr>
              <w:pStyle w:val="PartyType"/>
            </w:pPr>
            <w:r>
              <w:t>Plaintiff</w:t>
            </w:r>
          </w:p>
          <w:bookmarkEnd w:id="13"/>
          <w:p w14:paraId="135B76F7" w14:textId="06C9FADD" w:rsidR="00A46CCC" w:rsidRPr="006555B4" w:rsidRDefault="00A46CCC" w:rsidP="005041F0">
            <w:pPr>
              <w:pStyle w:val="NormalHeadings"/>
              <w:jc w:val="left"/>
            </w:pPr>
          </w:p>
        </w:tc>
      </w:tr>
      <w:tr w:rsidR="00A46CCC" w14:paraId="68491AA6" w14:textId="77777777" w:rsidTr="005041F0">
        <w:trPr>
          <w:trHeight w:val="386"/>
        </w:trPr>
        <w:tc>
          <w:tcPr>
            <w:tcW w:w="2376" w:type="dxa"/>
          </w:tcPr>
          <w:p w14:paraId="22BA0738" w14:textId="77777777" w:rsidR="00A46CCC" w:rsidRDefault="00A46CCC" w:rsidP="005041F0">
            <w:pPr>
              <w:pStyle w:val="NormalHeadings"/>
              <w:jc w:val="left"/>
              <w:rPr>
                <w:caps/>
                <w:szCs w:val="24"/>
              </w:rPr>
            </w:pPr>
            <w:r>
              <w:rPr>
                <w:caps/>
                <w:szCs w:val="24"/>
              </w:rPr>
              <w:t>AND:</w:t>
            </w:r>
          </w:p>
        </w:tc>
        <w:tc>
          <w:tcPr>
            <w:tcW w:w="6866" w:type="dxa"/>
            <w:gridSpan w:val="2"/>
          </w:tcPr>
          <w:p w14:paraId="2C881DDB" w14:textId="77777777" w:rsidR="008167BB" w:rsidRDefault="008167BB" w:rsidP="008167BB">
            <w:pPr>
              <w:pStyle w:val="NormalHeadings"/>
              <w:jc w:val="left"/>
            </w:pPr>
            <w:bookmarkStart w:id="14" w:name="Respondent"/>
            <w:r>
              <w:t>BRITE ADVISORS PTY LTD ACN 135 024 412</w:t>
            </w:r>
          </w:p>
          <w:p w14:paraId="59517F3E" w14:textId="77777777" w:rsidR="008167BB" w:rsidRDefault="008167BB" w:rsidP="008167BB">
            <w:pPr>
              <w:pStyle w:val="PartyType"/>
            </w:pPr>
            <w:r>
              <w:t>Defendant</w:t>
            </w:r>
          </w:p>
          <w:bookmarkEnd w:id="14"/>
          <w:p w14:paraId="55B3A837" w14:textId="7CEE3418" w:rsidR="00A46CCC" w:rsidRPr="006555B4" w:rsidRDefault="00A46CCC" w:rsidP="005041F0">
            <w:pPr>
              <w:pStyle w:val="NormalHeadings"/>
              <w:jc w:val="left"/>
            </w:pPr>
          </w:p>
        </w:tc>
      </w:tr>
    </w:tbl>
    <w:p w14:paraId="579035E2"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79BABAAE" w14:textId="77777777">
        <w:tc>
          <w:tcPr>
            <w:tcW w:w="2376" w:type="dxa"/>
          </w:tcPr>
          <w:p w14:paraId="5270084D"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2EFB4CB6" w14:textId="3201D143" w:rsidR="00395B24" w:rsidRDefault="008167BB">
            <w:pPr>
              <w:pStyle w:val="NormalHeadings"/>
              <w:jc w:val="left"/>
              <w:rPr>
                <w:caps/>
                <w:szCs w:val="24"/>
              </w:rPr>
            </w:pPr>
            <w:bookmarkStart w:id="17" w:name="Judge"/>
            <w:r>
              <w:rPr>
                <w:caps/>
                <w:szCs w:val="24"/>
              </w:rPr>
              <w:t>O'SULLIVAN J</w:t>
            </w:r>
            <w:bookmarkEnd w:id="17"/>
          </w:p>
        </w:tc>
      </w:tr>
      <w:tr w:rsidR="00395B24" w14:paraId="488ADBCF" w14:textId="77777777">
        <w:tc>
          <w:tcPr>
            <w:tcW w:w="2376" w:type="dxa"/>
          </w:tcPr>
          <w:p w14:paraId="0B9899E1" w14:textId="77777777" w:rsidR="00395B24" w:rsidRDefault="002C7385">
            <w:pPr>
              <w:pStyle w:val="NormalHeadings"/>
              <w:spacing w:after="120"/>
              <w:jc w:val="left"/>
              <w:rPr>
                <w:caps/>
                <w:szCs w:val="24"/>
              </w:rPr>
            </w:pPr>
            <w:r>
              <w:rPr>
                <w:caps/>
                <w:szCs w:val="24"/>
              </w:rPr>
              <w:t>DATE OF ORDER:</w:t>
            </w:r>
          </w:p>
        </w:tc>
        <w:tc>
          <w:tcPr>
            <w:tcW w:w="6866" w:type="dxa"/>
          </w:tcPr>
          <w:p w14:paraId="7853F92B" w14:textId="33EE50AE" w:rsidR="00395B24" w:rsidRDefault="00C66348">
            <w:pPr>
              <w:pStyle w:val="NormalHeadings"/>
              <w:jc w:val="left"/>
              <w:rPr>
                <w:caps/>
                <w:szCs w:val="24"/>
              </w:rPr>
            </w:pPr>
            <w:bookmarkStart w:id="18" w:name="Judgment_Dated"/>
            <w:r>
              <w:rPr>
                <w:caps/>
                <w:szCs w:val="24"/>
              </w:rPr>
              <w:t>6 February 2024</w:t>
            </w:r>
            <w:bookmarkEnd w:id="18"/>
          </w:p>
        </w:tc>
      </w:tr>
    </w:tbl>
    <w:p w14:paraId="121F7157" w14:textId="77777777" w:rsidR="00395B24" w:rsidRDefault="00395B24">
      <w:pPr>
        <w:pStyle w:val="NormalHeadings"/>
        <w:rPr>
          <w:b w:val="0"/>
        </w:rPr>
      </w:pPr>
    </w:p>
    <w:p w14:paraId="5B4BC19D" w14:textId="77777777" w:rsidR="008D1617" w:rsidRDefault="008D1617">
      <w:pPr>
        <w:pStyle w:val="NormalHeadings"/>
        <w:rPr>
          <w:b w:val="0"/>
        </w:rPr>
      </w:pPr>
    </w:p>
    <w:p w14:paraId="044F87EB" w14:textId="77777777" w:rsidR="00395B24" w:rsidRDefault="002C7385">
      <w:pPr>
        <w:pStyle w:val="NormalHeadings"/>
      </w:pPr>
      <w:r>
        <w:t>THE COURT ORDERS THAT:</w:t>
      </w:r>
    </w:p>
    <w:p w14:paraId="7A1DFAB7" w14:textId="77777777" w:rsidR="007F60DF" w:rsidRDefault="007F60DF" w:rsidP="00243E5E">
      <w:pPr>
        <w:pStyle w:val="NormalHeadings"/>
      </w:pPr>
    </w:p>
    <w:p w14:paraId="62810D64" w14:textId="2969DFFA" w:rsidR="008167BB" w:rsidRPr="000F3BCB" w:rsidRDefault="00C75A12" w:rsidP="00C75A12">
      <w:pPr>
        <w:pStyle w:val="Order1"/>
        <w:numPr>
          <w:ilvl w:val="0"/>
          <w:numId w:val="0"/>
        </w:numPr>
        <w:tabs>
          <w:tab w:val="left" w:pos="720"/>
        </w:tabs>
        <w:ind w:left="720" w:hanging="720"/>
      </w:pPr>
      <w:r w:rsidRPr="000F3BCB">
        <w:t>1.</w:t>
      </w:r>
      <w:r w:rsidRPr="000F3BCB">
        <w:tab/>
      </w:r>
      <w:r w:rsidR="008167BB" w:rsidRPr="000F3BCB">
        <w:t xml:space="preserve">Leave be granted to the </w:t>
      </w:r>
      <w:r w:rsidR="008167BB">
        <w:t>p</w:t>
      </w:r>
      <w:r w:rsidR="008167BB" w:rsidRPr="000F3BCB">
        <w:t>laintiff, who is released from the implied undertaking to the extent necessary, to rely on all of the documents filed in related proceedings, WAD</w:t>
      </w:r>
      <w:r w:rsidR="008167BB">
        <w:t> </w:t>
      </w:r>
      <w:r w:rsidR="008167BB" w:rsidRPr="000F3BCB">
        <w:t>262/2023, save for:</w:t>
      </w:r>
    </w:p>
    <w:p w14:paraId="0BEB93F7" w14:textId="0919449D" w:rsidR="008167BB" w:rsidRPr="000F3BCB" w:rsidRDefault="00C75A12" w:rsidP="00C75A12">
      <w:pPr>
        <w:pStyle w:val="Order2"/>
        <w:numPr>
          <w:ilvl w:val="0"/>
          <w:numId w:val="0"/>
        </w:numPr>
        <w:ind w:left="1440" w:hanging="720"/>
      </w:pPr>
      <w:r w:rsidRPr="000F3BCB">
        <w:t>(a)</w:t>
      </w:r>
      <w:r w:rsidRPr="000F3BCB">
        <w:tab/>
      </w:r>
      <w:r w:rsidR="008167BB">
        <w:t>t</w:t>
      </w:r>
      <w:r w:rsidR="008167BB" w:rsidRPr="000F3BCB">
        <w:t>he confidential affidavit affirmed by Linda Methven Smith on 20 December 2023; and</w:t>
      </w:r>
    </w:p>
    <w:p w14:paraId="67982E04" w14:textId="13464031" w:rsidR="008167BB" w:rsidRPr="000F3BCB" w:rsidRDefault="00C75A12" w:rsidP="00C75A12">
      <w:pPr>
        <w:pStyle w:val="Order2"/>
        <w:numPr>
          <w:ilvl w:val="0"/>
          <w:numId w:val="0"/>
        </w:numPr>
        <w:ind w:left="1440" w:hanging="720"/>
      </w:pPr>
      <w:r w:rsidRPr="000F3BCB">
        <w:t>(b)</w:t>
      </w:r>
      <w:r w:rsidRPr="000F3BCB">
        <w:tab/>
      </w:r>
      <w:r w:rsidR="008167BB" w:rsidRPr="000F3BCB">
        <w:t>any affidavit or report filed by Ms Smith marked confidential.</w:t>
      </w:r>
    </w:p>
    <w:p w14:paraId="542A2DA3" w14:textId="2AC99AD9" w:rsidR="008167BB" w:rsidRPr="000F3BCB" w:rsidRDefault="00C75A12" w:rsidP="00C75A12">
      <w:pPr>
        <w:pStyle w:val="Order1"/>
        <w:numPr>
          <w:ilvl w:val="0"/>
          <w:numId w:val="0"/>
        </w:numPr>
        <w:tabs>
          <w:tab w:val="left" w:pos="720"/>
        </w:tabs>
        <w:ind w:left="720" w:hanging="720"/>
      </w:pPr>
      <w:r w:rsidRPr="000F3BCB">
        <w:t>2.</w:t>
      </w:r>
      <w:r w:rsidRPr="000F3BCB">
        <w:tab/>
      </w:r>
      <w:r w:rsidR="008167BB" w:rsidRPr="000F3BCB">
        <w:t xml:space="preserve">Pursuant to s 461(1)(k) of the </w:t>
      </w:r>
      <w:r w:rsidR="008167BB" w:rsidRPr="000F3BCB">
        <w:rPr>
          <w:i/>
          <w:iCs/>
        </w:rPr>
        <w:t>Corporations Act 2001</w:t>
      </w:r>
      <w:r w:rsidR="008167BB" w:rsidRPr="000F3BCB">
        <w:t xml:space="preserve"> (Cth) (</w:t>
      </w:r>
      <w:r w:rsidR="008167BB" w:rsidRPr="000F3BCB">
        <w:rPr>
          <w:b/>
          <w:bCs/>
        </w:rPr>
        <w:t>Corporations Act</w:t>
      </w:r>
      <w:r w:rsidR="008167BB" w:rsidRPr="000F3BCB">
        <w:t>), the defendant is wound up on just and equitable grounds.</w:t>
      </w:r>
    </w:p>
    <w:p w14:paraId="7125AC6A" w14:textId="0BD5F94C" w:rsidR="008167BB" w:rsidRPr="000F3BCB" w:rsidRDefault="00C75A12" w:rsidP="00C75A12">
      <w:pPr>
        <w:pStyle w:val="Order1"/>
        <w:numPr>
          <w:ilvl w:val="0"/>
          <w:numId w:val="0"/>
        </w:numPr>
        <w:tabs>
          <w:tab w:val="left" w:pos="720"/>
        </w:tabs>
        <w:ind w:left="720" w:hanging="720"/>
      </w:pPr>
      <w:r w:rsidRPr="000F3BCB">
        <w:t>3.</w:t>
      </w:r>
      <w:r w:rsidRPr="000F3BCB">
        <w:tab/>
      </w:r>
      <w:r w:rsidR="008167BB" w:rsidRPr="000F3BCB">
        <w:t>Pursuant to s 472(1) of the Corporations Act, Linda Smith and Robert Kirman of McGrathNicol are appointed joint and several liquidators of the defendant (</w:t>
      </w:r>
      <w:r w:rsidR="008167BB" w:rsidRPr="000F3BCB">
        <w:rPr>
          <w:b/>
          <w:bCs/>
        </w:rPr>
        <w:t>Liquidators</w:t>
      </w:r>
      <w:r w:rsidR="008167BB" w:rsidRPr="000F3BCB">
        <w:t>).</w:t>
      </w:r>
    </w:p>
    <w:p w14:paraId="4D54556B" w14:textId="59B83BAB" w:rsidR="008167BB" w:rsidRPr="000F3BCB" w:rsidRDefault="00C75A12" w:rsidP="00C75A12">
      <w:pPr>
        <w:pStyle w:val="Order1"/>
        <w:numPr>
          <w:ilvl w:val="0"/>
          <w:numId w:val="0"/>
        </w:numPr>
        <w:tabs>
          <w:tab w:val="left" w:pos="720"/>
        </w:tabs>
        <w:ind w:left="720" w:hanging="720"/>
      </w:pPr>
      <w:r w:rsidRPr="000F3BCB">
        <w:t>4.</w:t>
      </w:r>
      <w:r w:rsidRPr="000F3BCB">
        <w:tab/>
      </w:r>
      <w:r w:rsidR="008167BB" w:rsidRPr="000F3BCB">
        <w:t>The defendant is to pay the plaintiff's cost of the proceedings, and such costs as taxed or agreed be reimbursed out of the property of the defendant in accordance with s</w:t>
      </w:r>
      <w:r w:rsidR="008167BB">
        <w:t> </w:t>
      </w:r>
      <w:r w:rsidR="008167BB" w:rsidRPr="000F3BCB">
        <w:t>466(2) of the Corporations Act.</w:t>
      </w:r>
    </w:p>
    <w:p w14:paraId="375DCDE7" w14:textId="0F5F6527" w:rsidR="008167BB" w:rsidRPr="000F3BCB" w:rsidRDefault="00C75A12" w:rsidP="00C75A12">
      <w:pPr>
        <w:pStyle w:val="Order1"/>
        <w:numPr>
          <w:ilvl w:val="0"/>
          <w:numId w:val="0"/>
        </w:numPr>
        <w:tabs>
          <w:tab w:val="left" w:pos="720"/>
        </w:tabs>
        <w:ind w:left="720" w:hanging="720"/>
      </w:pPr>
      <w:r w:rsidRPr="000F3BCB">
        <w:t>5.</w:t>
      </w:r>
      <w:r w:rsidRPr="000F3BCB">
        <w:tab/>
      </w:r>
      <w:r w:rsidR="008167BB" w:rsidRPr="000F3BCB">
        <w:rPr>
          <w:w w:val="105"/>
        </w:rPr>
        <w:t>Pursuant</w:t>
      </w:r>
      <w:r w:rsidR="008167BB" w:rsidRPr="000F3BCB">
        <w:rPr>
          <w:spacing w:val="-7"/>
          <w:w w:val="105"/>
        </w:rPr>
        <w:t xml:space="preserve"> </w:t>
      </w:r>
      <w:r w:rsidR="008167BB" w:rsidRPr="000F3BCB">
        <w:rPr>
          <w:w w:val="105"/>
        </w:rPr>
        <w:t>to</w:t>
      </w:r>
      <w:r w:rsidR="008167BB" w:rsidRPr="000F3BCB">
        <w:rPr>
          <w:spacing w:val="-5"/>
          <w:w w:val="105"/>
        </w:rPr>
        <w:t xml:space="preserve"> </w:t>
      </w:r>
      <w:r w:rsidR="008167BB" w:rsidRPr="000F3BCB">
        <w:rPr>
          <w:w w:val="105"/>
        </w:rPr>
        <w:t>s</w:t>
      </w:r>
      <w:r w:rsidR="008167BB" w:rsidRPr="000F3BCB">
        <w:rPr>
          <w:spacing w:val="-11"/>
          <w:w w:val="105"/>
        </w:rPr>
        <w:t xml:space="preserve"> </w:t>
      </w:r>
      <w:r w:rsidR="008167BB" w:rsidRPr="000F3BCB">
        <w:rPr>
          <w:w w:val="105"/>
        </w:rPr>
        <w:t>57 of</w:t>
      </w:r>
      <w:r w:rsidR="008167BB" w:rsidRPr="000F3BCB">
        <w:rPr>
          <w:spacing w:val="-12"/>
          <w:w w:val="105"/>
        </w:rPr>
        <w:t xml:space="preserve"> </w:t>
      </w:r>
      <w:r w:rsidR="008167BB" w:rsidRPr="000F3BCB">
        <w:rPr>
          <w:w w:val="105"/>
        </w:rPr>
        <w:t>the</w:t>
      </w:r>
      <w:r w:rsidR="008167BB" w:rsidRPr="000F3BCB">
        <w:rPr>
          <w:spacing w:val="-2"/>
          <w:w w:val="105"/>
        </w:rPr>
        <w:t xml:space="preserve"> </w:t>
      </w:r>
      <w:r w:rsidR="008167BB" w:rsidRPr="000F3BCB">
        <w:rPr>
          <w:i/>
          <w:iCs/>
        </w:rPr>
        <w:t>Federal Court of Australia Act 1976</w:t>
      </w:r>
      <w:r w:rsidR="008167BB" w:rsidRPr="000F3BCB">
        <w:t xml:space="preserve"> (Cth), Linda Smith and Robert Kirman of McGrathNicol are appointed, jointly and severally, as receivers and managers (</w:t>
      </w:r>
      <w:r w:rsidR="008167BB" w:rsidRPr="000F3BCB">
        <w:rPr>
          <w:b/>
          <w:bCs/>
        </w:rPr>
        <w:t>Receivers</w:t>
      </w:r>
      <w:r w:rsidR="008167BB" w:rsidRPr="000F3BCB">
        <w:t>) over the property, assets and undertakings held by the Defendant on trust for another (</w:t>
      </w:r>
      <w:r w:rsidR="008167BB" w:rsidRPr="000F3BCB">
        <w:rPr>
          <w:b/>
          <w:bCs/>
        </w:rPr>
        <w:t>Trust Assets</w:t>
      </w:r>
      <w:r w:rsidR="008167BB" w:rsidRPr="000F3BCB">
        <w:t>).</w:t>
      </w:r>
    </w:p>
    <w:p w14:paraId="24B0DD34" w14:textId="526BDF39" w:rsidR="008167BB" w:rsidRPr="000F3BCB" w:rsidRDefault="00C75A12" w:rsidP="00C75A12">
      <w:pPr>
        <w:pStyle w:val="Order1"/>
        <w:numPr>
          <w:ilvl w:val="0"/>
          <w:numId w:val="0"/>
        </w:numPr>
        <w:tabs>
          <w:tab w:val="left" w:pos="720"/>
        </w:tabs>
        <w:ind w:left="720" w:hanging="720"/>
      </w:pPr>
      <w:r w:rsidRPr="000F3BCB">
        <w:t>6.</w:t>
      </w:r>
      <w:r w:rsidRPr="000F3BCB">
        <w:tab/>
      </w:r>
      <w:r w:rsidR="008167BB" w:rsidRPr="000F3BCB">
        <w:rPr>
          <w:w w:val="105"/>
        </w:rPr>
        <w:t>The</w:t>
      </w:r>
      <w:r w:rsidR="008167BB" w:rsidRPr="000F3BCB">
        <w:rPr>
          <w:spacing w:val="-6"/>
          <w:w w:val="105"/>
        </w:rPr>
        <w:t xml:space="preserve"> </w:t>
      </w:r>
      <w:r w:rsidR="008167BB" w:rsidRPr="000F3BCB">
        <w:rPr>
          <w:w w:val="105"/>
        </w:rPr>
        <w:t>need for the</w:t>
      </w:r>
      <w:r w:rsidR="008167BB" w:rsidRPr="000F3BCB">
        <w:rPr>
          <w:spacing w:val="-6"/>
          <w:w w:val="105"/>
        </w:rPr>
        <w:t xml:space="preserve"> </w:t>
      </w:r>
      <w:r w:rsidR="008167BB" w:rsidRPr="000F3BCB">
        <w:rPr>
          <w:w w:val="105"/>
        </w:rPr>
        <w:t>Receivers</w:t>
      </w:r>
      <w:r w:rsidR="008167BB" w:rsidRPr="000F3BCB">
        <w:rPr>
          <w:spacing w:val="-1"/>
          <w:w w:val="105"/>
        </w:rPr>
        <w:t xml:space="preserve"> </w:t>
      </w:r>
      <w:r w:rsidR="008167BB" w:rsidRPr="000F3BCB">
        <w:rPr>
          <w:w w:val="105"/>
        </w:rPr>
        <w:t>to file</w:t>
      </w:r>
      <w:r w:rsidR="008167BB" w:rsidRPr="000F3BCB">
        <w:rPr>
          <w:spacing w:val="-6"/>
          <w:w w:val="105"/>
        </w:rPr>
        <w:t xml:space="preserve"> </w:t>
      </w:r>
      <w:r w:rsidR="008167BB" w:rsidRPr="000F3BCB">
        <w:rPr>
          <w:w w:val="105"/>
        </w:rPr>
        <w:t>a guarantee</w:t>
      </w:r>
      <w:r w:rsidR="008167BB" w:rsidRPr="000F3BCB">
        <w:rPr>
          <w:spacing w:val="-6"/>
          <w:w w:val="105"/>
        </w:rPr>
        <w:t xml:space="preserve"> </w:t>
      </w:r>
      <w:r w:rsidR="008167BB" w:rsidRPr="000F3BCB">
        <w:rPr>
          <w:w w:val="105"/>
        </w:rPr>
        <w:t>under</w:t>
      </w:r>
      <w:r w:rsidR="008167BB" w:rsidRPr="000F3BCB">
        <w:rPr>
          <w:spacing w:val="-2"/>
          <w:w w:val="105"/>
        </w:rPr>
        <w:t xml:space="preserve"> </w:t>
      </w:r>
      <w:r w:rsidR="008167BB" w:rsidRPr="000F3BCB">
        <w:rPr>
          <w:w w:val="105"/>
        </w:rPr>
        <w:t>rr</w:t>
      </w:r>
      <w:r w:rsidR="008167BB" w:rsidRPr="000F3BCB">
        <w:rPr>
          <w:spacing w:val="-2"/>
          <w:w w:val="105"/>
        </w:rPr>
        <w:t xml:space="preserve"> </w:t>
      </w:r>
      <w:r w:rsidR="008167BB" w:rsidRPr="000F3BCB">
        <w:rPr>
          <w:w w:val="105"/>
        </w:rPr>
        <w:t>14.21 and</w:t>
      </w:r>
      <w:r w:rsidR="008167BB" w:rsidRPr="000F3BCB">
        <w:rPr>
          <w:spacing w:val="-5"/>
          <w:w w:val="105"/>
        </w:rPr>
        <w:t xml:space="preserve"> </w:t>
      </w:r>
      <w:r w:rsidR="008167BB" w:rsidRPr="000F3BCB">
        <w:rPr>
          <w:w w:val="105"/>
        </w:rPr>
        <w:t>14.22 of</w:t>
      </w:r>
      <w:r w:rsidR="008167BB" w:rsidRPr="000F3BCB">
        <w:rPr>
          <w:spacing w:val="-2"/>
          <w:w w:val="105"/>
        </w:rPr>
        <w:t xml:space="preserve"> </w:t>
      </w:r>
      <w:r w:rsidR="008167BB" w:rsidRPr="000F3BCB">
        <w:rPr>
          <w:w w:val="105"/>
        </w:rPr>
        <w:t xml:space="preserve">the </w:t>
      </w:r>
      <w:r w:rsidR="008167BB" w:rsidRPr="000F3BCB">
        <w:rPr>
          <w:i/>
          <w:w w:val="105"/>
        </w:rPr>
        <w:t xml:space="preserve">Federal Court Rules 2011 </w:t>
      </w:r>
      <w:r w:rsidR="008167BB" w:rsidRPr="000F3BCB">
        <w:rPr>
          <w:w w:val="105"/>
        </w:rPr>
        <w:t>(Cth) is dispensed with.</w:t>
      </w:r>
    </w:p>
    <w:p w14:paraId="3022D5E7" w14:textId="42C8ECB6" w:rsidR="008167BB" w:rsidRPr="000F3BCB" w:rsidRDefault="00C75A12" w:rsidP="00C75A12">
      <w:pPr>
        <w:pStyle w:val="Order1"/>
        <w:numPr>
          <w:ilvl w:val="0"/>
          <w:numId w:val="0"/>
        </w:numPr>
        <w:tabs>
          <w:tab w:val="left" w:pos="720"/>
        </w:tabs>
        <w:ind w:left="720" w:hanging="720"/>
      </w:pPr>
      <w:bookmarkStart w:id="19" w:name="_Ref157761855"/>
      <w:r w:rsidRPr="000F3BCB">
        <w:lastRenderedPageBreak/>
        <w:t>7.</w:t>
      </w:r>
      <w:r w:rsidRPr="000F3BCB">
        <w:tab/>
      </w:r>
      <w:r w:rsidR="008167BB" w:rsidRPr="000F3BCB">
        <w:rPr>
          <w:w w:val="105"/>
        </w:rPr>
        <w:t>The Receivers are authorised to take possession of, preserve, maintain and sell the Trust Assets.</w:t>
      </w:r>
      <w:bookmarkEnd w:id="19"/>
    </w:p>
    <w:p w14:paraId="4374D9BB" w14:textId="41BD81EF" w:rsidR="008167BB" w:rsidRPr="000F3BCB" w:rsidRDefault="00C75A12" w:rsidP="00C75A12">
      <w:pPr>
        <w:pStyle w:val="Order1"/>
        <w:numPr>
          <w:ilvl w:val="0"/>
          <w:numId w:val="0"/>
        </w:numPr>
        <w:tabs>
          <w:tab w:val="left" w:pos="720"/>
        </w:tabs>
        <w:ind w:left="720" w:hanging="720"/>
      </w:pPr>
      <w:bookmarkStart w:id="20" w:name="_Ref157761838"/>
      <w:r w:rsidRPr="000F3BCB">
        <w:t>8.</w:t>
      </w:r>
      <w:r w:rsidRPr="000F3BCB">
        <w:tab/>
      </w:r>
      <w:r w:rsidR="008167BB" w:rsidRPr="000F3BCB">
        <w:rPr>
          <w:w w:val="105"/>
        </w:rPr>
        <w:t>The</w:t>
      </w:r>
      <w:r w:rsidR="008167BB" w:rsidRPr="000F3BCB">
        <w:rPr>
          <w:spacing w:val="-11"/>
          <w:w w:val="105"/>
        </w:rPr>
        <w:t xml:space="preserve"> </w:t>
      </w:r>
      <w:r w:rsidR="008167BB" w:rsidRPr="000F3BCB">
        <w:rPr>
          <w:w w:val="105"/>
        </w:rPr>
        <w:t>Receivers</w:t>
      </w:r>
      <w:r w:rsidR="008167BB" w:rsidRPr="000F3BCB">
        <w:rPr>
          <w:spacing w:val="-11"/>
          <w:w w:val="105"/>
        </w:rPr>
        <w:t xml:space="preserve"> </w:t>
      </w:r>
      <w:r w:rsidR="008167BB" w:rsidRPr="000F3BCB">
        <w:rPr>
          <w:w w:val="105"/>
        </w:rPr>
        <w:t>have</w:t>
      </w:r>
      <w:r w:rsidR="008167BB" w:rsidRPr="000F3BCB">
        <w:rPr>
          <w:spacing w:val="-3"/>
          <w:w w:val="105"/>
        </w:rPr>
        <w:t xml:space="preserve"> </w:t>
      </w:r>
      <w:r w:rsidR="008167BB" w:rsidRPr="000F3BCB">
        <w:rPr>
          <w:w w:val="105"/>
        </w:rPr>
        <w:t>the</w:t>
      </w:r>
      <w:r w:rsidR="008167BB" w:rsidRPr="000F3BCB">
        <w:rPr>
          <w:spacing w:val="-4"/>
          <w:w w:val="105"/>
        </w:rPr>
        <w:t xml:space="preserve"> </w:t>
      </w:r>
      <w:r w:rsidR="008167BB" w:rsidRPr="000F3BCB">
        <w:rPr>
          <w:spacing w:val="-2"/>
          <w:w w:val="105"/>
        </w:rPr>
        <w:t>power:</w:t>
      </w:r>
      <w:bookmarkEnd w:id="20"/>
    </w:p>
    <w:p w14:paraId="74D1BA77" w14:textId="60128678" w:rsidR="008167BB" w:rsidRPr="000F3BCB" w:rsidRDefault="00C75A12" w:rsidP="00C75A12">
      <w:pPr>
        <w:pStyle w:val="Order2"/>
        <w:numPr>
          <w:ilvl w:val="0"/>
          <w:numId w:val="0"/>
        </w:numPr>
        <w:ind w:left="1440" w:hanging="720"/>
      </w:pPr>
      <w:r w:rsidRPr="000F3BCB">
        <w:t>(a)</w:t>
      </w:r>
      <w:r w:rsidRPr="000F3BCB">
        <w:tab/>
      </w:r>
      <w:r w:rsidR="008167BB" w:rsidRPr="000F3BCB">
        <w:rPr>
          <w:w w:val="105"/>
        </w:rPr>
        <w:t>to do all things (including, but not limited to, the signing of any documents) for the realisation of the Trust Assets;</w:t>
      </w:r>
    </w:p>
    <w:p w14:paraId="2CEB57C6" w14:textId="1A8AF62B" w:rsidR="008167BB" w:rsidRPr="000F3BCB" w:rsidRDefault="00C75A12" w:rsidP="00C75A12">
      <w:pPr>
        <w:pStyle w:val="Order2"/>
        <w:numPr>
          <w:ilvl w:val="0"/>
          <w:numId w:val="0"/>
        </w:numPr>
        <w:ind w:left="1440" w:hanging="720"/>
      </w:pPr>
      <w:r w:rsidRPr="000F3BCB">
        <w:t>(b)</w:t>
      </w:r>
      <w:r w:rsidRPr="000F3BCB">
        <w:tab/>
      </w:r>
      <w:r w:rsidR="008167BB" w:rsidRPr="000F3BCB">
        <w:rPr>
          <w:w w:val="105"/>
        </w:rPr>
        <w:t xml:space="preserve">provided by s 420 of the </w:t>
      </w:r>
      <w:r w:rsidR="008167BB" w:rsidRPr="000F3BCB">
        <w:rPr>
          <w:iCs/>
          <w:w w:val="105"/>
        </w:rPr>
        <w:t>Corporations Act as</w:t>
      </w:r>
      <w:r w:rsidR="008167BB" w:rsidRPr="000F3BCB">
        <w:rPr>
          <w:w w:val="105"/>
        </w:rPr>
        <w:t xml:space="preserve"> if the reference therein to 'the corporation'</w:t>
      </w:r>
      <w:r w:rsidR="008167BB" w:rsidRPr="000F3BCB">
        <w:rPr>
          <w:spacing w:val="-9"/>
          <w:w w:val="105"/>
        </w:rPr>
        <w:t xml:space="preserve"> </w:t>
      </w:r>
      <w:r w:rsidR="008167BB" w:rsidRPr="000F3BCB">
        <w:rPr>
          <w:w w:val="105"/>
        </w:rPr>
        <w:t>were</w:t>
      </w:r>
      <w:r w:rsidR="008167BB" w:rsidRPr="000F3BCB">
        <w:rPr>
          <w:spacing w:val="-7"/>
          <w:w w:val="105"/>
        </w:rPr>
        <w:t xml:space="preserve"> </w:t>
      </w:r>
      <w:r w:rsidR="008167BB" w:rsidRPr="000F3BCB">
        <w:rPr>
          <w:w w:val="105"/>
        </w:rPr>
        <w:t>to the</w:t>
      </w:r>
      <w:r w:rsidR="008167BB" w:rsidRPr="000F3BCB">
        <w:rPr>
          <w:spacing w:val="-7"/>
          <w:w w:val="105"/>
        </w:rPr>
        <w:t xml:space="preserve"> </w:t>
      </w:r>
      <w:r w:rsidR="008167BB" w:rsidRPr="000F3BCB">
        <w:rPr>
          <w:w w:val="105"/>
        </w:rPr>
        <w:t>trust on which the Trust Assets are held,</w:t>
      </w:r>
      <w:r w:rsidR="008167BB" w:rsidRPr="000F3BCB">
        <w:rPr>
          <w:spacing w:val="-9"/>
          <w:w w:val="105"/>
        </w:rPr>
        <w:t xml:space="preserve"> </w:t>
      </w:r>
      <w:r w:rsidR="008167BB" w:rsidRPr="000F3BCB">
        <w:rPr>
          <w:w w:val="105"/>
        </w:rPr>
        <w:t>together</w:t>
      </w:r>
      <w:r w:rsidR="008167BB" w:rsidRPr="000F3BCB">
        <w:rPr>
          <w:spacing w:val="-2"/>
          <w:w w:val="105"/>
        </w:rPr>
        <w:t xml:space="preserve"> </w:t>
      </w:r>
      <w:r w:rsidR="008167BB" w:rsidRPr="000F3BCB">
        <w:rPr>
          <w:w w:val="105"/>
        </w:rPr>
        <w:t>with</w:t>
      </w:r>
      <w:r w:rsidR="008167BB" w:rsidRPr="000F3BCB">
        <w:rPr>
          <w:spacing w:val="-12"/>
          <w:w w:val="105"/>
        </w:rPr>
        <w:t xml:space="preserve"> </w:t>
      </w:r>
      <w:r w:rsidR="008167BB" w:rsidRPr="000F3BCB">
        <w:rPr>
          <w:w w:val="105"/>
        </w:rPr>
        <w:t>the</w:t>
      </w:r>
      <w:r w:rsidR="008167BB" w:rsidRPr="000F3BCB">
        <w:rPr>
          <w:spacing w:val="-7"/>
          <w:w w:val="105"/>
        </w:rPr>
        <w:t xml:space="preserve"> </w:t>
      </w:r>
      <w:r w:rsidR="008167BB" w:rsidRPr="000F3BCB">
        <w:rPr>
          <w:w w:val="105"/>
        </w:rPr>
        <w:t>powers</w:t>
      </w:r>
      <w:r w:rsidR="008167BB" w:rsidRPr="000F3BCB">
        <w:rPr>
          <w:spacing w:val="-9"/>
          <w:w w:val="105"/>
        </w:rPr>
        <w:t xml:space="preserve"> </w:t>
      </w:r>
      <w:r w:rsidR="008167BB" w:rsidRPr="000F3BCB">
        <w:rPr>
          <w:w w:val="105"/>
        </w:rPr>
        <w:t>that</w:t>
      </w:r>
      <w:r w:rsidR="008167BB" w:rsidRPr="000F3BCB">
        <w:rPr>
          <w:spacing w:val="-11"/>
          <w:w w:val="105"/>
        </w:rPr>
        <w:t xml:space="preserve"> </w:t>
      </w:r>
      <w:r w:rsidR="008167BB" w:rsidRPr="000F3BCB">
        <w:rPr>
          <w:w w:val="105"/>
        </w:rPr>
        <w:t>a</w:t>
      </w:r>
      <w:r w:rsidR="008167BB" w:rsidRPr="000F3BCB">
        <w:rPr>
          <w:spacing w:val="-1"/>
          <w:w w:val="105"/>
        </w:rPr>
        <w:t xml:space="preserve"> </w:t>
      </w:r>
      <w:r w:rsidR="008167BB" w:rsidRPr="000F3BCB">
        <w:rPr>
          <w:w w:val="105"/>
        </w:rPr>
        <w:t>liquidator</w:t>
      </w:r>
      <w:r w:rsidR="008167BB" w:rsidRPr="000F3BCB">
        <w:rPr>
          <w:spacing w:val="-2"/>
          <w:w w:val="105"/>
        </w:rPr>
        <w:t xml:space="preserve"> </w:t>
      </w:r>
      <w:r w:rsidR="008167BB" w:rsidRPr="000F3BCB">
        <w:rPr>
          <w:w w:val="105"/>
        </w:rPr>
        <w:t>has</w:t>
      </w:r>
      <w:r w:rsidR="008167BB" w:rsidRPr="000F3BCB">
        <w:rPr>
          <w:spacing w:val="-9"/>
          <w:w w:val="105"/>
        </w:rPr>
        <w:t xml:space="preserve"> </w:t>
      </w:r>
      <w:r w:rsidR="008167BB" w:rsidRPr="000F3BCB">
        <w:rPr>
          <w:w w:val="105"/>
        </w:rPr>
        <w:t>in respect of property of a company (in its role as legal owner and trustee) pursuant to s 477(2) of the Corporations Act;</w:t>
      </w:r>
    </w:p>
    <w:p w14:paraId="5B931A2C" w14:textId="5752B231" w:rsidR="008167BB" w:rsidRPr="000F3BCB" w:rsidRDefault="00C75A12" w:rsidP="00C75A12">
      <w:pPr>
        <w:pStyle w:val="Order2"/>
        <w:numPr>
          <w:ilvl w:val="0"/>
          <w:numId w:val="0"/>
        </w:numPr>
        <w:ind w:left="1440" w:hanging="720"/>
      </w:pPr>
      <w:r w:rsidRPr="000F3BCB">
        <w:t>(c)</w:t>
      </w:r>
      <w:r w:rsidRPr="000F3BCB">
        <w:tab/>
      </w:r>
      <w:r w:rsidR="008167BB" w:rsidRPr="000F3BCB">
        <w:rPr>
          <w:w w:val="105"/>
        </w:rPr>
        <w:t xml:space="preserve">without limiting the powers granted pursuant to paragraphs 8(a) and (b), and subject to paragraph </w:t>
      </w:r>
      <w:r w:rsidR="008167BB" w:rsidRPr="000F3BCB">
        <w:rPr>
          <w:w w:val="105"/>
        </w:rPr>
        <w:fldChar w:fldCharType="begin"/>
      </w:r>
      <w:r w:rsidR="008167BB" w:rsidRPr="000F3BCB">
        <w:rPr>
          <w:w w:val="105"/>
        </w:rPr>
        <w:instrText xml:space="preserve"> REF _Ref158047570 \r \h </w:instrText>
      </w:r>
      <w:r w:rsidR="008167BB">
        <w:rPr>
          <w:w w:val="105"/>
        </w:rPr>
        <w:instrText xml:space="preserve"> \* MERGEFORMAT </w:instrText>
      </w:r>
      <w:r w:rsidR="008167BB" w:rsidRPr="000F3BCB">
        <w:rPr>
          <w:w w:val="105"/>
        </w:rPr>
      </w:r>
      <w:r w:rsidR="008167BB" w:rsidRPr="000F3BCB">
        <w:rPr>
          <w:w w:val="105"/>
        </w:rPr>
        <w:fldChar w:fldCharType="separate"/>
      </w:r>
      <w:r w:rsidR="00076FDB">
        <w:rPr>
          <w:w w:val="105"/>
        </w:rPr>
        <w:t>11</w:t>
      </w:r>
      <w:r w:rsidR="008167BB" w:rsidRPr="000F3BCB">
        <w:rPr>
          <w:w w:val="105"/>
        </w:rPr>
        <w:fldChar w:fldCharType="end"/>
      </w:r>
      <w:r w:rsidR="008167BB" w:rsidRPr="000F3BCB">
        <w:rPr>
          <w:w w:val="105"/>
        </w:rPr>
        <w:t>, to do all things necessary to attend to the following identified tasks:</w:t>
      </w:r>
    </w:p>
    <w:p w14:paraId="3560029F" w14:textId="68928059" w:rsidR="008167BB" w:rsidRPr="000F3BCB" w:rsidRDefault="00C75A12" w:rsidP="00C75A12">
      <w:pPr>
        <w:pStyle w:val="Order3"/>
        <w:numPr>
          <w:ilvl w:val="0"/>
          <w:numId w:val="0"/>
        </w:numPr>
        <w:tabs>
          <w:tab w:val="left" w:pos="1440"/>
        </w:tabs>
        <w:ind w:left="2160" w:hanging="720"/>
      </w:pPr>
      <w:r w:rsidRPr="000F3BCB">
        <w:t>(i)</w:t>
      </w:r>
      <w:r w:rsidRPr="000F3BCB">
        <w:tab/>
      </w:r>
      <w:r w:rsidR="008167BB" w:rsidRPr="000F3BCB">
        <w:rPr>
          <w:w w:val="105"/>
        </w:rPr>
        <w:t>the</w:t>
      </w:r>
      <w:r w:rsidR="008167BB" w:rsidRPr="000F3BCB">
        <w:rPr>
          <w:spacing w:val="-13"/>
          <w:w w:val="105"/>
        </w:rPr>
        <w:t xml:space="preserve"> </w:t>
      </w:r>
      <w:r w:rsidR="008167BB" w:rsidRPr="000F3BCB">
        <w:rPr>
          <w:w w:val="105"/>
        </w:rPr>
        <w:t>identification</w:t>
      </w:r>
      <w:r w:rsidR="008167BB" w:rsidRPr="000F3BCB">
        <w:rPr>
          <w:spacing w:val="-2"/>
          <w:w w:val="105"/>
        </w:rPr>
        <w:t xml:space="preserve"> </w:t>
      </w:r>
      <w:r w:rsidR="008167BB" w:rsidRPr="000F3BCB">
        <w:rPr>
          <w:w w:val="105"/>
        </w:rPr>
        <w:t>of</w:t>
      </w:r>
      <w:r w:rsidR="008167BB" w:rsidRPr="000F3BCB">
        <w:rPr>
          <w:spacing w:val="-15"/>
          <w:w w:val="105"/>
        </w:rPr>
        <w:t xml:space="preserve"> </w:t>
      </w:r>
      <w:r w:rsidR="008167BB" w:rsidRPr="000F3BCB">
        <w:rPr>
          <w:w w:val="105"/>
        </w:rPr>
        <w:t>the</w:t>
      </w:r>
      <w:r w:rsidR="008167BB" w:rsidRPr="000F3BCB">
        <w:rPr>
          <w:spacing w:val="-12"/>
          <w:w w:val="105"/>
        </w:rPr>
        <w:t xml:space="preserve"> </w:t>
      </w:r>
      <w:r w:rsidR="008167BB" w:rsidRPr="000F3BCB">
        <w:rPr>
          <w:w w:val="105"/>
        </w:rPr>
        <w:t>Trust</w:t>
      </w:r>
      <w:r w:rsidR="008167BB" w:rsidRPr="000F3BCB">
        <w:rPr>
          <w:spacing w:val="-1"/>
          <w:w w:val="105"/>
        </w:rPr>
        <w:t xml:space="preserve"> </w:t>
      </w:r>
      <w:r w:rsidR="008167BB" w:rsidRPr="000F3BCB">
        <w:rPr>
          <w:w w:val="105"/>
        </w:rPr>
        <w:t>Assets</w:t>
      </w:r>
      <w:r w:rsidR="008167BB" w:rsidRPr="000F3BCB">
        <w:rPr>
          <w:spacing w:val="-13"/>
          <w:w w:val="105"/>
        </w:rPr>
        <w:t xml:space="preserve"> </w:t>
      </w:r>
      <w:r w:rsidR="008167BB" w:rsidRPr="000F3BCB">
        <w:rPr>
          <w:w w:val="105"/>
        </w:rPr>
        <w:t>and</w:t>
      </w:r>
      <w:r w:rsidR="008167BB" w:rsidRPr="000F3BCB">
        <w:rPr>
          <w:spacing w:val="-4"/>
          <w:w w:val="105"/>
        </w:rPr>
        <w:t xml:space="preserve"> </w:t>
      </w:r>
      <w:r w:rsidR="008167BB" w:rsidRPr="000F3BCB">
        <w:rPr>
          <w:w w:val="105"/>
        </w:rPr>
        <w:t>the</w:t>
      </w:r>
      <w:r w:rsidR="008167BB" w:rsidRPr="000F3BCB">
        <w:rPr>
          <w:spacing w:val="-6"/>
          <w:w w:val="105"/>
        </w:rPr>
        <w:t xml:space="preserve"> </w:t>
      </w:r>
      <w:r w:rsidR="008167BB" w:rsidRPr="000F3BCB">
        <w:rPr>
          <w:w w:val="105"/>
        </w:rPr>
        <w:t>trust</w:t>
      </w:r>
      <w:r w:rsidR="008167BB" w:rsidRPr="000F3BCB">
        <w:rPr>
          <w:spacing w:val="-2"/>
          <w:w w:val="105"/>
        </w:rPr>
        <w:t xml:space="preserve"> liabilities;</w:t>
      </w:r>
    </w:p>
    <w:p w14:paraId="3F51522C" w14:textId="3E30935F" w:rsidR="008167BB" w:rsidRPr="000F3BCB" w:rsidRDefault="00C75A12" w:rsidP="00C75A12">
      <w:pPr>
        <w:pStyle w:val="Order3"/>
        <w:numPr>
          <w:ilvl w:val="0"/>
          <w:numId w:val="0"/>
        </w:numPr>
        <w:tabs>
          <w:tab w:val="left" w:pos="1440"/>
        </w:tabs>
        <w:ind w:left="2160" w:hanging="720"/>
      </w:pPr>
      <w:r w:rsidRPr="000F3BCB">
        <w:t>(ii)</w:t>
      </w:r>
      <w:r w:rsidRPr="000F3BCB">
        <w:tab/>
      </w:r>
      <w:r w:rsidR="008167BB" w:rsidRPr="000F3BCB">
        <w:rPr>
          <w:w w:val="105"/>
        </w:rPr>
        <w:t>the</w:t>
      </w:r>
      <w:r w:rsidR="008167BB" w:rsidRPr="000F3BCB">
        <w:rPr>
          <w:spacing w:val="-1"/>
          <w:w w:val="105"/>
        </w:rPr>
        <w:t xml:space="preserve"> </w:t>
      </w:r>
      <w:r w:rsidR="008167BB" w:rsidRPr="000F3BCB">
        <w:rPr>
          <w:w w:val="105"/>
        </w:rPr>
        <w:t>identification of</w:t>
      </w:r>
      <w:r w:rsidR="008167BB" w:rsidRPr="000F3BCB">
        <w:rPr>
          <w:spacing w:val="-4"/>
          <w:w w:val="105"/>
        </w:rPr>
        <w:t xml:space="preserve"> </w:t>
      </w:r>
      <w:r w:rsidR="008167BB" w:rsidRPr="000F3BCB">
        <w:rPr>
          <w:w w:val="105"/>
        </w:rPr>
        <w:t>trust creditors and distinguishing them from non-trust creditors (if any);</w:t>
      </w:r>
    </w:p>
    <w:p w14:paraId="2DCA359B" w14:textId="184C3241" w:rsidR="008167BB" w:rsidRPr="000F3BCB" w:rsidRDefault="00C75A12" w:rsidP="00C75A12">
      <w:pPr>
        <w:pStyle w:val="Order3"/>
        <w:numPr>
          <w:ilvl w:val="0"/>
          <w:numId w:val="0"/>
        </w:numPr>
        <w:tabs>
          <w:tab w:val="left" w:pos="1440"/>
        </w:tabs>
        <w:ind w:left="2160" w:hanging="720"/>
      </w:pPr>
      <w:r w:rsidRPr="000F3BCB">
        <w:t>(iii)</w:t>
      </w:r>
      <w:r w:rsidRPr="000F3BCB">
        <w:tab/>
      </w:r>
      <w:r w:rsidR="008167BB" w:rsidRPr="000F3BCB">
        <w:rPr>
          <w:w w:val="105"/>
        </w:rPr>
        <w:t>the ascertaining of the state of the accounts between the beneficiaries and the trustee;</w:t>
      </w:r>
    </w:p>
    <w:p w14:paraId="41774A0F" w14:textId="1F36E717" w:rsidR="008167BB" w:rsidRPr="000F3BCB" w:rsidRDefault="00C75A12" w:rsidP="00C75A12">
      <w:pPr>
        <w:pStyle w:val="Order3"/>
        <w:numPr>
          <w:ilvl w:val="0"/>
          <w:numId w:val="0"/>
        </w:numPr>
        <w:tabs>
          <w:tab w:val="left" w:pos="1440"/>
        </w:tabs>
        <w:ind w:left="2160" w:hanging="720"/>
      </w:pPr>
      <w:r w:rsidRPr="000F3BCB">
        <w:t>(iv)</w:t>
      </w:r>
      <w:r w:rsidRPr="000F3BCB">
        <w:tab/>
      </w:r>
      <w:r w:rsidR="008167BB" w:rsidRPr="000F3BCB">
        <w:t>assessing any request of a client of the Defendant for a superannuation or pension withdrawal and if deemed appropriate by the Receivers processing the withdrawal;</w:t>
      </w:r>
    </w:p>
    <w:p w14:paraId="1860F79F" w14:textId="16FA6665" w:rsidR="008167BB" w:rsidRPr="000F3BCB" w:rsidRDefault="00C75A12" w:rsidP="00C75A12">
      <w:pPr>
        <w:pStyle w:val="Order3"/>
        <w:numPr>
          <w:ilvl w:val="0"/>
          <w:numId w:val="0"/>
        </w:numPr>
        <w:tabs>
          <w:tab w:val="left" w:pos="1440"/>
        </w:tabs>
        <w:ind w:left="2160" w:hanging="720"/>
      </w:pPr>
      <w:r w:rsidRPr="000F3BCB">
        <w:t>(v)</w:t>
      </w:r>
      <w:r w:rsidRPr="000F3BCB">
        <w:tab/>
      </w:r>
      <w:r w:rsidR="008167BB" w:rsidRPr="000F3BCB">
        <w:rPr>
          <w:w w:val="105"/>
        </w:rPr>
        <w:t>the recovering of, or attempting to recover, the</w:t>
      </w:r>
      <w:r w:rsidR="008167BB" w:rsidRPr="000F3BCB">
        <w:rPr>
          <w:spacing w:val="-7"/>
          <w:w w:val="105"/>
        </w:rPr>
        <w:t xml:space="preserve"> </w:t>
      </w:r>
      <w:r w:rsidR="008167BB" w:rsidRPr="000F3BCB">
        <w:rPr>
          <w:w w:val="105"/>
        </w:rPr>
        <w:t>Trust Assets, including debts due to the trust(s);</w:t>
      </w:r>
    </w:p>
    <w:p w14:paraId="5B083DE4" w14:textId="3FD9861A" w:rsidR="008167BB" w:rsidRPr="000F3BCB" w:rsidRDefault="00C75A12" w:rsidP="00C75A12">
      <w:pPr>
        <w:pStyle w:val="Order3"/>
        <w:numPr>
          <w:ilvl w:val="0"/>
          <w:numId w:val="0"/>
        </w:numPr>
        <w:tabs>
          <w:tab w:val="left" w:pos="1440"/>
        </w:tabs>
        <w:ind w:left="2160" w:hanging="720"/>
      </w:pPr>
      <w:r w:rsidRPr="000F3BCB">
        <w:t>(vi)</w:t>
      </w:r>
      <w:r w:rsidRPr="000F3BCB">
        <w:tab/>
      </w:r>
      <w:r w:rsidR="008167BB" w:rsidRPr="000F3BCB">
        <w:rPr>
          <w:w w:val="105"/>
        </w:rPr>
        <w:t>the</w:t>
      </w:r>
      <w:r w:rsidR="008167BB" w:rsidRPr="000F3BCB">
        <w:rPr>
          <w:spacing w:val="-15"/>
          <w:w w:val="105"/>
        </w:rPr>
        <w:t xml:space="preserve"> </w:t>
      </w:r>
      <w:r w:rsidR="008167BB" w:rsidRPr="000F3BCB">
        <w:rPr>
          <w:w w:val="105"/>
        </w:rPr>
        <w:t>taking</w:t>
      </w:r>
      <w:r w:rsidR="008167BB" w:rsidRPr="000F3BCB">
        <w:rPr>
          <w:spacing w:val="-7"/>
          <w:w w:val="105"/>
        </w:rPr>
        <w:t xml:space="preserve"> </w:t>
      </w:r>
      <w:r w:rsidR="008167BB" w:rsidRPr="000F3BCB">
        <w:rPr>
          <w:w w:val="105"/>
        </w:rPr>
        <w:t>of</w:t>
      </w:r>
      <w:r w:rsidR="008167BB" w:rsidRPr="000F3BCB">
        <w:rPr>
          <w:spacing w:val="-10"/>
          <w:w w:val="105"/>
        </w:rPr>
        <w:t xml:space="preserve"> </w:t>
      </w:r>
      <w:r w:rsidR="008167BB" w:rsidRPr="000F3BCB">
        <w:rPr>
          <w:w w:val="105"/>
        </w:rPr>
        <w:t>possession</w:t>
      </w:r>
      <w:r w:rsidR="008167BB" w:rsidRPr="000F3BCB">
        <w:rPr>
          <w:spacing w:val="-5"/>
          <w:w w:val="105"/>
        </w:rPr>
        <w:t xml:space="preserve"> </w:t>
      </w:r>
      <w:r w:rsidR="008167BB" w:rsidRPr="000F3BCB">
        <w:rPr>
          <w:w w:val="105"/>
        </w:rPr>
        <w:t>of,</w:t>
      </w:r>
      <w:r w:rsidR="008167BB" w:rsidRPr="000F3BCB">
        <w:rPr>
          <w:spacing w:val="-6"/>
          <w:w w:val="105"/>
        </w:rPr>
        <w:t xml:space="preserve"> </w:t>
      </w:r>
      <w:r w:rsidR="008167BB" w:rsidRPr="000F3BCB">
        <w:rPr>
          <w:w w:val="105"/>
        </w:rPr>
        <w:t>collecting</w:t>
      </w:r>
      <w:r w:rsidR="008167BB" w:rsidRPr="000F3BCB">
        <w:rPr>
          <w:spacing w:val="-12"/>
          <w:w w:val="105"/>
        </w:rPr>
        <w:t xml:space="preserve"> </w:t>
      </w:r>
      <w:r w:rsidR="008167BB" w:rsidRPr="000F3BCB">
        <w:rPr>
          <w:w w:val="105"/>
        </w:rPr>
        <w:t>and</w:t>
      </w:r>
      <w:r w:rsidR="008167BB" w:rsidRPr="000F3BCB">
        <w:rPr>
          <w:spacing w:val="-7"/>
          <w:w w:val="105"/>
        </w:rPr>
        <w:t xml:space="preserve"> </w:t>
      </w:r>
      <w:r w:rsidR="008167BB" w:rsidRPr="000F3BCB">
        <w:rPr>
          <w:w w:val="105"/>
        </w:rPr>
        <w:t>protecting</w:t>
      </w:r>
      <w:r w:rsidR="008167BB" w:rsidRPr="000F3BCB">
        <w:rPr>
          <w:spacing w:val="-7"/>
          <w:w w:val="105"/>
        </w:rPr>
        <w:t xml:space="preserve"> </w:t>
      </w:r>
      <w:r w:rsidR="008167BB" w:rsidRPr="000F3BCB">
        <w:rPr>
          <w:w w:val="105"/>
        </w:rPr>
        <w:t>the</w:t>
      </w:r>
      <w:r w:rsidR="008167BB" w:rsidRPr="000F3BCB">
        <w:rPr>
          <w:spacing w:val="-9"/>
          <w:w w:val="105"/>
        </w:rPr>
        <w:t xml:space="preserve"> </w:t>
      </w:r>
      <w:r w:rsidR="008167BB" w:rsidRPr="000F3BCB">
        <w:rPr>
          <w:w w:val="105"/>
        </w:rPr>
        <w:t>Trust</w:t>
      </w:r>
      <w:r w:rsidR="008167BB" w:rsidRPr="000F3BCB">
        <w:rPr>
          <w:spacing w:val="2"/>
          <w:w w:val="105"/>
        </w:rPr>
        <w:t xml:space="preserve"> </w:t>
      </w:r>
      <w:r w:rsidR="008167BB" w:rsidRPr="000F3BCB">
        <w:rPr>
          <w:spacing w:val="-2"/>
          <w:w w:val="105"/>
        </w:rPr>
        <w:t>Assets;</w:t>
      </w:r>
    </w:p>
    <w:p w14:paraId="663B3755" w14:textId="5E42B2FD" w:rsidR="008167BB" w:rsidRPr="000F3BCB" w:rsidRDefault="00C75A12" w:rsidP="00C75A12">
      <w:pPr>
        <w:pStyle w:val="Order3"/>
        <w:numPr>
          <w:ilvl w:val="0"/>
          <w:numId w:val="0"/>
        </w:numPr>
        <w:tabs>
          <w:tab w:val="left" w:pos="1440"/>
        </w:tabs>
        <w:ind w:left="2160" w:hanging="720"/>
      </w:pPr>
      <w:r w:rsidRPr="000F3BCB">
        <w:t>(vii)</w:t>
      </w:r>
      <w:r w:rsidRPr="000F3BCB">
        <w:tab/>
      </w:r>
      <w:r w:rsidR="008167BB" w:rsidRPr="000F3BCB">
        <w:rPr>
          <w:w w:val="105"/>
        </w:rPr>
        <w:t>the</w:t>
      </w:r>
      <w:r w:rsidR="008167BB" w:rsidRPr="000F3BCB">
        <w:rPr>
          <w:spacing w:val="-5"/>
          <w:w w:val="105"/>
        </w:rPr>
        <w:t xml:space="preserve"> </w:t>
      </w:r>
      <w:r w:rsidR="008167BB" w:rsidRPr="000F3BCB">
        <w:rPr>
          <w:w w:val="105"/>
        </w:rPr>
        <w:t>carrying</w:t>
      </w:r>
      <w:r w:rsidR="008167BB" w:rsidRPr="000F3BCB">
        <w:rPr>
          <w:spacing w:val="-2"/>
          <w:w w:val="105"/>
        </w:rPr>
        <w:t xml:space="preserve"> </w:t>
      </w:r>
      <w:r w:rsidR="008167BB" w:rsidRPr="000F3BCB">
        <w:rPr>
          <w:w w:val="105"/>
        </w:rPr>
        <w:t>on</w:t>
      </w:r>
      <w:r w:rsidR="008167BB" w:rsidRPr="000F3BCB">
        <w:rPr>
          <w:spacing w:val="-4"/>
          <w:w w:val="105"/>
        </w:rPr>
        <w:t xml:space="preserve"> </w:t>
      </w:r>
      <w:r w:rsidR="008167BB" w:rsidRPr="000F3BCB">
        <w:rPr>
          <w:w w:val="105"/>
        </w:rPr>
        <w:t>of</w:t>
      </w:r>
      <w:r w:rsidR="008167BB" w:rsidRPr="000F3BCB">
        <w:rPr>
          <w:spacing w:val="-13"/>
          <w:w w:val="105"/>
        </w:rPr>
        <w:t xml:space="preserve"> </w:t>
      </w:r>
      <w:r w:rsidR="008167BB" w:rsidRPr="000F3BCB">
        <w:rPr>
          <w:w w:val="105"/>
        </w:rPr>
        <w:t>any</w:t>
      </w:r>
      <w:r w:rsidR="008167BB" w:rsidRPr="000F3BCB">
        <w:rPr>
          <w:spacing w:val="-3"/>
          <w:w w:val="105"/>
        </w:rPr>
        <w:t xml:space="preserve"> </w:t>
      </w:r>
      <w:r w:rsidR="008167BB" w:rsidRPr="000F3BCB">
        <w:rPr>
          <w:w w:val="105"/>
        </w:rPr>
        <w:t>business</w:t>
      </w:r>
      <w:r w:rsidR="008167BB" w:rsidRPr="000F3BCB">
        <w:rPr>
          <w:spacing w:val="-5"/>
          <w:w w:val="105"/>
        </w:rPr>
        <w:t xml:space="preserve"> </w:t>
      </w:r>
      <w:r w:rsidR="008167BB" w:rsidRPr="000F3BCB">
        <w:rPr>
          <w:w w:val="105"/>
        </w:rPr>
        <w:t>of</w:t>
      </w:r>
      <w:r w:rsidR="008167BB" w:rsidRPr="000F3BCB">
        <w:rPr>
          <w:spacing w:val="-13"/>
          <w:w w:val="105"/>
        </w:rPr>
        <w:t xml:space="preserve"> </w:t>
      </w:r>
      <w:r w:rsidR="008167BB" w:rsidRPr="000F3BCB">
        <w:rPr>
          <w:w w:val="105"/>
        </w:rPr>
        <w:t>the</w:t>
      </w:r>
      <w:r w:rsidR="008167BB" w:rsidRPr="000F3BCB">
        <w:rPr>
          <w:spacing w:val="-10"/>
          <w:w w:val="105"/>
        </w:rPr>
        <w:t xml:space="preserve"> </w:t>
      </w:r>
      <w:r w:rsidR="008167BB" w:rsidRPr="000F3BCB">
        <w:rPr>
          <w:spacing w:val="-2"/>
          <w:w w:val="105"/>
        </w:rPr>
        <w:t>trust on which the Trust Assets are held;</w:t>
      </w:r>
    </w:p>
    <w:p w14:paraId="08C69A1D" w14:textId="187F1483" w:rsidR="008167BB" w:rsidRPr="000F3BCB" w:rsidRDefault="00C75A12" w:rsidP="00C75A12">
      <w:pPr>
        <w:pStyle w:val="Order3"/>
        <w:numPr>
          <w:ilvl w:val="0"/>
          <w:numId w:val="0"/>
        </w:numPr>
        <w:tabs>
          <w:tab w:val="left" w:pos="1440"/>
        </w:tabs>
        <w:ind w:left="2160" w:hanging="720"/>
      </w:pPr>
      <w:r w:rsidRPr="000F3BCB">
        <w:t>(viii)</w:t>
      </w:r>
      <w:r w:rsidRPr="000F3BCB">
        <w:tab/>
      </w:r>
      <w:r w:rsidR="008167BB" w:rsidRPr="000F3BCB">
        <w:rPr>
          <w:w w:val="105"/>
        </w:rPr>
        <w:t>the</w:t>
      </w:r>
      <w:r w:rsidR="008167BB" w:rsidRPr="000F3BCB">
        <w:rPr>
          <w:spacing w:val="-15"/>
          <w:w w:val="105"/>
        </w:rPr>
        <w:t xml:space="preserve"> </w:t>
      </w:r>
      <w:r w:rsidR="008167BB" w:rsidRPr="000F3BCB">
        <w:rPr>
          <w:w w:val="105"/>
        </w:rPr>
        <w:t>realisation,</w:t>
      </w:r>
      <w:r w:rsidR="008167BB" w:rsidRPr="000F3BCB">
        <w:rPr>
          <w:spacing w:val="-5"/>
          <w:w w:val="105"/>
        </w:rPr>
        <w:t xml:space="preserve"> </w:t>
      </w:r>
      <w:r w:rsidR="008167BB" w:rsidRPr="000F3BCB">
        <w:rPr>
          <w:w w:val="105"/>
        </w:rPr>
        <w:t>or</w:t>
      </w:r>
      <w:r w:rsidR="008167BB" w:rsidRPr="000F3BCB">
        <w:rPr>
          <w:spacing w:val="-3"/>
          <w:w w:val="105"/>
        </w:rPr>
        <w:t xml:space="preserve"> </w:t>
      </w:r>
      <w:r w:rsidR="008167BB" w:rsidRPr="000F3BCB">
        <w:rPr>
          <w:w w:val="105"/>
        </w:rPr>
        <w:t>attempted</w:t>
      </w:r>
      <w:r w:rsidR="008167BB" w:rsidRPr="000F3BCB">
        <w:rPr>
          <w:spacing w:val="-12"/>
          <w:w w:val="105"/>
        </w:rPr>
        <w:t xml:space="preserve"> </w:t>
      </w:r>
      <w:r w:rsidR="008167BB" w:rsidRPr="000F3BCB">
        <w:rPr>
          <w:w w:val="105"/>
        </w:rPr>
        <w:t>realisation,</w:t>
      </w:r>
      <w:r w:rsidR="008167BB" w:rsidRPr="000F3BCB">
        <w:rPr>
          <w:spacing w:val="-3"/>
          <w:w w:val="105"/>
        </w:rPr>
        <w:t xml:space="preserve"> </w:t>
      </w:r>
      <w:r w:rsidR="008167BB" w:rsidRPr="000F3BCB">
        <w:rPr>
          <w:w w:val="105"/>
        </w:rPr>
        <w:t>of</w:t>
      </w:r>
      <w:r w:rsidR="008167BB" w:rsidRPr="000F3BCB">
        <w:rPr>
          <w:spacing w:val="-15"/>
          <w:w w:val="105"/>
        </w:rPr>
        <w:t xml:space="preserve"> </w:t>
      </w:r>
      <w:r w:rsidR="008167BB" w:rsidRPr="000F3BCB">
        <w:rPr>
          <w:w w:val="105"/>
        </w:rPr>
        <w:t>the</w:t>
      </w:r>
      <w:r w:rsidR="008167BB" w:rsidRPr="000F3BCB">
        <w:rPr>
          <w:spacing w:val="-13"/>
          <w:w w:val="105"/>
        </w:rPr>
        <w:t xml:space="preserve"> </w:t>
      </w:r>
      <w:r w:rsidR="008167BB" w:rsidRPr="000F3BCB">
        <w:rPr>
          <w:w w:val="105"/>
        </w:rPr>
        <w:t>Trust</w:t>
      </w:r>
      <w:r w:rsidR="008167BB" w:rsidRPr="000F3BCB">
        <w:rPr>
          <w:spacing w:val="3"/>
          <w:w w:val="105"/>
        </w:rPr>
        <w:t xml:space="preserve"> </w:t>
      </w:r>
      <w:r w:rsidR="008167BB" w:rsidRPr="000F3BCB">
        <w:rPr>
          <w:spacing w:val="-2"/>
          <w:w w:val="105"/>
        </w:rPr>
        <w:t>Assets;</w:t>
      </w:r>
    </w:p>
    <w:p w14:paraId="46130308" w14:textId="2BCDFD67" w:rsidR="008167BB" w:rsidRPr="000F3BCB" w:rsidRDefault="00C75A12" w:rsidP="00C75A12">
      <w:pPr>
        <w:pStyle w:val="Order3"/>
        <w:numPr>
          <w:ilvl w:val="0"/>
          <w:numId w:val="0"/>
        </w:numPr>
        <w:tabs>
          <w:tab w:val="left" w:pos="1440"/>
        </w:tabs>
        <w:ind w:left="2160" w:hanging="720"/>
      </w:pPr>
      <w:r w:rsidRPr="000F3BCB">
        <w:t>(ix)</w:t>
      </w:r>
      <w:r w:rsidRPr="000F3BCB">
        <w:tab/>
      </w:r>
      <w:r w:rsidR="008167BB" w:rsidRPr="000F3BCB">
        <w:rPr>
          <w:w w:val="105"/>
        </w:rPr>
        <w:t>the distribution of</w:t>
      </w:r>
      <w:r w:rsidR="008167BB" w:rsidRPr="000F3BCB">
        <w:rPr>
          <w:spacing w:val="-8"/>
          <w:w w:val="105"/>
        </w:rPr>
        <w:t xml:space="preserve"> </w:t>
      </w:r>
      <w:r w:rsidR="008167BB" w:rsidRPr="000F3BCB">
        <w:rPr>
          <w:w w:val="105"/>
        </w:rPr>
        <w:t>any proceeds of</w:t>
      </w:r>
      <w:r w:rsidR="008167BB" w:rsidRPr="000F3BCB">
        <w:rPr>
          <w:spacing w:val="-8"/>
          <w:w w:val="105"/>
        </w:rPr>
        <w:t xml:space="preserve"> </w:t>
      </w:r>
      <w:r w:rsidR="008167BB" w:rsidRPr="000F3BCB">
        <w:rPr>
          <w:w w:val="105"/>
        </w:rPr>
        <w:t>realisation</w:t>
      </w:r>
      <w:r w:rsidR="008167BB" w:rsidRPr="000F3BCB">
        <w:rPr>
          <w:spacing w:val="-3"/>
          <w:w w:val="105"/>
        </w:rPr>
        <w:t xml:space="preserve"> </w:t>
      </w:r>
      <w:r w:rsidR="008167BB" w:rsidRPr="000F3BCB">
        <w:rPr>
          <w:w w:val="105"/>
        </w:rPr>
        <w:t>to meet the claims of</w:t>
      </w:r>
      <w:r w:rsidR="008167BB" w:rsidRPr="000F3BCB">
        <w:rPr>
          <w:spacing w:val="-1"/>
          <w:w w:val="105"/>
        </w:rPr>
        <w:t xml:space="preserve"> </w:t>
      </w:r>
      <w:r w:rsidR="008167BB" w:rsidRPr="000F3BCB">
        <w:rPr>
          <w:w w:val="105"/>
        </w:rPr>
        <w:t>the creditors or persons whose debts were incurred in relation to the trust(s); and</w:t>
      </w:r>
    </w:p>
    <w:p w14:paraId="62682218" w14:textId="26EB4BF7" w:rsidR="008167BB" w:rsidRPr="000F3BCB" w:rsidRDefault="00C75A12" w:rsidP="00C75A12">
      <w:pPr>
        <w:pStyle w:val="Order3"/>
        <w:numPr>
          <w:ilvl w:val="0"/>
          <w:numId w:val="0"/>
        </w:numPr>
        <w:tabs>
          <w:tab w:val="left" w:pos="1440"/>
        </w:tabs>
        <w:ind w:left="2160" w:hanging="720"/>
      </w:pPr>
      <w:r w:rsidRPr="000F3BCB">
        <w:lastRenderedPageBreak/>
        <w:t>(x)</w:t>
      </w:r>
      <w:r w:rsidRPr="000F3BCB">
        <w:tab/>
      </w:r>
      <w:r w:rsidR="008167BB" w:rsidRPr="000F3BCB">
        <w:rPr>
          <w:w w:val="105"/>
        </w:rPr>
        <w:t>any matter in the administration of the trust(s) which is ancillary to the above</w:t>
      </w:r>
      <w:r w:rsidR="008167BB" w:rsidRPr="000F3BCB">
        <w:rPr>
          <w:spacing w:val="-12"/>
          <w:w w:val="105"/>
        </w:rPr>
        <w:t xml:space="preserve"> </w:t>
      </w:r>
      <w:r w:rsidR="008167BB" w:rsidRPr="000F3BCB">
        <w:rPr>
          <w:w w:val="105"/>
        </w:rPr>
        <w:t>to</w:t>
      </w:r>
      <w:r w:rsidR="008167BB" w:rsidRPr="000F3BCB">
        <w:rPr>
          <w:spacing w:val="-5"/>
          <w:w w:val="105"/>
        </w:rPr>
        <w:t xml:space="preserve"> </w:t>
      </w:r>
      <w:r w:rsidR="008167BB" w:rsidRPr="000F3BCB">
        <w:rPr>
          <w:w w:val="105"/>
        </w:rPr>
        <w:t>the extent</w:t>
      </w:r>
      <w:r w:rsidR="008167BB" w:rsidRPr="000F3BCB">
        <w:rPr>
          <w:spacing w:val="-2"/>
          <w:w w:val="105"/>
        </w:rPr>
        <w:t xml:space="preserve"> </w:t>
      </w:r>
      <w:r w:rsidR="008167BB" w:rsidRPr="000F3BCB">
        <w:rPr>
          <w:w w:val="105"/>
        </w:rPr>
        <w:t>to which</w:t>
      </w:r>
      <w:r w:rsidR="008167BB" w:rsidRPr="000F3BCB">
        <w:rPr>
          <w:spacing w:val="-5"/>
          <w:w w:val="105"/>
        </w:rPr>
        <w:t xml:space="preserve"> </w:t>
      </w:r>
      <w:r w:rsidR="008167BB" w:rsidRPr="000F3BCB">
        <w:rPr>
          <w:w w:val="105"/>
        </w:rPr>
        <w:t>it</w:t>
      </w:r>
      <w:r w:rsidR="008167BB" w:rsidRPr="000F3BCB">
        <w:rPr>
          <w:spacing w:val="-3"/>
          <w:w w:val="105"/>
        </w:rPr>
        <w:t xml:space="preserve"> </w:t>
      </w:r>
      <w:r w:rsidR="008167BB" w:rsidRPr="000F3BCB">
        <w:rPr>
          <w:w w:val="105"/>
        </w:rPr>
        <w:t>had</w:t>
      </w:r>
      <w:r w:rsidR="008167BB" w:rsidRPr="000F3BCB">
        <w:rPr>
          <w:spacing w:val="-5"/>
          <w:w w:val="105"/>
        </w:rPr>
        <w:t xml:space="preserve"> </w:t>
      </w:r>
      <w:r w:rsidR="008167BB" w:rsidRPr="000F3BCB">
        <w:rPr>
          <w:w w:val="105"/>
        </w:rPr>
        <w:t>to be</w:t>
      </w:r>
      <w:r w:rsidR="008167BB" w:rsidRPr="000F3BCB">
        <w:rPr>
          <w:spacing w:val="-13"/>
          <w:w w:val="105"/>
        </w:rPr>
        <w:t xml:space="preserve"> </w:t>
      </w:r>
      <w:r w:rsidR="008167BB" w:rsidRPr="000F3BCB">
        <w:rPr>
          <w:w w:val="105"/>
        </w:rPr>
        <w:t>undertaken for</w:t>
      </w:r>
      <w:r w:rsidR="008167BB" w:rsidRPr="000F3BCB">
        <w:rPr>
          <w:spacing w:val="-2"/>
          <w:w w:val="105"/>
        </w:rPr>
        <w:t xml:space="preserve"> </w:t>
      </w:r>
      <w:r w:rsidR="008167BB" w:rsidRPr="000F3BCB">
        <w:rPr>
          <w:w w:val="105"/>
        </w:rPr>
        <w:t>the</w:t>
      </w:r>
      <w:r w:rsidR="008167BB" w:rsidRPr="000F3BCB">
        <w:rPr>
          <w:spacing w:val="-6"/>
          <w:w w:val="105"/>
        </w:rPr>
        <w:t xml:space="preserve"> </w:t>
      </w:r>
      <w:r w:rsidR="008167BB" w:rsidRPr="000F3BCB">
        <w:rPr>
          <w:w w:val="105"/>
        </w:rPr>
        <w:t>purposes</w:t>
      </w:r>
      <w:r w:rsidR="008167BB" w:rsidRPr="000F3BCB">
        <w:rPr>
          <w:spacing w:val="-7"/>
          <w:w w:val="105"/>
        </w:rPr>
        <w:t xml:space="preserve"> </w:t>
      </w:r>
      <w:r w:rsidR="008167BB" w:rsidRPr="000F3BCB">
        <w:rPr>
          <w:w w:val="105"/>
        </w:rPr>
        <w:t>of the identified tasks.</w:t>
      </w:r>
    </w:p>
    <w:p w14:paraId="4FF0EAE7" w14:textId="03B7FD48" w:rsidR="008167BB" w:rsidRPr="000F3BCB" w:rsidRDefault="00C75A12" w:rsidP="00C75A12">
      <w:pPr>
        <w:pStyle w:val="Order1"/>
        <w:numPr>
          <w:ilvl w:val="0"/>
          <w:numId w:val="0"/>
        </w:numPr>
        <w:tabs>
          <w:tab w:val="left" w:pos="720"/>
        </w:tabs>
        <w:ind w:left="720" w:hanging="720"/>
        <w:rPr>
          <w:w w:val="105"/>
        </w:rPr>
      </w:pPr>
      <w:bookmarkStart w:id="21" w:name="_Ref157760957"/>
      <w:r w:rsidRPr="000F3BCB">
        <w:rPr>
          <w:w w:val="105"/>
        </w:rPr>
        <w:t>9.</w:t>
      </w:r>
      <w:r w:rsidRPr="000F3BCB">
        <w:rPr>
          <w:w w:val="105"/>
        </w:rPr>
        <w:tab/>
      </w:r>
      <w:r w:rsidR="008167BB" w:rsidRPr="000F3BCB">
        <w:t>In the period up to 5:00pm (ACDT) on 4 March 2024</w:t>
      </w:r>
      <w:r w:rsidR="008167BB" w:rsidRPr="000F3BCB">
        <w:rPr>
          <w:w w:val="105"/>
        </w:rPr>
        <w:t xml:space="preserve">, </w:t>
      </w:r>
      <w:r w:rsidR="008167BB" w:rsidRPr="000F3BCB">
        <w:t xml:space="preserve">the Receivers would be acting properly and are justified in, for the purposes of exercising their powers under paragraph 8 of these orders: </w:t>
      </w:r>
    </w:p>
    <w:p w14:paraId="6870873E" w14:textId="7C19C56E" w:rsidR="008167BB" w:rsidRPr="000F3BCB" w:rsidRDefault="00C75A12" w:rsidP="00C75A12">
      <w:pPr>
        <w:pStyle w:val="Order2"/>
        <w:numPr>
          <w:ilvl w:val="0"/>
          <w:numId w:val="0"/>
        </w:numPr>
        <w:ind w:left="1440" w:hanging="720"/>
        <w:rPr>
          <w:w w:val="105"/>
        </w:rPr>
      </w:pPr>
      <w:r w:rsidRPr="000F3BCB">
        <w:rPr>
          <w:w w:val="105"/>
        </w:rPr>
        <w:t>(a)</w:t>
      </w:r>
      <w:r w:rsidRPr="000F3BCB">
        <w:rPr>
          <w:w w:val="105"/>
        </w:rPr>
        <w:tab/>
      </w:r>
      <w:r w:rsidR="008167BB" w:rsidRPr="000F3BCB">
        <w:rPr>
          <w:w w:val="105"/>
        </w:rPr>
        <w:t xml:space="preserve">subject to sub-paragraphs 9(b) to 9(f), assessing and processing only regular superannuation and pension withdrawals that were in place as at 9 November 2023; </w:t>
      </w:r>
    </w:p>
    <w:p w14:paraId="400141DF" w14:textId="7523DE73" w:rsidR="008167BB" w:rsidRPr="000F3BCB" w:rsidRDefault="00C75A12" w:rsidP="00C75A12">
      <w:pPr>
        <w:pStyle w:val="Order2"/>
        <w:numPr>
          <w:ilvl w:val="0"/>
          <w:numId w:val="0"/>
        </w:numPr>
        <w:ind w:left="1440" w:hanging="720"/>
        <w:rPr>
          <w:w w:val="105"/>
        </w:rPr>
      </w:pPr>
      <w:r w:rsidRPr="000F3BCB">
        <w:rPr>
          <w:w w:val="105"/>
        </w:rPr>
        <w:t>(b)</w:t>
      </w:r>
      <w:r w:rsidRPr="000F3BCB">
        <w:rPr>
          <w:w w:val="105"/>
        </w:rPr>
        <w:tab/>
      </w:r>
      <w:r w:rsidR="008167BB" w:rsidRPr="000F3BCB">
        <w:rPr>
          <w:w w:val="105"/>
        </w:rPr>
        <w:t>declining to assess or process any request for a superannuation or pension withdrawal to the extent that processing the requested withdrawal would result in the total withdrawals processed for an individual beneficiary on and from 9 November 2023 to exceed 30% of the value of the beneficiary's investment recorded in Salesforce as at 9</w:t>
      </w:r>
      <w:r w:rsidR="008167BB">
        <w:rPr>
          <w:w w:val="105"/>
        </w:rPr>
        <w:t> </w:t>
      </w:r>
      <w:r w:rsidR="008167BB" w:rsidRPr="000F3BCB">
        <w:rPr>
          <w:w w:val="105"/>
        </w:rPr>
        <w:t xml:space="preserve">November 2023; </w:t>
      </w:r>
    </w:p>
    <w:p w14:paraId="0B48D484" w14:textId="2F6FF557" w:rsidR="008167BB" w:rsidRPr="000F3BCB" w:rsidRDefault="00C75A12" w:rsidP="00C75A12">
      <w:pPr>
        <w:pStyle w:val="Order2"/>
        <w:numPr>
          <w:ilvl w:val="0"/>
          <w:numId w:val="0"/>
        </w:numPr>
        <w:ind w:left="1440" w:hanging="720"/>
        <w:rPr>
          <w:w w:val="105"/>
        </w:rPr>
      </w:pPr>
      <w:r w:rsidRPr="000F3BCB">
        <w:rPr>
          <w:w w:val="105"/>
        </w:rPr>
        <w:t>(c)</w:t>
      </w:r>
      <w:r w:rsidRPr="000F3BCB">
        <w:rPr>
          <w:w w:val="105"/>
        </w:rPr>
        <w:tab/>
      </w:r>
      <w:r w:rsidR="008167BB" w:rsidRPr="000F3BCB">
        <w:rPr>
          <w:w w:val="105"/>
        </w:rPr>
        <w:t>directing any beneficiary that makes a request of the Receivers for a superannuation or pension withdrawal to submit that request to the relevant Corporate Trustee for that Corporate Trustee to make to the Receivers on the beneficiary's behalf;</w:t>
      </w:r>
    </w:p>
    <w:p w14:paraId="040D90E4" w14:textId="38D71C93" w:rsidR="008167BB" w:rsidRPr="000F3BCB" w:rsidRDefault="00C75A12" w:rsidP="00C75A12">
      <w:pPr>
        <w:pStyle w:val="Order2"/>
        <w:numPr>
          <w:ilvl w:val="0"/>
          <w:numId w:val="0"/>
        </w:numPr>
        <w:ind w:left="1440" w:hanging="720"/>
        <w:rPr>
          <w:w w:val="105"/>
        </w:rPr>
      </w:pPr>
      <w:r w:rsidRPr="000F3BCB">
        <w:rPr>
          <w:w w:val="105"/>
        </w:rPr>
        <w:t>(d)</w:t>
      </w:r>
      <w:r w:rsidRPr="000F3BCB">
        <w:rPr>
          <w:w w:val="105"/>
        </w:rPr>
        <w:tab/>
      </w:r>
      <w:r w:rsidR="008167BB" w:rsidRPr="000F3BCB">
        <w:rPr>
          <w:w w:val="105"/>
        </w:rPr>
        <w:t>declining to assess or process any request for a superannuation or pension withdrawal received directly from a beneficiary, unless the beneficiary is unrepresented by a Corporate Trustee;</w:t>
      </w:r>
    </w:p>
    <w:p w14:paraId="177C3281" w14:textId="610285E2" w:rsidR="008167BB" w:rsidRPr="000F3BCB" w:rsidRDefault="00C75A12" w:rsidP="00C75A12">
      <w:pPr>
        <w:pStyle w:val="Order2"/>
        <w:numPr>
          <w:ilvl w:val="0"/>
          <w:numId w:val="0"/>
        </w:numPr>
        <w:ind w:left="1440" w:hanging="720"/>
        <w:rPr>
          <w:w w:val="105"/>
        </w:rPr>
      </w:pPr>
      <w:r w:rsidRPr="000F3BCB">
        <w:rPr>
          <w:w w:val="105"/>
        </w:rPr>
        <w:t>(e)</w:t>
      </w:r>
      <w:r w:rsidRPr="000F3BCB">
        <w:rPr>
          <w:w w:val="105"/>
        </w:rPr>
        <w:tab/>
      </w:r>
      <w:r w:rsidR="008167BB" w:rsidRPr="000F3BCB">
        <w:rPr>
          <w:w w:val="105"/>
        </w:rPr>
        <w:t>requiring any request for a superannuation or pension withdrawal by a Corporate Trustee to be accompanied by such other information as the Receivers consider, in their sole discretion, is necessary to demonstrate to the satisfaction of the</w:t>
      </w:r>
      <w:r w:rsidR="00E2181E">
        <w:rPr>
          <w:w w:val="105"/>
        </w:rPr>
        <w:t xml:space="preserve"> Receivers</w:t>
      </w:r>
      <w:r w:rsidR="008167BB" w:rsidRPr="000F3BCB">
        <w:rPr>
          <w:w w:val="105"/>
        </w:rPr>
        <w:t xml:space="preserve"> that it is appropriate for the requested withdrawal be processed by the Receivers under Order 8(c)(iv); and </w:t>
      </w:r>
    </w:p>
    <w:p w14:paraId="12AA30C5" w14:textId="46164FDC" w:rsidR="008167BB" w:rsidRPr="000F3BCB" w:rsidRDefault="00C75A12" w:rsidP="00C75A12">
      <w:pPr>
        <w:pStyle w:val="Order2"/>
        <w:numPr>
          <w:ilvl w:val="0"/>
          <w:numId w:val="0"/>
        </w:numPr>
        <w:ind w:left="1440" w:hanging="720"/>
        <w:rPr>
          <w:w w:val="105"/>
        </w:rPr>
      </w:pPr>
      <w:r w:rsidRPr="000F3BCB">
        <w:rPr>
          <w:w w:val="105"/>
        </w:rPr>
        <w:t>(f)</w:t>
      </w:r>
      <w:r w:rsidRPr="000F3BCB">
        <w:rPr>
          <w:w w:val="105"/>
        </w:rPr>
        <w:tab/>
      </w:r>
      <w:r w:rsidR="008167BB" w:rsidRPr="000F3BCB">
        <w:rPr>
          <w:w w:val="105"/>
        </w:rPr>
        <w:t>paying any superannuation or pension withdrawal that the Receivers deem appropriate to process in accordance with Order 8(c)(iv), from Trust Assets.</w:t>
      </w:r>
    </w:p>
    <w:p w14:paraId="261DA7FF" w14:textId="3CA5F78A" w:rsidR="008167BB" w:rsidRPr="000F3BCB" w:rsidRDefault="00C75A12" w:rsidP="00C75A12">
      <w:pPr>
        <w:pStyle w:val="Order1"/>
        <w:numPr>
          <w:ilvl w:val="0"/>
          <w:numId w:val="0"/>
        </w:numPr>
        <w:tabs>
          <w:tab w:val="left" w:pos="720"/>
        </w:tabs>
        <w:ind w:left="720" w:hanging="720"/>
        <w:rPr>
          <w:w w:val="105"/>
        </w:rPr>
      </w:pPr>
      <w:r w:rsidRPr="000F3BCB">
        <w:rPr>
          <w:w w:val="105"/>
        </w:rPr>
        <w:t>10.</w:t>
      </w:r>
      <w:r w:rsidRPr="000F3BCB">
        <w:rPr>
          <w:w w:val="105"/>
        </w:rPr>
        <w:tab/>
      </w:r>
      <w:r w:rsidR="008167BB" w:rsidRPr="000F3BCB">
        <w:t>In the period up to 5:00pm (ACDT) on 4 March 2024, the Receivers are acting properly and are justified in paying from the Trust Assets:</w:t>
      </w:r>
    </w:p>
    <w:p w14:paraId="5AC29E7A" w14:textId="128969A1" w:rsidR="008167BB" w:rsidRPr="000F3BCB" w:rsidRDefault="00C75A12" w:rsidP="00C75A12">
      <w:pPr>
        <w:pStyle w:val="Order2"/>
        <w:numPr>
          <w:ilvl w:val="0"/>
          <w:numId w:val="0"/>
        </w:numPr>
        <w:ind w:left="1440" w:hanging="720"/>
        <w:rPr>
          <w:w w:val="105"/>
        </w:rPr>
      </w:pPr>
      <w:r w:rsidRPr="000F3BCB">
        <w:rPr>
          <w:w w:val="105"/>
        </w:rPr>
        <w:t>(a)</w:t>
      </w:r>
      <w:r w:rsidRPr="000F3BCB">
        <w:rPr>
          <w:w w:val="105"/>
        </w:rPr>
        <w:tab/>
      </w:r>
      <w:r w:rsidR="008167BB" w:rsidRPr="000F3BCB">
        <w:rPr>
          <w:w w:val="105"/>
        </w:rPr>
        <w:t>trading expenses incurred by the defendant on and from 9 November 2023;</w:t>
      </w:r>
    </w:p>
    <w:p w14:paraId="77469B0A" w14:textId="49BDD461" w:rsidR="008167BB" w:rsidRPr="000F3BCB" w:rsidRDefault="00C75A12" w:rsidP="00C75A12">
      <w:pPr>
        <w:pStyle w:val="Order2"/>
        <w:numPr>
          <w:ilvl w:val="0"/>
          <w:numId w:val="0"/>
        </w:numPr>
        <w:ind w:left="1440" w:hanging="720"/>
        <w:rPr>
          <w:w w:val="105"/>
        </w:rPr>
      </w:pPr>
      <w:r w:rsidRPr="000F3BCB">
        <w:rPr>
          <w:w w:val="105"/>
        </w:rPr>
        <w:lastRenderedPageBreak/>
        <w:t>(b)</w:t>
      </w:r>
      <w:r w:rsidRPr="000F3BCB">
        <w:rPr>
          <w:w w:val="105"/>
        </w:rPr>
        <w:tab/>
      </w:r>
      <w:r w:rsidR="008167BB" w:rsidRPr="000F3BCB">
        <w:rPr>
          <w:w w:val="105"/>
        </w:rPr>
        <w:t>trading expenses incurred by the defendant prior to 9 November 2023 but which the Receivers consider necessary to pay in order to continue to carry on the business of the defendant; and</w:t>
      </w:r>
    </w:p>
    <w:p w14:paraId="6AB6BDF9" w14:textId="0D607D91" w:rsidR="008167BB" w:rsidRPr="000F3BCB" w:rsidRDefault="00C75A12" w:rsidP="00C75A12">
      <w:pPr>
        <w:pStyle w:val="Order2"/>
        <w:numPr>
          <w:ilvl w:val="0"/>
          <w:numId w:val="0"/>
        </w:numPr>
        <w:ind w:left="1440" w:hanging="720"/>
        <w:rPr>
          <w:w w:val="105"/>
        </w:rPr>
      </w:pPr>
      <w:r w:rsidRPr="000F3BCB">
        <w:rPr>
          <w:w w:val="105"/>
        </w:rPr>
        <w:t>(c)</w:t>
      </w:r>
      <w:r w:rsidRPr="000F3BCB">
        <w:rPr>
          <w:w w:val="105"/>
        </w:rPr>
        <w:tab/>
      </w:r>
      <w:r w:rsidR="008167BB" w:rsidRPr="000F3BCB">
        <w:rPr>
          <w:w w:val="105"/>
        </w:rPr>
        <w:t xml:space="preserve">trading expenses incurred by any entity that is an 'associated entity' (as that term is defined in the Corporations Act) of the defendant which the Receivers consider necessary to pay in order to perform and continue to perform their duties arising in or otherwise in connection with their appointment, </w:t>
      </w:r>
    </w:p>
    <w:p w14:paraId="7FA2F6A9" w14:textId="77777777" w:rsidR="008167BB" w:rsidRPr="000F3BCB" w:rsidRDefault="008167BB" w:rsidP="008167BB">
      <w:pPr>
        <w:pStyle w:val="Order1"/>
        <w:numPr>
          <w:ilvl w:val="0"/>
          <w:numId w:val="0"/>
        </w:numPr>
        <w:ind w:left="720"/>
        <w:rPr>
          <w:w w:val="105"/>
        </w:rPr>
      </w:pPr>
      <w:r w:rsidRPr="000F3BCB">
        <w:rPr>
          <w:w w:val="105"/>
        </w:rPr>
        <w:t>to the extent that the cash held in the defendant’s Westpac Operating Accounts is insufficient to meet those expenses.</w:t>
      </w:r>
    </w:p>
    <w:p w14:paraId="29DD9F3E" w14:textId="2A663733" w:rsidR="008167BB" w:rsidRPr="000F3BCB" w:rsidRDefault="00C75A12" w:rsidP="00C75A12">
      <w:pPr>
        <w:pStyle w:val="Order1"/>
        <w:numPr>
          <w:ilvl w:val="0"/>
          <w:numId w:val="0"/>
        </w:numPr>
        <w:tabs>
          <w:tab w:val="left" w:pos="720"/>
        </w:tabs>
        <w:ind w:left="720" w:hanging="720"/>
        <w:rPr>
          <w:w w:val="105"/>
        </w:rPr>
      </w:pPr>
      <w:bookmarkStart w:id="22" w:name="_Ref158047570"/>
      <w:bookmarkEnd w:id="21"/>
      <w:r w:rsidRPr="000F3BCB">
        <w:rPr>
          <w:w w:val="105"/>
        </w:rPr>
        <w:t>11.</w:t>
      </w:r>
      <w:r w:rsidRPr="000F3BCB">
        <w:rPr>
          <w:w w:val="105"/>
        </w:rPr>
        <w:tab/>
      </w:r>
      <w:r w:rsidR="008167BB" w:rsidRPr="000F3BCB">
        <w:rPr>
          <w:w w:val="105"/>
        </w:rPr>
        <w:t xml:space="preserve">Save for as permitted by these orders (including the orders and directions that apply in these proceedings by virtue of paragraph </w:t>
      </w:r>
      <w:r w:rsidR="008167BB" w:rsidRPr="000F3BCB">
        <w:rPr>
          <w:w w:val="105"/>
        </w:rPr>
        <w:fldChar w:fldCharType="begin"/>
      </w:r>
      <w:r w:rsidR="008167BB" w:rsidRPr="000F3BCB">
        <w:rPr>
          <w:w w:val="105"/>
        </w:rPr>
        <w:instrText xml:space="preserve"> REF _Ref157760957 \r \h  \* MERGEFORMAT </w:instrText>
      </w:r>
      <w:r w:rsidR="008167BB" w:rsidRPr="000F3BCB">
        <w:rPr>
          <w:w w:val="105"/>
        </w:rPr>
      </w:r>
      <w:r w:rsidR="008167BB" w:rsidRPr="000F3BCB">
        <w:rPr>
          <w:w w:val="105"/>
        </w:rPr>
        <w:fldChar w:fldCharType="separate"/>
      </w:r>
      <w:r w:rsidR="00076FDB">
        <w:rPr>
          <w:w w:val="105"/>
        </w:rPr>
        <w:t>9</w:t>
      </w:r>
      <w:r w:rsidR="008167BB" w:rsidRPr="000F3BCB">
        <w:rPr>
          <w:w w:val="105"/>
        </w:rPr>
        <w:fldChar w:fldCharType="end"/>
      </w:r>
      <w:r w:rsidR="008167BB" w:rsidRPr="000F3BCB">
        <w:rPr>
          <w:w w:val="105"/>
        </w:rPr>
        <w:t xml:space="preserve"> above), the Receivers are justified and would be acting properly in not distributing any Trust Assets, or any part of them, to or for the benefit of any person asserting a claim to the Trust Assets (including the underlying individual beneficiaries) until further direction or order of the Court.</w:t>
      </w:r>
      <w:bookmarkEnd w:id="22"/>
    </w:p>
    <w:p w14:paraId="3632CC17" w14:textId="0B828CF5" w:rsidR="008167BB" w:rsidRDefault="00C75A12" w:rsidP="00C75A12">
      <w:pPr>
        <w:pStyle w:val="Order1"/>
        <w:numPr>
          <w:ilvl w:val="0"/>
          <w:numId w:val="0"/>
        </w:numPr>
        <w:tabs>
          <w:tab w:val="left" w:pos="720"/>
        </w:tabs>
        <w:ind w:left="720" w:hanging="720"/>
        <w:rPr>
          <w:w w:val="105"/>
        </w:rPr>
      </w:pPr>
      <w:r>
        <w:rPr>
          <w:w w:val="105"/>
        </w:rPr>
        <w:t>12.</w:t>
      </w:r>
      <w:r>
        <w:rPr>
          <w:w w:val="105"/>
        </w:rPr>
        <w:tab/>
      </w:r>
      <w:r w:rsidR="008167BB" w:rsidRPr="000F3BCB">
        <w:rPr>
          <w:w w:val="105"/>
        </w:rPr>
        <w:t>Subject to further order of the Court, WAD262/2023 and WAD13/2024 be case managed together.</w:t>
      </w:r>
    </w:p>
    <w:p w14:paraId="07115E9D" w14:textId="77777777" w:rsidR="008167BB" w:rsidRPr="000F3BCB" w:rsidRDefault="008167BB" w:rsidP="008167BB">
      <w:pPr>
        <w:pStyle w:val="OrdersHeading2"/>
        <w:rPr>
          <w:w w:val="105"/>
        </w:rPr>
      </w:pPr>
      <w:bookmarkStart w:id="23" w:name="_Ref157760740"/>
      <w:r w:rsidRPr="000F3BCB">
        <w:rPr>
          <w:w w:val="105"/>
        </w:rPr>
        <w:t>Remuneration, costs and expenses</w:t>
      </w:r>
    </w:p>
    <w:p w14:paraId="4067624F" w14:textId="275F72DA" w:rsidR="008167BB" w:rsidRPr="000F3BCB" w:rsidRDefault="00C75A12" w:rsidP="00C75A12">
      <w:pPr>
        <w:pStyle w:val="Order1"/>
        <w:numPr>
          <w:ilvl w:val="0"/>
          <w:numId w:val="0"/>
        </w:numPr>
        <w:tabs>
          <w:tab w:val="left" w:pos="720"/>
        </w:tabs>
        <w:ind w:left="720" w:hanging="720"/>
        <w:rPr>
          <w:w w:val="105"/>
        </w:rPr>
      </w:pPr>
      <w:r w:rsidRPr="000F3BCB">
        <w:rPr>
          <w:w w:val="105"/>
        </w:rPr>
        <w:t>13.</w:t>
      </w:r>
      <w:r w:rsidRPr="000F3BCB">
        <w:rPr>
          <w:w w:val="105"/>
        </w:rPr>
        <w:tab/>
      </w:r>
      <w:r w:rsidR="008167BB" w:rsidRPr="000F3BCB">
        <w:rPr>
          <w:w w:val="105"/>
        </w:rPr>
        <w:t xml:space="preserve">The Liquidators shall be entitled to reasonable remuneration properly incurred in the performance of their duties arising in connection with their appointment and in the exercise of their powers as may be approved by the Court on the application of the Liquidators to a Registrar (in such form as the Registrar directs and at no more than 14 day intervals), together with all costs and expenses, to be paid from the property of the </w:t>
      </w:r>
      <w:r w:rsidR="008167BB">
        <w:rPr>
          <w:w w:val="105"/>
        </w:rPr>
        <w:t>d</w:t>
      </w:r>
      <w:r w:rsidR="008167BB" w:rsidRPr="000F3BCB">
        <w:rPr>
          <w:w w:val="105"/>
        </w:rPr>
        <w:t>efendant.</w:t>
      </w:r>
    </w:p>
    <w:p w14:paraId="59335028" w14:textId="548FAFFD" w:rsidR="008167BB" w:rsidRPr="000F3BCB" w:rsidRDefault="00C75A12" w:rsidP="00C75A12">
      <w:pPr>
        <w:pStyle w:val="Order1"/>
        <w:numPr>
          <w:ilvl w:val="0"/>
          <w:numId w:val="0"/>
        </w:numPr>
        <w:tabs>
          <w:tab w:val="left" w:pos="720"/>
        </w:tabs>
        <w:ind w:left="720" w:hanging="720"/>
        <w:rPr>
          <w:w w:val="105"/>
        </w:rPr>
      </w:pPr>
      <w:r w:rsidRPr="000F3BCB">
        <w:rPr>
          <w:w w:val="105"/>
        </w:rPr>
        <w:t>14.</w:t>
      </w:r>
      <w:r w:rsidRPr="000F3BCB">
        <w:rPr>
          <w:w w:val="105"/>
        </w:rPr>
        <w:tab/>
      </w:r>
      <w:r w:rsidR="008167BB" w:rsidRPr="000F3BCB">
        <w:rPr>
          <w:w w:val="105"/>
        </w:rPr>
        <w:t xml:space="preserve">The Receivers shall be entitled to reasonable remuneration properly incurred in the performance of their duties arising in connection with their appointment and in the exercise of their powers as may be approved by the Court on the application of the Receivers to a Registrar (in such form as the Registrar directs and at no more than 14 day intervals), together with all costs and expenses, to be paid from Trust Assets. </w:t>
      </w:r>
    </w:p>
    <w:bookmarkEnd w:id="23"/>
    <w:p w14:paraId="2096F81C" w14:textId="01C74431" w:rsidR="008167BB" w:rsidRPr="000F3BCB" w:rsidRDefault="00C75A12" w:rsidP="00C75A12">
      <w:pPr>
        <w:pStyle w:val="Order1"/>
        <w:numPr>
          <w:ilvl w:val="0"/>
          <w:numId w:val="0"/>
        </w:numPr>
        <w:tabs>
          <w:tab w:val="left" w:pos="720"/>
        </w:tabs>
        <w:ind w:left="720" w:hanging="720"/>
        <w:rPr>
          <w:w w:val="105"/>
        </w:rPr>
      </w:pPr>
      <w:r w:rsidRPr="000F3BCB">
        <w:rPr>
          <w:w w:val="105"/>
        </w:rPr>
        <w:t>15.</w:t>
      </w:r>
      <w:r w:rsidRPr="000F3BCB">
        <w:rPr>
          <w:w w:val="105"/>
        </w:rPr>
        <w:tab/>
      </w:r>
      <w:r w:rsidR="008167BB" w:rsidRPr="000F3BCB">
        <w:rPr>
          <w:w w:val="105"/>
        </w:rPr>
        <w:t>There be liberty to any party to apply to the Court on 48 hours’ notice.</w:t>
      </w:r>
    </w:p>
    <w:p w14:paraId="5AB8FB06" w14:textId="04DF337F" w:rsidR="008167BB" w:rsidRPr="000F3BCB" w:rsidRDefault="00C75A12" w:rsidP="00C75A12">
      <w:pPr>
        <w:pStyle w:val="Order1"/>
        <w:numPr>
          <w:ilvl w:val="0"/>
          <w:numId w:val="0"/>
        </w:numPr>
        <w:tabs>
          <w:tab w:val="left" w:pos="720"/>
        </w:tabs>
        <w:ind w:left="720" w:hanging="720"/>
      </w:pPr>
      <w:r w:rsidRPr="000F3BCB">
        <w:lastRenderedPageBreak/>
        <w:t>16.</w:t>
      </w:r>
      <w:r w:rsidRPr="000F3BCB">
        <w:tab/>
      </w:r>
      <w:r w:rsidR="008167BB" w:rsidRPr="000F3BCB">
        <w:rPr>
          <w:w w:val="105"/>
        </w:rPr>
        <w:t>There be liberty to the Liquidators and Receivers to apply to the Court on 48 hours’ notice.</w:t>
      </w:r>
      <w:r w:rsidR="008167BB" w:rsidRPr="000F3BCB">
        <w:t xml:space="preserve"> </w:t>
      </w:r>
    </w:p>
    <w:p w14:paraId="6B282F18" w14:textId="77777777" w:rsidR="001A6C52" w:rsidRDefault="001A6C52" w:rsidP="008167BB">
      <w:pPr>
        <w:pStyle w:val="Order1"/>
        <w:numPr>
          <w:ilvl w:val="0"/>
          <w:numId w:val="0"/>
        </w:numPr>
      </w:pPr>
    </w:p>
    <w:p w14:paraId="7FA3AC38" w14:textId="77777777" w:rsidR="001A6C52" w:rsidRDefault="001A6C52" w:rsidP="001A6C52">
      <w:pPr>
        <w:pStyle w:val="BodyText"/>
      </w:pPr>
    </w:p>
    <w:p w14:paraId="524FFE89" w14:textId="77777777" w:rsidR="008167BB" w:rsidRDefault="008167BB" w:rsidP="001A6C52">
      <w:pPr>
        <w:pStyle w:val="BodyText"/>
      </w:pPr>
    </w:p>
    <w:p w14:paraId="1BBF367F" w14:textId="77777777" w:rsidR="0066485B" w:rsidRDefault="0066485B" w:rsidP="001A6C52">
      <w:pPr>
        <w:pStyle w:val="BodyText"/>
      </w:pPr>
    </w:p>
    <w:p w14:paraId="69D156D1" w14:textId="77777777" w:rsidR="0066485B" w:rsidRDefault="0066485B" w:rsidP="001A6C52">
      <w:pPr>
        <w:pStyle w:val="BodyText"/>
      </w:pPr>
    </w:p>
    <w:p w14:paraId="5618E2DD" w14:textId="77777777" w:rsidR="0066485B" w:rsidRDefault="0066485B" w:rsidP="001A6C52">
      <w:pPr>
        <w:pStyle w:val="BodyText"/>
      </w:pPr>
    </w:p>
    <w:p w14:paraId="651A7A3C" w14:textId="77777777" w:rsidR="0066485B" w:rsidRDefault="0066485B" w:rsidP="001A6C52">
      <w:pPr>
        <w:pStyle w:val="BodyText"/>
      </w:pPr>
    </w:p>
    <w:p w14:paraId="24A63AB5" w14:textId="77777777" w:rsidR="0066485B" w:rsidRDefault="0066485B" w:rsidP="001A6C52">
      <w:pPr>
        <w:pStyle w:val="BodyText"/>
      </w:pPr>
    </w:p>
    <w:p w14:paraId="2948A22F" w14:textId="77777777" w:rsidR="0066485B" w:rsidRDefault="0066485B" w:rsidP="001A6C52">
      <w:pPr>
        <w:pStyle w:val="BodyText"/>
      </w:pPr>
    </w:p>
    <w:p w14:paraId="4512CDF7" w14:textId="77777777" w:rsidR="00A431E6" w:rsidRDefault="00A431E6" w:rsidP="001A6C52">
      <w:pPr>
        <w:pStyle w:val="BodyText"/>
      </w:pPr>
    </w:p>
    <w:p w14:paraId="7D744CAD" w14:textId="7CECF350" w:rsidR="0050309C" w:rsidRDefault="008167BB" w:rsidP="004D53E5">
      <w:pPr>
        <w:pStyle w:val="SingleSpace"/>
      </w:pPr>
      <w:bookmarkStart w:id="24" w:name="OrdersStatement"/>
      <w:r>
        <w:t>Note:</w:t>
      </w:r>
      <w:r>
        <w:tab/>
        <w:t xml:space="preserve">Entry of orders is dealt with in Rule 39.32 of the </w:t>
      </w:r>
      <w:r>
        <w:rPr>
          <w:i/>
        </w:rPr>
        <w:t>Federal Court Rules 2011</w:t>
      </w:r>
      <w:r>
        <w:t>.</w:t>
      </w:r>
      <w:bookmarkEnd w:id="24"/>
    </w:p>
    <w:p w14:paraId="71AE81C7" w14:textId="77777777" w:rsidR="00E23577" w:rsidRDefault="00E23577" w:rsidP="002B0E91">
      <w:pPr>
        <w:pStyle w:val="BodyText"/>
      </w:pPr>
    </w:p>
    <w:p w14:paraId="4EB5B617"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2C176181" w14:textId="77777777" w:rsidR="00484F6D" w:rsidRPr="00045BB7" w:rsidRDefault="00484F6D" w:rsidP="00045BB7">
      <w:pPr>
        <w:pStyle w:val="NormalHeadings"/>
        <w:spacing w:line="480" w:lineRule="auto"/>
        <w:jc w:val="center"/>
        <w:rPr>
          <w:sz w:val="28"/>
          <w:szCs w:val="28"/>
        </w:rPr>
      </w:pPr>
      <w:bookmarkStart w:id="25" w:name="ReasonsPage"/>
      <w:bookmarkEnd w:id="25"/>
      <w:r w:rsidRPr="00045BB7">
        <w:rPr>
          <w:sz w:val="28"/>
          <w:szCs w:val="28"/>
        </w:rPr>
        <w:lastRenderedPageBreak/>
        <w:t>REASONS FOR JUDGMENT</w:t>
      </w:r>
    </w:p>
    <w:p w14:paraId="180460D7" w14:textId="029AF5ED" w:rsidR="00694BEB" w:rsidRDefault="00336C7E" w:rsidP="005E0510">
      <w:pPr>
        <w:pStyle w:val="NormalHeadings"/>
        <w:spacing w:line="360" w:lineRule="auto"/>
        <w:jc w:val="left"/>
        <w:rPr>
          <w:sz w:val="26"/>
          <w:szCs w:val="26"/>
        </w:rPr>
      </w:pPr>
      <w:r>
        <w:rPr>
          <w:sz w:val="26"/>
          <w:szCs w:val="26"/>
        </w:rPr>
        <w:t>O’SULLIVAN J:</w:t>
      </w:r>
    </w:p>
    <w:p w14:paraId="2AAC4412" w14:textId="101FA9F8" w:rsidR="00C6204E" w:rsidRDefault="00C75A12" w:rsidP="00C75A12">
      <w:pPr>
        <w:pStyle w:val="ParaNumbering"/>
        <w:numPr>
          <w:ilvl w:val="0"/>
          <w:numId w:val="0"/>
        </w:numPr>
        <w:ind w:hanging="720"/>
      </w:pPr>
      <w:r>
        <w:rPr>
          <w:sz w:val="20"/>
        </w:rPr>
        <w:t>1</w:t>
      </w:r>
      <w:r>
        <w:rPr>
          <w:sz w:val="20"/>
        </w:rPr>
        <w:tab/>
      </w:r>
      <w:r w:rsidR="00C6204E">
        <w:t xml:space="preserve">The defendant, </w:t>
      </w:r>
      <w:r w:rsidR="00C6204E" w:rsidRPr="008F04DF">
        <w:rPr>
          <w:b/>
          <w:bCs/>
        </w:rPr>
        <w:t xml:space="preserve">Brite </w:t>
      </w:r>
      <w:r w:rsidR="00C6204E">
        <w:t xml:space="preserve">Advisors </w:t>
      </w:r>
      <w:r w:rsidR="00416101">
        <w:t xml:space="preserve">Pty </w:t>
      </w:r>
      <w:r w:rsidR="00C6204E">
        <w:t>Ltd (Receivers and Managers Appointed) holds an Australian Financial Services Licence and is authorised to carry on a financial services business in Australia including the provision of financial product advice, dealing in certain financial products and operating certain custodial and depository services for retail and wholesale clients Australia.</w:t>
      </w:r>
    </w:p>
    <w:p w14:paraId="189C9263" w14:textId="569AEA69" w:rsidR="00DF138D" w:rsidRDefault="00C75A12" w:rsidP="00C75A12">
      <w:pPr>
        <w:pStyle w:val="ParaNumbering"/>
        <w:numPr>
          <w:ilvl w:val="0"/>
          <w:numId w:val="0"/>
        </w:numPr>
        <w:ind w:hanging="720"/>
      </w:pPr>
      <w:r>
        <w:rPr>
          <w:sz w:val="20"/>
        </w:rPr>
        <w:t>2</w:t>
      </w:r>
      <w:r>
        <w:rPr>
          <w:sz w:val="20"/>
        </w:rPr>
        <w:tab/>
      </w:r>
      <w:r w:rsidR="00DF138D">
        <w:t>The Australian Securities and Investments Commission (</w:t>
      </w:r>
      <w:r w:rsidR="00DF138D" w:rsidRPr="00F253C3">
        <w:rPr>
          <w:b/>
          <w:bCs/>
        </w:rPr>
        <w:t>ASIC</w:t>
      </w:r>
      <w:r w:rsidR="00DF138D">
        <w:t>) applies for orders:</w:t>
      </w:r>
    </w:p>
    <w:p w14:paraId="49A89876" w14:textId="79C35B85" w:rsidR="00DF138D" w:rsidRDefault="00C75A12" w:rsidP="00C75A12">
      <w:pPr>
        <w:pStyle w:val="ListNo2"/>
        <w:numPr>
          <w:ilvl w:val="0"/>
          <w:numId w:val="0"/>
        </w:numPr>
        <w:tabs>
          <w:tab w:val="left" w:pos="1440"/>
        </w:tabs>
        <w:ind w:left="1440" w:hanging="720"/>
      </w:pPr>
      <w:r>
        <w:t>(a)</w:t>
      </w:r>
      <w:r>
        <w:tab/>
      </w:r>
      <w:r w:rsidR="00DF138D">
        <w:t xml:space="preserve">That Brite be wound up pursuant to s 461(1)(k) of the </w:t>
      </w:r>
      <w:r w:rsidR="00DF138D" w:rsidRPr="00D11E06">
        <w:rPr>
          <w:i/>
          <w:iCs/>
        </w:rPr>
        <w:t xml:space="preserve">Corporations </w:t>
      </w:r>
      <w:r w:rsidR="00DF138D" w:rsidRPr="00D11E06">
        <w:rPr>
          <w:b/>
          <w:bCs/>
          <w:i/>
          <w:iCs/>
        </w:rPr>
        <w:t>Act</w:t>
      </w:r>
      <w:r w:rsidR="00DF138D" w:rsidRPr="00D11E06">
        <w:rPr>
          <w:i/>
          <w:iCs/>
        </w:rPr>
        <w:t xml:space="preserve"> 2001</w:t>
      </w:r>
      <w:r w:rsidR="00DF138D">
        <w:t xml:space="preserve"> (Cth) on just and equitable grounds;</w:t>
      </w:r>
    </w:p>
    <w:p w14:paraId="63EDBF0E" w14:textId="5C81C730" w:rsidR="00DF138D" w:rsidRDefault="00C75A12" w:rsidP="00C75A12">
      <w:pPr>
        <w:pStyle w:val="ListNo2"/>
        <w:numPr>
          <w:ilvl w:val="0"/>
          <w:numId w:val="0"/>
        </w:numPr>
        <w:tabs>
          <w:tab w:val="left" w:pos="1440"/>
        </w:tabs>
        <w:ind w:left="1440" w:hanging="720"/>
      </w:pPr>
      <w:r>
        <w:t>(b)</w:t>
      </w:r>
      <w:r>
        <w:tab/>
      </w:r>
      <w:r w:rsidR="00DF138D">
        <w:t xml:space="preserve">The appointment of the current </w:t>
      </w:r>
      <w:r w:rsidR="00DF138D" w:rsidRPr="00E64074">
        <w:t>Receivers</w:t>
      </w:r>
      <w:r w:rsidR="00DF138D" w:rsidRPr="00D11E06">
        <w:rPr>
          <w:b/>
          <w:bCs/>
        </w:rPr>
        <w:t xml:space="preserve"> </w:t>
      </w:r>
      <w:r w:rsidR="00DF138D">
        <w:t>and Managers to Brite as joint and several L</w:t>
      </w:r>
      <w:r w:rsidR="00DF138D" w:rsidRPr="002D6DA8">
        <w:t>iquidators</w:t>
      </w:r>
      <w:r w:rsidR="00DF138D" w:rsidRPr="00D11E06">
        <w:rPr>
          <w:b/>
          <w:bCs/>
        </w:rPr>
        <w:t xml:space="preserve"> </w:t>
      </w:r>
      <w:r w:rsidR="00DF138D">
        <w:t>of Brite</w:t>
      </w:r>
      <w:r w:rsidR="00DF138D" w:rsidRPr="00927C3A">
        <w:t xml:space="preserve"> </w:t>
      </w:r>
      <w:r w:rsidR="00DF138D">
        <w:t xml:space="preserve">pursuant to s 472(1) of the </w:t>
      </w:r>
      <w:r w:rsidR="00DF138D" w:rsidRPr="00FA7B93">
        <w:t>Act</w:t>
      </w:r>
      <w:r w:rsidR="00DF138D">
        <w:t>; and</w:t>
      </w:r>
    </w:p>
    <w:p w14:paraId="32C77446" w14:textId="7F2F8156" w:rsidR="00DF138D" w:rsidRDefault="00C75A12" w:rsidP="00C75A12">
      <w:pPr>
        <w:pStyle w:val="ListNo2"/>
        <w:numPr>
          <w:ilvl w:val="0"/>
          <w:numId w:val="0"/>
        </w:numPr>
        <w:tabs>
          <w:tab w:val="left" w:pos="1440"/>
        </w:tabs>
        <w:ind w:left="1440" w:hanging="720"/>
      </w:pPr>
      <w:r>
        <w:t>(c)</w:t>
      </w:r>
      <w:r>
        <w:tab/>
      </w:r>
      <w:r w:rsidR="00DF138D">
        <w:t>The appointment of the current Receivers and Managers jointly and severally as Receivers and Managers of the property, assets and undertakings held by Brite on trust for others (</w:t>
      </w:r>
      <w:r w:rsidR="00DF138D" w:rsidRPr="00D11E06">
        <w:rPr>
          <w:b/>
          <w:bCs/>
        </w:rPr>
        <w:t>Trust Assets</w:t>
      </w:r>
      <w:r w:rsidR="00DF138D">
        <w:t>).</w:t>
      </w:r>
    </w:p>
    <w:p w14:paraId="28C46265" w14:textId="4CDE1745" w:rsidR="00DF138D" w:rsidRDefault="00C75A12" w:rsidP="00C75A12">
      <w:pPr>
        <w:pStyle w:val="ParaNumbering"/>
        <w:numPr>
          <w:ilvl w:val="0"/>
          <w:numId w:val="0"/>
        </w:numPr>
        <w:ind w:hanging="720"/>
      </w:pPr>
      <w:r>
        <w:rPr>
          <w:sz w:val="20"/>
        </w:rPr>
        <w:t>3</w:t>
      </w:r>
      <w:r>
        <w:rPr>
          <w:sz w:val="20"/>
        </w:rPr>
        <w:tab/>
      </w:r>
      <w:r w:rsidR="00896331">
        <w:t>T</w:t>
      </w:r>
      <w:r w:rsidR="00DF138D">
        <w:t xml:space="preserve">he application </w:t>
      </w:r>
      <w:r w:rsidR="00896331">
        <w:t xml:space="preserve">was heard </w:t>
      </w:r>
      <w:r w:rsidR="00DF138D">
        <w:t>on 6 February 2024.  That day orders</w:t>
      </w:r>
      <w:r w:rsidR="00896331">
        <w:t xml:space="preserve"> were made</w:t>
      </w:r>
      <w:r w:rsidR="00DF138D">
        <w:t xml:space="preserve"> that Brite be wound up, appointing Linda Methven Smith and Robert Kirman as joint and several</w:t>
      </w:r>
      <w:r w:rsidR="00DF138D">
        <w:rPr>
          <w:b/>
          <w:bCs/>
        </w:rPr>
        <w:t xml:space="preserve"> Liquidators</w:t>
      </w:r>
      <w:r w:rsidR="00DF138D" w:rsidRPr="001C1408">
        <w:t xml:space="preserve"> and </w:t>
      </w:r>
      <w:r w:rsidR="00DF138D">
        <w:t xml:space="preserve">appointing Ms Smith and Mr Kirman as joint and several </w:t>
      </w:r>
      <w:r w:rsidR="00DF138D" w:rsidRPr="002D6DA8">
        <w:rPr>
          <w:b/>
          <w:bCs/>
        </w:rPr>
        <w:t>Receivers</w:t>
      </w:r>
      <w:r w:rsidR="00DF138D">
        <w:t xml:space="preserve"> of the Trust Assets held by Brite.</w:t>
      </w:r>
    </w:p>
    <w:p w14:paraId="10FF82AD" w14:textId="11B7A267" w:rsidR="00DF138D" w:rsidRDefault="00C75A12" w:rsidP="00C75A12">
      <w:pPr>
        <w:pStyle w:val="ParaNumbering"/>
        <w:numPr>
          <w:ilvl w:val="0"/>
          <w:numId w:val="0"/>
        </w:numPr>
        <w:ind w:hanging="720"/>
      </w:pPr>
      <w:r>
        <w:rPr>
          <w:sz w:val="20"/>
        </w:rPr>
        <w:t>4</w:t>
      </w:r>
      <w:r>
        <w:rPr>
          <w:sz w:val="20"/>
        </w:rPr>
        <w:tab/>
      </w:r>
      <w:r w:rsidR="00DF138D">
        <w:t xml:space="preserve">When </w:t>
      </w:r>
      <w:r w:rsidR="00B67634">
        <w:t>the orders were</w:t>
      </w:r>
      <w:r w:rsidR="00DF138D">
        <w:t xml:space="preserve"> made, I indicated I would publish reasons for doing so.  These are those reasons.</w:t>
      </w:r>
    </w:p>
    <w:p w14:paraId="575B51DF" w14:textId="77777777" w:rsidR="00693D43" w:rsidRDefault="00693D43" w:rsidP="00693D43">
      <w:pPr>
        <w:pStyle w:val="Heading2"/>
      </w:pPr>
      <w:r>
        <w:t>Background</w:t>
      </w:r>
    </w:p>
    <w:p w14:paraId="40F7E3E4" w14:textId="75CB4233" w:rsidR="00DF138D" w:rsidRDefault="00C75A12" w:rsidP="00C75A12">
      <w:pPr>
        <w:pStyle w:val="ParaNumbering"/>
        <w:numPr>
          <w:ilvl w:val="0"/>
          <w:numId w:val="0"/>
        </w:numPr>
        <w:ind w:hanging="720"/>
      </w:pPr>
      <w:r>
        <w:rPr>
          <w:sz w:val="20"/>
        </w:rPr>
        <w:t>5</w:t>
      </w:r>
      <w:r>
        <w:rPr>
          <w:sz w:val="20"/>
        </w:rPr>
        <w:tab/>
      </w:r>
      <w:r w:rsidR="00DF138D">
        <w:t>This application is the culmination of an extensive investigation commenced by ASIC on 30</w:t>
      </w:r>
      <w:r w:rsidR="00B67634">
        <w:t> </w:t>
      </w:r>
      <w:r w:rsidR="00DF138D">
        <w:t>June 2021 which led to an application to this Court in October 2023 initially for interim preservation orders and subsequently the appointment of Receivers and Managers to Brite.</w:t>
      </w:r>
    </w:p>
    <w:p w14:paraId="00EE6E09" w14:textId="4CF1DD7F" w:rsidR="00DF138D" w:rsidRDefault="00C75A12" w:rsidP="00C75A12">
      <w:pPr>
        <w:pStyle w:val="ParaNumbering"/>
        <w:numPr>
          <w:ilvl w:val="0"/>
          <w:numId w:val="0"/>
        </w:numPr>
        <w:ind w:hanging="720"/>
      </w:pPr>
      <w:r>
        <w:rPr>
          <w:sz w:val="20"/>
        </w:rPr>
        <w:t>6</w:t>
      </w:r>
      <w:r>
        <w:rPr>
          <w:sz w:val="20"/>
        </w:rPr>
        <w:tab/>
      </w:r>
      <w:r w:rsidR="00DF138D">
        <w:t>To understand the process by which ASIC reached this point, it is necessary to set out some of the background.</w:t>
      </w:r>
    </w:p>
    <w:p w14:paraId="2DBC30F2" w14:textId="30A1DEEC" w:rsidR="00C6204E" w:rsidRDefault="00C75A12" w:rsidP="00C75A12">
      <w:pPr>
        <w:pStyle w:val="ParaNumbering"/>
        <w:numPr>
          <w:ilvl w:val="0"/>
          <w:numId w:val="0"/>
        </w:numPr>
        <w:ind w:hanging="720"/>
      </w:pPr>
      <w:r>
        <w:rPr>
          <w:sz w:val="20"/>
        </w:rPr>
        <w:t>7</w:t>
      </w:r>
      <w:r>
        <w:rPr>
          <w:sz w:val="20"/>
        </w:rPr>
        <w:tab/>
      </w:r>
      <w:r w:rsidR="00C6204E">
        <w:t>Brite describe</w:t>
      </w:r>
      <w:r w:rsidR="001940C2">
        <w:t>s</w:t>
      </w:r>
      <w:r w:rsidR="00C6204E">
        <w:t xml:space="preserve"> itself as a provider of discretionary investment services:</w:t>
      </w:r>
    </w:p>
    <w:p w14:paraId="27AE758E" w14:textId="6927A2EA" w:rsidR="00C6204E" w:rsidRPr="001940C2" w:rsidRDefault="00C75A12" w:rsidP="00C75A12">
      <w:pPr>
        <w:pStyle w:val="ListNo2"/>
        <w:numPr>
          <w:ilvl w:val="0"/>
          <w:numId w:val="0"/>
        </w:numPr>
        <w:tabs>
          <w:tab w:val="left" w:pos="1440"/>
        </w:tabs>
        <w:ind w:left="1440" w:hanging="720"/>
      </w:pPr>
      <w:r w:rsidRPr="001940C2">
        <w:lastRenderedPageBreak/>
        <w:t>(a)</w:t>
      </w:r>
      <w:r w:rsidRPr="001940C2">
        <w:tab/>
      </w:r>
      <w:r w:rsidR="001940C2" w:rsidRPr="001940C2">
        <w:t>T</w:t>
      </w:r>
      <w:r w:rsidR="00C6204E" w:rsidRPr="001940C2">
        <w:t>o overseas-based pension schemes</w:t>
      </w:r>
      <w:r w:rsidR="002C3D11">
        <w:t xml:space="preserve"> (wholesale clients)</w:t>
      </w:r>
      <w:r w:rsidR="00C6204E" w:rsidRPr="001940C2">
        <w:t>; and</w:t>
      </w:r>
    </w:p>
    <w:p w14:paraId="6AE0808E" w14:textId="07C9F0CD" w:rsidR="00C6204E" w:rsidRPr="001940C2" w:rsidRDefault="00C75A12" w:rsidP="00C75A12">
      <w:pPr>
        <w:pStyle w:val="ListNo2"/>
        <w:numPr>
          <w:ilvl w:val="0"/>
          <w:numId w:val="0"/>
        </w:numPr>
        <w:tabs>
          <w:tab w:val="left" w:pos="1440"/>
        </w:tabs>
        <w:ind w:left="1440" w:hanging="720"/>
      </w:pPr>
      <w:r w:rsidRPr="001940C2">
        <w:t>(b)</w:t>
      </w:r>
      <w:r w:rsidRPr="001940C2">
        <w:tab/>
      </w:r>
      <w:r w:rsidR="002C3D11">
        <w:t>T</w:t>
      </w:r>
      <w:r w:rsidR="00C6204E" w:rsidRPr="001940C2">
        <w:t>o resident Australian investors investing rolled over U</w:t>
      </w:r>
      <w:r w:rsidR="002C3D11">
        <w:t xml:space="preserve">nited </w:t>
      </w:r>
      <w:r w:rsidR="00C6204E" w:rsidRPr="001940C2">
        <w:t>K</w:t>
      </w:r>
      <w:r w:rsidR="002C3D11">
        <w:t>ingdom</w:t>
      </w:r>
      <w:r w:rsidR="00C6204E" w:rsidRPr="001940C2">
        <w:t xml:space="preserve"> </w:t>
      </w:r>
      <w:r w:rsidR="002C3D11">
        <w:t>P</w:t>
      </w:r>
      <w:r w:rsidR="00C6204E" w:rsidRPr="001940C2">
        <w:t xml:space="preserve">ension </w:t>
      </w:r>
      <w:r w:rsidR="002C3D11">
        <w:t>A</w:t>
      </w:r>
      <w:r w:rsidR="00C6204E" w:rsidRPr="001940C2">
        <w:t>ssets through self-managed superannuation funds</w:t>
      </w:r>
      <w:r w:rsidR="002C3D11">
        <w:t xml:space="preserve"> (retail clients)</w:t>
      </w:r>
      <w:r w:rsidR="00C6204E" w:rsidRPr="001940C2">
        <w:t>.</w:t>
      </w:r>
    </w:p>
    <w:p w14:paraId="341E9707" w14:textId="2935960B" w:rsidR="00C6204E" w:rsidRDefault="00C75A12" w:rsidP="00C75A12">
      <w:pPr>
        <w:pStyle w:val="ParaNumbering"/>
        <w:numPr>
          <w:ilvl w:val="0"/>
          <w:numId w:val="0"/>
        </w:numPr>
        <w:ind w:hanging="720"/>
      </w:pPr>
      <w:r>
        <w:rPr>
          <w:sz w:val="20"/>
        </w:rPr>
        <w:t>8</w:t>
      </w:r>
      <w:r>
        <w:rPr>
          <w:sz w:val="20"/>
        </w:rPr>
        <w:tab/>
      </w:r>
      <w:r w:rsidR="00C6204E">
        <w:t>Brite forms part of a complicated network of companies incorporated in various countries throughout the world (</w:t>
      </w:r>
      <w:r w:rsidR="00C6204E" w:rsidRPr="005002A5">
        <w:rPr>
          <w:b/>
          <w:bCs/>
        </w:rPr>
        <w:t>Brite Group</w:t>
      </w:r>
      <w:r w:rsidR="00C6204E">
        <w:t>).</w:t>
      </w:r>
      <w:r w:rsidR="00B61B53">
        <w:t xml:space="preserve">  A copy of the organisational </w:t>
      </w:r>
      <w:r w:rsidR="00C5082B">
        <w:t>structure of the Brite Group produced to</w:t>
      </w:r>
      <w:r w:rsidR="00E677C3">
        <w:t xml:space="preserve"> </w:t>
      </w:r>
      <w:r w:rsidR="00C5082B" w:rsidRPr="004074DC">
        <w:t>ASIC</w:t>
      </w:r>
      <w:r w:rsidR="00C5082B">
        <w:t xml:space="preserve"> by Brite</w:t>
      </w:r>
      <w:r w:rsidR="00145AB5">
        <w:t>,</w:t>
      </w:r>
      <w:r w:rsidR="00C5082B">
        <w:t xml:space="preserve"> being annexure TRL-07 to the </w:t>
      </w:r>
      <w:r w:rsidR="00F25E90">
        <w:t>affidavit of Trevor Ross Leach affirmed 22 January 2024 and read on th</w:t>
      </w:r>
      <w:r w:rsidR="000850F8">
        <w:t>is</w:t>
      </w:r>
      <w:r w:rsidR="00F25E90">
        <w:t xml:space="preserve"> application</w:t>
      </w:r>
      <w:r w:rsidR="00701303">
        <w:t>,</w:t>
      </w:r>
      <w:r w:rsidR="00F25E90">
        <w:t xml:space="preserve"> is attached to these reasons as Annexure A.  One correction</w:t>
      </w:r>
      <w:r w:rsidR="00F7408A">
        <w:t xml:space="preserve"> to the organisational structure</w:t>
      </w:r>
      <w:r w:rsidR="000850F8">
        <w:t xml:space="preserve"> is</w:t>
      </w:r>
      <w:r w:rsidR="00F7408A">
        <w:t xml:space="preserve"> that the company identified as “Genesis Investment Management Limited Co No 1633223” in Hong Kong is now known as </w:t>
      </w:r>
      <w:r w:rsidR="00F7408A" w:rsidRPr="00E677C3">
        <w:rPr>
          <w:b/>
          <w:bCs/>
        </w:rPr>
        <w:t xml:space="preserve">Brite Hong Kong </w:t>
      </w:r>
      <w:r w:rsidR="00E677C3" w:rsidRPr="000850F8">
        <w:t>Limited</w:t>
      </w:r>
      <w:r w:rsidR="00E677C3">
        <w:t>, a company incorporated in Hong Kong.</w:t>
      </w:r>
    </w:p>
    <w:p w14:paraId="1494B3D3" w14:textId="0F82D517" w:rsidR="00C6204E" w:rsidRDefault="00C75A12" w:rsidP="00C75A12">
      <w:pPr>
        <w:pStyle w:val="ParaNumbering"/>
        <w:numPr>
          <w:ilvl w:val="0"/>
          <w:numId w:val="0"/>
        </w:numPr>
        <w:ind w:hanging="720"/>
      </w:pPr>
      <w:r>
        <w:rPr>
          <w:sz w:val="20"/>
        </w:rPr>
        <w:t>9</w:t>
      </w:r>
      <w:r>
        <w:rPr>
          <w:sz w:val="20"/>
        </w:rPr>
        <w:tab/>
      </w:r>
      <w:r w:rsidR="007D3050">
        <w:t xml:space="preserve">As is apparent from Annexure A, </w:t>
      </w:r>
      <w:r w:rsidR="00C6204E">
        <w:t>Brite is a wholly-owned subsidiary of Brite Advisory Holdings Ltd</w:t>
      </w:r>
      <w:r w:rsidR="007D3050">
        <w:t xml:space="preserve"> </w:t>
      </w:r>
      <w:r w:rsidR="00C6204E">
        <w:t>(</w:t>
      </w:r>
      <w:r w:rsidR="00C6204E" w:rsidRPr="00FF0656">
        <w:rPr>
          <w:b/>
          <w:bCs/>
        </w:rPr>
        <w:t>Brite BVI</w:t>
      </w:r>
      <w:r w:rsidR="00C6204E">
        <w:t xml:space="preserve">), a company registered in the British Virgin Islands.  The </w:t>
      </w:r>
      <w:r w:rsidR="0017470A">
        <w:t>Director</w:t>
      </w:r>
      <w:r w:rsidR="00C6204E">
        <w:t xml:space="preserve">s of Brite BVI are Mr Mark Donnelly and Mr David Michael McKenna.  The sole shareholder is </w:t>
      </w:r>
      <w:r w:rsidR="00C6204E" w:rsidRPr="00A928F3">
        <w:rPr>
          <w:b/>
          <w:bCs/>
        </w:rPr>
        <w:t xml:space="preserve">Aurom </w:t>
      </w:r>
      <w:r w:rsidR="00C6204E">
        <w:t>Group Limited, a company registered in the United Kingdom.</w:t>
      </w:r>
    </w:p>
    <w:p w14:paraId="27C355AF" w14:textId="694B798C" w:rsidR="00C6204E" w:rsidRDefault="00C75A12" w:rsidP="00C75A12">
      <w:pPr>
        <w:pStyle w:val="ParaNumbering"/>
        <w:numPr>
          <w:ilvl w:val="0"/>
          <w:numId w:val="0"/>
        </w:numPr>
        <w:ind w:hanging="720"/>
      </w:pPr>
      <w:r>
        <w:rPr>
          <w:sz w:val="20"/>
        </w:rPr>
        <w:t>10</w:t>
      </w:r>
      <w:r>
        <w:rPr>
          <w:sz w:val="20"/>
        </w:rPr>
        <w:tab/>
      </w:r>
      <w:r w:rsidR="00C6204E">
        <w:t>Mr Donnelly is the sole shareholder in Aurom.</w:t>
      </w:r>
    </w:p>
    <w:p w14:paraId="0BBADE9D" w14:textId="58A5BCDE" w:rsidR="00C6204E" w:rsidRDefault="00C75A12" w:rsidP="00C75A12">
      <w:pPr>
        <w:pStyle w:val="ParaNumbering"/>
        <w:numPr>
          <w:ilvl w:val="0"/>
          <w:numId w:val="0"/>
        </w:numPr>
        <w:ind w:hanging="720"/>
      </w:pPr>
      <w:r>
        <w:rPr>
          <w:sz w:val="20"/>
        </w:rPr>
        <w:t>11</w:t>
      </w:r>
      <w:r>
        <w:rPr>
          <w:sz w:val="20"/>
        </w:rPr>
        <w:tab/>
      </w:r>
      <w:r w:rsidR="00C6204E">
        <w:t>The ultimate owner of Brite is Aurom.</w:t>
      </w:r>
    </w:p>
    <w:p w14:paraId="1AFADDD1" w14:textId="523F1216" w:rsidR="00C6204E" w:rsidRPr="005010D8" w:rsidRDefault="00C75A12" w:rsidP="00C75A12">
      <w:pPr>
        <w:pStyle w:val="ParaNumbering"/>
        <w:numPr>
          <w:ilvl w:val="0"/>
          <w:numId w:val="0"/>
        </w:numPr>
        <w:ind w:hanging="720"/>
      </w:pPr>
      <w:r w:rsidRPr="005010D8">
        <w:rPr>
          <w:sz w:val="20"/>
        </w:rPr>
        <w:t>12</w:t>
      </w:r>
      <w:r w:rsidRPr="005010D8">
        <w:rPr>
          <w:sz w:val="20"/>
        </w:rPr>
        <w:tab/>
      </w:r>
      <w:r w:rsidR="00C6204E">
        <w:t>Brite has approximately AUD $1 billion under management, comprised of overseas-based pension schemes or Self-Invested Personal Pensions (</w:t>
      </w:r>
      <w:r w:rsidR="00C6204E" w:rsidRPr="00850A7A">
        <w:rPr>
          <w:b/>
          <w:bCs/>
        </w:rPr>
        <w:t>SIPP</w:t>
      </w:r>
      <w:r w:rsidR="00C6204E">
        <w:t>).  Brite claims it manages 14</w:t>
      </w:r>
      <w:r w:rsidR="00E9603F">
        <w:t> </w:t>
      </w:r>
      <w:r w:rsidR="00C6204E">
        <w:t xml:space="preserve">pension schemes.  Five of those pension schemes are owned by companies within </w:t>
      </w:r>
      <w:r w:rsidR="000850F8">
        <w:t xml:space="preserve">the </w:t>
      </w:r>
      <w:r w:rsidR="00C6204E">
        <w:t>Brite Group.</w:t>
      </w:r>
    </w:p>
    <w:p w14:paraId="0035355A" w14:textId="695A8F79" w:rsidR="00C6204E" w:rsidRDefault="00C75A12" w:rsidP="00C75A12">
      <w:pPr>
        <w:pStyle w:val="ParaNumbering"/>
        <w:numPr>
          <w:ilvl w:val="0"/>
          <w:numId w:val="0"/>
        </w:numPr>
        <w:ind w:hanging="720"/>
      </w:pPr>
      <w:r>
        <w:rPr>
          <w:sz w:val="20"/>
        </w:rPr>
        <w:t>13</w:t>
      </w:r>
      <w:r>
        <w:rPr>
          <w:sz w:val="20"/>
        </w:rPr>
        <w:tab/>
      </w:r>
      <w:r w:rsidR="00C6204E">
        <w:rPr>
          <w:szCs w:val="24"/>
        </w:rPr>
        <w:t xml:space="preserve">On </w:t>
      </w:r>
      <w:r w:rsidR="00C6204E" w:rsidRPr="00A46C73">
        <w:rPr>
          <w:szCs w:val="24"/>
        </w:rPr>
        <w:t>25 October</w:t>
      </w:r>
      <w:r w:rsidR="00C6204E">
        <w:rPr>
          <w:szCs w:val="24"/>
        </w:rPr>
        <w:t xml:space="preserve"> 2023</w:t>
      </w:r>
      <w:r w:rsidR="00BB015C">
        <w:rPr>
          <w:szCs w:val="24"/>
        </w:rPr>
        <w:t>,</w:t>
      </w:r>
      <w:r w:rsidR="00C6204E">
        <w:rPr>
          <w:szCs w:val="24"/>
        </w:rPr>
        <w:t xml:space="preserve"> ASIC applied ex parte for an urgent</w:t>
      </w:r>
      <w:r w:rsidR="00C6204E" w:rsidRPr="00A46C73">
        <w:rPr>
          <w:szCs w:val="24"/>
        </w:rPr>
        <w:t xml:space="preserve"> interim asset preservation order</w:t>
      </w:r>
      <w:r w:rsidR="00C6204E">
        <w:rPr>
          <w:szCs w:val="24"/>
        </w:rPr>
        <w:t xml:space="preserve"> over the assets of Brite whether held beneficially or otherwise</w:t>
      </w:r>
      <w:r w:rsidR="00C6204E" w:rsidRPr="00A46C73">
        <w:rPr>
          <w:szCs w:val="24"/>
        </w:rPr>
        <w:t>.</w:t>
      </w:r>
      <w:r w:rsidR="00C6204E">
        <w:rPr>
          <w:szCs w:val="24"/>
        </w:rPr>
        <w:t xml:space="preserve">  </w:t>
      </w:r>
      <w:r w:rsidR="00A44947">
        <w:rPr>
          <w:szCs w:val="24"/>
        </w:rPr>
        <w:t>Banks-Smith J</w:t>
      </w:r>
      <w:r w:rsidR="00C6204E">
        <w:rPr>
          <w:szCs w:val="24"/>
        </w:rPr>
        <w:t xml:space="preserve"> made an interim asset preservation order that day.</w:t>
      </w:r>
    </w:p>
    <w:p w14:paraId="144C5FF1" w14:textId="5A938B79" w:rsidR="00C6204E" w:rsidRPr="009E03BE" w:rsidRDefault="00C75A12" w:rsidP="00C75A12">
      <w:pPr>
        <w:pStyle w:val="ParaNumbering"/>
        <w:numPr>
          <w:ilvl w:val="0"/>
          <w:numId w:val="0"/>
        </w:numPr>
        <w:ind w:hanging="720"/>
      </w:pPr>
      <w:r w:rsidRPr="009E03BE">
        <w:rPr>
          <w:sz w:val="20"/>
        </w:rPr>
        <w:t>14</w:t>
      </w:r>
      <w:r w:rsidRPr="009E03BE">
        <w:rPr>
          <w:sz w:val="20"/>
        </w:rPr>
        <w:tab/>
      </w:r>
      <w:r w:rsidR="00C6204E">
        <w:t>On 26 October 2023</w:t>
      </w:r>
      <w:r w:rsidR="00BB015C">
        <w:t>,</w:t>
      </w:r>
      <w:r w:rsidR="00C6204E">
        <w:t xml:space="preserve"> </w:t>
      </w:r>
      <w:r w:rsidR="00C6204E" w:rsidRPr="00A46C73">
        <w:t>ASIC issued</w:t>
      </w:r>
      <w:r w:rsidR="00C6204E">
        <w:t xml:space="preserve"> </w:t>
      </w:r>
      <w:r w:rsidR="00C6204E" w:rsidRPr="00A46C73">
        <w:t xml:space="preserve">an originating application seeking the appointment of </w:t>
      </w:r>
      <w:r w:rsidR="00C60F68">
        <w:t>R</w:t>
      </w:r>
      <w:r w:rsidR="00C6204E" w:rsidRPr="00A46C73">
        <w:t>eceiver</w:t>
      </w:r>
      <w:r w:rsidR="00C60F68">
        <w:t>s and Managers</w:t>
      </w:r>
      <w:r w:rsidR="00C6204E">
        <w:t xml:space="preserve"> to </w:t>
      </w:r>
      <w:r w:rsidR="00C6204E" w:rsidRPr="00A46C73">
        <w:t>Brite.  It also sought an</w:t>
      </w:r>
      <w:r w:rsidR="00C6204E">
        <w:t xml:space="preserve"> asset preservation </w:t>
      </w:r>
      <w:r w:rsidR="00C6204E" w:rsidRPr="00A46C73">
        <w:t>order</w:t>
      </w:r>
      <w:r w:rsidR="00C6204E">
        <w:t>.</w:t>
      </w:r>
    </w:p>
    <w:p w14:paraId="51095467" w14:textId="778C4081" w:rsidR="00C6204E" w:rsidRDefault="00C75A12" w:rsidP="00C75A12">
      <w:pPr>
        <w:pStyle w:val="ParaNumbering"/>
        <w:numPr>
          <w:ilvl w:val="0"/>
          <w:numId w:val="0"/>
        </w:numPr>
        <w:ind w:hanging="720"/>
      </w:pPr>
      <w:r>
        <w:rPr>
          <w:sz w:val="20"/>
        </w:rPr>
        <w:t>15</w:t>
      </w:r>
      <w:r>
        <w:rPr>
          <w:sz w:val="20"/>
        </w:rPr>
        <w:tab/>
      </w:r>
      <w:r w:rsidR="00B31D89">
        <w:t>At a hearing o</w:t>
      </w:r>
      <w:r w:rsidR="00C6204E">
        <w:t xml:space="preserve">n </w:t>
      </w:r>
      <w:r w:rsidR="00C6204E" w:rsidRPr="00A46C73">
        <w:t>9 November 2023</w:t>
      </w:r>
      <w:r w:rsidR="00C6204E">
        <w:t>, at which Brite was represented,</w:t>
      </w:r>
      <w:r w:rsidR="00C6204E" w:rsidRPr="00A46C73">
        <w:t xml:space="preserve"> </w:t>
      </w:r>
      <w:r w:rsidR="00C6204E">
        <w:t xml:space="preserve">the Court heard the </w:t>
      </w:r>
      <w:r w:rsidR="00C6204E" w:rsidRPr="00A46C73">
        <w:t>application for</w:t>
      </w:r>
      <w:r w:rsidR="00C6204E">
        <w:t xml:space="preserve"> ongoing </w:t>
      </w:r>
      <w:r w:rsidR="00C6204E" w:rsidRPr="00A46C73">
        <w:t>asset preservation orders</w:t>
      </w:r>
      <w:r w:rsidR="00C6204E">
        <w:t xml:space="preserve">.  Banks-Smith J made orders by consent </w:t>
      </w:r>
      <w:r w:rsidR="00C6204E" w:rsidRPr="00A46C73">
        <w:t>not only for the continuation of the asset preservation orders, but also appointing</w:t>
      </w:r>
      <w:r w:rsidR="00C6204E">
        <w:t xml:space="preserve"> Linda Methven </w:t>
      </w:r>
      <w:r w:rsidR="00C6204E" w:rsidRPr="00A46C73">
        <w:t>Smith and</w:t>
      </w:r>
      <w:r w:rsidR="00C6204E">
        <w:t xml:space="preserve"> Robert </w:t>
      </w:r>
      <w:r w:rsidR="00C6204E" w:rsidRPr="00A46C73">
        <w:t xml:space="preserve">Kirman of McGrathNicol as </w:t>
      </w:r>
      <w:r w:rsidR="00C6204E" w:rsidRPr="00866C8D">
        <w:rPr>
          <w:b/>
          <w:bCs/>
        </w:rPr>
        <w:t>Investigative Accountants</w:t>
      </w:r>
      <w:r w:rsidR="00C6204E">
        <w:t xml:space="preserve"> </w:t>
      </w:r>
      <w:r w:rsidR="00C6204E" w:rsidRPr="00A46C73">
        <w:t xml:space="preserve">to address a series </w:t>
      </w:r>
      <w:r w:rsidR="00C6204E" w:rsidRPr="00A46C73">
        <w:lastRenderedPageBreak/>
        <w:t>of questions</w:t>
      </w:r>
      <w:r w:rsidR="00C6204E">
        <w:t xml:space="preserve"> concerning the affairs of Brite </w:t>
      </w:r>
      <w:r w:rsidR="000C39CE">
        <w:t>and</w:t>
      </w:r>
      <w:r w:rsidR="00C6204E">
        <w:t xml:space="preserve"> to provide a report </w:t>
      </w:r>
      <w:r w:rsidR="000C39CE">
        <w:t xml:space="preserve">to the Court </w:t>
      </w:r>
      <w:r w:rsidR="00C6204E">
        <w:t>on their findings (</w:t>
      </w:r>
      <w:r w:rsidR="00C6204E">
        <w:rPr>
          <w:b/>
          <w:bCs/>
        </w:rPr>
        <w:t xml:space="preserve">IA </w:t>
      </w:r>
      <w:r w:rsidR="00C6204E" w:rsidRPr="00C37052">
        <w:rPr>
          <w:b/>
          <w:bCs/>
        </w:rPr>
        <w:t>Report</w:t>
      </w:r>
      <w:r w:rsidR="00C6204E">
        <w:t>)</w:t>
      </w:r>
      <w:r w:rsidR="00C6204E" w:rsidRPr="00A46C73">
        <w:t xml:space="preserve">.  </w:t>
      </w:r>
    </w:p>
    <w:p w14:paraId="6DF7CFEF" w14:textId="12BCFEEB" w:rsidR="00C6204E" w:rsidRDefault="00C75A12" w:rsidP="00C75A12">
      <w:pPr>
        <w:pStyle w:val="ParaNumbering"/>
        <w:numPr>
          <w:ilvl w:val="0"/>
          <w:numId w:val="0"/>
        </w:numPr>
        <w:ind w:hanging="720"/>
      </w:pPr>
      <w:r>
        <w:rPr>
          <w:sz w:val="20"/>
        </w:rPr>
        <w:t>16</w:t>
      </w:r>
      <w:r>
        <w:rPr>
          <w:sz w:val="20"/>
        </w:rPr>
        <w:tab/>
      </w:r>
      <w:r w:rsidR="00C6204E" w:rsidRPr="00A46C73">
        <w:t>Those questions included the identification of assets and liabilities of Brite</w:t>
      </w:r>
      <w:r w:rsidR="00C6204E">
        <w:t xml:space="preserve"> </w:t>
      </w:r>
      <w:r w:rsidR="00C6204E" w:rsidRPr="00A46C73">
        <w:t xml:space="preserve">and the identification of the amount of </w:t>
      </w:r>
      <w:r w:rsidR="00A44947">
        <w:t>beneficiary</w:t>
      </w:r>
      <w:r w:rsidR="00C6204E" w:rsidRPr="00A46C73">
        <w:t xml:space="preserve"> assets under management by Brite</w:t>
      </w:r>
      <w:r w:rsidR="00C6204E">
        <w:t xml:space="preserve"> </w:t>
      </w:r>
      <w:r w:rsidR="00C6204E" w:rsidRPr="00A46C73">
        <w:t>including the whereabouts of</w:t>
      </w:r>
      <w:r w:rsidR="00C6204E">
        <w:t xml:space="preserve"> those assets</w:t>
      </w:r>
      <w:r w:rsidR="00C6204E" w:rsidRPr="00A46C73">
        <w:t>.  Also included were orders requiring Brite</w:t>
      </w:r>
      <w:r w:rsidR="00C6204E">
        <w:t xml:space="preserve"> </w:t>
      </w:r>
      <w:r w:rsidR="00C6204E" w:rsidRPr="00A46C73">
        <w:t>to</w:t>
      </w:r>
      <w:r w:rsidR="00C6204E">
        <w:t xml:space="preserve"> </w:t>
      </w:r>
      <w:r w:rsidR="00C6204E" w:rsidRPr="00A46C73">
        <w:t xml:space="preserve">deliver up </w:t>
      </w:r>
      <w:r w:rsidR="00C6204E">
        <w:t xml:space="preserve">immediately </w:t>
      </w:r>
      <w:r w:rsidR="00C6204E" w:rsidRPr="00A46C73">
        <w:t xml:space="preserve">to the </w:t>
      </w:r>
      <w:r w:rsidR="00C6204E">
        <w:t xml:space="preserve">Investigative Accountants </w:t>
      </w:r>
      <w:r w:rsidR="00C6204E" w:rsidRPr="00A46C73">
        <w:t>various books and records.</w:t>
      </w:r>
    </w:p>
    <w:p w14:paraId="56F0F20B" w14:textId="08612B0B" w:rsidR="00C6204E" w:rsidRPr="00330A31" w:rsidRDefault="00C75A12" w:rsidP="00C75A12">
      <w:pPr>
        <w:pStyle w:val="ParaNumbering"/>
        <w:numPr>
          <w:ilvl w:val="0"/>
          <w:numId w:val="0"/>
        </w:numPr>
        <w:ind w:hanging="720"/>
        <w:rPr>
          <w:szCs w:val="24"/>
        </w:rPr>
      </w:pPr>
      <w:r w:rsidRPr="00330A31">
        <w:rPr>
          <w:sz w:val="20"/>
          <w:szCs w:val="24"/>
        </w:rPr>
        <w:t>17</w:t>
      </w:r>
      <w:r w:rsidRPr="00330A31">
        <w:rPr>
          <w:sz w:val="20"/>
          <w:szCs w:val="24"/>
        </w:rPr>
        <w:tab/>
      </w:r>
      <w:r w:rsidR="00C6204E" w:rsidRPr="00330A31">
        <w:rPr>
          <w:szCs w:val="24"/>
        </w:rPr>
        <w:t>On 24 November 2023, the orders made on 9 November 2023 were varied to include a requirement that Brite take all steps necessary to transfer all of its property held by Brite Hong Kong in its accounts held with</w:t>
      </w:r>
      <w:r w:rsidR="00076FDB">
        <w:rPr>
          <w:szCs w:val="24"/>
        </w:rPr>
        <w:t xml:space="preserve"> the</w:t>
      </w:r>
      <w:r w:rsidR="00C6204E" w:rsidRPr="00330A31">
        <w:rPr>
          <w:szCs w:val="24"/>
        </w:rPr>
        <w:t xml:space="preserve"> Hong Kong</w:t>
      </w:r>
      <w:r w:rsidR="00076FDB">
        <w:rPr>
          <w:szCs w:val="24"/>
        </w:rPr>
        <w:t xml:space="preserve"> and</w:t>
      </w:r>
      <w:r w:rsidR="00C6204E" w:rsidRPr="00330A31">
        <w:rPr>
          <w:szCs w:val="24"/>
        </w:rPr>
        <w:t xml:space="preserve"> Shanghai Banking Corporation Limited</w:t>
      </w:r>
      <w:r w:rsidR="00A67CCE">
        <w:rPr>
          <w:szCs w:val="24"/>
        </w:rPr>
        <w:t xml:space="preserve"> in Hong Kong</w:t>
      </w:r>
      <w:r w:rsidR="00C6204E" w:rsidRPr="00330A31">
        <w:rPr>
          <w:szCs w:val="24"/>
        </w:rPr>
        <w:t xml:space="preserve"> (</w:t>
      </w:r>
      <w:r w:rsidR="00C6204E" w:rsidRPr="00330A31">
        <w:rPr>
          <w:b/>
          <w:bCs/>
          <w:szCs w:val="24"/>
        </w:rPr>
        <w:t>HSBC</w:t>
      </w:r>
      <w:r w:rsidR="00C6204E" w:rsidRPr="00330A31">
        <w:rPr>
          <w:szCs w:val="24"/>
        </w:rPr>
        <w:t>) and a brokerage firm, Interactive Brokers (Hong Kong) (</w:t>
      </w:r>
      <w:r w:rsidR="00C6204E" w:rsidRPr="00330A31">
        <w:rPr>
          <w:b/>
          <w:bCs/>
          <w:szCs w:val="24"/>
        </w:rPr>
        <w:t>IBHK</w:t>
      </w:r>
      <w:r w:rsidR="00C6204E" w:rsidRPr="00330A31">
        <w:rPr>
          <w:szCs w:val="24"/>
        </w:rPr>
        <w:t>), part of a worldwide brokerage group</w:t>
      </w:r>
      <w:r w:rsidR="009F052A">
        <w:rPr>
          <w:szCs w:val="24"/>
        </w:rPr>
        <w:t>,</w:t>
      </w:r>
      <w:r w:rsidR="00C6204E" w:rsidRPr="00330A31">
        <w:rPr>
          <w:szCs w:val="24"/>
        </w:rPr>
        <w:t xml:space="preserve"> to a </w:t>
      </w:r>
      <w:r w:rsidR="009F052A">
        <w:rPr>
          <w:szCs w:val="24"/>
        </w:rPr>
        <w:t>“</w:t>
      </w:r>
      <w:r w:rsidR="00C6204E" w:rsidRPr="00330A31">
        <w:rPr>
          <w:szCs w:val="24"/>
        </w:rPr>
        <w:t>client account</w:t>
      </w:r>
      <w:r w:rsidR="009F052A">
        <w:rPr>
          <w:szCs w:val="24"/>
        </w:rPr>
        <w:t>”</w:t>
      </w:r>
      <w:r w:rsidR="00C6204E" w:rsidRPr="00330A31">
        <w:rPr>
          <w:szCs w:val="24"/>
        </w:rPr>
        <w:t xml:space="preserve"> or accounts held by Brite with </w:t>
      </w:r>
      <w:r w:rsidR="00C6204E" w:rsidRPr="00330A31">
        <w:rPr>
          <w:b/>
          <w:bCs/>
          <w:szCs w:val="24"/>
        </w:rPr>
        <w:t>Westpac</w:t>
      </w:r>
      <w:r w:rsidR="00C6204E" w:rsidRPr="00330A31">
        <w:rPr>
          <w:szCs w:val="24"/>
        </w:rPr>
        <w:t xml:space="preserve"> Banking Corporation or Interactive Brokers (Australia) (</w:t>
      </w:r>
      <w:r w:rsidR="00C6204E" w:rsidRPr="00330A31">
        <w:rPr>
          <w:b/>
          <w:bCs/>
          <w:szCs w:val="24"/>
        </w:rPr>
        <w:t>IBA</w:t>
      </w:r>
      <w:r w:rsidR="00C6204E" w:rsidRPr="00330A31">
        <w:rPr>
          <w:szCs w:val="24"/>
        </w:rPr>
        <w:t xml:space="preserve">) respectively.  </w:t>
      </w:r>
    </w:p>
    <w:p w14:paraId="74827153" w14:textId="786651E8" w:rsidR="00C6204E" w:rsidRDefault="00C75A12" w:rsidP="00C75A12">
      <w:pPr>
        <w:pStyle w:val="ParaNumbering"/>
        <w:numPr>
          <w:ilvl w:val="0"/>
          <w:numId w:val="0"/>
        </w:numPr>
        <w:ind w:hanging="720"/>
        <w:rPr>
          <w:szCs w:val="24"/>
        </w:rPr>
      </w:pPr>
      <w:r>
        <w:rPr>
          <w:sz w:val="20"/>
          <w:szCs w:val="24"/>
        </w:rPr>
        <w:t>18</w:t>
      </w:r>
      <w:r>
        <w:rPr>
          <w:sz w:val="20"/>
          <w:szCs w:val="24"/>
        </w:rPr>
        <w:tab/>
      </w:r>
      <w:r w:rsidR="00C6204E" w:rsidRPr="00DB682C">
        <w:rPr>
          <w:szCs w:val="24"/>
        </w:rPr>
        <w:t>Brite</w:t>
      </w:r>
      <w:r w:rsidR="00C6204E">
        <w:rPr>
          <w:szCs w:val="24"/>
        </w:rPr>
        <w:t xml:space="preserve"> </w:t>
      </w:r>
      <w:r w:rsidR="00C6204E" w:rsidRPr="00DB682C">
        <w:rPr>
          <w:szCs w:val="24"/>
        </w:rPr>
        <w:t>were also directed to require Brite Hong Kong to inform</w:t>
      </w:r>
      <w:r w:rsidR="00C6204E">
        <w:rPr>
          <w:szCs w:val="24"/>
        </w:rPr>
        <w:t xml:space="preserve"> IBHK </w:t>
      </w:r>
      <w:r w:rsidR="00C6204E" w:rsidRPr="00DB682C">
        <w:rPr>
          <w:szCs w:val="24"/>
        </w:rPr>
        <w:t>and HSBC not to deal</w:t>
      </w:r>
      <w:r w:rsidR="00AB606B">
        <w:rPr>
          <w:szCs w:val="24"/>
        </w:rPr>
        <w:t xml:space="preserve"> with</w:t>
      </w:r>
      <w:r w:rsidR="00C6204E" w:rsidRPr="00DB682C">
        <w:rPr>
          <w:szCs w:val="24"/>
        </w:rPr>
        <w:t xml:space="preserve"> its </w:t>
      </w:r>
      <w:r w:rsidR="00AB606B">
        <w:rPr>
          <w:szCs w:val="24"/>
        </w:rPr>
        <w:t>p</w:t>
      </w:r>
      <w:r w:rsidR="00C6204E" w:rsidRPr="00DB682C">
        <w:rPr>
          <w:szCs w:val="24"/>
        </w:rPr>
        <w:t>roperty</w:t>
      </w:r>
      <w:r w:rsidR="00C6204E">
        <w:rPr>
          <w:szCs w:val="24"/>
        </w:rPr>
        <w:t xml:space="preserve">.  </w:t>
      </w:r>
      <w:r w:rsidR="00AB606B">
        <w:rPr>
          <w:szCs w:val="24"/>
        </w:rPr>
        <w:t>“</w:t>
      </w:r>
      <w:r w:rsidR="00C6204E">
        <w:rPr>
          <w:szCs w:val="24"/>
        </w:rPr>
        <w:t>Property</w:t>
      </w:r>
      <w:r w:rsidR="00AB606B">
        <w:rPr>
          <w:szCs w:val="24"/>
        </w:rPr>
        <w:t>”</w:t>
      </w:r>
      <w:r w:rsidR="00C6204E">
        <w:rPr>
          <w:szCs w:val="24"/>
        </w:rPr>
        <w:t xml:space="preserve"> had been defined in the orders </w:t>
      </w:r>
      <w:r w:rsidR="00C6204E" w:rsidRPr="00DB682C">
        <w:rPr>
          <w:szCs w:val="24"/>
        </w:rPr>
        <w:t>as including any property for which it was not the sole beneficial owner</w:t>
      </w:r>
      <w:r w:rsidR="00C6204E">
        <w:rPr>
          <w:szCs w:val="24"/>
        </w:rPr>
        <w:t>.</w:t>
      </w:r>
    </w:p>
    <w:p w14:paraId="5088011D" w14:textId="76B427C3" w:rsidR="00C6204E" w:rsidRDefault="00C75A12" w:rsidP="00C75A12">
      <w:pPr>
        <w:pStyle w:val="ParaNumbering"/>
        <w:numPr>
          <w:ilvl w:val="0"/>
          <w:numId w:val="0"/>
        </w:numPr>
        <w:ind w:hanging="720"/>
        <w:rPr>
          <w:szCs w:val="24"/>
        </w:rPr>
      </w:pPr>
      <w:r>
        <w:rPr>
          <w:sz w:val="20"/>
          <w:szCs w:val="24"/>
        </w:rPr>
        <w:t>19</w:t>
      </w:r>
      <w:r>
        <w:rPr>
          <w:sz w:val="20"/>
          <w:szCs w:val="24"/>
        </w:rPr>
        <w:tab/>
      </w:r>
      <w:r w:rsidR="00C6204E">
        <w:rPr>
          <w:szCs w:val="24"/>
        </w:rPr>
        <w:t>The Investigative Accountants filed the IA Report with the Court on 8 December 202</w:t>
      </w:r>
      <w:r w:rsidR="009F052A">
        <w:rPr>
          <w:szCs w:val="24"/>
        </w:rPr>
        <w:t>3</w:t>
      </w:r>
      <w:r w:rsidR="00C6204E">
        <w:rPr>
          <w:szCs w:val="24"/>
        </w:rPr>
        <w:t>.</w:t>
      </w:r>
    </w:p>
    <w:p w14:paraId="6082C517" w14:textId="34E600A9" w:rsidR="00C6204E" w:rsidRDefault="00C75A12" w:rsidP="00C75A12">
      <w:pPr>
        <w:pStyle w:val="ParaNumbering"/>
        <w:numPr>
          <w:ilvl w:val="0"/>
          <w:numId w:val="0"/>
        </w:numPr>
        <w:ind w:hanging="720"/>
      </w:pPr>
      <w:r>
        <w:rPr>
          <w:sz w:val="20"/>
        </w:rPr>
        <w:t>20</w:t>
      </w:r>
      <w:r>
        <w:rPr>
          <w:sz w:val="20"/>
        </w:rPr>
        <w:tab/>
      </w:r>
      <w:r w:rsidR="00C6204E" w:rsidRPr="00A44947">
        <w:rPr>
          <w:szCs w:val="24"/>
        </w:rPr>
        <w:t>The IA Report revealed a number of significant concerns, including</w:t>
      </w:r>
      <w:r w:rsidR="009F052A">
        <w:rPr>
          <w:szCs w:val="24"/>
        </w:rPr>
        <w:t xml:space="preserve"> not only</w:t>
      </w:r>
      <w:r w:rsidR="00C6204E" w:rsidRPr="00A44947">
        <w:rPr>
          <w:szCs w:val="24"/>
        </w:rPr>
        <w:t xml:space="preserve"> that </w:t>
      </w:r>
      <w:r w:rsidR="00717D6B">
        <w:rPr>
          <w:szCs w:val="24"/>
        </w:rPr>
        <w:t>as from</w:t>
      </w:r>
      <w:r w:rsidR="00C6204E" w:rsidRPr="00A44947">
        <w:rPr>
          <w:szCs w:val="24"/>
        </w:rPr>
        <w:t xml:space="preserve"> June 2023</w:t>
      </w:r>
      <w:r w:rsidR="00A73F22">
        <w:rPr>
          <w:szCs w:val="24"/>
        </w:rPr>
        <w:t xml:space="preserve"> </w:t>
      </w:r>
      <w:r w:rsidR="00C6204E" w:rsidRPr="00A44947">
        <w:rPr>
          <w:szCs w:val="24"/>
        </w:rPr>
        <w:t xml:space="preserve">Brite had transferred approximately AUD $129 million </w:t>
      </w:r>
      <w:r w:rsidR="00FC111E">
        <w:rPr>
          <w:szCs w:val="24"/>
        </w:rPr>
        <w:t xml:space="preserve">of beneficiary funds </w:t>
      </w:r>
      <w:r w:rsidR="00C6204E" w:rsidRPr="00A44947">
        <w:rPr>
          <w:szCs w:val="24"/>
        </w:rPr>
        <w:t>to Brite Hong Kon</w:t>
      </w:r>
      <w:r w:rsidR="00AF5E30" w:rsidRPr="00A44947">
        <w:rPr>
          <w:szCs w:val="24"/>
        </w:rPr>
        <w:t>g</w:t>
      </w:r>
      <w:r w:rsidR="007C3E48">
        <w:rPr>
          <w:szCs w:val="24"/>
        </w:rPr>
        <w:t xml:space="preserve"> but also that </w:t>
      </w:r>
      <w:r w:rsidR="00C6204E">
        <w:t>Brite was unable to account for USD</w:t>
      </w:r>
      <w:r w:rsidR="00AF5E30">
        <w:t xml:space="preserve"> </w:t>
      </w:r>
      <w:r w:rsidR="00C6204E">
        <w:t>$69 million of th</w:t>
      </w:r>
      <w:r w:rsidR="00FC111E">
        <w:t>ose</w:t>
      </w:r>
      <w:r w:rsidR="00C6204E">
        <w:t xml:space="preserve"> funds</w:t>
      </w:r>
      <w:r w:rsidR="00FC111E">
        <w:t>.</w:t>
      </w:r>
    </w:p>
    <w:p w14:paraId="13CFDB2D" w14:textId="59CD5295" w:rsidR="00C6204E" w:rsidRDefault="00C75A12" w:rsidP="00C75A12">
      <w:pPr>
        <w:pStyle w:val="ParaNumbering"/>
        <w:numPr>
          <w:ilvl w:val="0"/>
          <w:numId w:val="0"/>
        </w:numPr>
        <w:ind w:hanging="720"/>
        <w:rPr>
          <w:szCs w:val="24"/>
        </w:rPr>
      </w:pPr>
      <w:r>
        <w:rPr>
          <w:sz w:val="20"/>
          <w:szCs w:val="24"/>
        </w:rPr>
        <w:t>21</w:t>
      </w:r>
      <w:r>
        <w:rPr>
          <w:sz w:val="20"/>
          <w:szCs w:val="24"/>
        </w:rPr>
        <w:tab/>
      </w:r>
      <w:r w:rsidR="00C6204E">
        <w:rPr>
          <w:szCs w:val="24"/>
        </w:rPr>
        <w:t>The IA Report also reported that the Investigative Accountants had great difficulty in obtaining books and records from Brite and that the lack of information hampered their ability to make the required investigations.</w:t>
      </w:r>
    </w:p>
    <w:p w14:paraId="2817FC54" w14:textId="574A55E0" w:rsidR="00C6204E" w:rsidRPr="00A62619" w:rsidRDefault="00C75A12" w:rsidP="00C75A12">
      <w:pPr>
        <w:pStyle w:val="ParaNumbering"/>
        <w:numPr>
          <w:ilvl w:val="0"/>
          <w:numId w:val="0"/>
        </w:numPr>
        <w:ind w:hanging="720"/>
      </w:pPr>
      <w:r w:rsidRPr="00A62619">
        <w:rPr>
          <w:sz w:val="20"/>
        </w:rPr>
        <w:t>22</w:t>
      </w:r>
      <w:r w:rsidRPr="00A62619">
        <w:rPr>
          <w:sz w:val="20"/>
        </w:rPr>
        <w:tab/>
      </w:r>
      <w:r w:rsidR="00C6204E">
        <w:t>The Investigative Accountants expressed concerns about Brite’s solvency but were unable to give a conclusive answer to the question of whether Brite was solvent because of the lack of books and records provided.</w:t>
      </w:r>
    </w:p>
    <w:p w14:paraId="3B37F816" w14:textId="4F9D0EB7" w:rsidR="00C6204E" w:rsidRDefault="00C75A12" w:rsidP="00C75A12">
      <w:pPr>
        <w:pStyle w:val="ParaNumbering"/>
        <w:numPr>
          <w:ilvl w:val="0"/>
          <w:numId w:val="0"/>
        </w:numPr>
        <w:ind w:hanging="720"/>
        <w:rPr>
          <w:szCs w:val="24"/>
        </w:rPr>
      </w:pPr>
      <w:r>
        <w:rPr>
          <w:sz w:val="20"/>
          <w:szCs w:val="24"/>
        </w:rPr>
        <w:t>23</w:t>
      </w:r>
      <w:r>
        <w:rPr>
          <w:sz w:val="20"/>
          <w:szCs w:val="24"/>
        </w:rPr>
        <w:tab/>
      </w:r>
      <w:r w:rsidR="00C6204E">
        <w:t xml:space="preserve">On 13 December 2023, at the conclusion of a three-day hearing as to whether </w:t>
      </w:r>
      <w:r w:rsidR="007C3E48">
        <w:t>R</w:t>
      </w:r>
      <w:r w:rsidR="00C6204E">
        <w:t xml:space="preserve">eceivers and </w:t>
      </w:r>
      <w:r w:rsidR="007C3E48">
        <w:t>M</w:t>
      </w:r>
      <w:r w:rsidR="00C6204E">
        <w:t>anagers should be appointed to Brite, the Court</w:t>
      </w:r>
      <w:r w:rsidR="00FC111E">
        <w:t xml:space="preserve"> made orders appointing </w:t>
      </w:r>
      <w:r w:rsidR="00C6204E" w:rsidRPr="006859D5">
        <w:rPr>
          <w:szCs w:val="24"/>
        </w:rPr>
        <w:t>Ms Smith and Mr</w:t>
      </w:r>
      <w:r w:rsidR="002E5728">
        <w:rPr>
          <w:szCs w:val="24"/>
        </w:rPr>
        <w:t> </w:t>
      </w:r>
      <w:r w:rsidR="00C6204E" w:rsidRPr="006859D5">
        <w:rPr>
          <w:szCs w:val="24"/>
        </w:rPr>
        <w:t>Kirman as</w:t>
      </w:r>
      <w:r w:rsidR="00C6204E">
        <w:rPr>
          <w:szCs w:val="24"/>
        </w:rPr>
        <w:t xml:space="preserve"> Receivers and Managers </w:t>
      </w:r>
      <w:r w:rsidR="00694C04">
        <w:rPr>
          <w:szCs w:val="24"/>
        </w:rPr>
        <w:t xml:space="preserve">for </w:t>
      </w:r>
      <w:r w:rsidR="00C6204E" w:rsidRPr="006859D5">
        <w:rPr>
          <w:szCs w:val="24"/>
        </w:rPr>
        <w:t>the purposes of, amongst other things, identifying</w:t>
      </w:r>
      <w:r w:rsidR="00C6204E">
        <w:rPr>
          <w:szCs w:val="24"/>
        </w:rPr>
        <w:t>,</w:t>
      </w:r>
      <w:r w:rsidR="00C6204E" w:rsidRPr="006859D5">
        <w:rPr>
          <w:szCs w:val="24"/>
        </w:rPr>
        <w:t xml:space="preserve"> collecting and securing </w:t>
      </w:r>
      <w:r w:rsidR="006D617C">
        <w:rPr>
          <w:szCs w:val="24"/>
        </w:rPr>
        <w:t>Brite’s</w:t>
      </w:r>
      <w:r w:rsidR="00C6204E" w:rsidRPr="006859D5">
        <w:rPr>
          <w:szCs w:val="24"/>
        </w:rPr>
        <w:t xml:space="preserve"> Property </w:t>
      </w:r>
      <w:r w:rsidR="001302DE">
        <w:rPr>
          <w:szCs w:val="24"/>
        </w:rPr>
        <w:t xml:space="preserve">(as </w:t>
      </w:r>
      <w:r w:rsidR="006D617C">
        <w:rPr>
          <w:szCs w:val="24"/>
        </w:rPr>
        <w:t xml:space="preserve">that term is </w:t>
      </w:r>
      <w:r w:rsidR="001302DE">
        <w:rPr>
          <w:szCs w:val="24"/>
        </w:rPr>
        <w:t xml:space="preserve">defined in </w:t>
      </w:r>
      <w:r w:rsidR="006D617C">
        <w:rPr>
          <w:szCs w:val="24"/>
        </w:rPr>
        <w:t>the</w:t>
      </w:r>
      <w:r w:rsidR="001302DE">
        <w:rPr>
          <w:szCs w:val="24"/>
        </w:rPr>
        <w:t xml:space="preserve"> orders)</w:t>
      </w:r>
      <w:r w:rsidR="00C6204E">
        <w:rPr>
          <w:szCs w:val="24"/>
        </w:rPr>
        <w:t>.</w:t>
      </w:r>
    </w:p>
    <w:p w14:paraId="6D352819" w14:textId="0D4C9FD9" w:rsidR="00C6204E" w:rsidRDefault="00C75A12" w:rsidP="00C75A12">
      <w:pPr>
        <w:pStyle w:val="ParaNumbering"/>
        <w:numPr>
          <w:ilvl w:val="0"/>
          <w:numId w:val="0"/>
        </w:numPr>
        <w:ind w:hanging="720"/>
        <w:rPr>
          <w:szCs w:val="24"/>
        </w:rPr>
      </w:pPr>
      <w:r>
        <w:rPr>
          <w:sz w:val="20"/>
          <w:szCs w:val="24"/>
        </w:rPr>
        <w:lastRenderedPageBreak/>
        <w:t>24</w:t>
      </w:r>
      <w:r>
        <w:rPr>
          <w:sz w:val="20"/>
          <w:szCs w:val="24"/>
        </w:rPr>
        <w:tab/>
      </w:r>
      <w:r w:rsidR="00C6204E">
        <w:rPr>
          <w:szCs w:val="24"/>
        </w:rPr>
        <w:t>The Receivers and Managers were ordered to file a report with the Court by 24 January 2024 (</w:t>
      </w:r>
      <w:r w:rsidR="00C6204E">
        <w:rPr>
          <w:b/>
          <w:bCs/>
          <w:szCs w:val="24"/>
        </w:rPr>
        <w:t xml:space="preserve">Receivers’ </w:t>
      </w:r>
      <w:r w:rsidR="00C6204E" w:rsidRPr="007A735F">
        <w:rPr>
          <w:b/>
          <w:bCs/>
          <w:szCs w:val="24"/>
        </w:rPr>
        <w:t>Report</w:t>
      </w:r>
      <w:r w:rsidR="00C6204E">
        <w:rPr>
          <w:szCs w:val="24"/>
        </w:rPr>
        <w:t>).</w:t>
      </w:r>
    </w:p>
    <w:p w14:paraId="2B504B8F" w14:textId="4B22B37D" w:rsidR="00C6204E" w:rsidRPr="00DE3430" w:rsidRDefault="00C75A12" w:rsidP="00C75A12">
      <w:pPr>
        <w:pStyle w:val="ParaNumbering"/>
        <w:numPr>
          <w:ilvl w:val="0"/>
          <w:numId w:val="0"/>
        </w:numPr>
        <w:ind w:hanging="720"/>
        <w:rPr>
          <w:szCs w:val="24"/>
        </w:rPr>
      </w:pPr>
      <w:r w:rsidRPr="00DE3430">
        <w:rPr>
          <w:sz w:val="20"/>
          <w:szCs w:val="24"/>
        </w:rPr>
        <w:t>25</w:t>
      </w:r>
      <w:r w:rsidRPr="00DE3430">
        <w:rPr>
          <w:sz w:val="20"/>
          <w:szCs w:val="24"/>
        </w:rPr>
        <w:tab/>
      </w:r>
      <w:r w:rsidR="00C6204E" w:rsidRPr="00A46C73">
        <w:rPr>
          <w:szCs w:val="24"/>
        </w:rPr>
        <w:t>On 21 December 2023, on the application of ASIC and the</w:t>
      </w:r>
      <w:r w:rsidR="00C6204E">
        <w:rPr>
          <w:szCs w:val="24"/>
        </w:rPr>
        <w:t xml:space="preserve"> Receivers and Managers</w:t>
      </w:r>
      <w:r w:rsidR="00C6204E" w:rsidRPr="00A46C73">
        <w:rPr>
          <w:szCs w:val="24"/>
        </w:rPr>
        <w:t xml:space="preserve">, the </w:t>
      </w:r>
      <w:r w:rsidR="0017470A">
        <w:rPr>
          <w:szCs w:val="24"/>
        </w:rPr>
        <w:t>Director</w:t>
      </w:r>
      <w:r w:rsidR="00C6204E" w:rsidRPr="00A46C73">
        <w:rPr>
          <w:szCs w:val="24"/>
        </w:rPr>
        <w:t>s of Brite</w:t>
      </w:r>
      <w:r w:rsidR="00C6204E">
        <w:rPr>
          <w:szCs w:val="24"/>
        </w:rPr>
        <w:t xml:space="preserve"> </w:t>
      </w:r>
      <w:r w:rsidR="00C6204E" w:rsidRPr="00A46C73">
        <w:rPr>
          <w:szCs w:val="24"/>
        </w:rPr>
        <w:t>were directed to deliver up immediately to the</w:t>
      </w:r>
      <w:r w:rsidR="00C6204E">
        <w:rPr>
          <w:szCs w:val="24"/>
        </w:rPr>
        <w:t xml:space="preserve"> Receivers </w:t>
      </w:r>
      <w:r w:rsidR="00C6204E" w:rsidRPr="00A46C73">
        <w:rPr>
          <w:szCs w:val="24"/>
        </w:rPr>
        <w:t xml:space="preserve">and </w:t>
      </w:r>
      <w:r w:rsidR="00C6204E">
        <w:rPr>
          <w:szCs w:val="24"/>
        </w:rPr>
        <w:t xml:space="preserve">Managers Brite’s books and records </w:t>
      </w:r>
      <w:r w:rsidR="00C6204E" w:rsidRPr="00A46C73">
        <w:rPr>
          <w:szCs w:val="24"/>
        </w:rPr>
        <w:t xml:space="preserve">to allow them to do their task.  Those orders required the </w:t>
      </w:r>
      <w:r w:rsidR="0017470A">
        <w:rPr>
          <w:szCs w:val="24"/>
        </w:rPr>
        <w:t>Director</w:t>
      </w:r>
      <w:r w:rsidR="00C6204E" w:rsidRPr="00A46C73">
        <w:rPr>
          <w:szCs w:val="24"/>
        </w:rPr>
        <w:t>s of Brite</w:t>
      </w:r>
      <w:r w:rsidR="00C6204E">
        <w:rPr>
          <w:szCs w:val="24"/>
        </w:rPr>
        <w:t xml:space="preserve"> to direct various individuals within the Brite Group, including Mr Donnelly</w:t>
      </w:r>
      <w:r w:rsidR="00295785">
        <w:rPr>
          <w:szCs w:val="24"/>
        </w:rPr>
        <w:t>,</w:t>
      </w:r>
      <w:r w:rsidR="00C6204E">
        <w:rPr>
          <w:szCs w:val="24"/>
        </w:rPr>
        <w:t xml:space="preserve"> </w:t>
      </w:r>
      <w:r w:rsidR="00C6204E" w:rsidRPr="00A46C73">
        <w:rPr>
          <w:szCs w:val="24"/>
        </w:rPr>
        <w:t>to provide information relating to the</w:t>
      </w:r>
      <w:r w:rsidR="006D617C">
        <w:rPr>
          <w:szCs w:val="24"/>
        </w:rPr>
        <w:t xml:space="preserve"> beneficiaries’</w:t>
      </w:r>
      <w:r w:rsidR="00C6204E">
        <w:rPr>
          <w:szCs w:val="24"/>
        </w:rPr>
        <w:t xml:space="preserve"> assets </w:t>
      </w:r>
      <w:r w:rsidR="00C6204E" w:rsidRPr="00A46C73">
        <w:rPr>
          <w:szCs w:val="24"/>
        </w:rPr>
        <w:t>under management to the</w:t>
      </w:r>
      <w:r w:rsidR="00C6204E">
        <w:rPr>
          <w:szCs w:val="24"/>
        </w:rPr>
        <w:t xml:space="preserve"> Receivers and Managers.</w:t>
      </w:r>
    </w:p>
    <w:p w14:paraId="46A1FDF5" w14:textId="0F6C5C6E" w:rsidR="00C6204E" w:rsidRDefault="00C75A12" w:rsidP="00C75A12">
      <w:pPr>
        <w:pStyle w:val="ParaNumbering"/>
        <w:numPr>
          <w:ilvl w:val="0"/>
          <w:numId w:val="0"/>
        </w:numPr>
        <w:ind w:hanging="720"/>
      </w:pPr>
      <w:r>
        <w:rPr>
          <w:sz w:val="20"/>
        </w:rPr>
        <w:t>26</w:t>
      </w:r>
      <w:r>
        <w:rPr>
          <w:sz w:val="20"/>
        </w:rPr>
        <w:tab/>
      </w:r>
      <w:r w:rsidR="00C6204E">
        <w:t>The Receivers and Managers filed the Receivers’ Report on 24 January 2024</w:t>
      </w:r>
      <w:r w:rsidR="00EE55A2">
        <w:t>.</w:t>
      </w:r>
    </w:p>
    <w:p w14:paraId="28FCD454" w14:textId="77777777" w:rsidR="00C6204E" w:rsidRDefault="00C6204E" w:rsidP="00C6204E">
      <w:pPr>
        <w:pStyle w:val="Heading2"/>
      </w:pPr>
      <w:r>
        <w:t xml:space="preserve">Legislation </w:t>
      </w:r>
    </w:p>
    <w:p w14:paraId="066A7542" w14:textId="4B6C28F7" w:rsidR="00C6204E" w:rsidRDefault="00C75A12" w:rsidP="00C75A12">
      <w:pPr>
        <w:pStyle w:val="ParaNumbering"/>
        <w:numPr>
          <w:ilvl w:val="0"/>
          <w:numId w:val="0"/>
        </w:numPr>
        <w:tabs>
          <w:tab w:val="left" w:pos="720"/>
        </w:tabs>
        <w:ind w:hanging="720"/>
      </w:pPr>
      <w:r>
        <w:rPr>
          <w:sz w:val="20"/>
        </w:rPr>
        <w:t>27</w:t>
      </w:r>
      <w:r>
        <w:rPr>
          <w:sz w:val="20"/>
        </w:rPr>
        <w:tab/>
      </w:r>
      <w:r w:rsidR="00C6204E">
        <w:t>Section 461</w:t>
      </w:r>
      <w:r w:rsidR="00620AC0">
        <w:t>(1)(k)</w:t>
      </w:r>
      <w:r w:rsidR="00C6204E">
        <w:t xml:space="preserve"> of the Act provides</w:t>
      </w:r>
      <w:r w:rsidR="006D617C">
        <w:t xml:space="preserve"> in part</w:t>
      </w:r>
      <w:r w:rsidR="00C6204E">
        <w:t>:</w:t>
      </w:r>
    </w:p>
    <w:p w14:paraId="3D21172E" w14:textId="77777777" w:rsidR="00C6204E" w:rsidRDefault="00C6204E" w:rsidP="00C6204E">
      <w:pPr>
        <w:pStyle w:val="Quote1"/>
      </w:pPr>
      <w:r>
        <w:t>(1)</w:t>
      </w:r>
      <w:r>
        <w:tab/>
        <w:t>The Court may order the winding up of a company if:</w:t>
      </w:r>
    </w:p>
    <w:p w14:paraId="39830E03" w14:textId="77777777" w:rsidR="00C6204E" w:rsidRDefault="00C6204E" w:rsidP="00CB6E7B">
      <w:pPr>
        <w:pStyle w:val="Quote2"/>
        <w:ind w:left="2160" w:hanging="720"/>
      </w:pPr>
      <w:r>
        <w:t>…</w:t>
      </w:r>
    </w:p>
    <w:p w14:paraId="070536DC" w14:textId="77777777" w:rsidR="00C6204E" w:rsidRDefault="00C6204E" w:rsidP="00CB6E7B">
      <w:pPr>
        <w:pStyle w:val="Quote2"/>
        <w:ind w:left="2160" w:hanging="720"/>
      </w:pPr>
      <w:r>
        <w:t>(k)</w:t>
      </w:r>
      <w:r>
        <w:tab/>
        <w:t>the Court is of opinion that it is just and equitable that the company be wound up.</w:t>
      </w:r>
    </w:p>
    <w:p w14:paraId="6974CF6E" w14:textId="34841D7E" w:rsidR="00C6204E" w:rsidRDefault="00C75A12" w:rsidP="00C75A12">
      <w:pPr>
        <w:pStyle w:val="ParaNumbering"/>
        <w:numPr>
          <w:ilvl w:val="0"/>
          <w:numId w:val="0"/>
        </w:numPr>
        <w:tabs>
          <w:tab w:val="left" w:pos="720"/>
        </w:tabs>
        <w:ind w:hanging="720"/>
      </w:pPr>
      <w:r>
        <w:rPr>
          <w:sz w:val="20"/>
        </w:rPr>
        <w:t>28</w:t>
      </w:r>
      <w:r>
        <w:rPr>
          <w:sz w:val="20"/>
        </w:rPr>
        <w:tab/>
      </w:r>
      <w:r w:rsidR="00C6204E">
        <w:t>Section 462 of the Act provides</w:t>
      </w:r>
      <w:r w:rsidR="006D617C">
        <w:t xml:space="preserve"> in part</w:t>
      </w:r>
      <w:r w:rsidR="00C6204E">
        <w:t>:</w:t>
      </w:r>
    </w:p>
    <w:p w14:paraId="41469A2F" w14:textId="77777777" w:rsidR="00C6204E" w:rsidRDefault="00C6204E" w:rsidP="002569BB">
      <w:pPr>
        <w:pStyle w:val="Quote1"/>
        <w:ind w:left="1440" w:hanging="703"/>
      </w:pPr>
      <w:r>
        <w:t>(1)</w:t>
      </w:r>
      <w:r>
        <w:tab/>
        <w:t>A reference in this section to an order to wind up a company is a reference to an order to wind up the company on a ground provided for by section 461.</w:t>
      </w:r>
    </w:p>
    <w:p w14:paraId="4C95D424" w14:textId="77777777" w:rsidR="00C6204E" w:rsidRDefault="00C6204E" w:rsidP="002569BB">
      <w:pPr>
        <w:pStyle w:val="Quote1"/>
        <w:ind w:left="1440" w:hanging="703"/>
      </w:pPr>
      <w:r>
        <w:t>(2)</w:t>
      </w:r>
      <w:r>
        <w:tab/>
        <w:t>Subject to this section, any one or more of the following may apply for an order to wind up a company:</w:t>
      </w:r>
    </w:p>
    <w:p w14:paraId="3D21C916" w14:textId="375DD7B1" w:rsidR="00C6204E" w:rsidRDefault="00580CEC" w:rsidP="00CB6E7B">
      <w:pPr>
        <w:pStyle w:val="Quote2"/>
        <w:ind w:left="2160" w:hanging="720"/>
      </w:pPr>
      <w:r>
        <w:t>…</w:t>
      </w:r>
    </w:p>
    <w:p w14:paraId="542C1819" w14:textId="03D6F69F" w:rsidR="00C6204E" w:rsidRDefault="00C6204E" w:rsidP="00CB6E7B">
      <w:pPr>
        <w:pStyle w:val="Quote2"/>
        <w:ind w:left="2160" w:hanging="720"/>
      </w:pPr>
      <w:r>
        <w:t>(e)</w:t>
      </w:r>
      <w:r>
        <w:tab/>
        <w:t>ASIC pursuant to section 464</w:t>
      </w:r>
      <w:r w:rsidR="00580CEC">
        <w:t>.</w:t>
      </w:r>
    </w:p>
    <w:p w14:paraId="2EE59FFA" w14:textId="38B9371D" w:rsidR="00C6204E" w:rsidRDefault="00C75A12" w:rsidP="00C75A12">
      <w:pPr>
        <w:pStyle w:val="ParaNumbering"/>
        <w:numPr>
          <w:ilvl w:val="0"/>
          <w:numId w:val="0"/>
        </w:numPr>
        <w:tabs>
          <w:tab w:val="left" w:pos="720"/>
        </w:tabs>
        <w:ind w:hanging="720"/>
      </w:pPr>
      <w:r>
        <w:rPr>
          <w:sz w:val="20"/>
        </w:rPr>
        <w:t>29</w:t>
      </w:r>
      <w:r>
        <w:rPr>
          <w:sz w:val="20"/>
        </w:rPr>
        <w:tab/>
      </w:r>
      <w:r w:rsidR="00C6204E">
        <w:t>Section 464 of the Act provides:</w:t>
      </w:r>
    </w:p>
    <w:p w14:paraId="3A36F3BE" w14:textId="7DD40032" w:rsidR="00C6204E" w:rsidRDefault="00C6204E" w:rsidP="00C6204E">
      <w:pPr>
        <w:pStyle w:val="Quote1"/>
        <w:ind w:left="1437" w:hanging="640"/>
      </w:pPr>
      <w:r>
        <w:t>(1)</w:t>
      </w:r>
      <w:r>
        <w:tab/>
        <w:t>Where ASIC is investigating, or has investigated, under Division 1 of Part 3 of the ASIC Act:</w:t>
      </w:r>
    </w:p>
    <w:p w14:paraId="69318328" w14:textId="77777777" w:rsidR="00C6204E" w:rsidRDefault="00C6204E" w:rsidP="002569BB">
      <w:pPr>
        <w:pStyle w:val="Quote2"/>
      </w:pPr>
      <w:r>
        <w:t>(a)</w:t>
      </w:r>
      <w:r>
        <w:tab/>
        <w:t>matters being, or connected with, affairs of a company; or</w:t>
      </w:r>
    </w:p>
    <w:p w14:paraId="2B818C25" w14:textId="77777777" w:rsidR="00C6204E" w:rsidRDefault="00C6204E" w:rsidP="002569BB">
      <w:pPr>
        <w:pStyle w:val="Quote2"/>
      </w:pPr>
      <w:r>
        <w:t>(b)</w:t>
      </w:r>
      <w:r>
        <w:tab/>
        <w:t xml:space="preserve">matters including such matters; </w:t>
      </w:r>
    </w:p>
    <w:p w14:paraId="23EA2F86" w14:textId="77777777" w:rsidR="00C6204E" w:rsidRDefault="00C6204E" w:rsidP="00C6204E">
      <w:pPr>
        <w:pStyle w:val="Quote1"/>
        <w:ind w:left="1437"/>
      </w:pPr>
      <w:r>
        <w:t>ASIC may apply to the Court for the winding up of the company.</w:t>
      </w:r>
    </w:p>
    <w:p w14:paraId="6A2DF77A" w14:textId="77777777" w:rsidR="00C6204E" w:rsidRDefault="00C6204E" w:rsidP="00C6204E">
      <w:pPr>
        <w:pStyle w:val="Quote1"/>
        <w:ind w:left="1437" w:hanging="640"/>
      </w:pPr>
      <w:r>
        <w:t>(2)</w:t>
      </w:r>
      <w:r>
        <w:tab/>
        <w:t>For the purposes of an application under subsection (1), this Act applies, with such modifications as the circumstances require, as if a winding up application had been made by the company.</w:t>
      </w:r>
    </w:p>
    <w:p w14:paraId="007BEE52" w14:textId="77777777" w:rsidR="00C6204E" w:rsidRDefault="00C6204E" w:rsidP="00C6204E">
      <w:pPr>
        <w:pStyle w:val="Quote1"/>
        <w:ind w:left="1437" w:hanging="640"/>
      </w:pPr>
      <w:r>
        <w:t>(3)</w:t>
      </w:r>
      <w:r>
        <w:tab/>
        <w:t>ASIC must give a copy of an application made under subsection (1) to the company.</w:t>
      </w:r>
    </w:p>
    <w:p w14:paraId="2D7281F4" w14:textId="3920C1D7" w:rsidR="00C6204E" w:rsidRDefault="00C75A12" w:rsidP="00C75A12">
      <w:pPr>
        <w:pStyle w:val="ParaNumbering"/>
        <w:numPr>
          <w:ilvl w:val="0"/>
          <w:numId w:val="0"/>
        </w:numPr>
        <w:ind w:hanging="720"/>
      </w:pPr>
      <w:r>
        <w:rPr>
          <w:sz w:val="20"/>
        </w:rPr>
        <w:lastRenderedPageBreak/>
        <w:t>30</w:t>
      </w:r>
      <w:r>
        <w:rPr>
          <w:sz w:val="20"/>
        </w:rPr>
        <w:tab/>
      </w:r>
      <w:r w:rsidR="00C6204E">
        <w:t>Section 472</w:t>
      </w:r>
      <w:r w:rsidR="006D406C">
        <w:t>(1)</w:t>
      </w:r>
      <w:r w:rsidR="00C6204E">
        <w:t xml:space="preserve"> of the Act provides:</w:t>
      </w:r>
    </w:p>
    <w:p w14:paraId="1CF03008" w14:textId="77777777" w:rsidR="00C6204E" w:rsidRDefault="00C6204E" w:rsidP="00C6204E">
      <w:pPr>
        <w:pStyle w:val="Quote1"/>
        <w:ind w:left="1437" w:hanging="640"/>
        <w:rPr>
          <w:color w:val="000000"/>
          <w:szCs w:val="22"/>
        </w:rPr>
      </w:pPr>
      <w:r>
        <w:rPr>
          <w:color w:val="000000"/>
          <w:szCs w:val="22"/>
        </w:rPr>
        <w:t>(1)</w:t>
      </w:r>
      <w:r>
        <w:rPr>
          <w:color w:val="000000"/>
          <w:szCs w:val="22"/>
        </w:rPr>
        <w:tab/>
        <w:t>On an order being made for the winding up of a company, the Court may appoint a registered liquidator to be liquidator of the company.</w:t>
      </w:r>
    </w:p>
    <w:p w14:paraId="456F5F56" w14:textId="144EDD9C" w:rsidR="00C6204E" w:rsidRDefault="00C6204E" w:rsidP="00C6204E">
      <w:pPr>
        <w:pStyle w:val="Heading3"/>
      </w:pPr>
      <w:r>
        <w:t xml:space="preserve">Winding </w:t>
      </w:r>
      <w:r w:rsidR="007C6B87">
        <w:t>u</w:t>
      </w:r>
      <w:r>
        <w:t xml:space="preserve">p on </w:t>
      </w:r>
      <w:r w:rsidR="007C6B87">
        <w:t>j</w:t>
      </w:r>
      <w:r>
        <w:t xml:space="preserve">ust and </w:t>
      </w:r>
      <w:r w:rsidR="007C6B87">
        <w:t>e</w:t>
      </w:r>
      <w:r>
        <w:t xml:space="preserve">quitable </w:t>
      </w:r>
      <w:r w:rsidR="007C6B87">
        <w:t>g</w:t>
      </w:r>
      <w:r>
        <w:t>rounds</w:t>
      </w:r>
    </w:p>
    <w:p w14:paraId="37D73BF9" w14:textId="520C3381" w:rsidR="00F877F3" w:rsidRDefault="00C75A12" w:rsidP="00C75A12">
      <w:pPr>
        <w:pStyle w:val="ParaNumbering"/>
        <w:numPr>
          <w:ilvl w:val="0"/>
          <w:numId w:val="0"/>
        </w:numPr>
        <w:ind w:hanging="720"/>
      </w:pPr>
      <w:r>
        <w:rPr>
          <w:sz w:val="20"/>
        </w:rPr>
        <w:t>31</w:t>
      </w:r>
      <w:r>
        <w:rPr>
          <w:sz w:val="20"/>
        </w:rPr>
        <w:tab/>
      </w:r>
      <w:r w:rsidR="00AF4E35">
        <w:t>There is no issue that ASIC has standing to apply for an order that Brite be wound up</w:t>
      </w:r>
      <w:r w:rsidR="00D66EB8">
        <w:t xml:space="preserve"> pursuant to s</w:t>
      </w:r>
      <w:r w:rsidR="007C6B87">
        <w:t>s</w:t>
      </w:r>
      <w:r w:rsidR="00D66EB8">
        <w:t xml:space="preserve"> 462(2) and 464(1) of the Act</w:t>
      </w:r>
      <w:r w:rsidR="00AF4E35">
        <w:t xml:space="preserve"> and that a copy of the application has been served on Brite</w:t>
      </w:r>
      <w:r w:rsidR="008A690A">
        <w:t>:  s 464(3)</w:t>
      </w:r>
      <w:r w:rsidR="00D51953">
        <w:t>.  The Directors have also been served.</w:t>
      </w:r>
    </w:p>
    <w:p w14:paraId="5CA93FD1" w14:textId="38989EAD" w:rsidR="00C6204E" w:rsidRDefault="00C75A12" w:rsidP="00C75A12">
      <w:pPr>
        <w:pStyle w:val="ParaNumbering"/>
        <w:numPr>
          <w:ilvl w:val="0"/>
          <w:numId w:val="0"/>
        </w:numPr>
        <w:ind w:hanging="720"/>
      </w:pPr>
      <w:r>
        <w:rPr>
          <w:sz w:val="20"/>
        </w:rPr>
        <w:t>32</w:t>
      </w:r>
      <w:r>
        <w:rPr>
          <w:sz w:val="20"/>
        </w:rPr>
        <w:tab/>
      </w:r>
      <w:r w:rsidR="00C6204E">
        <w:t>The principles applying to an application to wind up a company on just and equitable grounds are well</w:t>
      </w:r>
      <w:r w:rsidR="001A1F7E">
        <w:t>-</w:t>
      </w:r>
      <w:r w:rsidR="00C6204E">
        <w:t>settled.</w:t>
      </w:r>
    </w:p>
    <w:p w14:paraId="640227B7" w14:textId="4A8A5982" w:rsidR="00C6204E" w:rsidRDefault="00C75A12" w:rsidP="00C75A12">
      <w:pPr>
        <w:pStyle w:val="ParaNumbering"/>
        <w:numPr>
          <w:ilvl w:val="0"/>
          <w:numId w:val="0"/>
        </w:numPr>
        <w:tabs>
          <w:tab w:val="left" w:pos="720"/>
        </w:tabs>
        <w:ind w:hanging="720"/>
      </w:pPr>
      <w:r>
        <w:rPr>
          <w:sz w:val="20"/>
        </w:rPr>
        <w:t>33</w:t>
      </w:r>
      <w:r>
        <w:rPr>
          <w:sz w:val="20"/>
        </w:rPr>
        <w:tab/>
      </w:r>
      <w:r w:rsidR="00C6204E">
        <w:t xml:space="preserve">In </w:t>
      </w:r>
      <w:r w:rsidR="00C6204E" w:rsidRPr="00620E68">
        <w:rPr>
          <w:i/>
          <w:iCs/>
        </w:rPr>
        <w:t xml:space="preserve">Australian Securities and Investments Commission v </w:t>
      </w:r>
      <w:r w:rsidR="00C6204E" w:rsidRPr="00E6615F">
        <w:rPr>
          <w:b/>
          <w:bCs/>
          <w:i/>
          <w:iCs/>
        </w:rPr>
        <w:t xml:space="preserve">Activesuper </w:t>
      </w:r>
      <w:r w:rsidR="00C6204E" w:rsidRPr="00620E68">
        <w:rPr>
          <w:i/>
          <w:iCs/>
        </w:rPr>
        <w:t>Pty Ltd (No 2)</w:t>
      </w:r>
      <w:r w:rsidR="00C6204E">
        <w:t xml:space="preserve"> (2013) 93 ACSR 189; [2013] FCA 234</w:t>
      </w:r>
      <w:r w:rsidR="000D65D2">
        <w:t xml:space="preserve"> at [19]-[24],</w:t>
      </w:r>
      <w:r w:rsidR="00C6204E">
        <w:t xml:space="preserve"> Gordon J summarised a number of the applicable principles.</w:t>
      </w:r>
    </w:p>
    <w:p w14:paraId="41BA7BCF" w14:textId="77777777" w:rsidR="00C6204E" w:rsidRDefault="00C6204E" w:rsidP="000D65D2">
      <w:pPr>
        <w:pStyle w:val="Quote1"/>
        <w:ind w:left="1440" w:hanging="703"/>
      </w:pPr>
      <w:r>
        <w:t>19.</w:t>
      </w:r>
      <w:r>
        <w:tab/>
        <w:t xml:space="preserve">In the present case, the appointment of a provisional liquidator is sought where the term winding up is sought on the just and equitable ground under s 461(1)(k) of the Act.  There is no dispute that ASIC has standing to bring an application to wind up a company on the statutory just and equitable ground:  ss 462(2) and 464 of the Act.  The classes of conduct which justify the winding up of a company on the just and equitable ground are not closed, and each application will depend upon the circumstances of the particular case:  </w:t>
      </w:r>
      <w:r>
        <w:rPr>
          <w:i/>
        </w:rPr>
        <w:t>Ebrahimi v Westbourne Galleries Ltd</w:t>
      </w:r>
      <w:r>
        <w:t xml:space="preserve"> [1973] AC 360 at 374 and 376-379; </w:t>
      </w:r>
      <w:r>
        <w:rPr>
          <w:i/>
        </w:rPr>
        <w:t>Australian Securities and Investment Commission v Kingsley Brown Properties Pty Ltd</w:t>
      </w:r>
      <w:r>
        <w:t xml:space="preserve"> [2005] VSC 506 at [95]-[97];</w:t>
      </w:r>
      <w:r>
        <w:rPr>
          <w:i/>
        </w:rPr>
        <w:t xml:space="preserve"> Nilant v RL &amp; KW Nominees Pty Ltd</w:t>
      </w:r>
      <w:r>
        <w:t xml:space="preserve"> [2007] WASC 105 at [117].  Nevertheless, it is possible to discern some guiding principles from the authorities.</w:t>
      </w:r>
    </w:p>
    <w:p w14:paraId="2A2C965B" w14:textId="14AC1E4D" w:rsidR="00C6204E" w:rsidRDefault="000D65D2" w:rsidP="000D65D2">
      <w:pPr>
        <w:pStyle w:val="Quote1"/>
        <w:ind w:left="1440" w:hanging="703"/>
      </w:pPr>
      <w:bookmarkStart w:id="26" w:name="_Ref351378703"/>
      <w:r>
        <w:t>20.</w:t>
      </w:r>
      <w:r>
        <w:tab/>
      </w:r>
      <w:r w:rsidR="00C6204E">
        <w:t xml:space="preserve">It has long been established that a company may be wound up where there is “a justifiable </w:t>
      </w:r>
      <w:r w:rsidR="00C6204E" w:rsidRPr="00C35E82">
        <w:t>lack of confidence in the conduct and management of the company’s affairs</w:t>
      </w:r>
      <w:r w:rsidR="00C6204E">
        <w:t xml:space="preserve">” and thus a risk to the public interest that warrants protection:  </w:t>
      </w:r>
      <w:r w:rsidR="00C6204E" w:rsidRPr="00551F7F">
        <w:rPr>
          <w:i/>
        </w:rPr>
        <w:t>Loch v John Blackwood Ltd</w:t>
      </w:r>
      <w:r w:rsidR="00C6204E">
        <w:t xml:space="preserve"> [1924] AC 783 at 788.  In </w:t>
      </w:r>
      <w:r w:rsidR="00C6204E" w:rsidRPr="00551F7F">
        <w:rPr>
          <w:i/>
        </w:rPr>
        <w:t>Australian Securities and Investments Commission v ABC Fund Managers</w:t>
      </w:r>
      <w:r w:rsidR="00C6204E">
        <w:t xml:space="preserve"> (2001) 39 ACSR 443 at [119], Warren J (as her Honour then was) set out three “general fundamental principles”:</w:t>
      </w:r>
      <w:bookmarkEnd w:id="26"/>
    </w:p>
    <w:p w14:paraId="0B90F8F4" w14:textId="77777777" w:rsidR="00C6204E" w:rsidRDefault="00C6204E" w:rsidP="00B35540">
      <w:pPr>
        <w:pStyle w:val="Quote3"/>
      </w:pPr>
      <w:r>
        <w:t>First, there needs to be a lack of confidence in the conduct and management of the affairs of the company … Second, in these types of circumstances it needs to be demonstrated that there is a risk to the public interest that warrants protection.  Third, there is a reluctance on the part of the courts to wind up a solvent company.</w:t>
      </w:r>
    </w:p>
    <w:p w14:paraId="7058984D" w14:textId="0F11E774" w:rsidR="00C6204E" w:rsidRDefault="00C6204E" w:rsidP="00B35540">
      <w:pPr>
        <w:pStyle w:val="Quote3"/>
      </w:pPr>
      <w:r>
        <w:t>(Citation omitted)</w:t>
      </w:r>
    </w:p>
    <w:p w14:paraId="1A0DCF08" w14:textId="5CCBDA29" w:rsidR="00C6204E" w:rsidRPr="00294246" w:rsidRDefault="00B35540" w:rsidP="00B35540">
      <w:pPr>
        <w:pStyle w:val="Quote1"/>
        <w:ind w:left="1440" w:hanging="703"/>
      </w:pPr>
      <w:r>
        <w:t>21.</w:t>
      </w:r>
      <w:r>
        <w:tab/>
      </w:r>
      <w:r w:rsidR="00C6204E" w:rsidRPr="00294246">
        <w:t xml:space="preserve">In relation to the first, a lack of confidence may arise where, “after examining the entire conduct of the affairs of the company” the Court cannot have confidence in “the propensity of the controllers to comply with obligations, including the keeping of books, records and documents, and looking after the affairs of the company”:  </w:t>
      </w:r>
      <w:r w:rsidR="00C6204E" w:rsidRPr="00551F7F">
        <w:rPr>
          <w:i/>
        </w:rPr>
        <w:t>Galanopoulos v Moustafa</w:t>
      </w:r>
      <w:r w:rsidR="00C6204E" w:rsidRPr="00294246">
        <w:t xml:space="preserve"> [2010] VSC 380 at [32]; </w:t>
      </w:r>
      <w:r w:rsidR="00C6204E" w:rsidRPr="00294246">
        <w:lastRenderedPageBreak/>
        <w:t xml:space="preserve">see also </w:t>
      </w:r>
      <w:r w:rsidR="00C6204E" w:rsidRPr="00551F7F">
        <w:rPr>
          <w:i/>
        </w:rPr>
        <w:t>Australian Securities Commission v AS Nominees Limited</w:t>
      </w:r>
      <w:r w:rsidR="00C6204E" w:rsidRPr="00294246">
        <w:t xml:space="preserve"> (1995) 62 FCR 504 at 532-3; </w:t>
      </w:r>
      <w:r w:rsidR="00C6204E" w:rsidRPr="00551F7F">
        <w:rPr>
          <w:i/>
        </w:rPr>
        <w:t>ABC Fund Managers</w:t>
      </w:r>
      <w:r w:rsidR="00C6204E" w:rsidRPr="00294246">
        <w:t xml:space="preserve"> at [117]-[118]; </w:t>
      </w:r>
      <w:r w:rsidR="00C6204E" w:rsidRPr="00551F7F">
        <w:rPr>
          <w:i/>
        </w:rPr>
        <w:t>Australian Securities and Investments Commission v International Unity Insurance Pty Ltd</w:t>
      </w:r>
      <w:r w:rsidR="00C6204E" w:rsidRPr="00294246">
        <w:t xml:space="preserve"> (2004) 22 ACLC 1416 at [135]-[139].  </w:t>
      </w:r>
    </w:p>
    <w:p w14:paraId="1ECC181C" w14:textId="1B52577A" w:rsidR="00C6204E" w:rsidRDefault="00B35540" w:rsidP="00B35540">
      <w:pPr>
        <w:pStyle w:val="Quote1"/>
        <w:ind w:left="1440" w:hanging="703"/>
      </w:pPr>
      <w:r>
        <w:t>22.</w:t>
      </w:r>
      <w:r>
        <w:tab/>
      </w:r>
      <w:r w:rsidR="00C6204E">
        <w:t>…</w:t>
      </w:r>
    </w:p>
    <w:p w14:paraId="16C5B87A" w14:textId="1E2E5695" w:rsidR="00C6204E" w:rsidRDefault="00B35540" w:rsidP="00B35540">
      <w:pPr>
        <w:pStyle w:val="Quote1"/>
        <w:ind w:left="1440" w:hanging="703"/>
      </w:pPr>
      <w:r>
        <w:t>23.</w:t>
      </w:r>
      <w:r>
        <w:tab/>
      </w:r>
      <w:r w:rsidR="00C6204E">
        <w:t xml:space="preserve">In relation to the second, a risk to the public interest may take several forms.  For example, a winding up order may be necessary to ensure investor protection or where a company has not carried on its business candidly and in a straightforward manner with the public:  </w:t>
      </w:r>
      <w:r w:rsidR="00C6204E">
        <w:rPr>
          <w:i/>
        </w:rPr>
        <w:t xml:space="preserve">International Unity Insurance </w:t>
      </w:r>
      <w:r w:rsidR="00C6204E">
        <w:t xml:space="preserve">at [138]; see also </w:t>
      </w:r>
      <w:r w:rsidR="00C6204E">
        <w:rPr>
          <w:i/>
        </w:rPr>
        <w:t>Australian Securities and Investments Commission v Finchley Central Funds Management Ltd</w:t>
      </w:r>
      <w:r w:rsidR="00C6204E">
        <w:t xml:space="preserve"> [2009] FCA 1110 at [3].  Alternatively, it might be justified in order to prevent and condemn repeated breaches of the law:  </w:t>
      </w:r>
      <w:r w:rsidR="00C6204E">
        <w:rPr>
          <w:i/>
        </w:rPr>
        <w:t>Kingsley Brown Properties</w:t>
      </w:r>
      <w:r w:rsidR="00C6204E">
        <w:t xml:space="preserve"> at [96]; see also </w:t>
      </w:r>
      <w:r w:rsidR="00C6204E">
        <w:rPr>
          <w:i/>
        </w:rPr>
        <w:t>AS Nominees</w:t>
      </w:r>
      <w:r w:rsidR="00C6204E">
        <w:t xml:space="preserve"> at 527; </w:t>
      </w:r>
      <w:r w:rsidR="00C6204E">
        <w:rPr>
          <w:i/>
        </w:rPr>
        <w:t>Australian Securities and Investments Commission v Chase Capital</w:t>
      </w:r>
      <w:r w:rsidR="00C6204E">
        <w:t xml:space="preserve"> </w:t>
      </w:r>
      <w:r w:rsidR="00C6204E">
        <w:rPr>
          <w:i/>
        </w:rPr>
        <w:t xml:space="preserve">Management Pty Ltd </w:t>
      </w:r>
      <w:r w:rsidR="00C6204E">
        <w:t>(2001) 36 ACSR 778 at 793.  Again, there is an overlap between matters which would pose a risk to the public interest for the purpose of s 461(1)(k) and which are relevant to the appointment of a provisional liquidator.</w:t>
      </w:r>
    </w:p>
    <w:p w14:paraId="3A42CCAE" w14:textId="2A706C33" w:rsidR="00C6204E" w:rsidRPr="00B526CB" w:rsidRDefault="00B35540" w:rsidP="00B35540">
      <w:pPr>
        <w:pStyle w:val="Quote1"/>
        <w:ind w:left="1440" w:hanging="703"/>
      </w:pPr>
      <w:bookmarkStart w:id="27" w:name="_Ref351378714"/>
      <w:r>
        <w:t>24.</w:t>
      </w:r>
      <w:r>
        <w:tab/>
      </w:r>
      <w:r w:rsidR="00C6204E" w:rsidRPr="00B526CB">
        <w:t xml:space="preserve">In relation to the third, it has been said that “a stronger case might be required where the company was prosperous, or at least solvent”:  </w:t>
      </w:r>
      <w:r w:rsidR="00C6204E" w:rsidRPr="00B526CB">
        <w:rPr>
          <w:i/>
        </w:rPr>
        <w:t xml:space="preserve">Kingsley Brown Properties </w:t>
      </w:r>
      <w:r w:rsidR="00C6204E" w:rsidRPr="00B526CB">
        <w:t xml:space="preserve">at [96].  Solvency, however, is not a bar to the appointment of a liquidator on the just and equitable ground, particularly where there have been serious and ongoing breaches of the Act:  </w:t>
      </w:r>
      <w:r w:rsidR="00C6204E" w:rsidRPr="00B526CB">
        <w:rPr>
          <w:i/>
        </w:rPr>
        <w:t>ABC Fund Managers</w:t>
      </w:r>
      <w:r w:rsidR="00C6204E" w:rsidRPr="00B526CB">
        <w:t xml:space="preserve"> at </w:t>
      </w:r>
      <w:r w:rsidR="00C6204E">
        <w:t>[124]-[130]</w:t>
      </w:r>
      <w:r w:rsidR="00C6204E" w:rsidRPr="00B526CB">
        <w:t>.</w:t>
      </w:r>
      <w:bookmarkEnd w:id="27"/>
    </w:p>
    <w:p w14:paraId="7FBD286E" w14:textId="08915584" w:rsidR="00C6204E" w:rsidRDefault="00C75A12" w:rsidP="00C75A12">
      <w:pPr>
        <w:pStyle w:val="ParaNumbering"/>
        <w:numPr>
          <w:ilvl w:val="0"/>
          <w:numId w:val="0"/>
        </w:numPr>
        <w:ind w:hanging="720"/>
      </w:pPr>
      <w:r>
        <w:rPr>
          <w:sz w:val="20"/>
        </w:rPr>
        <w:t>34</w:t>
      </w:r>
      <w:r>
        <w:rPr>
          <w:sz w:val="20"/>
        </w:rPr>
        <w:tab/>
      </w:r>
      <w:r w:rsidR="00C6204E" w:rsidRPr="006006D4">
        <w:t>See also</w:t>
      </w:r>
      <w:r w:rsidR="00C6204E">
        <w:rPr>
          <w:i/>
          <w:iCs/>
        </w:rPr>
        <w:t xml:space="preserve"> </w:t>
      </w:r>
      <w:r w:rsidR="00C6204E" w:rsidRPr="004A2C1F">
        <w:rPr>
          <w:i/>
          <w:iCs/>
        </w:rPr>
        <w:t>Australian Securities and Investments Commission v Merlin Diamonds Ltd (ACN 009 153 119)</w:t>
      </w:r>
      <w:r w:rsidR="00C6204E">
        <w:t xml:space="preserve"> [2020] FCA 411; 143 ACSR 426 at [39] (O’Bryan J)</w:t>
      </w:r>
      <w:r w:rsidR="00012C8B">
        <w:t>;</w:t>
      </w:r>
      <w:r w:rsidR="00C6204E">
        <w:t xml:space="preserve"> </w:t>
      </w:r>
      <w:r w:rsidR="00C6204E" w:rsidRPr="00012C8B">
        <w:rPr>
          <w:i/>
          <w:iCs/>
        </w:rPr>
        <w:t xml:space="preserve">ASIC v Chase Capital </w:t>
      </w:r>
      <w:r w:rsidR="00C6204E">
        <w:t>[2001] WASC 27; (2001) 36 ACSR 778 at 793 (Owen J).</w:t>
      </w:r>
    </w:p>
    <w:p w14:paraId="16C4FB53" w14:textId="4231B8F5" w:rsidR="00C6204E" w:rsidRDefault="00C75A12" w:rsidP="00C75A12">
      <w:pPr>
        <w:pStyle w:val="ParaNumbering"/>
        <w:numPr>
          <w:ilvl w:val="0"/>
          <w:numId w:val="0"/>
        </w:numPr>
        <w:ind w:hanging="720"/>
      </w:pPr>
      <w:r>
        <w:rPr>
          <w:sz w:val="20"/>
        </w:rPr>
        <w:t>35</w:t>
      </w:r>
      <w:r>
        <w:rPr>
          <w:sz w:val="20"/>
        </w:rPr>
        <w:tab/>
      </w:r>
      <w:r w:rsidR="00C6204E">
        <w:t xml:space="preserve">There are important public interest considerations when ASIC applies for a winding up order. In </w:t>
      </w:r>
      <w:r w:rsidR="00C6204E" w:rsidRPr="00317B7B">
        <w:rPr>
          <w:i/>
          <w:iCs/>
        </w:rPr>
        <w:t xml:space="preserve">Australian Securities and Investments Commission v </w:t>
      </w:r>
      <w:r w:rsidR="00C6204E" w:rsidRPr="00D51953">
        <w:rPr>
          <w:i/>
          <w:iCs/>
        </w:rPr>
        <w:t>Finchley Central Funds Management Ltd</w:t>
      </w:r>
      <w:r w:rsidR="00C6204E">
        <w:t xml:space="preserve"> [2009] FCA 1110</w:t>
      </w:r>
      <w:r w:rsidR="00C6204E" w:rsidRPr="00317B7B">
        <w:t>,</w:t>
      </w:r>
      <w:r w:rsidR="00C6204E">
        <w:rPr>
          <w:i/>
          <w:iCs/>
        </w:rPr>
        <w:t xml:space="preserve"> </w:t>
      </w:r>
      <w:r w:rsidR="00C6204E">
        <w:t>Gilmour J held at [3]:</w:t>
      </w:r>
    </w:p>
    <w:p w14:paraId="1DEA6044" w14:textId="77777777" w:rsidR="00C6204E" w:rsidRDefault="00C6204E" w:rsidP="00EE622A">
      <w:pPr>
        <w:pStyle w:val="Quote1"/>
      </w:pPr>
      <w:r>
        <w:t>The plaintiff stands in a somewhat different position to a private applicant for winding up on this ground because the public interest considerations attaching to ASIC as the corporate regulator are relevant to the application. Where companies are engaged in fund management and where there is evidence of serious mismanagement or repeated breaches of the Act so that there is a risk to the public, and in circumstances where ASIC has lost confidence in the company to comply with the relevant law, the court may act to wind up that company on the just and equitable ground.</w:t>
      </w:r>
    </w:p>
    <w:p w14:paraId="437BE49F" w14:textId="26DB329F" w:rsidR="00C6204E" w:rsidRDefault="00C75A12" w:rsidP="00C75A12">
      <w:pPr>
        <w:pStyle w:val="ParaNumbering"/>
        <w:numPr>
          <w:ilvl w:val="0"/>
          <w:numId w:val="0"/>
        </w:numPr>
        <w:ind w:hanging="720"/>
      </w:pPr>
      <w:r>
        <w:rPr>
          <w:sz w:val="20"/>
        </w:rPr>
        <w:t>36</w:t>
      </w:r>
      <w:r>
        <w:rPr>
          <w:sz w:val="20"/>
        </w:rPr>
        <w:tab/>
      </w:r>
      <w:r w:rsidR="00C6204E" w:rsidRPr="0002221F">
        <w:t xml:space="preserve">In </w:t>
      </w:r>
      <w:r w:rsidR="00C6204E" w:rsidRPr="00551F7F">
        <w:rPr>
          <w:i/>
        </w:rPr>
        <w:t>Australian Securities Commission v AS Nominees Limited</w:t>
      </w:r>
      <w:r w:rsidR="00C6204E">
        <w:t xml:space="preserve"> (1995) 18 ACSR 459 at p</w:t>
      </w:r>
      <w:r w:rsidR="00EE622A">
        <w:t xml:space="preserve"> </w:t>
      </w:r>
      <w:r w:rsidR="00C6204E">
        <w:t>517</w:t>
      </w:r>
      <w:r w:rsidR="0065101E">
        <w:t xml:space="preserve"> </w:t>
      </w:r>
      <w:r w:rsidR="00C6204E">
        <w:t>when considering an application by a statutory body applying for the winding up of a company</w:t>
      </w:r>
      <w:r w:rsidR="0065101E">
        <w:t>,</w:t>
      </w:r>
      <w:r w:rsidR="00C6204E">
        <w:t xml:space="preserve"> </w:t>
      </w:r>
      <w:r w:rsidR="0065101E">
        <w:t xml:space="preserve">Finn J </w:t>
      </w:r>
      <w:r w:rsidR="00C6204E">
        <w:t>observed</w:t>
      </w:r>
      <w:r w:rsidR="00C6204E" w:rsidRPr="0002221F">
        <w:t>:</w:t>
      </w:r>
    </w:p>
    <w:p w14:paraId="02FE9264" w14:textId="41FEC1AF" w:rsidR="00C6204E" w:rsidRDefault="00C6204E" w:rsidP="00EE622A">
      <w:pPr>
        <w:pStyle w:val="Quote1"/>
      </w:pPr>
      <w:r>
        <w:t>…</w:t>
      </w:r>
      <w:r w:rsidR="00EE622A">
        <w:t xml:space="preserve"> </w:t>
      </w:r>
      <w:r>
        <w:t>there seems to be no reason at all why a court entertaining such an application should not have regard to such actual public interest considerations as have … or may have induced the governmental body to seek a just and equitable winding up order.</w:t>
      </w:r>
    </w:p>
    <w:p w14:paraId="7B42A5A5" w14:textId="77777777" w:rsidR="00C6204E" w:rsidRDefault="00C6204E" w:rsidP="00C6204E">
      <w:pPr>
        <w:pStyle w:val="Heading2"/>
      </w:pPr>
      <w:r>
        <w:lastRenderedPageBreak/>
        <w:t>Consideration</w:t>
      </w:r>
    </w:p>
    <w:p w14:paraId="46D9A84C" w14:textId="19C1475B" w:rsidR="00C6204E" w:rsidRDefault="00C75A12" w:rsidP="00C75A12">
      <w:pPr>
        <w:pStyle w:val="ParaNumbering"/>
        <w:numPr>
          <w:ilvl w:val="0"/>
          <w:numId w:val="0"/>
        </w:numPr>
        <w:ind w:hanging="720"/>
      </w:pPr>
      <w:r>
        <w:rPr>
          <w:sz w:val="20"/>
        </w:rPr>
        <w:t>37</w:t>
      </w:r>
      <w:r>
        <w:rPr>
          <w:sz w:val="20"/>
        </w:rPr>
        <w:tab/>
      </w:r>
      <w:r w:rsidR="00C6204E">
        <w:t>The Receivers’ Report reveals a number of serious and in some cases, disturbing matters.</w:t>
      </w:r>
    </w:p>
    <w:p w14:paraId="1F5C151C" w14:textId="08900FF8" w:rsidR="00211BB1" w:rsidRDefault="00C75A12" w:rsidP="00C75A12">
      <w:pPr>
        <w:pStyle w:val="ParaNumbering"/>
        <w:numPr>
          <w:ilvl w:val="0"/>
          <w:numId w:val="0"/>
        </w:numPr>
        <w:ind w:hanging="720"/>
      </w:pPr>
      <w:r>
        <w:rPr>
          <w:sz w:val="20"/>
        </w:rPr>
        <w:t>38</w:t>
      </w:r>
      <w:r>
        <w:rPr>
          <w:sz w:val="20"/>
        </w:rPr>
        <w:tab/>
      </w:r>
      <w:r w:rsidR="00C6204E">
        <w:t xml:space="preserve">First, between June and November 2023, Brite transferred approximately AUD $129.4 million from </w:t>
      </w:r>
      <w:r w:rsidR="00F82E37">
        <w:t xml:space="preserve">an </w:t>
      </w:r>
      <w:r w:rsidR="00C6204E">
        <w:t xml:space="preserve">account held by it in </w:t>
      </w:r>
      <w:r w:rsidR="00DC1EDF">
        <w:t xml:space="preserve">its </w:t>
      </w:r>
      <w:r w:rsidR="006D406C">
        <w:t>I</w:t>
      </w:r>
      <w:r w:rsidR="00F82E37">
        <w:t>BA</w:t>
      </w:r>
      <w:r w:rsidR="00C6204E">
        <w:t xml:space="preserve"> accounts to Brite’s Westpac client accounts with those funds then being transferred overseas into an HSBC client account in Hong Kong held by Brite Hong Kong</w:t>
      </w:r>
      <w:r w:rsidR="00211BB1">
        <w:t xml:space="preserve">.  Those funds were </w:t>
      </w:r>
      <w:r w:rsidR="00C6204E">
        <w:t>then reinvested into</w:t>
      </w:r>
      <w:r w:rsidR="00F82E37">
        <w:t xml:space="preserve"> an IBHK</w:t>
      </w:r>
      <w:r w:rsidR="00C6204E">
        <w:t xml:space="preserve"> account held in the name of Brite Hong Kong.  </w:t>
      </w:r>
    </w:p>
    <w:p w14:paraId="590FB955" w14:textId="1A213F8F" w:rsidR="00C85889" w:rsidRDefault="00C75A12" w:rsidP="00C75A12">
      <w:pPr>
        <w:pStyle w:val="ParaNumbering"/>
        <w:numPr>
          <w:ilvl w:val="0"/>
          <w:numId w:val="0"/>
        </w:numPr>
        <w:ind w:hanging="720"/>
      </w:pPr>
      <w:r>
        <w:rPr>
          <w:sz w:val="20"/>
        </w:rPr>
        <w:t>39</w:t>
      </w:r>
      <w:r>
        <w:rPr>
          <w:sz w:val="20"/>
        </w:rPr>
        <w:tab/>
      </w:r>
      <w:r w:rsidR="00C6204E">
        <w:t>The amount that has been returned to Brite’s Westpac client accounts and IBA accounts from Hong Kong</w:t>
      </w:r>
      <w:r w:rsidR="00C85889">
        <w:t xml:space="preserve"> pursuant to the Court’s orders</w:t>
      </w:r>
      <w:r w:rsidR="001D4475">
        <w:t xml:space="preserve"> made 24 November 2023</w:t>
      </w:r>
      <w:r w:rsidR="00C6204E">
        <w:t xml:space="preserve"> total</w:t>
      </w:r>
      <w:r w:rsidR="00C85889">
        <w:t>s</w:t>
      </w:r>
      <w:r w:rsidR="00C6204E">
        <w:t xml:space="preserve"> approximately AUD $115.8 million. </w:t>
      </w:r>
    </w:p>
    <w:p w14:paraId="2A4A3F5E" w14:textId="7217E7B7" w:rsidR="00DC1EDF" w:rsidRDefault="00C75A12" w:rsidP="00C75A12">
      <w:pPr>
        <w:pStyle w:val="ParaNumbering"/>
        <w:numPr>
          <w:ilvl w:val="0"/>
          <w:numId w:val="0"/>
        </w:numPr>
        <w:ind w:hanging="720"/>
      </w:pPr>
      <w:r>
        <w:rPr>
          <w:sz w:val="20"/>
        </w:rPr>
        <w:t>40</w:t>
      </w:r>
      <w:r>
        <w:rPr>
          <w:sz w:val="20"/>
        </w:rPr>
        <w:tab/>
      </w:r>
      <w:r w:rsidR="00DC1EDF">
        <w:t>A review of the HSBC statements</w:t>
      </w:r>
      <w:r w:rsidR="006245D4">
        <w:t xml:space="preserve"> </w:t>
      </w:r>
      <w:r w:rsidR="00DC1EDF">
        <w:t>by the Receivers identified a number of withdrawals and deposits from the HSBC accounts which require further investigation</w:t>
      </w:r>
      <w:r w:rsidR="00E72F20">
        <w:t>,</w:t>
      </w:r>
      <w:r w:rsidR="00DC1EDF">
        <w:t xml:space="preserve"> including payments totalling approximately USD $1.9 million recorded as being paid out of those accounts but which are completely unexplained.</w:t>
      </w:r>
    </w:p>
    <w:p w14:paraId="271A5808" w14:textId="3C6B0E7F" w:rsidR="00C6204E" w:rsidRDefault="00C75A12" w:rsidP="00C75A12">
      <w:pPr>
        <w:pStyle w:val="ParaNumbering"/>
        <w:numPr>
          <w:ilvl w:val="0"/>
          <w:numId w:val="0"/>
        </w:numPr>
        <w:ind w:hanging="720"/>
      </w:pPr>
      <w:r>
        <w:rPr>
          <w:sz w:val="20"/>
        </w:rPr>
        <w:t>41</w:t>
      </w:r>
      <w:r>
        <w:rPr>
          <w:sz w:val="20"/>
        </w:rPr>
        <w:tab/>
      </w:r>
      <w:r w:rsidR="00C6204E">
        <w:t xml:space="preserve">Despite numerous requests to the </w:t>
      </w:r>
      <w:r w:rsidR="00AC784B">
        <w:t>D</w:t>
      </w:r>
      <w:r w:rsidR="00C6204E">
        <w:t xml:space="preserve">irectors of Brite, the Receivers have not received a full account of the </w:t>
      </w:r>
      <w:r w:rsidR="00382212">
        <w:t xml:space="preserve">beneficiaries’ assets </w:t>
      </w:r>
      <w:r w:rsidR="00C6204E">
        <w:t>under management whilst in the custody of Brite Hong Kong.</w:t>
      </w:r>
    </w:p>
    <w:p w14:paraId="7FA9DF85" w14:textId="2C93C7F7" w:rsidR="00311FB9" w:rsidRDefault="00C75A12" w:rsidP="00C75A12">
      <w:pPr>
        <w:pStyle w:val="ParaNumbering"/>
        <w:numPr>
          <w:ilvl w:val="0"/>
          <w:numId w:val="0"/>
        </w:numPr>
        <w:ind w:hanging="720"/>
      </w:pPr>
      <w:r>
        <w:rPr>
          <w:sz w:val="20"/>
        </w:rPr>
        <w:t>42</w:t>
      </w:r>
      <w:r>
        <w:rPr>
          <w:sz w:val="20"/>
        </w:rPr>
        <w:tab/>
      </w:r>
      <w:r w:rsidR="0018799F">
        <w:t>Further, t</w:t>
      </w:r>
      <w:r w:rsidR="00AC784B">
        <w:t xml:space="preserve">he </w:t>
      </w:r>
      <w:r w:rsidR="00D86A8B">
        <w:t xml:space="preserve">whereabouts of the balance of </w:t>
      </w:r>
      <w:r w:rsidR="001D4475">
        <w:t>the funds transferred to Hong Kong</w:t>
      </w:r>
      <w:r w:rsidR="00D86A8B">
        <w:t xml:space="preserve"> also remains unexplained.  </w:t>
      </w:r>
      <w:r w:rsidR="00311FB9">
        <w:t>In particular, the Receivers have not received any information providing a reconciliation showing the use and allocation of beneficiaries’ assets under management from June 2023 until the funds were returned to Australia</w:t>
      </w:r>
      <w:r w:rsidR="001D4475">
        <w:t xml:space="preserve">.  There are no </w:t>
      </w:r>
      <w:r w:rsidR="00311FB9">
        <w:t xml:space="preserve">cashiering transactions supporting, amongst other things, any withdrawals from HSBC or IBHK to meet expenses/withdrawals/platform fees, nor details of </w:t>
      </w:r>
      <w:r w:rsidR="0018799F">
        <w:t>the</w:t>
      </w:r>
      <w:r w:rsidR="00311FB9">
        <w:t xml:space="preserve"> expenses paid from the beneficiaries’ assets under management whilst in custody of Brite Hong Kong, nor </w:t>
      </w:r>
      <w:r w:rsidR="0018799F">
        <w:t>the</w:t>
      </w:r>
      <w:r w:rsidR="00311FB9">
        <w:t xml:space="preserve"> documentation relating to any margin loans or other loans secured against the IBHK’s accounts.</w:t>
      </w:r>
    </w:p>
    <w:p w14:paraId="52BE900D" w14:textId="7481A494" w:rsidR="00C6204E" w:rsidRDefault="00C75A12" w:rsidP="00C75A12">
      <w:pPr>
        <w:pStyle w:val="ParaNumbering"/>
        <w:numPr>
          <w:ilvl w:val="0"/>
          <w:numId w:val="0"/>
        </w:numPr>
        <w:ind w:hanging="720"/>
      </w:pPr>
      <w:r>
        <w:rPr>
          <w:sz w:val="20"/>
        </w:rPr>
        <w:t>43</w:t>
      </w:r>
      <w:r>
        <w:rPr>
          <w:sz w:val="20"/>
        </w:rPr>
        <w:tab/>
      </w:r>
      <w:r w:rsidR="00C6204E">
        <w:t xml:space="preserve">Second, despite numerous requests to the Directors, the Receivers have not received either a list of the beneficiaries whose funds were moved to Brite Hong Kong nor a list of the beneficiaries referred to as “Rest of World” beneficiaries being those beneficiaries who are located in other than the United Kingdom, the United States of America or Australia.  In circumstances where the stated purpose of moving funds to Brite Hong Kong was to segregate funds held for beneficiaries located in the United States of America and United Kingdom, </w:t>
      </w:r>
      <w:r w:rsidR="00C97A89">
        <w:t xml:space="preserve">the </w:t>
      </w:r>
      <w:r w:rsidR="00C97A89">
        <w:lastRenderedPageBreak/>
        <w:t xml:space="preserve">failure </w:t>
      </w:r>
      <w:r w:rsidR="00701EC5">
        <w:t xml:space="preserve">to provide a list of the beneficiaries whose funds were transferred to Brite Hong Kong is of such a </w:t>
      </w:r>
      <w:r w:rsidR="00C6204E">
        <w:t xml:space="preserve">fundamental </w:t>
      </w:r>
      <w:r w:rsidR="00701EC5">
        <w:t xml:space="preserve">nature that </w:t>
      </w:r>
      <w:r w:rsidR="00C6204E">
        <w:t>by itself</w:t>
      </w:r>
      <w:r w:rsidR="00C6204E" w:rsidRPr="009E4B46">
        <w:t xml:space="preserve"> </w:t>
      </w:r>
      <w:r w:rsidR="00701EC5">
        <w:t xml:space="preserve">it </w:t>
      </w:r>
      <w:r w:rsidR="00C6204E">
        <w:t xml:space="preserve">provides a justifiable </w:t>
      </w:r>
      <w:r w:rsidR="00C6204E" w:rsidRPr="00C35E82">
        <w:t xml:space="preserve">lack of confidence in the conduct and management of </w:t>
      </w:r>
      <w:r w:rsidR="008D3E91">
        <w:t>Brite’s</w:t>
      </w:r>
      <w:r w:rsidR="00C6204E" w:rsidRPr="00C35E82">
        <w:t xml:space="preserve"> affairs</w:t>
      </w:r>
      <w:r w:rsidR="00C6204E">
        <w:t xml:space="preserve">.  </w:t>
      </w:r>
    </w:p>
    <w:p w14:paraId="73A92121" w14:textId="30C0EE45" w:rsidR="00C6204E" w:rsidRDefault="00C75A12" w:rsidP="00C75A12">
      <w:pPr>
        <w:pStyle w:val="ParaNumbering"/>
        <w:numPr>
          <w:ilvl w:val="0"/>
          <w:numId w:val="0"/>
        </w:numPr>
        <w:ind w:hanging="720"/>
      </w:pPr>
      <w:r>
        <w:rPr>
          <w:sz w:val="20"/>
        </w:rPr>
        <w:t>44</w:t>
      </w:r>
      <w:r>
        <w:rPr>
          <w:sz w:val="20"/>
        </w:rPr>
        <w:tab/>
      </w:r>
      <w:r w:rsidR="00C6204E">
        <w:t xml:space="preserve">Third, the receivers located an additional 59 assets listed in AutoRek, a software package which assists in reconciling </w:t>
      </w:r>
      <w:r w:rsidR="008D3E91">
        <w:t xml:space="preserve">beneficiaries’ </w:t>
      </w:r>
      <w:r w:rsidR="00C6204E">
        <w:t>assets under management a</w:t>
      </w:r>
      <w:r w:rsidR="007F6EA7">
        <w:t xml:space="preserve">t an individual </w:t>
      </w:r>
      <w:r w:rsidR="00C6204E">
        <w:t>beneficiary level</w:t>
      </w:r>
      <w:r w:rsidR="007F6EA7">
        <w:t>,</w:t>
      </w:r>
      <w:r w:rsidR="00C6204E">
        <w:t xml:space="preserve"> which were not held in </w:t>
      </w:r>
      <w:r w:rsidR="005A3C63">
        <w:t>I</w:t>
      </w:r>
      <w:r w:rsidR="00B26869">
        <w:t xml:space="preserve">BA’s </w:t>
      </w:r>
      <w:r w:rsidR="00C6204E">
        <w:t>accounts.  These assets are not otherwise disclosed in any financial report or other information provided by the Directors to the Receivers.</w:t>
      </w:r>
    </w:p>
    <w:p w14:paraId="3A68EA19" w14:textId="106FEC17" w:rsidR="00C6204E" w:rsidRDefault="00C75A12" w:rsidP="00C75A12">
      <w:pPr>
        <w:pStyle w:val="ParaNumbering"/>
        <w:numPr>
          <w:ilvl w:val="0"/>
          <w:numId w:val="0"/>
        </w:numPr>
        <w:ind w:hanging="720"/>
      </w:pPr>
      <w:r>
        <w:rPr>
          <w:sz w:val="20"/>
        </w:rPr>
        <w:t>45</w:t>
      </w:r>
      <w:r>
        <w:rPr>
          <w:sz w:val="20"/>
        </w:rPr>
        <w:tab/>
      </w:r>
      <w:r w:rsidR="00C6204E">
        <w:t xml:space="preserve">Fourth, the </w:t>
      </w:r>
      <w:r w:rsidR="00B26869">
        <w:t>R</w:t>
      </w:r>
      <w:r w:rsidR="00C6204E">
        <w:t>eceivers identified at least 10 acquisitions made by members of the Brite Group since 2018 at a cost of approximately AUD $8.9 million.  Payments for those acquisitions appear to have been made or partly made from</w:t>
      </w:r>
      <w:r w:rsidR="00B26869">
        <w:t xml:space="preserve"> beneficiaries’ a</w:t>
      </w:r>
      <w:r w:rsidR="00C6204E">
        <w:t xml:space="preserve">ssets under </w:t>
      </w:r>
      <w:r w:rsidR="00B26869">
        <w:t>m</w:t>
      </w:r>
      <w:r w:rsidR="00C6204E">
        <w:t>anagement using those assets as security.  There are a number of other acquisitions which require further investigation.</w:t>
      </w:r>
    </w:p>
    <w:p w14:paraId="65E98557" w14:textId="77D3B912" w:rsidR="00C6204E" w:rsidRDefault="00C75A12" w:rsidP="00C75A12">
      <w:pPr>
        <w:pStyle w:val="ParaNumbering"/>
        <w:numPr>
          <w:ilvl w:val="0"/>
          <w:numId w:val="0"/>
        </w:numPr>
        <w:ind w:hanging="720"/>
      </w:pPr>
      <w:r>
        <w:rPr>
          <w:sz w:val="20"/>
        </w:rPr>
        <w:t>46</w:t>
      </w:r>
      <w:r>
        <w:rPr>
          <w:sz w:val="20"/>
        </w:rPr>
        <w:tab/>
      </w:r>
      <w:r w:rsidR="00C6204E">
        <w:t>Fifth, Brite does not appear to have maintained proper books and records.  The Receivers have not been provided with unfettered access to the books and records of Brite despite numerous requests.  Further, there has been a failure to comply with</w:t>
      </w:r>
      <w:r w:rsidR="00570C48">
        <w:t xml:space="preserve"> the Court’s</w:t>
      </w:r>
      <w:r w:rsidR="00C6204E">
        <w:t xml:space="preserve"> orders made on 21</w:t>
      </w:r>
      <w:r w:rsidR="00570C48">
        <w:t> </w:t>
      </w:r>
      <w:r w:rsidR="00C6204E">
        <w:t>December 2023 requiring Mr Donnelly, Mr Francois Vauville</w:t>
      </w:r>
      <w:r w:rsidR="005A3C63">
        <w:t xml:space="preserve"> </w:t>
      </w:r>
      <w:r w:rsidR="00B31BA5">
        <w:t xml:space="preserve">who is </w:t>
      </w:r>
      <w:r w:rsidR="00C6204E">
        <w:t>Brite Group’s Business Development Officer</w:t>
      </w:r>
      <w:r w:rsidR="003050F2">
        <w:t>,</w:t>
      </w:r>
      <w:r w:rsidR="00C6204E">
        <w:t xml:space="preserve"> and Mr Richard Lissenden</w:t>
      </w:r>
      <w:r w:rsidR="005A3C63">
        <w:t xml:space="preserve"> </w:t>
      </w:r>
      <w:r w:rsidR="00D9357E">
        <w:t>who is</w:t>
      </w:r>
      <w:r w:rsidR="005A3C63">
        <w:t xml:space="preserve"> </w:t>
      </w:r>
      <w:r w:rsidR="00C6204E">
        <w:t xml:space="preserve">Head of Advisory of the Brite Group and a </w:t>
      </w:r>
      <w:r w:rsidR="00570C48">
        <w:t>D</w:t>
      </w:r>
      <w:r w:rsidR="00C6204E">
        <w:t xml:space="preserve">irector of Brite Advisory Group Ltd, </w:t>
      </w:r>
      <w:r w:rsidR="00050BAA">
        <w:t>(</w:t>
      </w:r>
      <w:r w:rsidR="00C6204E">
        <w:t xml:space="preserve">a company incorporated in Hong Kong and </w:t>
      </w:r>
      <w:r w:rsidR="00050BAA">
        <w:t>sole shareholder in</w:t>
      </w:r>
      <w:r w:rsidR="00C6204E">
        <w:t xml:space="preserve"> Brite Hong Kong</w:t>
      </w:r>
      <w:r w:rsidR="00050BAA">
        <w:t>)</w:t>
      </w:r>
      <w:r w:rsidR="00C6204E">
        <w:t xml:space="preserve"> to provide documentation.</w:t>
      </w:r>
    </w:p>
    <w:p w14:paraId="5F6F67D0" w14:textId="6DF8AB62" w:rsidR="00C6204E" w:rsidRDefault="00C75A12" w:rsidP="00C75A12">
      <w:pPr>
        <w:pStyle w:val="ParaNumbering"/>
        <w:numPr>
          <w:ilvl w:val="0"/>
          <w:numId w:val="0"/>
        </w:numPr>
        <w:ind w:hanging="720"/>
      </w:pPr>
      <w:r>
        <w:rPr>
          <w:sz w:val="20"/>
        </w:rPr>
        <w:t>47</w:t>
      </w:r>
      <w:r>
        <w:rPr>
          <w:sz w:val="20"/>
        </w:rPr>
        <w:tab/>
      </w:r>
      <w:r w:rsidR="00C6204E">
        <w:t>Sixth, from the information currently available to the Receivers, it is likely that Brite was insolvent from at least 27 October 2023 and likely earlier.</w:t>
      </w:r>
      <w:r w:rsidR="00C6204E" w:rsidRPr="005A4521">
        <w:t xml:space="preserve"> </w:t>
      </w:r>
      <w:r w:rsidR="009131B1">
        <w:t xml:space="preserve"> </w:t>
      </w:r>
      <w:r w:rsidR="00C6204E">
        <w:t>Whereas the Court is always reluctant to order the winding up of a company that is or may be solvent, in this matter there are insufficient books and records that have been produced by the Directors to determine that Brite is, in fact, solvent.  That in turn, raises concerns about the management of the company and</w:t>
      </w:r>
      <w:r w:rsidR="00C6204E" w:rsidRPr="00FF1253">
        <w:t xml:space="preserve"> </w:t>
      </w:r>
      <w:r w:rsidR="00C6204E">
        <w:t>a</w:t>
      </w:r>
      <w:r w:rsidR="009131B1">
        <w:t xml:space="preserve"> </w:t>
      </w:r>
      <w:r w:rsidR="00C6204E">
        <w:t>justifiable lack of confidence in the conduct and management of the company’s affairs.</w:t>
      </w:r>
    </w:p>
    <w:p w14:paraId="4FEE7319" w14:textId="7FD01D15" w:rsidR="00C6204E" w:rsidRDefault="00C75A12" w:rsidP="00C75A12">
      <w:pPr>
        <w:pStyle w:val="ParaNumbering"/>
        <w:numPr>
          <w:ilvl w:val="0"/>
          <w:numId w:val="0"/>
        </w:numPr>
        <w:ind w:hanging="720"/>
      </w:pPr>
      <w:r>
        <w:rPr>
          <w:sz w:val="20"/>
        </w:rPr>
        <w:t>48</w:t>
      </w:r>
      <w:r>
        <w:rPr>
          <w:sz w:val="20"/>
        </w:rPr>
        <w:tab/>
      </w:r>
      <w:r w:rsidR="00C6204E">
        <w:t xml:space="preserve">Seventh, the Receivers referred to an email sent 6 October 2023 from a person who appears to be an employee of Brite Hong Kong to Mr Donnelly and Mr </w:t>
      </w:r>
      <w:r w:rsidR="00DC6D8E">
        <w:t xml:space="preserve">John Charles </w:t>
      </w:r>
      <w:r w:rsidR="00C6204E">
        <w:t>Lymer</w:t>
      </w:r>
      <w:r w:rsidR="00DC6D8E">
        <w:t xml:space="preserve"> </w:t>
      </w:r>
      <w:r w:rsidR="00465FAC">
        <w:t>(</w:t>
      </w:r>
      <w:r w:rsidR="00DC6D8E">
        <w:t>a Director of Brite</w:t>
      </w:r>
      <w:r w:rsidR="00465FAC">
        <w:t>),</w:t>
      </w:r>
      <w:r w:rsidR="00C6204E">
        <w:t xml:space="preserve"> copied to Mr Lissenden and Ms Erika Nicholson, the latter being </w:t>
      </w:r>
      <w:r w:rsidR="007A52BE">
        <w:t>H</w:t>
      </w:r>
      <w:r w:rsidR="00C6204E">
        <w:t xml:space="preserve">ead of </w:t>
      </w:r>
      <w:r w:rsidR="007A52BE">
        <w:t>A</w:t>
      </w:r>
      <w:r w:rsidR="00C6204E">
        <w:t>ccounts of the Brite Group</w:t>
      </w:r>
      <w:r w:rsidR="009131B1">
        <w:t xml:space="preserve">.  The email </w:t>
      </w:r>
      <w:r w:rsidR="00C6204E">
        <w:t>report</w:t>
      </w:r>
      <w:r w:rsidR="009131B1">
        <w:t>s</w:t>
      </w:r>
      <w:r w:rsidR="00C6204E">
        <w:t xml:space="preserve">, amongst other things, </w:t>
      </w:r>
      <w:r w:rsidR="00DC6D8E">
        <w:t xml:space="preserve">that </w:t>
      </w:r>
      <w:r w:rsidR="00C6204E">
        <w:t>the Security and Futures Commission in Hong Kong (</w:t>
      </w:r>
      <w:r w:rsidR="00C6204E" w:rsidRPr="00BC0617">
        <w:rPr>
          <w:b/>
          <w:bCs/>
        </w:rPr>
        <w:t>SFC</w:t>
      </w:r>
      <w:r w:rsidR="00C6204E">
        <w:t xml:space="preserve">) had raised questions concerning the transfer </w:t>
      </w:r>
      <w:r w:rsidR="00420D26">
        <w:t xml:space="preserve">of funds </w:t>
      </w:r>
      <w:r w:rsidR="00C6204E">
        <w:t>from Brite Hong Kong</w:t>
      </w:r>
      <w:r w:rsidR="00E07AD9">
        <w:t>’</w:t>
      </w:r>
      <w:r w:rsidR="00C6204E">
        <w:t xml:space="preserve">s HSBC client accounts to what is referred to as Brite Hong Kong’s house </w:t>
      </w:r>
      <w:r w:rsidR="00C6204E">
        <w:lastRenderedPageBreak/>
        <w:t>account.  The records to which the SFC refer reveal transfers between 27 July 2023 and 23</w:t>
      </w:r>
      <w:r w:rsidR="000A5185">
        <w:t> </w:t>
      </w:r>
      <w:r w:rsidR="00C6204E">
        <w:t>August 2023</w:t>
      </w:r>
      <w:r w:rsidR="00E07AD9">
        <w:t xml:space="preserve"> of</w:t>
      </w:r>
      <w:r w:rsidR="00C6204E">
        <w:t xml:space="preserve"> significant sums of money including GBP </w:t>
      </w:r>
      <w:r w:rsidR="00BC6917">
        <w:t>£</w:t>
      </w:r>
      <w:r w:rsidR="00C6204E">
        <w:t>311,271 and USD $177,314.  The SFC also requested reasons for withdrawals from Brite Hong Kong</w:t>
      </w:r>
      <w:r w:rsidR="00E07AD9">
        <w:t>’</w:t>
      </w:r>
      <w:r w:rsidR="00C6204E">
        <w:t>s client account and subsequent deposits back into those accounts some two weeks later between 14 and 18 July 2023</w:t>
      </w:r>
      <w:r w:rsidR="00E07AD9">
        <w:t xml:space="preserve"> of </w:t>
      </w:r>
      <w:r w:rsidR="00C6204E">
        <w:t xml:space="preserve">amounts </w:t>
      </w:r>
      <w:r w:rsidR="00E07AD9">
        <w:t xml:space="preserve">of </w:t>
      </w:r>
      <w:r w:rsidR="00C6204E">
        <w:t xml:space="preserve">USD $18,090,997 and GBP </w:t>
      </w:r>
      <w:r w:rsidR="000A5185">
        <w:t>£</w:t>
      </w:r>
      <w:r w:rsidR="00C6204E">
        <w:t>45,503,638</w:t>
      </w:r>
      <w:r w:rsidR="007A52BE">
        <w:t xml:space="preserve"> respectively.</w:t>
      </w:r>
    </w:p>
    <w:p w14:paraId="09C26C70" w14:textId="2E9E091B" w:rsidR="00C6204E" w:rsidRDefault="00C75A12" w:rsidP="00C75A12">
      <w:pPr>
        <w:pStyle w:val="ParaNumbering"/>
        <w:numPr>
          <w:ilvl w:val="0"/>
          <w:numId w:val="0"/>
        </w:numPr>
        <w:ind w:hanging="720"/>
      </w:pPr>
      <w:r>
        <w:rPr>
          <w:sz w:val="20"/>
        </w:rPr>
        <w:t>49</w:t>
      </w:r>
      <w:r>
        <w:rPr>
          <w:sz w:val="20"/>
        </w:rPr>
        <w:tab/>
      </w:r>
      <w:r w:rsidR="007C1D86">
        <w:t xml:space="preserve">Further, </w:t>
      </w:r>
      <w:r w:rsidR="00BD0008">
        <w:t xml:space="preserve">on the face of the </w:t>
      </w:r>
      <w:r w:rsidR="00C6204E">
        <w:t>email</w:t>
      </w:r>
      <w:r w:rsidR="00A204A8">
        <w:t xml:space="preserve">, </w:t>
      </w:r>
      <w:r w:rsidR="00C6204E">
        <w:t>the employee</w:t>
      </w:r>
      <w:r w:rsidR="00A204A8">
        <w:t xml:space="preserve"> states that</w:t>
      </w:r>
      <w:r w:rsidR="00C6204E">
        <w:t xml:space="preserve"> not only</w:t>
      </w:r>
      <w:r w:rsidR="00A204A8">
        <w:t xml:space="preserve"> does he</w:t>
      </w:r>
      <w:r w:rsidR="00C6204E">
        <w:t xml:space="preserve"> consider that Brite Hong Kong’s actions may constitute violations of SFC rules but </w:t>
      </w:r>
      <w:r w:rsidR="007C429E">
        <w:t>goes on to state that the</w:t>
      </w:r>
      <w:r w:rsidR="00C6204E">
        <w:t xml:space="preserve"> employee will attempt to “make up some documents and present them in a way that SFC may think our acts are controversial, instead of intentional violations.”</w:t>
      </w:r>
    </w:p>
    <w:p w14:paraId="02C6BCD0" w14:textId="42B82CDE" w:rsidR="00C6204E" w:rsidRDefault="00C75A12" w:rsidP="00C75A12">
      <w:pPr>
        <w:pStyle w:val="ParaNumbering"/>
        <w:numPr>
          <w:ilvl w:val="0"/>
          <w:numId w:val="0"/>
        </w:numPr>
        <w:ind w:hanging="720"/>
      </w:pPr>
      <w:r>
        <w:rPr>
          <w:sz w:val="20"/>
        </w:rPr>
        <w:t>50</w:t>
      </w:r>
      <w:r>
        <w:rPr>
          <w:sz w:val="20"/>
        </w:rPr>
        <w:tab/>
      </w:r>
      <w:r w:rsidR="00C6204E">
        <w:t xml:space="preserve">ASIC submits that this email is a clear admission by Brite staff or management of intentional wrongdoing and misappropriation of client funds.  I </w:t>
      </w:r>
      <w:r w:rsidR="003D41D5">
        <w:t xml:space="preserve">do not accept that submission but only </w:t>
      </w:r>
      <w:r w:rsidR="00C6204E">
        <w:t>because it is important to read this passage in the full context of the email and to make allowance for difficulties in expression</w:t>
      </w:r>
      <w:r w:rsidR="00BD0008">
        <w:t xml:space="preserve">.  </w:t>
      </w:r>
      <w:r w:rsidR="00632754">
        <w:t>It is also from an employee whose authority is unknown.  Nonetheless</w:t>
      </w:r>
      <w:r w:rsidR="00BD0008">
        <w:t xml:space="preserve">, </w:t>
      </w:r>
      <w:r w:rsidR="00187274">
        <w:t>an explanation is required</w:t>
      </w:r>
      <w:r w:rsidR="00632754">
        <w:t xml:space="preserve"> and</w:t>
      </w:r>
      <w:r w:rsidR="00BD0008">
        <w:t xml:space="preserve"> </w:t>
      </w:r>
      <w:r w:rsidR="00C6204E">
        <w:t>at the very least this email raises serious concerns as to the conduct of Mr Lymer</w:t>
      </w:r>
      <w:r w:rsidR="00BD0008">
        <w:t xml:space="preserve"> who was</w:t>
      </w:r>
      <w:r w:rsidR="00C6204E">
        <w:t xml:space="preserve"> copied into this email</w:t>
      </w:r>
      <w:r w:rsidR="00001C2A">
        <w:t>,</w:t>
      </w:r>
      <w:r w:rsidR="00C6204E">
        <w:t xml:space="preserve"> as well as the operations of Brite Hong Kong and given the other addressees on the email, the Brite Group generally</w:t>
      </w:r>
      <w:r w:rsidR="00C54B77">
        <w:t>.</w:t>
      </w:r>
      <w:r w:rsidR="007C429E">
        <w:t xml:space="preserve">  Since Brite is part of the Brite Group and beneficiaries</w:t>
      </w:r>
      <w:r w:rsidR="00680AD7">
        <w:t>’</w:t>
      </w:r>
      <w:r w:rsidR="007C429E">
        <w:t xml:space="preserve"> </w:t>
      </w:r>
      <w:r w:rsidR="00A930DE">
        <w:t>funds were transferred to Brite Hong Kong, this email raises a justifiable lack of confidence in the conduct and management of Brite’s affairs, as well as a risk to the public.</w:t>
      </w:r>
    </w:p>
    <w:p w14:paraId="7A80E70B" w14:textId="36A3BDE1" w:rsidR="007063C7" w:rsidRDefault="00C75A12" w:rsidP="00C75A12">
      <w:pPr>
        <w:pStyle w:val="ParaNumbering"/>
        <w:numPr>
          <w:ilvl w:val="0"/>
          <w:numId w:val="0"/>
        </w:numPr>
        <w:ind w:hanging="720"/>
      </w:pPr>
      <w:r>
        <w:rPr>
          <w:sz w:val="20"/>
        </w:rPr>
        <w:t>51</w:t>
      </w:r>
      <w:r>
        <w:rPr>
          <w:sz w:val="20"/>
        </w:rPr>
        <w:tab/>
      </w:r>
      <w:r w:rsidR="00C6204E">
        <w:t>Eighth, according to records to which the Receivers have been granted access</w:t>
      </w:r>
      <w:r w:rsidR="00C54B77">
        <w:t>,</w:t>
      </w:r>
      <w:r w:rsidR="00C6204E">
        <w:t xml:space="preserve"> in</w:t>
      </w:r>
      <w:r w:rsidR="00C54B77">
        <w:t xml:space="preserve"> </w:t>
      </w:r>
      <w:r w:rsidR="00C6204E">
        <w:t>particular the Xero accounting package</w:t>
      </w:r>
      <w:r w:rsidR="00680AD7">
        <w:t>,</w:t>
      </w:r>
      <w:r w:rsidR="00317417">
        <w:t xml:space="preserve"> there are</w:t>
      </w:r>
      <w:r w:rsidR="00C6204E">
        <w:t xml:space="preserve"> related party loan accounts owing to Brite total</w:t>
      </w:r>
      <w:r w:rsidR="00C54B77">
        <w:t>l</w:t>
      </w:r>
      <w:r w:rsidR="00317417">
        <w:t>ing</w:t>
      </w:r>
      <w:r w:rsidR="00C6204E">
        <w:t xml:space="preserve"> approximately AUD $1.1 million</w:t>
      </w:r>
      <w:r w:rsidR="00C54B77">
        <w:t>.  F</w:t>
      </w:r>
      <w:r w:rsidR="00C6204E">
        <w:t xml:space="preserve">urther, an analysis performed by the Receivers of Brite’s bank statements record that AUD $91 million has been advanced to multiple related parties between May 2016 to October 2023.  </w:t>
      </w:r>
    </w:p>
    <w:p w14:paraId="1D462CEA" w14:textId="2AEF3A7E" w:rsidR="00C6204E" w:rsidRDefault="00C75A12" w:rsidP="00C75A12">
      <w:pPr>
        <w:pStyle w:val="ParaNumbering"/>
        <w:numPr>
          <w:ilvl w:val="0"/>
          <w:numId w:val="0"/>
        </w:numPr>
        <w:ind w:hanging="720"/>
      </w:pPr>
      <w:r>
        <w:rPr>
          <w:sz w:val="20"/>
        </w:rPr>
        <w:t>52</w:t>
      </w:r>
      <w:r>
        <w:rPr>
          <w:sz w:val="20"/>
        </w:rPr>
        <w:tab/>
      </w:r>
      <w:r w:rsidR="007063C7">
        <w:t xml:space="preserve">Again, despite </w:t>
      </w:r>
      <w:r w:rsidR="00C6204E">
        <w:t xml:space="preserve">requests, the Receivers have not been provided </w:t>
      </w:r>
      <w:r w:rsidR="007063C7">
        <w:t xml:space="preserve">with </w:t>
      </w:r>
      <w:r w:rsidR="00C6204E">
        <w:t>supporting documents, including invoices for related party transactions, nor journal entries for significant transactions characterised as related party loans.  To the extent that correspondence has been provided explaining there were amounts paid to various Brite Group entities through related party loan accounts, no documents to support these claims have been provided.</w:t>
      </w:r>
    </w:p>
    <w:p w14:paraId="2835CD13" w14:textId="59519C8A" w:rsidR="00C6204E" w:rsidRPr="00330A31" w:rsidRDefault="00C75A12" w:rsidP="00C75A12">
      <w:pPr>
        <w:pStyle w:val="ParaNumbering"/>
        <w:numPr>
          <w:ilvl w:val="0"/>
          <w:numId w:val="0"/>
        </w:numPr>
        <w:ind w:hanging="720"/>
      </w:pPr>
      <w:r w:rsidRPr="00330A31">
        <w:rPr>
          <w:sz w:val="20"/>
        </w:rPr>
        <w:t>53</w:t>
      </w:r>
      <w:r w:rsidRPr="00330A31">
        <w:rPr>
          <w:sz w:val="20"/>
        </w:rPr>
        <w:tab/>
      </w:r>
      <w:r w:rsidR="00D642FE">
        <w:t xml:space="preserve">The absence of documents is of particular significance because the Receivers </w:t>
      </w:r>
      <w:r w:rsidR="00F8261A">
        <w:t xml:space="preserve">record that it is the view of </w:t>
      </w:r>
      <w:r w:rsidR="00C6204E" w:rsidRPr="00330A31">
        <w:t xml:space="preserve">Crowe Australasia, an independent accounting and advisory firm </w:t>
      </w:r>
      <w:r w:rsidR="00F8261A">
        <w:t xml:space="preserve">retained by the </w:t>
      </w:r>
      <w:r w:rsidR="00F8261A">
        <w:lastRenderedPageBreak/>
        <w:t xml:space="preserve">Receivers to </w:t>
      </w:r>
      <w:r w:rsidR="00C6204E" w:rsidRPr="00330A31">
        <w:t>prepare an independent report on financial reporting and income tax compliance by Brite (</w:t>
      </w:r>
      <w:r w:rsidR="00C6204E" w:rsidRPr="00330A31">
        <w:rPr>
          <w:b/>
          <w:bCs/>
        </w:rPr>
        <w:t>Crowe Horwarth Report</w:t>
      </w:r>
      <w:r w:rsidR="00C6204E" w:rsidRPr="00330A31">
        <w:t xml:space="preserve">), </w:t>
      </w:r>
      <w:r w:rsidR="00C96164">
        <w:t xml:space="preserve">that </w:t>
      </w:r>
      <w:r w:rsidR="00C6204E" w:rsidRPr="00330A31">
        <w:t xml:space="preserve">Brite is a Tier 1 reporting entity.  That is because </w:t>
      </w:r>
      <w:r w:rsidR="00E61674" w:rsidRPr="00330A31">
        <w:t>Brite</w:t>
      </w:r>
      <w:r w:rsidR="00C6204E" w:rsidRPr="00330A31">
        <w:t xml:space="preserve"> meets the definition of holding “public accountability” meaning that it holds assets in a fiduciary capacity for a broad group of outsiders as one of its primary businesses.  The significance is that a Tier 1 reporting entity is obliged to disclose transactions </w:t>
      </w:r>
      <w:r w:rsidR="00E61674" w:rsidRPr="00330A31">
        <w:t>with r</w:t>
      </w:r>
      <w:r w:rsidR="00C6204E" w:rsidRPr="00330A31">
        <w:t>elated parties and outstanding balances, including commitments and relationships with related parties</w:t>
      </w:r>
      <w:r w:rsidR="00E61674" w:rsidRPr="00330A31">
        <w:t>,</w:t>
      </w:r>
      <w:r w:rsidR="00C6204E" w:rsidRPr="00330A31">
        <w:t xml:space="preserve"> which may affect assessments of its operations and of its financial statements.</w:t>
      </w:r>
    </w:p>
    <w:p w14:paraId="330927FF" w14:textId="08525348" w:rsidR="00C6204E" w:rsidRDefault="00C75A12" w:rsidP="00C75A12">
      <w:pPr>
        <w:pStyle w:val="ParaNumbering"/>
        <w:numPr>
          <w:ilvl w:val="0"/>
          <w:numId w:val="0"/>
        </w:numPr>
        <w:ind w:hanging="720"/>
      </w:pPr>
      <w:r>
        <w:rPr>
          <w:sz w:val="20"/>
        </w:rPr>
        <w:t>54</w:t>
      </w:r>
      <w:r>
        <w:rPr>
          <w:sz w:val="20"/>
        </w:rPr>
        <w:tab/>
      </w:r>
      <w:r w:rsidR="00C6204E">
        <w:t xml:space="preserve">Ninth, as </w:t>
      </w:r>
      <w:r w:rsidR="004B215D">
        <w:t>at</w:t>
      </w:r>
      <w:r w:rsidR="00C6204E">
        <w:t xml:space="preserve"> 9 November 2023, there was at least a USD $69</w:t>
      </w:r>
      <w:r w:rsidR="00001C2A">
        <w:t xml:space="preserve"> </w:t>
      </w:r>
      <w:r w:rsidR="00C6204E">
        <w:t xml:space="preserve">million difference between the funds held in </w:t>
      </w:r>
      <w:r w:rsidR="004B215D">
        <w:t xml:space="preserve">the </w:t>
      </w:r>
      <w:r w:rsidR="00C6204E">
        <w:t>Brite</w:t>
      </w:r>
      <w:r w:rsidR="004B215D">
        <w:t xml:space="preserve"> Group’s Interactive Broker Accounts, </w:t>
      </w:r>
      <w:r w:rsidR="00C6204E">
        <w:t>Westpac and HSBC Hong Kong accounts</w:t>
      </w:r>
      <w:r w:rsidR="00E955DF">
        <w:t xml:space="preserve"> compared to t</w:t>
      </w:r>
      <w:r w:rsidR="00C6204E">
        <w:t>he position disclosed in the Salesforce platform</w:t>
      </w:r>
      <w:r w:rsidR="00E836A5">
        <w:t xml:space="preserve">.  </w:t>
      </w:r>
      <w:r w:rsidR="00001C2A">
        <w:t>As I understand it, t</w:t>
      </w:r>
      <w:r w:rsidR="00E836A5">
        <w:t>he Salesforce platform</w:t>
      </w:r>
      <w:r w:rsidR="00C6204E">
        <w:t xml:space="preserve"> allows beneficiaries to view the value of their investments</w:t>
      </w:r>
      <w:r w:rsidR="008605DD">
        <w:t xml:space="preserve"> at a particular point in time</w:t>
      </w:r>
      <w:r w:rsidR="00C6204E">
        <w:t>,</w:t>
      </w:r>
      <w:r w:rsidR="00C6204E" w:rsidRPr="00D12C35">
        <w:t xml:space="preserve"> </w:t>
      </w:r>
      <w:r w:rsidR="00C6204E">
        <w:t xml:space="preserve">or rather it did until its operation was suspended in about November 2023 because the </w:t>
      </w:r>
      <w:r w:rsidR="00821149">
        <w:t xml:space="preserve">relevant entity </w:t>
      </w:r>
      <w:r w:rsidR="00580B7B">
        <w:t>within</w:t>
      </w:r>
      <w:r w:rsidR="008605DD">
        <w:t xml:space="preserve"> the</w:t>
      </w:r>
      <w:r w:rsidR="00580B7B">
        <w:t xml:space="preserve"> Brite Group stopped paying the required </w:t>
      </w:r>
      <w:r w:rsidR="00C6204E">
        <w:t>subscription</w:t>
      </w:r>
      <w:r w:rsidR="00580B7B">
        <w:t>.</w:t>
      </w:r>
      <w:r w:rsidR="00C6204E">
        <w:t xml:space="preserve"> </w:t>
      </w:r>
    </w:p>
    <w:p w14:paraId="0150302A" w14:textId="7598F740" w:rsidR="00C6204E" w:rsidRDefault="00C75A12" w:rsidP="00C75A12">
      <w:pPr>
        <w:pStyle w:val="ParaNumbering"/>
        <w:numPr>
          <w:ilvl w:val="0"/>
          <w:numId w:val="0"/>
        </w:numPr>
        <w:ind w:hanging="720"/>
      </w:pPr>
      <w:r>
        <w:rPr>
          <w:sz w:val="20"/>
        </w:rPr>
        <w:t>55</w:t>
      </w:r>
      <w:r>
        <w:rPr>
          <w:sz w:val="20"/>
        </w:rPr>
        <w:tab/>
      </w:r>
      <w:r w:rsidR="00C6204E">
        <w:t xml:space="preserve">At the hearing held in December 2023 at which ASIC applied for the appointment of </w:t>
      </w:r>
      <w:r w:rsidR="005313AF">
        <w:t>R</w:t>
      </w:r>
      <w:r w:rsidR="00C6204E">
        <w:t xml:space="preserve">eceivers and </w:t>
      </w:r>
      <w:r w:rsidR="005313AF">
        <w:t>M</w:t>
      </w:r>
      <w:r w:rsidR="00C6204E">
        <w:t>anagers to Brite and at which Mr Lymer</w:t>
      </w:r>
      <w:r w:rsidR="005313AF">
        <w:t>,</w:t>
      </w:r>
      <w:r w:rsidR="00C6204E">
        <w:t xml:space="preserve"> gave evidence, Mr Lymer was unable to provide a</w:t>
      </w:r>
      <w:r w:rsidR="00D77933">
        <w:t xml:space="preserve">n </w:t>
      </w:r>
      <w:r w:rsidR="00C6204E">
        <w:t>explanation as to the USD $69</w:t>
      </w:r>
      <w:r w:rsidR="00001C2A">
        <w:t xml:space="preserve"> </w:t>
      </w:r>
      <w:r w:rsidR="00C6204E">
        <w:t>million difference.</w:t>
      </w:r>
    </w:p>
    <w:p w14:paraId="7C547C84" w14:textId="514F9877" w:rsidR="00C6204E" w:rsidRDefault="00C75A12" w:rsidP="00C75A12">
      <w:pPr>
        <w:pStyle w:val="ParaNumbering"/>
        <w:numPr>
          <w:ilvl w:val="0"/>
          <w:numId w:val="0"/>
        </w:numPr>
        <w:ind w:hanging="720"/>
      </w:pPr>
      <w:r>
        <w:rPr>
          <w:sz w:val="20"/>
        </w:rPr>
        <w:t>56</w:t>
      </w:r>
      <w:r>
        <w:rPr>
          <w:sz w:val="20"/>
        </w:rPr>
        <w:tab/>
      </w:r>
      <w:r w:rsidR="008605DD">
        <w:t xml:space="preserve">Tenth, </w:t>
      </w:r>
      <w:r w:rsidR="00C6204E">
        <w:t>ASIC refers to an email sent 15 September 2022 sent from Ms Nicholson to Mr Ramon Falzon, Brite’s Chief Financial Officer.  The email was located by the Receivers and</w:t>
      </w:r>
      <w:r w:rsidR="00D77933">
        <w:t xml:space="preserve"> is</w:t>
      </w:r>
      <w:r w:rsidR="00C6204E">
        <w:t xml:space="preserve"> referred to in the Receiver</w:t>
      </w:r>
      <w:r w:rsidR="00A64D36">
        <w:t>’</w:t>
      </w:r>
      <w:r w:rsidR="00C6204E">
        <w:t>s Report.  In it, Ms Nicholson addresses a query from Brite’s auditor as to fund</w:t>
      </w:r>
      <w:r w:rsidR="00F3573F">
        <w:t>s</w:t>
      </w:r>
      <w:r w:rsidR="00C6204E">
        <w:t xml:space="preserve"> withdrawn from </w:t>
      </w:r>
      <w:r w:rsidR="00F3573F">
        <w:t xml:space="preserve">Brite’s </w:t>
      </w:r>
      <w:r w:rsidR="00C6204E">
        <w:t>IBA</w:t>
      </w:r>
      <w:r w:rsidR="00F3573F">
        <w:t xml:space="preserve"> accounts</w:t>
      </w:r>
      <w:r w:rsidR="00C6204E">
        <w:t>.</w:t>
      </w:r>
    </w:p>
    <w:p w14:paraId="54AF1055" w14:textId="78257D94" w:rsidR="00822A6D" w:rsidRDefault="00C75A12" w:rsidP="00C75A12">
      <w:pPr>
        <w:pStyle w:val="ParaNumbering"/>
        <w:numPr>
          <w:ilvl w:val="0"/>
          <w:numId w:val="0"/>
        </w:numPr>
        <w:ind w:hanging="720"/>
      </w:pPr>
      <w:r>
        <w:rPr>
          <w:sz w:val="20"/>
        </w:rPr>
        <w:t>57</w:t>
      </w:r>
      <w:r>
        <w:rPr>
          <w:sz w:val="20"/>
        </w:rPr>
        <w:tab/>
      </w:r>
      <w:r w:rsidR="00822A6D">
        <w:t>ASIC points to Ms Nicholson’s statement in her email that she was trying to think of the best way to reply to the auditor</w:t>
      </w:r>
      <w:r w:rsidR="00DE096E">
        <w:t>’s query</w:t>
      </w:r>
      <w:r w:rsidR="00822A6D">
        <w:t>.  Mr Falzon observes that the issue is very sensitive as, “… it will show a lack of process &amp; control gap from our side which would be a big no</w:t>
      </w:r>
      <w:r w:rsidR="00482702">
        <w:t xml:space="preserve"> </w:t>
      </w:r>
      <w:r w:rsidR="00822A6D">
        <w:t>no for an auditor.  I reckon we should review your draft response together tomorrow in our catch up, as we’ve got to be transparent, however this will potentially open up a big can of worms for the auditor.”</w:t>
      </w:r>
    </w:p>
    <w:p w14:paraId="5039DC2C" w14:textId="76E63252" w:rsidR="00C6204E" w:rsidRDefault="00C75A12" w:rsidP="00C75A12">
      <w:pPr>
        <w:pStyle w:val="ParaNumbering"/>
        <w:numPr>
          <w:ilvl w:val="0"/>
          <w:numId w:val="0"/>
        </w:numPr>
        <w:ind w:hanging="720"/>
      </w:pPr>
      <w:r>
        <w:rPr>
          <w:sz w:val="20"/>
        </w:rPr>
        <w:t>58</w:t>
      </w:r>
      <w:r>
        <w:rPr>
          <w:sz w:val="20"/>
        </w:rPr>
        <w:tab/>
      </w:r>
      <w:r w:rsidR="00C6204E">
        <w:t xml:space="preserve">ASIC submits that the email </w:t>
      </w:r>
      <w:r w:rsidR="00822A6D">
        <w:t>suggests</w:t>
      </w:r>
      <w:r w:rsidR="00C6204E">
        <w:t xml:space="preserve"> that funds are withdrawn from Brite’s IBA accounts</w:t>
      </w:r>
      <w:r w:rsidR="00001C2A">
        <w:t xml:space="preserve"> whenever required,</w:t>
      </w:r>
      <w:r w:rsidR="00C6204E">
        <w:t xml:space="preserve"> </w:t>
      </w:r>
      <w:r w:rsidR="00432649">
        <w:t xml:space="preserve">in such amounts as is </w:t>
      </w:r>
      <w:r w:rsidR="00C6204E">
        <w:t>required and with no correlation between revenue received and amounts withdrawn.</w:t>
      </w:r>
      <w:r w:rsidR="00822A6D">
        <w:t xml:space="preserve">  I accept that submission.</w:t>
      </w:r>
    </w:p>
    <w:p w14:paraId="467D98C9" w14:textId="6C0AD6FA" w:rsidR="00822A6D" w:rsidRDefault="00C75A12" w:rsidP="00C75A12">
      <w:pPr>
        <w:pStyle w:val="ParaNumbering"/>
        <w:numPr>
          <w:ilvl w:val="0"/>
          <w:numId w:val="0"/>
        </w:numPr>
        <w:ind w:hanging="720"/>
      </w:pPr>
      <w:r>
        <w:rPr>
          <w:sz w:val="20"/>
        </w:rPr>
        <w:t>59</w:t>
      </w:r>
      <w:r>
        <w:rPr>
          <w:sz w:val="20"/>
        </w:rPr>
        <w:tab/>
      </w:r>
      <w:r w:rsidR="00C6204E">
        <w:t>On the basis of the</w:t>
      </w:r>
      <w:r w:rsidR="00C428C4">
        <w:t xml:space="preserve"> above</w:t>
      </w:r>
      <w:r w:rsidR="00C6204E">
        <w:t xml:space="preserve"> matters, which are </w:t>
      </w:r>
      <w:r w:rsidR="00C428C4">
        <w:t>by no means</w:t>
      </w:r>
      <w:r w:rsidR="00C6204E">
        <w:t xml:space="preserve"> exhaustive, ASIC submits that the Court’s jurisdiction to wind up Brite on just </w:t>
      </w:r>
      <w:r w:rsidR="00C428C4">
        <w:t xml:space="preserve">and equitable </w:t>
      </w:r>
      <w:r w:rsidR="00C6204E">
        <w:t xml:space="preserve">grounds </w:t>
      </w:r>
      <w:r w:rsidR="00942B01">
        <w:t xml:space="preserve">is clearly enlivened </w:t>
      </w:r>
      <w:r w:rsidR="00C6204E">
        <w:t xml:space="preserve">on the </w:t>
      </w:r>
      <w:r w:rsidR="00C6204E">
        <w:lastRenderedPageBreak/>
        <w:t>basis that there is a justifiable lack of confidence in the conduct and management of the company affairs as well a risk to the publi</w:t>
      </w:r>
      <w:r w:rsidR="00942B01">
        <w:t>c</w:t>
      </w:r>
      <w:r w:rsidR="00C6204E">
        <w:t>.</w:t>
      </w:r>
      <w:r w:rsidR="00822A6D">
        <w:t xml:space="preserve">  I accept that submission.</w:t>
      </w:r>
    </w:p>
    <w:p w14:paraId="61BF98C3" w14:textId="76350B99" w:rsidR="00822A6D" w:rsidRDefault="00C75A12" w:rsidP="00C75A12">
      <w:pPr>
        <w:pStyle w:val="ParaNumbering"/>
        <w:numPr>
          <w:ilvl w:val="0"/>
          <w:numId w:val="0"/>
        </w:numPr>
        <w:ind w:hanging="720"/>
      </w:pPr>
      <w:r>
        <w:rPr>
          <w:sz w:val="20"/>
        </w:rPr>
        <w:t>60</w:t>
      </w:r>
      <w:r>
        <w:rPr>
          <w:sz w:val="20"/>
        </w:rPr>
        <w:tab/>
      </w:r>
      <w:r w:rsidR="00C6204E">
        <w:t xml:space="preserve">It submits further that the facts </w:t>
      </w:r>
      <w:r w:rsidR="00942B01">
        <w:t>demonstrate</w:t>
      </w:r>
      <w:r w:rsidR="00C6204E">
        <w:t xml:space="preserve"> an overwhelming case</w:t>
      </w:r>
      <w:r w:rsidR="00685DD3">
        <w:t xml:space="preserve"> and</w:t>
      </w:r>
      <w:r w:rsidR="00C6204E">
        <w:t xml:space="preserve"> observes that Brite’s Directors did not appear before the Court to oppose the application that it be wound up</w:t>
      </w:r>
      <w:r w:rsidR="00685DD3">
        <w:t xml:space="preserve">.  </w:t>
      </w:r>
      <w:r w:rsidR="00822A6D">
        <w:t>I accept th</w:t>
      </w:r>
      <w:r w:rsidR="00511C56">
        <w:t>is</w:t>
      </w:r>
      <w:r w:rsidR="00822A6D">
        <w:t xml:space="preserve"> submission.</w:t>
      </w:r>
    </w:p>
    <w:p w14:paraId="0946D93E" w14:textId="3AB2BE23" w:rsidR="00C6204E" w:rsidRDefault="00C75A12" w:rsidP="00C75A12">
      <w:pPr>
        <w:pStyle w:val="ParaNumbering"/>
        <w:numPr>
          <w:ilvl w:val="0"/>
          <w:numId w:val="0"/>
        </w:numPr>
        <w:ind w:hanging="720"/>
      </w:pPr>
      <w:r>
        <w:rPr>
          <w:sz w:val="20"/>
        </w:rPr>
        <w:t>61</w:t>
      </w:r>
      <w:r>
        <w:rPr>
          <w:sz w:val="20"/>
        </w:rPr>
        <w:tab/>
      </w:r>
      <w:r w:rsidR="00822A6D">
        <w:t>Finally</w:t>
      </w:r>
      <w:r w:rsidR="00F77668">
        <w:t>, AS</w:t>
      </w:r>
      <w:r w:rsidR="00CC3FB3">
        <w:t>I</w:t>
      </w:r>
      <w:r w:rsidR="00F77668">
        <w:t>C</w:t>
      </w:r>
      <w:r w:rsidR="00685DD3">
        <w:t xml:space="preserve"> submits </w:t>
      </w:r>
      <w:r w:rsidR="00C6204E">
        <w:t xml:space="preserve">there is clear evidence of misappropriation of </w:t>
      </w:r>
      <w:r w:rsidR="00F77668">
        <w:t xml:space="preserve">beneficiaries’ </w:t>
      </w:r>
      <w:r w:rsidR="00C6204E">
        <w:t>funds.</w:t>
      </w:r>
      <w:r w:rsidR="00F77668">
        <w:t xml:space="preserve">  </w:t>
      </w:r>
      <w:r w:rsidR="00C6204E">
        <w:t xml:space="preserve">As to </w:t>
      </w:r>
      <w:r w:rsidR="00F77668">
        <w:t>this submission</w:t>
      </w:r>
      <w:r w:rsidR="00C6204E">
        <w:t xml:space="preserve">, I make no finding as to whether there has been misappropriation of </w:t>
      </w:r>
      <w:r w:rsidR="00F64E9A">
        <w:t>beneficiaries’</w:t>
      </w:r>
      <w:r w:rsidR="00C6204E">
        <w:t xml:space="preserve"> funds but there is sufficient material in the IA Report and the Receivers’ Report to raise very significant</w:t>
      </w:r>
      <w:r w:rsidR="00CD6784">
        <w:t xml:space="preserve">, indeed disturbing, </w:t>
      </w:r>
      <w:r w:rsidR="00C6204E">
        <w:t>concerns such as to amount to a justifiable lack of confidence in the conduct and management of Brite’s affairs</w:t>
      </w:r>
      <w:r w:rsidR="00F64E9A">
        <w:t>.  I also consider that the risk to the public is too great not to take action.</w:t>
      </w:r>
    </w:p>
    <w:p w14:paraId="7E08DF0F" w14:textId="030D9250" w:rsidR="00C6204E" w:rsidRPr="00330A31" w:rsidRDefault="00C75A12" w:rsidP="00C75A12">
      <w:pPr>
        <w:pStyle w:val="ParaNumbering"/>
        <w:numPr>
          <w:ilvl w:val="0"/>
          <w:numId w:val="0"/>
        </w:numPr>
        <w:ind w:hanging="720"/>
      </w:pPr>
      <w:r w:rsidRPr="00330A31">
        <w:rPr>
          <w:sz w:val="20"/>
        </w:rPr>
        <w:t>62</w:t>
      </w:r>
      <w:r w:rsidRPr="00330A31">
        <w:rPr>
          <w:sz w:val="20"/>
        </w:rPr>
        <w:tab/>
      </w:r>
      <w:r w:rsidR="00C6204E" w:rsidRPr="00330A31">
        <w:t xml:space="preserve">Further, although I have not gone into detail, the Receivers’ </w:t>
      </w:r>
      <w:r w:rsidR="0047099B">
        <w:t>R</w:t>
      </w:r>
      <w:r w:rsidR="00C6204E" w:rsidRPr="00330A31">
        <w:t xml:space="preserve">eport sets out a number of suspected contraventions of the </w:t>
      </w:r>
      <w:r w:rsidR="00C6204E" w:rsidRPr="00CC3FB3">
        <w:t>Act</w:t>
      </w:r>
      <w:r w:rsidR="00C6204E" w:rsidRPr="00330A31">
        <w:t>.  I make no findings as to whether the</w:t>
      </w:r>
      <w:r w:rsidR="00CC3FB3">
        <w:t>re</w:t>
      </w:r>
      <w:r w:rsidR="00C6204E" w:rsidRPr="00330A31">
        <w:t xml:space="preserve"> have been any such contraventions</w:t>
      </w:r>
      <w:r w:rsidR="00CC3FB3">
        <w:t>, however t</w:t>
      </w:r>
      <w:r w:rsidR="000B55B4" w:rsidRPr="00330A31">
        <w:t>here is the</w:t>
      </w:r>
      <w:r w:rsidR="00581220">
        <w:t xml:space="preserve"> spectre </w:t>
      </w:r>
      <w:r w:rsidR="007457FE">
        <w:t>of n</w:t>
      </w:r>
      <w:r w:rsidR="00FF3C78" w:rsidRPr="00330A31">
        <w:t>ot just a number of potential past contraventions,</w:t>
      </w:r>
      <w:r w:rsidR="00581220">
        <w:t xml:space="preserve"> but</w:t>
      </w:r>
      <w:r w:rsidR="00FF3C78" w:rsidRPr="00330A31">
        <w:t xml:space="preserve"> unless</w:t>
      </w:r>
      <w:r w:rsidR="00581220">
        <w:t xml:space="preserve"> steps are taken, </w:t>
      </w:r>
      <w:r w:rsidR="00FF3C78" w:rsidRPr="00330A31">
        <w:t>the prospect of further contraventions.</w:t>
      </w:r>
    </w:p>
    <w:p w14:paraId="15D1D059" w14:textId="77777777" w:rsidR="00C6204E" w:rsidRDefault="00C6204E" w:rsidP="00C6204E">
      <w:pPr>
        <w:pStyle w:val="Heading2"/>
      </w:pPr>
      <w:r>
        <w:t>Conclusion</w:t>
      </w:r>
    </w:p>
    <w:p w14:paraId="2D32AB1E" w14:textId="4220E568" w:rsidR="00C6204E" w:rsidRDefault="00C75A12" w:rsidP="00C75A12">
      <w:pPr>
        <w:pStyle w:val="ParaNumbering"/>
        <w:numPr>
          <w:ilvl w:val="0"/>
          <w:numId w:val="0"/>
        </w:numPr>
        <w:ind w:hanging="720"/>
      </w:pPr>
      <w:r>
        <w:rPr>
          <w:sz w:val="20"/>
        </w:rPr>
        <w:t>63</w:t>
      </w:r>
      <w:r>
        <w:rPr>
          <w:sz w:val="20"/>
        </w:rPr>
        <w:tab/>
      </w:r>
      <w:r w:rsidR="00C6204E">
        <w:t>It is for these reasons that I am satisfied that an order winding up Brite should be made.</w:t>
      </w:r>
    </w:p>
    <w:p w14:paraId="0BDB6E00" w14:textId="1E2D1239" w:rsidR="00C6204E" w:rsidRDefault="00C75A12" w:rsidP="00C75A12">
      <w:pPr>
        <w:pStyle w:val="ParaNumbering"/>
        <w:numPr>
          <w:ilvl w:val="0"/>
          <w:numId w:val="0"/>
        </w:numPr>
        <w:ind w:hanging="720"/>
      </w:pPr>
      <w:r>
        <w:rPr>
          <w:sz w:val="20"/>
        </w:rPr>
        <w:t>64</w:t>
      </w:r>
      <w:r>
        <w:rPr>
          <w:sz w:val="20"/>
        </w:rPr>
        <w:tab/>
      </w:r>
      <w:r w:rsidR="00C6204E">
        <w:t>ASIC has filed a consent to act as joint and several liquidators signed by Ms Smith and Mr</w:t>
      </w:r>
      <w:r w:rsidR="008F449E">
        <w:t> </w:t>
      </w:r>
      <w:r w:rsidR="00C6204E">
        <w:t>Kirman.  There will be an order appointing Ms Smith and Mr Kirman as Liquidators.</w:t>
      </w:r>
    </w:p>
    <w:p w14:paraId="33CD537C" w14:textId="77777777" w:rsidR="00C6204E" w:rsidRDefault="00C6204E" w:rsidP="00C6204E">
      <w:pPr>
        <w:pStyle w:val="Heading3"/>
      </w:pPr>
      <w:r>
        <w:t>The Appointment of a Receiver to Trust Assets-legal principles</w:t>
      </w:r>
    </w:p>
    <w:p w14:paraId="67088001" w14:textId="598353A7" w:rsidR="00C6204E" w:rsidRDefault="00C75A12" w:rsidP="00C75A12">
      <w:pPr>
        <w:pStyle w:val="ParaNumbering"/>
        <w:numPr>
          <w:ilvl w:val="0"/>
          <w:numId w:val="0"/>
        </w:numPr>
        <w:ind w:hanging="720"/>
      </w:pPr>
      <w:r>
        <w:rPr>
          <w:sz w:val="20"/>
        </w:rPr>
        <w:t>65</w:t>
      </w:r>
      <w:r>
        <w:rPr>
          <w:sz w:val="20"/>
        </w:rPr>
        <w:tab/>
      </w:r>
      <w:r w:rsidR="00C6204E">
        <w:t>ASIC also applies</w:t>
      </w:r>
      <w:r w:rsidR="000951D4">
        <w:t>,</w:t>
      </w:r>
      <w:r w:rsidR="00C6204E">
        <w:t xml:space="preserve"> pursuant to s 57 of the </w:t>
      </w:r>
      <w:r w:rsidR="00C6204E" w:rsidRPr="00347B3D">
        <w:rPr>
          <w:i/>
          <w:iCs/>
        </w:rPr>
        <w:t>Federal Court of Australia Act 1976</w:t>
      </w:r>
      <w:r w:rsidR="00C6204E">
        <w:t xml:space="preserve"> (Cth)</w:t>
      </w:r>
      <w:r w:rsidR="000951D4">
        <w:t>,</w:t>
      </w:r>
      <w:r w:rsidR="00C6204E">
        <w:t xml:space="preserve"> for the appointment of Receivers and Managers to the</w:t>
      </w:r>
      <w:r w:rsidR="000951D4">
        <w:t xml:space="preserve"> Trust Assets.</w:t>
      </w:r>
    </w:p>
    <w:p w14:paraId="4C239CE6" w14:textId="2BA44F4F" w:rsidR="00C6204E" w:rsidRDefault="00C75A12" w:rsidP="00C75A12">
      <w:pPr>
        <w:pStyle w:val="ParaNumbering"/>
        <w:numPr>
          <w:ilvl w:val="0"/>
          <w:numId w:val="0"/>
        </w:numPr>
        <w:ind w:hanging="720"/>
      </w:pPr>
      <w:r>
        <w:rPr>
          <w:sz w:val="20"/>
        </w:rPr>
        <w:t>66</w:t>
      </w:r>
      <w:r>
        <w:rPr>
          <w:sz w:val="20"/>
        </w:rPr>
        <w:tab/>
      </w:r>
      <w:r w:rsidR="00C6204E">
        <w:t>Section 57 provides:</w:t>
      </w:r>
    </w:p>
    <w:p w14:paraId="0D470B09" w14:textId="14195D20" w:rsidR="00C6204E" w:rsidRPr="000951D4" w:rsidRDefault="00C6204E" w:rsidP="000951D4">
      <w:pPr>
        <w:pStyle w:val="Quote1"/>
        <w:rPr>
          <w:b/>
          <w:bCs/>
          <w:lang w:eastAsia="en-AU"/>
        </w:rPr>
      </w:pPr>
      <w:r w:rsidRPr="000951D4">
        <w:rPr>
          <w:rStyle w:val="charsectno"/>
          <w:b/>
          <w:bCs/>
          <w:color w:val="000000"/>
        </w:rPr>
        <w:t>57</w:t>
      </w:r>
      <w:r w:rsidR="000951D4" w:rsidRPr="000951D4">
        <w:rPr>
          <w:b/>
          <w:bCs/>
        </w:rPr>
        <w:t xml:space="preserve"> </w:t>
      </w:r>
      <w:r w:rsidRPr="000951D4">
        <w:rPr>
          <w:b/>
          <w:bCs/>
        </w:rPr>
        <w:t>Receivers</w:t>
      </w:r>
    </w:p>
    <w:p w14:paraId="797F05D3" w14:textId="12DD31C7" w:rsidR="00C6204E" w:rsidRDefault="000951D4" w:rsidP="000951D4">
      <w:pPr>
        <w:pStyle w:val="Quote1"/>
        <w:ind w:left="1440" w:hanging="703"/>
      </w:pPr>
      <w:r w:rsidRPr="000951D4">
        <w:t>(1</w:t>
      </w:r>
      <w:r>
        <w:t>)</w:t>
      </w:r>
      <w:r>
        <w:tab/>
      </w:r>
      <w:r w:rsidR="00C6204E">
        <w:t>The Court may, at any stage of a proceeding on such terms and conditions as the Court thinks fit, appoint a receiver by interlocutory order in any case in which it appears to the Court to be just or convenient so to do.</w:t>
      </w:r>
    </w:p>
    <w:p w14:paraId="190F5A47" w14:textId="392CB950" w:rsidR="00C6204E" w:rsidRDefault="00C6204E" w:rsidP="000951D4">
      <w:pPr>
        <w:pStyle w:val="Quote1"/>
        <w:ind w:left="1440" w:hanging="703"/>
      </w:pPr>
      <w:r>
        <w:t>(2)</w:t>
      </w:r>
      <w:r w:rsidR="000951D4">
        <w:tab/>
      </w:r>
      <w:r>
        <w:t>A receiver of any property appointed by the Court may, without the previous leave of the Court, be sued in respect of an act or transaction done or entered into by him or her in carrying on the business connected with the property.</w:t>
      </w:r>
    </w:p>
    <w:p w14:paraId="7D071B8C" w14:textId="1AFC1ED6" w:rsidR="00C6204E" w:rsidRDefault="00C6204E" w:rsidP="000951D4">
      <w:pPr>
        <w:pStyle w:val="Quote1"/>
        <w:ind w:left="1440" w:hanging="703"/>
      </w:pPr>
      <w:r>
        <w:t>(3)</w:t>
      </w:r>
      <w:r w:rsidR="000951D4">
        <w:tab/>
      </w:r>
      <w:r>
        <w:t xml:space="preserve">When in any cause pending in the Court a receiver appointed by the Court is </w:t>
      </w:r>
      <w:r>
        <w:lastRenderedPageBreak/>
        <w:t>in possession of property, the receiver shall manage and deal with the property according to the requirements of the laws of the State or Territory in which the property is situated, in the same manner as that in which the owner or possessor of the property would be bound to do if in possession of the property.</w:t>
      </w:r>
    </w:p>
    <w:p w14:paraId="10CAB286" w14:textId="77777777" w:rsidR="00C6204E" w:rsidRDefault="00C6204E" w:rsidP="00C6204E">
      <w:pPr>
        <w:pStyle w:val="Heading2"/>
      </w:pPr>
      <w:r>
        <w:t>Conclusion</w:t>
      </w:r>
    </w:p>
    <w:p w14:paraId="78C7BCD8" w14:textId="21F413B2" w:rsidR="00C6204E" w:rsidRDefault="00C75A12" w:rsidP="00C75A12">
      <w:pPr>
        <w:pStyle w:val="ParaNumbering"/>
        <w:numPr>
          <w:ilvl w:val="0"/>
          <w:numId w:val="0"/>
        </w:numPr>
        <w:ind w:hanging="720"/>
      </w:pPr>
      <w:r>
        <w:rPr>
          <w:sz w:val="20"/>
        </w:rPr>
        <w:t>67</w:t>
      </w:r>
      <w:r>
        <w:rPr>
          <w:sz w:val="20"/>
        </w:rPr>
        <w:tab/>
      </w:r>
      <w:r w:rsidR="00C6204E">
        <w:t>Given that Brite holds the beneficiaries’ funds on trust, I consider it is appropriate</w:t>
      </w:r>
      <w:r w:rsidR="00C61C0D">
        <w:t xml:space="preserve"> </w:t>
      </w:r>
      <w:r w:rsidR="00A83274">
        <w:t>to make an</w:t>
      </w:r>
      <w:r w:rsidR="00C6204E">
        <w:t xml:space="preserve"> order</w:t>
      </w:r>
      <w:r w:rsidR="00DC0398">
        <w:t xml:space="preserve"> that</w:t>
      </w:r>
      <w:r w:rsidR="00C6204E">
        <w:t xml:space="preserve"> Ms Smith and Mr Kirman </w:t>
      </w:r>
      <w:r w:rsidR="00DC0398">
        <w:t xml:space="preserve">be appointed </w:t>
      </w:r>
      <w:r w:rsidR="00C6204E">
        <w:t>as Receivers and Managers of the beneficiaries’ assets held by Brite on trust.</w:t>
      </w:r>
    </w:p>
    <w:p w14:paraId="7B03DCD0" w14:textId="308CBB24" w:rsidR="00CD1346" w:rsidRDefault="00C75A12" w:rsidP="00C75A12">
      <w:pPr>
        <w:pStyle w:val="ParaNumbering"/>
        <w:numPr>
          <w:ilvl w:val="0"/>
          <w:numId w:val="0"/>
        </w:numPr>
        <w:ind w:hanging="720"/>
      </w:pPr>
      <w:r>
        <w:rPr>
          <w:sz w:val="20"/>
        </w:rPr>
        <w:t>68</w:t>
      </w:r>
      <w:r>
        <w:rPr>
          <w:sz w:val="20"/>
        </w:rPr>
        <w:tab/>
      </w:r>
      <w:r w:rsidR="00B62280">
        <w:t xml:space="preserve">ASIC seeks a number of further orders which I </w:t>
      </w:r>
      <w:r w:rsidR="00DC0398">
        <w:t>will make.</w:t>
      </w:r>
    </w:p>
    <w:p w14:paraId="01F6140C" w14:textId="77777777" w:rsidR="00330A31" w:rsidRDefault="00330A31" w:rsidP="00815065">
      <w:pPr>
        <w:pStyle w:val="BodyText"/>
      </w:pPr>
      <w:bookmarkStart w:id="28" w:name="Certification"/>
    </w:p>
    <w:tbl>
      <w:tblPr>
        <w:tblW w:w="0" w:type="auto"/>
        <w:tblLook w:val="04A0" w:firstRow="1" w:lastRow="0" w:firstColumn="1" w:lastColumn="0" w:noHBand="0" w:noVBand="1"/>
      </w:tblPr>
      <w:tblGrid>
        <w:gridCol w:w="3794"/>
      </w:tblGrid>
      <w:tr w:rsidR="00330A31" w:rsidRPr="00330A31" w14:paraId="396458FF" w14:textId="77777777">
        <w:tc>
          <w:tcPr>
            <w:tcW w:w="3794" w:type="dxa"/>
            <w:shd w:val="clear" w:color="auto" w:fill="auto"/>
          </w:tcPr>
          <w:p w14:paraId="586BC4A8" w14:textId="77BC5FE8" w:rsidR="00330A31" w:rsidRPr="00330A31" w:rsidRDefault="00330A31" w:rsidP="00330A31">
            <w:pPr>
              <w:pStyle w:val="Normal1linespace"/>
            </w:pPr>
            <w:r w:rsidRPr="00330A31">
              <w:t xml:space="preserve">I certify that the preceding </w:t>
            </w:r>
            <w:bookmarkStart w:id="29" w:name="NumberWord"/>
            <w:r w:rsidR="00572955">
              <w:t>sixty-eight</w:t>
            </w:r>
            <w:bookmarkEnd w:id="29"/>
            <w:r w:rsidRPr="00330A31">
              <w:t xml:space="preserve"> (</w:t>
            </w:r>
            <w:r w:rsidR="00572955">
              <w:t>68</w:t>
            </w:r>
            <w:r w:rsidRPr="00330A31">
              <w:t xml:space="preserve">) numbered </w:t>
            </w:r>
            <w:bookmarkStart w:id="30" w:name="CertPara"/>
            <w:r w:rsidR="00595D6D">
              <w:t>paragraph is</w:t>
            </w:r>
            <w:bookmarkEnd w:id="30"/>
            <w:r w:rsidRPr="00330A31">
              <w:t xml:space="preserve"> a true copy of the Reasons for Judgment of </w:t>
            </w:r>
            <w:bookmarkStart w:id="31" w:name="bkHonourable"/>
            <w:r w:rsidRPr="00330A31">
              <w:t xml:space="preserve">the Honourable </w:t>
            </w:r>
            <w:bookmarkStart w:id="32" w:name="Justice"/>
            <w:bookmarkEnd w:id="31"/>
            <w:r>
              <w:t>Justice O'Sullivan</w:t>
            </w:r>
            <w:bookmarkEnd w:id="32"/>
            <w:r w:rsidRPr="00330A31">
              <w:t>.</w:t>
            </w:r>
          </w:p>
        </w:tc>
      </w:tr>
    </w:tbl>
    <w:p w14:paraId="293487E7" w14:textId="77777777" w:rsidR="00330A31" w:rsidRDefault="00330A31" w:rsidP="00815065">
      <w:pPr>
        <w:pStyle w:val="BodyText"/>
      </w:pPr>
    </w:p>
    <w:p w14:paraId="5F4E7857" w14:textId="2D6118FA" w:rsidR="00330A31" w:rsidRDefault="00330A31" w:rsidP="00815065">
      <w:pPr>
        <w:pStyle w:val="BodyText"/>
      </w:pPr>
      <w:r>
        <w:t xml:space="preserve">Associate: </w:t>
      </w:r>
    </w:p>
    <w:p w14:paraId="606B901F" w14:textId="77777777" w:rsidR="00330A31" w:rsidRDefault="00330A31" w:rsidP="00815065">
      <w:pPr>
        <w:pStyle w:val="BodyText"/>
      </w:pPr>
    </w:p>
    <w:p w14:paraId="1984F265" w14:textId="34F9D4FC" w:rsidR="00330A31" w:rsidRDefault="00330A31" w:rsidP="00815065">
      <w:pPr>
        <w:pStyle w:val="BodyText"/>
        <w:tabs>
          <w:tab w:val="left" w:pos="1134"/>
        </w:tabs>
      </w:pPr>
      <w:r>
        <w:t>Dated:</w:t>
      </w:r>
      <w:r>
        <w:tab/>
      </w:r>
      <w:bookmarkStart w:id="33" w:name="CertifyDated"/>
      <w:r w:rsidR="00E66040">
        <w:t>9 February 2024</w:t>
      </w:r>
      <w:bookmarkEnd w:id="33"/>
    </w:p>
    <w:p w14:paraId="1C53CD35" w14:textId="77777777" w:rsidR="00330A31" w:rsidRDefault="00330A31" w:rsidP="00815065">
      <w:pPr>
        <w:pStyle w:val="BodyText"/>
      </w:pPr>
    </w:p>
    <w:bookmarkEnd w:id="28"/>
    <w:p w14:paraId="6B1CF8C5" w14:textId="77777777" w:rsidR="0017470A" w:rsidRDefault="0017470A" w:rsidP="00815065">
      <w:pPr>
        <w:pStyle w:val="BodyText"/>
      </w:pPr>
    </w:p>
    <w:p w14:paraId="72C88261" w14:textId="77777777" w:rsidR="0017470A" w:rsidRDefault="0017470A" w:rsidP="00815065">
      <w:pPr>
        <w:pStyle w:val="BodyText"/>
        <w:sectPr w:rsidR="0017470A"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pPr>
    </w:p>
    <w:p w14:paraId="0DD327B5" w14:textId="1BD5B3D0" w:rsidR="0017470A" w:rsidRDefault="00865F20" w:rsidP="00865F20">
      <w:pPr>
        <w:pStyle w:val="BodyText"/>
        <w:jc w:val="center"/>
        <w:rPr>
          <w:noProof/>
        </w:rPr>
      </w:pPr>
      <w:r>
        <w:rPr>
          <w:noProof/>
        </w:rPr>
        <w:lastRenderedPageBreak/>
        <w:t>Annexure A</w:t>
      </w:r>
    </w:p>
    <w:p w14:paraId="56F0B440" w14:textId="01200710" w:rsidR="00865F20" w:rsidRDefault="002569BB" w:rsidP="00815065">
      <w:pPr>
        <w:pStyle w:val="BodyText"/>
      </w:pPr>
      <w:r>
        <w:rPr>
          <w:noProof/>
        </w:rPr>
        <w:drawing>
          <wp:inline distT="0" distB="0" distL="0" distR="0" wp14:anchorId="44BBAC88" wp14:editId="13B18391">
            <wp:extent cx="9779000" cy="5684520"/>
            <wp:effectExtent l="0" t="0" r="0" b="0"/>
            <wp:docPr id="2027975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975718" name="Picture 2027975718"/>
                    <pic:cNvPicPr/>
                  </pic:nvPicPr>
                  <pic:blipFill>
                    <a:blip r:embed="rId24">
                      <a:extLst>
                        <a:ext uri="{28A0092B-C50C-407E-A947-70E740481C1C}">
                          <a14:useLocalDpi xmlns:a14="http://schemas.microsoft.com/office/drawing/2010/main" val="0"/>
                        </a:ext>
                      </a:extLst>
                    </a:blip>
                    <a:stretch>
                      <a:fillRect/>
                    </a:stretch>
                  </pic:blipFill>
                  <pic:spPr>
                    <a:xfrm>
                      <a:off x="0" y="0"/>
                      <a:ext cx="9779000" cy="5684520"/>
                    </a:xfrm>
                    <a:prstGeom prst="rect">
                      <a:avLst/>
                    </a:prstGeom>
                  </pic:spPr>
                </pic:pic>
              </a:graphicData>
            </a:graphic>
          </wp:inline>
        </w:drawing>
      </w:r>
    </w:p>
    <w:sectPr w:rsidR="00865F20" w:rsidSect="00572955">
      <w:endnotePr>
        <w:numFmt w:val="decimal"/>
      </w:endnotePr>
      <w:pgSz w:w="16840" w:h="11907" w:orient="landscape" w:code="9"/>
      <w:pgMar w:top="720" w:right="720" w:bottom="720" w:left="720" w:header="851" w:footer="85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5BF1" w14:textId="77777777" w:rsidR="00776601" w:rsidRDefault="00776601">
      <w:pPr>
        <w:spacing w:line="20" w:lineRule="exact"/>
      </w:pPr>
    </w:p>
    <w:p w14:paraId="3C5FE0ED" w14:textId="77777777" w:rsidR="00776601" w:rsidRDefault="00776601"/>
    <w:p w14:paraId="4544BCAA" w14:textId="77777777" w:rsidR="00776601" w:rsidRDefault="00776601"/>
  </w:endnote>
  <w:endnote w:type="continuationSeparator" w:id="0">
    <w:p w14:paraId="0C6AD62C" w14:textId="77777777" w:rsidR="00776601" w:rsidRDefault="00776601">
      <w:r>
        <w:t xml:space="preserve"> </w:t>
      </w:r>
    </w:p>
    <w:p w14:paraId="79A71DD6" w14:textId="77777777" w:rsidR="00776601" w:rsidRDefault="00776601"/>
    <w:p w14:paraId="1B30A25D" w14:textId="77777777" w:rsidR="00776601" w:rsidRDefault="00776601"/>
  </w:endnote>
  <w:endnote w:type="continuationNotice" w:id="1">
    <w:p w14:paraId="0B3191CD" w14:textId="77777777" w:rsidR="00776601" w:rsidRDefault="00776601">
      <w:r>
        <w:t xml:space="preserve"> </w:t>
      </w:r>
    </w:p>
    <w:p w14:paraId="07B32A30" w14:textId="77777777" w:rsidR="00776601" w:rsidRDefault="00776601"/>
    <w:p w14:paraId="7F661633" w14:textId="77777777" w:rsidR="00776601" w:rsidRDefault="00776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8B9" w14:textId="77777777" w:rsidR="00336C7E" w:rsidRDefault="0033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F862" w14:textId="059C831D"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9264" behindDoc="0" locked="0" layoutInCell="1" allowOverlap="1" wp14:anchorId="5E23AA1F" wp14:editId="1942604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627C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D20CE">
          <w:rPr>
            <w:bCs/>
            <w:sz w:val="18"/>
            <w:szCs w:val="18"/>
          </w:rPr>
          <w:t>Australian Securities and Investments Commission v Brite Advisors Pty Ltd [2024] FCA 69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E7B6" w14:textId="15D05C86" w:rsidR="00395B24" w:rsidRPr="00336C7E" w:rsidRDefault="00395B24" w:rsidP="00336C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B036" w14:textId="283C0BCD"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3360" behindDoc="0" locked="0" layoutInCell="1" allowOverlap="1" wp14:anchorId="22741E52" wp14:editId="5BBBEECD">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5DF3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831216538"/>
        <w:placeholder>
          <w:docPart w:val="1187C2E9601B467B85A7E9F51758D76F"/>
        </w:placeholder>
        <w:dataBinding w:prefixMappings="xmlns:ns0='http://schemas.globalmacros.com/FCA'" w:xpath="/ns0:root[1]/ns0:Name[1]" w:storeItemID="{687E7CCB-4AA5-44E7-B148-17BA2B6F57C0}"/>
        <w:text w:multiLine="1"/>
      </w:sdtPr>
      <w:sdtEndPr/>
      <w:sdtContent>
        <w:r w:rsidR="000D20CE">
          <w:rPr>
            <w:bCs/>
            <w:sz w:val="18"/>
            <w:szCs w:val="18"/>
          </w:rPr>
          <w:t>Australian Securities and Investments Commission v Brite Advisors Pty Ltd [2024] FCA 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B9" w14:textId="0DE2E985"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1312" behindDoc="0" locked="0" layoutInCell="1" allowOverlap="1" wp14:anchorId="53C52575" wp14:editId="4D3AE46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74E1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510263260"/>
        <w:placeholder>
          <w:docPart w:val="C7CB7DC455AA49E4BBD741F200E1548F"/>
        </w:placeholder>
        <w:dataBinding w:prefixMappings="xmlns:ns0='http://schemas.globalmacros.com/FCA'" w:xpath="/ns0:root[1]/ns0:Name[1]" w:storeItemID="{687E7CCB-4AA5-44E7-B148-17BA2B6F57C0}"/>
        <w:text w:multiLine="1"/>
      </w:sdtPr>
      <w:sdtEndPr/>
      <w:sdtContent>
        <w:r w:rsidR="000D20CE">
          <w:rPr>
            <w:bCs/>
            <w:sz w:val="18"/>
            <w:szCs w:val="18"/>
          </w:rPr>
          <w:t>Australian Securities and Investments Commission v Brite Advisors Pty Ltd [2024] FCA 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7C07" w14:textId="1230AA63"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7456" behindDoc="0" locked="0" layoutInCell="1" allowOverlap="1" wp14:anchorId="675A0B27" wp14:editId="046AC40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ACEB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095746746"/>
        <w:placeholder>
          <w:docPart w:val="605D6C2F76C94BAB82003237C2B036F1"/>
        </w:placeholder>
        <w:dataBinding w:prefixMappings="xmlns:ns0='http://schemas.globalmacros.com/FCA'" w:xpath="/ns0:root[1]/ns0:Name[1]" w:storeItemID="{687E7CCB-4AA5-44E7-B148-17BA2B6F57C0}"/>
        <w:text w:multiLine="1"/>
      </w:sdtPr>
      <w:sdtEndPr/>
      <w:sdtContent>
        <w:r w:rsidR="000D20CE">
          <w:rPr>
            <w:bCs/>
            <w:sz w:val="18"/>
            <w:szCs w:val="18"/>
          </w:rPr>
          <w:t>Australian Securities and Investments Commission v Brite Advisors Pty Ltd [2024] FCA 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107A" w14:textId="16E9B731"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5408" behindDoc="0" locked="0" layoutInCell="1" allowOverlap="1" wp14:anchorId="0EEF8A8E" wp14:editId="16A311A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E8BD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532949365"/>
        <w:placeholder>
          <w:docPart w:val="BAB44010234C4A879FFE7CA68B36315C"/>
        </w:placeholder>
        <w:dataBinding w:prefixMappings="xmlns:ns0='http://schemas.globalmacros.com/FCA'" w:xpath="/ns0:root[1]/ns0:Name[1]" w:storeItemID="{687E7CCB-4AA5-44E7-B148-17BA2B6F57C0}"/>
        <w:text w:multiLine="1"/>
      </w:sdtPr>
      <w:sdtEndPr/>
      <w:sdtContent>
        <w:r w:rsidR="000D20CE">
          <w:rPr>
            <w:bCs/>
            <w:sz w:val="18"/>
            <w:szCs w:val="18"/>
          </w:rPr>
          <w:t>Australian Securities and Investments Commission v Brite Advisors Pty Ltd [2024] FCA 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5C4C" w14:textId="77777777" w:rsidR="00776601" w:rsidRDefault="00776601"/>
  </w:footnote>
  <w:footnote w:type="continuationSeparator" w:id="0">
    <w:p w14:paraId="000461FA" w14:textId="77777777" w:rsidR="00776601" w:rsidRDefault="00776601">
      <w:r>
        <w:continuationSeparator/>
      </w:r>
    </w:p>
    <w:p w14:paraId="432F510B" w14:textId="77777777" w:rsidR="00776601" w:rsidRDefault="00776601"/>
    <w:p w14:paraId="0944E6B2" w14:textId="77777777" w:rsidR="00776601" w:rsidRDefault="00776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AD74" w14:textId="77777777" w:rsidR="00336C7E" w:rsidRDefault="0033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C72" w14:textId="77777777" w:rsidR="00336C7E" w:rsidRDefault="0033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3475" w14:textId="77777777" w:rsidR="00336C7E" w:rsidRDefault="00336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EE71"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9354"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684E"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C0E0"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9031"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B74DA"/>
    <w:multiLevelType w:val="multilevel"/>
    <w:tmpl w:val="9F506FF6"/>
    <w:lvl w:ilvl="0">
      <w:start w:val="1"/>
      <w:numFmt w:val="decimal"/>
      <w:lvlText w:val="%1."/>
      <w:lvlJc w:val="left"/>
      <w:pPr>
        <w:tabs>
          <w:tab w:val="num" w:pos="1065"/>
        </w:tabs>
        <w:ind w:left="709" w:hanging="709"/>
      </w:pPr>
      <w:rPr>
        <w:rFonts w:hint="default"/>
        <w:b w:val="0"/>
      </w:rPr>
    </w:lvl>
    <w:lvl w:ilvl="1">
      <w:start w:val="1"/>
      <w:numFmt w:val="lowerLetter"/>
      <w:lvlText w:val="(%2)"/>
      <w:lvlJc w:val="left"/>
      <w:pPr>
        <w:tabs>
          <w:tab w:val="num" w:pos="1440"/>
        </w:tabs>
        <w:ind w:left="1418" w:hanging="709"/>
      </w:pPr>
      <w:rPr>
        <w:rFonts w:hint="default"/>
      </w:rPr>
    </w:lvl>
    <w:lvl w:ilvl="2">
      <w:start w:val="1"/>
      <w:numFmt w:val="lowerRoman"/>
      <w:lvlText w:val="(%3)"/>
      <w:lvlJc w:val="left"/>
      <w:pPr>
        <w:tabs>
          <w:tab w:val="num" w:pos="2160"/>
        </w:tabs>
        <w:ind w:left="1911" w:hanging="49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D143063"/>
    <w:multiLevelType w:val="hybridMultilevel"/>
    <w:tmpl w:val="29E80E0C"/>
    <w:lvl w:ilvl="0" w:tplc="7378506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B186F17"/>
    <w:multiLevelType w:val="hybridMultilevel"/>
    <w:tmpl w:val="414A0744"/>
    <w:lvl w:ilvl="0" w:tplc="02062082">
      <w:start w:val="1"/>
      <w:numFmt w:val="lowerLetter"/>
      <w:lvlText w:val="(%1)"/>
      <w:lvlJc w:val="left"/>
      <w:pPr>
        <w:ind w:left="1602" w:hanging="721"/>
      </w:pPr>
      <w:rPr>
        <w:rFonts w:ascii="Times New Roman" w:eastAsia="Times New Roman" w:hAnsi="Times New Roman" w:cs="Times New Roman" w:hint="default"/>
        <w:b w:val="0"/>
        <w:bCs w:val="0"/>
        <w:i w:val="0"/>
        <w:iCs w:val="0"/>
        <w:spacing w:val="0"/>
        <w:w w:val="103"/>
        <w:sz w:val="23"/>
        <w:szCs w:val="23"/>
        <w:lang w:val="en-US" w:eastAsia="en-US" w:bidi="ar-SA"/>
      </w:rPr>
    </w:lvl>
    <w:lvl w:ilvl="1" w:tplc="5CF825E8">
      <w:start w:val="1"/>
      <w:numFmt w:val="lowerRoman"/>
      <w:lvlText w:val="(%2)"/>
      <w:lvlJc w:val="left"/>
      <w:pPr>
        <w:ind w:left="2322" w:hanging="721"/>
      </w:pPr>
      <w:rPr>
        <w:rFonts w:ascii="Times New Roman" w:eastAsia="Times New Roman" w:hAnsi="Times New Roman" w:cs="Times New Roman" w:hint="default"/>
        <w:b w:val="0"/>
        <w:bCs w:val="0"/>
        <w:i w:val="0"/>
        <w:iCs w:val="0"/>
        <w:spacing w:val="-2"/>
        <w:w w:val="103"/>
        <w:sz w:val="23"/>
        <w:szCs w:val="23"/>
        <w:lang w:val="en-US" w:eastAsia="en-US" w:bidi="ar-SA"/>
      </w:rPr>
    </w:lvl>
    <w:lvl w:ilvl="2" w:tplc="BA861972">
      <w:numFmt w:val="bullet"/>
      <w:lvlText w:val="•"/>
      <w:lvlJc w:val="left"/>
      <w:pPr>
        <w:ind w:left="3096" w:hanging="721"/>
      </w:pPr>
      <w:rPr>
        <w:rFonts w:hint="default"/>
        <w:lang w:val="en-US" w:eastAsia="en-US" w:bidi="ar-SA"/>
      </w:rPr>
    </w:lvl>
    <w:lvl w:ilvl="3" w:tplc="A1F4BE76">
      <w:numFmt w:val="bullet"/>
      <w:lvlText w:val="•"/>
      <w:lvlJc w:val="left"/>
      <w:pPr>
        <w:ind w:left="3873" w:hanging="721"/>
      </w:pPr>
      <w:rPr>
        <w:rFonts w:hint="default"/>
        <w:lang w:val="en-US" w:eastAsia="en-US" w:bidi="ar-SA"/>
      </w:rPr>
    </w:lvl>
    <w:lvl w:ilvl="4" w:tplc="61241342">
      <w:numFmt w:val="bullet"/>
      <w:lvlText w:val="•"/>
      <w:lvlJc w:val="left"/>
      <w:pPr>
        <w:ind w:left="4649" w:hanging="721"/>
      </w:pPr>
      <w:rPr>
        <w:rFonts w:hint="default"/>
        <w:lang w:val="en-US" w:eastAsia="en-US" w:bidi="ar-SA"/>
      </w:rPr>
    </w:lvl>
    <w:lvl w:ilvl="5" w:tplc="148A5DD0">
      <w:numFmt w:val="bullet"/>
      <w:lvlText w:val="•"/>
      <w:lvlJc w:val="left"/>
      <w:pPr>
        <w:ind w:left="5426" w:hanging="721"/>
      </w:pPr>
      <w:rPr>
        <w:rFonts w:hint="default"/>
        <w:lang w:val="en-US" w:eastAsia="en-US" w:bidi="ar-SA"/>
      </w:rPr>
    </w:lvl>
    <w:lvl w:ilvl="6" w:tplc="7D605862">
      <w:numFmt w:val="bullet"/>
      <w:lvlText w:val="•"/>
      <w:lvlJc w:val="left"/>
      <w:pPr>
        <w:ind w:left="6202" w:hanging="721"/>
      </w:pPr>
      <w:rPr>
        <w:rFonts w:hint="default"/>
        <w:lang w:val="en-US" w:eastAsia="en-US" w:bidi="ar-SA"/>
      </w:rPr>
    </w:lvl>
    <w:lvl w:ilvl="7" w:tplc="FED00FFC">
      <w:numFmt w:val="bullet"/>
      <w:lvlText w:val="•"/>
      <w:lvlJc w:val="left"/>
      <w:pPr>
        <w:ind w:left="6979" w:hanging="721"/>
      </w:pPr>
      <w:rPr>
        <w:rFonts w:hint="default"/>
        <w:lang w:val="en-US" w:eastAsia="en-US" w:bidi="ar-SA"/>
      </w:rPr>
    </w:lvl>
    <w:lvl w:ilvl="8" w:tplc="76145B22">
      <w:numFmt w:val="bullet"/>
      <w:lvlText w:val="•"/>
      <w:lvlJc w:val="left"/>
      <w:pPr>
        <w:ind w:left="7755" w:hanging="721"/>
      </w:pPr>
      <w:rPr>
        <w:rFonts w:hint="default"/>
        <w:lang w:val="en-US" w:eastAsia="en-US" w:bidi="ar-SA"/>
      </w:rPr>
    </w:lvl>
  </w:abstractNum>
  <w:abstractNum w:abstractNumId="20"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BD69E6"/>
    <w:multiLevelType w:val="hybridMultilevel"/>
    <w:tmpl w:val="414A0744"/>
    <w:lvl w:ilvl="0" w:tplc="FFFFFFFF">
      <w:start w:val="1"/>
      <w:numFmt w:val="lowerLetter"/>
      <w:lvlText w:val="(%1)"/>
      <w:lvlJc w:val="left"/>
      <w:pPr>
        <w:ind w:left="1602" w:hanging="721"/>
      </w:pPr>
      <w:rPr>
        <w:rFonts w:ascii="Times New Roman" w:eastAsia="Times New Roman" w:hAnsi="Times New Roman" w:cs="Times New Roman" w:hint="default"/>
        <w:b w:val="0"/>
        <w:bCs w:val="0"/>
        <w:i w:val="0"/>
        <w:iCs w:val="0"/>
        <w:spacing w:val="0"/>
        <w:w w:val="103"/>
        <w:sz w:val="23"/>
        <w:szCs w:val="23"/>
        <w:lang w:val="en-US" w:eastAsia="en-US" w:bidi="ar-SA"/>
      </w:rPr>
    </w:lvl>
    <w:lvl w:ilvl="1" w:tplc="FFFFFFFF">
      <w:start w:val="1"/>
      <w:numFmt w:val="lowerRoman"/>
      <w:lvlText w:val="(%2)"/>
      <w:lvlJc w:val="left"/>
      <w:pPr>
        <w:ind w:left="2322" w:hanging="721"/>
      </w:pPr>
      <w:rPr>
        <w:rFonts w:ascii="Times New Roman" w:eastAsia="Times New Roman" w:hAnsi="Times New Roman" w:cs="Times New Roman" w:hint="default"/>
        <w:b w:val="0"/>
        <w:bCs w:val="0"/>
        <w:i w:val="0"/>
        <w:iCs w:val="0"/>
        <w:spacing w:val="-2"/>
        <w:w w:val="103"/>
        <w:sz w:val="23"/>
        <w:szCs w:val="23"/>
        <w:lang w:val="en-US" w:eastAsia="en-US" w:bidi="ar-SA"/>
      </w:rPr>
    </w:lvl>
    <w:lvl w:ilvl="2" w:tplc="FFFFFFFF">
      <w:numFmt w:val="bullet"/>
      <w:lvlText w:val="•"/>
      <w:lvlJc w:val="left"/>
      <w:pPr>
        <w:ind w:left="3096" w:hanging="721"/>
      </w:pPr>
      <w:rPr>
        <w:rFonts w:hint="default"/>
        <w:lang w:val="en-US" w:eastAsia="en-US" w:bidi="ar-SA"/>
      </w:rPr>
    </w:lvl>
    <w:lvl w:ilvl="3" w:tplc="FFFFFFFF">
      <w:numFmt w:val="bullet"/>
      <w:lvlText w:val="•"/>
      <w:lvlJc w:val="left"/>
      <w:pPr>
        <w:ind w:left="3873" w:hanging="721"/>
      </w:pPr>
      <w:rPr>
        <w:rFonts w:hint="default"/>
        <w:lang w:val="en-US" w:eastAsia="en-US" w:bidi="ar-SA"/>
      </w:rPr>
    </w:lvl>
    <w:lvl w:ilvl="4" w:tplc="FFFFFFFF">
      <w:numFmt w:val="bullet"/>
      <w:lvlText w:val="•"/>
      <w:lvlJc w:val="left"/>
      <w:pPr>
        <w:ind w:left="4649" w:hanging="721"/>
      </w:pPr>
      <w:rPr>
        <w:rFonts w:hint="default"/>
        <w:lang w:val="en-US" w:eastAsia="en-US" w:bidi="ar-SA"/>
      </w:rPr>
    </w:lvl>
    <w:lvl w:ilvl="5" w:tplc="FFFFFFFF">
      <w:numFmt w:val="bullet"/>
      <w:lvlText w:val="•"/>
      <w:lvlJc w:val="left"/>
      <w:pPr>
        <w:ind w:left="5426" w:hanging="721"/>
      </w:pPr>
      <w:rPr>
        <w:rFonts w:hint="default"/>
        <w:lang w:val="en-US" w:eastAsia="en-US" w:bidi="ar-SA"/>
      </w:rPr>
    </w:lvl>
    <w:lvl w:ilvl="6" w:tplc="FFFFFFFF">
      <w:numFmt w:val="bullet"/>
      <w:lvlText w:val="•"/>
      <w:lvlJc w:val="left"/>
      <w:pPr>
        <w:ind w:left="6202" w:hanging="721"/>
      </w:pPr>
      <w:rPr>
        <w:rFonts w:hint="default"/>
        <w:lang w:val="en-US" w:eastAsia="en-US" w:bidi="ar-SA"/>
      </w:rPr>
    </w:lvl>
    <w:lvl w:ilvl="7" w:tplc="FFFFFFFF">
      <w:numFmt w:val="bullet"/>
      <w:lvlText w:val="•"/>
      <w:lvlJc w:val="left"/>
      <w:pPr>
        <w:ind w:left="6979" w:hanging="721"/>
      </w:pPr>
      <w:rPr>
        <w:rFonts w:hint="default"/>
        <w:lang w:val="en-US" w:eastAsia="en-US" w:bidi="ar-SA"/>
      </w:rPr>
    </w:lvl>
    <w:lvl w:ilvl="8" w:tplc="FFFFFFFF">
      <w:numFmt w:val="bullet"/>
      <w:lvlText w:val="•"/>
      <w:lvlJc w:val="left"/>
      <w:pPr>
        <w:ind w:left="7755" w:hanging="721"/>
      </w:pPr>
      <w:rPr>
        <w:rFonts w:hint="default"/>
        <w:lang w:val="en-US" w:eastAsia="en-US" w:bidi="ar-SA"/>
      </w:rPr>
    </w:lvl>
  </w:abstractNum>
  <w:abstractNum w:abstractNumId="26" w15:restartNumberingAfterBreak="0">
    <w:nsid w:val="5BDB208F"/>
    <w:multiLevelType w:val="hybridMultilevel"/>
    <w:tmpl w:val="414A0744"/>
    <w:lvl w:ilvl="0" w:tplc="FFFFFFFF">
      <w:start w:val="1"/>
      <w:numFmt w:val="lowerLetter"/>
      <w:lvlText w:val="(%1)"/>
      <w:lvlJc w:val="left"/>
      <w:pPr>
        <w:ind w:left="1602" w:hanging="721"/>
      </w:pPr>
      <w:rPr>
        <w:rFonts w:ascii="Times New Roman" w:eastAsia="Times New Roman" w:hAnsi="Times New Roman" w:cs="Times New Roman" w:hint="default"/>
        <w:b w:val="0"/>
        <w:bCs w:val="0"/>
        <w:i w:val="0"/>
        <w:iCs w:val="0"/>
        <w:spacing w:val="0"/>
        <w:w w:val="103"/>
        <w:sz w:val="23"/>
        <w:szCs w:val="23"/>
        <w:lang w:val="en-US" w:eastAsia="en-US" w:bidi="ar-SA"/>
      </w:rPr>
    </w:lvl>
    <w:lvl w:ilvl="1" w:tplc="FFFFFFFF">
      <w:start w:val="1"/>
      <w:numFmt w:val="lowerRoman"/>
      <w:lvlText w:val="(%2)"/>
      <w:lvlJc w:val="left"/>
      <w:pPr>
        <w:ind w:left="2322" w:hanging="721"/>
      </w:pPr>
      <w:rPr>
        <w:rFonts w:ascii="Times New Roman" w:eastAsia="Times New Roman" w:hAnsi="Times New Roman" w:cs="Times New Roman" w:hint="default"/>
        <w:b w:val="0"/>
        <w:bCs w:val="0"/>
        <w:i w:val="0"/>
        <w:iCs w:val="0"/>
        <w:spacing w:val="-2"/>
        <w:w w:val="103"/>
        <w:sz w:val="23"/>
        <w:szCs w:val="23"/>
        <w:lang w:val="en-US" w:eastAsia="en-US" w:bidi="ar-SA"/>
      </w:rPr>
    </w:lvl>
    <w:lvl w:ilvl="2" w:tplc="FFFFFFFF">
      <w:numFmt w:val="bullet"/>
      <w:lvlText w:val="•"/>
      <w:lvlJc w:val="left"/>
      <w:pPr>
        <w:ind w:left="3096" w:hanging="721"/>
      </w:pPr>
      <w:rPr>
        <w:rFonts w:hint="default"/>
        <w:lang w:val="en-US" w:eastAsia="en-US" w:bidi="ar-SA"/>
      </w:rPr>
    </w:lvl>
    <w:lvl w:ilvl="3" w:tplc="FFFFFFFF">
      <w:numFmt w:val="bullet"/>
      <w:lvlText w:val="•"/>
      <w:lvlJc w:val="left"/>
      <w:pPr>
        <w:ind w:left="3873" w:hanging="721"/>
      </w:pPr>
      <w:rPr>
        <w:rFonts w:hint="default"/>
        <w:lang w:val="en-US" w:eastAsia="en-US" w:bidi="ar-SA"/>
      </w:rPr>
    </w:lvl>
    <w:lvl w:ilvl="4" w:tplc="FFFFFFFF">
      <w:numFmt w:val="bullet"/>
      <w:lvlText w:val="•"/>
      <w:lvlJc w:val="left"/>
      <w:pPr>
        <w:ind w:left="4649" w:hanging="721"/>
      </w:pPr>
      <w:rPr>
        <w:rFonts w:hint="default"/>
        <w:lang w:val="en-US" w:eastAsia="en-US" w:bidi="ar-SA"/>
      </w:rPr>
    </w:lvl>
    <w:lvl w:ilvl="5" w:tplc="FFFFFFFF">
      <w:numFmt w:val="bullet"/>
      <w:lvlText w:val="•"/>
      <w:lvlJc w:val="left"/>
      <w:pPr>
        <w:ind w:left="5426" w:hanging="721"/>
      </w:pPr>
      <w:rPr>
        <w:rFonts w:hint="default"/>
        <w:lang w:val="en-US" w:eastAsia="en-US" w:bidi="ar-SA"/>
      </w:rPr>
    </w:lvl>
    <w:lvl w:ilvl="6" w:tplc="FFFFFFFF">
      <w:numFmt w:val="bullet"/>
      <w:lvlText w:val="•"/>
      <w:lvlJc w:val="left"/>
      <w:pPr>
        <w:ind w:left="6202" w:hanging="721"/>
      </w:pPr>
      <w:rPr>
        <w:rFonts w:hint="default"/>
        <w:lang w:val="en-US" w:eastAsia="en-US" w:bidi="ar-SA"/>
      </w:rPr>
    </w:lvl>
    <w:lvl w:ilvl="7" w:tplc="FFFFFFFF">
      <w:numFmt w:val="bullet"/>
      <w:lvlText w:val="•"/>
      <w:lvlJc w:val="left"/>
      <w:pPr>
        <w:ind w:left="6979" w:hanging="721"/>
      </w:pPr>
      <w:rPr>
        <w:rFonts w:hint="default"/>
        <w:lang w:val="en-US" w:eastAsia="en-US" w:bidi="ar-SA"/>
      </w:rPr>
    </w:lvl>
    <w:lvl w:ilvl="8" w:tplc="FFFFFFFF">
      <w:numFmt w:val="bullet"/>
      <w:lvlText w:val="•"/>
      <w:lvlJc w:val="left"/>
      <w:pPr>
        <w:ind w:left="7755" w:hanging="721"/>
      </w:pPr>
      <w:rPr>
        <w:rFonts w:hint="default"/>
        <w:lang w:val="en-US" w:eastAsia="en-US" w:bidi="ar-SA"/>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1510869373">
    <w:abstractNumId w:val="16"/>
  </w:num>
  <w:num w:numId="2" w16cid:durableId="1000818490">
    <w:abstractNumId w:val="9"/>
  </w:num>
  <w:num w:numId="3" w16cid:durableId="1125923399">
    <w:abstractNumId w:val="7"/>
  </w:num>
  <w:num w:numId="4" w16cid:durableId="1816217356">
    <w:abstractNumId w:val="6"/>
  </w:num>
  <w:num w:numId="5" w16cid:durableId="887181283">
    <w:abstractNumId w:val="5"/>
  </w:num>
  <w:num w:numId="6" w16cid:durableId="2055763342">
    <w:abstractNumId w:val="4"/>
  </w:num>
  <w:num w:numId="7" w16cid:durableId="414979717">
    <w:abstractNumId w:val="8"/>
  </w:num>
  <w:num w:numId="8" w16cid:durableId="1696540370">
    <w:abstractNumId w:val="3"/>
  </w:num>
  <w:num w:numId="9" w16cid:durableId="54859749">
    <w:abstractNumId w:val="2"/>
  </w:num>
  <w:num w:numId="10" w16cid:durableId="1285892183">
    <w:abstractNumId w:val="1"/>
  </w:num>
  <w:num w:numId="11" w16cid:durableId="1630938405">
    <w:abstractNumId w:val="0"/>
  </w:num>
  <w:num w:numId="12" w16cid:durableId="1134910163">
    <w:abstractNumId w:val="27"/>
  </w:num>
  <w:num w:numId="13" w16cid:durableId="1046374170">
    <w:abstractNumId w:val="23"/>
  </w:num>
  <w:num w:numId="14" w16cid:durableId="575669686">
    <w:abstractNumId w:val="24"/>
  </w:num>
  <w:num w:numId="15" w16cid:durableId="1045527323">
    <w:abstractNumId w:val="29"/>
  </w:num>
  <w:num w:numId="16" w16cid:durableId="48455102">
    <w:abstractNumId w:val="14"/>
  </w:num>
  <w:num w:numId="17" w16cid:durableId="775060174">
    <w:abstractNumId w:val="28"/>
  </w:num>
  <w:num w:numId="18" w16cid:durableId="809058792">
    <w:abstractNumId w:val="11"/>
  </w:num>
  <w:num w:numId="19" w16cid:durableId="1730222410">
    <w:abstractNumId w:val="21"/>
  </w:num>
  <w:num w:numId="20" w16cid:durableId="1447385915">
    <w:abstractNumId w:val="17"/>
  </w:num>
  <w:num w:numId="21" w16cid:durableId="1635328812">
    <w:abstractNumId w:val="18"/>
  </w:num>
  <w:num w:numId="22" w16cid:durableId="1485004117">
    <w:abstractNumId w:val="22"/>
  </w:num>
  <w:num w:numId="23" w16cid:durableId="980378666">
    <w:abstractNumId w:val="10"/>
  </w:num>
  <w:num w:numId="24" w16cid:durableId="948780148">
    <w:abstractNumId w:val="10"/>
  </w:num>
  <w:num w:numId="25" w16cid:durableId="2001998118">
    <w:abstractNumId w:val="13"/>
  </w:num>
  <w:num w:numId="26" w16cid:durableId="1508595847">
    <w:abstractNumId w:val="20"/>
  </w:num>
  <w:num w:numId="27" w16cid:durableId="1567108797">
    <w:abstractNumId w:val="20"/>
  </w:num>
  <w:num w:numId="28" w16cid:durableId="1989089500">
    <w:abstractNumId w:val="20"/>
  </w:num>
  <w:num w:numId="29" w16cid:durableId="890380236">
    <w:abstractNumId w:val="12"/>
  </w:num>
  <w:num w:numId="30" w16cid:durableId="431320798">
    <w:abstractNumId w:val="19"/>
  </w:num>
  <w:num w:numId="31" w16cid:durableId="1318916826">
    <w:abstractNumId w:val="25"/>
  </w:num>
  <w:num w:numId="32" w16cid:durableId="1740906199">
    <w:abstractNumId w:val="26"/>
  </w:num>
  <w:num w:numId="33" w16cid:durableId="497964186">
    <w:abstractNumId w:val="17"/>
    <w:lvlOverride w:ilvl="0">
      <w:startOverride w:val="20"/>
    </w:lvlOverride>
  </w:num>
  <w:num w:numId="34" w16cid:durableId="64974858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7461083">
    <w:abstractNumId w:val="15"/>
  </w:num>
  <w:num w:numId="36" w16cid:durableId="40588301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19174016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BB"/>
    <w:rsid w:val="00000747"/>
    <w:rsid w:val="00001C2A"/>
    <w:rsid w:val="000115C5"/>
    <w:rsid w:val="00012C8B"/>
    <w:rsid w:val="0001469E"/>
    <w:rsid w:val="00015993"/>
    <w:rsid w:val="00021CCB"/>
    <w:rsid w:val="00022289"/>
    <w:rsid w:val="000237E9"/>
    <w:rsid w:val="00027398"/>
    <w:rsid w:val="00031D89"/>
    <w:rsid w:val="0003201A"/>
    <w:rsid w:val="0003207A"/>
    <w:rsid w:val="00032F9F"/>
    <w:rsid w:val="00041C07"/>
    <w:rsid w:val="00045BB7"/>
    <w:rsid w:val="00050BAA"/>
    <w:rsid w:val="00055719"/>
    <w:rsid w:val="0005641B"/>
    <w:rsid w:val="0006196A"/>
    <w:rsid w:val="000650F0"/>
    <w:rsid w:val="00071FB3"/>
    <w:rsid w:val="00076FDB"/>
    <w:rsid w:val="00077768"/>
    <w:rsid w:val="00081497"/>
    <w:rsid w:val="000831EC"/>
    <w:rsid w:val="00084126"/>
    <w:rsid w:val="000850F8"/>
    <w:rsid w:val="00085255"/>
    <w:rsid w:val="000951D4"/>
    <w:rsid w:val="000A2E76"/>
    <w:rsid w:val="000A4807"/>
    <w:rsid w:val="000A4BE4"/>
    <w:rsid w:val="000A5185"/>
    <w:rsid w:val="000A7D2C"/>
    <w:rsid w:val="000B55B4"/>
    <w:rsid w:val="000C023E"/>
    <w:rsid w:val="000C39CE"/>
    <w:rsid w:val="000C405D"/>
    <w:rsid w:val="000C5195"/>
    <w:rsid w:val="000C62EF"/>
    <w:rsid w:val="000D20CE"/>
    <w:rsid w:val="000D2137"/>
    <w:rsid w:val="000D3FD2"/>
    <w:rsid w:val="000D4B2E"/>
    <w:rsid w:val="000D65D2"/>
    <w:rsid w:val="000E3FC8"/>
    <w:rsid w:val="000E7BAE"/>
    <w:rsid w:val="000F133D"/>
    <w:rsid w:val="00103BA0"/>
    <w:rsid w:val="0010536B"/>
    <w:rsid w:val="0011145C"/>
    <w:rsid w:val="001128BD"/>
    <w:rsid w:val="0011419D"/>
    <w:rsid w:val="00114B02"/>
    <w:rsid w:val="001226C0"/>
    <w:rsid w:val="00126AC1"/>
    <w:rsid w:val="00126EC8"/>
    <w:rsid w:val="0012731C"/>
    <w:rsid w:val="00127F79"/>
    <w:rsid w:val="001302DE"/>
    <w:rsid w:val="00132054"/>
    <w:rsid w:val="00134964"/>
    <w:rsid w:val="001351B9"/>
    <w:rsid w:val="0014099F"/>
    <w:rsid w:val="00145AB5"/>
    <w:rsid w:val="00155CD2"/>
    <w:rsid w:val="001727A4"/>
    <w:rsid w:val="0017376C"/>
    <w:rsid w:val="001738AB"/>
    <w:rsid w:val="0017470A"/>
    <w:rsid w:val="001765E0"/>
    <w:rsid w:val="00177759"/>
    <w:rsid w:val="00180BB3"/>
    <w:rsid w:val="00185DD6"/>
    <w:rsid w:val="00185E6B"/>
    <w:rsid w:val="00187274"/>
    <w:rsid w:val="0018799F"/>
    <w:rsid w:val="00187BBC"/>
    <w:rsid w:val="001932F3"/>
    <w:rsid w:val="001940C2"/>
    <w:rsid w:val="00195FC8"/>
    <w:rsid w:val="001A1F7E"/>
    <w:rsid w:val="001A2B40"/>
    <w:rsid w:val="001A4309"/>
    <w:rsid w:val="001A46AE"/>
    <w:rsid w:val="001A6C52"/>
    <w:rsid w:val="001B1053"/>
    <w:rsid w:val="001B14AC"/>
    <w:rsid w:val="001B7940"/>
    <w:rsid w:val="001C1408"/>
    <w:rsid w:val="001C171A"/>
    <w:rsid w:val="001C2FE0"/>
    <w:rsid w:val="001C37CA"/>
    <w:rsid w:val="001C4085"/>
    <w:rsid w:val="001D4303"/>
    <w:rsid w:val="001D4475"/>
    <w:rsid w:val="001D6746"/>
    <w:rsid w:val="001E0C61"/>
    <w:rsid w:val="001E3B49"/>
    <w:rsid w:val="001E4A05"/>
    <w:rsid w:val="001E6A19"/>
    <w:rsid w:val="001E7388"/>
    <w:rsid w:val="001F13DD"/>
    <w:rsid w:val="001F2473"/>
    <w:rsid w:val="001F2DBC"/>
    <w:rsid w:val="001F73E8"/>
    <w:rsid w:val="0020262C"/>
    <w:rsid w:val="00202723"/>
    <w:rsid w:val="00207068"/>
    <w:rsid w:val="00211A3E"/>
    <w:rsid w:val="00211BB1"/>
    <w:rsid w:val="00213F20"/>
    <w:rsid w:val="00214055"/>
    <w:rsid w:val="00215BCA"/>
    <w:rsid w:val="002160F5"/>
    <w:rsid w:val="00217AC4"/>
    <w:rsid w:val="00221461"/>
    <w:rsid w:val="00224537"/>
    <w:rsid w:val="0022507F"/>
    <w:rsid w:val="00235956"/>
    <w:rsid w:val="00243E5E"/>
    <w:rsid w:val="002467A6"/>
    <w:rsid w:val="00247C9A"/>
    <w:rsid w:val="0025160C"/>
    <w:rsid w:val="002535D0"/>
    <w:rsid w:val="002539B3"/>
    <w:rsid w:val="00256336"/>
    <w:rsid w:val="002569BB"/>
    <w:rsid w:val="00257C3E"/>
    <w:rsid w:val="002602C2"/>
    <w:rsid w:val="002666C9"/>
    <w:rsid w:val="00270136"/>
    <w:rsid w:val="00270FD7"/>
    <w:rsid w:val="00274F5B"/>
    <w:rsid w:val="00280836"/>
    <w:rsid w:val="00282E1A"/>
    <w:rsid w:val="002840F1"/>
    <w:rsid w:val="00285922"/>
    <w:rsid w:val="0029113B"/>
    <w:rsid w:val="002934C0"/>
    <w:rsid w:val="00293E1F"/>
    <w:rsid w:val="00295785"/>
    <w:rsid w:val="0029764C"/>
    <w:rsid w:val="002A1B50"/>
    <w:rsid w:val="002B0E91"/>
    <w:rsid w:val="002B132C"/>
    <w:rsid w:val="002B17AA"/>
    <w:rsid w:val="002B3F23"/>
    <w:rsid w:val="002B4EB5"/>
    <w:rsid w:val="002B5AF5"/>
    <w:rsid w:val="002B6779"/>
    <w:rsid w:val="002B71C0"/>
    <w:rsid w:val="002B7A34"/>
    <w:rsid w:val="002C31AD"/>
    <w:rsid w:val="002C3D11"/>
    <w:rsid w:val="002C7385"/>
    <w:rsid w:val="002D2DBB"/>
    <w:rsid w:val="002D37D8"/>
    <w:rsid w:val="002D54A6"/>
    <w:rsid w:val="002E3779"/>
    <w:rsid w:val="002E5728"/>
    <w:rsid w:val="002E5BF9"/>
    <w:rsid w:val="002E6A7A"/>
    <w:rsid w:val="002F1E49"/>
    <w:rsid w:val="002F271F"/>
    <w:rsid w:val="002F4E9C"/>
    <w:rsid w:val="002F6E15"/>
    <w:rsid w:val="00302F4E"/>
    <w:rsid w:val="003050F2"/>
    <w:rsid w:val="00311FB9"/>
    <w:rsid w:val="0031256C"/>
    <w:rsid w:val="00314D6C"/>
    <w:rsid w:val="00316D2A"/>
    <w:rsid w:val="00317417"/>
    <w:rsid w:val="00317C51"/>
    <w:rsid w:val="00322A7C"/>
    <w:rsid w:val="00322EEC"/>
    <w:rsid w:val="00323061"/>
    <w:rsid w:val="00330A31"/>
    <w:rsid w:val="00336C7E"/>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2212"/>
    <w:rsid w:val="003845A9"/>
    <w:rsid w:val="003850C9"/>
    <w:rsid w:val="00390883"/>
    <w:rsid w:val="003922F8"/>
    <w:rsid w:val="00395B24"/>
    <w:rsid w:val="003A042D"/>
    <w:rsid w:val="003A2D38"/>
    <w:rsid w:val="003A7ECC"/>
    <w:rsid w:val="003B2C72"/>
    <w:rsid w:val="003B58B4"/>
    <w:rsid w:val="003C1333"/>
    <w:rsid w:val="003C20FF"/>
    <w:rsid w:val="003C550A"/>
    <w:rsid w:val="003C6055"/>
    <w:rsid w:val="003D2650"/>
    <w:rsid w:val="003D41D5"/>
    <w:rsid w:val="003D560C"/>
    <w:rsid w:val="003D5C00"/>
    <w:rsid w:val="003E1B05"/>
    <w:rsid w:val="003E3154"/>
    <w:rsid w:val="003E5874"/>
    <w:rsid w:val="003E72D3"/>
    <w:rsid w:val="003F193E"/>
    <w:rsid w:val="003F1BEB"/>
    <w:rsid w:val="003F242C"/>
    <w:rsid w:val="003F34F1"/>
    <w:rsid w:val="004031D8"/>
    <w:rsid w:val="004074DC"/>
    <w:rsid w:val="004104B6"/>
    <w:rsid w:val="00411AE8"/>
    <w:rsid w:val="00412091"/>
    <w:rsid w:val="00413B74"/>
    <w:rsid w:val="00416101"/>
    <w:rsid w:val="00420D26"/>
    <w:rsid w:val="00425119"/>
    <w:rsid w:val="00432649"/>
    <w:rsid w:val="004342F3"/>
    <w:rsid w:val="00435C5F"/>
    <w:rsid w:val="00436155"/>
    <w:rsid w:val="00436460"/>
    <w:rsid w:val="00441E98"/>
    <w:rsid w:val="00450F3A"/>
    <w:rsid w:val="004532F7"/>
    <w:rsid w:val="00464D51"/>
    <w:rsid w:val="00465FAC"/>
    <w:rsid w:val="0047099B"/>
    <w:rsid w:val="00472027"/>
    <w:rsid w:val="004804CF"/>
    <w:rsid w:val="00482702"/>
    <w:rsid w:val="00483314"/>
    <w:rsid w:val="00484962"/>
    <w:rsid w:val="00484F6D"/>
    <w:rsid w:val="00484FB7"/>
    <w:rsid w:val="0048554D"/>
    <w:rsid w:val="00486B4A"/>
    <w:rsid w:val="0049338A"/>
    <w:rsid w:val="0049417F"/>
    <w:rsid w:val="00496D41"/>
    <w:rsid w:val="004A6602"/>
    <w:rsid w:val="004B1A46"/>
    <w:rsid w:val="004B215D"/>
    <w:rsid w:val="004B3EFA"/>
    <w:rsid w:val="004C2A87"/>
    <w:rsid w:val="004C4D7B"/>
    <w:rsid w:val="004C4ED3"/>
    <w:rsid w:val="004C667B"/>
    <w:rsid w:val="004C7ECD"/>
    <w:rsid w:val="004D2EA5"/>
    <w:rsid w:val="004D32A6"/>
    <w:rsid w:val="004D53E5"/>
    <w:rsid w:val="004D7950"/>
    <w:rsid w:val="004E5775"/>
    <w:rsid w:val="004E6DC4"/>
    <w:rsid w:val="004F21C1"/>
    <w:rsid w:val="00500C97"/>
    <w:rsid w:val="00501A12"/>
    <w:rsid w:val="0050309C"/>
    <w:rsid w:val="00511C56"/>
    <w:rsid w:val="0051327C"/>
    <w:rsid w:val="0051346D"/>
    <w:rsid w:val="00513EAE"/>
    <w:rsid w:val="0051434F"/>
    <w:rsid w:val="00516806"/>
    <w:rsid w:val="0052098C"/>
    <w:rsid w:val="00521BF7"/>
    <w:rsid w:val="00525A49"/>
    <w:rsid w:val="005262D1"/>
    <w:rsid w:val="00530876"/>
    <w:rsid w:val="005313AF"/>
    <w:rsid w:val="00531E22"/>
    <w:rsid w:val="00535613"/>
    <w:rsid w:val="00535857"/>
    <w:rsid w:val="005359EB"/>
    <w:rsid w:val="0054254A"/>
    <w:rsid w:val="0054500B"/>
    <w:rsid w:val="005466B5"/>
    <w:rsid w:val="00554314"/>
    <w:rsid w:val="00562829"/>
    <w:rsid w:val="005629B3"/>
    <w:rsid w:val="00570C48"/>
    <w:rsid w:val="0057128A"/>
    <w:rsid w:val="005724F6"/>
    <w:rsid w:val="00572955"/>
    <w:rsid w:val="00573AC4"/>
    <w:rsid w:val="005801FC"/>
    <w:rsid w:val="00580B7B"/>
    <w:rsid w:val="00580CEC"/>
    <w:rsid w:val="00581220"/>
    <w:rsid w:val="00585BA9"/>
    <w:rsid w:val="00587359"/>
    <w:rsid w:val="00587ABC"/>
    <w:rsid w:val="00595016"/>
    <w:rsid w:val="00595D6D"/>
    <w:rsid w:val="00597AAE"/>
    <w:rsid w:val="005A0CD4"/>
    <w:rsid w:val="005A222C"/>
    <w:rsid w:val="005A3C63"/>
    <w:rsid w:val="005A4DF8"/>
    <w:rsid w:val="005A78C8"/>
    <w:rsid w:val="005B1426"/>
    <w:rsid w:val="005C0A8E"/>
    <w:rsid w:val="005C1767"/>
    <w:rsid w:val="005C185C"/>
    <w:rsid w:val="005C42EF"/>
    <w:rsid w:val="005D1E96"/>
    <w:rsid w:val="005E02F5"/>
    <w:rsid w:val="005E0510"/>
    <w:rsid w:val="005E176E"/>
    <w:rsid w:val="005E218E"/>
    <w:rsid w:val="005E35A0"/>
    <w:rsid w:val="005F0D1B"/>
    <w:rsid w:val="005F1865"/>
    <w:rsid w:val="006007BD"/>
    <w:rsid w:val="006013C8"/>
    <w:rsid w:val="006014DC"/>
    <w:rsid w:val="0060270D"/>
    <w:rsid w:val="00604342"/>
    <w:rsid w:val="00604611"/>
    <w:rsid w:val="00606D80"/>
    <w:rsid w:val="00611586"/>
    <w:rsid w:val="00612D26"/>
    <w:rsid w:val="00615855"/>
    <w:rsid w:val="00620AC0"/>
    <w:rsid w:val="00620DA8"/>
    <w:rsid w:val="00621887"/>
    <w:rsid w:val="00624520"/>
    <w:rsid w:val="006245D4"/>
    <w:rsid w:val="006271F5"/>
    <w:rsid w:val="00632300"/>
    <w:rsid w:val="00632754"/>
    <w:rsid w:val="00632BB7"/>
    <w:rsid w:val="00635B36"/>
    <w:rsid w:val="00636871"/>
    <w:rsid w:val="00640EE1"/>
    <w:rsid w:val="00640F4E"/>
    <w:rsid w:val="00643DE0"/>
    <w:rsid w:val="0064437D"/>
    <w:rsid w:val="00644E85"/>
    <w:rsid w:val="0065101E"/>
    <w:rsid w:val="006516D8"/>
    <w:rsid w:val="00652C52"/>
    <w:rsid w:val="0066063F"/>
    <w:rsid w:val="00662BB0"/>
    <w:rsid w:val="00663878"/>
    <w:rsid w:val="0066485B"/>
    <w:rsid w:val="00666130"/>
    <w:rsid w:val="00667773"/>
    <w:rsid w:val="00670743"/>
    <w:rsid w:val="00680A85"/>
    <w:rsid w:val="00680AD7"/>
    <w:rsid w:val="00681ADF"/>
    <w:rsid w:val="00685DD3"/>
    <w:rsid w:val="00690EE2"/>
    <w:rsid w:val="00693854"/>
    <w:rsid w:val="00693D43"/>
    <w:rsid w:val="00694BEB"/>
    <w:rsid w:val="00694C04"/>
    <w:rsid w:val="006A0E20"/>
    <w:rsid w:val="006A24E3"/>
    <w:rsid w:val="006A5695"/>
    <w:rsid w:val="006B0439"/>
    <w:rsid w:val="006B3904"/>
    <w:rsid w:val="006B5B7D"/>
    <w:rsid w:val="006C0C86"/>
    <w:rsid w:val="006C5B46"/>
    <w:rsid w:val="006C6E39"/>
    <w:rsid w:val="006D0ECF"/>
    <w:rsid w:val="006D3D5B"/>
    <w:rsid w:val="006D406C"/>
    <w:rsid w:val="006D4C92"/>
    <w:rsid w:val="006D4EB6"/>
    <w:rsid w:val="006D617C"/>
    <w:rsid w:val="006D6B43"/>
    <w:rsid w:val="006D6C28"/>
    <w:rsid w:val="006D7FBC"/>
    <w:rsid w:val="006E35BF"/>
    <w:rsid w:val="006E7850"/>
    <w:rsid w:val="006F19D8"/>
    <w:rsid w:val="006F46D6"/>
    <w:rsid w:val="006F4BBB"/>
    <w:rsid w:val="00701303"/>
    <w:rsid w:val="00701EC5"/>
    <w:rsid w:val="007028D9"/>
    <w:rsid w:val="007060CC"/>
    <w:rsid w:val="007063C7"/>
    <w:rsid w:val="00707218"/>
    <w:rsid w:val="00710D04"/>
    <w:rsid w:val="00712B1D"/>
    <w:rsid w:val="00715751"/>
    <w:rsid w:val="007171BA"/>
    <w:rsid w:val="00717616"/>
    <w:rsid w:val="00717D6B"/>
    <w:rsid w:val="007247C2"/>
    <w:rsid w:val="007325D9"/>
    <w:rsid w:val="0073413F"/>
    <w:rsid w:val="0073583B"/>
    <w:rsid w:val="007360CA"/>
    <w:rsid w:val="007457FE"/>
    <w:rsid w:val="0074667B"/>
    <w:rsid w:val="007470BD"/>
    <w:rsid w:val="00760EC0"/>
    <w:rsid w:val="007711BD"/>
    <w:rsid w:val="00776601"/>
    <w:rsid w:val="0078003A"/>
    <w:rsid w:val="00780771"/>
    <w:rsid w:val="007875AD"/>
    <w:rsid w:val="007929CF"/>
    <w:rsid w:val="00797BA8"/>
    <w:rsid w:val="007A081D"/>
    <w:rsid w:val="007A4219"/>
    <w:rsid w:val="007A49E7"/>
    <w:rsid w:val="007A52BE"/>
    <w:rsid w:val="007A6F28"/>
    <w:rsid w:val="007B03C6"/>
    <w:rsid w:val="007B0DB1"/>
    <w:rsid w:val="007B5673"/>
    <w:rsid w:val="007B7238"/>
    <w:rsid w:val="007B76FF"/>
    <w:rsid w:val="007C1D86"/>
    <w:rsid w:val="007C3BF6"/>
    <w:rsid w:val="007C3E48"/>
    <w:rsid w:val="007C429E"/>
    <w:rsid w:val="007C67B3"/>
    <w:rsid w:val="007C6B87"/>
    <w:rsid w:val="007D0FD2"/>
    <w:rsid w:val="007D2EF8"/>
    <w:rsid w:val="007D3050"/>
    <w:rsid w:val="007D561F"/>
    <w:rsid w:val="007D7FD2"/>
    <w:rsid w:val="007E13D9"/>
    <w:rsid w:val="007E2AEC"/>
    <w:rsid w:val="007E41BE"/>
    <w:rsid w:val="007E4DB6"/>
    <w:rsid w:val="007E6733"/>
    <w:rsid w:val="007E7CD4"/>
    <w:rsid w:val="007F12AC"/>
    <w:rsid w:val="007F4501"/>
    <w:rsid w:val="007F60DF"/>
    <w:rsid w:val="007F6EA7"/>
    <w:rsid w:val="00801800"/>
    <w:rsid w:val="00801861"/>
    <w:rsid w:val="00801B5B"/>
    <w:rsid w:val="00805A30"/>
    <w:rsid w:val="008167BB"/>
    <w:rsid w:val="00821149"/>
    <w:rsid w:val="008216E7"/>
    <w:rsid w:val="00822A6D"/>
    <w:rsid w:val="00825BE6"/>
    <w:rsid w:val="00825F1F"/>
    <w:rsid w:val="008276B4"/>
    <w:rsid w:val="00831927"/>
    <w:rsid w:val="00837288"/>
    <w:rsid w:val="00841BD3"/>
    <w:rsid w:val="0084273D"/>
    <w:rsid w:val="00844E3F"/>
    <w:rsid w:val="00845A83"/>
    <w:rsid w:val="00846BB9"/>
    <w:rsid w:val="008605DD"/>
    <w:rsid w:val="008649D5"/>
    <w:rsid w:val="00865F20"/>
    <w:rsid w:val="008712BB"/>
    <w:rsid w:val="008830E7"/>
    <w:rsid w:val="00890EDE"/>
    <w:rsid w:val="00892B38"/>
    <w:rsid w:val="00896331"/>
    <w:rsid w:val="0089634F"/>
    <w:rsid w:val="008A1741"/>
    <w:rsid w:val="008A2484"/>
    <w:rsid w:val="008A52F3"/>
    <w:rsid w:val="008A690A"/>
    <w:rsid w:val="008C26D9"/>
    <w:rsid w:val="008C6D50"/>
    <w:rsid w:val="008C7167"/>
    <w:rsid w:val="008C7503"/>
    <w:rsid w:val="008D1617"/>
    <w:rsid w:val="008D330F"/>
    <w:rsid w:val="008D3E91"/>
    <w:rsid w:val="008D48C1"/>
    <w:rsid w:val="008E6315"/>
    <w:rsid w:val="008F0480"/>
    <w:rsid w:val="008F07FC"/>
    <w:rsid w:val="008F11E0"/>
    <w:rsid w:val="008F3EA7"/>
    <w:rsid w:val="008F449E"/>
    <w:rsid w:val="008F7203"/>
    <w:rsid w:val="008F78BC"/>
    <w:rsid w:val="008F7B63"/>
    <w:rsid w:val="008F7D6A"/>
    <w:rsid w:val="00901C86"/>
    <w:rsid w:val="00903603"/>
    <w:rsid w:val="009054CB"/>
    <w:rsid w:val="00911F8D"/>
    <w:rsid w:val="00912F94"/>
    <w:rsid w:val="009131B1"/>
    <w:rsid w:val="009171BC"/>
    <w:rsid w:val="0092497E"/>
    <w:rsid w:val="0092590B"/>
    <w:rsid w:val="00925BF3"/>
    <w:rsid w:val="00925E60"/>
    <w:rsid w:val="009264B3"/>
    <w:rsid w:val="00931E4C"/>
    <w:rsid w:val="009365E0"/>
    <w:rsid w:val="00942B01"/>
    <w:rsid w:val="00942BA2"/>
    <w:rsid w:val="009432B7"/>
    <w:rsid w:val="00944C86"/>
    <w:rsid w:val="00947C02"/>
    <w:rsid w:val="00950BE6"/>
    <w:rsid w:val="00957DE8"/>
    <w:rsid w:val="00960ECB"/>
    <w:rsid w:val="009615D6"/>
    <w:rsid w:val="00967855"/>
    <w:rsid w:val="00971CD1"/>
    <w:rsid w:val="00974709"/>
    <w:rsid w:val="00975DD2"/>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9BD"/>
    <w:rsid w:val="009E4FA6"/>
    <w:rsid w:val="009E7D93"/>
    <w:rsid w:val="009F052A"/>
    <w:rsid w:val="009F3C34"/>
    <w:rsid w:val="009F462C"/>
    <w:rsid w:val="009F5C33"/>
    <w:rsid w:val="00A026F0"/>
    <w:rsid w:val="00A03EAC"/>
    <w:rsid w:val="00A04DBB"/>
    <w:rsid w:val="00A07EA0"/>
    <w:rsid w:val="00A11CA6"/>
    <w:rsid w:val="00A204A8"/>
    <w:rsid w:val="00A20C49"/>
    <w:rsid w:val="00A22932"/>
    <w:rsid w:val="00A269CA"/>
    <w:rsid w:val="00A336EE"/>
    <w:rsid w:val="00A33F46"/>
    <w:rsid w:val="00A3427E"/>
    <w:rsid w:val="00A359AC"/>
    <w:rsid w:val="00A40F83"/>
    <w:rsid w:val="00A410FB"/>
    <w:rsid w:val="00A41413"/>
    <w:rsid w:val="00A431E6"/>
    <w:rsid w:val="00A436E8"/>
    <w:rsid w:val="00A44947"/>
    <w:rsid w:val="00A45FB1"/>
    <w:rsid w:val="00A46A0F"/>
    <w:rsid w:val="00A46CCC"/>
    <w:rsid w:val="00A47996"/>
    <w:rsid w:val="00A51CFE"/>
    <w:rsid w:val="00A5204D"/>
    <w:rsid w:val="00A56E77"/>
    <w:rsid w:val="00A61605"/>
    <w:rsid w:val="00A64D36"/>
    <w:rsid w:val="00A65F97"/>
    <w:rsid w:val="00A67CCE"/>
    <w:rsid w:val="00A7172C"/>
    <w:rsid w:val="00A73B04"/>
    <w:rsid w:val="00A73F22"/>
    <w:rsid w:val="00A76C13"/>
    <w:rsid w:val="00A83274"/>
    <w:rsid w:val="00A84FD0"/>
    <w:rsid w:val="00A92E79"/>
    <w:rsid w:val="00A930DE"/>
    <w:rsid w:val="00A950B6"/>
    <w:rsid w:val="00A95D45"/>
    <w:rsid w:val="00AA3EA8"/>
    <w:rsid w:val="00AB41C1"/>
    <w:rsid w:val="00AB4CF2"/>
    <w:rsid w:val="00AB606B"/>
    <w:rsid w:val="00AB6CCA"/>
    <w:rsid w:val="00AC223F"/>
    <w:rsid w:val="00AC33B1"/>
    <w:rsid w:val="00AC784B"/>
    <w:rsid w:val="00AD12A8"/>
    <w:rsid w:val="00AE023F"/>
    <w:rsid w:val="00AF3577"/>
    <w:rsid w:val="00AF35F9"/>
    <w:rsid w:val="00AF4E35"/>
    <w:rsid w:val="00AF555F"/>
    <w:rsid w:val="00AF5E30"/>
    <w:rsid w:val="00B0424C"/>
    <w:rsid w:val="00B05C7D"/>
    <w:rsid w:val="00B15D57"/>
    <w:rsid w:val="00B16347"/>
    <w:rsid w:val="00B17D6E"/>
    <w:rsid w:val="00B2435E"/>
    <w:rsid w:val="00B26869"/>
    <w:rsid w:val="00B31BA5"/>
    <w:rsid w:val="00B31D89"/>
    <w:rsid w:val="00B346C3"/>
    <w:rsid w:val="00B35540"/>
    <w:rsid w:val="00B4005C"/>
    <w:rsid w:val="00B4227E"/>
    <w:rsid w:val="00B4471C"/>
    <w:rsid w:val="00B451A6"/>
    <w:rsid w:val="00B56D6E"/>
    <w:rsid w:val="00B61B53"/>
    <w:rsid w:val="00B62280"/>
    <w:rsid w:val="00B64347"/>
    <w:rsid w:val="00B65DC6"/>
    <w:rsid w:val="00B67634"/>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4CA3"/>
    <w:rsid w:val="00BA707A"/>
    <w:rsid w:val="00BB015C"/>
    <w:rsid w:val="00BB1AFB"/>
    <w:rsid w:val="00BB27AE"/>
    <w:rsid w:val="00BB2DA2"/>
    <w:rsid w:val="00BB56DC"/>
    <w:rsid w:val="00BC6917"/>
    <w:rsid w:val="00BD0008"/>
    <w:rsid w:val="00BE183D"/>
    <w:rsid w:val="00BF24C2"/>
    <w:rsid w:val="00BF2922"/>
    <w:rsid w:val="00BF5D7A"/>
    <w:rsid w:val="00C00499"/>
    <w:rsid w:val="00C00C8B"/>
    <w:rsid w:val="00C01C2E"/>
    <w:rsid w:val="00C02D33"/>
    <w:rsid w:val="00C04B53"/>
    <w:rsid w:val="00C1232C"/>
    <w:rsid w:val="00C27C6B"/>
    <w:rsid w:val="00C30C95"/>
    <w:rsid w:val="00C3594D"/>
    <w:rsid w:val="00C36442"/>
    <w:rsid w:val="00C3730D"/>
    <w:rsid w:val="00C400CE"/>
    <w:rsid w:val="00C410FD"/>
    <w:rsid w:val="00C428C4"/>
    <w:rsid w:val="00C457DE"/>
    <w:rsid w:val="00C47DD3"/>
    <w:rsid w:val="00C5082B"/>
    <w:rsid w:val="00C5316F"/>
    <w:rsid w:val="00C53562"/>
    <w:rsid w:val="00C539FB"/>
    <w:rsid w:val="00C54B77"/>
    <w:rsid w:val="00C60F68"/>
    <w:rsid w:val="00C61C0D"/>
    <w:rsid w:val="00C6204E"/>
    <w:rsid w:val="00C66348"/>
    <w:rsid w:val="00C66AA3"/>
    <w:rsid w:val="00C66E57"/>
    <w:rsid w:val="00C724D7"/>
    <w:rsid w:val="00C739AE"/>
    <w:rsid w:val="00C74150"/>
    <w:rsid w:val="00C75594"/>
    <w:rsid w:val="00C75A12"/>
    <w:rsid w:val="00C85889"/>
    <w:rsid w:val="00C85982"/>
    <w:rsid w:val="00C96164"/>
    <w:rsid w:val="00C97A89"/>
    <w:rsid w:val="00CA0466"/>
    <w:rsid w:val="00CA246D"/>
    <w:rsid w:val="00CA50D9"/>
    <w:rsid w:val="00CB3054"/>
    <w:rsid w:val="00CB5636"/>
    <w:rsid w:val="00CB5F30"/>
    <w:rsid w:val="00CB6E7B"/>
    <w:rsid w:val="00CC3EE5"/>
    <w:rsid w:val="00CC3FB3"/>
    <w:rsid w:val="00CC6E47"/>
    <w:rsid w:val="00CD1346"/>
    <w:rsid w:val="00CD6784"/>
    <w:rsid w:val="00CE425C"/>
    <w:rsid w:val="00CE58AC"/>
    <w:rsid w:val="00CF39B5"/>
    <w:rsid w:val="00CF5A80"/>
    <w:rsid w:val="00D045EE"/>
    <w:rsid w:val="00D05091"/>
    <w:rsid w:val="00D10CA6"/>
    <w:rsid w:val="00D10F21"/>
    <w:rsid w:val="00D11E06"/>
    <w:rsid w:val="00D134CF"/>
    <w:rsid w:val="00D1573B"/>
    <w:rsid w:val="00D24806"/>
    <w:rsid w:val="00D34040"/>
    <w:rsid w:val="00D34E69"/>
    <w:rsid w:val="00D36C78"/>
    <w:rsid w:val="00D375EE"/>
    <w:rsid w:val="00D46579"/>
    <w:rsid w:val="00D51953"/>
    <w:rsid w:val="00D55AE8"/>
    <w:rsid w:val="00D56056"/>
    <w:rsid w:val="00D6085F"/>
    <w:rsid w:val="00D62699"/>
    <w:rsid w:val="00D642FE"/>
    <w:rsid w:val="00D66EB8"/>
    <w:rsid w:val="00D778E9"/>
    <w:rsid w:val="00D77933"/>
    <w:rsid w:val="00D812BF"/>
    <w:rsid w:val="00D82620"/>
    <w:rsid w:val="00D85707"/>
    <w:rsid w:val="00D86A8B"/>
    <w:rsid w:val="00D9357E"/>
    <w:rsid w:val="00D9725F"/>
    <w:rsid w:val="00DA01B1"/>
    <w:rsid w:val="00DA11A2"/>
    <w:rsid w:val="00DA14ED"/>
    <w:rsid w:val="00DA26D6"/>
    <w:rsid w:val="00DB2EF1"/>
    <w:rsid w:val="00DB3DE1"/>
    <w:rsid w:val="00DB5DA0"/>
    <w:rsid w:val="00DB716C"/>
    <w:rsid w:val="00DC0398"/>
    <w:rsid w:val="00DC1EDF"/>
    <w:rsid w:val="00DC22DE"/>
    <w:rsid w:val="00DC5C85"/>
    <w:rsid w:val="00DC6D8E"/>
    <w:rsid w:val="00DC7C5D"/>
    <w:rsid w:val="00DD4236"/>
    <w:rsid w:val="00DD44F1"/>
    <w:rsid w:val="00DD6957"/>
    <w:rsid w:val="00DD6E7A"/>
    <w:rsid w:val="00DE096E"/>
    <w:rsid w:val="00DE3067"/>
    <w:rsid w:val="00DF138D"/>
    <w:rsid w:val="00DF3EEE"/>
    <w:rsid w:val="00DF75E1"/>
    <w:rsid w:val="00E027BC"/>
    <w:rsid w:val="00E045BE"/>
    <w:rsid w:val="00E07AD9"/>
    <w:rsid w:val="00E10F0D"/>
    <w:rsid w:val="00E14EA5"/>
    <w:rsid w:val="00E2070E"/>
    <w:rsid w:val="00E21133"/>
    <w:rsid w:val="00E2181E"/>
    <w:rsid w:val="00E2327E"/>
    <w:rsid w:val="00E23577"/>
    <w:rsid w:val="00E2638B"/>
    <w:rsid w:val="00E266EF"/>
    <w:rsid w:val="00E326A8"/>
    <w:rsid w:val="00E47428"/>
    <w:rsid w:val="00E56C8E"/>
    <w:rsid w:val="00E5716B"/>
    <w:rsid w:val="00E57F1F"/>
    <w:rsid w:val="00E61674"/>
    <w:rsid w:val="00E66040"/>
    <w:rsid w:val="00E66B9F"/>
    <w:rsid w:val="00E677C3"/>
    <w:rsid w:val="00E70A6A"/>
    <w:rsid w:val="00E710D6"/>
    <w:rsid w:val="00E72F20"/>
    <w:rsid w:val="00E73DA4"/>
    <w:rsid w:val="00E76E45"/>
    <w:rsid w:val="00E777C9"/>
    <w:rsid w:val="00E81DA6"/>
    <w:rsid w:val="00E836A5"/>
    <w:rsid w:val="00E84212"/>
    <w:rsid w:val="00E9086C"/>
    <w:rsid w:val="00E90AAA"/>
    <w:rsid w:val="00E91A0F"/>
    <w:rsid w:val="00E94A71"/>
    <w:rsid w:val="00E94CBF"/>
    <w:rsid w:val="00E955DF"/>
    <w:rsid w:val="00E9603F"/>
    <w:rsid w:val="00EA03CE"/>
    <w:rsid w:val="00EA23E5"/>
    <w:rsid w:val="00EA4E2E"/>
    <w:rsid w:val="00EA661B"/>
    <w:rsid w:val="00EB2417"/>
    <w:rsid w:val="00EB2CCB"/>
    <w:rsid w:val="00EB7A25"/>
    <w:rsid w:val="00EC0F3E"/>
    <w:rsid w:val="00EC57A7"/>
    <w:rsid w:val="00ED0817"/>
    <w:rsid w:val="00ED7DD9"/>
    <w:rsid w:val="00EE445B"/>
    <w:rsid w:val="00EE55A2"/>
    <w:rsid w:val="00EE622A"/>
    <w:rsid w:val="00EE68E9"/>
    <w:rsid w:val="00EF3113"/>
    <w:rsid w:val="00EF3F84"/>
    <w:rsid w:val="00F176AC"/>
    <w:rsid w:val="00F253C3"/>
    <w:rsid w:val="00F25E90"/>
    <w:rsid w:val="00F26F28"/>
    <w:rsid w:val="00F27714"/>
    <w:rsid w:val="00F277D6"/>
    <w:rsid w:val="00F3276E"/>
    <w:rsid w:val="00F33D3C"/>
    <w:rsid w:val="00F3573F"/>
    <w:rsid w:val="00F371FF"/>
    <w:rsid w:val="00F37A91"/>
    <w:rsid w:val="00F408A0"/>
    <w:rsid w:val="00F45CF5"/>
    <w:rsid w:val="00F45DAA"/>
    <w:rsid w:val="00F47DB0"/>
    <w:rsid w:val="00F50C3F"/>
    <w:rsid w:val="00F50E34"/>
    <w:rsid w:val="00F51AFB"/>
    <w:rsid w:val="00F53EF7"/>
    <w:rsid w:val="00F54BF2"/>
    <w:rsid w:val="00F64E9A"/>
    <w:rsid w:val="00F6721A"/>
    <w:rsid w:val="00F7408A"/>
    <w:rsid w:val="00F775AC"/>
    <w:rsid w:val="00F77668"/>
    <w:rsid w:val="00F8261A"/>
    <w:rsid w:val="00F82E37"/>
    <w:rsid w:val="00F877F3"/>
    <w:rsid w:val="00F8792F"/>
    <w:rsid w:val="00F9214D"/>
    <w:rsid w:val="00F92355"/>
    <w:rsid w:val="00F92B9E"/>
    <w:rsid w:val="00F93000"/>
    <w:rsid w:val="00F93963"/>
    <w:rsid w:val="00F94291"/>
    <w:rsid w:val="00F96BB8"/>
    <w:rsid w:val="00FA298A"/>
    <w:rsid w:val="00FA5B66"/>
    <w:rsid w:val="00FA7B93"/>
    <w:rsid w:val="00FB0B9C"/>
    <w:rsid w:val="00FB30EB"/>
    <w:rsid w:val="00FB7982"/>
    <w:rsid w:val="00FC0734"/>
    <w:rsid w:val="00FC0FC5"/>
    <w:rsid w:val="00FC111E"/>
    <w:rsid w:val="00FC588F"/>
    <w:rsid w:val="00FC6879"/>
    <w:rsid w:val="00FD43C2"/>
    <w:rsid w:val="00FD57CC"/>
    <w:rsid w:val="00FE1B30"/>
    <w:rsid w:val="00FE7B44"/>
    <w:rsid w:val="00FF0641"/>
    <w:rsid w:val="00FF3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uiPriority w:val="99"/>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1"/>
    <w:qFormat/>
    <w:rsid w:val="008167BB"/>
    <w:pPr>
      <w:widowControl w:val="0"/>
      <w:overflowPunct w:val="0"/>
      <w:autoSpaceDE w:val="0"/>
      <w:autoSpaceDN w:val="0"/>
      <w:adjustRightInd w:val="0"/>
      <w:spacing w:line="240" w:lineRule="auto"/>
      <w:ind w:left="720"/>
      <w:contextualSpacing/>
      <w:jc w:val="left"/>
      <w:textAlignment w:val="baseline"/>
    </w:pPr>
    <w:rPr>
      <w:rFonts w:eastAsia="Times New Roman"/>
      <w:lang w:val="en-US"/>
    </w:rPr>
  </w:style>
  <w:style w:type="character" w:customStyle="1" w:styleId="charsectno">
    <w:name w:val="charsectno"/>
    <w:basedOn w:val="DefaultParagraphFont"/>
    <w:rsid w:val="00C6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95406">
      <w:bodyDiv w:val="1"/>
      <w:marLeft w:val="0"/>
      <w:marRight w:val="0"/>
      <w:marTop w:val="0"/>
      <w:marBottom w:val="0"/>
      <w:divBdr>
        <w:top w:val="none" w:sz="0" w:space="0" w:color="auto"/>
        <w:left w:val="none" w:sz="0" w:space="0" w:color="auto"/>
        <w:bottom w:val="none" w:sz="0" w:space="0" w:color="auto"/>
        <w:right w:val="none" w:sz="0" w:space="0" w:color="auto"/>
      </w:divBdr>
    </w:div>
    <w:div w:id="20331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F713656DC4514B65BF5204CFCCA2E"/>
        <w:category>
          <w:name w:val="General"/>
          <w:gallery w:val="placeholder"/>
        </w:category>
        <w:types>
          <w:type w:val="bbPlcHdr"/>
        </w:types>
        <w:behaviors>
          <w:behavior w:val="content"/>
        </w:behaviors>
        <w:guid w:val="{BB8BBFAF-D6BD-4D8F-8DEA-68CF7F26D0C8}"/>
      </w:docPartPr>
      <w:docPartBody>
        <w:p w:rsidR="00515B77" w:rsidRDefault="00FC2584">
          <w:pPr>
            <w:pStyle w:val="71CF713656DC4514B65BF5204CFCCA2E"/>
          </w:pPr>
          <w:r>
            <w:rPr>
              <w:rStyle w:val="PlaceholderText"/>
            </w:rPr>
            <w:t>MNC Text</w:t>
          </w:r>
        </w:p>
      </w:docPartBody>
    </w:docPart>
    <w:docPart>
      <w:docPartPr>
        <w:name w:val="1187C2E9601B467B85A7E9F51758D76F"/>
        <w:category>
          <w:name w:val="General"/>
          <w:gallery w:val="placeholder"/>
        </w:category>
        <w:types>
          <w:type w:val="bbPlcHdr"/>
        </w:types>
        <w:behaviors>
          <w:behavior w:val="content"/>
        </w:behaviors>
        <w:guid w:val="{66A022DE-DFD4-4FAA-9F85-B80851267963}"/>
      </w:docPartPr>
      <w:docPartBody>
        <w:p w:rsidR="00515B77" w:rsidRDefault="00FC2584">
          <w:pPr>
            <w:pStyle w:val="1187C2E9601B467B85A7E9F51758D76F"/>
          </w:pPr>
          <w:r w:rsidRPr="005C44BE">
            <w:rPr>
              <w:rStyle w:val="PlaceholderText"/>
            </w:rPr>
            <w:t>Click or tap here to enter text.</w:t>
          </w:r>
        </w:p>
      </w:docPartBody>
    </w:docPart>
    <w:docPart>
      <w:docPartPr>
        <w:name w:val="C7CB7DC455AA49E4BBD741F200E1548F"/>
        <w:category>
          <w:name w:val="General"/>
          <w:gallery w:val="placeholder"/>
        </w:category>
        <w:types>
          <w:type w:val="bbPlcHdr"/>
        </w:types>
        <w:behaviors>
          <w:behavior w:val="content"/>
        </w:behaviors>
        <w:guid w:val="{0A3CD3B0-5F2E-48F8-9072-F41013773F49}"/>
      </w:docPartPr>
      <w:docPartBody>
        <w:p w:rsidR="00515B77" w:rsidRDefault="00FC2584">
          <w:pPr>
            <w:pStyle w:val="C7CB7DC455AA49E4BBD741F200E1548F"/>
          </w:pPr>
          <w:r w:rsidRPr="005C44BE">
            <w:rPr>
              <w:rStyle w:val="PlaceholderText"/>
            </w:rPr>
            <w:t>Click or tap here to enter text.</w:t>
          </w:r>
        </w:p>
      </w:docPartBody>
    </w:docPart>
    <w:docPart>
      <w:docPartPr>
        <w:name w:val="605D6C2F76C94BAB82003237C2B036F1"/>
        <w:category>
          <w:name w:val="General"/>
          <w:gallery w:val="placeholder"/>
        </w:category>
        <w:types>
          <w:type w:val="bbPlcHdr"/>
        </w:types>
        <w:behaviors>
          <w:behavior w:val="content"/>
        </w:behaviors>
        <w:guid w:val="{0E29F5E6-6DCE-4919-9DC3-2409D439D338}"/>
      </w:docPartPr>
      <w:docPartBody>
        <w:p w:rsidR="00515B77" w:rsidRDefault="00FC2584">
          <w:pPr>
            <w:pStyle w:val="605D6C2F76C94BAB82003237C2B036F1"/>
          </w:pPr>
          <w:r w:rsidRPr="005C44BE">
            <w:rPr>
              <w:rStyle w:val="PlaceholderText"/>
            </w:rPr>
            <w:t>Click or tap here to enter text.</w:t>
          </w:r>
        </w:p>
      </w:docPartBody>
    </w:docPart>
    <w:docPart>
      <w:docPartPr>
        <w:name w:val="BAB44010234C4A879FFE7CA68B36315C"/>
        <w:category>
          <w:name w:val="General"/>
          <w:gallery w:val="placeholder"/>
        </w:category>
        <w:types>
          <w:type w:val="bbPlcHdr"/>
        </w:types>
        <w:behaviors>
          <w:behavior w:val="content"/>
        </w:behaviors>
        <w:guid w:val="{7DB53287-666C-4F4C-8030-EE964E5F1FE0}"/>
      </w:docPartPr>
      <w:docPartBody>
        <w:p w:rsidR="00515B77" w:rsidRDefault="00FC2584">
          <w:pPr>
            <w:pStyle w:val="BAB44010234C4A879FFE7CA68B36315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77"/>
    <w:rsid w:val="000049C9"/>
    <w:rsid w:val="00024CF9"/>
    <w:rsid w:val="00515B77"/>
    <w:rsid w:val="006918A7"/>
    <w:rsid w:val="00E72E5C"/>
    <w:rsid w:val="00FC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F713656DC4514B65BF5204CFCCA2E">
    <w:name w:val="71CF713656DC4514B65BF5204CFCCA2E"/>
  </w:style>
  <w:style w:type="paragraph" w:customStyle="1" w:styleId="1187C2E9601B467B85A7E9F51758D76F">
    <w:name w:val="1187C2E9601B467B85A7E9F51758D76F"/>
  </w:style>
  <w:style w:type="paragraph" w:customStyle="1" w:styleId="C7CB7DC455AA49E4BBD741F200E1548F">
    <w:name w:val="C7CB7DC455AA49E4BBD741F200E1548F"/>
  </w:style>
  <w:style w:type="paragraph" w:customStyle="1" w:styleId="605D6C2F76C94BAB82003237C2B036F1">
    <w:name w:val="605D6C2F76C94BAB82003237C2B036F1"/>
  </w:style>
  <w:style w:type="paragraph" w:customStyle="1" w:styleId="BAB44010234C4A879FFE7CA68B36315C">
    <w:name w:val="BAB44010234C4A879FFE7CA68B36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http://schemas.globalmacros.com/FCA">
  <Name>Australian Securities and Investments Commission v Brite Advisors Pty Ltd [2024] FCA 69</Name>
</root>
</file>

<file path=customXml/itemProps1.xml><?xml version="1.0" encoding="utf-8"?>
<ds:datastoreItem xmlns:ds="http://schemas.openxmlformats.org/officeDocument/2006/customXml" ds:itemID="{D2491BDD-2516-4911-AD38-40105538EAAB}">
  <ds:schemaRefs>
    <ds:schemaRef ds:uri="http://schemas.openxmlformats.org/officeDocument/2006/bibliography"/>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6272</Words>
  <Characters>31488</Characters>
  <Application>Microsoft Office Word</Application>
  <DocSecurity>0</DocSecurity>
  <PresentationFormat/>
  <Lines>656</Lines>
  <Paragraphs>258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Australian Securities and Investments Commission v Brite Advisors Pty Ltd [2024] FCA 69 </vt:lpstr>
    </vt:vector>
  </TitlesOfParts>
  <Manager/>
  <Company/>
  <LinksUpToDate>false</LinksUpToDate>
  <CharactersWithSpaces>37502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2024-02-08T06:06:00Z</cp:lastPrinted>
  <dcterms:created xsi:type="dcterms:W3CDTF">2024-02-11T22:00:00Z</dcterms:created>
  <dcterms:modified xsi:type="dcterms:W3CDTF">2024-02-11T22:00:00Z</dcterms:modified>
  <cp:category/>
  <cp:contentStatus/>
  <dc:language/>
  <cp:version/>
</cp:coreProperties>
</file>