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6FF2" w:rsidRDefault="00A16FF2">
      <w:pPr>
        <w:pStyle w:val="Title"/>
        <w:tabs>
          <w:tab w:val="right" w:pos="7830"/>
        </w:tabs>
        <w:ind w:right="17"/>
      </w:pPr>
      <w:r>
        <w:t>HIGH COURT OF AUSTRALIA</w:t>
      </w:r>
    </w:p>
    <w:p w:rsidR="00A16FF2" w:rsidRDefault="00A16FF2">
      <w:pPr>
        <w:tabs>
          <w:tab w:val="clear" w:pos="720"/>
          <w:tab w:val="clear" w:pos="1440"/>
        </w:tabs>
        <w:ind w:right="17"/>
        <w:jc w:val="center"/>
      </w:pPr>
    </w:p>
    <w:p w:rsidR="00A16FF2" w:rsidRPr="007A75E9" w:rsidRDefault="00A16FF2" w:rsidP="009E2B8C">
      <w:pPr>
        <w:ind w:right="17"/>
        <w:jc w:val="center"/>
      </w:pPr>
      <w:r w:rsidRPr="007A75E9">
        <w:t>FRENCH CJ</w:t>
      </w:r>
      <w:r>
        <w:t>,</w:t>
      </w:r>
    </w:p>
    <w:p w:rsidR="00A16FF2" w:rsidRPr="007A75E9" w:rsidRDefault="00A16FF2" w:rsidP="009E2B8C">
      <w:pPr>
        <w:ind w:right="17"/>
        <w:jc w:val="center"/>
      </w:pPr>
      <w:r w:rsidRPr="007A75E9">
        <w:t>GUMMOW, CRENNAN, KIEFEL AND BELL JJ</w:t>
      </w:r>
    </w:p>
    <w:p w:rsidR="00A16FF2" w:rsidRPr="007A75E9" w:rsidRDefault="00A16FF2" w:rsidP="009E2B8C">
      <w:pPr>
        <w:ind w:right="17"/>
        <w:jc w:val="center"/>
      </w:pPr>
    </w:p>
    <w:p w:rsidR="00A16FF2" w:rsidRDefault="00A16FF2">
      <w:pPr>
        <w:pStyle w:val="BorderOrd"/>
        <w:tabs>
          <w:tab w:val="clear" w:pos="720"/>
          <w:tab w:val="clear" w:pos="1440"/>
        </w:tabs>
        <w:ind w:left="1440" w:right="1457"/>
      </w:pPr>
    </w:p>
    <w:p w:rsidR="00A16FF2" w:rsidRDefault="00A16FF2">
      <w:pPr>
        <w:tabs>
          <w:tab w:val="clear" w:pos="720"/>
          <w:tab w:val="clear" w:pos="1440"/>
          <w:tab w:val="right" w:pos="7938"/>
        </w:tabs>
        <w:ind w:right="2125"/>
        <w:rPr>
          <w:b/>
          <w:bCs/>
        </w:rPr>
      </w:pPr>
    </w:p>
    <w:p w:rsidR="00A16FF2" w:rsidRDefault="00A16FF2" w:rsidP="00E02C71">
      <w:pPr>
        <w:tabs>
          <w:tab w:val="clear" w:pos="720"/>
          <w:tab w:val="clear" w:pos="1440"/>
          <w:tab w:val="clear" w:pos="3600"/>
          <w:tab w:val="clear" w:pos="4321"/>
          <w:tab w:val="clear" w:pos="5041"/>
          <w:tab w:val="clear" w:pos="5761"/>
          <w:tab w:val="clear" w:pos="6481"/>
          <w:tab w:val="clear" w:pos="7201"/>
          <w:tab w:val="right" w:pos="8505"/>
        </w:tabs>
      </w:pPr>
      <w:r>
        <w:t>WORKCOVER QUEENSLAND</w:t>
      </w:r>
      <w:r>
        <w:tab/>
        <w:t>APPELLANT</w:t>
      </w:r>
    </w:p>
    <w:p w:rsidR="00A16FF2" w:rsidRDefault="00A16FF2" w:rsidP="00E02C71">
      <w:pPr>
        <w:tabs>
          <w:tab w:val="clear" w:pos="720"/>
          <w:tab w:val="clear" w:pos="1440"/>
          <w:tab w:val="clear" w:pos="3600"/>
          <w:tab w:val="clear" w:pos="4321"/>
          <w:tab w:val="clear" w:pos="5041"/>
          <w:tab w:val="clear" w:pos="5761"/>
          <w:tab w:val="clear" w:pos="6481"/>
          <w:tab w:val="clear" w:pos="7201"/>
          <w:tab w:val="right" w:pos="8505"/>
        </w:tabs>
        <w:jc w:val="left"/>
      </w:pPr>
    </w:p>
    <w:p w:rsidR="00A16FF2" w:rsidRDefault="00A16FF2" w:rsidP="00E02C71">
      <w:pPr>
        <w:tabs>
          <w:tab w:val="clear" w:pos="720"/>
          <w:tab w:val="clear" w:pos="1440"/>
          <w:tab w:val="clear" w:pos="3600"/>
          <w:tab w:val="clear" w:pos="4321"/>
          <w:tab w:val="clear" w:pos="5041"/>
          <w:tab w:val="clear" w:pos="5761"/>
          <w:tab w:val="clear" w:pos="6481"/>
          <w:tab w:val="clear" w:pos="7201"/>
          <w:tab w:val="right" w:pos="8505"/>
        </w:tabs>
        <w:jc w:val="left"/>
      </w:pPr>
      <w:r>
        <w:t>AND</w:t>
      </w:r>
    </w:p>
    <w:p w:rsidR="00A16FF2" w:rsidRDefault="00A16FF2" w:rsidP="00E02C71">
      <w:pPr>
        <w:tabs>
          <w:tab w:val="clear" w:pos="720"/>
          <w:tab w:val="clear" w:pos="1440"/>
          <w:tab w:val="clear" w:pos="3600"/>
          <w:tab w:val="clear" w:pos="4321"/>
          <w:tab w:val="clear" w:pos="5041"/>
          <w:tab w:val="clear" w:pos="5761"/>
          <w:tab w:val="clear" w:pos="6481"/>
          <w:tab w:val="clear" w:pos="7201"/>
          <w:tab w:val="right" w:pos="8505"/>
        </w:tabs>
        <w:jc w:val="left"/>
      </w:pPr>
    </w:p>
    <w:p w:rsidR="00A16FF2" w:rsidRDefault="00A16FF2" w:rsidP="00E02C71">
      <w:pPr>
        <w:tabs>
          <w:tab w:val="clear" w:pos="720"/>
          <w:tab w:val="clear" w:pos="1440"/>
          <w:tab w:val="clear" w:pos="3600"/>
          <w:tab w:val="clear" w:pos="4321"/>
          <w:tab w:val="clear" w:pos="5041"/>
          <w:tab w:val="clear" w:pos="5761"/>
          <w:tab w:val="clear" w:pos="6481"/>
          <w:tab w:val="clear" w:pos="7201"/>
          <w:tab w:val="right" w:pos="8505"/>
        </w:tabs>
        <w:jc w:val="left"/>
      </w:pPr>
      <w:r>
        <w:t>AMACA PTY LTD &amp; ANOR</w:t>
      </w:r>
      <w:r>
        <w:tab/>
        <w:t>RESPONDENTS</w:t>
      </w:r>
    </w:p>
    <w:p w:rsidR="00A16FF2" w:rsidRDefault="00A16FF2">
      <w:pPr>
        <w:tabs>
          <w:tab w:val="clear" w:pos="720"/>
          <w:tab w:val="clear" w:pos="1440"/>
          <w:tab w:val="right" w:pos="7938"/>
        </w:tabs>
        <w:ind w:right="2125"/>
        <w:jc w:val="left"/>
        <w:rPr>
          <w:b/>
          <w:bCs/>
        </w:rPr>
      </w:pPr>
    </w:p>
    <w:p w:rsidR="00A16FF2" w:rsidRDefault="00A16FF2">
      <w:pPr>
        <w:tabs>
          <w:tab w:val="clear" w:pos="720"/>
          <w:tab w:val="clear" w:pos="1440"/>
          <w:tab w:val="right" w:pos="7938"/>
        </w:tabs>
        <w:ind w:right="2125"/>
        <w:rPr>
          <w:b/>
          <w:bCs/>
        </w:rPr>
      </w:pPr>
    </w:p>
    <w:p w:rsidR="00A16FF2" w:rsidRPr="000A1ED4" w:rsidRDefault="00A16FF2">
      <w:pPr>
        <w:tabs>
          <w:tab w:val="clear" w:pos="720"/>
          <w:tab w:val="clear" w:pos="1440"/>
          <w:tab w:val="right" w:pos="7830"/>
        </w:tabs>
        <w:ind w:right="17"/>
        <w:jc w:val="center"/>
      </w:pPr>
      <w:r>
        <w:rPr>
          <w:i/>
          <w:iCs/>
        </w:rPr>
        <w:t xml:space="preserve">WorkCover Queensland v Amaca Pty Ltd </w:t>
      </w:r>
      <w:r w:rsidRPr="000A1ED4">
        <w:t>[2010] HCA 34</w:t>
      </w:r>
    </w:p>
    <w:p w:rsidR="00A16FF2" w:rsidRPr="000A1ED4" w:rsidRDefault="00A16FF2">
      <w:pPr>
        <w:tabs>
          <w:tab w:val="clear" w:pos="720"/>
          <w:tab w:val="clear" w:pos="1440"/>
          <w:tab w:val="right" w:pos="7830"/>
        </w:tabs>
        <w:ind w:right="17"/>
        <w:jc w:val="center"/>
      </w:pPr>
      <w:r>
        <w:rPr>
          <w:i/>
          <w:iCs/>
        </w:rPr>
        <w:t>20 October 2010</w:t>
      </w:r>
    </w:p>
    <w:p w:rsidR="00A16FF2" w:rsidRDefault="00A16FF2">
      <w:pPr>
        <w:tabs>
          <w:tab w:val="clear" w:pos="720"/>
          <w:tab w:val="clear" w:pos="1440"/>
          <w:tab w:val="right" w:pos="7830"/>
        </w:tabs>
        <w:ind w:right="17"/>
        <w:jc w:val="center"/>
      </w:pPr>
      <w:r>
        <w:t>B10/2010</w:t>
      </w:r>
    </w:p>
    <w:p w:rsidR="00A16FF2" w:rsidRDefault="00A16FF2">
      <w:pPr>
        <w:tabs>
          <w:tab w:val="clear" w:pos="720"/>
          <w:tab w:val="clear" w:pos="1440"/>
          <w:tab w:val="right" w:pos="7830"/>
        </w:tabs>
        <w:ind w:right="17"/>
        <w:jc w:val="center"/>
      </w:pPr>
    </w:p>
    <w:p w:rsidR="00A16FF2" w:rsidRDefault="00A16FF2">
      <w:pPr>
        <w:tabs>
          <w:tab w:val="clear" w:pos="720"/>
          <w:tab w:val="clear" w:pos="1440"/>
          <w:tab w:val="right" w:pos="7830"/>
        </w:tabs>
        <w:ind w:right="17"/>
        <w:jc w:val="center"/>
      </w:pPr>
      <w:r>
        <w:rPr>
          <w:b/>
          <w:bCs/>
        </w:rPr>
        <w:t>ORDER</w:t>
      </w:r>
    </w:p>
    <w:p w:rsidR="00A16FF2" w:rsidRDefault="00A16FF2">
      <w:pPr>
        <w:tabs>
          <w:tab w:val="clear" w:pos="720"/>
          <w:tab w:val="clear" w:pos="1440"/>
          <w:tab w:val="right" w:pos="7830"/>
        </w:tabs>
        <w:ind w:right="17"/>
      </w:pPr>
    </w:p>
    <w:p w:rsidR="00A16FF2" w:rsidRPr="00660D21" w:rsidRDefault="00A16FF2" w:rsidP="009E2B8C">
      <w:pPr>
        <w:tabs>
          <w:tab w:val="clear" w:pos="6481"/>
          <w:tab w:val="left" w:pos="6480"/>
        </w:tabs>
        <w:rPr>
          <w:i/>
          <w:iCs/>
        </w:rPr>
      </w:pPr>
      <w:r>
        <w:rPr>
          <w:i/>
          <w:iCs/>
        </w:rPr>
        <w:t>1.</w:t>
      </w:r>
      <w:r>
        <w:rPr>
          <w:i/>
          <w:iCs/>
        </w:rPr>
        <w:tab/>
      </w:r>
      <w:r w:rsidRPr="00660D21">
        <w:rPr>
          <w:i/>
          <w:iCs/>
        </w:rPr>
        <w:t>Appeal allowed with costs.</w:t>
      </w:r>
    </w:p>
    <w:p w:rsidR="00A16FF2" w:rsidRPr="00660D21" w:rsidRDefault="00A16FF2" w:rsidP="009E2B8C">
      <w:pPr>
        <w:ind w:left="709" w:hanging="709"/>
        <w:rPr>
          <w:i/>
          <w:iCs/>
        </w:rPr>
      </w:pPr>
    </w:p>
    <w:p w:rsidR="00A16FF2" w:rsidRPr="00660D21" w:rsidRDefault="00A16FF2" w:rsidP="009E2B8C">
      <w:pPr>
        <w:ind w:left="709" w:hanging="709"/>
        <w:rPr>
          <w:i/>
          <w:iCs/>
        </w:rPr>
      </w:pPr>
      <w:r w:rsidRPr="00660D21">
        <w:rPr>
          <w:i/>
          <w:iCs/>
        </w:rPr>
        <w:t>2.</w:t>
      </w:r>
      <w:r w:rsidRPr="00660D21">
        <w:rPr>
          <w:i/>
          <w:iCs/>
        </w:rPr>
        <w:tab/>
        <w:t xml:space="preserve">Set aside the answers to questions 4 and 5 in the order of the Court of Appeal of the Supreme Court of Queensland made on 27 March 2009, and in their place order that questions 4 and 5 of the amended case stated be answered as follows: </w:t>
      </w:r>
    </w:p>
    <w:p w:rsidR="00A16FF2" w:rsidRPr="00660D21" w:rsidRDefault="00A16FF2" w:rsidP="009E2B8C">
      <w:pPr>
        <w:rPr>
          <w:i/>
          <w:iCs/>
        </w:rPr>
      </w:pPr>
    </w:p>
    <w:p w:rsidR="00A16FF2" w:rsidRPr="00660D21" w:rsidRDefault="00A16FF2" w:rsidP="009E2B8C">
      <w:pPr>
        <w:ind w:left="709" w:hanging="709"/>
        <w:rPr>
          <w:i/>
          <w:iCs/>
        </w:rPr>
      </w:pPr>
      <w:r w:rsidRPr="00660D21">
        <w:rPr>
          <w:i/>
          <w:iCs/>
        </w:rPr>
        <w:tab/>
        <w:t>(a)</w:t>
      </w:r>
      <w:r w:rsidRPr="00660D21">
        <w:rPr>
          <w:i/>
          <w:iCs/>
        </w:rPr>
        <w:tab/>
        <w:t xml:space="preserve">Question 4: </w:t>
      </w:r>
      <w:r>
        <w:rPr>
          <w:i/>
          <w:iCs/>
        </w:rPr>
        <w:t xml:space="preserve"> </w:t>
      </w:r>
      <w:r w:rsidRPr="00660D21">
        <w:rPr>
          <w:i/>
          <w:iCs/>
        </w:rPr>
        <w:t xml:space="preserve">No. </w:t>
      </w:r>
    </w:p>
    <w:p w:rsidR="00A16FF2" w:rsidRPr="00660D21" w:rsidRDefault="00A16FF2" w:rsidP="009E2B8C">
      <w:pPr>
        <w:ind w:left="709" w:hanging="709"/>
        <w:rPr>
          <w:i/>
          <w:iCs/>
        </w:rPr>
      </w:pPr>
    </w:p>
    <w:p w:rsidR="00A16FF2" w:rsidRPr="00660D21" w:rsidRDefault="00A16FF2" w:rsidP="009E2B8C">
      <w:pPr>
        <w:ind w:left="1440" w:hanging="1440"/>
        <w:rPr>
          <w:i/>
          <w:iCs/>
        </w:rPr>
      </w:pPr>
      <w:r w:rsidRPr="00660D21">
        <w:rPr>
          <w:i/>
          <w:iCs/>
        </w:rPr>
        <w:tab/>
        <w:t>(b)</w:t>
      </w:r>
      <w:r w:rsidRPr="00660D21">
        <w:rPr>
          <w:i/>
          <w:iCs/>
        </w:rPr>
        <w:tab/>
      </w:r>
      <w:r>
        <w:rPr>
          <w:i/>
          <w:iCs/>
        </w:rPr>
        <w:t xml:space="preserve">Question 5:  </w:t>
      </w:r>
      <w:r w:rsidRPr="00660D21">
        <w:rPr>
          <w:i/>
          <w:iCs/>
        </w:rPr>
        <w:t>The respondents should pay the costs of the plaintiff WorkCover Queensland in the amended case stated before the Court of Appeal.</w:t>
      </w:r>
    </w:p>
    <w:p w:rsidR="00A16FF2" w:rsidRDefault="00A16FF2">
      <w:pPr>
        <w:tabs>
          <w:tab w:val="clear" w:pos="720"/>
          <w:tab w:val="clear" w:pos="1440"/>
          <w:tab w:val="right" w:pos="7830"/>
        </w:tabs>
        <w:ind w:right="17"/>
      </w:pPr>
    </w:p>
    <w:p w:rsidR="00A16FF2" w:rsidRDefault="00A16FF2">
      <w:pPr>
        <w:tabs>
          <w:tab w:val="clear" w:pos="720"/>
          <w:tab w:val="clear" w:pos="1440"/>
          <w:tab w:val="right" w:pos="7830"/>
        </w:tabs>
        <w:ind w:right="17"/>
      </w:pPr>
      <w:r>
        <w:t>On appeal from the Supreme Court of Queensland</w:t>
      </w:r>
    </w:p>
    <w:p w:rsidR="00A16FF2" w:rsidRDefault="00A16FF2">
      <w:pPr>
        <w:tabs>
          <w:tab w:val="clear" w:pos="720"/>
          <w:tab w:val="clear" w:pos="1440"/>
          <w:tab w:val="right" w:pos="7830"/>
        </w:tabs>
        <w:ind w:right="17"/>
      </w:pPr>
    </w:p>
    <w:p w:rsidR="00A16FF2" w:rsidRDefault="00A16FF2">
      <w:pPr>
        <w:tabs>
          <w:tab w:val="clear" w:pos="720"/>
          <w:tab w:val="clear" w:pos="1440"/>
          <w:tab w:val="right" w:pos="7830"/>
        </w:tabs>
        <w:ind w:right="17"/>
        <w:rPr>
          <w:b/>
          <w:bCs/>
        </w:rPr>
      </w:pPr>
      <w:r>
        <w:rPr>
          <w:b/>
          <w:bCs/>
        </w:rPr>
        <w:t>Representation</w:t>
      </w:r>
    </w:p>
    <w:p w:rsidR="00A16FF2" w:rsidRDefault="00A16FF2">
      <w:pPr>
        <w:tabs>
          <w:tab w:val="clear" w:pos="720"/>
          <w:tab w:val="clear" w:pos="1440"/>
          <w:tab w:val="right" w:pos="7830"/>
        </w:tabs>
        <w:ind w:right="17"/>
        <w:rPr>
          <w:b/>
          <w:bCs/>
        </w:rPr>
      </w:pPr>
    </w:p>
    <w:p w:rsidR="00A16FF2" w:rsidRDefault="00A16FF2" w:rsidP="009E2B8C">
      <w:pPr>
        <w:tabs>
          <w:tab w:val="clear" w:pos="720"/>
          <w:tab w:val="clear" w:pos="1440"/>
          <w:tab w:val="right" w:pos="7830"/>
        </w:tabs>
        <w:ind w:right="17"/>
      </w:pPr>
      <w:r>
        <w:t>W Sofronoff QC Solicitor-General of the State of Queensland with K F Holyoak for the appellant (instructed by Bruce Thomas Lawyers)</w:t>
      </w:r>
    </w:p>
    <w:p w:rsidR="00A16FF2" w:rsidRDefault="00A16FF2" w:rsidP="009E2B8C">
      <w:pPr>
        <w:tabs>
          <w:tab w:val="clear" w:pos="720"/>
          <w:tab w:val="clear" w:pos="1440"/>
          <w:tab w:val="right" w:pos="7830"/>
        </w:tabs>
        <w:ind w:right="17"/>
      </w:pPr>
    </w:p>
    <w:p w:rsidR="00A16FF2" w:rsidRDefault="00A16FF2" w:rsidP="009E2B8C">
      <w:pPr>
        <w:tabs>
          <w:tab w:val="clear" w:pos="720"/>
          <w:tab w:val="clear" w:pos="1440"/>
          <w:tab w:val="right" w:pos="7830"/>
        </w:tabs>
        <w:ind w:right="17"/>
      </w:pPr>
      <w:r>
        <w:t>D F Jackson QC with R C Morton for the respondents (instructed by Holman Webb Lawyers and CLS Lawyers)</w:t>
      </w:r>
    </w:p>
    <w:p w:rsidR="00A16FF2" w:rsidRDefault="00A16FF2" w:rsidP="009E2B8C">
      <w:pPr>
        <w:tabs>
          <w:tab w:val="clear" w:pos="720"/>
          <w:tab w:val="clear" w:pos="1440"/>
          <w:tab w:val="right" w:pos="7830"/>
        </w:tabs>
        <w:ind w:right="17"/>
      </w:pPr>
    </w:p>
    <w:p w:rsidR="00A16FF2" w:rsidRDefault="00A16FF2" w:rsidP="00E02C71">
      <w:pPr>
        <w:pStyle w:val="BlockText"/>
        <w:tabs>
          <w:tab w:val="clear" w:pos="720"/>
          <w:tab w:val="clear" w:pos="1440"/>
          <w:tab w:val="clear" w:pos="5103"/>
        </w:tabs>
        <w:ind w:right="17"/>
        <w:jc w:val="both"/>
      </w:pPr>
      <w:r>
        <w:t>Notice:  This copy of the Court's Reasons for Judgment is subject to formal revision prior to publication in the Commonwealth Law Reports.</w:t>
      </w:r>
    </w:p>
    <w:p w:rsidR="00A16FF2" w:rsidRDefault="00A16FF2">
      <w:pPr>
        <w:pStyle w:val="Footer"/>
        <w:tabs>
          <w:tab w:val="clear" w:pos="510"/>
          <w:tab w:val="clear" w:pos="1021"/>
          <w:tab w:val="clear" w:pos="1559"/>
          <w:tab w:val="clear" w:pos="2126"/>
          <w:tab w:val="clear" w:pos="2693"/>
          <w:tab w:val="clear" w:pos="4153"/>
          <w:tab w:val="clear" w:pos="8306"/>
        </w:tabs>
        <w:jc w:val="left"/>
      </w:pPr>
    </w:p>
    <w:p w:rsidR="00A16FF2" w:rsidRDefault="00A16FF2">
      <w:pPr>
        <w:pStyle w:val="Footer"/>
        <w:tabs>
          <w:tab w:val="clear" w:pos="510"/>
          <w:tab w:val="clear" w:pos="1021"/>
          <w:tab w:val="clear" w:pos="1559"/>
          <w:tab w:val="clear" w:pos="2126"/>
          <w:tab w:val="clear" w:pos="2693"/>
          <w:tab w:val="clear" w:pos="4153"/>
          <w:tab w:val="clear" w:pos="8306"/>
        </w:tabs>
        <w:jc w:val="left"/>
        <w:sectPr w:rsidR="00A16FF2">
          <w:headerReference w:type="even" r:id="rId7"/>
          <w:headerReference w:type="default" r:id="rId8"/>
          <w:footerReference w:type="first" r:id="rId9"/>
          <w:type w:val="oddPage"/>
          <w:pgSz w:w="11907" w:h="16840" w:code="9"/>
          <w:pgMar w:top="1535" w:right="1701" w:bottom="1985" w:left="1701" w:header="720" w:footer="404" w:gutter="0"/>
          <w:pgNumType w:start="1"/>
          <w:cols w:space="720"/>
          <w:titlePg/>
          <w:rtlGutter/>
        </w:sectPr>
      </w:pPr>
    </w:p>
    <w:p w:rsidR="00A16FF2" w:rsidRDefault="00A16FF2" w:rsidP="009E2B8C">
      <w:pPr>
        <w:spacing w:line="240" w:lineRule="auto"/>
        <w:rPr>
          <w:b/>
          <w:bCs/>
        </w:rPr>
      </w:pPr>
      <w:r>
        <w:rPr>
          <w:b/>
          <w:bCs/>
        </w:rPr>
        <w:t>CATCHWORDS</w:t>
      </w:r>
    </w:p>
    <w:p w:rsidR="00A16FF2" w:rsidRDefault="00A16FF2" w:rsidP="009E2B8C">
      <w:pPr>
        <w:spacing w:line="240" w:lineRule="auto"/>
        <w:rPr>
          <w:b/>
          <w:bCs/>
        </w:rPr>
      </w:pPr>
    </w:p>
    <w:p w:rsidR="00A16FF2" w:rsidRDefault="00A16FF2" w:rsidP="009E2B8C">
      <w:pPr>
        <w:spacing w:line="240" w:lineRule="auto"/>
        <w:rPr>
          <w:b/>
          <w:bCs/>
        </w:rPr>
      </w:pPr>
      <w:r>
        <w:rPr>
          <w:b/>
          <w:bCs/>
        </w:rPr>
        <w:t xml:space="preserve">WorkCover Queensland v Amaca Pty Ltd </w:t>
      </w:r>
    </w:p>
    <w:p w:rsidR="00A16FF2" w:rsidRDefault="00A16FF2" w:rsidP="009E2B8C">
      <w:pPr>
        <w:spacing w:line="240" w:lineRule="auto"/>
        <w:rPr>
          <w:b/>
          <w:bCs/>
        </w:rPr>
      </w:pPr>
    </w:p>
    <w:p w:rsidR="00A16FF2" w:rsidRDefault="00A16FF2" w:rsidP="009E2B8C">
      <w:pPr>
        <w:spacing w:line="240" w:lineRule="auto"/>
      </w:pPr>
      <w:r>
        <w:t xml:space="preserve">Practice and procedure – Action – Death of worker – Survival of cause of action – Section 66(1) of </w:t>
      </w:r>
      <w:r>
        <w:rPr>
          <w:i/>
          <w:iCs/>
        </w:rPr>
        <w:t xml:space="preserve">Succession Act </w:t>
      </w:r>
      <w:r>
        <w:t xml:space="preserve">1981 (Q) ("Succession Act") provided causes of action vested in deceased person shall survive for benefit of person's estate – Section 66(2) limited damages recoverable "in any action brought" where cause of action survives under s 66(1) – Whether s 66(1) creates new cause of action – Discussion of history of survival of causes of action.  </w:t>
      </w:r>
    </w:p>
    <w:p w:rsidR="00A16FF2" w:rsidRDefault="00A16FF2" w:rsidP="009E2B8C">
      <w:pPr>
        <w:spacing w:line="240" w:lineRule="auto"/>
      </w:pPr>
    </w:p>
    <w:p w:rsidR="00A16FF2" w:rsidRDefault="00A16FF2" w:rsidP="009E2B8C">
      <w:pPr>
        <w:spacing w:line="240" w:lineRule="auto"/>
      </w:pPr>
      <w:r>
        <w:t xml:space="preserve">Workers' compensation – Insurance – Statutory scheme – Insurer's right of indemnity against third party for compensation paid – Insurer paid compensation to worker exposed to asbestos manufactured and supplied by respondents – Worker died and no proceedings instituted by worker or estate against any persons – Section 207B(7) of </w:t>
      </w:r>
      <w:r>
        <w:rPr>
          <w:i/>
          <w:iCs/>
        </w:rPr>
        <w:t xml:space="preserve">Workers' Compensation and Rehabilitation Act </w:t>
      </w:r>
      <w:r>
        <w:t xml:space="preserve">2003 (Q) ("Compensation Act") gave insurer, in these circumstances, right of indemnity against third party up to amount of compensation paid to worker, but only "to the extent of that person's liability for the damages" – Whether s 66(2) of Succession Act limits amount recoverable under right of indemnity in s 207B(7) of Compensation Act – Nature of cause of action created by s 207B(7) – Difference between liability and damages recoverable – Relevance of history of s 66(2) of Succession Act.  </w:t>
      </w:r>
    </w:p>
    <w:p w:rsidR="00A16FF2" w:rsidRDefault="00A16FF2" w:rsidP="009E2B8C">
      <w:pPr>
        <w:spacing w:line="240" w:lineRule="auto"/>
      </w:pPr>
    </w:p>
    <w:p w:rsidR="00A16FF2" w:rsidRDefault="00A16FF2" w:rsidP="009E2B8C">
      <w:pPr>
        <w:spacing w:line="240" w:lineRule="auto"/>
      </w:pPr>
      <w:r>
        <w:t>Words and phrases – "in any action brought", "liability", "to the extent of that person's liability for the damages".</w:t>
      </w:r>
    </w:p>
    <w:p w:rsidR="00A16FF2" w:rsidRDefault="00A16FF2" w:rsidP="009E2B8C">
      <w:pPr>
        <w:spacing w:line="240" w:lineRule="auto"/>
      </w:pPr>
    </w:p>
    <w:p w:rsidR="00A16FF2" w:rsidRPr="00D12968" w:rsidRDefault="00A16FF2" w:rsidP="009E2B8C">
      <w:pPr>
        <w:spacing w:line="240" w:lineRule="auto"/>
      </w:pPr>
      <w:r>
        <w:rPr>
          <w:i/>
          <w:iCs/>
        </w:rPr>
        <w:t xml:space="preserve">Common Law Practice Act </w:t>
      </w:r>
      <w:r>
        <w:t xml:space="preserve">1867 (Q), s 15D.  </w:t>
      </w:r>
    </w:p>
    <w:p w:rsidR="00A16FF2" w:rsidRDefault="00A16FF2" w:rsidP="009E2B8C">
      <w:pPr>
        <w:spacing w:line="240" w:lineRule="auto"/>
      </w:pPr>
      <w:r>
        <w:rPr>
          <w:i/>
          <w:iCs/>
        </w:rPr>
        <w:t xml:space="preserve">Succession Act </w:t>
      </w:r>
      <w:r>
        <w:t>1981 (Q), s 66.</w:t>
      </w:r>
    </w:p>
    <w:p w:rsidR="00A16FF2" w:rsidRPr="00D12968" w:rsidRDefault="00A16FF2" w:rsidP="009E2B8C">
      <w:pPr>
        <w:spacing w:line="240" w:lineRule="auto"/>
      </w:pPr>
      <w:r w:rsidRPr="00D12968">
        <w:rPr>
          <w:i/>
          <w:iCs/>
        </w:rPr>
        <w:t xml:space="preserve">Workers' Compensation and Rehabilitation Act </w:t>
      </w:r>
      <w:r>
        <w:t>2003 (Q</w:t>
      </w:r>
      <w:r w:rsidRPr="00D12968">
        <w:t>), s 207B.</w:t>
      </w:r>
    </w:p>
    <w:p w:rsidR="00A16FF2" w:rsidRPr="00D12968" w:rsidRDefault="00A16FF2" w:rsidP="009E2B8C">
      <w:pPr>
        <w:spacing w:line="240" w:lineRule="auto"/>
      </w:pPr>
      <w:r w:rsidRPr="00D12968">
        <w:rPr>
          <w:i/>
          <w:iCs/>
        </w:rPr>
        <w:t xml:space="preserve">Law Reform (Miscellaneous Provisions) Act </w:t>
      </w:r>
      <w:r w:rsidRPr="00D12968">
        <w:t xml:space="preserve">1934 (UK), 24 &amp; 25 Geo V c 41, s 1.  </w:t>
      </w:r>
    </w:p>
    <w:p w:rsidR="00A16FF2" w:rsidRDefault="00A16FF2">
      <w:pPr>
        <w:pStyle w:val="Footer"/>
        <w:tabs>
          <w:tab w:val="clear" w:pos="510"/>
          <w:tab w:val="clear" w:pos="1021"/>
          <w:tab w:val="clear" w:pos="1559"/>
          <w:tab w:val="clear" w:pos="2126"/>
          <w:tab w:val="clear" w:pos="2693"/>
          <w:tab w:val="clear" w:pos="4153"/>
          <w:tab w:val="clear" w:pos="8306"/>
        </w:tabs>
        <w:jc w:val="left"/>
        <w:rPr>
          <w:b/>
          <w:bCs/>
        </w:rPr>
      </w:pPr>
    </w:p>
    <w:p w:rsidR="00A16FF2" w:rsidRDefault="00A16FF2">
      <w:pPr>
        <w:pStyle w:val="Footer"/>
        <w:tabs>
          <w:tab w:val="clear" w:pos="510"/>
          <w:tab w:val="clear" w:pos="1021"/>
          <w:tab w:val="clear" w:pos="1559"/>
          <w:tab w:val="clear" w:pos="2126"/>
          <w:tab w:val="clear" w:pos="2693"/>
          <w:tab w:val="clear" w:pos="4153"/>
          <w:tab w:val="clear" w:pos="8306"/>
        </w:tabs>
        <w:jc w:val="left"/>
        <w:rPr>
          <w:b/>
          <w:bCs/>
        </w:rPr>
      </w:pPr>
    </w:p>
    <w:p w:rsidR="00A16FF2" w:rsidRDefault="00A16FF2">
      <w:pPr>
        <w:pStyle w:val="Footer"/>
        <w:tabs>
          <w:tab w:val="clear" w:pos="510"/>
          <w:tab w:val="clear" w:pos="1021"/>
          <w:tab w:val="clear" w:pos="1559"/>
          <w:tab w:val="clear" w:pos="2126"/>
          <w:tab w:val="clear" w:pos="2693"/>
          <w:tab w:val="clear" w:pos="4153"/>
          <w:tab w:val="clear" w:pos="8306"/>
        </w:tabs>
        <w:jc w:val="left"/>
        <w:rPr>
          <w:b/>
          <w:bCs/>
        </w:rPr>
        <w:sectPr w:rsidR="00A16FF2">
          <w:headerReference w:type="even" r:id="rId10"/>
          <w:type w:val="oddPage"/>
          <w:pgSz w:w="11907" w:h="16840" w:code="9"/>
          <w:pgMar w:top="1534" w:right="1701" w:bottom="1985" w:left="1701" w:header="720" w:footer="404" w:gutter="0"/>
          <w:pgNumType w:start="1"/>
          <w:cols w:space="720"/>
          <w:titlePg/>
        </w:sectPr>
      </w:pPr>
    </w:p>
    <w:p w:rsidR="00A16FF2" w:rsidRDefault="00A16FF2" w:rsidP="00696ED0">
      <w:pPr>
        <w:pStyle w:val="ListNumber"/>
        <w:numPr>
          <w:ilvl w:val="0"/>
          <w:numId w:val="20"/>
        </w:numPr>
        <w:tabs>
          <w:tab w:val="clear" w:pos="0"/>
        </w:tabs>
      </w:pPr>
      <w:r>
        <w:t xml:space="preserve">FRENCH CJ, GUMMOW, CRENNAN, KIEFEL AND BELL JJ.   </w:t>
      </w:r>
      <w:r w:rsidRPr="00DA46F2">
        <w:t>On 22 June 2007 the appellant</w:t>
      </w:r>
      <w:r>
        <w:t xml:space="preserve"> ("WorkCover")</w:t>
      </w:r>
      <w:r w:rsidRPr="00DA46F2">
        <w:t xml:space="preserve"> commenced proceedings</w:t>
      </w:r>
      <w:r>
        <w:t xml:space="preserve"> in the Supreme Court of Queensland</w:t>
      </w:r>
      <w:r w:rsidRPr="00DA46F2">
        <w:t xml:space="preserve"> pursuant to s 272(7)</w:t>
      </w:r>
      <w:r>
        <w:rPr>
          <w:rStyle w:val="FootnoteReference"/>
        </w:rPr>
        <w:footnoteReference w:id="3"/>
      </w:r>
      <w:r w:rsidRPr="00DA46F2">
        <w:t xml:space="preserve"> of the </w:t>
      </w:r>
      <w:r w:rsidRPr="00DA46F2">
        <w:rPr>
          <w:i/>
          <w:iCs/>
        </w:rPr>
        <w:t xml:space="preserve">Workers' Compensation and Rehabilitation Act </w:t>
      </w:r>
      <w:r w:rsidRPr="00DA46F2">
        <w:t xml:space="preserve">2003 </w:t>
      </w:r>
      <w:r>
        <w:t>(Q)</w:t>
      </w:r>
      <w:r w:rsidRPr="00DA46F2">
        <w:t xml:space="preserve"> ("the </w:t>
      </w:r>
      <w:r>
        <w:t>Compensation</w:t>
      </w:r>
      <w:r w:rsidRPr="00DA46F2">
        <w:t xml:space="preserve"> Act")</w:t>
      </w:r>
      <w:r>
        <w:t xml:space="preserve"> </w:t>
      </w:r>
      <w:r w:rsidRPr="00DA46F2">
        <w:t>to recover the quantum of compensation</w:t>
      </w:r>
      <w:r>
        <w:t xml:space="preserve"> previously</w:t>
      </w:r>
      <w:r w:rsidRPr="00DA46F2">
        <w:t xml:space="preserve"> paid</w:t>
      </w:r>
      <w:r>
        <w:t xml:space="preserve"> by it to M</w:t>
      </w:r>
      <w:r w:rsidRPr="00DA46F2">
        <w:t>r</w:t>
      </w:r>
      <w:r>
        <w:t> </w:t>
      </w:r>
      <w:r w:rsidRPr="00DA46F2">
        <w:t>Rex Noel Thomson</w:t>
      </w:r>
      <w:r>
        <w:t>.</w:t>
      </w:r>
      <w:r w:rsidRPr="00DA46F2">
        <w:t xml:space="preserve">  </w:t>
      </w:r>
      <w:r>
        <w:t>Mr Thomson was a carpenter and builder, and "worker" within the meaning of the Compensation Act, who had died on 20 June 2006 from malignant mesothelioma contracted as a result of inhaling asbestos contained in building products manufactured by the respondents.  WorkCover now sought to recover by indemnity from the respondents the payments made by it to Mr Thomson under the Compensation Act.  It will be necessary to refer further to the relevant facts later in these reasons.</w:t>
      </w:r>
    </w:p>
    <w:p w:rsidR="00A16FF2" w:rsidRDefault="00A16FF2" w:rsidP="008F5902"/>
    <w:p w:rsidR="00A16FF2" w:rsidRPr="00DA46F2" w:rsidRDefault="00A16FF2" w:rsidP="00696ED0">
      <w:pPr>
        <w:pStyle w:val="ListNumber"/>
        <w:numPr>
          <w:ilvl w:val="0"/>
          <w:numId w:val="20"/>
        </w:numPr>
        <w:tabs>
          <w:tab w:val="clear" w:pos="0"/>
        </w:tabs>
      </w:pPr>
      <w:r>
        <w:tab/>
        <w:t>From the pleadings four broad issues emerged.  On 2 September 2008, Dutney J ordered the referral of a case stated</w:t>
      </w:r>
      <w:r w:rsidRPr="00DA46F2">
        <w:t xml:space="preserve"> to the Court of Appeal pursuant to r </w:t>
      </w:r>
      <w:r>
        <w:t>483(2)</w:t>
      </w:r>
      <w:r w:rsidRPr="00DA46F2">
        <w:t xml:space="preserve"> of the </w:t>
      </w:r>
      <w:r w:rsidRPr="003B0999">
        <w:t xml:space="preserve">Uniform Civil Procedure Rules </w:t>
      </w:r>
      <w:r w:rsidRPr="00DA46F2">
        <w:t xml:space="preserve">1999 </w:t>
      </w:r>
      <w:r>
        <w:t>(Q)</w:t>
      </w:r>
      <w:r w:rsidRPr="00DA46F2">
        <w:t xml:space="preserve">.  The appeal </w:t>
      </w:r>
      <w:r>
        <w:t xml:space="preserve">by WorkCover </w:t>
      </w:r>
      <w:r w:rsidRPr="00DA46F2">
        <w:t>to this Court</w:t>
      </w:r>
      <w:r>
        <w:t>,</w:t>
      </w:r>
      <w:r w:rsidRPr="00DA46F2">
        <w:t xml:space="preserve"> from the decision of</w:t>
      </w:r>
      <w:r>
        <w:t xml:space="preserve"> the Court of Appeal (</w:t>
      </w:r>
      <w:r w:rsidRPr="00DA46F2">
        <w:t>de Jersey</w:t>
      </w:r>
      <w:r>
        <w:t> </w:t>
      </w:r>
      <w:r w:rsidRPr="00DA46F2">
        <w:t>CJ and Muir</w:t>
      </w:r>
      <w:r>
        <w:t> JA;</w:t>
      </w:r>
      <w:r w:rsidRPr="00DA46F2">
        <w:t xml:space="preserve"> McMurdo</w:t>
      </w:r>
      <w:r>
        <w:t> </w:t>
      </w:r>
      <w:r w:rsidRPr="00DA46F2">
        <w:t>P dissenting</w:t>
      </w:r>
      <w:r>
        <w:t>)</w:t>
      </w:r>
      <w:r w:rsidRPr="00DA46F2">
        <w:rPr>
          <w:rStyle w:val="FootnoteReference"/>
        </w:rPr>
        <w:footnoteReference w:id="4"/>
      </w:r>
      <w:r w:rsidRPr="00DA46F2">
        <w:t xml:space="preserve">, concerns the fourth question </w:t>
      </w:r>
      <w:r>
        <w:t>in</w:t>
      </w:r>
      <w:r w:rsidRPr="00DA46F2">
        <w:t xml:space="preserve"> the case stated:</w:t>
      </w:r>
    </w:p>
    <w:p w:rsidR="00A16FF2" w:rsidRDefault="00A16FF2" w:rsidP="008F5902"/>
    <w:p w:rsidR="00A16FF2" w:rsidRDefault="00A16FF2" w:rsidP="008F5902">
      <w:pPr>
        <w:pStyle w:val="leftright"/>
      </w:pPr>
      <w:r>
        <w:t xml:space="preserve">"Is the </w:t>
      </w:r>
      <w:r w:rsidRPr="00DA46F2">
        <w:t xml:space="preserve">quantum of the indemnity </w:t>
      </w:r>
      <w:r>
        <w:t>[WorkCover</w:t>
      </w:r>
      <w:r w:rsidRPr="00DA46F2">
        <w:t>] is entitled to recover pursuant to</w:t>
      </w:r>
      <w:r>
        <w:t xml:space="preserve"> [s 207B(7) of the Compensation</w:t>
      </w:r>
      <w:r w:rsidRPr="00DA46F2">
        <w:t xml:space="preserve"> Act] reduced by the operation of </w:t>
      </w:r>
      <w:r>
        <w:t>[s </w:t>
      </w:r>
      <w:r w:rsidRPr="00DA46F2">
        <w:t xml:space="preserve">66 of the </w:t>
      </w:r>
      <w:r w:rsidRPr="00DA46F2">
        <w:rPr>
          <w:i/>
          <w:iCs/>
        </w:rPr>
        <w:t xml:space="preserve">Succession Act </w:t>
      </w:r>
      <w:r w:rsidRPr="00DA46F2">
        <w:t xml:space="preserve">1981 </w:t>
      </w:r>
      <w:r>
        <w:t>(Q)</w:t>
      </w:r>
      <w:r w:rsidRPr="00DA46F2">
        <w:t xml:space="preserve"> ("the Succession Act")] if the worker dies after compensation is paid and before the trial of</w:t>
      </w:r>
      <w:r>
        <w:t xml:space="preserve"> [WorkCover's]</w:t>
      </w:r>
      <w:r w:rsidRPr="00DA46F2">
        <w:t xml:space="preserve"> action to recover the indemnity?" </w:t>
      </w:r>
    </w:p>
    <w:p w:rsidR="00A16FF2" w:rsidRDefault="00A16FF2" w:rsidP="008F5902">
      <w:r>
        <w:t>Contrary to the decision of the majority of the Court of Appeal, that question should be answered "no" and the appeal by WorkCover should be allowed.  We turn to explain why this is so.</w:t>
      </w:r>
    </w:p>
    <w:p w:rsidR="00A16FF2" w:rsidRPr="00DA46F2" w:rsidRDefault="00A16FF2" w:rsidP="008F5902">
      <w:pPr>
        <w:spacing w:line="480" w:lineRule="atLeast"/>
        <w:rPr>
          <w:u w:val="single"/>
        </w:rPr>
      </w:pPr>
      <w:r w:rsidRPr="00DA46F2">
        <w:rPr>
          <w:u w:val="single"/>
        </w:rPr>
        <w:t>The facts</w:t>
      </w:r>
    </w:p>
    <w:p w:rsidR="00A16FF2" w:rsidRPr="00DA46F2" w:rsidRDefault="00A16FF2" w:rsidP="008F5902"/>
    <w:p w:rsidR="00A16FF2" w:rsidRPr="00DA46F2" w:rsidRDefault="00A16FF2" w:rsidP="00696ED0">
      <w:pPr>
        <w:pStyle w:val="ListNumber"/>
        <w:numPr>
          <w:ilvl w:val="0"/>
          <w:numId w:val="20"/>
        </w:numPr>
        <w:tabs>
          <w:tab w:val="clear" w:pos="0"/>
        </w:tabs>
      </w:pPr>
      <w:r>
        <w:tab/>
        <w:t>M</w:t>
      </w:r>
      <w:r w:rsidRPr="00DA46F2">
        <w:t>r Thomson</w:t>
      </w:r>
      <w:r>
        <w:t xml:space="preserve"> had been</w:t>
      </w:r>
      <w:r w:rsidRPr="00DA46F2">
        <w:t xml:space="preserve"> born</w:t>
      </w:r>
      <w:r>
        <w:t xml:space="preserve"> on</w:t>
      </w:r>
      <w:r w:rsidRPr="00DA46F2">
        <w:t xml:space="preserve"> 30 June 1931</w:t>
      </w:r>
      <w:r>
        <w:t xml:space="preserve"> and had</w:t>
      </w:r>
      <w:r w:rsidRPr="00DA46F2">
        <w:t xml:space="preserve"> </w:t>
      </w:r>
      <w:r>
        <w:t>worked for</w:t>
      </w:r>
      <w:r w:rsidRPr="00DA46F2">
        <w:t xml:space="preserve"> various employers in the State of Queensland between 1947 and 1983.  Throughout that time he was a "worker" for the purposes of the </w:t>
      </w:r>
      <w:r w:rsidRPr="00DA46F2">
        <w:rPr>
          <w:i/>
          <w:iCs/>
        </w:rPr>
        <w:t xml:space="preserve">Workers' Compensation Act </w:t>
      </w:r>
      <w:r w:rsidRPr="00DA46F2">
        <w:t xml:space="preserve">1916 </w:t>
      </w:r>
      <w:r>
        <w:t xml:space="preserve">(Q), the </w:t>
      </w:r>
      <w:r>
        <w:rPr>
          <w:i/>
          <w:iCs/>
        </w:rPr>
        <w:t xml:space="preserve">Workers' Compensation Act </w:t>
      </w:r>
      <w:r>
        <w:t>1990 (Q),</w:t>
      </w:r>
      <w:r w:rsidRPr="00DA46F2">
        <w:t xml:space="preserve"> the </w:t>
      </w:r>
      <w:r w:rsidRPr="00DA46F2">
        <w:rPr>
          <w:i/>
          <w:iCs/>
        </w:rPr>
        <w:t xml:space="preserve">WorkCover Queensland Act </w:t>
      </w:r>
      <w:r w:rsidRPr="00DA46F2">
        <w:t xml:space="preserve">1996 </w:t>
      </w:r>
      <w:r>
        <w:t>(Q)</w:t>
      </w:r>
      <w:r w:rsidRPr="00DA46F2">
        <w:t xml:space="preserve"> and</w:t>
      </w:r>
      <w:r>
        <w:t>, finally, the Compensation Act.</w:t>
      </w:r>
    </w:p>
    <w:p w:rsidR="00A16FF2" w:rsidRDefault="00A16FF2" w:rsidP="008F5902"/>
    <w:p w:rsidR="00A16FF2" w:rsidRPr="00DA46F2" w:rsidRDefault="00A16FF2" w:rsidP="00696ED0">
      <w:pPr>
        <w:pStyle w:val="ListNumber"/>
        <w:numPr>
          <w:ilvl w:val="0"/>
          <w:numId w:val="20"/>
        </w:numPr>
        <w:tabs>
          <w:tab w:val="clear" w:pos="0"/>
        </w:tabs>
      </w:pPr>
      <w:r w:rsidRPr="00DA46F2">
        <w:tab/>
        <w:t>During the course of his employment, Mr Thomson was exposed to asbestos manufactured and supplied by</w:t>
      </w:r>
      <w:r>
        <w:t xml:space="preserve"> the respondents</w:t>
      </w:r>
      <w:r w:rsidRPr="00DA46F2">
        <w:t xml:space="preserve">.  </w:t>
      </w:r>
      <w:r>
        <w:t xml:space="preserve">As a consequence he </w:t>
      </w:r>
      <w:r w:rsidRPr="00DA46F2">
        <w:t>contracted mesothelioma and applied to</w:t>
      </w:r>
      <w:r>
        <w:t xml:space="preserve"> WorkCover</w:t>
      </w:r>
      <w:r w:rsidRPr="00DA46F2">
        <w:t xml:space="preserve"> for payment of compensation.  On 18</w:t>
      </w:r>
      <w:r>
        <w:t> </w:t>
      </w:r>
      <w:r w:rsidRPr="00DA46F2">
        <w:t xml:space="preserve">April 2006, </w:t>
      </w:r>
      <w:r>
        <w:t>WorkCover</w:t>
      </w:r>
      <w:r w:rsidRPr="00DA46F2">
        <w:t xml:space="preserve"> paid to Mr</w:t>
      </w:r>
      <w:r>
        <w:t> </w:t>
      </w:r>
      <w:r w:rsidRPr="00DA46F2">
        <w:t>Thomson the sum of $340,000 by way of compensation</w:t>
      </w:r>
      <w:r>
        <w:t xml:space="preserve"> to which he was entitled under the Compensation Act for his contraction of mesothelioma</w:t>
      </w:r>
      <w:r w:rsidRPr="00DA46F2">
        <w:t>.</w:t>
      </w:r>
    </w:p>
    <w:p w:rsidR="00A16FF2" w:rsidRPr="00DA46F2" w:rsidRDefault="00A16FF2" w:rsidP="008F5902"/>
    <w:p w:rsidR="00A16FF2" w:rsidRPr="00DA46F2" w:rsidRDefault="00A16FF2" w:rsidP="00696ED0">
      <w:pPr>
        <w:pStyle w:val="ListNumber"/>
        <w:numPr>
          <w:ilvl w:val="0"/>
          <w:numId w:val="20"/>
        </w:numPr>
        <w:tabs>
          <w:tab w:val="clear" w:pos="0"/>
        </w:tabs>
      </w:pPr>
      <w:r w:rsidRPr="00DA46F2">
        <w:tab/>
      </w:r>
      <w:r>
        <w:t xml:space="preserve">Before his death, Mr Thomson had not instituted any proceedings upon </w:t>
      </w:r>
      <w:r w:rsidRPr="00DA46F2">
        <w:t>any cause of action he may have had against persons who may have been liable for his injury.  That</w:t>
      </w:r>
      <w:r>
        <w:t xml:space="preserve"> circumstance</w:t>
      </w:r>
      <w:r w:rsidRPr="00DA46F2">
        <w:t xml:space="preserve"> entitled</w:t>
      </w:r>
      <w:r>
        <w:t xml:space="preserve"> WorkCover</w:t>
      </w:r>
      <w:r w:rsidRPr="00DA46F2">
        <w:t xml:space="preserve"> to pursue its right of indemnity under s 207B(7)(a) of the </w:t>
      </w:r>
      <w:r>
        <w:t>Compensation</w:t>
      </w:r>
      <w:r w:rsidRPr="00DA46F2">
        <w:t xml:space="preserve"> Act.  </w:t>
      </w:r>
    </w:p>
    <w:p w:rsidR="00A16FF2" w:rsidRPr="00DA46F2" w:rsidRDefault="00A16FF2" w:rsidP="008F5902"/>
    <w:p w:rsidR="00A16FF2" w:rsidRPr="00DA46F2" w:rsidRDefault="00A16FF2" w:rsidP="008F5902">
      <w:pPr>
        <w:rPr>
          <w:u w:val="single"/>
        </w:rPr>
      </w:pPr>
      <w:r w:rsidRPr="00DA46F2">
        <w:rPr>
          <w:u w:val="single"/>
        </w:rPr>
        <w:t>The relevant legislative provisions</w:t>
      </w:r>
    </w:p>
    <w:p w:rsidR="00A16FF2" w:rsidRPr="00DA46F2" w:rsidRDefault="00A16FF2" w:rsidP="008F5902"/>
    <w:p w:rsidR="00A16FF2" w:rsidRDefault="00A16FF2" w:rsidP="00696ED0">
      <w:pPr>
        <w:pStyle w:val="ListNumber"/>
        <w:numPr>
          <w:ilvl w:val="0"/>
          <w:numId w:val="20"/>
        </w:numPr>
        <w:tabs>
          <w:tab w:val="clear" w:pos="0"/>
        </w:tabs>
      </w:pPr>
      <w:r>
        <w:tab/>
        <w:t xml:space="preserve">Section 207B, formerly s 272, </w:t>
      </w:r>
      <w:r w:rsidRPr="00DA46F2">
        <w:t xml:space="preserve">of the </w:t>
      </w:r>
      <w:r>
        <w:t>Compensation</w:t>
      </w:r>
      <w:r w:rsidRPr="00DA46F2">
        <w:t xml:space="preserve"> Ac</w:t>
      </w:r>
      <w:r>
        <w:t>t relevantly</w:t>
      </w:r>
      <w:r w:rsidRPr="00DA46F2">
        <w:t xml:space="preserve"> provides:</w:t>
      </w:r>
    </w:p>
    <w:p w:rsidR="00A16FF2" w:rsidRDefault="00A16FF2" w:rsidP="008F5902"/>
    <w:p w:rsidR="00A16FF2" w:rsidRDefault="00A16FF2" w:rsidP="008F5902">
      <w:pPr>
        <w:pStyle w:val="leftright"/>
      </w:pPr>
      <w:r w:rsidRPr="00DA46F2">
        <w:t>"(1)</w:t>
      </w:r>
      <w:r>
        <w:tab/>
      </w:r>
      <w:r w:rsidRPr="00DA46F2">
        <w:t>This section applies to</w:t>
      </w:r>
      <w:r>
        <w:t xml:space="preserve"> –</w:t>
      </w:r>
    </w:p>
    <w:p w:rsidR="00A16FF2" w:rsidRPr="00DA46F2" w:rsidRDefault="00A16FF2" w:rsidP="008F5902">
      <w:pPr>
        <w:pStyle w:val="leftright"/>
      </w:pPr>
      <w:r>
        <w:tab/>
        <w:t>(a)</w:t>
      </w:r>
      <w:r>
        <w:tab/>
      </w:r>
      <w:r w:rsidRPr="00DA46F2">
        <w:t>an injury sustained by a worker in circumstances creating</w:t>
      </w:r>
      <w:r>
        <w:t xml:space="preserve"> –</w:t>
      </w:r>
    </w:p>
    <w:p w:rsidR="00A16FF2" w:rsidRPr="00DA46F2" w:rsidRDefault="00A16FF2" w:rsidP="008F5902">
      <w:pPr>
        <w:pStyle w:val="leftright"/>
      </w:pPr>
      <w:r>
        <w:tab/>
      </w:r>
      <w:r>
        <w:tab/>
        <w:t>(i)</w:t>
      </w:r>
      <w:r>
        <w:tab/>
      </w:r>
      <w:r w:rsidRPr="00DA46F2">
        <w:t xml:space="preserve">an entitlement to compensation; and </w:t>
      </w:r>
    </w:p>
    <w:p w:rsidR="00A16FF2" w:rsidRPr="00DA46F2" w:rsidRDefault="00A16FF2" w:rsidP="008F5902">
      <w:pPr>
        <w:pStyle w:val="leftright"/>
        <w:ind w:left="2880" w:hanging="2160"/>
      </w:pPr>
      <w:r>
        <w:tab/>
      </w:r>
      <w:r>
        <w:tab/>
        <w:t>(ii)</w:t>
      </w:r>
      <w:r>
        <w:tab/>
      </w:r>
      <w:r w:rsidRPr="00DA46F2">
        <w:t>a legal liability in the worker's employer, or other person, to pay damages for the injury, independently of this Act</w:t>
      </w:r>
      <w:r>
        <w:t xml:space="preserve"> </w:t>
      </w:r>
      <w:r w:rsidRPr="00DA46F2">
        <w:t>…</w:t>
      </w:r>
    </w:p>
    <w:p w:rsidR="00A16FF2" w:rsidRPr="00DA46F2" w:rsidRDefault="00A16FF2" w:rsidP="008F5902">
      <w:pPr>
        <w:pStyle w:val="leftright"/>
      </w:pPr>
      <w:r w:rsidRPr="00DA46F2">
        <w:t>…</w:t>
      </w:r>
    </w:p>
    <w:p w:rsidR="00A16FF2" w:rsidRDefault="00A16FF2" w:rsidP="008F5902">
      <w:pPr>
        <w:pStyle w:val="leftright"/>
        <w:ind w:left="1440" w:hanging="720"/>
      </w:pPr>
      <w:r w:rsidRPr="00DA46F2">
        <w:t>(7)</w:t>
      </w:r>
      <w:r>
        <w:tab/>
      </w:r>
      <w:r w:rsidRPr="00044024">
        <w:t>If</w:t>
      </w:r>
      <w:r w:rsidRPr="00BD1CD4">
        <w:rPr>
          <w:i/>
          <w:iCs/>
        </w:rPr>
        <w:t xml:space="preserve"> </w:t>
      </w:r>
      <w:r w:rsidRPr="00DA46F2">
        <w:t xml:space="preserve">a person who has received compensation </w:t>
      </w:r>
      <w:r w:rsidRPr="00BD1CD4">
        <w:rPr>
          <w:i/>
          <w:iCs/>
        </w:rPr>
        <w:t>has not recovered, or taken proceedings to recover</w:t>
      </w:r>
      <w:r w:rsidRPr="00DA46F2">
        <w:t>, damages for the injury from another person, other than the worker's employer</w:t>
      </w:r>
      <w:r>
        <w:t xml:space="preserve"> –</w:t>
      </w:r>
    </w:p>
    <w:p w:rsidR="00A16FF2" w:rsidRPr="00DA46F2" w:rsidRDefault="00A16FF2" w:rsidP="008F5902">
      <w:pPr>
        <w:pStyle w:val="leftright"/>
        <w:ind w:left="2160" w:hanging="1440"/>
      </w:pPr>
      <w:r>
        <w:tab/>
      </w:r>
      <w:r w:rsidRPr="00DA46F2">
        <w:t>(a)</w:t>
      </w:r>
      <w:r>
        <w:tab/>
      </w:r>
      <w:r w:rsidRPr="00DA46F2">
        <w:t xml:space="preserve">the insurer is entitled to be indemnified for the amount of the compensation by the other person </w:t>
      </w:r>
      <w:r w:rsidRPr="00BD1CD4">
        <w:rPr>
          <w:i/>
          <w:iCs/>
        </w:rPr>
        <w:t>to the extent of that person's liability for the damages</w:t>
      </w:r>
      <w:r w:rsidRPr="00DA46F2">
        <w:t xml:space="preserve">, so far as the amount of damages payable for the injury by that person extends; and </w:t>
      </w:r>
    </w:p>
    <w:p w:rsidR="00A16FF2" w:rsidRPr="00DA46F2" w:rsidRDefault="00A16FF2" w:rsidP="008F5902">
      <w:pPr>
        <w:pStyle w:val="leftright"/>
        <w:ind w:left="2160" w:hanging="1440"/>
      </w:pPr>
      <w:r>
        <w:tab/>
      </w:r>
      <w:r w:rsidRPr="00DA46F2">
        <w:t>(b)</w:t>
      </w:r>
      <w:r>
        <w:tab/>
      </w:r>
      <w:r w:rsidRPr="00DA46F2">
        <w:t xml:space="preserve">to that end, the insurer is subrogated to the rights of the person for the injury. </w:t>
      </w:r>
    </w:p>
    <w:p w:rsidR="00A16FF2" w:rsidRPr="00DA46F2" w:rsidRDefault="00A16FF2" w:rsidP="008F5902">
      <w:pPr>
        <w:pStyle w:val="leftright"/>
      </w:pPr>
      <w:r w:rsidRPr="00DA46F2">
        <w:t>…</w:t>
      </w:r>
    </w:p>
    <w:p w:rsidR="00A16FF2" w:rsidRPr="00DA46F2" w:rsidRDefault="00A16FF2" w:rsidP="008F5902">
      <w:pPr>
        <w:pStyle w:val="leftright"/>
      </w:pPr>
      <w:r w:rsidRPr="00DA46F2">
        <w:t>(10</w:t>
      </w:r>
      <w:r>
        <w:t>)</w:t>
      </w:r>
      <w:r>
        <w:tab/>
      </w:r>
      <w:r w:rsidRPr="00DA46F2">
        <w:t>In this section</w:t>
      </w:r>
      <w:r>
        <w:t xml:space="preserve"> –</w:t>
      </w:r>
      <w:r w:rsidRPr="00DA46F2">
        <w:t xml:space="preserve"> </w:t>
      </w:r>
    </w:p>
    <w:p w:rsidR="00A16FF2" w:rsidRDefault="00A16FF2" w:rsidP="008F5902">
      <w:pPr>
        <w:pStyle w:val="leftright"/>
        <w:ind w:left="1440" w:hanging="720"/>
      </w:pPr>
      <w:r>
        <w:tab/>
      </w:r>
      <w:r w:rsidRPr="00044024">
        <w:rPr>
          <w:b/>
          <w:bCs/>
          <w:i/>
          <w:iCs/>
        </w:rPr>
        <w:t>damages</w:t>
      </w:r>
      <w:r w:rsidRPr="00DA46F2">
        <w:t xml:space="preserve"> includes damages under a legal liability existing independently of this Act, whether or not within the meaning of section 10." </w:t>
      </w:r>
      <w:r>
        <w:t xml:space="preserve"> (emphasis added)</w:t>
      </w:r>
    </w:p>
    <w:p w:rsidR="00A16FF2" w:rsidRDefault="00A16FF2" w:rsidP="00696ED0">
      <w:pPr>
        <w:pStyle w:val="ListNumber"/>
        <w:numPr>
          <w:ilvl w:val="0"/>
          <w:numId w:val="20"/>
        </w:numPr>
        <w:tabs>
          <w:tab w:val="clear" w:pos="0"/>
        </w:tabs>
      </w:pPr>
      <w:r>
        <w:tab/>
        <w:t>There was no issue between the parties that</w:t>
      </w:r>
      <w:r w:rsidRPr="00DA46F2">
        <w:t xml:space="preserve"> the threshold in s 207B(1) ha</w:t>
      </w:r>
      <w:r>
        <w:t>d</w:t>
      </w:r>
      <w:r w:rsidRPr="00DA46F2">
        <w:t xml:space="preserve"> been met.  </w:t>
      </w:r>
      <w:r>
        <w:t xml:space="preserve">The appeal turns upon the interaction, if any, between s 207B(7) of the Compensation Act and s 66 of the Succession Act.  The heading to s 66 reads </w:t>
      </w:r>
      <w:r w:rsidRPr="00DA46F2">
        <w:t xml:space="preserve">"Survival of </w:t>
      </w:r>
      <w:r>
        <w:t>a</w:t>
      </w:r>
      <w:r w:rsidRPr="00DA46F2">
        <w:t xml:space="preserve">ctions", </w:t>
      </w:r>
      <w:r>
        <w:t xml:space="preserve">and the section </w:t>
      </w:r>
      <w:r w:rsidRPr="00DA46F2">
        <w:t>relevantly provides:</w:t>
      </w:r>
    </w:p>
    <w:p w:rsidR="00A16FF2" w:rsidRPr="00DA46F2" w:rsidRDefault="00A16FF2" w:rsidP="008F5902"/>
    <w:p w:rsidR="00A16FF2" w:rsidRPr="00DA46F2" w:rsidRDefault="00A16FF2" w:rsidP="008F5902">
      <w:pPr>
        <w:pStyle w:val="leftright"/>
        <w:ind w:left="1440" w:hanging="720"/>
      </w:pPr>
      <w:r w:rsidRPr="00DA46F2">
        <w:t>"(1)</w:t>
      </w:r>
      <w:r>
        <w:tab/>
      </w:r>
      <w:r w:rsidRPr="00DA46F2">
        <w:t xml:space="preserve">Subject to the provisions of this section and with the exception of causes of action for defamation or seduction, on the death of any person after the 15 October 1940 </w:t>
      </w:r>
      <w:r w:rsidRPr="00CA2371">
        <w:rPr>
          <w:i/>
          <w:iCs/>
        </w:rPr>
        <w:t>all causes of action</w:t>
      </w:r>
      <w:r w:rsidRPr="00DA46F2">
        <w:t xml:space="preserve"> subsisting against or vested in the person </w:t>
      </w:r>
      <w:r w:rsidRPr="00CA2371">
        <w:rPr>
          <w:i/>
          <w:iCs/>
        </w:rPr>
        <w:t>shall survive</w:t>
      </w:r>
      <w:r w:rsidRPr="00DA46F2">
        <w:t xml:space="preserve"> against, or, as the case may be, for the benefit of, the person's estate. </w:t>
      </w:r>
    </w:p>
    <w:p w:rsidR="00A16FF2" w:rsidRPr="00DA46F2" w:rsidRDefault="00A16FF2" w:rsidP="008F5902">
      <w:pPr>
        <w:pStyle w:val="leftright"/>
        <w:ind w:left="1440" w:hanging="720"/>
      </w:pPr>
      <w:r w:rsidRPr="00DA46F2">
        <w:t>(2)</w:t>
      </w:r>
      <w:r>
        <w:tab/>
      </w:r>
      <w:r w:rsidRPr="00CA2371">
        <w:rPr>
          <w:i/>
          <w:iCs/>
        </w:rPr>
        <w:t>Where a cause of action survives pursuant to subsection</w:t>
      </w:r>
      <w:r>
        <w:rPr>
          <w:i/>
          <w:iCs/>
        </w:rPr>
        <w:t> </w:t>
      </w:r>
      <w:r w:rsidRPr="00CA2371">
        <w:rPr>
          <w:i/>
          <w:iCs/>
        </w:rPr>
        <w:t>(1)</w:t>
      </w:r>
      <w:r w:rsidRPr="00DA46F2">
        <w:t xml:space="preserve"> for the benefit of the estate of a deceased person, the damages recoverable </w:t>
      </w:r>
      <w:r w:rsidRPr="0088558A">
        <w:rPr>
          <w:i/>
          <w:iCs/>
        </w:rPr>
        <w:t>in any action brought</w:t>
      </w:r>
      <w:r>
        <w:t xml:space="preserve"> –</w:t>
      </w:r>
      <w:r w:rsidRPr="00DA46F2">
        <w:t xml:space="preserve"> </w:t>
      </w:r>
    </w:p>
    <w:p w:rsidR="00A16FF2" w:rsidRDefault="00A16FF2" w:rsidP="008F5902">
      <w:pPr>
        <w:pStyle w:val="leftright"/>
        <w:ind w:left="2160" w:hanging="1440"/>
      </w:pPr>
      <w:r>
        <w:tab/>
      </w:r>
      <w:r w:rsidRPr="00DA46F2">
        <w:t>(a)</w:t>
      </w:r>
      <w:r>
        <w:tab/>
      </w:r>
      <w:r w:rsidRPr="00DA46F2">
        <w:t xml:space="preserve">shall not include damages for pain and suffering, for any bodily or mental harm or for curtailment of expectation of life; and </w:t>
      </w:r>
    </w:p>
    <w:p w:rsidR="00A16FF2" w:rsidRDefault="00A16FF2" w:rsidP="008F5902">
      <w:pPr>
        <w:pStyle w:val="leftright"/>
      </w:pPr>
      <w:r>
        <w:tab/>
        <w:t>…</w:t>
      </w:r>
    </w:p>
    <w:p w:rsidR="00A16FF2" w:rsidRPr="00DA46F2" w:rsidRDefault="00A16FF2" w:rsidP="008F5902">
      <w:pPr>
        <w:pStyle w:val="leftright"/>
        <w:ind w:left="2160" w:hanging="1440"/>
      </w:pPr>
      <w:r>
        <w:tab/>
      </w:r>
      <w:r w:rsidRPr="00DA46F2">
        <w:t>(d)</w:t>
      </w:r>
      <w:r>
        <w:tab/>
      </w:r>
      <w:r w:rsidRPr="00DA46F2">
        <w:t>where the death has been caused by the act or omission which gives rise to the cause of action</w:t>
      </w:r>
      <w:r>
        <w:t xml:space="preserve"> – </w:t>
      </w:r>
      <w:r w:rsidRPr="00DA46F2">
        <w:t>shall be calculated without reference to</w:t>
      </w:r>
      <w:r>
        <w:t xml:space="preserve"> –</w:t>
      </w:r>
      <w:r w:rsidRPr="00DA46F2">
        <w:t xml:space="preserve"> </w:t>
      </w:r>
    </w:p>
    <w:p w:rsidR="00A16FF2" w:rsidRPr="00DA46F2" w:rsidRDefault="00A16FF2" w:rsidP="008F5902">
      <w:pPr>
        <w:pStyle w:val="leftright"/>
        <w:ind w:left="2880" w:hanging="2160"/>
      </w:pPr>
      <w:r>
        <w:tab/>
      </w:r>
      <w:r>
        <w:tab/>
      </w:r>
      <w:r w:rsidRPr="00DA46F2">
        <w:t>(i)</w:t>
      </w:r>
      <w:r>
        <w:tab/>
      </w:r>
      <w:r w:rsidRPr="00DA46F2">
        <w:t xml:space="preserve">loss or gain to the estate consequent upon the death save that a sum in respect of funeral expenses may be included; or </w:t>
      </w:r>
    </w:p>
    <w:p w:rsidR="00A16FF2" w:rsidRPr="00DA46F2" w:rsidRDefault="00A16FF2" w:rsidP="008F5902">
      <w:pPr>
        <w:pStyle w:val="leftright"/>
        <w:ind w:left="2880" w:hanging="2160"/>
      </w:pPr>
      <w:r>
        <w:tab/>
      </w:r>
      <w:r>
        <w:tab/>
      </w:r>
      <w:r w:rsidRPr="00DA46F2">
        <w:t>(ii)</w:t>
      </w:r>
      <w:r>
        <w:tab/>
      </w:r>
      <w:r w:rsidRPr="00DA46F2">
        <w:t>future probable earnings of the deceased had the deceased survived.</w:t>
      </w:r>
      <w:r>
        <w:t>"</w:t>
      </w:r>
      <w:r w:rsidRPr="00DA46F2">
        <w:t xml:space="preserve">  </w:t>
      </w:r>
      <w:r>
        <w:t>(emphasis added)</w:t>
      </w:r>
    </w:p>
    <w:p w:rsidR="00A16FF2" w:rsidRPr="00DA46F2" w:rsidRDefault="00A16FF2" w:rsidP="008F5902">
      <w:r w:rsidRPr="00DA46F2">
        <w:t>The</w:t>
      </w:r>
      <w:r>
        <w:t xml:space="preserve"> opening words of sub</w:t>
      </w:r>
      <w:r>
        <w:noBreakHyphen/>
        <w:t>s (2), with their reference back to sub</w:t>
      </w:r>
      <w:r>
        <w:noBreakHyphen/>
        <w:t>s (1), and the following</w:t>
      </w:r>
      <w:r w:rsidRPr="00DA46F2">
        <w:t xml:space="preserve"> words "in any action brought" </w:t>
      </w:r>
      <w:r>
        <w:t xml:space="preserve">are significant for </w:t>
      </w:r>
      <w:r w:rsidRPr="00DA46F2">
        <w:t>this appeal</w:t>
      </w:r>
      <w:r>
        <w:t>.  In short, when read together they identify the subject of the qualifications upon heads of damages recoverable as those recoverable in an action which survives for the benefit of the deceased estate, and they do not speak to recovery in any action otherwise arising, including that between WorkCover and the respondents.</w:t>
      </w:r>
    </w:p>
    <w:p w:rsidR="00A16FF2" w:rsidRPr="00DA46F2" w:rsidRDefault="00A16FF2" w:rsidP="008F5902"/>
    <w:p w:rsidR="00A16FF2" w:rsidRPr="00A54C81" w:rsidRDefault="00A16FF2" w:rsidP="008F5902">
      <w:pPr>
        <w:rPr>
          <w:u w:val="single"/>
        </w:rPr>
      </w:pPr>
      <w:r w:rsidRPr="00DA46F2">
        <w:rPr>
          <w:u w:val="single"/>
        </w:rPr>
        <w:t>The Court of Appeal</w:t>
      </w:r>
    </w:p>
    <w:p w:rsidR="00A16FF2" w:rsidRPr="00DA46F2" w:rsidRDefault="00A16FF2" w:rsidP="008F5902"/>
    <w:p w:rsidR="00A16FF2" w:rsidRPr="00DA46F2" w:rsidRDefault="00A16FF2" w:rsidP="00696ED0">
      <w:pPr>
        <w:pStyle w:val="ListNumber"/>
        <w:numPr>
          <w:ilvl w:val="0"/>
          <w:numId w:val="20"/>
        </w:numPr>
        <w:tabs>
          <w:tab w:val="clear" w:pos="0"/>
        </w:tabs>
      </w:pPr>
      <w:r w:rsidRPr="00DA46F2">
        <w:tab/>
      </w:r>
      <w:r>
        <w:t>It is necessary first to refer to the text of s 207B(7).  The</w:t>
      </w:r>
      <w:r w:rsidRPr="00DA46F2">
        <w:t xml:space="preserve"> majority of the Court of Appeal </w:t>
      </w:r>
      <w:r>
        <w:t>held</w:t>
      </w:r>
      <w:r w:rsidRPr="00DA46F2">
        <w:t xml:space="preserve"> that s</w:t>
      </w:r>
      <w:r>
        <w:t> </w:t>
      </w:r>
      <w:r w:rsidRPr="00DA46F2">
        <w:t xml:space="preserve">207B(7)(a) contains two </w:t>
      </w:r>
      <w:r>
        <w:t>distinct subject</w:t>
      </w:r>
      <w:r w:rsidRPr="00DA46F2">
        <w:t xml:space="preserve"> matters.  The first is the existence of the indemnity.  The second is the calculation of damages to determine how </w:t>
      </w:r>
      <w:r>
        <w:t>far that indemnity extends</w:t>
      </w:r>
      <w:r w:rsidRPr="00DA46F2">
        <w:t xml:space="preserve">.  The calculation of </w:t>
      </w:r>
      <w:r>
        <w:t xml:space="preserve">the extent of the right of indemnity </w:t>
      </w:r>
      <w:r w:rsidRPr="00DA46F2">
        <w:t>is determined by "the extent of [the wrongdoer's] liability for the damages [for the injury]</w:t>
      </w:r>
      <w:r>
        <w:t xml:space="preserve"> </w:t>
      </w:r>
      <w:r w:rsidRPr="00DA46F2">
        <w:t>so far as the amount of damages payable for the injury by</w:t>
      </w:r>
      <w:r>
        <w:t xml:space="preserve"> [the wrongdoer]</w:t>
      </w:r>
      <w:r w:rsidRPr="00DA46F2">
        <w:t xml:space="preserve"> extends" (s 207B(7)(a)).  </w:t>
      </w:r>
      <w:r>
        <w:t xml:space="preserve">The majority held that </w:t>
      </w:r>
      <w:r w:rsidRPr="00DA46F2">
        <w:t xml:space="preserve">the extent of the indemnity is to be determined by the damages that would be recoverable by the worker, or his estate in the event of death, </w:t>
      </w:r>
      <w:r>
        <w:t xml:space="preserve">in an action brought against the wrongdoer, </w:t>
      </w:r>
      <w:r w:rsidRPr="00DA46F2">
        <w:t xml:space="preserve">as at </w:t>
      </w:r>
      <w:r>
        <w:t xml:space="preserve">the date of </w:t>
      </w:r>
      <w:r w:rsidRPr="00DA46F2">
        <w:t>judgment in the indemnity proceedings</w:t>
      </w:r>
      <w:r w:rsidRPr="00DA46F2">
        <w:rPr>
          <w:rStyle w:val="FootnoteReference"/>
        </w:rPr>
        <w:footnoteReference w:id="5"/>
      </w:r>
      <w:r w:rsidRPr="00DA46F2">
        <w:t xml:space="preserve">.  The finding that the damages </w:t>
      </w:r>
      <w:r>
        <w:t>are to be calculated as at the date</w:t>
      </w:r>
      <w:r w:rsidRPr="00DA46F2">
        <w:t xml:space="preserve"> of judgment in the indemnity proceedings is not the subject of an appeal to this Court.    </w:t>
      </w:r>
    </w:p>
    <w:p w:rsidR="00A16FF2" w:rsidRPr="00DA46F2" w:rsidRDefault="00A16FF2" w:rsidP="008F5902"/>
    <w:p w:rsidR="00A16FF2" w:rsidRPr="00DA46F2" w:rsidRDefault="00A16FF2" w:rsidP="00696ED0">
      <w:pPr>
        <w:pStyle w:val="ListNumber"/>
        <w:numPr>
          <w:ilvl w:val="0"/>
          <w:numId w:val="20"/>
        </w:numPr>
        <w:tabs>
          <w:tab w:val="clear" w:pos="0"/>
        </w:tabs>
      </w:pPr>
      <w:r w:rsidRPr="00DA46F2">
        <w:tab/>
      </w:r>
      <w:r>
        <w:t>Mr Thomson having died on 20 June 2006,</w:t>
      </w:r>
      <w:r w:rsidRPr="00DA46F2">
        <w:t xml:space="preserve"> the majority found that the calculation of damages</w:t>
      </w:r>
      <w:r>
        <w:t xml:space="preserve"> in the subsequent indemnity proceedings brought by WorkCover necessarily would</w:t>
      </w:r>
      <w:r w:rsidRPr="00DA46F2">
        <w:t xml:space="preserve"> be subject to the limi</w:t>
      </w:r>
      <w:r>
        <w:t>tations found in s </w:t>
      </w:r>
      <w:r w:rsidRPr="00DA46F2">
        <w:t>66(2) of the Succession Act</w:t>
      </w:r>
      <w:r>
        <w:t>.  Section 66(2)</w:t>
      </w:r>
      <w:r w:rsidRPr="00DA46F2">
        <w:t xml:space="preserve"> would</w:t>
      </w:r>
      <w:r>
        <w:t xml:space="preserve"> have</w:t>
      </w:r>
      <w:r w:rsidRPr="00DA46F2">
        <w:t xml:space="preserve"> limit</w:t>
      </w:r>
      <w:r>
        <w:t>ed</w:t>
      </w:r>
      <w:r w:rsidRPr="00DA46F2">
        <w:t xml:space="preserve"> the </w:t>
      </w:r>
      <w:r>
        <w:t>damages payable by</w:t>
      </w:r>
      <w:r w:rsidRPr="00DA46F2">
        <w:t xml:space="preserve"> the wrongdoer to the </w:t>
      </w:r>
      <w:r>
        <w:t xml:space="preserve">estate of the </w:t>
      </w:r>
      <w:r w:rsidRPr="00DA46F2">
        <w:t>worker had</w:t>
      </w:r>
      <w:r>
        <w:t xml:space="preserve"> the estate </w:t>
      </w:r>
      <w:r w:rsidRPr="00DA46F2">
        <w:t xml:space="preserve">sued.  </w:t>
      </w:r>
    </w:p>
    <w:p w:rsidR="00A16FF2" w:rsidRPr="00DA46F2" w:rsidRDefault="00A16FF2" w:rsidP="008F5902"/>
    <w:p w:rsidR="00A16FF2" w:rsidRPr="00DA46F2" w:rsidRDefault="00A16FF2" w:rsidP="00696ED0">
      <w:pPr>
        <w:pStyle w:val="ListNumber"/>
        <w:numPr>
          <w:ilvl w:val="0"/>
          <w:numId w:val="20"/>
        </w:numPr>
        <w:tabs>
          <w:tab w:val="clear" w:pos="0"/>
        </w:tabs>
      </w:pPr>
      <w:r w:rsidRPr="00DA46F2">
        <w:tab/>
        <w:t>McMurdo P</w:t>
      </w:r>
      <w:r>
        <w:t>, dissenting,</w:t>
      </w:r>
      <w:r w:rsidRPr="00DA46F2">
        <w:t xml:space="preserve"> </w:t>
      </w:r>
      <w:r>
        <w:t>concluded</w:t>
      </w:r>
      <w:r w:rsidRPr="00DA46F2">
        <w:t xml:space="preserve"> that as an insurer would not need to rely on s 66(1) of the Succession Act to </w:t>
      </w:r>
      <w:r>
        <w:t>bring a claim for indemnity under s </w:t>
      </w:r>
      <w:r w:rsidRPr="00DA46F2">
        <w:t xml:space="preserve">207B(7)(a) of the </w:t>
      </w:r>
      <w:r>
        <w:t>Compensation</w:t>
      </w:r>
      <w:r w:rsidRPr="00DA46F2">
        <w:t xml:space="preserve"> Act, the limitations on damages found in s 66(2) would not apply</w:t>
      </w:r>
      <w:r>
        <w:t>; rather, s </w:t>
      </w:r>
      <w:r w:rsidRPr="00DA46F2">
        <w:t>207B(7)(a) requires a hypothetical assessment of damages as at the date of judgment which is not depend</w:t>
      </w:r>
      <w:r>
        <w:t>e</w:t>
      </w:r>
      <w:r w:rsidRPr="00DA46F2">
        <w:t xml:space="preserve">nt on the </w:t>
      </w:r>
      <w:r>
        <w:t>operation</w:t>
      </w:r>
      <w:r w:rsidRPr="00DA46F2">
        <w:t xml:space="preserve"> of s</w:t>
      </w:r>
      <w:r>
        <w:t> </w:t>
      </w:r>
      <w:r w:rsidRPr="00DA46F2">
        <w:t>66(1)</w:t>
      </w:r>
      <w:r w:rsidRPr="00DA46F2">
        <w:rPr>
          <w:rStyle w:val="FootnoteReference"/>
        </w:rPr>
        <w:footnoteReference w:id="6"/>
      </w:r>
      <w:r w:rsidRPr="00DA46F2">
        <w:t xml:space="preserve">.  </w:t>
      </w:r>
    </w:p>
    <w:p w:rsidR="00A16FF2" w:rsidRPr="00DA46F2" w:rsidRDefault="00A16FF2" w:rsidP="008F5902"/>
    <w:p w:rsidR="00A16FF2" w:rsidRPr="00DA46F2" w:rsidRDefault="00A16FF2" w:rsidP="00696ED0">
      <w:pPr>
        <w:pStyle w:val="ListNumber"/>
        <w:numPr>
          <w:ilvl w:val="0"/>
          <w:numId w:val="20"/>
        </w:numPr>
        <w:tabs>
          <w:tab w:val="clear" w:pos="0"/>
        </w:tabs>
      </w:pPr>
      <w:r>
        <w:tab/>
        <w:t xml:space="preserve">Her Honour also gave a further </w:t>
      </w:r>
      <w:r w:rsidRPr="00DA46F2">
        <w:t>reason why the quantum</w:t>
      </w:r>
      <w:r>
        <w:t xml:space="preserve"> WorkCover</w:t>
      </w:r>
      <w:r w:rsidRPr="00DA46F2">
        <w:t xml:space="preserve"> is entitle</w:t>
      </w:r>
      <w:r>
        <w:t xml:space="preserve">d to recover under par (a) of s 207B(7) of the Compensation Act </w:t>
      </w:r>
      <w:r w:rsidRPr="00DA46F2">
        <w:t>should not be reduced by reason of s</w:t>
      </w:r>
      <w:r>
        <w:t> </w:t>
      </w:r>
      <w:r w:rsidRPr="00DA46F2">
        <w:t>66</w:t>
      </w:r>
      <w:r>
        <w:t>(2)</w:t>
      </w:r>
      <w:r w:rsidRPr="00DA46F2">
        <w:t xml:space="preserve"> of the Succession Act</w:t>
      </w:r>
      <w:r w:rsidRPr="00DA46F2">
        <w:rPr>
          <w:rStyle w:val="FootnoteReference"/>
        </w:rPr>
        <w:footnoteReference w:id="7"/>
      </w:r>
      <w:r w:rsidRPr="00DA46F2">
        <w:t>:</w:t>
      </w:r>
    </w:p>
    <w:p w:rsidR="00A16FF2" w:rsidRPr="00DA46F2" w:rsidRDefault="00A16FF2" w:rsidP="008F5902"/>
    <w:p w:rsidR="00A16FF2" w:rsidRPr="00DA46F2" w:rsidRDefault="00A16FF2" w:rsidP="008F5902">
      <w:pPr>
        <w:pStyle w:val="leftright"/>
      </w:pPr>
      <w:r w:rsidRPr="00DA46F2">
        <w:t xml:space="preserve">"In any case, </w:t>
      </w:r>
      <w:r w:rsidRPr="00DA46F2">
        <w:rPr>
          <w:rStyle w:val="verdana"/>
        </w:rPr>
        <w:t xml:space="preserve">s 66(2) in its terms specifically relates to a cause of action which survives under s 66(1) for the benefit of the estate of a deceased person. A plaintiff insurer's claim under </w:t>
      </w:r>
      <w:r>
        <w:rPr>
          <w:rStyle w:val="verdana"/>
        </w:rPr>
        <w:t>[s </w:t>
      </w:r>
      <w:r w:rsidRPr="00DA46F2">
        <w:rPr>
          <w:rStyle w:val="verdana"/>
        </w:rPr>
        <w:t xml:space="preserve">207B(7)] is not such a cause of action."  </w:t>
      </w:r>
    </w:p>
    <w:p w:rsidR="00A16FF2" w:rsidRPr="00DA46F2" w:rsidRDefault="00A16FF2" w:rsidP="00696ED0">
      <w:pPr>
        <w:pStyle w:val="ListNumber"/>
        <w:numPr>
          <w:ilvl w:val="0"/>
          <w:numId w:val="20"/>
        </w:numPr>
        <w:tabs>
          <w:tab w:val="clear" w:pos="0"/>
        </w:tabs>
      </w:pPr>
      <w:r w:rsidRPr="00DA46F2">
        <w:tab/>
        <w:t>The</w:t>
      </w:r>
      <w:r>
        <w:t xml:space="preserve"> point made by McMurdo P may be expressed by asking </w:t>
      </w:r>
      <w:r w:rsidRPr="00DA46F2">
        <w:t xml:space="preserve">whether s 66(2), in light of </w:t>
      </w:r>
      <w:r>
        <w:t>the</w:t>
      </w:r>
      <w:r w:rsidRPr="00DA46F2">
        <w:t xml:space="preserve"> </w:t>
      </w:r>
      <w:r>
        <w:t>words</w:t>
      </w:r>
      <w:r w:rsidRPr="00DA46F2">
        <w:t xml:space="preserve"> "</w:t>
      </w:r>
      <w:r>
        <w:t>[w]</w:t>
      </w:r>
      <w:r w:rsidRPr="00DA46F2">
        <w:t>here a cause of action survives pursuant to subsection</w:t>
      </w:r>
      <w:r>
        <w:t> </w:t>
      </w:r>
      <w:r w:rsidRPr="00DA46F2">
        <w:t xml:space="preserve">(1) for the benefit of the estate of a deceased person, the damages recoverable </w:t>
      </w:r>
      <w:r w:rsidRPr="00DA46F2">
        <w:rPr>
          <w:i/>
          <w:iCs/>
        </w:rPr>
        <w:t>in any action brought</w:t>
      </w:r>
      <w:r>
        <w:rPr>
          <w:i/>
          <w:iCs/>
        </w:rPr>
        <w:t xml:space="preserve"> </w:t>
      </w:r>
      <w:r w:rsidRPr="00DA46F2">
        <w:rPr>
          <w:i/>
          <w:iCs/>
        </w:rPr>
        <w:t>…</w:t>
      </w:r>
      <w:r w:rsidRPr="00DA46F2">
        <w:t>" (emphasis added), is concerned not with imposing limitations on the cause of action of the deceased, but only with imposing limitations "in any action brought" for the benefit of the estate.</w:t>
      </w:r>
      <w:r>
        <w:t xml:space="preserve">  In its supplementary written submissions, filed by leave after the conclusion of oral submissions in this Court, WorkCover relies upon that construction of the legislation.</w:t>
      </w:r>
    </w:p>
    <w:p w:rsidR="00A16FF2" w:rsidRPr="00DA46F2" w:rsidRDefault="00A16FF2" w:rsidP="008F5902"/>
    <w:p w:rsidR="00A16FF2" w:rsidRPr="00DA46F2" w:rsidRDefault="00A16FF2" w:rsidP="00696ED0">
      <w:pPr>
        <w:pStyle w:val="ListNumber"/>
        <w:numPr>
          <w:ilvl w:val="0"/>
          <w:numId w:val="20"/>
        </w:numPr>
        <w:tabs>
          <w:tab w:val="clear" w:pos="0"/>
        </w:tabs>
      </w:pPr>
      <w:r w:rsidRPr="00DA46F2">
        <w:tab/>
      </w:r>
      <w:r>
        <w:t>As already indicated, and for</w:t>
      </w:r>
      <w:r w:rsidRPr="00DA46F2">
        <w:t xml:space="preserve"> the</w:t>
      </w:r>
      <w:r>
        <w:t xml:space="preserve"> following</w:t>
      </w:r>
      <w:r w:rsidRPr="00DA46F2">
        <w:t xml:space="preserve"> reasons, that </w:t>
      </w:r>
      <w:r>
        <w:t>submission should be accepted and the appeal should be allowed.</w:t>
      </w:r>
    </w:p>
    <w:p w:rsidR="00A16FF2" w:rsidRPr="00DA46F2" w:rsidRDefault="00A16FF2" w:rsidP="008F5902"/>
    <w:p w:rsidR="00A16FF2" w:rsidRPr="0083218B" w:rsidRDefault="00A16FF2" w:rsidP="008F5902">
      <w:r w:rsidRPr="00DA46F2">
        <w:rPr>
          <w:u w:val="single"/>
        </w:rPr>
        <w:t>The cause of action</w:t>
      </w:r>
      <w:r>
        <w:rPr>
          <w:u w:val="single"/>
        </w:rPr>
        <w:t xml:space="preserve"> created by</w:t>
      </w:r>
      <w:r w:rsidRPr="00DA46F2">
        <w:rPr>
          <w:u w:val="single"/>
        </w:rPr>
        <w:t xml:space="preserve"> s 207B(7)</w:t>
      </w:r>
      <w:r>
        <w:rPr>
          <w:u w:val="single"/>
        </w:rPr>
        <w:t xml:space="preserve"> of the Compensation Act</w:t>
      </w:r>
    </w:p>
    <w:p w:rsidR="00A16FF2" w:rsidRPr="00DA46F2" w:rsidRDefault="00A16FF2" w:rsidP="008F5902">
      <w:pPr>
        <w:rPr>
          <w:u w:val="single"/>
        </w:rPr>
      </w:pPr>
    </w:p>
    <w:p w:rsidR="00A16FF2" w:rsidRDefault="00A16FF2" w:rsidP="00696ED0">
      <w:pPr>
        <w:pStyle w:val="ListNumber"/>
        <w:numPr>
          <w:ilvl w:val="0"/>
          <w:numId w:val="20"/>
        </w:numPr>
        <w:tabs>
          <w:tab w:val="clear" w:pos="0"/>
        </w:tabs>
      </w:pPr>
      <w:r w:rsidRPr="00DA46F2">
        <w:tab/>
      </w:r>
      <w:r>
        <w:t>It</w:t>
      </w:r>
      <w:r w:rsidRPr="00DA46F2">
        <w:t xml:space="preserve"> was not in contention between the parties that</w:t>
      </w:r>
      <w:r>
        <w:t xml:space="preserve"> par (a) of</w:t>
      </w:r>
      <w:r w:rsidRPr="00DA46F2">
        <w:t xml:space="preserve"> s 207B(7) creates a cause of action separate to that vested in the deceased worker.  </w:t>
      </w:r>
      <w:r>
        <w:t>In the past, that</w:t>
      </w:r>
      <w:r w:rsidRPr="00DA46F2">
        <w:t xml:space="preserve"> point has not been without its controversy</w:t>
      </w:r>
      <w:r>
        <w:t>.</w:t>
      </w:r>
    </w:p>
    <w:p w:rsidR="00A16FF2" w:rsidRDefault="00A16FF2" w:rsidP="008F5902"/>
    <w:p w:rsidR="00A16FF2" w:rsidRPr="00DA46F2" w:rsidRDefault="00A16FF2" w:rsidP="00696ED0">
      <w:pPr>
        <w:pStyle w:val="ListNumber"/>
        <w:numPr>
          <w:ilvl w:val="0"/>
          <w:numId w:val="20"/>
        </w:numPr>
        <w:tabs>
          <w:tab w:val="clear" w:pos="0"/>
        </w:tabs>
      </w:pPr>
      <w:r>
        <w:tab/>
        <w:t>After</w:t>
      </w:r>
      <w:r w:rsidRPr="00DA46F2">
        <w:t xml:space="preserve"> the conclusion of oral argument, the Court </w:t>
      </w:r>
      <w:r>
        <w:t>invited</w:t>
      </w:r>
      <w:r w:rsidRPr="00DA46F2">
        <w:t xml:space="preserve"> further submissions on the relevance</w:t>
      </w:r>
      <w:r>
        <w:t xml:space="preserve"> to the present appeal</w:t>
      </w:r>
      <w:r w:rsidRPr="00DA46F2">
        <w:t xml:space="preserve"> of the decision</w:t>
      </w:r>
      <w:r>
        <w:t xml:space="preserve"> of the New South Wales Court of Appeal</w:t>
      </w:r>
      <w:r w:rsidRPr="00DA46F2">
        <w:t xml:space="preserve"> in </w:t>
      </w:r>
      <w:r w:rsidRPr="00DA46F2">
        <w:rPr>
          <w:i/>
          <w:iCs/>
        </w:rPr>
        <w:t>WorkCover Queensland v Seltsam Pty Ltd</w:t>
      </w:r>
      <w:r w:rsidRPr="00DA46F2">
        <w:rPr>
          <w:rStyle w:val="FootnoteReference"/>
        </w:rPr>
        <w:footnoteReference w:id="8"/>
      </w:r>
      <w:r>
        <w:rPr>
          <w:i/>
          <w:iCs/>
        </w:rPr>
        <w:t>.</w:t>
      </w:r>
      <w:r>
        <w:t xml:space="preserve">  </w:t>
      </w:r>
      <w:r w:rsidRPr="00DA46F2">
        <w:t>Th</w:t>
      </w:r>
      <w:r>
        <w:t>at</w:t>
      </w:r>
      <w:r w:rsidRPr="00DA46F2">
        <w:t xml:space="preserve"> case concerned the effect of</w:t>
      </w:r>
      <w:r>
        <w:t xml:space="preserve"> the equivalent provision to par (b) of</w:t>
      </w:r>
      <w:r w:rsidRPr="00DA46F2">
        <w:t xml:space="preserve"> s 207B(7)</w:t>
      </w:r>
      <w:r>
        <w:t xml:space="preserve"> then in force</w:t>
      </w:r>
      <w:r>
        <w:rPr>
          <w:rStyle w:val="FootnoteReference"/>
        </w:rPr>
        <w:footnoteReference w:id="9"/>
      </w:r>
      <w:r w:rsidRPr="00DA46F2">
        <w:t xml:space="preserve"> on the rights of WorkCover.  It had been held by Gibb</w:t>
      </w:r>
      <w:r>
        <w:t> </w:t>
      </w:r>
      <w:r w:rsidRPr="00DA46F2">
        <w:t>DCJ that the words "</w:t>
      </w:r>
      <w:r>
        <w:t>[</w:t>
      </w:r>
      <w:r w:rsidRPr="00DA46F2">
        <w:t>the insurer</w:t>
      </w:r>
      <w:r>
        <w:t>]</w:t>
      </w:r>
      <w:r w:rsidRPr="00DA46F2">
        <w:t xml:space="preserve"> is subrogated to the rights of the person for the injury" </w:t>
      </w:r>
      <w:r>
        <w:t>meant that</w:t>
      </w:r>
      <w:r w:rsidRPr="00DA46F2">
        <w:t xml:space="preserve"> the nature of the right of the insurer </w:t>
      </w:r>
      <w:r>
        <w:t>was</w:t>
      </w:r>
      <w:r w:rsidRPr="00DA46F2">
        <w:t xml:space="preserve"> one of subrogation, such that the insurer could only bring an action in the worker's name</w:t>
      </w:r>
      <w:r w:rsidRPr="00DA46F2">
        <w:rPr>
          <w:rStyle w:val="FootnoteReference"/>
        </w:rPr>
        <w:footnoteReference w:id="10"/>
      </w:r>
      <w:r w:rsidRPr="00DA46F2">
        <w:t xml:space="preserve">.  </w:t>
      </w:r>
    </w:p>
    <w:p w:rsidR="00A16FF2" w:rsidRDefault="00A16FF2" w:rsidP="008F5902"/>
    <w:p w:rsidR="00A16FF2" w:rsidRPr="00DA46F2" w:rsidRDefault="00A16FF2" w:rsidP="00696ED0">
      <w:pPr>
        <w:pStyle w:val="ListNumber"/>
        <w:numPr>
          <w:ilvl w:val="0"/>
          <w:numId w:val="20"/>
        </w:numPr>
        <w:tabs>
          <w:tab w:val="clear" w:pos="0"/>
        </w:tabs>
      </w:pPr>
      <w:r>
        <w:tab/>
        <w:t>However, t</w:t>
      </w:r>
      <w:r w:rsidRPr="00DA46F2">
        <w:t>he</w:t>
      </w:r>
      <w:r>
        <w:t xml:space="preserve"> New South Wales</w:t>
      </w:r>
      <w:r w:rsidRPr="00DA46F2">
        <w:t xml:space="preserve"> Court of Appeal held</w:t>
      </w:r>
      <w:r w:rsidRPr="00DA46F2">
        <w:rPr>
          <w:rStyle w:val="FootnoteReference"/>
        </w:rPr>
        <w:footnoteReference w:id="11"/>
      </w:r>
      <w:r w:rsidRPr="00DA46F2">
        <w:t xml:space="preserve"> that</w:t>
      </w:r>
      <w:r>
        <w:t xml:space="preserve"> the predecessor to</w:t>
      </w:r>
      <w:r w:rsidRPr="00DA46F2">
        <w:t xml:space="preserve"> s</w:t>
      </w:r>
      <w:r>
        <w:t> </w:t>
      </w:r>
      <w:r w:rsidRPr="00DA46F2">
        <w:t xml:space="preserve">207B(7) </w:t>
      </w:r>
      <w:r>
        <w:t>created</w:t>
      </w:r>
      <w:r w:rsidRPr="00DA46F2">
        <w:t xml:space="preserve"> a statutory cause of action for indemnity vested in, and pursued in the name of, the insurer</w:t>
      </w:r>
      <w:r>
        <w:t>; par </w:t>
      </w:r>
      <w:r w:rsidRPr="00DA46F2">
        <w:t>(b) merely g</w:t>
      </w:r>
      <w:r>
        <w:t>ave the insurer</w:t>
      </w:r>
      <w:r w:rsidRPr="00DA46F2">
        <w:t xml:space="preserve"> an ancillary subrogation to the rights of the worker to the extent necessary to aid the indemnity granted.  One such way in which subrogation may be necessary is to</w:t>
      </w:r>
      <w:r>
        <w:t xml:space="preserve"> enable the insurer to give the notices required to be given by the worker prior to liability arising in a third party, as a failure to do so may otherwise limit the insurer's ability to recover under its right of indemnity</w:t>
      </w:r>
      <w:r w:rsidRPr="00DA46F2">
        <w:rPr>
          <w:rStyle w:val="FootnoteReference"/>
        </w:rPr>
        <w:footnoteReference w:id="12"/>
      </w:r>
      <w:r>
        <w:t>.</w:t>
      </w:r>
      <w:r w:rsidRPr="00DA46F2">
        <w:t xml:space="preserve"> </w:t>
      </w:r>
    </w:p>
    <w:p w:rsidR="00A16FF2" w:rsidRDefault="00A16FF2" w:rsidP="008F5902"/>
    <w:p w:rsidR="00A16FF2" w:rsidRPr="00DA46F2" w:rsidRDefault="00A16FF2" w:rsidP="00696ED0">
      <w:pPr>
        <w:pStyle w:val="ListNumber"/>
        <w:numPr>
          <w:ilvl w:val="0"/>
          <w:numId w:val="20"/>
        </w:numPr>
        <w:tabs>
          <w:tab w:val="clear" w:pos="0"/>
        </w:tabs>
      </w:pPr>
      <w:r>
        <w:tab/>
        <w:t>In their further written submissions, the</w:t>
      </w:r>
      <w:r w:rsidRPr="00DA46F2">
        <w:t xml:space="preserve"> respondent</w:t>
      </w:r>
      <w:r>
        <w:t>s submit</w:t>
      </w:r>
      <w:r w:rsidRPr="00DA46F2">
        <w:t xml:space="preserve"> that the</w:t>
      </w:r>
      <w:r>
        <w:t xml:space="preserve"> Court of Appeal in </w:t>
      </w:r>
      <w:r w:rsidRPr="00DA46F2">
        <w:rPr>
          <w:i/>
          <w:iCs/>
        </w:rPr>
        <w:t xml:space="preserve">Seltsam </w:t>
      </w:r>
      <w:r w:rsidRPr="00DA46F2">
        <w:t>unnecessarily read down</w:t>
      </w:r>
      <w:r>
        <w:t xml:space="preserve"> the predecessor to par (b) of</w:t>
      </w:r>
      <w:r w:rsidRPr="00DA46F2">
        <w:t xml:space="preserve"> s 207B(7)</w:t>
      </w:r>
      <w:r>
        <w:t xml:space="preserve"> by construing the right of subrogation as operative only in the limited circumstances described by the Court, namely, the giving of notices; rather, the Court should have found that the provision in par (b) </w:t>
      </w:r>
      <w:r w:rsidRPr="00DA46F2">
        <w:t>confers an additional right of subrogation</w:t>
      </w:r>
      <w:r>
        <w:t>, not so limited, as</w:t>
      </w:r>
      <w:r w:rsidRPr="00DA46F2">
        <w:t xml:space="preserve"> needed adequately</w:t>
      </w:r>
      <w:r>
        <w:t xml:space="preserve"> to</w:t>
      </w:r>
      <w:r w:rsidRPr="00DA46F2">
        <w:t xml:space="preserve"> satisfy the</w:t>
      </w:r>
      <w:r>
        <w:t xml:space="preserve"> entitlement</w:t>
      </w:r>
      <w:r w:rsidRPr="00DA46F2">
        <w:t xml:space="preserve"> to indemnity given by</w:t>
      </w:r>
      <w:r>
        <w:t xml:space="preserve"> par (a) of the sub</w:t>
      </w:r>
      <w:r>
        <w:noBreakHyphen/>
        <w:t>section</w:t>
      </w:r>
      <w:r w:rsidRPr="00DA46F2">
        <w:t xml:space="preserve">.  That additional right may be needed, as identified in </w:t>
      </w:r>
      <w:r w:rsidRPr="00DA46F2">
        <w:rPr>
          <w:i/>
          <w:iCs/>
        </w:rPr>
        <w:t>Seltsam</w:t>
      </w:r>
      <w:r w:rsidRPr="00DA46F2">
        <w:t xml:space="preserve">, for the giving of required notices in the worker's name.  </w:t>
      </w:r>
      <w:r>
        <w:t>The</w:t>
      </w:r>
      <w:r w:rsidRPr="00DA46F2">
        <w:t xml:space="preserve"> respondent</w:t>
      </w:r>
      <w:r>
        <w:t>s submit</w:t>
      </w:r>
      <w:r w:rsidRPr="00DA46F2">
        <w:t xml:space="preserve"> that it may also be used by the insurer</w:t>
      </w:r>
      <w:r>
        <w:t>, for example,</w:t>
      </w:r>
      <w:r w:rsidRPr="00DA46F2">
        <w:t xml:space="preserve"> in circumstances where it is more advantageous to seek recovery in the worker's name, such as in the Dust Diseases Tribunal of New South Wales</w:t>
      </w:r>
      <w:r w:rsidRPr="00DA46F2">
        <w:rPr>
          <w:rStyle w:val="FootnoteReference"/>
        </w:rPr>
        <w:footnoteReference w:id="13"/>
      </w:r>
      <w:r w:rsidRPr="00DA46F2">
        <w:t xml:space="preserve">.    </w:t>
      </w:r>
    </w:p>
    <w:p w:rsidR="00A16FF2" w:rsidRDefault="00A16FF2" w:rsidP="008F5902"/>
    <w:p w:rsidR="00A16FF2" w:rsidRDefault="00A16FF2" w:rsidP="00696ED0">
      <w:pPr>
        <w:pStyle w:val="ListNumber"/>
        <w:numPr>
          <w:ilvl w:val="0"/>
          <w:numId w:val="20"/>
        </w:numPr>
        <w:tabs>
          <w:tab w:val="clear" w:pos="0"/>
        </w:tabs>
      </w:pPr>
      <w:r>
        <w:tab/>
        <w:t xml:space="preserve">It is not clear that the decision of </w:t>
      </w:r>
      <w:r>
        <w:rPr>
          <w:i/>
          <w:iCs/>
        </w:rPr>
        <w:t xml:space="preserve">Seltsam </w:t>
      </w:r>
      <w:r>
        <w:t xml:space="preserve">limited the right of subrogation to the extent submitted by the respondents, </w:t>
      </w:r>
      <w:r w:rsidRPr="00DA46F2">
        <w:t xml:space="preserve">but </w:t>
      </w:r>
      <w:r>
        <w:t xml:space="preserve">in any event, </w:t>
      </w:r>
      <w:r w:rsidRPr="00DA46F2">
        <w:t xml:space="preserve">it is not necessary for that issue to be decided in this appeal.  That is because both parties accepted the proposition for which </w:t>
      </w:r>
      <w:r w:rsidRPr="00DA46F2">
        <w:rPr>
          <w:i/>
          <w:iCs/>
        </w:rPr>
        <w:t xml:space="preserve">Seltsam </w:t>
      </w:r>
      <w:r>
        <w:t xml:space="preserve">does stand, that s 207B(7) </w:t>
      </w:r>
      <w:r w:rsidRPr="00DA46F2">
        <w:t xml:space="preserve">creates a new cause of action vested in the insurer, </w:t>
      </w:r>
      <w:r>
        <w:t>WorkCover</w:t>
      </w:r>
      <w:r w:rsidRPr="00DA46F2">
        <w:t xml:space="preserve"> in this case.  </w:t>
      </w:r>
    </w:p>
    <w:p w:rsidR="00A16FF2" w:rsidRDefault="00A16FF2" w:rsidP="008F5902"/>
    <w:p w:rsidR="00A16FF2" w:rsidRPr="00DA46F2" w:rsidRDefault="00A16FF2" w:rsidP="00696ED0">
      <w:pPr>
        <w:pStyle w:val="ListNumber"/>
        <w:numPr>
          <w:ilvl w:val="0"/>
          <w:numId w:val="20"/>
        </w:numPr>
        <w:tabs>
          <w:tab w:val="clear" w:pos="0"/>
        </w:tabs>
      </w:pPr>
      <w:r>
        <w:tab/>
      </w:r>
      <w:r w:rsidRPr="00DA46F2">
        <w:t xml:space="preserve">The significance of </w:t>
      </w:r>
      <w:r w:rsidRPr="00DA46F2">
        <w:rPr>
          <w:i/>
          <w:iCs/>
        </w:rPr>
        <w:t xml:space="preserve">Seltsam </w:t>
      </w:r>
      <w:r w:rsidRPr="00DA46F2">
        <w:t>for this appeal is that it identifies the starting point for the consideration of the construction of</w:t>
      </w:r>
      <w:r>
        <w:t xml:space="preserve"> par (a) of</w:t>
      </w:r>
      <w:r w:rsidRPr="00DA46F2">
        <w:t xml:space="preserve"> s 207B(7).  Th</w:t>
      </w:r>
      <w:r>
        <w:t xml:space="preserve">is </w:t>
      </w:r>
      <w:r w:rsidRPr="00DA46F2">
        <w:t>is the acknowledgment of the independence of the cause of action vested in the insurer</w:t>
      </w:r>
      <w:r>
        <w:t xml:space="preserve"> by that provision from that of </w:t>
      </w:r>
      <w:r w:rsidRPr="00DA46F2">
        <w:t>the person to whom that insurer had paid compensation</w:t>
      </w:r>
      <w:r>
        <w:t xml:space="preserve">, </w:t>
      </w:r>
      <w:r w:rsidRPr="00DA46F2">
        <w:t>in this case</w:t>
      </w:r>
      <w:r>
        <w:t xml:space="preserve"> the worker</w:t>
      </w:r>
      <w:r w:rsidRPr="00DA46F2">
        <w:t xml:space="preserve">.  It is the independence of this cause of action from that of the worker that, </w:t>
      </w:r>
      <w:r>
        <w:t xml:space="preserve">even </w:t>
      </w:r>
      <w:r w:rsidRPr="00DA46F2">
        <w:t>prior to the existence of equivalent provisions of s 66(1)</w:t>
      </w:r>
      <w:r>
        <w:t xml:space="preserve"> of the Succession Act</w:t>
      </w:r>
      <w:r w:rsidRPr="00DA46F2">
        <w:t>, allowed the insurer to pursue an indemnity following the death of the worker</w:t>
      </w:r>
      <w:r w:rsidRPr="00DA46F2">
        <w:rPr>
          <w:rStyle w:val="FootnoteReference"/>
        </w:rPr>
        <w:footnoteReference w:id="14"/>
      </w:r>
      <w:r w:rsidRPr="00DA46F2">
        <w:t xml:space="preserve">.  It is also why a right of indemnity exists even when the cause of action of the worker is time-barred under the relevant </w:t>
      </w:r>
      <w:r>
        <w:t>statute of limitations</w:t>
      </w:r>
      <w:r w:rsidRPr="00DA46F2">
        <w:rPr>
          <w:rStyle w:val="FootnoteReference"/>
        </w:rPr>
        <w:footnoteReference w:id="15"/>
      </w:r>
      <w:r w:rsidRPr="00DA46F2">
        <w:t>.</w:t>
      </w:r>
    </w:p>
    <w:p w:rsidR="00A16FF2" w:rsidRDefault="00A16FF2" w:rsidP="008F5902"/>
    <w:p w:rsidR="00A16FF2" w:rsidRPr="00DA46F2" w:rsidRDefault="00A16FF2" w:rsidP="00696ED0">
      <w:pPr>
        <w:pStyle w:val="ListNumber"/>
        <w:numPr>
          <w:ilvl w:val="0"/>
          <w:numId w:val="20"/>
        </w:numPr>
        <w:tabs>
          <w:tab w:val="clear" w:pos="0"/>
        </w:tabs>
      </w:pPr>
      <w:r>
        <w:tab/>
      </w:r>
      <w:r w:rsidRPr="00DA46F2">
        <w:t>But</w:t>
      </w:r>
      <w:r>
        <w:t xml:space="preserve"> contrary to WorkCover's submission, it does not follow that, given</w:t>
      </w:r>
      <w:r w:rsidRPr="00DA46F2">
        <w:t xml:space="preserve"> the right of indemnity would exist under</w:t>
      </w:r>
      <w:r>
        <w:t xml:space="preserve"> par (a) of</w:t>
      </w:r>
      <w:r w:rsidRPr="00DA46F2">
        <w:t xml:space="preserve"> s 207B(7) irrespective of the existence of s 66(1)</w:t>
      </w:r>
      <w:r>
        <w:t xml:space="preserve"> of the Succession Act</w:t>
      </w:r>
      <w:r w:rsidRPr="00DA46F2">
        <w:t>, the limitations on damages found in s 66(2) necessarily do not apply.  The respondent</w:t>
      </w:r>
      <w:r>
        <w:t xml:space="preserve">s correctly submit </w:t>
      </w:r>
      <w:r w:rsidRPr="00DA46F2">
        <w:t>that</w:t>
      </w:r>
      <w:r>
        <w:t xml:space="preserve"> the operation of par (a) of</w:t>
      </w:r>
      <w:r w:rsidRPr="00DA46F2">
        <w:t xml:space="preserve"> s</w:t>
      </w:r>
      <w:r>
        <w:t> 207B(7)</w:t>
      </w:r>
      <w:r w:rsidRPr="00DA46F2">
        <w:t xml:space="preserve"> involves two </w:t>
      </w:r>
      <w:r>
        <w:t>matter</w:t>
      </w:r>
      <w:r w:rsidRPr="00DA46F2">
        <w:t>s.  The first is the existence of the r</w:t>
      </w:r>
      <w:r>
        <w:t>ight of indemnity</w:t>
      </w:r>
      <w:r w:rsidRPr="00DA46F2">
        <w:t xml:space="preserve">.  The second is the scope of that indemnity.  </w:t>
      </w:r>
    </w:p>
    <w:p w:rsidR="00A16FF2" w:rsidRPr="00DA46F2" w:rsidRDefault="00A16FF2" w:rsidP="008F5902"/>
    <w:p w:rsidR="00A16FF2" w:rsidRPr="00DA46F2" w:rsidRDefault="00A16FF2" w:rsidP="00696ED0">
      <w:pPr>
        <w:pStyle w:val="ListNumber"/>
        <w:numPr>
          <w:ilvl w:val="0"/>
          <w:numId w:val="20"/>
        </w:numPr>
        <w:tabs>
          <w:tab w:val="clear" w:pos="0"/>
        </w:tabs>
      </w:pPr>
      <w:r>
        <w:tab/>
        <w:t>W</w:t>
      </w:r>
      <w:r w:rsidRPr="00DA46F2">
        <w:t xml:space="preserve">hereas the right of indemnity is </w:t>
      </w:r>
      <w:r>
        <w:t>distinct from</w:t>
      </w:r>
      <w:r w:rsidRPr="00DA46F2">
        <w:t xml:space="preserve"> the cause of action of the person to whom compensation has been paid, the scope of the indemnity necessarily</w:t>
      </w:r>
      <w:r>
        <w:t xml:space="preserve"> is</w:t>
      </w:r>
      <w:r w:rsidRPr="00DA46F2">
        <w:t xml:space="preserve"> tied to that cause of action.  This</w:t>
      </w:r>
      <w:r>
        <w:t xml:space="preserve"> is the effect of</w:t>
      </w:r>
      <w:r w:rsidRPr="00DA46F2">
        <w:t xml:space="preserve"> the words "to the extent of that person's liability for the damages".  </w:t>
      </w:r>
      <w:r>
        <w:t xml:space="preserve">The reference to </w:t>
      </w:r>
      <w:r w:rsidRPr="00DA46F2">
        <w:t>"</w:t>
      </w:r>
      <w:r>
        <w:t>t</w:t>
      </w:r>
      <w:r w:rsidRPr="00DA46F2">
        <w:t xml:space="preserve">hat person" is a reference to the wrongdoer </w:t>
      </w:r>
      <w:r>
        <w:t xml:space="preserve">from </w:t>
      </w:r>
      <w:r w:rsidRPr="00DA46F2">
        <w:t>whom the insurer seeks recovery under the indemnity.</w:t>
      </w:r>
      <w:r>
        <w:t xml:space="preserve">  And the phrase "l</w:t>
      </w:r>
      <w:r w:rsidRPr="00DA46F2">
        <w:t xml:space="preserve">iability for the damages" refers back to the opening words of sub-s (7), </w:t>
      </w:r>
      <w:r>
        <w:t xml:space="preserve">being </w:t>
      </w:r>
      <w:r w:rsidRPr="00DA46F2">
        <w:t>liability "for the injury" suffered by the "person who has rec</w:t>
      </w:r>
      <w:r>
        <w:t>eived</w:t>
      </w:r>
      <w:r w:rsidRPr="00DA46F2">
        <w:t xml:space="preserve"> compensation", that person having "not rec</w:t>
      </w:r>
      <w:r>
        <w:t>overed</w:t>
      </w:r>
      <w:r w:rsidRPr="00DA46F2">
        <w:t>, or taken proceedings to recover, damages".</w:t>
      </w:r>
      <w:r>
        <w:t xml:space="preserve">  By virtue of sub-s (10), "</w:t>
      </w:r>
      <w:r w:rsidRPr="00DA46F2">
        <w:t xml:space="preserve">damages" includes any damages for which the wrongdoer is liable arising independently of the </w:t>
      </w:r>
      <w:r>
        <w:t xml:space="preserve">Compensation </w:t>
      </w:r>
      <w:r w:rsidRPr="00DA46F2">
        <w:t>Act, whether the liability arises from statute or the common law</w:t>
      </w:r>
      <w:r w:rsidRPr="00DA46F2">
        <w:rPr>
          <w:rStyle w:val="FootnoteReference"/>
        </w:rPr>
        <w:footnoteReference w:id="16"/>
      </w:r>
      <w:r w:rsidRPr="00DA46F2">
        <w:t xml:space="preserve">.  </w:t>
      </w:r>
    </w:p>
    <w:p w:rsidR="00A16FF2" w:rsidRDefault="00A16FF2" w:rsidP="008F5902"/>
    <w:p w:rsidR="00A16FF2" w:rsidRPr="00DA46F2" w:rsidRDefault="00A16FF2" w:rsidP="00696ED0">
      <w:pPr>
        <w:pStyle w:val="ListNumber"/>
        <w:numPr>
          <w:ilvl w:val="0"/>
          <w:numId w:val="20"/>
        </w:numPr>
        <w:tabs>
          <w:tab w:val="clear" w:pos="0"/>
        </w:tabs>
      </w:pPr>
      <w:r>
        <w:tab/>
      </w:r>
      <w:r w:rsidRPr="00DA46F2">
        <w:t>No issue was taken in this Court as to the meaning of the phrase "so far as the amount of damages payable for the injury by that person extends"</w:t>
      </w:r>
      <w:r>
        <w:t>,</w:t>
      </w:r>
      <w:r w:rsidRPr="00DA46F2">
        <w:t xml:space="preserve"> </w:t>
      </w:r>
      <w:r>
        <w:t>which</w:t>
      </w:r>
      <w:r w:rsidRPr="00DA46F2">
        <w:t xml:space="preserve"> immediately </w:t>
      </w:r>
      <w:r>
        <w:t>follows</w:t>
      </w:r>
      <w:r w:rsidRPr="00DA46F2">
        <w:t xml:space="preserve"> the phrase "to the extent of that person's liability for the damages".  In the Court of Appeal, the respondent</w:t>
      </w:r>
      <w:r>
        <w:t>s</w:t>
      </w:r>
      <w:r w:rsidRPr="00DA46F2">
        <w:t xml:space="preserve"> submitted that the two phrases must be directed towards different ends; if they both referred to the limit on the quantum of the indemnity then one or the other would be otiose</w:t>
      </w:r>
      <w:r w:rsidRPr="00DA46F2">
        <w:rPr>
          <w:rStyle w:val="FootnoteReference"/>
        </w:rPr>
        <w:footnoteReference w:id="17"/>
      </w:r>
      <w:r w:rsidRPr="00DA46F2">
        <w:t xml:space="preserve">.  </w:t>
      </w:r>
      <w:r>
        <w:t>The Court of Appeal rejected that</w:t>
      </w:r>
      <w:r w:rsidRPr="00DA46F2">
        <w:t xml:space="preserve"> submission</w:t>
      </w:r>
      <w:r w:rsidRPr="00DA46F2">
        <w:rPr>
          <w:rStyle w:val="FootnoteReference"/>
        </w:rPr>
        <w:footnoteReference w:id="18"/>
      </w:r>
      <w:r>
        <w:t xml:space="preserve"> and appears to have read</w:t>
      </w:r>
      <w:r w:rsidRPr="00DA46F2">
        <w:t xml:space="preserve"> the two phrases together a</w:t>
      </w:r>
      <w:r>
        <w:t>s</w:t>
      </w:r>
      <w:r w:rsidRPr="00DA46F2">
        <w:t xml:space="preserve"> referring to</w:t>
      </w:r>
      <w:r>
        <w:t xml:space="preserve"> each</w:t>
      </w:r>
      <w:r w:rsidRPr="00DA46F2">
        <w:t xml:space="preserve"> respondent's liability for the whole of the damages</w:t>
      </w:r>
      <w:r>
        <w:t xml:space="preserve"> payable.</w:t>
      </w:r>
      <w:r w:rsidRPr="00DA46F2">
        <w:t xml:space="preserve"> </w:t>
      </w:r>
    </w:p>
    <w:p w:rsidR="00A16FF2" w:rsidRPr="00DA46F2" w:rsidRDefault="00A16FF2" w:rsidP="008F5902"/>
    <w:p w:rsidR="00A16FF2" w:rsidRDefault="00A16FF2" w:rsidP="00696ED0">
      <w:pPr>
        <w:pStyle w:val="ListNumber"/>
        <w:numPr>
          <w:ilvl w:val="0"/>
          <w:numId w:val="20"/>
        </w:numPr>
        <w:tabs>
          <w:tab w:val="clear" w:pos="0"/>
        </w:tabs>
      </w:pPr>
      <w:r>
        <w:tab/>
      </w:r>
      <w:r w:rsidRPr="00DA46F2">
        <w:t>That finding was not the subject of a cross-appeal by the respondent</w:t>
      </w:r>
      <w:r>
        <w:t>s</w:t>
      </w:r>
      <w:r w:rsidRPr="00DA46F2">
        <w:t xml:space="preserve"> to this Court, </w:t>
      </w:r>
      <w:r>
        <w:t>and in oral argument the respondents appeared to adopt the construction given to those two phrases by the Court of Appeal</w:t>
      </w:r>
      <w:r w:rsidRPr="00DA46F2">
        <w:t xml:space="preserve">.  </w:t>
      </w:r>
    </w:p>
    <w:p w:rsidR="00A16FF2" w:rsidRDefault="00A16FF2" w:rsidP="008F5902"/>
    <w:p w:rsidR="00A16FF2" w:rsidRPr="00DA46F2" w:rsidRDefault="00A16FF2" w:rsidP="00696ED0">
      <w:pPr>
        <w:pStyle w:val="ListNumber"/>
        <w:numPr>
          <w:ilvl w:val="0"/>
          <w:numId w:val="20"/>
        </w:numPr>
        <w:tabs>
          <w:tab w:val="clear" w:pos="0"/>
        </w:tabs>
      </w:pPr>
      <w:r>
        <w:tab/>
        <w:t xml:space="preserve">However, the preferable construction may be that the </w:t>
      </w:r>
      <w:r w:rsidRPr="00DA46F2">
        <w:t xml:space="preserve">two phrases are directed to two </w:t>
      </w:r>
      <w:r>
        <w:t>distinct</w:t>
      </w:r>
      <w:r w:rsidRPr="00DA46F2">
        <w:t xml:space="preserve"> limitations on the quantum of the right of indemnity.  The </w:t>
      </w:r>
      <w:r>
        <w:t>phrase</w:t>
      </w:r>
      <w:r w:rsidRPr="00DA46F2">
        <w:t xml:space="preserve"> "to the extent of that person's liability for the damages" limit</w:t>
      </w:r>
      <w:r>
        <w:t>s</w:t>
      </w:r>
      <w:r w:rsidRPr="00DA46F2">
        <w:t xml:space="preserve"> the insurer's right of indemnity against a wrongdoer</w:t>
      </w:r>
      <w:r>
        <w:t xml:space="preserve"> as extending</w:t>
      </w:r>
      <w:r w:rsidRPr="00DA46F2">
        <w:t xml:space="preserve"> only up to the amount of damages </w:t>
      </w:r>
      <w:r>
        <w:t xml:space="preserve">for which </w:t>
      </w:r>
      <w:r w:rsidRPr="00DA46F2">
        <w:t xml:space="preserve">the wrongdoer </w:t>
      </w:r>
      <w:r>
        <w:t>is</w:t>
      </w:r>
      <w:r w:rsidRPr="00DA46F2">
        <w:t xml:space="preserve"> liable to the person </w:t>
      </w:r>
      <w:r>
        <w:t>who received</w:t>
      </w:r>
      <w:r w:rsidRPr="00DA46F2">
        <w:t xml:space="preserve"> compensation.  The </w:t>
      </w:r>
      <w:r>
        <w:t>phrase</w:t>
      </w:r>
      <w:r w:rsidRPr="00DA46F2">
        <w:t xml:space="preserve"> "so far as the amount of damages payable for the injury by that person extends", on the other hand, reinforce</w:t>
      </w:r>
      <w:r>
        <w:t>s the proposition</w:t>
      </w:r>
      <w:r w:rsidRPr="00DA46F2">
        <w:t xml:space="preserve"> that the amount payable under the indemnity</w:t>
      </w:r>
      <w:r>
        <w:t>, being an amount up to "the amount of damages payable for the injury by that person",</w:t>
      </w:r>
      <w:r w:rsidRPr="00DA46F2">
        <w:t xml:space="preserve"> is not to extend beyond </w:t>
      </w:r>
      <w:r>
        <w:t>"</w:t>
      </w:r>
      <w:r w:rsidRPr="00DA46F2">
        <w:t>the amount of compensation</w:t>
      </w:r>
      <w:r>
        <w:t>"</w:t>
      </w:r>
      <w:r w:rsidRPr="00DA46F2">
        <w:t xml:space="preserve"> paid by the insurer.  </w:t>
      </w:r>
      <w:r>
        <w:t>Whether that construction is to be preferred to that of the Court of Appeal is a question that need not be determined for the resolution of this appeal</w:t>
      </w:r>
      <w:r w:rsidRPr="00DA46F2">
        <w:t xml:space="preserve">.   </w:t>
      </w:r>
    </w:p>
    <w:p w:rsidR="00A16FF2" w:rsidRPr="00DA46F2" w:rsidRDefault="00A16FF2" w:rsidP="008F5902"/>
    <w:p w:rsidR="00A16FF2" w:rsidRPr="00DA46F2" w:rsidRDefault="00A16FF2" w:rsidP="008F5902">
      <w:pPr>
        <w:keepNext/>
      </w:pPr>
      <w:r w:rsidRPr="00DA46F2">
        <w:rPr>
          <w:u w:val="single"/>
        </w:rPr>
        <w:t>Difference between liability and damages recoverable</w:t>
      </w:r>
    </w:p>
    <w:p w:rsidR="00A16FF2" w:rsidRPr="00DA46F2" w:rsidRDefault="00A16FF2" w:rsidP="008F5902">
      <w:pPr>
        <w:keepNext/>
      </w:pPr>
    </w:p>
    <w:p w:rsidR="00A16FF2" w:rsidRDefault="00A16FF2" w:rsidP="00696ED0">
      <w:pPr>
        <w:pStyle w:val="ListNumber"/>
        <w:numPr>
          <w:ilvl w:val="0"/>
          <w:numId w:val="20"/>
        </w:numPr>
        <w:tabs>
          <w:tab w:val="clear" w:pos="0"/>
        </w:tabs>
      </w:pPr>
      <w:r>
        <w:tab/>
        <w:t>The respondents submit</w:t>
      </w:r>
      <w:r w:rsidRPr="00DA46F2">
        <w:t>,</w:t>
      </w:r>
      <w:r>
        <w:t xml:space="preserve"> and WorkCover appears to accept, that the phrase</w:t>
      </w:r>
      <w:r w:rsidRPr="00DA46F2">
        <w:t xml:space="preserve"> "to the ext</w:t>
      </w:r>
      <w:r>
        <w:t>ent of that person's liability"</w:t>
      </w:r>
      <w:r w:rsidRPr="00DA46F2">
        <w:t xml:space="preserve"> </w:t>
      </w:r>
      <w:r>
        <w:t xml:space="preserve">in par (a) of s 207B(7) requires </w:t>
      </w:r>
      <w:r w:rsidRPr="00DA46F2">
        <w:t>a hypothetical assessment of damages that would</w:t>
      </w:r>
      <w:r>
        <w:t xml:space="preserve"> have been</w:t>
      </w:r>
      <w:r w:rsidRPr="00DA46F2">
        <w:t xml:space="preserve"> payable had the person to whom compensation ha</w:t>
      </w:r>
      <w:r>
        <w:t>s</w:t>
      </w:r>
      <w:r w:rsidRPr="00DA46F2">
        <w:t xml:space="preserve"> been paid brought an action against the wrongdoer.  Yet</w:t>
      </w:r>
      <w:r>
        <w:t xml:space="preserve"> construing</w:t>
      </w:r>
      <w:r w:rsidRPr="00DA46F2">
        <w:t xml:space="preserve"> the limitation in this way is apt to mislead.  </w:t>
      </w:r>
      <w:r>
        <w:t>We turn to explain why this is so.</w:t>
      </w:r>
    </w:p>
    <w:p w:rsidR="00A16FF2" w:rsidRDefault="00A16FF2" w:rsidP="008F5902"/>
    <w:p w:rsidR="00A16FF2" w:rsidRDefault="00A16FF2" w:rsidP="00696ED0">
      <w:pPr>
        <w:pStyle w:val="ListNumber"/>
        <w:numPr>
          <w:ilvl w:val="0"/>
          <w:numId w:val="20"/>
        </w:numPr>
        <w:tabs>
          <w:tab w:val="clear" w:pos="0"/>
        </w:tabs>
      </w:pPr>
      <w:r>
        <w:tab/>
        <w:t>Paragraph (a) of s </w:t>
      </w:r>
      <w:r w:rsidRPr="00DA46F2">
        <w:t>207B(7) does not limit the indemnity to the amount that would have been received by the person to whom compensation ha</w:t>
      </w:r>
      <w:r>
        <w:t>s</w:t>
      </w:r>
      <w:r w:rsidRPr="00DA46F2">
        <w:t xml:space="preserve"> been paid had they</w:t>
      </w:r>
      <w:r>
        <w:t>, or their personal representative upon their death,</w:t>
      </w:r>
      <w:r w:rsidRPr="00DA46F2">
        <w:t xml:space="preserve"> brought an action.  Rather, it limits </w:t>
      </w:r>
      <w:r>
        <w:t>the indemnity</w:t>
      </w:r>
      <w:r w:rsidRPr="00DA46F2">
        <w:t xml:space="preserve"> "to the extent of</w:t>
      </w:r>
      <w:r>
        <w:t xml:space="preserve"> </w:t>
      </w:r>
      <w:r w:rsidRPr="00DA46F2">
        <w:t>…</w:t>
      </w:r>
      <w:r>
        <w:t xml:space="preserve"> </w:t>
      </w:r>
      <w:r w:rsidRPr="00DA46F2">
        <w:t xml:space="preserve">liability" of the wrongdoer.  </w:t>
      </w:r>
      <w:r>
        <w:t>That point was made by</w:t>
      </w:r>
      <w:r w:rsidRPr="00DA46F2">
        <w:t xml:space="preserve"> Winneke P</w:t>
      </w:r>
      <w:r w:rsidRPr="00DA46F2">
        <w:rPr>
          <w:rStyle w:val="FootnoteReference"/>
        </w:rPr>
        <w:footnoteReference w:id="19"/>
      </w:r>
      <w:r w:rsidRPr="00DA46F2">
        <w:t>, in a passage approved by this Cour</w:t>
      </w:r>
      <w:r>
        <w:t xml:space="preserve">t in </w:t>
      </w:r>
      <w:r>
        <w:rPr>
          <w:i/>
          <w:iCs/>
        </w:rPr>
        <w:t>Victorian WorkCover Authority v Esso Australia Ltd</w:t>
      </w:r>
      <w:r w:rsidRPr="00DA46F2">
        <w:rPr>
          <w:rStyle w:val="FootnoteReference"/>
        </w:rPr>
        <w:footnoteReference w:id="20"/>
      </w:r>
      <w:r w:rsidRPr="00DA46F2">
        <w:t>,</w:t>
      </w:r>
      <w:r>
        <w:t xml:space="preserve"> in relation to a similar provision in Victoria.  </w:t>
      </w:r>
      <w:r w:rsidRPr="00DA46F2">
        <w:t>It is a "notional liability at common law [or u</w:t>
      </w:r>
      <w:r>
        <w:t>nder a statute other than the Compensation</w:t>
      </w:r>
      <w:r w:rsidRPr="00DA46F2">
        <w:t xml:space="preserve"> Act] for pecuniary and non-pecuniary loss"</w:t>
      </w:r>
      <w:r w:rsidRPr="00DA46F2">
        <w:rPr>
          <w:rStyle w:val="FootnoteReference"/>
        </w:rPr>
        <w:footnoteReference w:id="21"/>
      </w:r>
      <w:r w:rsidRPr="00DA46F2">
        <w:t xml:space="preserve">, </w:t>
      </w:r>
      <w:r>
        <w:t>having regard to</w:t>
      </w:r>
      <w:r w:rsidRPr="00DA46F2">
        <w:t xml:space="preserve"> limitations </w:t>
      </w:r>
      <w:r w:rsidRPr="00DA46F2">
        <w:rPr>
          <w:i/>
          <w:iCs/>
        </w:rPr>
        <w:t>on the liability</w:t>
      </w:r>
      <w:r w:rsidRPr="00DA46F2">
        <w:t xml:space="preserve"> of the wrongdoer </w:t>
      </w:r>
      <w:r w:rsidRPr="00DA46F2">
        <w:rPr>
          <w:i/>
          <w:iCs/>
        </w:rPr>
        <w:t>to the person</w:t>
      </w:r>
      <w:r w:rsidRPr="00DA46F2">
        <w:t xml:space="preserve"> who has received compensation.</w:t>
      </w:r>
    </w:p>
    <w:p w:rsidR="00A16FF2" w:rsidRDefault="00A16FF2" w:rsidP="008F5902"/>
    <w:p w:rsidR="00A16FF2" w:rsidRPr="00DA46F2" w:rsidRDefault="00A16FF2" w:rsidP="00696ED0">
      <w:pPr>
        <w:pStyle w:val="ListNumber"/>
        <w:numPr>
          <w:ilvl w:val="0"/>
          <w:numId w:val="20"/>
        </w:numPr>
        <w:tabs>
          <w:tab w:val="clear" w:pos="0"/>
        </w:tabs>
      </w:pPr>
      <w:r>
        <w:tab/>
        <w:t xml:space="preserve">In this regard, reference was made by the Court of Appeal in this case (as it had been by this Court in </w:t>
      </w:r>
      <w:r>
        <w:rPr>
          <w:i/>
          <w:iCs/>
        </w:rPr>
        <w:t>Esso</w:t>
      </w:r>
      <w:r w:rsidRPr="004E3F10">
        <w:rPr>
          <w:rStyle w:val="FootnoteReference"/>
        </w:rPr>
        <w:footnoteReference w:id="22"/>
      </w:r>
      <w:r>
        <w:t xml:space="preserve">) to the treatment of the term </w:t>
      </w:r>
      <w:r w:rsidRPr="00DA46F2">
        <w:t xml:space="preserve">"liable" in a </w:t>
      </w:r>
      <w:r>
        <w:t xml:space="preserve">similar </w:t>
      </w:r>
      <w:r w:rsidRPr="00DA46F2">
        <w:t>Northern Territory provision by Barwick</w:t>
      </w:r>
      <w:r>
        <w:t> </w:t>
      </w:r>
      <w:r w:rsidRPr="00DA46F2">
        <w:t>CJ, with whom McTiernan</w:t>
      </w:r>
      <w:r>
        <w:t> </w:t>
      </w:r>
      <w:r w:rsidRPr="00DA46F2">
        <w:t xml:space="preserve">J agreed, in </w:t>
      </w:r>
      <w:r w:rsidRPr="00DA46F2">
        <w:rPr>
          <w:i/>
          <w:iCs/>
        </w:rPr>
        <w:t>Tickle Industries Pty Ltd v Hann</w:t>
      </w:r>
      <w:r w:rsidRPr="00DA46F2">
        <w:rPr>
          <w:rStyle w:val="FootnoteReference"/>
        </w:rPr>
        <w:footnoteReference w:id="23"/>
      </w:r>
      <w:r w:rsidRPr="00DA46F2">
        <w:t>.  His Honour said</w:t>
      </w:r>
      <w:r w:rsidRPr="00DA46F2">
        <w:rPr>
          <w:rStyle w:val="FootnoteReference"/>
        </w:rPr>
        <w:footnoteReference w:id="24"/>
      </w:r>
      <w:r w:rsidRPr="00DA46F2">
        <w:t>:</w:t>
      </w:r>
    </w:p>
    <w:p w:rsidR="00A16FF2" w:rsidRPr="00DA46F2" w:rsidRDefault="00A16FF2" w:rsidP="008F5902"/>
    <w:p w:rsidR="00A16FF2" w:rsidRDefault="00A16FF2" w:rsidP="008F5902">
      <w:pPr>
        <w:pStyle w:val="leftright"/>
      </w:pPr>
      <w:r w:rsidRPr="00DA46F2">
        <w:t>"</w:t>
      </w:r>
      <w:r>
        <w:t>'</w:t>
      </w:r>
      <w:r w:rsidRPr="00DA46F2">
        <w:t>Liable</w:t>
      </w:r>
      <w:r>
        <w:t>'</w:t>
      </w:r>
      <w:r w:rsidRPr="00DA46F2">
        <w:t xml:space="preserve"> must therefore be given a meaning consistent with the evident purpose of the legislation and cannot be confined to meaning liable to be sued by the workman or his dependants.  In other words, both in the expression 'the person liable to pay the damages' and in the expression 'for which that person is liable' the reference is to the tortfeasor, the person who, in the circumstances of the occurrence out of which the compensable injuries arose, appeared at that time to be the person responsible therefor and thus liable to pay damages."  </w:t>
      </w:r>
    </w:p>
    <w:p w:rsidR="00A16FF2" w:rsidRDefault="00A16FF2" w:rsidP="008F5902">
      <w:r w:rsidRPr="00DA46F2">
        <w:t>The policy of the legislation to which Barwick</w:t>
      </w:r>
      <w:r>
        <w:t> </w:t>
      </w:r>
      <w:r w:rsidRPr="00DA46F2">
        <w:t>CJ referred was that an employer, or insurer</w:t>
      </w:r>
      <w:r>
        <w:t>,</w:t>
      </w:r>
      <w:r w:rsidRPr="00DA46F2">
        <w:t xml:space="preserve"> as the case may be, who paid compensation to a worker (or his or her dependants) for injury (or death) caused by the wrongful act or omission of another was entitled to be indemnified against the payment of that compensation by </w:t>
      </w:r>
      <w:r>
        <w:t>that wrongdoer</w:t>
      </w:r>
      <w:r w:rsidRPr="00DA46F2">
        <w:rPr>
          <w:rStyle w:val="FootnoteReference"/>
        </w:rPr>
        <w:footnoteReference w:id="25"/>
      </w:r>
      <w:r w:rsidRPr="00DA46F2">
        <w:t xml:space="preserve">.  </w:t>
      </w:r>
    </w:p>
    <w:p w:rsidR="00A16FF2" w:rsidRDefault="00A16FF2" w:rsidP="008F5902"/>
    <w:p w:rsidR="00A16FF2" w:rsidRDefault="00A16FF2" w:rsidP="00696ED0">
      <w:pPr>
        <w:pStyle w:val="ListNumber"/>
        <w:numPr>
          <w:ilvl w:val="0"/>
          <w:numId w:val="20"/>
        </w:numPr>
        <w:tabs>
          <w:tab w:val="clear" w:pos="0"/>
        </w:tabs>
      </w:pPr>
      <w:r>
        <w:tab/>
        <w:t xml:space="preserve">The outcome in </w:t>
      </w:r>
      <w:r w:rsidRPr="00DA46F2">
        <w:rPr>
          <w:i/>
          <w:iCs/>
        </w:rPr>
        <w:t xml:space="preserve">Tickle Industries </w:t>
      </w:r>
      <w:r>
        <w:t>turned upon</w:t>
      </w:r>
      <w:r w:rsidRPr="00DA46F2">
        <w:t xml:space="preserve"> whether the insurer could recover from the wrongdoer under an indemnity in</w:t>
      </w:r>
      <w:r>
        <w:t xml:space="preserve"> circumstances where the worker</w:t>
      </w:r>
      <w:r w:rsidRPr="00DA46F2">
        <w:t xml:space="preserve"> </w:t>
      </w:r>
      <w:r>
        <w:t>(</w:t>
      </w:r>
      <w:r w:rsidRPr="00DA46F2">
        <w:t>or the dependants in that case</w:t>
      </w:r>
      <w:r>
        <w:t>)</w:t>
      </w:r>
      <w:r w:rsidRPr="00DA46F2">
        <w:t xml:space="preserve"> w</w:t>
      </w:r>
      <w:r>
        <w:t>as</w:t>
      </w:r>
      <w:r w:rsidRPr="00DA46F2">
        <w:t xml:space="preserve"> barred from bringing a claim </w:t>
      </w:r>
      <w:r>
        <w:t xml:space="preserve">against the wrongdoer </w:t>
      </w:r>
      <w:r w:rsidRPr="00DA46F2">
        <w:t xml:space="preserve">under the </w:t>
      </w:r>
      <w:r>
        <w:t>applicable</w:t>
      </w:r>
      <w:r w:rsidRPr="00DA46F2">
        <w:t xml:space="preserve"> </w:t>
      </w:r>
      <w:r>
        <w:t>statute of limitations</w:t>
      </w:r>
      <w:r w:rsidRPr="00DA46F2">
        <w:t xml:space="preserve">.  </w:t>
      </w:r>
      <w:r>
        <w:t xml:space="preserve">This Court (Barwick CJ and McTiernan J; Menzies J dissenting) held </w:t>
      </w:r>
      <w:r w:rsidRPr="00DA46F2">
        <w:t>that the right of indemnity would exist so long as the wrongdoer had legal responsibility for the injury or death at some</w:t>
      </w:r>
      <w:r>
        <w:t xml:space="preserve"> point in</w:t>
      </w:r>
      <w:r w:rsidRPr="00DA46F2">
        <w:t xml:space="preserve"> time</w:t>
      </w:r>
      <w:r w:rsidRPr="00DA46F2">
        <w:rPr>
          <w:rStyle w:val="FootnoteReference"/>
        </w:rPr>
        <w:footnoteReference w:id="26"/>
      </w:r>
      <w:r w:rsidRPr="00DA46F2">
        <w:t>.</w:t>
      </w:r>
    </w:p>
    <w:p w:rsidR="00A16FF2" w:rsidRDefault="00A16FF2" w:rsidP="008F5902"/>
    <w:p w:rsidR="00A16FF2" w:rsidRPr="00DA46F2" w:rsidRDefault="00A16FF2" w:rsidP="00696ED0">
      <w:pPr>
        <w:pStyle w:val="ListNumber"/>
        <w:numPr>
          <w:ilvl w:val="0"/>
          <w:numId w:val="20"/>
        </w:numPr>
        <w:tabs>
          <w:tab w:val="clear" w:pos="0"/>
        </w:tabs>
      </w:pPr>
      <w:r>
        <w:tab/>
      </w:r>
      <w:r w:rsidRPr="00DA46F2">
        <w:t>The respondent</w:t>
      </w:r>
      <w:r>
        <w:t>s</w:t>
      </w:r>
      <w:r w:rsidRPr="00DA46F2">
        <w:t xml:space="preserve"> </w:t>
      </w:r>
      <w:r>
        <w:t>submit</w:t>
      </w:r>
      <w:r w:rsidRPr="00DA46F2">
        <w:t xml:space="preserve"> that </w:t>
      </w:r>
      <w:r w:rsidRPr="00DA46F2">
        <w:rPr>
          <w:i/>
          <w:iCs/>
        </w:rPr>
        <w:t xml:space="preserve">Tickle Industries </w:t>
      </w:r>
      <w:r w:rsidRPr="00DA46F2">
        <w:t>was only concerned with the existence of the right of indemnity; it did not concern the</w:t>
      </w:r>
      <w:r>
        <w:t xml:space="preserve"> further</w:t>
      </w:r>
      <w:r w:rsidRPr="00DA46F2">
        <w:t xml:space="preserve"> question</w:t>
      </w:r>
      <w:r>
        <w:t xml:space="preserve"> of</w:t>
      </w:r>
      <w:r w:rsidRPr="00DA46F2">
        <w:t xml:space="preserve"> the quantification of that indemnity. </w:t>
      </w:r>
      <w:r>
        <w:t>However, i</w:t>
      </w:r>
      <w:r w:rsidRPr="00DA46F2">
        <w:t xml:space="preserve">n considering </w:t>
      </w:r>
      <w:r>
        <w:t>the Northern Territory ordinance, which contained a limitation on the right of indemnity</w:t>
      </w:r>
      <w:r w:rsidRPr="00DA46F2">
        <w:t xml:space="preserve"> </w:t>
      </w:r>
      <w:r>
        <w:t>similar to that found in par (a) of s 207B(7)</w:t>
      </w:r>
      <w:r w:rsidRPr="00DA46F2">
        <w:t>, Barwick</w:t>
      </w:r>
      <w:r>
        <w:t> </w:t>
      </w:r>
      <w:r w:rsidRPr="00DA46F2">
        <w:t>CJ said</w:t>
      </w:r>
      <w:r w:rsidRPr="00DA46F2">
        <w:rPr>
          <w:rStyle w:val="FootnoteReference"/>
        </w:rPr>
        <w:footnoteReference w:id="27"/>
      </w:r>
      <w:r w:rsidRPr="00DA46F2">
        <w:t>:</w:t>
      </w:r>
    </w:p>
    <w:p w:rsidR="00A16FF2" w:rsidRPr="00DA46F2" w:rsidRDefault="00A16FF2" w:rsidP="008F5902"/>
    <w:p w:rsidR="00A16FF2" w:rsidRPr="00DA46F2" w:rsidRDefault="00A16FF2" w:rsidP="008F5902">
      <w:pPr>
        <w:pStyle w:val="leftright"/>
      </w:pPr>
      <w:r w:rsidRPr="00DA46F2">
        <w:t xml:space="preserve">"The limitation of the indemnity given by [s 22(d) of the </w:t>
      </w:r>
      <w:r w:rsidRPr="003C373B">
        <w:t>Workmen's Compensation Ordinance</w:t>
      </w:r>
      <w:r w:rsidRPr="00DA46F2">
        <w:rPr>
          <w:i/>
          <w:iCs/>
        </w:rPr>
        <w:t xml:space="preserve"> </w:t>
      </w:r>
      <w:r w:rsidRPr="00DA46F2">
        <w:t>1949 (NT)] to the amount of the damages caused is but an expression of a limitation implicit in the grant of the right of indemnity and clearly, in my opinion, evidences no departure from the settled policy of workers' compensation legislation."</w:t>
      </w:r>
    </w:p>
    <w:p w:rsidR="00A16FF2" w:rsidRPr="00DA46F2" w:rsidRDefault="00A16FF2" w:rsidP="008F5902">
      <w:r>
        <w:t xml:space="preserve">It would be </w:t>
      </w:r>
      <w:r w:rsidRPr="00DA46F2">
        <w:t>inconsistent with the policy of the legislation and the reasoning of</w:t>
      </w:r>
      <w:r>
        <w:t xml:space="preserve"> Barwick CJ to construe the present statute as providing </w:t>
      </w:r>
      <w:r w:rsidRPr="00DA46F2">
        <w:t xml:space="preserve">for the existence of a right of indemnity and then </w:t>
      </w:r>
      <w:r>
        <w:t>denying recovery under that indemnity on the footing that had the person who received compensation brought an action it would have been time</w:t>
      </w:r>
      <w:r>
        <w:noBreakHyphen/>
        <w:t xml:space="preserve">barred.  </w:t>
      </w:r>
      <w:r w:rsidRPr="00DA46F2">
        <w:t>It was not necessary for Barwick</w:t>
      </w:r>
      <w:r>
        <w:t> </w:t>
      </w:r>
      <w:r w:rsidRPr="00DA46F2">
        <w:t xml:space="preserve">CJ in that case </w:t>
      </w:r>
      <w:r>
        <w:t xml:space="preserve">to take the next step </w:t>
      </w:r>
      <w:r w:rsidRPr="00DA46F2">
        <w:t>and specify why</w:t>
      </w:r>
      <w:r>
        <w:t>,</w:t>
      </w:r>
      <w:r w:rsidRPr="00DA46F2">
        <w:t xml:space="preserve"> when assessing the limit of the indemnity</w:t>
      </w:r>
      <w:r>
        <w:t>,</w:t>
      </w:r>
      <w:r w:rsidRPr="00DA46F2">
        <w:t xml:space="preserve"> the </w:t>
      </w:r>
      <w:r>
        <w:t xml:space="preserve">statute of limitations would not </w:t>
      </w:r>
      <w:r w:rsidRPr="00DA46F2">
        <w:t xml:space="preserve">apply.  </w:t>
      </w:r>
    </w:p>
    <w:p w:rsidR="00A16FF2" w:rsidRPr="00DA46F2" w:rsidRDefault="00A16FF2" w:rsidP="008F5902"/>
    <w:p w:rsidR="00A16FF2" w:rsidRPr="00DA46F2" w:rsidRDefault="00A16FF2" w:rsidP="00696ED0">
      <w:pPr>
        <w:pStyle w:val="ListNumber"/>
        <w:numPr>
          <w:ilvl w:val="0"/>
          <w:numId w:val="20"/>
        </w:numPr>
        <w:tabs>
          <w:tab w:val="clear" w:pos="0"/>
        </w:tabs>
      </w:pPr>
      <w:r w:rsidRPr="00DA46F2">
        <w:tab/>
      </w:r>
      <w:r>
        <w:t>However, i</w:t>
      </w:r>
      <w:r w:rsidRPr="00DA46F2">
        <w:t xml:space="preserve">n </w:t>
      </w:r>
      <w:r>
        <w:rPr>
          <w:i/>
          <w:iCs/>
        </w:rPr>
        <w:t xml:space="preserve">The </w:t>
      </w:r>
      <w:r w:rsidRPr="00DA46F2">
        <w:rPr>
          <w:i/>
          <w:iCs/>
        </w:rPr>
        <w:t>Commonwealth v Mewett</w:t>
      </w:r>
      <w:r w:rsidRPr="00DA46F2">
        <w:rPr>
          <w:rStyle w:val="FootnoteReference"/>
        </w:rPr>
        <w:footnoteReference w:id="28"/>
      </w:r>
      <w:r>
        <w:t xml:space="preserve">, </w:t>
      </w:r>
      <w:r w:rsidRPr="00DA46F2">
        <w:t xml:space="preserve">Gummow and Kirby JJ said of the effect of </w:t>
      </w:r>
      <w:r>
        <w:t>statutes of limitations</w:t>
      </w:r>
      <w:r w:rsidRPr="00DA46F2">
        <w:t>:</w:t>
      </w:r>
    </w:p>
    <w:p w:rsidR="00A16FF2" w:rsidRPr="00DA46F2" w:rsidRDefault="00A16FF2" w:rsidP="008F5902"/>
    <w:p w:rsidR="00A16FF2" w:rsidRPr="00DA46F2" w:rsidRDefault="00A16FF2" w:rsidP="008F5902">
      <w:pPr>
        <w:pStyle w:val="leftright"/>
        <w:rPr>
          <w:rStyle w:val="ssl4"/>
        </w:rPr>
      </w:pPr>
      <w:r w:rsidRPr="00DA46F2">
        <w:rPr>
          <w:rStyle w:val="ssl4"/>
        </w:rPr>
        <w:t xml:space="preserve">"[A] statutory bar, at least in the case of a statute of limitations in the traditional form, does not go to the jurisdiction of the court to entertain the claim but to the remedy available and hence to the defences which may be pleaded. </w:t>
      </w:r>
      <w:r>
        <w:rPr>
          <w:rStyle w:val="ssl4"/>
        </w:rPr>
        <w:t xml:space="preserve"> </w:t>
      </w:r>
      <w:r w:rsidRPr="00DA46F2">
        <w:rPr>
          <w:rStyle w:val="ssl4"/>
        </w:rPr>
        <w:t xml:space="preserve">The cause of action has not been extinguished. </w:t>
      </w:r>
      <w:r>
        <w:rPr>
          <w:rStyle w:val="ssl4"/>
        </w:rPr>
        <w:t xml:space="preserve"> </w:t>
      </w:r>
      <w:r w:rsidRPr="00DA46F2">
        <w:rPr>
          <w:rStyle w:val="ssl4"/>
        </w:rPr>
        <w:t>Absent an appropriate plea, the matter of the statutory bar does not arise for the consideration of the court</w:t>
      </w:r>
      <w:r w:rsidRPr="00DA46F2">
        <w:rPr>
          <w:rStyle w:val="FootnoteReference"/>
        </w:rPr>
        <w:footnoteReference w:id="29"/>
      </w:r>
      <w:r w:rsidRPr="00DA46F2">
        <w:rPr>
          <w:rStyle w:val="ssl4"/>
        </w:rPr>
        <w:t>.</w:t>
      </w:r>
      <w:r w:rsidRPr="00DA46F2">
        <w:t xml:space="preserve">  </w:t>
      </w:r>
      <w:r w:rsidRPr="00DA46F2">
        <w:rPr>
          <w:rStyle w:val="ssl4"/>
        </w:rPr>
        <w:t>This is so at least where the limitation period is not annexed by statute to a right which it creates so as to be of the essence of that right</w:t>
      </w:r>
      <w:bookmarkStart w:id="0" w:name="BM12_r"/>
      <w:r w:rsidRPr="00DA46F2">
        <w:rPr>
          <w:rStyle w:val="FootnoteReference"/>
        </w:rPr>
        <w:footnoteReference w:id="30"/>
      </w:r>
      <w:bookmarkEnd w:id="0"/>
      <w:r w:rsidRPr="00DA46F2">
        <w:rPr>
          <w:rStyle w:val="ssl4"/>
        </w:rPr>
        <w:t>."</w:t>
      </w:r>
    </w:p>
    <w:p w:rsidR="00A16FF2" w:rsidRDefault="00A16FF2" w:rsidP="008F5902">
      <w:r w:rsidRPr="00DA46F2">
        <w:t xml:space="preserve">That is especially so in the context of the </w:t>
      </w:r>
      <w:r w:rsidRPr="00DA46F2">
        <w:rPr>
          <w:i/>
          <w:iCs/>
        </w:rPr>
        <w:t xml:space="preserve">Limitation of Actions Act </w:t>
      </w:r>
      <w:r w:rsidRPr="00DA46F2">
        <w:t xml:space="preserve">1974 </w:t>
      </w:r>
      <w:r>
        <w:t>(Q)</w:t>
      </w:r>
      <w:r w:rsidRPr="00DA46F2">
        <w:t xml:space="preserve">, whereby a limitation period may also be extended in </w:t>
      </w:r>
      <w:r>
        <w:t>certain</w:t>
      </w:r>
      <w:r w:rsidRPr="00DA46F2">
        <w:t xml:space="preserve"> action</w:t>
      </w:r>
      <w:r>
        <w:t>s</w:t>
      </w:r>
      <w:r w:rsidRPr="00DA46F2">
        <w:t xml:space="preserve"> for personal injury</w:t>
      </w:r>
      <w:r>
        <w:t xml:space="preserve"> or death</w:t>
      </w:r>
      <w:r w:rsidRPr="00DA46F2">
        <w:t xml:space="preserve"> in the circumstances </w:t>
      </w:r>
      <w:r>
        <w:t>provided for in s </w:t>
      </w:r>
      <w:r w:rsidRPr="00DA46F2">
        <w:t>31</w:t>
      </w:r>
      <w:r w:rsidRPr="00DA46F2">
        <w:rPr>
          <w:rStyle w:val="FootnoteReference"/>
        </w:rPr>
        <w:footnoteReference w:id="31"/>
      </w:r>
      <w:r w:rsidRPr="00DA46F2">
        <w:t>.</w:t>
      </w:r>
    </w:p>
    <w:p w:rsidR="00A16FF2" w:rsidRDefault="00A16FF2" w:rsidP="008F5902"/>
    <w:p w:rsidR="00A16FF2" w:rsidRDefault="00A16FF2" w:rsidP="00696ED0">
      <w:pPr>
        <w:pStyle w:val="ListNumber"/>
        <w:numPr>
          <w:ilvl w:val="0"/>
          <w:numId w:val="20"/>
        </w:numPr>
        <w:tabs>
          <w:tab w:val="clear" w:pos="0"/>
        </w:tabs>
      </w:pPr>
      <w:r>
        <w:tab/>
      </w:r>
      <w:r w:rsidRPr="00DA46F2">
        <w:t>Accordingly, a general limitation on a personal action does not affect</w:t>
      </w:r>
      <w:r>
        <w:t xml:space="preserve"> the liability of the wrongdoer;</w:t>
      </w:r>
      <w:r w:rsidRPr="00DA46F2">
        <w:t xml:space="preserve"> rather it acts as a bar</w:t>
      </w:r>
      <w:r>
        <w:t>, when pleaded,</w:t>
      </w:r>
      <w:r w:rsidRPr="00DA46F2">
        <w:t xml:space="preserve"> to any remedy the plaintiff may seek</w:t>
      </w:r>
      <w:r>
        <w:t xml:space="preserve"> when bringing an action for damages pursuant to that liability</w:t>
      </w:r>
      <w:r w:rsidRPr="00DA46F2">
        <w:t xml:space="preserve">.  </w:t>
      </w:r>
      <w:r>
        <w:t>Paragraph (a) of s 207B(7) of the Compensation Act</w:t>
      </w:r>
      <w:r w:rsidRPr="00DA46F2">
        <w:t xml:space="preserve"> requires an assessment of the liability of the wrongdoer to the person who has received compensation</w:t>
      </w:r>
      <w:r>
        <w:t>, and</w:t>
      </w:r>
      <w:r w:rsidRPr="00DA46F2">
        <w:t xml:space="preserve"> the</w:t>
      </w:r>
      <w:r>
        <w:t xml:space="preserve"> circumstance that the time for the </w:t>
      </w:r>
      <w:r w:rsidRPr="00DA46F2">
        <w:t>bringing</w:t>
      </w:r>
      <w:r>
        <w:t xml:space="preserve"> by that person of an action has </w:t>
      </w:r>
      <w:r w:rsidRPr="00DA46F2">
        <w:t>expired will not affect an assessment of the right of the insurer</w:t>
      </w:r>
      <w:r>
        <w:t xml:space="preserve"> to indemnity</w:t>
      </w:r>
      <w:r w:rsidRPr="00DA46F2">
        <w:t xml:space="preserve">. </w:t>
      </w:r>
    </w:p>
    <w:p w:rsidR="00A16FF2" w:rsidRDefault="00A16FF2" w:rsidP="008F5902"/>
    <w:p w:rsidR="00A16FF2" w:rsidRPr="000D327D" w:rsidRDefault="00A16FF2" w:rsidP="00696ED0">
      <w:pPr>
        <w:pStyle w:val="ListNumber"/>
        <w:numPr>
          <w:ilvl w:val="0"/>
          <w:numId w:val="20"/>
        </w:numPr>
        <w:tabs>
          <w:tab w:val="clear" w:pos="0"/>
        </w:tabs>
      </w:pPr>
      <w:r>
        <w:tab/>
        <w:t>In the Court of Appeal, de Jersey CJ referred</w:t>
      </w:r>
      <w:r>
        <w:rPr>
          <w:rStyle w:val="FootnoteReference"/>
        </w:rPr>
        <w:footnoteReference w:id="32"/>
      </w:r>
      <w:r>
        <w:t xml:space="preserve"> to the decision in </w:t>
      </w:r>
      <w:r>
        <w:rPr>
          <w:i/>
          <w:iCs/>
        </w:rPr>
        <w:t>Xpolitos v Sutton Tools Pty Ltd</w:t>
      </w:r>
      <w:r w:rsidRPr="000D327D">
        <w:rPr>
          <w:rStyle w:val="FootnoteReference"/>
        </w:rPr>
        <w:footnoteReference w:id="33"/>
      </w:r>
      <w:r>
        <w:t xml:space="preserve">.  There compensation had been paid to the dependant child of the worker, who had been killed in the course of his employment, and it exceeded that which would have been recovered by the child in a Lord Campbell's Act action.  </w:t>
      </w:r>
      <w:r w:rsidRPr="00DA46F2">
        <w:rPr>
          <w:i/>
          <w:iCs/>
        </w:rPr>
        <w:t xml:space="preserve">Xpolitos </w:t>
      </w:r>
      <w:r w:rsidRPr="00DA46F2">
        <w:t xml:space="preserve">decided </w:t>
      </w:r>
      <w:r>
        <w:t xml:space="preserve">that which for the purposes of the present litigation </w:t>
      </w:r>
      <w:r w:rsidRPr="00DA46F2">
        <w:t>is made e</w:t>
      </w:r>
      <w:r>
        <w:t xml:space="preserve">xplicit by par (a) of s 207B(7) of the Compensation Act:  a </w:t>
      </w:r>
      <w:r w:rsidRPr="00DA46F2">
        <w:t>right of indemnity of the</w:t>
      </w:r>
      <w:r>
        <w:t xml:space="preserve"> person who has paid the compensation</w:t>
      </w:r>
      <w:r w:rsidRPr="00DA46F2">
        <w:t xml:space="preserve"> extend</w:t>
      </w:r>
      <w:r>
        <w:t xml:space="preserve">s </w:t>
      </w:r>
      <w:r w:rsidRPr="00DA46F2">
        <w:t xml:space="preserve">only up to the amount for which a third-party wrongdoer </w:t>
      </w:r>
      <w:r>
        <w:t>would be</w:t>
      </w:r>
      <w:r w:rsidRPr="00DA46F2">
        <w:t xml:space="preserve"> liable to the worker.  </w:t>
      </w:r>
      <w:r>
        <w:t xml:space="preserve">How, then, does this state of affairs under the Compensation Act engage s 66 of the </w:t>
      </w:r>
      <w:r w:rsidRPr="00772071">
        <w:t>Succession Act</w:t>
      </w:r>
      <w:r>
        <w:t>?</w:t>
      </w:r>
    </w:p>
    <w:p w:rsidR="00A16FF2" w:rsidRDefault="00A16FF2" w:rsidP="008F5902"/>
    <w:p w:rsidR="00A16FF2" w:rsidRDefault="00A16FF2" w:rsidP="008F5902">
      <w:pPr>
        <w:keepNext/>
      </w:pPr>
      <w:r>
        <w:rPr>
          <w:u w:val="single"/>
        </w:rPr>
        <w:t>Section 66 of the Succession Act</w:t>
      </w:r>
    </w:p>
    <w:p w:rsidR="00A16FF2" w:rsidRDefault="00A16FF2" w:rsidP="008F5902"/>
    <w:p w:rsidR="00A16FF2" w:rsidRPr="00DA46F2" w:rsidRDefault="00A16FF2" w:rsidP="00696ED0">
      <w:pPr>
        <w:pStyle w:val="ListNumber"/>
        <w:numPr>
          <w:ilvl w:val="0"/>
          <w:numId w:val="20"/>
        </w:numPr>
        <w:tabs>
          <w:tab w:val="clear" w:pos="0"/>
        </w:tabs>
      </w:pPr>
      <w:r w:rsidRPr="00DA46F2">
        <w:tab/>
      </w:r>
      <w:r>
        <w:t>The issue is whether the limitation in s 66(2) applies to</w:t>
      </w:r>
      <w:r w:rsidRPr="00DA46F2">
        <w:t xml:space="preserve"> the liability of the wrongdoer to the person who received compensation, or</w:t>
      </w:r>
      <w:r>
        <w:t xml:space="preserve"> imposes</w:t>
      </w:r>
      <w:r w:rsidRPr="00DA46F2">
        <w:t xml:space="preserve"> a limitation that only applies when the person's cause of action is brought "for the benefit of the estate of a deceased person".  The resolution of this question requires an examination of the </w:t>
      </w:r>
      <w:r>
        <w:t>provenance</w:t>
      </w:r>
      <w:r w:rsidRPr="00DA46F2">
        <w:t xml:space="preserve"> of s</w:t>
      </w:r>
      <w:r>
        <w:t> </w:t>
      </w:r>
      <w:r w:rsidRPr="00DA46F2">
        <w:t xml:space="preserve">66 and the context in which the limitations the subject of this appeal arose.  </w:t>
      </w:r>
    </w:p>
    <w:p w:rsidR="00A16FF2" w:rsidRPr="00DA46F2" w:rsidRDefault="00A16FF2" w:rsidP="008F5902"/>
    <w:p w:rsidR="00A16FF2" w:rsidRDefault="00A16FF2" w:rsidP="00696ED0">
      <w:pPr>
        <w:pStyle w:val="ListNumber"/>
        <w:numPr>
          <w:ilvl w:val="0"/>
          <w:numId w:val="20"/>
        </w:numPr>
        <w:tabs>
          <w:tab w:val="clear" w:pos="0"/>
        </w:tabs>
      </w:pPr>
      <w:r>
        <w:tab/>
      </w:r>
      <w:r w:rsidRPr="00DA46F2">
        <w:t>Prior to the enactment of s</w:t>
      </w:r>
      <w:r>
        <w:t> </w:t>
      </w:r>
      <w:r w:rsidRPr="00DA46F2">
        <w:t xml:space="preserve">66 in Queensland, the common law maxim </w:t>
      </w:r>
      <w:r w:rsidRPr="00DA46F2">
        <w:rPr>
          <w:i/>
          <w:iCs/>
        </w:rPr>
        <w:t>actio personalis moritur cum persona</w:t>
      </w:r>
      <w:r w:rsidRPr="00DA46F2">
        <w:t xml:space="preserve"> provided that a cause of action in tort died with the person in whom it was vested.  This was the first of two common law rules preventing civil actions upon the death of a person which legislatures have, in the past few centuries, addressed </w:t>
      </w:r>
      <w:r>
        <w:t>through</w:t>
      </w:r>
      <w:r w:rsidRPr="00DA46F2">
        <w:t xml:space="preserve"> legislation</w:t>
      </w:r>
      <w:r w:rsidRPr="00DA46F2">
        <w:rPr>
          <w:rStyle w:val="FootnoteReference"/>
        </w:rPr>
        <w:footnoteReference w:id="34"/>
      </w:r>
      <w:r w:rsidRPr="00DA46F2">
        <w:t xml:space="preserve">.  The second </w:t>
      </w:r>
      <w:r>
        <w:t>was</w:t>
      </w:r>
      <w:r w:rsidRPr="00DA46F2">
        <w:t xml:space="preserve"> that the death of a person could not be complained of as an injury</w:t>
      </w:r>
      <w:r w:rsidRPr="00DA46F2">
        <w:rPr>
          <w:rStyle w:val="FootnoteReference"/>
        </w:rPr>
        <w:footnoteReference w:id="35"/>
      </w:r>
      <w:r w:rsidRPr="00DA46F2">
        <w:t xml:space="preserve">, a rule overturned in part by the </w:t>
      </w:r>
      <w:r>
        <w:t>Lord Campbell's</w:t>
      </w:r>
      <w:r w:rsidRPr="00DA46F2">
        <w:t xml:space="preserve"> Acts</w:t>
      </w:r>
      <w:r w:rsidRPr="00DA46F2">
        <w:rPr>
          <w:rStyle w:val="FootnoteReference"/>
        </w:rPr>
        <w:footnoteReference w:id="36"/>
      </w:r>
      <w:r w:rsidRPr="00DA46F2">
        <w:t xml:space="preserve">.  The distinction between these two rules was emphasised by Lord Atkin in </w:t>
      </w:r>
      <w:r w:rsidRPr="00DA46F2">
        <w:rPr>
          <w:i/>
          <w:iCs/>
        </w:rPr>
        <w:t>Rose v Ford</w:t>
      </w:r>
      <w:r w:rsidRPr="00DA46F2">
        <w:rPr>
          <w:rStyle w:val="FootnoteReference"/>
        </w:rPr>
        <w:footnoteReference w:id="37"/>
      </w:r>
      <w:r w:rsidRPr="00DA46F2">
        <w:t xml:space="preserve">.  </w:t>
      </w:r>
    </w:p>
    <w:p w:rsidR="00A16FF2" w:rsidRDefault="00A16FF2" w:rsidP="008F5902"/>
    <w:p w:rsidR="00A16FF2" w:rsidRDefault="00A16FF2" w:rsidP="00696ED0">
      <w:pPr>
        <w:pStyle w:val="ListNumber"/>
        <w:numPr>
          <w:ilvl w:val="0"/>
          <w:numId w:val="20"/>
        </w:numPr>
        <w:tabs>
          <w:tab w:val="clear" w:pos="0"/>
        </w:tabs>
      </w:pPr>
      <w:r>
        <w:tab/>
      </w:r>
      <w:r w:rsidRPr="00DA46F2">
        <w:t>Although there has been discussion of the justifications for the second rule</w:t>
      </w:r>
      <w:r w:rsidRPr="00DA46F2">
        <w:rPr>
          <w:rStyle w:val="FootnoteReference"/>
        </w:rPr>
        <w:footnoteReference w:id="38"/>
      </w:r>
      <w:r>
        <w:t>,</w:t>
      </w:r>
      <w:r w:rsidRPr="00DA46F2">
        <w:t xml:space="preserve"> there is little by way of explanation of the first rule.  It merely seems to have been </w:t>
      </w:r>
      <w:r>
        <w:t>assumed</w:t>
      </w:r>
      <w:r w:rsidRPr="00DA46F2">
        <w:rPr>
          <w:rStyle w:val="FootnoteReference"/>
        </w:rPr>
        <w:footnoteReference w:id="39"/>
      </w:r>
      <w:r w:rsidRPr="00DA46F2">
        <w:t>.</w:t>
      </w:r>
      <w:r>
        <w:t xml:space="preserve">  In </w:t>
      </w:r>
      <w:r>
        <w:rPr>
          <w:i/>
          <w:iCs/>
        </w:rPr>
        <w:t>Finlay v Chirney</w:t>
      </w:r>
      <w:r w:rsidRPr="00DB3039">
        <w:rPr>
          <w:rStyle w:val="FootnoteReference"/>
        </w:rPr>
        <w:footnoteReference w:id="40"/>
      </w:r>
      <w:r>
        <w:t xml:space="preserve"> Bowen LJ (with the agreement of Fry LJ) explained that, in the earliest times of English law, survival of causes of action was the rare exception and non</w:t>
      </w:r>
      <w:r>
        <w:noBreakHyphen/>
        <w:t>survival the rule.  It was only since the reign of Queen Elizabeth I, when actions of assumpsit were introduced, that exceptions to the maxim evolved for actions in contract or for wrongs that involved property.</w:t>
      </w:r>
    </w:p>
    <w:p w:rsidR="00A16FF2" w:rsidRDefault="00A16FF2" w:rsidP="008F5902"/>
    <w:p w:rsidR="00A16FF2" w:rsidRDefault="00A16FF2" w:rsidP="00696ED0">
      <w:pPr>
        <w:pStyle w:val="ListNumber"/>
        <w:numPr>
          <w:ilvl w:val="0"/>
          <w:numId w:val="20"/>
        </w:numPr>
        <w:tabs>
          <w:tab w:val="clear" w:pos="0"/>
        </w:tabs>
      </w:pPr>
      <w:r>
        <w:tab/>
      </w:r>
      <w:r w:rsidRPr="00DA46F2">
        <w:t>A logical justification</w:t>
      </w:r>
      <w:r>
        <w:t xml:space="preserve"> for the maxim is nonetheless</w:t>
      </w:r>
      <w:r w:rsidRPr="00DA46F2">
        <w:t xml:space="preserve"> given by Professor Ames in</w:t>
      </w:r>
      <w:r>
        <w:t xml:space="preserve"> lecture XVIII of his legal history lectures, published in 1913.  He explained </w:t>
      </w:r>
      <w:r w:rsidRPr="00DA46F2">
        <w:t>that a private action always presupposed a personal relationship between two individuals; a right of action in the injured person and a corresponding duty in the tortfeasor</w:t>
      </w:r>
      <w:r>
        <w:t>; su</w:t>
      </w:r>
      <w:r w:rsidRPr="00DA46F2">
        <w:t>ch a personal relationship could not survive the death of one of the parties</w:t>
      </w:r>
      <w:r w:rsidRPr="00DA46F2">
        <w:rPr>
          <w:rStyle w:val="FootnoteReference"/>
        </w:rPr>
        <w:footnoteReference w:id="41"/>
      </w:r>
      <w:r w:rsidRPr="00DA46F2">
        <w:t xml:space="preserve">.  </w:t>
      </w:r>
    </w:p>
    <w:p w:rsidR="00A16FF2" w:rsidRDefault="00A16FF2" w:rsidP="008F5902"/>
    <w:p w:rsidR="00A16FF2" w:rsidRDefault="00A16FF2" w:rsidP="00696ED0">
      <w:pPr>
        <w:pStyle w:val="ListNumber"/>
        <w:numPr>
          <w:ilvl w:val="0"/>
          <w:numId w:val="20"/>
        </w:numPr>
        <w:tabs>
          <w:tab w:val="clear" w:pos="0"/>
        </w:tabs>
      </w:pPr>
      <w:r>
        <w:tab/>
        <w:t>T</w:t>
      </w:r>
      <w:r w:rsidRPr="00DA46F2">
        <w:t>he submissions of</w:t>
      </w:r>
      <w:r>
        <w:t xml:space="preserve"> WorkCover</w:t>
      </w:r>
      <w:r w:rsidRPr="00DA46F2">
        <w:t xml:space="preserve"> </w:t>
      </w:r>
      <w:r>
        <w:t>sought to construe s 66 as</w:t>
      </w:r>
      <w:r w:rsidRPr="00DA46F2">
        <w:t xml:space="preserve"> conferring a statutory right upon the estate of a deceased person to sue in tort for actions vested in the deceased.  Section 66 was characterised in this way to support </w:t>
      </w:r>
      <w:r>
        <w:t>WorkCover's general</w:t>
      </w:r>
      <w:r w:rsidRPr="00DA46F2">
        <w:t xml:space="preserve"> submission that</w:t>
      </w:r>
      <w:r>
        <w:t xml:space="preserve"> par (a) of</w:t>
      </w:r>
      <w:r w:rsidRPr="00DA46F2">
        <w:t xml:space="preserve"> s 207B(7)</w:t>
      </w:r>
      <w:r>
        <w:t xml:space="preserve"> of the Compensation Act</w:t>
      </w:r>
      <w:r w:rsidRPr="00DA46F2">
        <w:t xml:space="preserve"> and s 66</w:t>
      </w:r>
      <w:r>
        <w:t xml:space="preserve"> of the Succession Act</w:t>
      </w:r>
      <w:r w:rsidRPr="00DA46F2">
        <w:t xml:space="preserve"> did not speak to each other; they were concerned with the creation of different rights, neither of which depended on the other.  </w:t>
      </w:r>
      <w:r>
        <w:t>But that characterisation is not critical to acceptance of the general submission.</w:t>
      </w:r>
      <w:r w:rsidRPr="00DA46F2">
        <w:t xml:space="preserve"> </w:t>
      </w:r>
    </w:p>
    <w:p w:rsidR="00A16FF2" w:rsidRDefault="00A16FF2" w:rsidP="008F5902"/>
    <w:p w:rsidR="00A16FF2" w:rsidRDefault="00A16FF2" w:rsidP="00696ED0">
      <w:pPr>
        <w:pStyle w:val="ListNumber"/>
        <w:numPr>
          <w:ilvl w:val="0"/>
          <w:numId w:val="20"/>
        </w:numPr>
        <w:tabs>
          <w:tab w:val="clear" w:pos="0"/>
        </w:tabs>
      </w:pPr>
      <w:r>
        <w:tab/>
        <w:t>Section </w:t>
      </w:r>
      <w:r w:rsidRPr="00DA46F2">
        <w:t>66 does not create a</w:t>
      </w:r>
      <w:r>
        <w:t xml:space="preserve"> fresh</w:t>
      </w:r>
      <w:r w:rsidRPr="00DA46F2">
        <w:t xml:space="preserve"> cause of action in favour of the</w:t>
      </w:r>
      <w:r>
        <w:t xml:space="preserve"> deceased</w:t>
      </w:r>
      <w:r w:rsidRPr="00DA46F2">
        <w:t xml:space="preserve"> estate.  </w:t>
      </w:r>
      <w:r>
        <w:t xml:space="preserve">Rather, it largely displaces the </w:t>
      </w:r>
      <w:r w:rsidRPr="00DA46F2">
        <w:t xml:space="preserve">operation of the common law maxim </w:t>
      </w:r>
      <w:r w:rsidRPr="00DA46F2">
        <w:rPr>
          <w:i/>
          <w:iCs/>
        </w:rPr>
        <w:t>actio personalis moritur cum persona</w:t>
      </w:r>
      <w:r>
        <w:t xml:space="preserve"> which had applied to all but a few tort actions</w:t>
      </w:r>
      <w:r>
        <w:rPr>
          <w:rStyle w:val="FootnoteReference"/>
        </w:rPr>
        <w:footnoteReference w:id="42"/>
      </w:r>
      <w:r>
        <w:t>.  The cause of</w:t>
      </w:r>
      <w:r w:rsidRPr="00DA46F2">
        <w:t xml:space="preserve"> action of the deceased and</w:t>
      </w:r>
      <w:r>
        <w:t xml:space="preserve"> that pursued under s 66 by</w:t>
      </w:r>
      <w:r w:rsidRPr="00DA46F2">
        <w:t xml:space="preserve"> the estate are one and the same</w:t>
      </w:r>
      <w:r w:rsidRPr="00DA46F2">
        <w:rPr>
          <w:rStyle w:val="FootnoteReference"/>
        </w:rPr>
        <w:footnoteReference w:id="43"/>
      </w:r>
      <w:r w:rsidRPr="00DA46F2">
        <w:t>.</w:t>
      </w:r>
      <w:r>
        <w:t xml:space="preserve">  </w:t>
      </w:r>
    </w:p>
    <w:p w:rsidR="00A16FF2" w:rsidRDefault="00A16FF2" w:rsidP="008F5902"/>
    <w:p w:rsidR="00A16FF2" w:rsidRDefault="00A16FF2" w:rsidP="00696ED0">
      <w:pPr>
        <w:pStyle w:val="ListNumber"/>
        <w:numPr>
          <w:ilvl w:val="0"/>
          <w:numId w:val="20"/>
        </w:numPr>
        <w:tabs>
          <w:tab w:val="clear" w:pos="0"/>
        </w:tabs>
      </w:pPr>
      <w:r>
        <w:tab/>
      </w:r>
      <w:r w:rsidRPr="00DA46F2">
        <w:t xml:space="preserve">The origin of s 66 can be traced to the </w:t>
      </w:r>
      <w:r w:rsidRPr="00DA46F2">
        <w:rPr>
          <w:i/>
          <w:iCs/>
        </w:rPr>
        <w:t xml:space="preserve">Law Reform (Miscellaneous Provisions) Act </w:t>
      </w:r>
      <w:r w:rsidRPr="00DA46F2">
        <w:t>1934 (UK)</w:t>
      </w:r>
      <w:r w:rsidRPr="00DA46F2">
        <w:rPr>
          <w:rStyle w:val="FootnoteReference"/>
        </w:rPr>
        <w:footnoteReference w:id="44"/>
      </w:r>
      <w:r w:rsidRPr="00DA46F2">
        <w:t xml:space="preserve"> ("the 1934 Act"),</w:t>
      </w:r>
      <w:r>
        <w:t xml:space="preserve"> and, in turn, to 19th century legislation in North American jurisdictions, including that of New York in 1847</w:t>
      </w:r>
      <w:r>
        <w:rPr>
          <w:rStyle w:val="FootnoteReference"/>
        </w:rPr>
        <w:footnoteReference w:id="45"/>
      </w:r>
      <w:r>
        <w:t>, Connecticut in 1848</w:t>
      </w:r>
      <w:r>
        <w:rPr>
          <w:rStyle w:val="FootnoteReference"/>
        </w:rPr>
        <w:footnoteReference w:id="46"/>
      </w:r>
      <w:r>
        <w:t xml:space="preserve"> and Ontario in 1886</w:t>
      </w:r>
      <w:r w:rsidRPr="00DA46F2">
        <w:rPr>
          <w:rStyle w:val="FootnoteReference"/>
        </w:rPr>
        <w:footnoteReference w:id="47"/>
      </w:r>
      <w:r w:rsidRPr="00DA46F2">
        <w:t>.  In 1940, Queensland largely adopted the 1934 Act</w:t>
      </w:r>
      <w:r>
        <w:t xml:space="preserve"> and, with effect from 16 October 1940, inserted</w:t>
      </w:r>
      <w:r w:rsidRPr="00DA46F2">
        <w:t xml:space="preserve"> s 15D into the </w:t>
      </w:r>
      <w:r w:rsidRPr="00DA46F2">
        <w:rPr>
          <w:i/>
          <w:iCs/>
        </w:rPr>
        <w:t xml:space="preserve">Common Law Practice Act </w:t>
      </w:r>
      <w:r w:rsidRPr="00DA46F2">
        <w:t xml:space="preserve">1867 </w:t>
      </w:r>
      <w:r>
        <w:t>(Q)</w:t>
      </w:r>
      <w:r w:rsidRPr="00DA46F2">
        <w:t xml:space="preserve"> ("the CLP Act")</w:t>
      </w:r>
      <w:r w:rsidRPr="00DA46F2">
        <w:rPr>
          <w:rStyle w:val="FootnoteReference"/>
        </w:rPr>
        <w:footnoteReference w:id="48"/>
      </w:r>
      <w:r w:rsidRPr="00DA46F2">
        <w:t>.  Section</w:t>
      </w:r>
      <w:r>
        <w:t> </w:t>
      </w:r>
      <w:r w:rsidRPr="00DA46F2">
        <w:t>15D was the</w:t>
      </w:r>
      <w:r>
        <w:t xml:space="preserve"> immediate</w:t>
      </w:r>
      <w:r w:rsidRPr="00DA46F2">
        <w:t xml:space="preserve"> predecessor to s</w:t>
      </w:r>
      <w:r>
        <w:t> </w:t>
      </w:r>
      <w:r w:rsidRPr="00DA46F2">
        <w:t>66 of the Succession Act.</w:t>
      </w:r>
    </w:p>
    <w:p w:rsidR="00A16FF2" w:rsidRDefault="00A16FF2" w:rsidP="008F5902"/>
    <w:p w:rsidR="00A16FF2" w:rsidRDefault="00A16FF2" w:rsidP="00696ED0">
      <w:pPr>
        <w:pStyle w:val="ListNumber"/>
        <w:numPr>
          <w:ilvl w:val="0"/>
          <w:numId w:val="20"/>
        </w:numPr>
        <w:tabs>
          <w:tab w:val="clear" w:pos="0"/>
        </w:tabs>
      </w:pPr>
      <w:r>
        <w:tab/>
      </w:r>
      <w:r w:rsidRPr="00DA46F2">
        <w:t>Neither the 1934 Act nor s</w:t>
      </w:r>
      <w:r>
        <w:t> </w:t>
      </w:r>
      <w:r w:rsidRPr="00DA46F2">
        <w:t>15D of the CLP Act as originally enacted contained the limitations the subject of the present litigation and now found in</w:t>
      </w:r>
      <w:r>
        <w:t xml:space="preserve"> pars (a) and (d)(ii) of</w:t>
      </w:r>
      <w:r w:rsidRPr="00DA46F2">
        <w:t xml:space="preserve"> s 66(2) of the Succession Act.  Section 15D(2) of the CLP Act, as enacted, e</w:t>
      </w:r>
      <w:r>
        <w:t xml:space="preserve">xcluded only exemplary damages and </w:t>
      </w:r>
      <w:r w:rsidRPr="00DA46F2">
        <w:t>all damages</w:t>
      </w:r>
      <w:r>
        <w:t xml:space="preserve"> in an action for breach of a promise to marry</w:t>
      </w:r>
      <w:r w:rsidRPr="00DA46F2">
        <w:t xml:space="preserve"> other than the damage to the estate of a person who was the victim of </w:t>
      </w:r>
      <w:r>
        <w:t>the</w:t>
      </w:r>
      <w:r w:rsidRPr="00DA46F2">
        <w:t xml:space="preserve"> breach</w:t>
      </w:r>
      <w:r>
        <w:t>.  It also</w:t>
      </w:r>
      <w:r w:rsidRPr="00DA46F2">
        <w:t xml:space="preserve"> provided that the damages recoverable by the estate were to be calculated without reference to </w:t>
      </w:r>
      <w:r>
        <w:t>any</w:t>
      </w:r>
      <w:r w:rsidRPr="00DA46F2">
        <w:t xml:space="preserve"> loss or gain to the estate</w:t>
      </w:r>
      <w:r>
        <w:t xml:space="preserve"> consequent</w:t>
      </w:r>
      <w:r w:rsidRPr="00DA46F2">
        <w:t xml:space="preserve"> upon a person's death, except for sums in respect of medical and funeral expenses.  </w:t>
      </w:r>
    </w:p>
    <w:p w:rsidR="00A16FF2" w:rsidRDefault="00A16FF2" w:rsidP="008F5902"/>
    <w:p w:rsidR="00A16FF2" w:rsidRDefault="00A16FF2" w:rsidP="00696ED0">
      <w:pPr>
        <w:pStyle w:val="ListNumber"/>
        <w:numPr>
          <w:ilvl w:val="0"/>
          <w:numId w:val="20"/>
        </w:numPr>
        <w:tabs>
          <w:tab w:val="clear" w:pos="0"/>
        </w:tabs>
      </w:pPr>
      <w:r>
        <w:tab/>
      </w:r>
      <w:r w:rsidRPr="00DA46F2">
        <w:t>The exclusion</w:t>
      </w:r>
      <w:r>
        <w:t>s now found in s 66(2)</w:t>
      </w:r>
      <w:r w:rsidRPr="00DA46F2">
        <w:t xml:space="preserve"> </w:t>
      </w:r>
      <w:r>
        <w:t>for</w:t>
      </w:r>
      <w:r w:rsidRPr="00DA46F2">
        <w:t xml:space="preserve"> damages for pain and suffering, loss of expectation of life and loss of</w:t>
      </w:r>
      <w:r>
        <w:t xml:space="preserve"> future</w:t>
      </w:r>
      <w:r w:rsidRPr="00DA46F2">
        <w:t xml:space="preserve"> earning capacity were introduced into the CLP Act in 1972 by s 3 of the </w:t>
      </w:r>
      <w:r w:rsidRPr="00DA46F2">
        <w:rPr>
          <w:i/>
          <w:iCs/>
        </w:rPr>
        <w:t xml:space="preserve">Common Law Practice Act Amendment Act </w:t>
      </w:r>
      <w:r w:rsidRPr="00DA46F2">
        <w:t xml:space="preserve">1972 </w:t>
      </w:r>
      <w:r>
        <w:t xml:space="preserve">(Q).  </w:t>
      </w:r>
      <w:r w:rsidRPr="00DA46F2">
        <w:t>Th</w:t>
      </w:r>
      <w:r>
        <w:t>at amendment was</w:t>
      </w:r>
      <w:r w:rsidRPr="00DA46F2">
        <w:t xml:space="preserve"> proposed by the Queensland Law Reform Commission when conducting a review into the</w:t>
      </w:r>
      <w:r>
        <w:t xml:space="preserve"> Lord Campbell's</w:t>
      </w:r>
      <w:r w:rsidRPr="00DA46F2">
        <w:t xml:space="preserve"> Act</w:t>
      </w:r>
      <w:r>
        <w:rPr>
          <w:rStyle w:val="FootnoteReference"/>
        </w:rPr>
        <w:footnoteReference w:id="49"/>
      </w:r>
      <w:r w:rsidRPr="00DA46F2">
        <w:t xml:space="preserve">.  </w:t>
      </w:r>
      <w:r>
        <w:t>The Commission's</w:t>
      </w:r>
      <w:r w:rsidRPr="00DA46F2">
        <w:t xml:space="preserve"> report noted that such exclusions were </w:t>
      </w:r>
      <w:r>
        <w:t>made</w:t>
      </w:r>
      <w:r w:rsidRPr="00DA46F2">
        <w:t xml:space="preserve"> in New South Wales</w:t>
      </w:r>
      <w:r w:rsidRPr="00DA46F2">
        <w:rPr>
          <w:rStyle w:val="FootnoteReference"/>
        </w:rPr>
        <w:footnoteReference w:id="50"/>
      </w:r>
      <w:r w:rsidRPr="00DA46F2">
        <w:t xml:space="preserve"> and Victoria</w:t>
      </w:r>
      <w:r w:rsidRPr="00DA46F2">
        <w:rPr>
          <w:rStyle w:val="FootnoteReference"/>
        </w:rPr>
        <w:footnoteReference w:id="51"/>
      </w:r>
      <w:r>
        <w:t xml:space="preserve"> in cases where</w:t>
      </w:r>
      <w:r w:rsidRPr="00DA46F2">
        <w:t xml:space="preserve"> the death was caused by the injury in question, and in all circumstances in South Australia</w:t>
      </w:r>
      <w:r w:rsidRPr="00DA46F2">
        <w:rPr>
          <w:rStyle w:val="FootnoteReference"/>
        </w:rPr>
        <w:footnoteReference w:id="52"/>
      </w:r>
      <w:r w:rsidRPr="00DA46F2">
        <w:t>.  The Commission recommended adopting the approach</w:t>
      </w:r>
      <w:r>
        <w:t xml:space="preserve"> taken in</w:t>
      </w:r>
      <w:r w:rsidRPr="00DA46F2">
        <w:t xml:space="preserve"> South Australia</w:t>
      </w:r>
      <w:r w:rsidRPr="00DA46F2">
        <w:rPr>
          <w:rStyle w:val="FootnoteReference"/>
        </w:rPr>
        <w:footnoteReference w:id="53"/>
      </w:r>
      <w:r w:rsidRPr="00DA46F2">
        <w:t xml:space="preserve">.  </w:t>
      </w:r>
    </w:p>
    <w:p w:rsidR="00A16FF2" w:rsidRDefault="00A16FF2" w:rsidP="008F5902"/>
    <w:p w:rsidR="00A16FF2" w:rsidRDefault="00A16FF2" w:rsidP="00696ED0">
      <w:pPr>
        <w:pStyle w:val="ListNumber"/>
        <w:numPr>
          <w:ilvl w:val="0"/>
          <w:numId w:val="20"/>
        </w:numPr>
        <w:tabs>
          <w:tab w:val="clear" w:pos="0"/>
        </w:tabs>
      </w:pPr>
      <w:r>
        <w:tab/>
        <w:t>The justification given by the Commission</w:t>
      </w:r>
      <w:r w:rsidRPr="00DA46F2">
        <w:t xml:space="preserve"> for the exclusion of certain types of damages in a claim brought for the benefit of the estate was the perception that the awarding of such damages to the estate was contrary to the principle of compensatory damages.  Damages for pain and suffering, bodily or mental harm and the curtailment of expectation of life (</w:t>
      </w:r>
      <w:r>
        <w:t xml:space="preserve">all </w:t>
      </w:r>
      <w:r w:rsidRPr="00DA46F2">
        <w:t>now excluded by par (a) of s 66(2)) were being paid to people who had not suffered th</w:t>
      </w:r>
      <w:r>
        <w:t>ose injuries</w:t>
      </w:r>
      <w:r w:rsidRPr="00DA46F2">
        <w:rPr>
          <w:rStyle w:val="FootnoteReference"/>
        </w:rPr>
        <w:footnoteReference w:id="54"/>
      </w:r>
      <w:r w:rsidRPr="00DA46F2">
        <w:t xml:space="preserve">.  Arguments of that nature may insufficiently appreciate the characterisation of provisions like s 66(1) as </w:t>
      </w:r>
      <w:r>
        <w:t>a</w:t>
      </w:r>
      <w:r w:rsidRPr="00DA46F2">
        <w:t xml:space="preserve"> mere continuation of the deceased's chose in action.  Nevertheless, they</w:t>
      </w:r>
      <w:r>
        <w:t xml:space="preserve"> appear to have persuaded the </w:t>
      </w:r>
      <w:r w:rsidRPr="00DA46F2">
        <w:t>Queensland</w:t>
      </w:r>
      <w:r>
        <w:t xml:space="preserve"> legislature</w:t>
      </w:r>
      <w:r w:rsidRPr="00DA46F2">
        <w:t xml:space="preserve"> to insert such limitations in 1972</w:t>
      </w:r>
      <w:r w:rsidRPr="00DA46F2">
        <w:rPr>
          <w:rStyle w:val="FootnoteReference"/>
        </w:rPr>
        <w:footnoteReference w:id="55"/>
      </w:r>
      <w:r w:rsidRPr="00DA46F2">
        <w:t>.</w:t>
      </w:r>
    </w:p>
    <w:p w:rsidR="00A16FF2" w:rsidRDefault="00A16FF2" w:rsidP="008F5902"/>
    <w:p w:rsidR="00A16FF2" w:rsidRDefault="00A16FF2" w:rsidP="00696ED0">
      <w:pPr>
        <w:pStyle w:val="ListNumber"/>
        <w:numPr>
          <w:ilvl w:val="0"/>
          <w:numId w:val="20"/>
        </w:numPr>
        <w:tabs>
          <w:tab w:val="clear" w:pos="0"/>
        </w:tabs>
      </w:pPr>
      <w:r>
        <w:tab/>
        <w:t xml:space="preserve">Less apparent is the rationale for </w:t>
      </w:r>
      <w:r w:rsidRPr="00DA46F2">
        <w:t>the limitation on the recovery of future probable earnings of the deceased had he or she survived, now found in par (d)(ii) of s 66(2).  A similar exclusion was not made in other Australian jurisdictions until after the decision</w:t>
      </w:r>
      <w:r>
        <w:t xml:space="preserve"> of the New South Wales Court of Appeal</w:t>
      </w:r>
      <w:r w:rsidRPr="00DA46F2">
        <w:t xml:space="preserve"> in </w:t>
      </w:r>
      <w:r w:rsidRPr="00DA46F2">
        <w:rPr>
          <w:i/>
          <w:iCs/>
        </w:rPr>
        <w:t>Fitch v Hyde-Cates</w:t>
      </w:r>
      <w:r w:rsidRPr="00DA46F2">
        <w:rPr>
          <w:rStyle w:val="FootnoteReference"/>
        </w:rPr>
        <w:footnoteReference w:id="56"/>
      </w:r>
      <w:r w:rsidRPr="00DA46F2">
        <w:t>,</w:t>
      </w:r>
      <w:r w:rsidRPr="00DA46F2">
        <w:rPr>
          <w:i/>
          <w:iCs/>
        </w:rPr>
        <w:t xml:space="preserve"> </w:t>
      </w:r>
      <w:r w:rsidRPr="00DA46F2">
        <w:t xml:space="preserve">upheld </w:t>
      </w:r>
      <w:r>
        <w:t>on appeal to</w:t>
      </w:r>
      <w:r w:rsidRPr="00DA46F2">
        <w:t xml:space="preserve"> this Court</w:t>
      </w:r>
      <w:r w:rsidRPr="00DA46F2">
        <w:rPr>
          <w:rStyle w:val="FootnoteReference"/>
        </w:rPr>
        <w:footnoteReference w:id="57"/>
      </w:r>
      <w:r w:rsidRPr="00DA46F2">
        <w:t xml:space="preserve">.  </w:t>
      </w:r>
      <w:r>
        <w:rPr>
          <w:i/>
          <w:iCs/>
        </w:rPr>
        <w:t xml:space="preserve">Fitch </w:t>
      </w:r>
      <w:r w:rsidRPr="00DA46F2">
        <w:t>overturned the assumption that damages for loss of earning capacity</w:t>
      </w:r>
      <w:r>
        <w:t xml:space="preserve"> for a period</w:t>
      </w:r>
      <w:r w:rsidRPr="00DA46F2">
        <w:t xml:space="preserve"> after the date of death were not recoverable</w:t>
      </w:r>
      <w:r>
        <w:t xml:space="preserve"> by the estate, and was followed throughout Australia by </w:t>
      </w:r>
      <w:r w:rsidRPr="00DA46F2">
        <w:t>a flurry of amendments to exclude the recovery of such damages in terms similar to those found in s 66(2)(d)(ii)</w:t>
      </w:r>
      <w:r w:rsidRPr="00DA46F2">
        <w:rPr>
          <w:rStyle w:val="FootnoteReference"/>
        </w:rPr>
        <w:footnoteReference w:id="58"/>
      </w:r>
      <w:r w:rsidRPr="00DA46F2">
        <w:t xml:space="preserve">.  </w:t>
      </w:r>
    </w:p>
    <w:p w:rsidR="00A16FF2" w:rsidRDefault="00A16FF2" w:rsidP="008F5902"/>
    <w:p w:rsidR="00A16FF2" w:rsidRDefault="00A16FF2" w:rsidP="00696ED0">
      <w:pPr>
        <w:pStyle w:val="ListNumber"/>
        <w:numPr>
          <w:ilvl w:val="0"/>
          <w:numId w:val="20"/>
        </w:numPr>
        <w:tabs>
          <w:tab w:val="clear" w:pos="0"/>
        </w:tabs>
      </w:pPr>
      <w:r>
        <w:tab/>
      </w:r>
      <w:r w:rsidRPr="00DA46F2">
        <w:t xml:space="preserve">Prior to the 1972 Queensland amendment, in </w:t>
      </w:r>
      <w:r w:rsidRPr="00DA46F2">
        <w:rPr>
          <w:i/>
          <w:iCs/>
        </w:rPr>
        <w:t>Oliver v Ashman</w:t>
      </w:r>
      <w:r w:rsidRPr="00DA46F2">
        <w:rPr>
          <w:rStyle w:val="FootnoteReference"/>
        </w:rPr>
        <w:footnoteReference w:id="59"/>
      </w:r>
      <w:r w:rsidRPr="00DA46F2">
        <w:t>, Holroyd Pearce LJ said that there was no room for treating any differently a claim brought by a person whilst alive and that brought by the estate upon their death</w:t>
      </w:r>
      <w:r>
        <w:t xml:space="preserve">.  </w:t>
      </w:r>
      <w:r w:rsidRPr="00DA46F2">
        <w:t>This point</w:t>
      </w:r>
      <w:r>
        <w:t xml:space="preserve"> was not critical</w:t>
      </w:r>
      <w:r w:rsidRPr="00DA46F2">
        <w:t xml:space="preserve"> in </w:t>
      </w:r>
      <w:r w:rsidRPr="00DA46F2">
        <w:rPr>
          <w:i/>
          <w:iCs/>
        </w:rPr>
        <w:t>Oliver v Ashman</w:t>
      </w:r>
      <w:r>
        <w:t>,</w:t>
      </w:r>
      <w:r w:rsidRPr="00DA46F2">
        <w:rPr>
          <w:i/>
          <w:iCs/>
        </w:rPr>
        <w:t xml:space="preserve"> </w:t>
      </w:r>
      <w:r w:rsidRPr="00DA46F2">
        <w:t>as the Court of Appeal went on to determine that not even a person whilst alive could recover for their lost earning capacity</w:t>
      </w:r>
      <w:r>
        <w:t xml:space="preserve"> taking into account the probable period of their working life had they not been injured.</w:t>
      </w:r>
      <w:r w:rsidRPr="00DA46F2">
        <w:t xml:space="preserve">  This Court refused to follow </w:t>
      </w:r>
      <w:r w:rsidRPr="00DA46F2">
        <w:rPr>
          <w:i/>
          <w:iCs/>
        </w:rPr>
        <w:t xml:space="preserve">Oliver v Ashman </w:t>
      </w:r>
      <w:r w:rsidRPr="00DA46F2">
        <w:t xml:space="preserve">in </w:t>
      </w:r>
      <w:r w:rsidRPr="00DA46F2">
        <w:rPr>
          <w:i/>
          <w:iCs/>
        </w:rPr>
        <w:t>Skelton v Collins</w:t>
      </w:r>
      <w:r w:rsidRPr="00DA46F2">
        <w:rPr>
          <w:rStyle w:val="FootnoteReference"/>
        </w:rPr>
        <w:footnoteReference w:id="60"/>
      </w:r>
      <w:r w:rsidRPr="00DA46F2">
        <w:t>.  There then was a risk that, in line with the observations of Holroyd Pearce LJ, the estate could recover for lost earning capacity</w:t>
      </w:r>
      <w:r>
        <w:t xml:space="preserve"> referable to a period</w:t>
      </w:r>
      <w:r w:rsidRPr="00DA46F2">
        <w:t xml:space="preserve"> following the</w:t>
      </w:r>
      <w:r>
        <w:t xml:space="preserve"> actual</w:t>
      </w:r>
      <w:r w:rsidRPr="00DA46F2">
        <w:t xml:space="preserve"> death of the deceased. </w:t>
      </w:r>
    </w:p>
    <w:p w:rsidR="00A16FF2" w:rsidRDefault="00A16FF2" w:rsidP="008F5902"/>
    <w:p w:rsidR="00A16FF2" w:rsidRPr="00DA46F2" w:rsidRDefault="00A16FF2" w:rsidP="00696ED0">
      <w:pPr>
        <w:pStyle w:val="ListNumber"/>
        <w:numPr>
          <w:ilvl w:val="0"/>
          <w:numId w:val="20"/>
        </w:numPr>
        <w:tabs>
          <w:tab w:val="clear" w:pos="0"/>
        </w:tabs>
      </w:pPr>
      <w:r>
        <w:tab/>
      </w:r>
      <w:r w:rsidRPr="00DA46F2">
        <w:t>The reasons, at the time of the 1972 amendment, why an estate should not be entitled to recover for the deceased's loss of earning capacity</w:t>
      </w:r>
      <w:r>
        <w:t xml:space="preserve"> for a period</w:t>
      </w:r>
      <w:r w:rsidRPr="00DA46F2">
        <w:t xml:space="preserve"> following death were succinctly explained in 1971 by Professor Atiyah (then holder of a Chair at the A</w:t>
      </w:r>
      <w:r>
        <w:t>ustralian National University</w:t>
      </w:r>
      <w:r w:rsidRPr="00DA46F2">
        <w:t>) in response to an argument</w:t>
      </w:r>
      <w:r>
        <w:t xml:space="preserve"> to the contrary</w:t>
      </w:r>
      <w:r w:rsidRPr="00DA46F2">
        <w:t>.  Professor Atiyah wrote</w:t>
      </w:r>
      <w:r w:rsidRPr="00DA46F2">
        <w:rPr>
          <w:rStyle w:val="FootnoteReference"/>
        </w:rPr>
        <w:footnoteReference w:id="61"/>
      </w:r>
      <w:r w:rsidRPr="00DA46F2">
        <w:t>:</w:t>
      </w:r>
    </w:p>
    <w:p w:rsidR="00A16FF2" w:rsidRPr="00DA46F2" w:rsidRDefault="00A16FF2" w:rsidP="008F5902"/>
    <w:p w:rsidR="00A16FF2" w:rsidRPr="00DA46F2" w:rsidRDefault="00A16FF2" w:rsidP="008F5902">
      <w:pPr>
        <w:pStyle w:val="leftright"/>
      </w:pPr>
      <w:r w:rsidRPr="00DA46F2">
        <w:t>"Since the dependants already have their claim under fatal accidents legislation, policy obviously is overwhelmingly against allowing such a claim to be made for the benefit of a deceased, while admitting it for a living plaintiff."</w:t>
      </w:r>
    </w:p>
    <w:p w:rsidR="00A16FF2" w:rsidRDefault="00A16FF2" w:rsidP="00696ED0">
      <w:pPr>
        <w:pStyle w:val="ListNumber"/>
        <w:numPr>
          <w:ilvl w:val="0"/>
          <w:numId w:val="20"/>
        </w:numPr>
        <w:tabs>
          <w:tab w:val="clear" w:pos="0"/>
        </w:tabs>
      </w:pPr>
      <w:r>
        <w:tab/>
      </w:r>
      <w:r w:rsidRPr="00DA46F2">
        <w:t>Later, following the</w:t>
      </w:r>
      <w:r>
        <w:t xml:space="preserve"> decision in </w:t>
      </w:r>
      <w:r w:rsidRPr="00DA46F2">
        <w:rPr>
          <w:i/>
          <w:iCs/>
        </w:rPr>
        <w:t>Fitch</w:t>
      </w:r>
      <w:r>
        <w:t xml:space="preserve">, </w:t>
      </w:r>
      <w:r w:rsidRPr="00DA46F2">
        <w:t xml:space="preserve">the Chief Justice's Law Reform Committee of Victoria explained that the problem with allowing the estate to recover for the </w:t>
      </w:r>
      <w:r>
        <w:t>"</w:t>
      </w:r>
      <w:r w:rsidRPr="00DA46F2">
        <w:t>lost</w:t>
      </w:r>
      <w:r>
        <w:t xml:space="preserve"> years" of</w:t>
      </w:r>
      <w:r w:rsidRPr="00DA46F2">
        <w:t xml:space="preserve"> earning capacity of the deceased was the risk of the damages payable by the tortfeasor being greater than the actual loss to the dependants</w:t>
      </w:r>
      <w:r w:rsidRPr="00DA46F2">
        <w:rPr>
          <w:rStyle w:val="FootnoteReference"/>
        </w:rPr>
        <w:footnoteReference w:id="62"/>
      </w:r>
      <w:r w:rsidRPr="00DA46F2">
        <w:t>.  Arguments of that nature had been discussed by Taylor</w:t>
      </w:r>
      <w:r>
        <w:t> </w:t>
      </w:r>
      <w:r w:rsidRPr="00DA46F2">
        <w:t xml:space="preserve">J in </w:t>
      </w:r>
      <w:r w:rsidRPr="00DA46F2">
        <w:rPr>
          <w:i/>
          <w:iCs/>
        </w:rPr>
        <w:t>Skelton v Collins</w:t>
      </w:r>
      <w:r w:rsidRPr="00DA46F2">
        <w:rPr>
          <w:rStyle w:val="FootnoteReference"/>
        </w:rPr>
        <w:footnoteReference w:id="63"/>
      </w:r>
      <w:r w:rsidRPr="00DA46F2">
        <w:t>, and</w:t>
      </w:r>
      <w:r>
        <w:t xml:space="preserve"> </w:t>
      </w:r>
      <w:r w:rsidRPr="00DA46F2">
        <w:t>by Mason</w:t>
      </w:r>
      <w:r>
        <w:t> </w:t>
      </w:r>
      <w:r w:rsidRPr="00DA46F2">
        <w:t xml:space="preserve">J in </w:t>
      </w:r>
      <w:r w:rsidRPr="00DA46F2">
        <w:rPr>
          <w:i/>
          <w:iCs/>
        </w:rPr>
        <w:t>Fitch</w:t>
      </w:r>
      <w:r w:rsidRPr="00DA46F2">
        <w:rPr>
          <w:rStyle w:val="FootnoteReference"/>
        </w:rPr>
        <w:footnoteReference w:id="64"/>
      </w:r>
      <w:r w:rsidRPr="00DA46F2">
        <w:t xml:space="preserve">.  </w:t>
      </w:r>
    </w:p>
    <w:p w:rsidR="00A16FF2" w:rsidRDefault="00A16FF2" w:rsidP="008F5902"/>
    <w:p w:rsidR="00A16FF2" w:rsidRDefault="00A16FF2" w:rsidP="00696ED0">
      <w:pPr>
        <w:pStyle w:val="ListNumber"/>
        <w:numPr>
          <w:ilvl w:val="0"/>
          <w:numId w:val="20"/>
        </w:numPr>
        <w:tabs>
          <w:tab w:val="clear" w:pos="0"/>
        </w:tabs>
      </w:pPr>
      <w:r>
        <w:tab/>
      </w:r>
      <w:r w:rsidRPr="00DA46F2">
        <w:t>From th</w:t>
      </w:r>
      <w:r>
        <w:t>is</w:t>
      </w:r>
      <w:r w:rsidRPr="00DA46F2">
        <w:t xml:space="preserve"> narrative, it is apparent that the limitations on recovery for pain and suffering, bodily or mental harm and curtailment of expectation of life found in</w:t>
      </w:r>
      <w:r>
        <w:t xml:space="preserve"> par (a) of</w:t>
      </w:r>
      <w:r w:rsidRPr="00DA46F2">
        <w:t xml:space="preserve"> s 66(2) were directed to a particular</w:t>
      </w:r>
      <w:r>
        <w:t>,</w:t>
      </w:r>
      <w:r w:rsidRPr="00DA46F2">
        <w:t xml:space="preserve"> perceived problem:  </w:t>
      </w:r>
      <w:r>
        <w:t xml:space="preserve">that </w:t>
      </w:r>
      <w:r w:rsidRPr="00DA46F2">
        <w:t>the</w:t>
      </w:r>
      <w:r>
        <w:t xml:space="preserve"> recovery by the</w:t>
      </w:r>
      <w:r w:rsidRPr="00DA46F2">
        <w:t xml:space="preserve"> estate </w:t>
      </w:r>
      <w:r>
        <w:t>of</w:t>
      </w:r>
      <w:r w:rsidRPr="00DA46F2">
        <w:t xml:space="preserve"> damages for heads of loss it had not, or w</w:t>
      </w:r>
      <w:r>
        <w:t>ould</w:t>
      </w:r>
      <w:r w:rsidRPr="00DA46F2">
        <w:t xml:space="preserve"> not, suffer </w:t>
      </w:r>
      <w:r>
        <w:t xml:space="preserve">was </w:t>
      </w:r>
      <w:r w:rsidRPr="00DA46F2">
        <w:t xml:space="preserve">contrary to the </w:t>
      </w:r>
      <w:r>
        <w:t>rationale</w:t>
      </w:r>
      <w:r w:rsidRPr="00DA46F2">
        <w:t xml:space="preserve"> of compensatory damages.  The limitation</w:t>
      </w:r>
      <w:r>
        <w:t xml:space="preserve"> in par (d)(iii) of s 66(2)</w:t>
      </w:r>
      <w:r w:rsidRPr="00DA46F2">
        <w:t xml:space="preserve"> on the recovery of future probable earnings of the deceased had the</w:t>
      </w:r>
      <w:r>
        <w:t xml:space="preserve"> deceased survived was </w:t>
      </w:r>
      <w:r w:rsidRPr="00DA46F2">
        <w:t xml:space="preserve">directed </w:t>
      </w:r>
      <w:r>
        <w:t xml:space="preserve">to the same problem.  It may have also been directed to </w:t>
      </w:r>
      <w:r w:rsidRPr="00DA46F2">
        <w:t>a perceived problem of double liability</w:t>
      </w:r>
      <w:r>
        <w:t>, but this does not clearly appear from the extraneous materials at the time of the 1972 amendment</w:t>
      </w:r>
      <w:r w:rsidRPr="00DA46F2">
        <w:t xml:space="preserve">.  </w:t>
      </w:r>
    </w:p>
    <w:p w:rsidR="00A16FF2" w:rsidRDefault="00A16FF2" w:rsidP="008F5902"/>
    <w:p w:rsidR="00A16FF2" w:rsidRDefault="00A16FF2" w:rsidP="00696ED0">
      <w:pPr>
        <w:pStyle w:val="ListNumber"/>
        <w:numPr>
          <w:ilvl w:val="0"/>
          <w:numId w:val="20"/>
        </w:numPr>
        <w:tabs>
          <w:tab w:val="clear" w:pos="0"/>
        </w:tabs>
      </w:pPr>
      <w:r>
        <w:tab/>
        <w:t>In</w:t>
      </w:r>
      <w:r w:rsidRPr="00DA46F2">
        <w:t xml:space="preserve"> an action under s 207B(7)</w:t>
      </w:r>
      <w:r>
        <w:t xml:space="preserve"> of the Compensation Act</w:t>
      </w:r>
      <w:r w:rsidRPr="00DA46F2">
        <w:t>, there</w:t>
      </w:r>
      <w:r>
        <w:t xml:space="preserve"> is no apprehension</w:t>
      </w:r>
      <w:r w:rsidRPr="00DA46F2">
        <w:t xml:space="preserve"> </w:t>
      </w:r>
      <w:r>
        <w:t xml:space="preserve">about the recovery of </w:t>
      </w:r>
      <w:r w:rsidRPr="00DA46F2">
        <w:t xml:space="preserve">damages for heads of loss not suffered.  WorkCover is not </w:t>
      </w:r>
      <w:r>
        <w:t>seeking</w:t>
      </w:r>
      <w:r w:rsidRPr="00DA46F2">
        <w:t xml:space="preserve"> damages for something it has not suffered.  </w:t>
      </w:r>
      <w:r>
        <w:t>To</w:t>
      </w:r>
      <w:r w:rsidRPr="00DA46F2">
        <w:t xml:space="preserve"> the contrary, the policy of the </w:t>
      </w:r>
      <w:r>
        <w:t>Compensation</w:t>
      </w:r>
      <w:r w:rsidRPr="00DA46F2">
        <w:t xml:space="preserve"> Act, as explained above, indicates that WorkCover is entitled to be indemnified for moneys it paid in compensation</w:t>
      </w:r>
      <w:r>
        <w:t xml:space="preserve"> to Mr Thomson.  That he has since died is not to the point.</w:t>
      </w:r>
    </w:p>
    <w:p w:rsidR="00A16FF2" w:rsidRDefault="00A16FF2" w:rsidP="008F5902"/>
    <w:p w:rsidR="00A16FF2" w:rsidRDefault="00A16FF2" w:rsidP="00696ED0">
      <w:pPr>
        <w:pStyle w:val="ListNumber"/>
        <w:numPr>
          <w:ilvl w:val="0"/>
          <w:numId w:val="20"/>
        </w:numPr>
        <w:tabs>
          <w:tab w:val="clear" w:pos="0"/>
        </w:tabs>
      </w:pPr>
      <w:r>
        <w:tab/>
        <w:t>T</w:t>
      </w:r>
      <w:r w:rsidRPr="00DA46F2">
        <w:t>he primary concern of the amendment to s 15D of the CLP Act in 1972</w:t>
      </w:r>
      <w:r>
        <w:t xml:space="preserve"> </w:t>
      </w:r>
      <w:r w:rsidRPr="00DA46F2">
        <w:t>was to avoid the perceived violence that actions brought by the estate would do to the notion of compensatory damages if all damages</w:t>
      </w:r>
      <w:r>
        <w:t xml:space="preserve"> which had been</w:t>
      </w:r>
      <w:r w:rsidRPr="00DA46F2">
        <w:t xml:space="preserve"> recoverable by the deceased</w:t>
      </w:r>
      <w:r>
        <w:t xml:space="preserve"> thereafter</w:t>
      </w:r>
      <w:r w:rsidRPr="00DA46F2">
        <w:t xml:space="preserve"> could be recoverable by the estate</w:t>
      </w:r>
      <w:r>
        <w:t xml:space="preserve"> of that person</w:t>
      </w:r>
      <w:r w:rsidRPr="00DA46F2">
        <w:t xml:space="preserve">. </w:t>
      </w:r>
    </w:p>
    <w:p w:rsidR="00A16FF2" w:rsidRDefault="00A16FF2" w:rsidP="008F5902"/>
    <w:p w:rsidR="00A16FF2" w:rsidRDefault="00A16FF2" w:rsidP="00696ED0">
      <w:pPr>
        <w:pStyle w:val="ListNumber"/>
        <w:numPr>
          <w:ilvl w:val="0"/>
          <w:numId w:val="20"/>
        </w:numPr>
        <w:tabs>
          <w:tab w:val="clear" w:pos="0"/>
        </w:tabs>
      </w:pPr>
      <w:r>
        <w:tab/>
        <w:t>It now is convenient to return</w:t>
      </w:r>
      <w:r w:rsidRPr="00DA46F2">
        <w:t xml:space="preserve"> to the opening words of s 66(2): "Where a cause of action survives pursuant to subsection</w:t>
      </w:r>
      <w:r>
        <w:t> </w:t>
      </w:r>
      <w:r w:rsidRPr="00DA46F2">
        <w:t xml:space="preserve">(1) for the benefit of the estate of a deceased person, the damages recoverable </w:t>
      </w:r>
      <w:r w:rsidRPr="00DA46F2">
        <w:rPr>
          <w:i/>
          <w:iCs/>
        </w:rPr>
        <w:t>in any action brought</w:t>
      </w:r>
      <w:r>
        <w:t xml:space="preserve"> </w:t>
      </w:r>
      <w:r w:rsidRPr="00DA46F2">
        <w:rPr>
          <w:i/>
          <w:iCs/>
        </w:rPr>
        <w:t>…</w:t>
      </w:r>
      <w:r w:rsidRPr="00DA46F2">
        <w:t xml:space="preserve">" (emphasis added).  The perceived mischief which the 1972 amendment addressed arose only when </w:t>
      </w:r>
      <w:r>
        <w:t>an</w:t>
      </w:r>
      <w:r w:rsidRPr="00DA46F2">
        <w:t xml:space="preserve"> action was brought for the benefit of the estate.  Accordingly, the phrase "the damages recoverable in any action brought" in s 66(2)</w:t>
      </w:r>
      <w:r>
        <w:t xml:space="preserve"> refers</w:t>
      </w:r>
      <w:r w:rsidRPr="00DA46F2">
        <w:t xml:space="preserve"> not to any action in the general sense, but rather only to actions brought pursuant to s 66(1) "for the benefit of the estate of a deceased person".  </w:t>
      </w:r>
      <w:r>
        <w:t>Section 66(2)</w:t>
      </w:r>
      <w:r w:rsidRPr="00DA46F2">
        <w:t xml:space="preserve"> is a limitation on the remedy</w:t>
      </w:r>
      <w:r>
        <w:t xml:space="preserve"> available</w:t>
      </w:r>
      <w:r w:rsidRPr="00DA46F2">
        <w:t xml:space="preserve">, </w:t>
      </w:r>
      <w:r>
        <w:t>applying only to an action brought by the estate of the person in whose favour a liability existed</w:t>
      </w:r>
      <w:r w:rsidRPr="00DA46F2">
        <w:t>.  It is not a limitation on the liability of a w</w:t>
      </w:r>
      <w:r>
        <w:t xml:space="preserve">rongdoer towards the deceased.  In Victoria, Gillard J reached a similar conclusion concerning the construction of s 29 of the </w:t>
      </w:r>
      <w:r>
        <w:rPr>
          <w:i/>
          <w:iCs/>
        </w:rPr>
        <w:t>Administration and Probate Act</w:t>
      </w:r>
      <w:r>
        <w:t xml:space="preserve"> 1958 (Vic), a provision that was first introduced in Victoria by the </w:t>
      </w:r>
      <w:r>
        <w:rPr>
          <w:i/>
          <w:iCs/>
        </w:rPr>
        <w:t>Survival of Actions Act</w:t>
      </w:r>
      <w:r>
        <w:t xml:space="preserve"> 1942 (Vic)</w:t>
      </w:r>
      <w:r>
        <w:rPr>
          <w:rStyle w:val="FootnoteReference"/>
        </w:rPr>
        <w:footnoteReference w:id="65"/>
      </w:r>
      <w:r>
        <w:t>.</w:t>
      </w:r>
    </w:p>
    <w:p w:rsidR="00A16FF2" w:rsidRDefault="00A16FF2" w:rsidP="008F5902"/>
    <w:p w:rsidR="00A16FF2" w:rsidRDefault="00A16FF2" w:rsidP="00696ED0">
      <w:pPr>
        <w:pStyle w:val="ListNumber"/>
        <w:numPr>
          <w:ilvl w:val="0"/>
          <w:numId w:val="20"/>
        </w:numPr>
        <w:tabs>
          <w:tab w:val="clear" w:pos="0"/>
        </w:tabs>
      </w:pPr>
      <w:r>
        <w:tab/>
        <w:t xml:space="preserve">The respondents rely on a statement by Latham CJ in </w:t>
      </w:r>
      <w:r>
        <w:rPr>
          <w:i/>
          <w:iCs/>
        </w:rPr>
        <w:t>Woolworths Ltd v Crotty</w:t>
      </w:r>
      <w:r w:rsidRPr="00FA3FAF">
        <w:rPr>
          <w:rStyle w:val="FootnoteReference"/>
        </w:rPr>
        <w:footnoteReference w:id="66"/>
      </w:r>
      <w:r>
        <w:t>, namely, that</w:t>
      </w:r>
    </w:p>
    <w:p w:rsidR="00A16FF2" w:rsidRDefault="00A16FF2" w:rsidP="008F5902"/>
    <w:p w:rsidR="00A16FF2" w:rsidRDefault="00A16FF2" w:rsidP="008F5902">
      <w:pPr>
        <w:pStyle w:val="leftright"/>
      </w:pPr>
      <w:r>
        <w:t xml:space="preserve">"a person who has died cannot bring an action for his own death, simply because he is dead and cannot bring an action for anything, and not by reason of the application of any rule of law".  </w:t>
      </w:r>
    </w:p>
    <w:p w:rsidR="00A16FF2" w:rsidRPr="002809DD" w:rsidRDefault="00A16FF2" w:rsidP="008F5902">
      <w:r>
        <w:t xml:space="preserve">From that apparent statement of the obvious, the argument for the respondents proceeds.  The damages payable by the wrongdoer to the person who has received compensation could only be paid, when that person has died, to the estate of the person upon the estate bringing an action pursuant to s 66(1) yet subject to the limitations in s 66(2).  It must therefore follow, it is said, that the damages payable </w:t>
      </w:r>
      <w:r>
        <w:rPr>
          <w:i/>
          <w:iCs/>
        </w:rPr>
        <w:t>to WorkCover</w:t>
      </w:r>
      <w:r>
        <w:t xml:space="preserve"> under par (a) of s 207B(7) are also so limited.  If these submissions were to be accepted, it would follow that, had there been no equivalent to s 66 in existence, no damages would be recoverable by WorkCover.  As explained already in these reasons, such a construction would be inconsistent with the policy of the Compensation Act and should be rejected.  That construction also ignores the critical distinction between liability for damages and the damages that would be payable upon a person, or their estate, bringing an action.</w:t>
      </w:r>
    </w:p>
    <w:p w:rsidR="00A16FF2" w:rsidRPr="00DA46F2" w:rsidRDefault="00A16FF2" w:rsidP="008F5902"/>
    <w:p w:rsidR="00A16FF2" w:rsidRPr="00DA46F2" w:rsidRDefault="00A16FF2" w:rsidP="008F5902">
      <w:pPr>
        <w:rPr>
          <w:u w:val="single"/>
        </w:rPr>
      </w:pPr>
      <w:r w:rsidRPr="00DA46F2">
        <w:rPr>
          <w:u w:val="single"/>
        </w:rPr>
        <w:t>Conclusion</w:t>
      </w:r>
    </w:p>
    <w:p w:rsidR="00A16FF2" w:rsidRPr="00DA46F2" w:rsidRDefault="00A16FF2" w:rsidP="008F5902">
      <w:pPr>
        <w:rPr>
          <w:u w:val="single"/>
        </w:rPr>
      </w:pPr>
    </w:p>
    <w:p w:rsidR="00A16FF2" w:rsidRDefault="00A16FF2" w:rsidP="00696ED0">
      <w:pPr>
        <w:pStyle w:val="ListNumber"/>
        <w:numPr>
          <w:ilvl w:val="0"/>
          <w:numId w:val="20"/>
        </w:numPr>
        <w:tabs>
          <w:tab w:val="clear" w:pos="0"/>
        </w:tabs>
      </w:pPr>
      <w:r w:rsidRPr="00DA46F2">
        <w:tab/>
        <w:t xml:space="preserve">Upon an action brought by </w:t>
      </w:r>
      <w:r>
        <w:t>WorkCover</w:t>
      </w:r>
      <w:r w:rsidRPr="00DA46F2">
        <w:t xml:space="preserve"> pursuant to </w:t>
      </w:r>
      <w:r>
        <w:t>its</w:t>
      </w:r>
      <w:r w:rsidRPr="00DA46F2">
        <w:t xml:space="preserve"> right of indemnity under</w:t>
      </w:r>
      <w:r>
        <w:t xml:space="preserve"> par (a) of</w:t>
      </w:r>
      <w:r w:rsidRPr="00DA46F2">
        <w:t xml:space="preserve"> s 207B(7)</w:t>
      </w:r>
      <w:r>
        <w:t xml:space="preserve"> of the Compensation Act,</w:t>
      </w:r>
      <w:r w:rsidRPr="00DA46F2">
        <w:t xml:space="preserve"> </w:t>
      </w:r>
      <w:r>
        <w:t>it</w:t>
      </w:r>
      <w:r w:rsidRPr="00DA46F2">
        <w:t xml:space="preserve"> is entitled to be indemnified</w:t>
      </w:r>
      <w:r>
        <w:t xml:space="preserve"> by the respondents</w:t>
      </w:r>
      <w:r w:rsidRPr="00DA46F2">
        <w:t xml:space="preserve"> "to the extent of" the</w:t>
      </w:r>
      <w:r>
        <w:t>ir</w:t>
      </w:r>
      <w:r w:rsidRPr="00DA46F2">
        <w:t xml:space="preserve"> liability to Mr Thomson.  The amount to which</w:t>
      </w:r>
      <w:r>
        <w:t xml:space="preserve"> WorkCover</w:t>
      </w:r>
      <w:r w:rsidRPr="00DA46F2">
        <w:t xml:space="preserve"> is entitled is to be assessed by reference to the amount for which the</w:t>
      </w:r>
      <w:r>
        <w:t xml:space="preserve"> respondents</w:t>
      </w:r>
      <w:r w:rsidRPr="00DA46F2">
        <w:t xml:space="preserve"> would be</w:t>
      </w:r>
      <w:r>
        <w:t xml:space="preserve"> so</w:t>
      </w:r>
      <w:r w:rsidRPr="00DA46F2">
        <w:t xml:space="preserve"> liable at the time of judgment in the indemnity proceedings, taking into account all limitations at common law or by statute on that liability.  It is not to be assessed by reference to the amount of damages that would be recovered in a hypothetical action brought by Mr Thomson, or his estate upon his death, against the respondents.  </w:t>
      </w:r>
    </w:p>
    <w:p w:rsidR="00A16FF2" w:rsidRDefault="00A16FF2" w:rsidP="008F5902"/>
    <w:p w:rsidR="00A16FF2" w:rsidRPr="002C46AA" w:rsidRDefault="00A16FF2" w:rsidP="00696ED0">
      <w:pPr>
        <w:pStyle w:val="ListNumber"/>
        <w:numPr>
          <w:ilvl w:val="0"/>
          <w:numId w:val="20"/>
        </w:numPr>
        <w:tabs>
          <w:tab w:val="clear" w:pos="0"/>
        </w:tabs>
      </w:pPr>
      <w:r>
        <w:tab/>
        <w:t xml:space="preserve">In the passage from </w:t>
      </w:r>
      <w:r w:rsidRPr="006325DE">
        <w:rPr>
          <w:i/>
          <w:iCs/>
        </w:rPr>
        <w:t>Esso</w:t>
      </w:r>
      <w:r>
        <w:t xml:space="preserve">, </w:t>
      </w:r>
      <w:r w:rsidRPr="006325DE">
        <w:t>referred</w:t>
      </w:r>
      <w:r>
        <w:t xml:space="preserve"> to earlier in these reasons, it was pointed out that the statutory right of indemnity is not to be equated with the cause of action which the worker would have had.  The claim to enforce the entitlement is a cause of action created by statute for an indemnity against a person liable to pay damages to another.  That liability is best understood as an ingredient of the statutory right.</w:t>
      </w:r>
    </w:p>
    <w:p w:rsidR="00A16FF2" w:rsidRPr="00DA46F2" w:rsidRDefault="00A16FF2" w:rsidP="008F5902"/>
    <w:p w:rsidR="00A16FF2" w:rsidRDefault="00A16FF2" w:rsidP="00696ED0">
      <w:pPr>
        <w:pStyle w:val="ListNumber"/>
        <w:numPr>
          <w:ilvl w:val="0"/>
          <w:numId w:val="20"/>
        </w:numPr>
        <w:tabs>
          <w:tab w:val="clear" w:pos="0"/>
        </w:tabs>
      </w:pPr>
      <w:r w:rsidRPr="00DA46F2">
        <w:tab/>
        <w:t>The limitations found in s 66(2) of the Succession Act apply to limit damages</w:t>
      </w:r>
      <w:r>
        <w:t xml:space="preserve"> which would be</w:t>
      </w:r>
      <w:r w:rsidRPr="00DA46F2">
        <w:t xml:space="preserve"> recoverable by </w:t>
      </w:r>
      <w:r>
        <w:t>Mr Thomson's</w:t>
      </w:r>
      <w:r w:rsidRPr="00DA46F2">
        <w:t xml:space="preserve"> estate </w:t>
      </w:r>
      <w:r>
        <w:t>upon an</w:t>
      </w:r>
      <w:r w:rsidRPr="00DA46F2">
        <w:t xml:space="preserve"> action brought "for the benefit of" his estate</w:t>
      </w:r>
      <w:r>
        <w:t xml:space="preserve">, and do not </w:t>
      </w:r>
      <w:r w:rsidRPr="00DA46F2">
        <w:t>apply to an action brought by</w:t>
      </w:r>
      <w:r>
        <w:t xml:space="preserve"> WorkCover</w:t>
      </w:r>
      <w:r w:rsidRPr="00DA46F2">
        <w:t xml:space="preserve"> seeking indemnity</w:t>
      </w:r>
      <w:r>
        <w:t xml:space="preserve"> from the respondents</w:t>
      </w:r>
      <w:r w:rsidRPr="00DA46F2">
        <w:t xml:space="preserve"> under s 207B(7)(a).  </w:t>
      </w:r>
    </w:p>
    <w:p w:rsidR="00A16FF2" w:rsidRDefault="00A16FF2" w:rsidP="008F5902"/>
    <w:p w:rsidR="00A16FF2" w:rsidRPr="002C46AA" w:rsidRDefault="00A16FF2" w:rsidP="00696ED0">
      <w:pPr>
        <w:pStyle w:val="ListNumber"/>
        <w:numPr>
          <w:ilvl w:val="0"/>
          <w:numId w:val="20"/>
        </w:numPr>
        <w:tabs>
          <w:tab w:val="clear" w:pos="0"/>
        </w:tabs>
      </w:pPr>
      <w:r>
        <w:tab/>
        <w:t xml:space="preserve">This follows as a matter of construction of s 66(2) and is consistent with the underlying policies to which that provision gives effect.  Those policies have no application to the right of indemnity given by s 207B(7)(a) of </w:t>
      </w:r>
      <w:r w:rsidRPr="006325DE">
        <w:t>the Compensation Act.</w:t>
      </w:r>
      <w:r>
        <w:t xml:space="preserve">  Indeed they would be in conflict with it.</w:t>
      </w:r>
    </w:p>
    <w:p w:rsidR="00A16FF2" w:rsidRDefault="00A16FF2" w:rsidP="008F5902"/>
    <w:p w:rsidR="00A16FF2" w:rsidRPr="00DA46F2" w:rsidRDefault="00A16FF2" w:rsidP="00696ED0">
      <w:pPr>
        <w:pStyle w:val="ListNumber"/>
        <w:numPr>
          <w:ilvl w:val="0"/>
          <w:numId w:val="20"/>
        </w:numPr>
        <w:tabs>
          <w:tab w:val="clear" w:pos="0"/>
        </w:tabs>
      </w:pPr>
      <w:r>
        <w:tab/>
      </w:r>
      <w:r w:rsidRPr="00DA46F2">
        <w:t>The respondent</w:t>
      </w:r>
      <w:r>
        <w:t xml:space="preserve">s pointed to what was a perceived incongruity if it were </w:t>
      </w:r>
      <w:r w:rsidRPr="00DA46F2">
        <w:t>concluded that s 66(2) did not apply to an action brought under s 207B(7).  Relevantly for this submission, ss 207B(2)</w:t>
      </w:r>
      <w:r>
        <w:noBreakHyphen/>
      </w:r>
      <w:r w:rsidRPr="00DA46F2">
        <w:t>(4) provide:</w:t>
      </w:r>
    </w:p>
    <w:p w:rsidR="00A16FF2" w:rsidRPr="00DA46F2" w:rsidRDefault="00A16FF2" w:rsidP="008F5902"/>
    <w:p w:rsidR="00A16FF2" w:rsidRDefault="00A16FF2" w:rsidP="008F5902">
      <w:pPr>
        <w:pStyle w:val="leftright"/>
        <w:ind w:left="1440" w:hanging="720"/>
      </w:pPr>
      <w:r>
        <w:t>"(2)</w:t>
      </w:r>
      <w:r>
        <w:tab/>
      </w:r>
      <w:r w:rsidRPr="00DA46F2">
        <w:t xml:space="preserve">An amount paid as compensation to a person for an injury, to which there is an entitlement to payment of damages at a time or for a period before the person becomes entitled to payment of damages by an employer or another person, is a first charge on any amount of damages recovered by the person to the extent of the amount paid as compensation to the person. </w:t>
      </w:r>
    </w:p>
    <w:p w:rsidR="00A16FF2" w:rsidRDefault="00A16FF2" w:rsidP="008F5902">
      <w:pPr>
        <w:pStyle w:val="leftright"/>
        <w:ind w:left="1440" w:hanging="720"/>
      </w:pPr>
      <w:r w:rsidRPr="00DA46F2">
        <w:t>(3)</w:t>
      </w:r>
      <w:r>
        <w:tab/>
      </w:r>
      <w:r w:rsidRPr="00DA46F2">
        <w:t xml:space="preserve">An employer or other person from whom the damages are recoverable must pay the insurer the amount of the first charge or, if the damages are not more than the amount of the first charge, the whole of the damages. </w:t>
      </w:r>
    </w:p>
    <w:p w:rsidR="00A16FF2" w:rsidRPr="00DA46F2" w:rsidRDefault="00A16FF2" w:rsidP="008F5902">
      <w:pPr>
        <w:pStyle w:val="leftright"/>
        <w:ind w:left="1440" w:hanging="720"/>
      </w:pPr>
      <w:r w:rsidRPr="00DA46F2">
        <w:t>(4)</w:t>
      </w:r>
      <w:r>
        <w:tab/>
      </w:r>
      <w:r w:rsidRPr="00DA46F2">
        <w:t>Payment to the insurer under subsection</w:t>
      </w:r>
      <w:r>
        <w:t> </w:t>
      </w:r>
      <w:r w:rsidRPr="00DA46F2">
        <w:t xml:space="preserve">(3), to the extent of the payment, satisfies the liability of the employer or other person for payment of the damages." </w:t>
      </w:r>
    </w:p>
    <w:p w:rsidR="00A16FF2" w:rsidRDefault="00A16FF2" w:rsidP="00696ED0">
      <w:pPr>
        <w:pStyle w:val="ListNumber"/>
        <w:numPr>
          <w:ilvl w:val="0"/>
          <w:numId w:val="20"/>
        </w:numPr>
        <w:tabs>
          <w:tab w:val="clear" w:pos="0"/>
        </w:tabs>
      </w:pPr>
      <w:r>
        <w:tab/>
      </w:r>
      <w:r w:rsidRPr="00DA46F2">
        <w:t>The respondent</w:t>
      </w:r>
      <w:r>
        <w:t>s correctly point</w:t>
      </w:r>
      <w:r w:rsidRPr="00DA46F2">
        <w:t xml:space="preserve"> out that if the estate sued the respondents </w:t>
      </w:r>
      <w:r>
        <w:t>pursuant to s 66(1) of the Succession Act</w:t>
      </w:r>
      <w:r w:rsidRPr="00DA46F2">
        <w:t>, s</w:t>
      </w:r>
      <w:r>
        <w:t> </w:t>
      </w:r>
      <w:r w:rsidRPr="00DA46F2">
        <w:t>66(2) would limit the damages available to the estate.  Having paid compensation, WorkCover would then have a first charge on</w:t>
      </w:r>
      <w:r>
        <w:t xml:space="preserve"> any</w:t>
      </w:r>
      <w:r w:rsidRPr="00DA46F2">
        <w:t xml:space="preserve"> damages recovered by the estate, and the</w:t>
      </w:r>
      <w:r>
        <w:t xml:space="preserve"> respondents would be obliged to</w:t>
      </w:r>
      <w:r w:rsidRPr="00DA46F2">
        <w:t xml:space="preserve"> pay the insurer up to the</w:t>
      </w:r>
      <w:r>
        <w:t xml:space="preserve"> amount of the</w:t>
      </w:r>
      <w:r w:rsidRPr="00DA46F2">
        <w:t xml:space="preserve"> charge.  Assuming the damages recovered by the estate would be less than the amount of compensation paid by the insurer</w:t>
      </w:r>
      <w:r>
        <w:t>,</w:t>
      </w:r>
      <w:r w:rsidRPr="00DA46F2">
        <w:t xml:space="preserve"> by virtue of the limits on recovery in s 66(2), WorkCover would receive less than</w:t>
      </w:r>
      <w:r>
        <w:t xml:space="preserve"> it would</w:t>
      </w:r>
      <w:r w:rsidRPr="00DA46F2">
        <w:t xml:space="preserve"> </w:t>
      </w:r>
      <w:r>
        <w:t xml:space="preserve">have </w:t>
      </w:r>
      <w:r w:rsidRPr="00DA46F2">
        <w:t>had the estate not sought recovery and WorkCover pursued its right of indemnity under s 207B(7).  The respondent</w:t>
      </w:r>
      <w:r>
        <w:t>s</w:t>
      </w:r>
      <w:r w:rsidRPr="00DA46F2">
        <w:t xml:space="preserve"> </w:t>
      </w:r>
      <w:r>
        <w:t>submit</w:t>
      </w:r>
      <w:r w:rsidRPr="00DA46F2">
        <w:t xml:space="preserve"> that there was no evident policy</w:t>
      </w:r>
      <w:r>
        <w:t xml:space="preserve"> indicating that the legislature</w:t>
      </w:r>
      <w:r w:rsidRPr="00DA46F2">
        <w:t xml:space="preserve"> would have intended</w:t>
      </w:r>
      <w:r>
        <w:t xml:space="preserve"> an outcome whereby</w:t>
      </w:r>
      <w:r w:rsidRPr="00DA46F2">
        <w:t xml:space="preserve"> </w:t>
      </w:r>
      <w:r>
        <w:t>WorkCover</w:t>
      </w:r>
      <w:r w:rsidRPr="00DA46F2">
        <w:t xml:space="preserve"> </w:t>
      </w:r>
      <w:r>
        <w:t>would recover from a wrongdoer</w:t>
      </w:r>
      <w:r w:rsidRPr="00DA46F2">
        <w:t xml:space="preserve"> </w:t>
      </w:r>
      <w:r>
        <w:t>amounts which differed as a consequence of the time at which the wrongdoer was sued (if at all) by the worker or his estate.</w:t>
      </w:r>
    </w:p>
    <w:p w:rsidR="00A16FF2" w:rsidRDefault="00A16FF2" w:rsidP="008F5902"/>
    <w:p w:rsidR="00A16FF2" w:rsidRDefault="00A16FF2" w:rsidP="00696ED0">
      <w:pPr>
        <w:pStyle w:val="ListNumber"/>
        <w:numPr>
          <w:ilvl w:val="0"/>
          <w:numId w:val="20"/>
        </w:numPr>
        <w:tabs>
          <w:tab w:val="clear" w:pos="0"/>
        </w:tabs>
      </w:pPr>
      <w:r>
        <w:tab/>
        <w:t>However, this apparent conundrum</w:t>
      </w:r>
      <w:r w:rsidRPr="00DA46F2">
        <w:t xml:space="preserve"> is not sufficient to displace the construction that has been given to s 66(2) of the Succession Act in light of its history and purpose.  </w:t>
      </w:r>
    </w:p>
    <w:p w:rsidR="00A16FF2" w:rsidRDefault="00A16FF2" w:rsidP="008F5902"/>
    <w:p w:rsidR="00A16FF2" w:rsidRDefault="00A16FF2" w:rsidP="00696ED0">
      <w:pPr>
        <w:pStyle w:val="ListNumber"/>
        <w:numPr>
          <w:ilvl w:val="0"/>
          <w:numId w:val="20"/>
        </w:numPr>
        <w:tabs>
          <w:tab w:val="clear" w:pos="0"/>
        </w:tabs>
      </w:pPr>
      <w:r>
        <w:tab/>
        <w:t xml:space="preserve">The fact that WorkCover might recover from the respondents an amount which differs from what Mr Thomson's estate might recover is simply a reflection of the operation of the different policies of the two Acts.  So far as concerns the </w:t>
      </w:r>
      <w:r w:rsidRPr="006325DE">
        <w:t>Compensation Act,</w:t>
      </w:r>
      <w:r>
        <w:t xml:space="preserve"> the point is that WorkCover is recovering moneys from the respondents because it has paid compensation to Mr Thomson on account of his injuries.  It cannot be gainsaid that what the respondents will pay will reflect their liability in respect of those injuries.</w:t>
      </w:r>
    </w:p>
    <w:p w:rsidR="00A16FF2" w:rsidRDefault="00A16FF2" w:rsidP="008F5902"/>
    <w:p w:rsidR="00A16FF2" w:rsidRDefault="00A16FF2" w:rsidP="00696ED0">
      <w:pPr>
        <w:pStyle w:val="ListNumber"/>
        <w:numPr>
          <w:ilvl w:val="0"/>
          <w:numId w:val="20"/>
        </w:numPr>
        <w:tabs>
          <w:tab w:val="clear" w:pos="0"/>
        </w:tabs>
      </w:pPr>
      <w:r>
        <w:tab/>
        <w:t>The amount that WorkCover recoups from a wrongdoer may differ in any event, depending upon when the amount representing a wrongdoer's legal liability in respect of a worker's injuries is assessed.  It might pay compensation and recover against a wrongdoer prior to the death of a worker from the injuries caused by the wrongdoer.  In other cases, such as the present, proceedings could only be brought after death, which occurred shortly after the payment of compensation.</w:t>
      </w:r>
    </w:p>
    <w:p w:rsidR="00A16FF2" w:rsidRDefault="00A16FF2" w:rsidP="008F5902"/>
    <w:p w:rsidR="00A16FF2" w:rsidRDefault="00A16FF2" w:rsidP="00696ED0">
      <w:pPr>
        <w:pStyle w:val="ListNumber"/>
        <w:numPr>
          <w:ilvl w:val="0"/>
          <w:numId w:val="20"/>
        </w:numPr>
        <w:tabs>
          <w:tab w:val="clear" w:pos="0"/>
        </w:tabs>
      </w:pPr>
      <w:r>
        <w:tab/>
        <w:t>The amount recovered will ordinarily be assessed at the date of judgment, following the rule applied in cases involving personal injuries</w:t>
      </w:r>
      <w:r>
        <w:rPr>
          <w:rStyle w:val="FootnoteReference"/>
        </w:rPr>
        <w:footnoteReference w:id="67"/>
      </w:r>
      <w:r>
        <w:t>, although the rule may yield depending upon the circumstances</w:t>
      </w:r>
      <w:r>
        <w:rPr>
          <w:rStyle w:val="FootnoteReference"/>
        </w:rPr>
        <w:footnoteReference w:id="68"/>
      </w:r>
      <w:r>
        <w:t>.  In the present case it was accepted by WorkCover that the time for assessment was at the date of judgment.  So far as concerns the sum assessed, much will depend upon the facts then known about the injuries and their effects.  An assessment of prospective damage involves a measure of speculation; it is otherwise when that damage (or its diminution) has become actual</w:t>
      </w:r>
      <w:r>
        <w:rPr>
          <w:rStyle w:val="FootnoteReference"/>
        </w:rPr>
        <w:footnoteReference w:id="69"/>
      </w:r>
      <w:r>
        <w:t xml:space="preserve">.  In this case an assessment would take account of Mr Thomson's death.  This may have the effect of limiting some heads of damage, although perhaps not to the extent which would result were the </w:t>
      </w:r>
      <w:r w:rsidRPr="006325DE">
        <w:t>Succession Act</w:t>
      </w:r>
      <w:r>
        <w:t xml:space="preserve"> to apply.</w:t>
      </w:r>
    </w:p>
    <w:p w:rsidR="00A16FF2" w:rsidRDefault="00A16FF2" w:rsidP="008F5902"/>
    <w:p w:rsidR="00A16FF2" w:rsidRPr="008A73FF" w:rsidRDefault="00A16FF2" w:rsidP="00696ED0">
      <w:pPr>
        <w:pStyle w:val="ListNumber"/>
        <w:numPr>
          <w:ilvl w:val="0"/>
          <w:numId w:val="20"/>
        </w:numPr>
        <w:tabs>
          <w:tab w:val="clear" w:pos="0"/>
        </w:tabs>
      </w:pPr>
      <w:r>
        <w:tab/>
        <w:t xml:space="preserve">In any event the fact that the respondents might be required to pay a larger sum in proceedings brought by WorkCover does not displace the construction given to s 66(2) of the </w:t>
      </w:r>
      <w:r w:rsidRPr="006325DE">
        <w:t>Succession Act</w:t>
      </w:r>
      <w:r>
        <w:t>, in light of its history and purpose.</w:t>
      </w:r>
    </w:p>
    <w:p w:rsidR="00A16FF2" w:rsidRPr="00DA46F2" w:rsidRDefault="00A16FF2" w:rsidP="008F5902"/>
    <w:p w:rsidR="00A16FF2" w:rsidRPr="00DA46F2" w:rsidRDefault="00A16FF2" w:rsidP="008F5902">
      <w:pPr>
        <w:keepNext/>
        <w:rPr>
          <w:u w:val="single"/>
        </w:rPr>
      </w:pPr>
      <w:r w:rsidRPr="00DA46F2">
        <w:rPr>
          <w:u w:val="single"/>
        </w:rPr>
        <w:t>Order</w:t>
      </w:r>
    </w:p>
    <w:p w:rsidR="00A16FF2" w:rsidRPr="00DA46F2" w:rsidRDefault="00A16FF2" w:rsidP="008F5902">
      <w:pPr>
        <w:keepNext/>
        <w:rPr>
          <w:u w:val="single"/>
        </w:rPr>
      </w:pPr>
    </w:p>
    <w:p w:rsidR="00A16FF2" w:rsidRPr="00DA46F2" w:rsidRDefault="00A16FF2" w:rsidP="00696ED0">
      <w:pPr>
        <w:pStyle w:val="ListNumber"/>
        <w:numPr>
          <w:ilvl w:val="0"/>
          <w:numId w:val="20"/>
        </w:numPr>
        <w:tabs>
          <w:tab w:val="clear" w:pos="0"/>
        </w:tabs>
      </w:pPr>
      <w:r w:rsidRPr="00DA46F2">
        <w:tab/>
        <w:t xml:space="preserve">The appeal should be allowed and the answers to questions 4 and 5 in the order of the Court of Appeal made on 27 March 2009 set aside.  In lieu thereof, question 4 should be answered "no".  </w:t>
      </w:r>
    </w:p>
    <w:p w:rsidR="00A16FF2" w:rsidRPr="00DA46F2" w:rsidRDefault="00A16FF2" w:rsidP="008F5902"/>
    <w:p w:rsidR="00A16FF2" w:rsidRDefault="00A16FF2" w:rsidP="00696ED0">
      <w:pPr>
        <w:pStyle w:val="ListNumber"/>
        <w:numPr>
          <w:ilvl w:val="0"/>
          <w:numId w:val="20"/>
        </w:numPr>
        <w:tabs>
          <w:tab w:val="clear" w:pos="0"/>
        </w:tabs>
      </w:pPr>
      <w:r w:rsidRPr="00DA46F2">
        <w:tab/>
      </w:r>
      <w:r>
        <w:t>Q</w:t>
      </w:r>
      <w:r w:rsidRPr="00DA46F2">
        <w:t>uestion 5</w:t>
      </w:r>
      <w:r>
        <w:t xml:space="preserve"> asked:  "By</w:t>
      </w:r>
      <w:r w:rsidRPr="00DA46F2">
        <w:t xml:space="preserve"> whom should the costs of </w:t>
      </w:r>
      <w:r>
        <w:t xml:space="preserve">the Case Stated be paid?"  </w:t>
      </w:r>
      <w:r w:rsidRPr="00DA46F2">
        <w:t>The point</w:t>
      </w:r>
      <w:r>
        <w:t xml:space="preserve"> which</w:t>
      </w:r>
      <w:r w:rsidRPr="00DA46F2">
        <w:t xml:space="preserve"> ultimately</w:t>
      </w:r>
      <w:r>
        <w:t xml:space="preserve"> is </w:t>
      </w:r>
      <w:r w:rsidRPr="00DA46F2">
        <w:t>determinative of</w:t>
      </w:r>
      <w:r>
        <w:t xml:space="preserve"> these reasons is </w:t>
      </w:r>
      <w:r w:rsidRPr="00DA46F2">
        <w:t>whether s 66(2) applied to limit the liability of the wrongdoer to the person who received compensation, or only applied to actions brought for the benefit of the estate</w:t>
      </w:r>
      <w:r>
        <w:t>. The respondents accept that if the appellant succeeds on that issue, they should bear the costs of the successful appeal to this Court.  In the Court of Appeal the present respondents recovered three</w:t>
      </w:r>
      <w:r>
        <w:noBreakHyphen/>
        <w:t>quarters of their costs of the case stated, this being stated as the answer to question 5.  Given the significant measure of success by the appellant in this Court, the answer given by the Court of Appeal to question 5 should be set aside and replaced by an order that the respondents pay the costs of the appellant in the Court of Appeal.</w:t>
      </w:r>
    </w:p>
    <w:p w:rsidR="00A16FF2" w:rsidRDefault="00A16FF2" w:rsidP="008F5902"/>
    <w:p w:rsidR="00A16FF2" w:rsidRDefault="00A16FF2">
      <w:pPr>
        <w:pStyle w:val="Footer"/>
        <w:tabs>
          <w:tab w:val="clear" w:pos="510"/>
          <w:tab w:val="clear" w:pos="1021"/>
          <w:tab w:val="clear" w:pos="1559"/>
          <w:tab w:val="clear" w:pos="2126"/>
          <w:tab w:val="clear" w:pos="2693"/>
          <w:tab w:val="clear" w:pos="4153"/>
          <w:tab w:val="clear" w:pos="8306"/>
        </w:tabs>
        <w:jc w:val="left"/>
        <w:sectPr w:rsidR="00A16FF2" w:rsidSect="008F5902">
          <w:headerReference w:type="even" r:id="rId11"/>
          <w:headerReference w:type="default" r:id="rId12"/>
          <w:headerReference w:type="first" r:id="rId13"/>
          <w:footerReference w:type="first" r:id="rId14"/>
          <w:type w:val="oddPage"/>
          <w:pgSz w:w="11907" w:h="16840" w:code="9"/>
          <w:pgMar w:top="1535" w:right="1701" w:bottom="1985" w:left="1701" w:header="720" w:footer="404" w:gutter="0"/>
          <w:pgNumType w:start="1"/>
          <w:cols w:space="720"/>
          <w:titlePg/>
        </w:sectPr>
      </w:pPr>
    </w:p>
    <w:p w:rsidR="00A16FF2" w:rsidRDefault="00A16FF2">
      <w:pPr>
        <w:pStyle w:val="Footer"/>
        <w:tabs>
          <w:tab w:val="clear" w:pos="510"/>
          <w:tab w:val="clear" w:pos="1021"/>
          <w:tab w:val="clear" w:pos="1559"/>
          <w:tab w:val="clear" w:pos="2126"/>
          <w:tab w:val="clear" w:pos="2693"/>
          <w:tab w:val="clear" w:pos="4153"/>
          <w:tab w:val="clear" w:pos="8306"/>
        </w:tabs>
        <w:jc w:val="left"/>
      </w:pPr>
    </w:p>
    <w:sectPr w:rsidR="00A16FF2" w:rsidSect="00696ED0">
      <w:pgSz w:w="11907" w:h="16840" w:code="9"/>
      <w:pgMar w:top="1535" w:right="1701" w:bottom="1985" w:left="1701" w:header="720" w:footer="404"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6FF2" w:rsidRDefault="00A16FF2">
      <w:r>
        <w:separator/>
      </w:r>
    </w:p>
  </w:endnote>
  <w:endnote w:type="continuationSeparator" w:id="1">
    <w:p w:rsidR="00A16FF2" w:rsidRDefault="00A16F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Univers">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FF2" w:rsidRDefault="00A16FF2">
    <w:pPr>
      <w:pStyle w:val="Footer"/>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FF2" w:rsidRDefault="00A16FF2">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6FF2" w:rsidRDefault="00A16FF2">
      <w:r>
        <w:continuationSeparator/>
      </w:r>
    </w:p>
  </w:footnote>
  <w:footnote w:type="continuationSeparator" w:id="1">
    <w:p w:rsidR="00A16FF2" w:rsidRDefault="00A16FF2">
      <w:r>
        <w:continuationSeparator/>
      </w:r>
    </w:p>
  </w:footnote>
  <w:footnote w:type="continuationNotice" w:id="2">
    <w:p w:rsidR="00A16FF2" w:rsidRDefault="00A16FF2">
      <w:pPr>
        <w:jc w:val="right"/>
      </w:pPr>
      <w:r>
        <w:t>(Footnote continues on next page)</w:t>
      </w:r>
    </w:p>
  </w:footnote>
  <w:footnote w:id="3">
    <w:p w:rsidR="00A16FF2" w:rsidRDefault="00A16FF2" w:rsidP="008F5902">
      <w:pPr>
        <w:pStyle w:val="FootnoteText"/>
      </w:pPr>
      <w:r w:rsidRPr="00AD2A1E">
        <w:rPr>
          <w:rStyle w:val="FootnoteReference"/>
          <w:sz w:val="22"/>
          <w:szCs w:val="22"/>
          <w:vertAlign w:val="baseline"/>
        </w:rPr>
        <w:footnoteRef/>
      </w:r>
      <w:r w:rsidRPr="00AD2A1E">
        <w:t xml:space="preserve"> </w:t>
      </w:r>
      <w:r w:rsidRPr="00AD2A1E">
        <w:tab/>
        <w:t xml:space="preserve">Section 272 subsequently was renumbered as s 207B:  </w:t>
      </w:r>
      <w:r w:rsidRPr="00AD2A1E">
        <w:rPr>
          <w:i/>
          <w:iCs/>
        </w:rPr>
        <w:t>Workers' Compensation and Rehabilitation and Other Acts Amendment Act</w:t>
      </w:r>
      <w:r w:rsidRPr="00AD2A1E">
        <w:t xml:space="preserve"> 2007 (Q), s 24.  </w:t>
      </w:r>
    </w:p>
  </w:footnote>
  <w:footnote w:id="4">
    <w:p w:rsidR="00A16FF2" w:rsidRDefault="00A16FF2" w:rsidP="008F5902">
      <w:pPr>
        <w:pStyle w:val="FootnoteText"/>
      </w:pPr>
      <w:r w:rsidRPr="00AD2A1E">
        <w:rPr>
          <w:rStyle w:val="FootnoteReference"/>
          <w:sz w:val="22"/>
          <w:szCs w:val="22"/>
          <w:vertAlign w:val="baseline"/>
        </w:rPr>
        <w:footnoteRef/>
      </w:r>
      <w:r w:rsidRPr="00AD2A1E">
        <w:t xml:space="preserve"> </w:t>
      </w:r>
      <w:r w:rsidRPr="00AD2A1E">
        <w:tab/>
      </w:r>
      <w:r w:rsidRPr="00AD2A1E">
        <w:rPr>
          <w:i/>
          <w:iCs/>
        </w:rPr>
        <w:t>WorkCover Queensland v Amaca Pty Ltd</w:t>
      </w:r>
      <w:r w:rsidRPr="00AD2A1E">
        <w:t xml:space="preserve"> [2009] 2 Qd R 181.  </w:t>
      </w:r>
    </w:p>
  </w:footnote>
  <w:footnote w:id="5">
    <w:p w:rsidR="00A16FF2" w:rsidRDefault="00A16FF2" w:rsidP="008F5902">
      <w:pPr>
        <w:pStyle w:val="FootnoteText"/>
      </w:pPr>
      <w:r w:rsidRPr="00AD2A1E">
        <w:rPr>
          <w:rStyle w:val="FootnoteReference"/>
          <w:sz w:val="22"/>
          <w:szCs w:val="22"/>
          <w:vertAlign w:val="baseline"/>
        </w:rPr>
        <w:footnoteRef/>
      </w:r>
      <w:r w:rsidRPr="00AD2A1E">
        <w:t xml:space="preserve"> </w:t>
      </w:r>
      <w:r w:rsidRPr="00AD2A1E">
        <w:tab/>
        <w:t xml:space="preserve">[2009] 2 Qd R 181 at 192, 200.  </w:t>
      </w:r>
    </w:p>
  </w:footnote>
  <w:footnote w:id="6">
    <w:p w:rsidR="00A16FF2" w:rsidRDefault="00A16FF2" w:rsidP="008F5902">
      <w:pPr>
        <w:pStyle w:val="FootnoteText"/>
      </w:pPr>
      <w:r w:rsidRPr="00AD2A1E">
        <w:rPr>
          <w:rStyle w:val="FootnoteReference"/>
          <w:sz w:val="22"/>
          <w:szCs w:val="22"/>
          <w:vertAlign w:val="baseline"/>
        </w:rPr>
        <w:footnoteRef/>
      </w:r>
      <w:r w:rsidRPr="00AD2A1E">
        <w:t xml:space="preserve"> </w:t>
      </w:r>
      <w:r w:rsidRPr="00AD2A1E">
        <w:tab/>
        <w:t xml:space="preserve">[2009] 2 Qd R 181 at 198.  </w:t>
      </w:r>
    </w:p>
  </w:footnote>
  <w:footnote w:id="7">
    <w:p w:rsidR="00A16FF2" w:rsidRDefault="00A16FF2" w:rsidP="008F5902">
      <w:pPr>
        <w:pStyle w:val="FootnoteText"/>
      </w:pPr>
      <w:r w:rsidRPr="00AD2A1E">
        <w:rPr>
          <w:rStyle w:val="FootnoteReference"/>
          <w:sz w:val="22"/>
          <w:szCs w:val="22"/>
          <w:vertAlign w:val="baseline"/>
        </w:rPr>
        <w:footnoteRef/>
      </w:r>
      <w:r w:rsidRPr="00AD2A1E">
        <w:t xml:space="preserve"> </w:t>
      </w:r>
      <w:r w:rsidRPr="00AD2A1E">
        <w:tab/>
        <w:t>[2009] 2 Qd R 181 at 198.</w:t>
      </w:r>
    </w:p>
  </w:footnote>
  <w:footnote w:id="8">
    <w:p w:rsidR="00A16FF2" w:rsidRDefault="00A16FF2" w:rsidP="008F5902">
      <w:pPr>
        <w:pStyle w:val="FootnoteText"/>
      </w:pPr>
      <w:r w:rsidRPr="00AD2A1E">
        <w:rPr>
          <w:rStyle w:val="FootnoteReference"/>
          <w:sz w:val="22"/>
          <w:szCs w:val="22"/>
          <w:vertAlign w:val="baseline"/>
        </w:rPr>
        <w:footnoteRef/>
      </w:r>
      <w:r w:rsidRPr="00AD2A1E">
        <w:t xml:space="preserve"> </w:t>
      </w:r>
      <w:r w:rsidRPr="00AD2A1E">
        <w:tab/>
        <w:t xml:space="preserve">(2001) 53 NSWLR 518.  </w:t>
      </w:r>
    </w:p>
  </w:footnote>
  <w:footnote w:id="9">
    <w:p w:rsidR="00A16FF2" w:rsidRDefault="00A16FF2" w:rsidP="008F5902">
      <w:pPr>
        <w:pStyle w:val="FootnoteText"/>
      </w:pPr>
      <w:r w:rsidRPr="00AD2A1E">
        <w:rPr>
          <w:rStyle w:val="FootnoteReference"/>
          <w:sz w:val="22"/>
          <w:szCs w:val="22"/>
          <w:vertAlign w:val="baseline"/>
        </w:rPr>
        <w:footnoteRef/>
      </w:r>
      <w:r w:rsidRPr="00AD2A1E">
        <w:t xml:space="preserve"> </w:t>
      </w:r>
      <w:r w:rsidRPr="00AD2A1E">
        <w:tab/>
      </w:r>
      <w:r w:rsidRPr="00AD2A1E">
        <w:rPr>
          <w:i/>
          <w:iCs/>
        </w:rPr>
        <w:t>WorkCover Queensland Act</w:t>
      </w:r>
      <w:r w:rsidRPr="00AD2A1E">
        <w:t xml:space="preserve"> 1996 (Q), s 278(7)(b).</w:t>
      </w:r>
    </w:p>
  </w:footnote>
  <w:footnote w:id="10">
    <w:p w:rsidR="00A16FF2" w:rsidRDefault="00A16FF2" w:rsidP="008F5902">
      <w:pPr>
        <w:pStyle w:val="FootnoteText"/>
      </w:pPr>
      <w:r w:rsidRPr="00AD2A1E">
        <w:rPr>
          <w:rStyle w:val="FootnoteReference"/>
          <w:sz w:val="22"/>
          <w:szCs w:val="22"/>
          <w:vertAlign w:val="baseline"/>
        </w:rPr>
        <w:footnoteRef/>
      </w:r>
      <w:r w:rsidRPr="00AD2A1E">
        <w:t xml:space="preserve"> </w:t>
      </w:r>
      <w:r w:rsidRPr="00AD2A1E">
        <w:tab/>
      </w:r>
      <w:r w:rsidRPr="00AD2A1E">
        <w:rPr>
          <w:i/>
          <w:iCs/>
        </w:rPr>
        <w:t xml:space="preserve">WorkCover Queensland v Seltsam Pty Ltd </w:t>
      </w:r>
      <w:r w:rsidRPr="00AD2A1E">
        <w:t xml:space="preserve">(2001) 53 NSWLR 518 at 520-521.  </w:t>
      </w:r>
    </w:p>
  </w:footnote>
  <w:footnote w:id="11">
    <w:p w:rsidR="00A16FF2" w:rsidRDefault="00A16FF2" w:rsidP="008F5902">
      <w:pPr>
        <w:pStyle w:val="FootnoteText"/>
      </w:pPr>
      <w:r w:rsidRPr="00AD2A1E">
        <w:rPr>
          <w:rStyle w:val="FootnoteReference"/>
          <w:sz w:val="22"/>
          <w:szCs w:val="22"/>
          <w:vertAlign w:val="baseline"/>
        </w:rPr>
        <w:footnoteRef/>
      </w:r>
      <w:r w:rsidRPr="00AD2A1E">
        <w:t xml:space="preserve"> </w:t>
      </w:r>
      <w:r w:rsidRPr="00AD2A1E">
        <w:tab/>
      </w:r>
      <w:r w:rsidRPr="00AD2A1E">
        <w:rPr>
          <w:i/>
          <w:iCs/>
        </w:rPr>
        <w:t>WorkCover Queensland v Seltsam Pty Ltd</w:t>
      </w:r>
      <w:r w:rsidRPr="00AD2A1E">
        <w:t xml:space="preserve"> (2001) 53 NSWLR 518 at 524 per Young CJ in Eq, Priestley JA and Ipp AJA agreeing.  </w:t>
      </w:r>
    </w:p>
  </w:footnote>
  <w:footnote w:id="12">
    <w:p w:rsidR="00A16FF2" w:rsidRDefault="00A16FF2" w:rsidP="008F5902">
      <w:pPr>
        <w:pStyle w:val="FootnoteText"/>
      </w:pPr>
      <w:r w:rsidRPr="00AD2A1E">
        <w:rPr>
          <w:rStyle w:val="FootnoteReference"/>
          <w:sz w:val="22"/>
          <w:szCs w:val="22"/>
          <w:vertAlign w:val="baseline"/>
        </w:rPr>
        <w:footnoteRef/>
      </w:r>
      <w:r w:rsidRPr="00AD2A1E">
        <w:t xml:space="preserve"> </w:t>
      </w:r>
      <w:r w:rsidRPr="00AD2A1E">
        <w:tab/>
        <w:t xml:space="preserve">See, eg, </w:t>
      </w:r>
      <w:r w:rsidRPr="00AD2A1E">
        <w:rPr>
          <w:i/>
          <w:iCs/>
        </w:rPr>
        <w:t>Austral Pacific Group Ltd (In Liq) v Airservices Australia</w:t>
      </w:r>
      <w:r w:rsidRPr="00AD2A1E">
        <w:t xml:space="preserve"> (2000) 203 CLR 136; [2000] HCA 39.  </w:t>
      </w:r>
    </w:p>
  </w:footnote>
  <w:footnote w:id="13">
    <w:p w:rsidR="00A16FF2" w:rsidRDefault="00A16FF2" w:rsidP="008F5902">
      <w:pPr>
        <w:pStyle w:val="FootnoteText"/>
      </w:pPr>
      <w:r w:rsidRPr="00AD2A1E">
        <w:rPr>
          <w:rStyle w:val="FootnoteReference"/>
          <w:sz w:val="22"/>
          <w:szCs w:val="22"/>
          <w:vertAlign w:val="baseline"/>
        </w:rPr>
        <w:footnoteRef/>
      </w:r>
      <w:r w:rsidRPr="00AD2A1E">
        <w:t xml:space="preserve"> </w:t>
      </w:r>
      <w:r w:rsidRPr="00AD2A1E">
        <w:tab/>
        <w:t xml:space="preserve">Proceedings brought by WorkCover in its name may not be proceedings for "damages" that would confer the Dust Diseases Tribunal with jurisdiction pursuant to s 11(1) of the </w:t>
      </w:r>
      <w:r w:rsidRPr="00AD2A1E">
        <w:rPr>
          <w:i/>
          <w:iCs/>
        </w:rPr>
        <w:t>Dust Diseases Tribunal Act</w:t>
      </w:r>
      <w:r w:rsidRPr="00AD2A1E">
        <w:t xml:space="preserve"> 1989 (NSW).  See, generally, </w:t>
      </w:r>
      <w:r w:rsidRPr="00AD2A1E">
        <w:rPr>
          <w:i/>
          <w:iCs/>
        </w:rPr>
        <w:t>Goliath Portland Cement Co Ltd v Bengtell</w:t>
      </w:r>
      <w:r w:rsidRPr="00AD2A1E">
        <w:t xml:space="preserve"> (1994) 33 NSWLR 414; </w:t>
      </w:r>
      <w:r w:rsidRPr="00AD2A1E">
        <w:rPr>
          <w:i/>
          <w:iCs/>
        </w:rPr>
        <w:t>BHP Billiton Ltd v Schultz</w:t>
      </w:r>
      <w:r w:rsidRPr="00AD2A1E">
        <w:t xml:space="preserve"> (2004) 221 CLR 400; [2004] HCA 61.</w:t>
      </w:r>
    </w:p>
  </w:footnote>
  <w:footnote w:id="14">
    <w:p w:rsidR="00A16FF2" w:rsidRDefault="00A16FF2" w:rsidP="008F5902">
      <w:pPr>
        <w:pStyle w:val="FootnoteText"/>
      </w:pPr>
      <w:r w:rsidRPr="00AD2A1E">
        <w:rPr>
          <w:rStyle w:val="FootnoteReference"/>
          <w:sz w:val="22"/>
          <w:szCs w:val="22"/>
          <w:vertAlign w:val="baseline"/>
        </w:rPr>
        <w:footnoteRef/>
      </w:r>
      <w:r w:rsidRPr="00AD2A1E">
        <w:t xml:space="preserve"> </w:t>
      </w:r>
      <w:r w:rsidRPr="00AD2A1E">
        <w:tab/>
      </w:r>
      <w:r w:rsidRPr="00AD2A1E">
        <w:rPr>
          <w:i/>
          <w:iCs/>
        </w:rPr>
        <w:t>Smith's Dock Co v John Readhead &amp; Sons</w:t>
      </w:r>
      <w:r w:rsidRPr="00AD2A1E">
        <w:t xml:space="preserve"> [1912] 2 KB 323 at 327; </w:t>
      </w:r>
      <w:r w:rsidRPr="00AD2A1E">
        <w:rPr>
          <w:i/>
          <w:iCs/>
        </w:rPr>
        <w:t>Tooth &amp; Co Ltd v Tillyer</w:t>
      </w:r>
      <w:r w:rsidRPr="00AD2A1E">
        <w:t xml:space="preserve"> (1956) 95 CLR 605 at 610; [1956] HCA 49; </w:t>
      </w:r>
      <w:r w:rsidRPr="00AD2A1E">
        <w:rPr>
          <w:i/>
          <w:iCs/>
        </w:rPr>
        <w:t>Tickle Industries Pty Ltd v Hann</w:t>
      </w:r>
      <w:r w:rsidRPr="00AD2A1E">
        <w:t xml:space="preserve"> (1974) 130 CLR 321 at 333; [1974] HCA 5. </w:t>
      </w:r>
    </w:p>
  </w:footnote>
  <w:footnote w:id="15">
    <w:p w:rsidR="00A16FF2" w:rsidRDefault="00A16FF2" w:rsidP="008F5902">
      <w:pPr>
        <w:pStyle w:val="FootnoteText"/>
      </w:pPr>
      <w:r w:rsidRPr="00AD2A1E">
        <w:rPr>
          <w:rStyle w:val="FootnoteReference"/>
          <w:sz w:val="22"/>
          <w:szCs w:val="22"/>
          <w:vertAlign w:val="baseline"/>
        </w:rPr>
        <w:footnoteRef/>
      </w:r>
      <w:r w:rsidRPr="00AD2A1E">
        <w:t xml:space="preserve"> </w:t>
      </w:r>
      <w:r w:rsidRPr="00AD2A1E">
        <w:tab/>
      </w:r>
      <w:r w:rsidRPr="00AD2A1E">
        <w:rPr>
          <w:i/>
          <w:iCs/>
        </w:rPr>
        <w:t>Tickle Industries Pty Ltd v Hann</w:t>
      </w:r>
      <w:r w:rsidRPr="00AD2A1E">
        <w:t xml:space="preserve"> (1974) 130 CLR 321.  </w:t>
      </w:r>
    </w:p>
  </w:footnote>
  <w:footnote w:id="16">
    <w:p w:rsidR="00A16FF2" w:rsidRDefault="00A16FF2" w:rsidP="008F5902">
      <w:pPr>
        <w:pStyle w:val="FootnoteText"/>
      </w:pPr>
      <w:r w:rsidRPr="00AD2A1E">
        <w:rPr>
          <w:rStyle w:val="FootnoteReference"/>
          <w:sz w:val="22"/>
          <w:szCs w:val="22"/>
          <w:vertAlign w:val="baseline"/>
        </w:rPr>
        <w:footnoteRef/>
      </w:r>
      <w:r w:rsidRPr="00AD2A1E">
        <w:t xml:space="preserve"> </w:t>
      </w:r>
      <w:r w:rsidRPr="00AD2A1E">
        <w:tab/>
        <w:t xml:space="preserve">Cf the construction of "those damages" in s 151Z(1)(d) of the </w:t>
      </w:r>
      <w:r w:rsidRPr="00AD2A1E">
        <w:rPr>
          <w:i/>
          <w:iCs/>
        </w:rPr>
        <w:t>Workers Compensation Act</w:t>
      </w:r>
      <w:r w:rsidRPr="00AD2A1E">
        <w:t xml:space="preserve"> 1987 (NSW):  </w:t>
      </w:r>
      <w:r w:rsidRPr="00AD2A1E">
        <w:rPr>
          <w:i/>
          <w:iCs/>
        </w:rPr>
        <w:t xml:space="preserve">Grant v Royal Rehabilitation Centre Sydney </w:t>
      </w:r>
      <w:r w:rsidRPr="00AD2A1E">
        <w:t xml:space="preserve">(1999) 47 NSWLR 263 at 265.  </w:t>
      </w:r>
    </w:p>
  </w:footnote>
  <w:footnote w:id="17">
    <w:p w:rsidR="00A16FF2" w:rsidRDefault="00A16FF2" w:rsidP="008F5902">
      <w:pPr>
        <w:pStyle w:val="FootnoteText"/>
      </w:pPr>
      <w:r w:rsidRPr="00AD2A1E">
        <w:rPr>
          <w:rStyle w:val="FootnoteReference"/>
          <w:sz w:val="22"/>
          <w:szCs w:val="22"/>
          <w:vertAlign w:val="baseline"/>
        </w:rPr>
        <w:footnoteRef/>
      </w:r>
      <w:r w:rsidRPr="00AD2A1E">
        <w:t xml:space="preserve"> </w:t>
      </w:r>
      <w:r w:rsidRPr="00AD2A1E">
        <w:tab/>
        <w:t xml:space="preserve">[2009] 2 Qd R 181 at 185, 193.  </w:t>
      </w:r>
    </w:p>
  </w:footnote>
  <w:footnote w:id="18">
    <w:p w:rsidR="00A16FF2" w:rsidRDefault="00A16FF2" w:rsidP="008F5902">
      <w:pPr>
        <w:pStyle w:val="FootnoteText"/>
      </w:pPr>
      <w:r w:rsidRPr="00AD2A1E">
        <w:rPr>
          <w:rStyle w:val="FootnoteReference"/>
          <w:sz w:val="22"/>
          <w:szCs w:val="22"/>
          <w:vertAlign w:val="baseline"/>
        </w:rPr>
        <w:footnoteRef/>
      </w:r>
      <w:r w:rsidRPr="00AD2A1E">
        <w:t xml:space="preserve"> </w:t>
      </w:r>
      <w:r w:rsidRPr="00AD2A1E">
        <w:tab/>
        <w:t xml:space="preserve">[2009] 2 Qd R 181 at 194, 196, 200. </w:t>
      </w:r>
    </w:p>
  </w:footnote>
  <w:footnote w:id="19">
    <w:p w:rsidR="00A16FF2" w:rsidRDefault="00A16FF2" w:rsidP="008F5902">
      <w:pPr>
        <w:pStyle w:val="FootnoteText"/>
      </w:pPr>
      <w:r w:rsidRPr="00AD2A1E">
        <w:rPr>
          <w:rStyle w:val="FootnoteReference"/>
          <w:sz w:val="22"/>
          <w:szCs w:val="22"/>
          <w:vertAlign w:val="baseline"/>
        </w:rPr>
        <w:footnoteRef/>
      </w:r>
      <w:r w:rsidRPr="00AD2A1E">
        <w:t xml:space="preserve"> </w:t>
      </w:r>
      <w:r w:rsidRPr="00AD2A1E">
        <w:tab/>
      </w:r>
      <w:r w:rsidRPr="00AD2A1E">
        <w:rPr>
          <w:i/>
          <w:iCs/>
        </w:rPr>
        <w:t>Esso Australia Ltd v Victorian WorkCover Authority</w:t>
      </w:r>
      <w:r w:rsidRPr="00AD2A1E">
        <w:t xml:space="preserve"> (2000) 1 VR 246 at 257.  </w:t>
      </w:r>
    </w:p>
  </w:footnote>
  <w:footnote w:id="20">
    <w:p w:rsidR="00A16FF2" w:rsidRDefault="00A16FF2" w:rsidP="008F5902">
      <w:pPr>
        <w:pStyle w:val="FootnoteText"/>
      </w:pPr>
      <w:r w:rsidRPr="00AD2A1E">
        <w:rPr>
          <w:rStyle w:val="FootnoteReference"/>
          <w:sz w:val="22"/>
          <w:szCs w:val="22"/>
          <w:vertAlign w:val="baseline"/>
        </w:rPr>
        <w:footnoteRef/>
      </w:r>
      <w:r w:rsidRPr="00AD2A1E">
        <w:t xml:space="preserve"> </w:t>
      </w:r>
      <w:r w:rsidRPr="00AD2A1E">
        <w:tab/>
        <w:t xml:space="preserve">(2001) 207 CLR 520 at 527-528 [14]; [2001] HCA 53.  </w:t>
      </w:r>
    </w:p>
  </w:footnote>
  <w:footnote w:id="21">
    <w:p w:rsidR="00A16FF2" w:rsidRDefault="00A16FF2" w:rsidP="008F5902">
      <w:pPr>
        <w:pStyle w:val="FootnoteText"/>
      </w:pPr>
      <w:r w:rsidRPr="00AD2A1E">
        <w:rPr>
          <w:rStyle w:val="FootnoteReference"/>
          <w:sz w:val="22"/>
          <w:szCs w:val="22"/>
          <w:vertAlign w:val="baseline"/>
        </w:rPr>
        <w:footnoteRef/>
      </w:r>
      <w:r w:rsidRPr="00AD2A1E">
        <w:t xml:space="preserve"> </w:t>
      </w:r>
      <w:r w:rsidRPr="00AD2A1E">
        <w:tab/>
      </w:r>
      <w:r w:rsidRPr="00AD2A1E">
        <w:rPr>
          <w:i/>
          <w:iCs/>
        </w:rPr>
        <w:t xml:space="preserve">Esso Australia Ltd v Victorian WorkCover Authority </w:t>
      </w:r>
      <w:r w:rsidRPr="00AD2A1E">
        <w:t xml:space="preserve">(2000) 1 VR 246 at 252, approved in </w:t>
      </w:r>
      <w:r w:rsidRPr="00AD2A1E">
        <w:rPr>
          <w:i/>
          <w:iCs/>
        </w:rPr>
        <w:t>Victorian WorkCover Authority v Esso Australia Ltd</w:t>
      </w:r>
      <w:r w:rsidRPr="00AD2A1E">
        <w:t xml:space="preserve"> (2001) 207 CLR 520 at 530 [20].  </w:t>
      </w:r>
    </w:p>
  </w:footnote>
  <w:footnote w:id="22">
    <w:p w:rsidR="00A16FF2" w:rsidRDefault="00A16FF2" w:rsidP="008F5902">
      <w:pPr>
        <w:pStyle w:val="FootnoteText"/>
      </w:pPr>
      <w:r w:rsidRPr="00AD2A1E">
        <w:rPr>
          <w:rStyle w:val="FootnoteReference"/>
          <w:sz w:val="22"/>
          <w:szCs w:val="22"/>
          <w:vertAlign w:val="baseline"/>
        </w:rPr>
        <w:footnoteRef/>
      </w:r>
      <w:r w:rsidRPr="00AD2A1E">
        <w:t xml:space="preserve"> </w:t>
      </w:r>
      <w:r w:rsidRPr="00AD2A1E">
        <w:tab/>
        <w:t>(2001) 207 CLR 520 at 527</w:t>
      </w:r>
      <w:r w:rsidRPr="00AD2A1E">
        <w:noBreakHyphen/>
        <w:t>528 [13]</w:t>
      </w:r>
      <w:r w:rsidRPr="00AD2A1E">
        <w:noBreakHyphen/>
        <w:t>[15].</w:t>
      </w:r>
    </w:p>
  </w:footnote>
  <w:footnote w:id="23">
    <w:p w:rsidR="00A16FF2" w:rsidRDefault="00A16FF2" w:rsidP="008F5902">
      <w:pPr>
        <w:pStyle w:val="FootnoteText"/>
      </w:pPr>
      <w:r w:rsidRPr="00AD2A1E">
        <w:rPr>
          <w:rStyle w:val="FootnoteReference"/>
          <w:sz w:val="22"/>
          <w:szCs w:val="22"/>
          <w:vertAlign w:val="baseline"/>
        </w:rPr>
        <w:footnoteRef/>
      </w:r>
      <w:r w:rsidRPr="00AD2A1E">
        <w:t xml:space="preserve"> </w:t>
      </w:r>
      <w:r w:rsidRPr="00AD2A1E">
        <w:tab/>
        <w:t xml:space="preserve">(1974) 130 CLR 321.  </w:t>
      </w:r>
    </w:p>
  </w:footnote>
  <w:footnote w:id="24">
    <w:p w:rsidR="00A16FF2" w:rsidRDefault="00A16FF2" w:rsidP="008F5902">
      <w:pPr>
        <w:pStyle w:val="FootnoteText"/>
      </w:pPr>
      <w:r w:rsidRPr="00AD2A1E">
        <w:rPr>
          <w:rStyle w:val="FootnoteReference"/>
          <w:sz w:val="22"/>
          <w:szCs w:val="22"/>
          <w:vertAlign w:val="baseline"/>
        </w:rPr>
        <w:footnoteRef/>
      </w:r>
      <w:r w:rsidRPr="00AD2A1E">
        <w:t xml:space="preserve"> </w:t>
      </w:r>
      <w:r w:rsidRPr="00AD2A1E">
        <w:tab/>
        <w:t xml:space="preserve">(1974) 130 CLR 321 at 331.  </w:t>
      </w:r>
    </w:p>
  </w:footnote>
  <w:footnote w:id="25">
    <w:p w:rsidR="00A16FF2" w:rsidRDefault="00A16FF2" w:rsidP="008F5902">
      <w:pPr>
        <w:pStyle w:val="FootnoteText"/>
      </w:pPr>
      <w:r w:rsidRPr="00AD2A1E">
        <w:rPr>
          <w:rStyle w:val="FootnoteReference"/>
          <w:sz w:val="22"/>
          <w:szCs w:val="22"/>
          <w:vertAlign w:val="baseline"/>
        </w:rPr>
        <w:footnoteRef/>
      </w:r>
      <w:r w:rsidRPr="00AD2A1E">
        <w:t xml:space="preserve"> </w:t>
      </w:r>
      <w:r w:rsidRPr="00AD2A1E">
        <w:tab/>
        <w:t xml:space="preserve">(1974) 130 CLR 321 at 326-327. </w:t>
      </w:r>
    </w:p>
  </w:footnote>
  <w:footnote w:id="26">
    <w:p w:rsidR="00A16FF2" w:rsidRDefault="00A16FF2" w:rsidP="008F5902">
      <w:pPr>
        <w:pStyle w:val="FootnoteText"/>
      </w:pPr>
      <w:r w:rsidRPr="00AD2A1E">
        <w:rPr>
          <w:rStyle w:val="FootnoteReference"/>
          <w:sz w:val="22"/>
          <w:szCs w:val="22"/>
          <w:vertAlign w:val="baseline"/>
        </w:rPr>
        <w:footnoteRef/>
      </w:r>
      <w:r w:rsidRPr="00AD2A1E">
        <w:t xml:space="preserve"> </w:t>
      </w:r>
      <w:r w:rsidRPr="00AD2A1E">
        <w:tab/>
        <w:t xml:space="preserve">(1974) 130 CLR 321 at 333.  See also </w:t>
      </w:r>
      <w:r w:rsidRPr="00AD2A1E">
        <w:rPr>
          <w:i/>
          <w:iCs/>
        </w:rPr>
        <w:t>Smith's Dock Co v John Readhead &amp; Sons</w:t>
      </w:r>
      <w:r w:rsidRPr="00AD2A1E">
        <w:t xml:space="preserve"> [1912] 2 KB 323.  </w:t>
      </w:r>
    </w:p>
  </w:footnote>
  <w:footnote w:id="27">
    <w:p w:rsidR="00A16FF2" w:rsidRDefault="00A16FF2" w:rsidP="008F5902">
      <w:pPr>
        <w:pStyle w:val="FootnoteText"/>
      </w:pPr>
      <w:r w:rsidRPr="00AD2A1E">
        <w:rPr>
          <w:rStyle w:val="FootnoteReference"/>
          <w:sz w:val="22"/>
          <w:szCs w:val="22"/>
          <w:vertAlign w:val="baseline"/>
        </w:rPr>
        <w:footnoteRef/>
      </w:r>
      <w:r w:rsidRPr="00AD2A1E">
        <w:t xml:space="preserve"> </w:t>
      </w:r>
      <w:r w:rsidRPr="00AD2A1E">
        <w:tab/>
        <w:t xml:space="preserve">(1974) 130 CLR 321 at 333.  </w:t>
      </w:r>
    </w:p>
  </w:footnote>
  <w:footnote w:id="28">
    <w:p w:rsidR="00A16FF2" w:rsidRDefault="00A16FF2" w:rsidP="008F5902">
      <w:pPr>
        <w:pStyle w:val="FootnoteText"/>
      </w:pPr>
      <w:r w:rsidRPr="00AD2A1E">
        <w:rPr>
          <w:rStyle w:val="FootnoteReference"/>
          <w:sz w:val="22"/>
          <w:szCs w:val="22"/>
          <w:vertAlign w:val="baseline"/>
        </w:rPr>
        <w:footnoteRef/>
      </w:r>
      <w:r w:rsidRPr="00AD2A1E">
        <w:t xml:space="preserve"> </w:t>
      </w:r>
      <w:r w:rsidRPr="00AD2A1E">
        <w:tab/>
        <w:t>(1997) 191 CLR 471 at 534–535; [1997] HCA 29.</w:t>
      </w:r>
    </w:p>
  </w:footnote>
  <w:footnote w:id="29">
    <w:p w:rsidR="00A16FF2" w:rsidRDefault="00A16FF2" w:rsidP="008F5902">
      <w:pPr>
        <w:pStyle w:val="FootnoteText"/>
      </w:pPr>
      <w:r w:rsidRPr="00AD2A1E">
        <w:rPr>
          <w:rStyle w:val="FootnoteReference"/>
          <w:sz w:val="22"/>
          <w:szCs w:val="22"/>
          <w:vertAlign w:val="baseline"/>
        </w:rPr>
        <w:footnoteRef/>
      </w:r>
      <w:r w:rsidRPr="00AD2A1E">
        <w:t xml:space="preserve"> </w:t>
      </w:r>
      <w:r w:rsidRPr="00AD2A1E">
        <w:tab/>
      </w:r>
      <w:r w:rsidRPr="00AD2A1E">
        <w:rPr>
          <w:i/>
          <w:iCs/>
        </w:rPr>
        <w:t>The Commonwealth v Verwayen</w:t>
      </w:r>
      <w:r w:rsidRPr="00AD2A1E">
        <w:t xml:space="preserve"> (1990) 170 CLR 394 at 473</w:t>
      </w:r>
      <w:r w:rsidRPr="00AD2A1E">
        <w:noBreakHyphen/>
        <w:t>474; [1990] HCA 39.</w:t>
      </w:r>
    </w:p>
  </w:footnote>
  <w:footnote w:id="30">
    <w:p w:rsidR="00A16FF2" w:rsidRDefault="00A16FF2" w:rsidP="008F5902">
      <w:pPr>
        <w:pStyle w:val="FootnoteText"/>
      </w:pPr>
      <w:r w:rsidRPr="00AD2A1E">
        <w:rPr>
          <w:rStyle w:val="FootnoteReference"/>
          <w:sz w:val="22"/>
          <w:szCs w:val="22"/>
          <w:vertAlign w:val="baseline"/>
        </w:rPr>
        <w:footnoteRef/>
      </w:r>
      <w:r w:rsidRPr="00AD2A1E">
        <w:t xml:space="preserve"> </w:t>
      </w:r>
      <w:r w:rsidRPr="00AD2A1E">
        <w:tab/>
      </w:r>
      <w:r w:rsidRPr="00AD2A1E">
        <w:rPr>
          <w:i/>
          <w:iCs/>
        </w:rPr>
        <w:t>Australian Iron &amp; Steel Ltd v Hoogland</w:t>
      </w:r>
      <w:r w:rsidRPr="00AD2A1E">
        <w:t xml:space="preserve"> (1962) 108 CLR 471 at 488</w:t>
      </w:r>
      <w:r w:rsidRPr="00AD2A1E">
        <w:noBreakHyphen/>
        <w:t>489; [1962] HCA</w:t>
      </w:r>
      <w:r>
        <w:t> </w:t>
      </w:r>
      <w:r w:rsidRPr="00AD2A1E">
        <w:t xml:space="preserve">13; </w:t>
      </w:r>
      <w:r w:rsidRPr="00AD2A1E">
        <w:rPr>
          <w:i/>
          <w:iCs/>
        </w:rPr>
        <w:t>Pedersen v Young</w:t>
      </w:r>
      <w:r w:rsidRPr="00AD2A1E">
        <w:t xml:space="preserve"> (1964) 110 CLR 162 at 169; [1964] HCA 28; </w:t>
      </w:r>
      <w:r w:rsidRPr="00AD2A1E">
        <w:rPr>
          <w:i/>
          <w:iCs/>
        </w:rPr>
        <w:t>The Commonwealth v Verwayen</w:t>
      </w:r>
      <w:r w:rsidRPr="00AD2A1E">
        <w:t xml:space="preserve"> (1990) 170 CLR 394 at 497-498; </w:t>
      </w:r>
      <w:r w:rsidRPr="00AD2A1E">
        <w:rPr>
          <w:i/>
          <w:iCs/>
        </w:rPr>
        <w:t>McKain v R W Miller &amp; Co (SA) Pty Ltd</w:t>
      </w:r>
      <w:r w:rsidRPr="00AD2A1E">
        <w:t xml:space="preserve"> (1991) 174 CLR 1 at 43; [1991] HCA 56. </w:t>
      </w:r>
    </w:p>
  </w:footnote>
  <w:footnote w:id="31">
    <w:p w:rsidR="00A16FF2" w:rsidRDefault="00A16FF2" w:rsidP="008F5902">
      <w:pPr>
        <w:pStyle w:val="FootnoteText"/>
      </w:pPr>
      <w:r w:rsidRPr="00AD2A1E">
        <w:rPr>
          <w:rStyle w:val="FootnoteReference"/>
          <w:sz w:val="22"/>
          <w:szCs w:val="22"/>
          <w:vertAlign w:val="baseline"/>
        </w:rPr>
        <w:footnoteRef/>
      </w:r>
      <w:r w:rsidRPr="00AD2A1E">
        <w:t xml:space="preserve"> </w:t>
      </w:r>
      <w:r w:rsidRPr="00AD2A1E">
        <w:tab/>
        <w:t xml:space="preserve">See </w:t>
      </w:r>
      <w:r w:rsidRPr="00AD2A1E">
        <w:rPr>
          <w:i/>
          <w:iCs/>
        </w:rPr>
        <w:t>Queensland v Stephenson</w:t>
      </w:r>
      <w:r w:rsidRPr="00AD2A1E">
        <w:t xml:space="preserve"> (2006) 226 CLR 197; [2006] HCA 20. </w:t>
      </w:r>
    </w:p>
  </w:footnote>
  <w:footnote w:id="32">
    <w:p w:rsidR="00A16FF2" w:rsidRDefault="00A16FF2" w:rsidP="008F5902">
      <w:pPr>
        <w:pStyle w:val="FootnoteText"/>
      </w:pPr>
      <w:r w:rsidRPr="00AD2A1E">
        <w:rPr>
          <w:rStyle w:val="FootnoteReference"/>
          <w:sz w:val="22"/>
          <w:szCs w:val="22"/>
          <w:vertAlign w:val="baseline"/>
        </w:rPr>
        <w:footnoteRef/>
      </w:r>
      <w:r w:rsidRPr="00AD2A1E">
        <w:t xml:space="preserve"> </w:t>
      </w:r>
      <w:r w:rsidRPr="00AD2A1E">
        <w:tab/>
        <w:t>[2009] 2 Qd R 181 at 191</w:t>
      </w:r>
      <w:r w:rsidRPr="00AD2A1E">
        <w:noBreakHyphen/>
        <w:t>192.</w:t>
      </w:r>
    </w:p>
  </w:footnote>
  <w:footnote w:id="33">
    <w:p w:rsidR="00A16FF2" w:rsidRDefault="00A16FF2" w:rsidP="008F5902">
      <w:pPr>
        <w:pStyle w:val="FootnoteText"/>
      </w:pPr>
      <w:r w:rsidRPr="00AD2A1E">
        <w:rPr>
          <w:rStyle w:val="FootnoteReference"/>
          <w:sz w:val="22"/>
          <w:szCs w:val="22"/>
          <w:vertAlign w:val="baseline"/>
        </w:rPr>
        <w:footnoteRef/>
      </w:r>
      <w:r w:rsidRPr="00AD2A1E">
        <w:t xml:space="preserve"> </w:t>
      </w:r>
      <w:r w:rsidRPr="00AD2A1E">
        <w:tab/>
        <w:t>(1977) 136 CLR 418; [1977] HCA 25.</w:t>
      </w:r>
    </w:p>
  </w:footnote>
  <w:footnote w:id="34">
    <w:p w:rsidR="00A16FF2" w:rsidRDefault="00A16FF2" w:rsidP="008F5902">
      <w:pPr>
        <w:pStyle w:val="FootnoteText"/>
      </w:pPr>
      <w:r w:rsidRPr="00AD2A1E">
        <w:rPr>
          <w:rStyle w:val="FootnoteReference"/>
          <w:sz w:val="22"/>
          <w:szCs w:val="22"/>
          <w:vertAlign w:val="baseline"/>
        </w:rPr>
        <w:footnoteRef/>
      </w:r>
      <w:r w:rsidRPr="00AD2A1E">
        <w:t xml:space="preserve"> </w:t>
      </w:r>
      <w:r w:rsidRPr="00AD2A1E">
        <w:tab/>
        <w:t xml:space="preserve">See </w:t>
      </w:r>
      <w:r w:rsidRPr="00AD2A1E">
        <w:rPr>
          <w:i/>
          <w:iCs/>
        </w:rPr>
        <w:t>Fitch v Hyde-Cates</w:t>
      </w:r>
      <w:r w:rsidRPr="00AD2A1E">
        <w:t xml:space="preserve"> (1982) 150 CLR 482 at 487; [1982] HCA 11.  </w:t>
      </w:r>
    </w:p>
  </w:footnote>
  <w:footnote w:id="35">
    <w:p w:rsidR="00A16FF2" w:rsidRDefault="00A16FF2" w:rsidP="008F5902">
      <w:pPr>
        <w:pStyle w:val="FootnoteText"/>
      </w:pPr>
      <w:r w:rsidRPr="00AD2A1E">
        <w:rPr>
          <w:rStyle w:val="FootnoteReference"/>
          <w:sz w:val="22"/>
          <w:szCs w:val="22"/>
          <w:vertAlign w:val="baseline"/>
        </w:rPr>
        <w:footnoteRef/>
      </w:r>
      <w:r w:rsidRPr="00AD2A1E">
        <w:t xml:space="preserve"> </w:t>
      </w:r>
      <w:r w:rsidRPr="00AD2A1E">
        <w:tab/>
      </w:r>
      <w:r w:rsidRPr="00AD2A1E">
        <w:rPr>
          <w:i/>
          <w:iCs/>
        </w:rPr>
        <w:t>Baker v Bolton</w:t>
      </w:r>
      <w:r w:rsidRPr="00AD2A1E">
        <w:t xml:space="preserve"> (1808) 1 Camp 493 [170 ER 1033].  </w:t>
      </w:r>
    </w:p>
  </w:footnote>
  <w:footnote w:id="36">
    <w:p w:rsidR="00A16FF2" w:rsidRDefault="00A16FF2" w:rsidP="008F5902">
      <w:pPr>
        <w:pStyle w:val="FootnoteText"/>
      </w:pPr>
      <w:r w:rsidRPr="00AD2A1E">
        <w:rPr>
          <w:rStyle w:val="FootnoteReference"/>
          <w:sz w:val="22"/>
          <w:szCs w:val="22"/>
          <w:vertAlign w:val="baseline"/>
        </w:rPr>
        <w:footnoteRef/>
      </w:r>
      <w:r w:rsidRPr="00AD2A1E">
        <w:t xml:space="preserve"> </w:t>
      </w:r>
      <w:r w:rsidRPr="00AD2A1E">
        <w:tab/>
        <w:t xml:space="preserve">Currently to be found, in Queensland, in the </w:t>
      </w:r>
      <w:r w:rsidRPr="00AD2A1E">
        <w:rPr>
          <w:i/>
          <w:iCs/>
        </w:rPr>
        <w:t>Supreme Court Act</w:t>
      </w:r>
      <w:r w:rsidRPr="00AD2A1E">
        <w:t xml:space="preserve"> 1995 (Q), Pt 4, Div 5 (ss 17-23D).  </w:t>
      </w:r>
    </w:p>
  </w:footnote>
  <w:footnote w:id="37">
    <w:p w:rsidR="00A16FF2" w:rsidRDefault="00A16FF2" w:rsidP="008F5902">
      <w:pPr>
        <w:pStyle w:val="FootnoteText"/>
      </w:pPr>
      <w:r w:rsidRPr="00AD2A1E">
        <w:rPr>
          <w:rStyle w:val="FootnoteReference"/>
          <w:sz w:val="22"/>
          <w:szCs w:val="22"/>
          <w:vertAlign w:val="baseline"/>
        </w:rPr>
        <w:footnoteRef/>
      </w:r>
      <w:r w:rsidRPr="00AD2A1E">
        <w:t xml:space="preserve"> </w:t>
      </w:r>
      <w:r w:rsidRPr="00AD2A1E">
        <w:tab/>
        <w:t>[1937] AC 826 at 833.</w:t>
      </w:r>
    </w:p>
  </w:footnote>
  <w:footnote w:id="38">
    <w:p w:rsidR="00A16FF2" w:rsidRDefault="00A16FF2" w:rsidP="008F5902">
      <w:pPr>
        <w:pStyle w:val="FootnoteText"/>
      </w:pPr>
      <w:r w:rsidRPr="00AD2A1E">
        <w:rPr>
          <w:rStyle w:val="FootnoteReference"/>
          <w:sz w:val="22"/>
          <w:szCs w:val="22"/>
          <w:vertAlign w:val="baseline"/>
        </w:rPr>
        <w:footnoteRef/>
      </w:r>
      <w:r w:rsidRPr="00AD2A1E">
        <w:t xml:space="preserve"> </w:t>
      </w:r>
      <w:r w:rsidRPr="00AD2A1E">
        <w:tab/>
      </w:r>
      <w:r w:rsidRPr="00AD2A1E">
        <w:rPr>
          <w:i/>
          <w:iCs/>
        </w:rPr>
        <w:t>Admiralty Commissioners v SS Amerika</w:t>
      </w:r>
      <w:r w:rsidRPr="00AD2A1E">
        <w:t xml:space="preserve"> [1917] AC 38 at 43-50 per Lord Parker of Waddington; Holdsworth, "The Origin of the Rule in </w:t>
      </w:r>
      <w:r w:rsidRPr="00AD2A1E">
        <w:rPr>
          <w:i/>
          <w:iCs/>
        </w:rPr>
        <w:t>Baker v Bolton</w:t>
      </w:r>
      <w:r w:rsidRPr="00AD2A1E">
        <w:t>", (1916) 32 </w:t>
      </w:r>
      <w:r w:rsidRPr="00AD2A1E">
        <w:rPr>
          <w:i/>
          <w:iCs/>
        </w:rPr>
        <w:t>Law Quarterly Review</w:t>
      </w:r>
      <w:r w:rsidRPr="00AD2A1E">
        <w:t xml:space="preserve"> 431.  </w:t>
      </w:r>
    </w:p>
  </w:footnote>
  <w:footnote w:id="39">
    <w:p w:rsidR="00A16FF2" w:rsidRDefault="00A16FF2" w:rsidP="008F5902">
      <w:pPr>
        <w:pStyle w:val="FootnoteText"/>
      </w:pPr>
      <w:r w:rsidRPr="00AD2A1E">
        <w:rPr>
          <w:rStyle w:val="FootnoteReference"/>
          <w:sz w:val="22"/>
          <w:szCs w:val="22"/>
          <w:vertAlign w:val="baseline"/>
        </w:rPr>
        <w:footnoteRef/>
      </w:r>
      <w:r w:rsidRPr="00AD2A1E">
        <w:t xml:space="preserve"> </w:t>
      </w:r>
      <w:r w:rsidRPr="00AD2A1E">
        <w:tab/>
      </w:r>
      <w:r w:rsidRPr="00AD2A1E">
        <w:rPr>
          <w:i/>
          <w:iCs/>
        </w:rPr>
        <w:t>Russel v Prat</w:t>
      </w:r>
      <w:r w:rsidRPr="00AD2A1E">
        <w:t xml:space="preserve"> (1590) 4 Leo 44 [74 ER 718]; </w:t>
      </w:r>
      <w:r w:rsidRPr="00AD2A1E">
        <w:rPr>
          <w:i/>
          <w:iCs/>
        </w:rPr>
        <w:t>Pinchon's Case</w:t>
      </w:r>
      <w:r w:rsidRPr="00AD2A1E">
        <w:t xml:space="preserve"> (1611) 9 Co Rep 86 [77 ER 859]. </w:t>
      </w:r>
    </w:p>
  </w:footnote>
  <w:footnote w:id="40">
    <w:p w:rsidR="00A16FF2" w:rsidRDefault="00A16FF2" w:rsidP="008F5902">
      <w:pPr>
        <w:pStyle w:val="FootnoteText"/>
      </w:pPr>
      <w:r w:rsidRPr="00AD2A1E">
        <w:rPr>
          <w:rStyle w:val="FootnoteReference"/>
          <w:sz w:val="22"/>
          <w:szCs w:val="22"/>
          <w:vertAlign w:val="baseline"/>
        </w:rPr>
        <w:footnoteRef/>
      </w:r>
      <w:r w:rsidRPr="00AD2A1E">
        <w:t xml:space="preserve"> </w:t>
      </w:r>
      <w:r w:rsidRPr="00AD2A1E">
        <w:tab/>
        <w:t>(1888) 20 QBD 494 at 502</w:t>
      </w:r>
      <w:r w:rsidRPr="00AD2A1E">
        <w:noBreakHyphen/>
        <w:t>504.</w:t>
      </w:r>
    </w:p>
  </w:footnote>
  <w:footnote w:id="41">
    <w:p w:rsidR="00A16FF2" w:rsidRDefault="00A16FF2" w:rsidP="008F5902">
      <w:pPr>
        <w:pStyle w:val="FootnoteText"/>
      </w:pPr>
      <w:r w:rsidRPr="00AD2A1E">
        <w:rPr>
          <w:rStyle w:val="FootnoteReference"/>
          <w:sz w:val="22"/>
          <w:szCs w:val="22"/>
          <w:vertAlign w:val="baseline"/>
        </w:rPr>
        <w:footnoteRef/>
      </w:r>
      <w:r w:rsidRPr="00AD2A1E">
        <w:t xml:space="preserve"> </w:t>
      </w:r>
      <w:r w:rsidRPr="00AD2A1E">
        <w:tab/>
        <w:t xml:space="preserve">Ames, </w:t>
      </w:r>
      <w:r w:rsidRPr="00AD2A1E">
        <w:rPr>
          <w:i/>
          <w:iCs/>
        </w:rPr>
        <w:t>Lectures on Legal History</w:t>
      </w:r>
      <w:r w:rsidRPr="00A03A91">
        <w:t xml:space="preserve">, </w:t>
      </w:r>
      <w:r w:rsidRPr="00AD2A1E">
        <w:t>(1913) at 211</w:t>
      </w:r>
      <w:r w:rsidRPr="00AD2A1E">
        <w:noBreakHyphen/>
        <w:t xml:space="preserve">212.  </w:t>
      </w:r>
    </w:p>
  </w:footnote>
  <w:footnote w:id="42">
    <w:p w:rsidR="00A16FF2" w:rsidRDefault="00A16FF2" w:rsidP="008F5902">
      <w:pPr>
        <w:pStyle w:val="FootnoteText"/>
      </w:pPr>
      <w:r w:rsidRPr="00AD2A1E">
        <w:rPr>
          <w:rStyle w:val="FootnoteReference"/>
          <w:sz w:val="22"/>
          <w:szCs w:val="22"/>
          <w:vertAlign w:val="baseline"/>
        </w:rPr>
        <w:footnoteRef/>
      </w:r>
      <w:r w:rsidRPr="00AD2A1E">
        <w:t xml:space="preserve"> </w:t>
      </w:r>
      <w:r w:rsidRPr="00AD2A1E">
        <w:tab/>
      </w:r>
      <w:r w:rsidRPr="00AD2A1E">
        <w:rPr>
          <w:i/>
          <w:iCs/>
        </w:rPr>
        <w:t xml:space="preserve">Phillips v Homfray </w:t>
      </w:r>
      <w:r w:rsidRPr="00AD2A1E">
        <w:t>(1883) 24 Ch D 439 at 456</w:t>
      </w:r>
      <w:r w:rsidRPr="00AD2A1E">
        <w:noBreakHyphen/>
        <w:t xml:space="preserve">457; </w:t>
      </w:r>
      <w:r w:rsidRPr="00AD2A1E">
        <w:rPr>
          <w:i/>
          <w:iCs/>
        </w:rPr>
        <w:t xml:space="preserve">Woolworths Ltd v Crotty </w:t>
      </w:r>
      <w:r w:rsidRPr="00AD2A1E">
        <w:t>(1942) 66 CLR 603 at 612</w:t>
      </w:r>
      <w:r w:rsidRPr="00AD2A1E">
        <w:noBreakHyphen/>
        <w:t>615; [1942] HCA 35; Malone, "The Genesis of Wrongful Death"</w:t>
      </w:r>
      <w:r>
        <w:t>,</w:t>
      </w:r>
      <w:r w:rsidRPr="00AD2A1E">
        <w:t xml:space="preserve"> (1965) 17 </w:t>
      </w:r>
      <w:r w:rsidRPr="00AD2A1E">
        <w:rPr>
          <w:i/>
          <w:iCs/>
        </w:rPr>
        <w:t>Stanford Law Review</w:t>
      </w:r>
      <w:r w:rsidRPr="00AD2A1E">
        <w:t xml:space="preserve"> 1043 at 1045</w:t>
      </w:r>
      <w:r w:rsidRPr="00AD2A1E">
        <w:noBreakHyphen/>
        <w:t>1047.</w:t>
      </w:r>
    </w:p>
  </w:footnote>
  <w:footnote w:id="43">
    <w:p w:rsidR="00A16FF2" w:rsidRDefault="00A16FF2" w:rsidP="008F5902">
      <w:pPr>
        <w:pStyle w:val="FootnoteText"/>
      </w:pPr>
      <w:r w:rsidRPr="00AD2A1E">
        <w:rPr>
          <w:rStyle w:val="FootnoteReference"/>
          <w:sz w:val="22"/>
          <w:szCs w:val="22"/>
          <w:vertAlign w:val="baseline"/>
        </w:rPr>
        <w:footnoteRef/>
      </w:r>
      <w:r w:rsidRPr="00AD2A1E">
        <w:t xml:space="preserve"> </w:t>
      </w:r>
      <w:r w:rsidRPr="00AD2A1E">
        <w:tab/>
      </w:r>
      <w:r w:rsidRPr="00AD2A1E">
        <w:rPr>
          <w:i/>
          <w:iCs/>
        </w:rPr>
        <w:t>Rose v Ford</w:t>
      </w:r>
      <w:r w:rsidRPr="00AD2A1E">
        <w:t xml:space="preserve"> [1937] AC 826 at 834 per Lord Atkin, 839-840 per Lord Russell of Killowen, 845 per Lord Wright, 855-856 per Lord Roche; </w:t>
      </w:r>
      <w:r w:rsidRPr="00AD2A1E">
        <w:rPr>
          <w:i/>
          <w:iCs/>
        </w:rPr>
        <w:t>Fitch v Hyde-Cates</w:t>
      </w:r>
      <w:r w:rsidRPr="00AD2A1E">
        <w:t xml:space="preserve"> (1982) 150 CLR 482 at 497 per Mason J.    </w:t>
      </w:r>
    </w:p>
  </w:footnote>
  <w:footnote w:id="44">
    <w:p w:rsidR="00A16FF2" w:rsidRDefault="00A16FF2" w:rsidP="008F5902">
      <w:pPr>
        <w:pStyle w:val="FootnoteText"/>
      </w:pPr>
      <w:r w:rsidRPr="00AD2A1E">
        <w:rPr>
          <w:rStyle w:val="FootnoteReference"/>
          <w:sz w:val="22"/>
          <w:szCs w:val="22"/>
          <w:vertAlign w:val="baseline"/>
        </w:rPr>
        <w:footnoteRef/>
      </w:r>
      <w:r w:rsidRPr="00AD2A1E">
        <w:t xml:space="preserve"> </w:t>
      </w:r>
      <w:r w:rsidRPr="00AD2A1E">
        <w:tab/>
        <w:t xml:space="preserve">24 &amp; 25 Geo V c 41, s 1.  </w:t>
      </w:r>
    </w:p>
  </w:footnote>
  <w:footnote w:id="45">
    <w:p w:rsidR="00A16FF2" w:rsidRDefault="00A16FF2" w:rsidP="008F5902">
      <w:pPr>
        <w:pStyle w:val="FootnoteText"/>
      </w:pPr>
      <w:r w:rsidRPr="00AD2A1E">
        <w:rPr>
          <w:rStyle w:val="FootnoteReference"/>
          <w:sz w:val="22"/>
          <w:szCs w:val="22"/>
          <w:vertAlign w:val="baseline"/>
        </w:rPr>
        <w:footnoteRef/>
      </w:r>
      <w:r w:rsidRPr="00AD2A1E">
        <w:t xml:space="preserve"> </w:t>
      </w:r>
      <w:r w:rsidRPr="00AD2A1E">
        <w:tab/>
        <w:t xml:space="preserve">See </w:t>
      </w:r>
      <w:r w:rsidRPr="00AD2A1E">
        <w:rPr>
          <w:i/>
          <w:iCs/>
        </w:rPr>
        <w:t>Brown v Buffalo and State Line Railroad Co</w:t>
      </w:r>
      <w:r w:rsidRPr="00AD2A1E">
        <w:t xml:space="preserve"> 22 NY 191 at 192</w:t>
      </w:r>
      <w:r w:rsidRPr="00AD2A1E">
        <w:noBreakHyphen/>
        <w:t>193 (1860).</w:t>
      </w:r>
    </w:p>
  </w:footnote>
  <w:footnote w:id="46">
    <w:p w:rsidR="00A16FF2" w:rsidRDefault="00A16FF2" w:rsidP="008F5902">
      <w:pPr>
        <w:pStyle w:val="FootnoteText"/>
      </w:pPr>
      <w:r w:rsidRPr="00AD2A1E">
        <w:rPr>
          <w:rStyle w:val="FootnoteReference"/>
          <w:sz w:val="22"/>
          <w:szCs w:val="22"/>
          <w:vertAlign w:val="baseline"/>
        </w:rPr>
        <w:footnoteRef/>
      </w:r>
      <w:r w:rsidRPr="00AD2A1E">
        <w:t xml:space="preserve"> </w:t>
      </w:r>
      <w:r w:rsidRPr="00AD2A1E">
        <w:tab/>
        <w:t xml:space="preserve">See </w:t>
      </w:r>
      <w:r w:rsidRPr="00AD2A1E">
        <w:rPr>
          <w:i/>
          <w:iCs/>
        </w:rPr>
        <w:t xml:space="preserve">Murphy v The New York and New Haven Railroad Co </w:t>
      </w:r>
      <w:r w:rsidRPr="00AD2A1E">
        <w:t xml:space="preserve">30 Conn 184 at 188 (1861); Malone, "American Fatal Accident Statutes – Part I: </w:t>
      </w:r>
      <w:r>
        <w:t xml:space="preserve"> The Legislative Birth Pains", (1965)</w:t>
      </w:r>
      <w:r w:rsidRPr="00AD2A1E">
        <w:t xml:space="preserve"> </w:t>
      </w:r>
      <w:r w:rsidRPr="00AD2A1E">
        <w:rPr>
          <w:i/>
          <w:iCs/>
        </w:rPr>
        <w:t xml:space="preserve">Duke Law Journal </w:t>
      </w:r>
      <w:r w:rsidRPr="00AD2A1E">
        <w:t>673 at 707.</w:t>
      </w:r>
    </w:p>
  </w:footnote>
  <w:footnote w:id="47">
    <w:p w:rsidR="00A16FF2" w:rsidRDefault="00A16FF2" w:rsidP="008F5902">
      <w:pPr>
        <w:pStyle w:val="FootnoteText"/>
      </w:pPr>
      <w:r w:rsidRPr="00AD2A1E">
        <w:rPr>
          <w:rStyle w:val="FootnoteReference"/>
          <w:sz w:val="22"/>
          <w:szCs w:val="22"/>
          <w:vertAlign w:val="baseline"/>
        </w:rPr>
        <w:footnoteRef/>
      </w:r>
      <w:r w:rsidRPr="00AD2A1E">
        <w:t xml:space="preserve"> </w:t>
      </w:r>
      <w:r w:rsidRPr="00AD2A1E">
        <w:tab/>
      </w:r>
      <w:r w:rsidRPr="00AD2A1E">
        <w:rPr>
          <w:i/>
          <w:iCs/>
        </w:rPr>
        <w:t>Statute Amendment Act</w:t>
      </w:r>
      <w:r w:rsidRPr="00AD2A1E">
        <w:t xml:space="preserve"> 1886 (49 Vic c 16), s 23 (Ont).  </w:t>
      </w:r>
    </w:p>
  </w:footnote>
  <w:footnote w:id="48">
    <w:p w:rsidR="00A16FF2" w:rsidRDefault="00A16FF2" w:rsidP="008F5902">
      <w:pPr>
        <w:pStyle w:val="FootnoteText"/>
      </w:pPr>
      <w:r w:rsidRPr="00AD2A1E">
        <w:rPr>
          <w:rStyle w:val="FootnoteReference"/>
          <w:sz w:val="22"/>
          <w:szCs w:val="22"/>
          <w:vertAlign w:val="baseline"/>
        </w:rPr>
        <w:footnoteRef/>
      </w:r>
      <w:r w:rsidRPr="00AD2A1E">
        <w:t xml:space="preserve"> </w:t>
      </w:r>
      <w:r w:rsidRPr="00AD2A1E">
        <w:tab/>
      </w:r>
      <w:r w:rsidRPr="00AD2A1E">
        <w:rPr>
          <w:i/>
          <w:iCs/>
        </w:rPr>
        <w:t>Common Law Practice Act Amendment Act</w:t>
      </w:r>
      <w:r w:rsidRPr="00AD2A1E">
        <w:t xml:space="preserve"> 1940 (Q), s 2.  </w:t>
      </w:r>
    </w:p>
  </w:footnote>
  <w:footnote w:id="49">
    <w:p w:rsidR="00A16FF2" w:rsidRDefault="00A16FF2" w:rsidP="008F5902">
      <w:pPr>
        <w:pStyle w:val="FootnoteText"/>
      </w:pPr>
      <w:r w:rsidRPr="00AD2A1E">
        <w:rPr>
          <w:rStyle w:val="FootnoteReference"/>
          <w:sz w:val="22"/>
          <w:szCs w:val="22"/>
          <w:vertAlign w:val="baseline"/>
        </w:rPr>
        <w:footnoteRef/>
      </w:r>
      <w:r w:rsidRPr="00AD2A1E">
        <w:t xml:space="preserve"> </w:t>
      </w:r>
      <w:r w:rsidRPr="00AD2A1E">
        <w:tab/>
        <w:t xml:space="preserve">Queensland, Law Reform Commission, </w:t>
      </w:r>
      <w:r w:rsidRPr="00AD2A1E">
        <w:rPr>
          <w:i/>
          <w:iCs/>
        </w:rPr>
        <w:t>Report in Relation to an Examination of the "Fatal Accidents Acts" with a View to the Elimination of Anomalies</w:t>
      </w:r>
      <w:r w:rsidRPr="00AD2A1E">
        <w:t>, (1971).</w:t>
      </w:r>
    </w:p>
  </w:footnote>
  <w:footnote w:id="50">
    <w:p w:rsidR="00A16FF2" w:rsidRDefault="00A16FF2" w:rsidP="008F5902">
      <w:pPr>
        <w:pStyle w:val="FootnoteText"/>
      </w:pPr>
      <w:r w:rsidRPr="00AD2A1E">
        <w:rPr>
          <w:rStyle w:val="FootnoteReference"/>
          <w:sz w:val="22"/>
          <w:szCs w:val="22"/>
          <w:vertAlign w:val="baseline"/>
        </w:rPr>
        <w:footnoteRef/>
      </w:r>
      <w:r w:rsidRPr="00AD2A1E">
        <w:t xml:space="preserve"> </w:t>
      </w:r>
      <w:r w:rsidRPr="00AD2A1E">
        <w:tab/>
      </w:r>
      <w:r w:rsidRPr="00AD2A1E">
        <w:rPr>
          <w:i/>
          <w:iCs/>
        </w:rPr>
        <w:t>Law Reform (Miscellaneous Provisions) Act</w:t>
      </w:r>
      <w:r w:rsidRPr="00AD2A1E">
        <w:t xml:space="preserve"> 1944 (NSW), s 2(2)(d).</w:t>
      </w:r>
    </w:p>
  </w:footnote>
  <w:footnote w:id="51">
    <w:p w:rsidR="00A16FF2" w:rsidRDefault="00A16FF2" w:rsidP="008F5902">
      <w:pPr>
        <w:pStyle w:val="FootnoteText"/>
      </w:pPr>
      <w:r w:rsidRPr="00AD2A1E">
        <w:rPr>
          <w:rStyle w:val="FootnoteReference"/>
          <w:sz w:val="22"/>
          <w:szCs w:val="22"/>
          <w:vertAlign w:val="baseline"/>
        </w:rPr>
        <w:footnoteRef/>
      </w:r>
      <w:r w:rsidRPr="00AD2A1E">
        <w:t xml:space="preserve"> </w:t>
      </w:r>
      <w:r w:rsidRPr="00AD2A1E">
        <w:tab/>
      </w:r>
      <w:r w:rsidRPr="00AD2A1E">
        <w:rPr>
          <w:i/>
          <w:iCs/>
        </w:rPr>
        <w:t>Administration and Probate Act</w:t>
      </w:r>
      <w:r w:rsidRPr="00AD2A1E">
        <w:t xml:space="preserve"> 1958 (Vic), s 29(2)(c)(ii).  </w:t>
      </w:r>
    </w:p>
  </w:footnote>
  <w:footnote w:id="52">
    <w:p w:rsidR="00A16FF2" w:rsidRDefault="00A16FF2" w:rsidP="008F5902">
      <w:pPr>
        <w:pStyle w:val="FootnoteText"/>
      </w:pPr>
      <w:r w:rsidRPr="00AD2A1E">
        <w:rPr>
          <w:rStyle w:val="FootnoteReference"/>
          <w:sz w:val="22"/>
          <w:szCs w:val="22"/>
          <w:vertAlign w:val="baseline"/>
        </w:rPr>
        <w:footnoteRef/>
      </w:r>
      <w:r w:rsidRPr="00AD2A1E">
        <w:t xml:space="preserve"> </w:t>
      </w:r>
      <w:r w:rsidRPr="00AD2A1E">
        <w:tab/>
      </w:r>
      <w:r w:rsidRPr="00AD2A1E">
        <w:rPr>
          <w:i/>
          <w:iCs/>
        </w:rPr>
        <w:t>Survival of Causes of Action Act</w:t>
      </w:r>
      <w:r w:rsidRPr="00AD2A1E">
        <w:t xml:space="preserve"> 1940 (SA), s 3(a). </w:t>
      </w:r>
    </w:p>
  </w:footnote>
  <w:footnote w:id="53">
    <w:p w:rsidR="00A16FF2" w:rsidRDefault="00A16FF2" w:rsidP="008F5902">
      <w:pPr>
        <w:pStyle w:val="FootnoteText"/>
      </w:pPr>
      <w:r w:rsidRPr="00AD2A1E">
        <w:rPr>
          <w:rStyle w:val="FootnoteReference"/>
          <w:sz w:val="22"/>
          <w:szCs w:val="22"/>
          <w:vertAlign w:val="baseline"/>
        </w:rPr>
        <w:footnoteRef/>
      </w:r>
      <w:r w:rsidRPr="00AD2A1E">
        <w:t xml:space="preserve"> </w:t>
      </w:r>
      <w:r w:rsidRPr="00AD2A1E">
        <w:tab/>
        <w:t xml:space="preserve">Queensland, Law Reform Commission, </w:t>
      </w:r>
      <w:r w:rsidRPr="00AD2A1E">
        <w:rPr>
          <w:i/>
          <w:iCs/>
        </w:rPr>
        <w:t>Report in Relation to an Examination of the "Fatal Accidents Acts" with a View to the Elimination of Anomalies</w:t>
      </w:r>
      <w:r w:rsidRPr="00AD2A1E">
        <w:t xml:space="preserve">, (1971) at 6.  </w:t>
      </w:r>
    </w:p>
  </w:footnote>
  <w:footnote w:id="54">
    <w:p w:rsidR="00A16FF2" w:rsidRDefault="00A16FF2" w:rsidP="008F5902">
      <w:pPr>
        <w:pStyle w:val="FootnoteText"/>
      </w:pPr>
      <w:r w:rsidRPr="00AD2A1E">
        <w:rPr>
          <w:rStyle w:val="FootnoteReference"/>
          <w:sz w:val="22"/>
          <w:szCs w:val="22"/>
          <w:vertAlign w:val="baseline"/>
        </w:rPr>
        <w:footnoteRef/>
      </w:r>
      <w:r w:rsidRPr="00AD2A1E">
        <w:t xml:space="preserve"> </w:t>
      </w:r>
      <w:r w:rsidRPr="00AD2A1E">
        <w:tab/>
        <w:t xml:space="preserve">See Fleming, </w:t>
      </w:r>
      <w:r w:rsidRPr="00AD2A1E">
        <w:rPr>
          <w:i/>
          <w:iCs/>
        </w:rPr>
        <w:t>The Law of Torts</w:t>
      </w:r>
      <w:r w:rsidRPr="00AD2A1E">
        <w:t xml:space="preserve">, 3rd ed (1965) at 697.  </w:t>
      </w:r>
    </w:p>
  </w:footnote>
  <w:footnote w:id="55">
    <w:p w:rsidR="00A16FF2" w:rsidRDefault="00A16FF2" w:rsidP="008F5902">
      <w:pPr>
        <w:pStyle w:val="FootnoteText"/>
      </w:pPr>
      <w:r w:rsidRPr="00AD2A1E">
        <w:rPr>
          <w:rStyle w:val="FootnoteReference"/>
          <w:sz w:val="22"/>
          <w:szCs w:val="22"/>
          <w:vertAlign w:val="baseline"/>
        </w:rPr>
        <w:footnoteRef/>
      </w:r>
      <w:r w:rsidRPr="00AD2A1E">
        <w:t xml:space="preserve"> </w:t>
      </w:r>
      <w:r w:rsidRPr="00AD2A1E">
        <w:tab/>
        <w:t xml:space="preserve">In introducing the 1972 amendment, the then Attorney-General for Queensland, Sir William Knox, noted that the new s 15D was responding to criticism of the recovery by the estate of such damages as it seemed contrary to "the whole concept of common law to compensate a person who has not suffered":  Queensland, </w:t>
      </w:r>
      <w:r w:rsidRPr="00AD2A1E">
        <w:rPr>
          <w:i/>
          <w:iCs/>
        </w:rPr>
        <w:t xml:space="preserve">Parliamentary Debates </w:t>
      </w:r>
      <w:r w:rsidRPr="00AD2A1E">
        <w:t xml:space="preserve">(Hansard), 11 October 1972 at 904.  </w:t>
      </w:r>
    </w:p>
  </w:footnote>
  <w:footnote w:id="56">
    <w:p w:rsidR="00A16FF2" w:rsidRDefault="00A16FF2" w:rsidP="008F5902">
      <w:pPr>
        <w:pStyle w:val="FootnoteText"/>
      </w:pPr>
      <w:r w:rsidRPr="00AD2A1E">
        <w:rPr>
          <w:rStyle w:val="FootnoteReference"/>
          <w:sz w:val="22"/>
          <w:szCs w:val="22"/>
          <w:vertAlign w:val="baseline"/>
        </w:rPr>
        <w:footnoteRef/>
      </w:r>
      <w:r w:rsidRPr="00AD2A1E">
        <w:t xml:space="preserve"> </w:t>
      </w:r>
      <w:r w:rsidRPr="00AD2A1E">
        <w:tab/>
        <w:t xml:space="preserve">[1980] 2 NSWLR 757.  </w:t>
      </w:r>
    </w:p>
  </w:footnote>
  <w:footnote w:id="57">
    <w:p w:rsidR="00A16FF2" w:rsidRDefault="00A16FF2" w:rsidP="008F5902">
      <w:pPr>
        <w:pStyle w:val="FootnoteText"/>
      </w:pPr>
      <w:r w:rsidRPr="00AD2A1E">
        <w:rPr>
          <w:rStyle w:val="FootnoteReference"/>
          <w:sz w:val="22"/>
          <w:szCs w:val="22"/>
          <w:vertAlign w:val="baseline"/>
        </w:rPr>
        <w:footnoteRef/>
      </w:r>
      <w:r w:rsidRPr="00AD2A1E">
        <w:t xml:space="preserve"> </w:t>
      </w:r>
      <w:r w:rsidRPr="00AD2A1E">
        <w:tab/>
      </w:r>
      <w:r w:rsidRPr="00AD2A1E">
        <w:rPr>
          <w:i/>
          <w:iCs/>
        </w:rPr>
        <w:t>Fitch v Hyde</w:t>
      </w:r>
      <w:r w:rsidRPr="00AD2A1E">
        <w:rPr>
          <w:i/>
          <w:iCs/>
        </w:rPr>
        <w:noBreakHyphen/>
        <w:t>Cates</w:t>
      </w:r>
      <w:r w:rsidRPr="00AD2A1E">
        <w:t xml:space="preserve"> (1982) 150 CLR 482.  </w:t>
      </w:r>
    </w:p>
  </w:footnote>
  <w:footnote w:id="58">
    <w:p w:rsidR="00A16FF2" w:rsidRDefault="00A16FF2" w:rsidP="008F5902">
      <w:pPr>
        <w:pStyle w:val="FootnoteText"/>
      </w:pPr>
      <w:r w:rsidRPr="00AD2A1E">
        <w:rPr>
          <w:rStyle w:val="FootnoteReference"/>
          <w:sz w:val="22"/>
          <w:szCs w:val="22"/>
          <w:vertAlign w:val="baseline"/>
        </w:rPr>
        <w:footnoteRef/>
      </w:r>
      <w:r w:rsidRPr="00AD2A1E">
        <w:t xml:space="preserve"> </w:t>
      </w:r>
      <w:r w:rsidRPr="00AD2A1E">
        <w:tab/>
      </w:r>
      <w:r w:rsidRPr="00AD2A1E">
        <w:rPr>
          <w:i/>
          <w:iCs/>
        </w:rPr>
        <w:t>Law Reform (Miscellaneous Provisions) Amendment Act</w:t>
      </w:r>
      <w:r w:rsidRPr="00AD2A1E">
        <w:t xml:space="preserve"> 1982 (NSW); </w:t>
      </w:r>
      <w:r w:rsidRPr="00AD2A1E">
        <w:rPr>
          <w:i/>
          <w:iCs/>
        </w:rPr>
        <w:t>Administration and Probate (Survival of Actions) Act</w:t>
      </w:r>
      <w:r w:rsidRPr="00AD2A1E">
        <w:t xml:space="preserve"> 1982 (Vic);</w:t>
      </w:r>
      <w:r w:rsidRPr="00AD2A1E">
        <w:rPr>
          <w:i/>
          <w:iCs/>
        </w:rPr>
        <w:t xml:space="preserve"> Survival of Causes of Action Act Amendment Act</w:t>
      </w:r>
      <w:r w:rsidRPr="00AD2A1E">
        <w:t xml:space="preserve"> 1982 (SA); </w:t>
      </w:r>
      <w:r w:rsidRPr="00AD2A1E">
        <w:rPr>
          <w:i/>
          <w:iCs/>
        </w:rPr>
        <w:t>Law Reform (Miscellaneous Provisions) Amendment Act</w:t>
      </w:r>
      <w:r w:rsidRPr="00AD2A1E">
        <w:t xml:space="preserve"> 1982 (WA); </w:t>
      </w:r>
      <w:r w:rsidRPr="00AD2A1E">
        <w:rPr>
          <w:i/>
          <w:iCs/>
        </w:rPr>
        <w:t xml:space="preserve">Administration and Probate Amendment Act </w:t>
      </w:r>
      <w:r w:rsidRPr="00AD2A1E">
        <w:t xml:space="preserve">1983 (Tas); </w:t>
      </w:r>
      <w:r w:rsidRPr="00AD2A1E">
        <w:rPr>
          <w:i/>
          <w:iCs/>
        </w:rPr>
        <w:t>Law Reform (Miscellaneous Provisions) Amendment Act</w:t>
      </w:r>
      <w:r w:rsidRPr="00AD2A1E">
        <w:t xml:space="preserve"> 1986 (NT); Law Reform (Miscellaneous Provisions) (Amendment) Ordinance 1982 (ACT). </w:t>
      </w:r>
    </w:p>
  </w:footnote>
  <w:footnote w:id="59">
    <w:p w:rsidR="00A16FF2" w:rsidRDefault="00A16FF2" w:rsidP="008F5902">
      <w:pPr>
        <w:pStyle w:val="FootnoteText"/>
      </w:pPr>
      <w:r w:rsidRPr="00AD2A1E">
        <w:rPr>
          <w:rStyle w:val="FootnoteReference"/>
          <w:sz w:val="22"/>
          <w:szCs w:val="22"/>
          <w:vertAlign w:val="baseline"/>
        </w:rPr>
        <w:footnoteRef/>
      </w:r>
      <w:r w:rsidRPr="00AD2A1E">
        <w:t xml:space="preserve"> </w:t>
      </w:r>
      <w:r w:rsidRPr="00AD2A1E">
        <w:tab/>
      </w:r>
      <w:r w:rsidRPr="00AD2A1E">
        <w:rPr>
          <w:i/>
          <w:iCs/>
        </w:rPr>
        <w:t>Oliver v Ashman</w:t>
      </w:r>
      <w:r w:rsidRPr="00AD2A1E">
        <w:t xml:space="preserve"> [1962] 2 QB 210 at 227-228.  See also </w:t>
      </w:r>
      <w:r w:rsidRPr="00AD2A1E">
        <w:rPr>
          <w:i/>
          <w:iCs/>
        </w:rPr>
        <w:t>Fitch v Hyde</w:t>
      </w:r>
      <w:r w:rsidRPr="00AD2A1E">
        <w:rPr>
          <w:i/>
          <w:iCs/>
        </w:rPr>
        <w:noBreakHyphen/>
        <w:t>Cates</w:t>
      </w:r>
      <w:r w:rsidRPr="00AD2A1E">
        <w:t xml:space="preserve"> (1982) 150 CLR 482 at 489 per Mason J.</w:t>
      </w:r>
    </w:p>
  </w:footnote>
  <w:footnote w:id="60">
    <w:p w:rsidR="00A16FF2" w:rsidRDefault="00A16FF2" w:rsidP="008F5902">
      <w:pPr>
        <w:pStyle w:val="FootnoteText"/>
      </w:pPr>
      <w:r w:rsidRPr="00AD2A1E">
        <w:rPr>
          <w:rStyle w:val="FootnoteReference"/>
          <w:sz w:val="22"/>
          <w:szCs w:val="22"/>
          <w:vertAlign w:val="baseline"/>
        </w:rPr>
        <w:footnoteRef/>
      </w:r>
      <w:r w:rsidRPr="00AD2A1E">
        <w:t xml:space="preserve"> </w:t>
      </w:r>
      <w:r w:rsidRPr="00AD2A1E">
        <w:tab/>
        <w:t xml:space="preserve">(1966) 115 CLR 94; [1966] HCA 14.  </w:t>
      </w:r>
    </w:p>
  </w:footnote>
  <w:footnote w:id="61">
    <w:p w:rsidR="00A16FF2" w:rsidRDefault="00A16FF2" w:rsidP="008F5902">
      <w:pPr>
        <w:pStyle w:val="FootnoteText"/>
      </w:pPr>
      <w:r w:rsidRPr="00AD2A1E">
        <w:rPr>
          <w:rStyle w:val="FootnoteReference"/>
          <w:sz w:val="22"/>
          <w:szCs w:val="22"/>
          <w:vertAlign w:val="baseline"/>
        </w:rPr>
        <w:footnoteRef/>
      </w:r>
      <w:r w:rsidRPr="00AD2A1E">
        <w:t xml:space="preserve"> </w:t>
      </w:r>
      <w:r w:rsidRPr="00AD2A1E">
        <w:tab/>
        <w:t xml:space="preserve">"Loss of Earnings or Earning Capacity?", (1971) 45 </w:t>
      </w:r>
      <w:r w:rsidRPr="00AD2A1E">
        <w:rPr>
          <w:i/>
          <w:iCs/>
        </w:rPr>
        <w:t>Australian Law Journal</w:t>
      </w:r>
      <w:r w:rsidRPr="00AD2A1E">
        <w:t xml:space="preserve"> 700.  </w:t>
      </w:r>
    </w:p>
  </w:footnote>
  <w:footnote w:id="62">
    <w:p w:rsidR="00A16FF2" w:rsidRDefault="00A16FF2" w:rsidP="008F5902">
      <w:pPr>
        <w:pStyle w:val="FootnoteText"/>
      </w:pPr>
      <w:r w:rsidRPr="00AD2A1E">
        <w:rPr>
          <w:rStyle w:val="FootnoteReference"/>
          <w:sz w:val="22"/>
          <w:szCs w:val="22"/>
          <w:vertAlign w:val="baseline"/>
        </w:rPr>
        <w:footnoteRef/>
      </w:r>
      <w:r w:rsidRPr="00AD2A1E">
        <w:t xml:space="preserve"> </w:t>
      </w:r>
      <w:r w:rsidRPr="00AD2A1E">
        <w:tab/>
      </w:r>
      <w:r w:rsidRPr="00AD2A1E">
        <w:rPr>
          <w:i/>
          <w:iCs/>
        </w:rPr>
        <w:t>Report on Survival of Causes of Action for Personal Injury and Matters Related to Claims for Wrongful Death</w:t>
      </w:r>
      <w:r w:rsidRPr="00AD2A1E">
        <w:t xml:space="preserve">, (1982) at 4.  </w:t>
      </w:r>
    </w:p>
  </w:footnote>
  <w:footnote w:id="63">
    <w:p w:rsidR="00A16FF2" w:rsidRDefault="00A16FF2" w:rsidP="008F5902">
      <w:pPr>
        <w:pStyle w:val="FootnoteText"/>
      </w:pPr>
      <w:r w:rsidRPr="00AD2A1E">
        <w:rPr>
          <w:rStyle w:val="FootnoteReference"/>
          <w:sz w:val="22"/>
          <w:szCs w:val="22"/>
          <w:vertAlign w:val="baseline"/>
        </w:rPr>
        <w:footnoteRef/>
      </w:r>
      <w:r w:rsidRPr="00AD2A1E">
        <w:t xml:space="preserve"> </w:t>
      </w:r>
      <w:r w:rsidRPr="00AD2A1E">
        <w:tab/>
        <w:t xml:space="preserve">(1966) 115 CLR 94 at 114.  </w:t>
      </w:r>
    </w:p>
  </w:footnote>
  <w:footnote w:id="64">
    <w:p w:rsidR="00A16FF2" w:rsidRDefault="00A16FF2" w:rsidP="008F5902">
      <w:pPr>
        <w:pStyle w:val="FootnoteText"/>
      </w:pPr>
      <w:r w:rsidRPr="00AD2A1E">
        <w:rPr>
          <w:rStyle w:val="FootnoteReference"/>
          <w:sz w:val="22"/>
          <w:szCs w:val="22"/>
          <w:vertAlign w:val="baseline"/>
        </w:rPr>
        <w:footnoteRef/>
      </w:r>
      <w:r w:rsidRPr="00AD2A1E">
        <w:t xml:space="preserve"> </w:t>
      </w:r>
      <w:r w:rsidRPr="00AD2A1E">
        <w:tab/>
        <w:t xml:space="preserve">(1982) 150 CLR 482 at 495-499.  </w:t>
      </w:r>
    </w:p>
  </w:footnote>
  <w:footnote w:id="65">
    <w:p w:rsidR="00A16FF2" w:rsidRDefault="00A16FF2" w:rsidP="008F5902">
      <w:pPr>
        <w:pStyle w:val="FootnoteText"/>
      </w:pPr>
      <w:r w:rsidRPr="00AD2A1E">
        <w:rPr>
          <w:rStyle w:val="FootnoteReference"/>
          <w:sz w:val="22"/>
          <w:szCs w:val="22"/>
          <w:vertAlign w:val="baseline"/>
        </w:rPr>
        <w:footnoteRef/>
      </w:r>
      <w:r w:rsidRPr="00AD2A1E">
        <w:t xml:space="preserve"> </w:t>
      </w:r>
      <w:r w:rsidRPr="00AD2A1E">
        <w:tab/>
      </w:r>
      <w:r w:rsidRPr="00AD2A1E">
        <w:rPr>
          <w:i/>
          <w:iCs/>
        </w:rPr>
        <w:t>Lotter v Salmon Street Ltd</w:t>
      </w:r>
      <w:r w:rsidRPr="00AD2A1E">
        <w:t xml:space="preserve"> [2006] VSC 495 at [66].</w:t>
      </w:r>
    </w:p>
  </w:footnote>
  <w:footnote w:id="66">
    <w:p w:rsidR="00A16FF2" w:rsidRDefault="00A16FF2" w:rsidP="008F5902">
      <w:pPr>
        <w:pStyle w:val="FootnoteText"/>
      </w:pPr>
      <w:r w:rsidRPr="00AD2A1E">
        <w:rPr>
          <w:rStyle w:val="FootnoteReference"/>
          <w:sz w:val="22"/>
          <w:szCs w:val="22"/>
          <w:vertAlign w:val="baseline"/>
        </w:rPr>
        <w:footnoteRef/>
      </w:r>
      <w:r w:rsidRPr="00AD2A1E">
        <w:t xml:space="preserve"> </w:t>
      </w:r>
      <w:r w:rsidRPr="00AD2A1E">
        <w:tab/>
        <w:t>(1942) 66 CLR 603 at 611</w:t>
      </w:r>
      <w:r w:rsidRPr="00AD2A1E">
        <w:noBreakHyphen/>
        <w:t>612.</w:t>
      </w:r>
    </w:p>
  </w:footnote>
  <w:footnote w:id="67">
    <w:p w:rsidR="00A16FF2" w:rsidRDefault="00A16FF2" w:rsidP="008F5902">
      <w:pPr>
        <w:pStyle w:val="FootnoteText"/>
      </w:pPr>
      <w:r w:rsidRPr="00AD2A1E">
        <w:rPr>
          <w:rStyle w:val="FootnoteReference"/>
          <w:sz w:val="22"/>
          <w:szCs w:val="22"/>
          <w:vertAlign w:val="baseline"/>
        </w:rPr>
        <w:footnoteRef/>
      </w:r>
      <w:r w:rsidRPr="00AD2A1E">
        <w:t xml:space="preserve"> </w:t>
      </w:r>
      <w:r w:rsidRPr="00AD2A1E">
        <w:tab/>
      </w:r>
      <w:r w:rsidRPr="00AD2A1E">
        <w:rPr>
          <w:i/>
          <w:iCs/>
        </w:rPr>
        <w:t>O'Brien v McKean</w:t>
      </w:r>
      <w:r w:rsidRPr="00AD2A1E">
        <w:t xml:space="preserve"> (1968) 118 CLR 540 at 545; [1968] HCA 58.</w:t>
      </w:r>
    </w:p>
  </w:footnote>
  <w:footnote w:id="68">
    <w:p w:rsidR="00A16FF2" w:rsidRDefault="00A16FF2" w:rsidP="008F5902">
      <w:pPr>
        <w:pStyle w:val="FootnoteText"/>
      </w:pPr>
      <w:r w:rsidRPr="00AD2A1E">
        <w:rPr>
          <w:rStyle w:val="FootnoteReference"/>
          <w:sz w:val="22"/>
          <w:szCs w:val="22"/>
          <w:vertAlign w:val="baseline"/>
        </w:rPr>
        <w:footnoteRef/>
      </w:r>
      <w:r w:rsidRPr="00AD2A1E">
        <w:t xml:space="preserve"> </w:t>
      </w:r>
      <w:r w:rsidRPr="00AD2A1E">
        <w:tab/>
      </w:r>
      <w:r w:rsidRPr="00AD2A1E">
        <w:rPr>
          <w:i/>
          <w:iCs/>
        </w:rPr>
        <w:t>Johnson v Perez</w:t>
      </w:r>
      <w:r w:rsidRPr="00AD2A1E">
        <w:t xml:space="preserve"> (1988) 166 CLR 351 at 367; [1988] HCA 64.</w:t>
      </w:r>
    </w:p>
  </w:footnote>
  <w:footnote w:id="69">
    <w:p w:rsidR="00A16FF2" w:rsidRDefault="00A16FF2" w:rsidP="008F5902">
      <w:pPr>
        <w:pStyle w:val="FootnoteText"/>
      </w:pPr>
      <w:r w:rsidRPr="00AD2A1E">
        <w:rPr>
          <w:rStyle w:val="FootnoteReference"/>
          <w:sz w:val="22"/>
          <w:szCs w:val="22"/>
          <w:vertAlign w:val="baseline"/>
        </w:rPr>
        <w:footnoteRef/>
      </w:r>
      <w:r w:rsidRPr="00AD2A1E">
        <w:t xml:space="preserve"> </w:t>
      </w:r>
      <w:r w:rsidRPr="00AD2A1E">
        <w:tab/>
      </w:r>
      <w:r w:rsidRPr="00AD2A1E">
        <w:rPr>
          <w:i/>
          <w:iCs/>
        </w:rPr>
        <w:t>Willis v The Commonwealth</w:t>
      </w:r>
      <w:r w:rsidRPr="00AD2A1E">
        <w:t xml:space="preserve"> (1946) 73 CLR 105 at 109; [1946] HCA 22; </w:t>
      </w:r>
      <w:r w:rsidRPr="00AD2A1E">
        <w:rPr>
          <w:i/>
          <w:iCs/>
        </w:rPr>
        <w:t>Johnson v Perez</w:t>
      </w:r>
      <w:r w:rsidRPr="00AD2A1E">
        <w:t xml:space="preserve"> (1988) 166 CLR 351 at 368</w:t>
      </w:r>
      <w:r w:rsidRPr="00AD2A1E">
        <w:noBreakHyphen/>
        <w:t>369.</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FF2" w:rsidRDefault="00A16FF2">
    <w:pPr>
      <w:pStyle w:val="Header"/>
      <w:jc w:val="center"/>
      <w:rPr>
        <w:rStyle w:val="PageNumber"/>
        <w:i w:val="0"/>
        <w:iCs w:val="0"/>
      </w:rPr>
    </w:pPr>
  </w:p>
  <w:p w:rsidR="00A16FF2" w:rsidRDefault="00A16FF2">
    <w:pPr>
      <w:pStyle w:val="Header"/>
      <w:jc w:val="center"/>
    </w:pPr>
    <w:r>
      <w:rPr>
        <w:rStyle w:val="PageNumber"/>
        <w:i w:val="0"/>
        <w:iCs w:val="0"/>
      </w:rPr>
      <w:fldChar w:fldCharType="begin"/>
    </w:r>
    <w:r>
      <w:rPr>
        <w:rStyle w:val="PageNumber"/>
        <w:i w:val="0"/>
        <w:iCs w:val="0"/>
      </w:rPr>
      <w:instrText xml:space="preserve">PAGE  </w:instrText>
    </w:r>
    <w:r>
      <w:rPr>
        <w:rStyle w:val="PageNumber"/>
        <w:i w:val="0"/>
        <w:iCs w:val="0"/>
      </w:rPr>
      <w:fldChar w:fldCharType="separate"/>
    </w:r>
    <w:r>
      <w:rPr>
        <w:rStyle w:val="PageNumber"/>
        <w:i w:val="0"/>
        <w:iCs w:val="0"/>
        <w:noProof/>
      </w:rPr>
      <w:t>2</w:t>
    </w:r>
    <w:r>
      <w:rPr>
        <w:rStyle w:val="PageNumber"/>
        <w:i w:val="0"/>
        <w:iCs w:val="0"/>
      </w:rPr>
      <w:fldChar w:fldCharType="end"/>
    </w:r>
    <w:r>
      <w:rPr>
        <w:rStyle w:val="PageNumber"/>
        <w:i w:val="0"/>
        <w:iCs w:val="0"/>
      </w:rPr>
      <w: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FF2" w:rsidRDefault="00A16FF2">
    <w:pPr>
      <w:pStyle w:val="Header"/>
      <w:ind w:left="0"/>
      <w:jc w:val="left"/>
    </w:pPr>
  </w:p>
  <w:p w:rsidR="00A16FF2" w:rsidRDefault="00A16FF2">
    <w:pPr>
      <w:pStyle w:val="Header"/>
      <w:jc w:val="center"/>
      <w:rPr>
        <w:rStyle w:val="PageNumber"/>
        <w:i w:val="0"/>
        <w:iCs w:val="0"/>
      </w:rPr>
    </w:pPr>
    <w:r>
      <w:rPr>
        <w:rStyle w:val="PageNumber"/>
        <w:i w:val="0"/>
        <w:iCs w:val="0"/>
      </w:rPr>
      <w:fldChar w:fldCharType="begin"/>
    </w:r>
    <w:r>
      <w:rPr>
        <w:rStyle w:val="PageNumber"/>
        <w:i w:val="0"/>
        <w:iCs w:val="0"/>
      </w:rPr>
      <w:instrText xml:space="preserve"> PAGE </w:instrText>
    </w:r>
    <w:r>
      <w:rPr>
        <w:rStyle w:val="PageNumber"/>
        <w:i w:val="0"/>
        <w:iCs w:val="0"/>
      </w:rPr>
      <w:fldChar w:fldCharType="separate"/>
    </w:r>
    <w:r>
      <w:rPr>
        <w:rStyle w:val="PageNumber"/>
        <w:i w:val="0"/>
        <w:iCs w:val="0"/>
        <w:noProof/>
      </w:rPr>
      <w:t>3</w:t>
    </w:r>
    <w:r>
      <w:rPr>
        <w:rStyle w:val="PageNumber"/>
        <w:i w:val="0"/>
        <w:iCs w:val="0"/>
      </w:rPr>
      <w:fldChar w:fldCharType="end"/>
    </w:r>
    <w:r>
      <w:rPr>
        <w:rStyle w:val="PageNumber"/>
        <w:i w:val="0"/>
        <w:iCs w:val="0"/>
      </w:rPr>
      <w:t>.</w:t>
    </w:r>
  </w:p>
  <w:p w:rsidR="00A16FF2" w:rsidRDefault="00A16FF2">
    <w:pPr>
      <w:pStyle w:val="Header"/>
      <w:ind w:left="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FF2" w:rsidRDefault="00A16FF2">
    <w:pPr>
      <w:pStyle w:val="Header"/>
      <w:jc w:val="center"/>
      <w:rPr>
        <w:rStyle w:val="PageNumber"/>
        <w:i w:val="0"/>
        <w:iCs w:val="0"/>
      </w:rPr>
    </w:pPr>
  </w:p>
  <w:p w:rsidR="00A16FF2" w:rsidRDefault="00A16FF2">
    <w:pPr>
      <w:pStyle w:val="Header"/>
      <w:jc w:val="center"/>
    </w:pPr>
    <w:r>
      <w:rPr>
        <w:rStyle w:val="PageNumber"/>
        <w:i w:val="0"/>
        <w:iCs w:val="0"/>
      </w:rPr>
      <w:fldChar w:fldCharType="begin"/>
    </w:r>
    <w:r>
      <w:rPr>
        <w:rStyle w:val="PageNumber"/>
        <w:i w:val="0"/>
        <w:iCs w:val="0"/>
      </w:rPr>
      <w:instrText xml:space="preserve">PAGE  </w:instrText>
    </w:r>
    <w:r>
      <w:rPr>
        <w:rStyle w:val="PageNumber"/>
        <w:i w:val="0"/>
        <w:iCs w:val="0"/>
      </w:rPr>
      <w:fldChar w:fldCharType="separate"/>
    </w:r>
    <w:r>
      <w:rPr>
        <w:rStyle w:val="PageNumber"/>
        <w:i w:val="0"/>
        <w:iCs w:val="0"/>
        <w:noProof/>
      </w:rPr>
      <w:t>2</w:t>
    </w:r>
    <w:r>
      <w:rPr>
        <w:rStyle w:val="PageNumber"/>
        <w:i w:val="0"/>
        <w:iCs w:val="0"/>
      </w:rPr>
      <w:fldChar w:fldCharType="end"/>
    </w:r>
    <w:r>
      <w:rPr>
        <w:rStyle w:val="PageNumber"/>
        <w:i w:val="0"/>
        <w:iCs w:val="0"/>
      </w:rPr>
      <w:t>.</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FF2" w:rsidRDefault="00A16FF2">
    <w:pPr>
      <w:pStyle w:val="Header"/>
      <w:tabs>
        <w:tab w:val="clear" w:pos="720"/>
        <w:tab w:val="clear" w:pos="1440"/>
        <w:tab w:val="clear" w:pos="2160"/>
        <w:tab w:val="clear" w:pos="2880"/>
        <w:tab w:val="clear" w:pos="3600"/>
        <w:tab w:val="clear" w:pos="4321"/>
        <w:tab w:val="clear" w:pos="5041"/>
        <w:tab w:val="clear" w:pos="5761"/>
        <w:tab w:val="clear" w:pos="6481"/>
        <w:tab w:val="clear" w:pos="7201"/>
        <w:tab w:val="clear" w:pos="7938"/>
      </w:tabs>
      <w:ind w:left="0"/>
    </w:pPr>
    <w:r>
      <w:t>French</w:t>
    </w:r>
    <w:r>
      <w:tab/>
      <w:t>CJ</w:t>
    </w:r>
  </w:p>
  <w:p w:rsidR="00A16FF2" w:rsidRDefault="00A16FF2">
    <w:pPr>
      <w:pStyle w:val="Header"/>
      <w:tabs>
        <w:tab w:val="clear" w:pos="720"/>
        <w:tab w:val="clear" w:pos="1440"/>
        <w:tab w:val="clear" w:pos="2160"/>
        <w:tab w:val="clear" w:pos="2880"/>
        <w:tab w:val="clear" w:pos="3600"/>
        <w:tab w:val="clear" w:pos="4321"/>
        <w:tab w:val="clear" w:pos="5041"/>
        <w:tab w:val="clear" w:pos="5761"/>
        <w:tab w:val="clear" w:pos="6481"/>
        <w:tab w:val="clear" w:pos="7201"/>
        <w:tab w:val="clear" w:pos="7938"/>
      </w:tabs>
      <w:ind w:left="0"/>
    </w:pPr>
    <w:r>
      <w:t>Gummow</w:t>
    </w:r>
    <w:r>
      <w:tab/>
      <w:t>J</w:t>
    </w:r>
  </w:p>
  <w:p w:rsidR="00A16FF2" w:rsidRDefault="00A16FF2">
    <w:pPr>
      <w:pStyle w:val="Header"/>
      <w:tabs>
        <w:tab w:val="clear" w:pos="720"/>
        <w:tab w:val="clear" w:pos="1440"/>
        <w:tab w:val="clear" w:pos="2160"/>
        <w:tab w:val="clear" w:pos="2880"/>
        <w:tab w:val="clear" w:pos="3600"/>
        <w:tab w:val="clear" w:pos="4321"/>
        <w:tab w:val="clear" w:pos="5041"/>
        <w:tab w:val="clear" w:pos="5761"/>
        <w:tab w:val="clear" w:pos="6481"/>
        <w:tab w:val="clear" w:pos="7201"/>
        <w:tab w:val="clear" w:pos="7938"/>
      </w:tabs>
      <w:ind w:left="0"/>
    </w:pPr>
    <w:r>
      <w:t>Crennan</w:t>
    </w:r>
    <w:r>
      <w:tab/>
      <w:t>J</w:t>
    </w:r>
  </w:p>
  <w:p w:rsidR="00A16FF2" w:rsidRDefault="00A16FF2">
    <w:pPr>
      <w:pStyle w:val="Header"/>
      <w:tabs>
        <w:tab w:val="clear" w:pos="720"/>
        <w:tab w:val="clear" w:pos="1440"/>
        <w:tab w:val="clear" w:pos="2160"/>
        <w:tab w:val="clear" w:pos="2880"/>
        <w:tab w:val="clear" w:pos="3600"/>
        <w:tab w:val="clear" w:pos="4321"/>
        <w:tab w:val="clear" w:pos="5041"/>
        <w:tab w:val="clear" w:pos="5761"/>
        <w:tab w:val="clear" w:pos="6481"/>
        <w:tab w:val="clear" w:pos="7201"/>
        <w:tab w:val="clear" w:pos="7938"/>
      </w:tabs>
      <w:ind w:left="0"/>
    </w:pPr>
    <w:r>
      <w:t>Kiefel</w:t>
    </w:r>
    <w:r>
      <w:tab/>
      <w:t>J</w:t>
    </w:r>
  </w:p>
  <w:p w:rsidR="00A16FF2" w:rsidRDefault="00A16FF2">
    <w:pPr>
      <w:pStyle w:val="Header"/>
      <w:tabs>
        <w:tab w:val="clear" w:pos="720"/>
        <w:tab w:val="clear" w:pos="1440"/>
        <w:tab w:val="clear" w:pos="2160"/>
        <w:tab w:val="clear" w:pos="2880"/>
        <w:tab w:val="clear" w:pos="3600"/>
        <w:tab w:val="clear" w:pos="4321"/>
        <w:tab w:val="clear" w:pos="5041"/>
        <w:tab w:val="clear" w:pos="5761"/>
        <w:tab w:val="clear" w:pos="6481"/>
        <w:tab w:val="clear" w:pos="7201"/>
        <w:tab w:val="clear" w:pos="7938"/>
      </w:tabs>
      <w:ind w:left="0"/>
    </w:pPr>
    <w:r>
      <w:t>Bell</w:t>
    </w:r>
    <w:r>
      <w:tab/>
      <w:t>J</w:t>
    </w:r>
  </w:p>
  <w:p w:rsidR="00A16FF2" w:rsidRDefault="00A16FF2">
    <w:pPr>
      <w:pStyle w:val="Header"/>
      <w:tabs>
        <w:tab w:val="clear" w:pos="720"/>
        <w:tab w:val="clear" w:pos="1440"/>
        <w:tab w:val="clear" w:pos="2160"/>
        <w:tab w:val="clear" w:pos="2880"/>
        <w:tab w:val="clear" w:pos="3600"/>
        <w:tab w:val="clear" w:pos="4321"/>
        <w:tab w:val="clear" w:pos="5041"/>
        <w:tab w:val="clear" w:pos="5761"/>
        <w:tab w:val="clear" w:pos="6481"/>
        <w:tab w:val="clear" w:pos="7201"/>
        <w:tab w:val="clear" w:pos="7938"/>
      </w:tabs>
      <w:ind w:left="0"/>
    </w:pPr>
  </w:p>
  <w:p w:rsidR="00A16FF2" w:rsidRDefault="00A16FF2">
    <w:pPr>
      <w:pStyle w:val="Header"/>
      <w:jc w:val="center"/>
    </w:pPr>
    <w:r>
      <w:rPr>
        <w:rStyle w:val="PageNumber"/>
        <w:i w:val="0"/>
        <w:iCs w:val="0"/>
      </w:rPr>
      <w:fldChar w:fldCharType="begin"/>
    </w:r>
    <w:r>
      <w:rPr>
        <w:rStyle w:val="PageNumber"/>
        <w:i w:val="0"/>
        <w:iCs w:val="0"/>
      </w:rPr>
      <w:instrText xml:space="preserve">PAGE  </w:instrText>
    </w:r>
    <w:r>
      <w:rPr>
        <w:rStyle w:val="PageNumber"/>
        <w:i w:val="0"/>
        <w:iCs w:val="0"/>
      </w:rPr>
      <w:fldChar w:fldCharType="separate"/>
    </w:r>
    <w:r>
      <w:rPr>
        <w:rStyle w:val="PageNumber"/>
        <w:i w:val="0"/>
        <w:iCs w:val="0"/>
        <w:noProof/>
      </w:rPr>
      <w:t>22</w:t>
    </w:r>
    <w:r>
      <w:rPr>
        <w:rStyle w:val="PageNumber"/>
        <w:i w:val="0"/>
        <w:iCs w:val="0"/>
      </w:rPr>
      <w:fldChar w:fldCharType="end"/>
    </w:r>
    <w:r>
      <w:rPr>
        <w:rStyle w:val="PageNumber"/>
        <w:i w:val="0"/>
        <w:iCs w:val="0"/>
      </w:rPr>
      <w:t>.</w:t>
    </w:r>
  </w:p>
  <w:p w:rsidR="00A16FF2" w:rsidRDefault="00A16FF2">
    <w:pPr>
      <w:pStyle w:val="Header"/>
      <w:jc w:val="cent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FF2" w:rsidRDefault="00A16FF2">
    <w:pPr>
      <w:pStyle w:val="Header"/>
      <w:tabs>
        <w:tab w:val="clear" w:pos="720"/>
        <w:tab w:val="clear" w:pos="1134"/>
        <w:tab w:val="clear" w:pos="1440"/>
        <w:tab w:val="clear" w:pos="2160"/>
        <w:tab w:val="clear" w:pos="2880"/>
        <w:tab w:val="clear" w:pos="3600"/>
        <w:tab w:val="clear" w:pos="4321"/>
        <w:tab w:val="clear" w:pos="5041"/>
        <w:tab w:val="clear" w:pos="5761"/>
        <w:tab w:val="clear" w:pos="6481"/>
        <w:tab w:val="clear" w:pos="7201"/>
        <w:tab w:val="clear" w:pos="7938"/>
        <w:tab w:val="left" w:pos="7371"/>
        <w:tab w:val="right" w:pos="8505"/>
      </w:tabs>
      <w:ind w:left="0"/>
    </w:pPr>
    <w:r>
      <w:tab/>
      <w:t>French</w:t>
    </w:r>
    <w:r>
      <w:tab/>
      <w:t>CJ</w:t>
    </w:r>
  </w:p>
  <w:p w:rsidR="00A16FF2" w:rsidRDefault="00A16FF2">
    <w:pPr>
      <w:pStyle w:val="Header"/>
      <w:tabs>
        <w:tab w:val="clear" w:pos="720"/>
        <w:tab w:val="clear" w:pos="1134"/>
        <w:tab w:val="clear" w:pos="1440"/>
        <w:tab w:val="clear" w:pos="2160"/>
        <w:tab w:val="clear" w:pos="2880"/>
        <w:tab w:val="clear" w:pos="3600"/>
        <w:tab w:val="clear" w:pos="4321"/>
        <w:tab w:val="clear" w:pos="5041"/>
        <w:tab w:val="clear" w:pos="5761"/>
        <w:tab w:val="clear" w:pos="6481"/>
        <w:tab w:val="clear" w:pos="7201"/>
        <w:tab w:val="clear" w:pos="7938"/>
        <w:tab w:val="left" w:pos="7371"/>
        <w:tab w:val="right" w:pos="8505"/>
      </w:tabs>
      <w:ind w:left="0"/>
    </w:pPr>
    <w:r>
      <w:tab/>
      <w:t>Gummow</w:t>
    </w:r>
    <w:r>
      <w:tab/>
      <w:t>J</w:t>
    </w:r>
  </w:p>
  <w:p w:rsidR="00A16FF2" w:rsidRDefault="00A16FF2" w:rsidP="008F5902">
    <w:pPr>
      <w:pStyle w:val="Header"/>
      <w:tabs>
        <w:tab w:val="clear" w:pos="720"/>
        <w:tab w:val="clear" w:pos="1134"/>
        <w:tab w:val="clear" w:pos="1440"/>
        <w:tab w:val="clear" w:pos="2160"/>
        <w:tab w:val="clear" w:pos="2880"/>
        <w:tab w:val="clear" w:pos="3600"/>
        <w:tab w:val="clear" w:pos="4321"/>
        <w:tab w:val="clear" w:pos="5041"/>
        <w:tab w:val="clear" w:pos="5761"/>
        <w:tab w:val="clear" w:pos="6481"/>
        <w:tab w:val="clear" w:pos="7201"/>
        <w:tab w:val="clear" w:pos="7938"/>
        <w:tab w:val="left" w:pos="7371"/>
        <w:tab w:val="right" w:pos="8505"/>
      </w:tabs>
      <w:ind w:left="0"/>
    </w:pPr>
    <w:r>
      <w:tab/>
      <w:t>Crennan</w:t>
    </w:r>
    <w:r>
      <w:tab/>
      <w:t>J</w:t>
    </w:r>
  </w:p>
  <w:p w:rsidR="00A16FF2" w:rsidRDefault="00A16FF2" w:rsidP="008F5902">
    <w:pPr>
      <w:pStyle w:val="Header"/>
      <w:tabs>
        <w:tab w:val="clear" w:pos="720"/>
        <w:tab w:val="clear" w:pos="1134"/>
        <w:tab w:val="clear" w:pos="1440"/>
        <w:tab w:val="clear" w:pos="2160"/>
        <w:tab w:val="clear" w:pos="2880"/>
        <w:tab w:val="clear" w:pos="3600"/>
        <w:tab w:val="clear" w:pos="4321"/>
        <w:tab w:val="clear" w:pos="5041"/>
        <w:tab w:val="clear" w:pos="5761"/>
        <w:tab w:val="clear" w:pos="6481"/>
        <w:tab w:val="clear" w:pos="7201"/>
        <w:tab w:val="clear" w:pos="7938"/>
        <w:tab w:val="left" w:pos="7371"/>
        <w:tab w:val="right" w:pos="8505"/>
      </w:tabs>
      <w:ind w:left="0"/>
    </w:pPr>
    <w:r>
      <w:tab/>
      <w:t>Kiefel</w:t>
    </w:r>
    <w:r>
      <w:tab/>
      <w:t>J</w:t>
    </w:r>
  </w:p>
  <w:p w:rsidR="00A16FF2" w:rsidRDefault="00A16FF2" w:rsidP="008F5902">
    <w:pPr>
      <w:pStyle w:val="Header"/>
      <w:tabs>
        <w:tab w:val="clear" w:pos="720"/>
        <w:tab w:val="clear" w:pos="1134"/>
        <w:tab w:val="clear" w:pos="1440"/>
        <w:tab w:val="clear" w:pos="2160"/>
        <w:tab w:val="clear" w:pos="2880"/>
        <w:tab w:val="clear" w:pos="3600"/>
        <w:tab w:val="clear" w:pos="4321"/>
        <w:tab w:val="clear" w:pos="5041"/>
        <w:tab w:val="clear" w:pos="5761"/>
        <w:tab w:val="clear" w:pos="6481"/>
        <w:tab w:val="clear" w:pos="7201"/>
        <w:tab w:val="clear" w:pos="7938"/>
        <w:tab w:val="left" w:pos="7371"/>
        <w:tab w:val="right" w:pos="8505"/>
      </w:tabs>
      <w:ind w:left="0"/>
    </w:pPr>
    <w:r>
      <w:tab/>
      <w:t>Bell</w:t>
    </w:r>
    <w:r>
      <w:tab/>
      <w:t>J</w:t>
    </w:r>
  </w:p>
  <w:p w:rsidR="00A16FF2" w:rsidRDefault="00A16FF2" w:rsidP="008F5902">
    <w:pPr>
      <w:pStyle w:val="Header"/>
      <w:tabs>
        <w:tab w:val="clear" w:pos="720"/>
        <w:tab w:val="clear" w:pos="1134"/>
        <w:tab w:val="clear" w:pos="1440"/>
        <w:tab w:val="clear" w:pos="2160"/>
        <w:tab w:val="clear" w:pos="2880"/>
        <w:tab w:val="clear" w:pos="3600"/>
        <w:tab w:val="clear" w:pos="4321"/>
        <w:tab w:val="clear" w:pos="5041"/>
        <w:tab w:val="clear" w:pos="5761"/>
        <w:tab w:val="clear" w:pos="6481"/>
        <w:tab w:val="clear" w:pos="7201"/>
        <w:tab w:val="clear" w:pos="7938"/>
        <w:tab w:val="left" w:pos="7371"/>
        <w:tab w:val="right" w:pos="8505"/>
      </w:tabs>
      <w:ind w:left="0"/>
    </w:pPr>
  </w:p>
  <w:p w:rsidR="00A16FF2" w:rsidRDefault="00A16FF2">
    <w:pPr>
      <w:pStyle w:val="Header"/>
      <w:jc w:val="center"/>
      <w:rPr>
        <w:rStyle w:val="PageNumber"/>
        <w:i w:val="0"/>
        <w:iCs w:val="0"/>
      </w:rPr>
    </w:pPr>
    <w:r>
      <w:rPr>
        <w:rStyle w:val="PageNumber"/>
        <w:i w:val="0"/>
        <w:iCs w:val="0"/>
      </w:rPr>
      <w:fldChar w:fldCharType="begin"/>
    </w:r>
    <w:r>
      <w:rPr>
        <w:rStyle w:val="PageNumber"/>
        <w:i w:val="0"/>
        <w:iCs w:val="0"/>
      </w:rPr>
      <w:instrText xml:space="preserve"> PAGE </w:instrText>
    </w:r>
    <w:r>
      <w:rPr>
        <w:rStyle w:val="PageNumber"/>
        <w:i w:val="0"/>
        <w:iCs w:val="0"/>
      </w:rPr>
      <w:fldChar w:fldCharType="separate"/>
    </w:r>
    <w:r>
      <w:rPr>
        <w:rStyle w:val="PageNumber"/>
        <w:i w:val="0"/>
        <w:iCs w:val="0"/>
        <w:noProof/>
      </w:rPr>
      <w:t>21</w:t>
    </w:r>
    <w:r>
      <w:rPr>
        <w:rStyle w:val="PageNumber"/>
        <w:i w:val="0"/>
        <w:iCs w:val="0"/>
      </w:rPr>
      <w:fldChar w:fldCharType="end"/>
    </w:r>
    <w:r>
      <w:rPr>
        <w:rStyle w:val="PageNumber"/>
        <w:i w:val="0"/>
        <w:iCs w:val="0"/>
      </w:rPr>
      <w:t>.</w:t>
    </w:r>
  </w:p>
  <w:p w:rsidR="00A16FF2" w:rsidRDefault="00A16FF2">
    <w:pPr>
      <w:pStyle w:val="Header"/>
      <w:ind w:left="0"/>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FF2" w:rsidRDefault="00A16FF2" w:rsidP="008F5902">
    <w:pPr>
      <w:pStyle w:val="Header"/>
    </w:pPr>
  </w:p>
  <w:p w:rsidR="00A16FF2" w:rsidRDefault="00A16FF2" w:rsidP="008F5902">
    <w:pPr>
      <w:pStyle w:val="Header"/>
    </w:pPr>
  </w:p>
  <w:p w:rsidR="00A16FF2" w:rsidRDefault="00A16FF2" w:rsidP="008F5902">
    <w:pPr>
      <w:pStyle w:val="Header"/>
    </w:pPr>
  </w:p>
  <w:p w:rsidR="00A16FF2" w:rsidRDefault="00A16FF2" w:rsidP="008F5902">
    <w:pPr>
      <w:pStyle w:val="Header"/>
    </w:pPr>
  </w:p>
  <w:p w:rsidR="00A16FF2" w:rsidRDefault="00A16FF2" w:rsidP="008F5902">
    <w:pPr>
      <w:pStyle w:val="Header"/>
    </w:pPr>
  </w:p>
  <w:p w:rsidR="00A16FF2" w:rsidRDefault="00A16FF2" w:rsidP="008F5902">
    <w:pPr>
      <w:pStyle w:val="Header"/>
    </w:pPr>
  </w:p>
  <w:p w:rsidR="00A16FF2" w:rsidRDefault="00A16FF2" w:rsidP="008F5902">
    <w:pPr>
      <w:pStyle w:val="Header"/>
    </w:pPr>
  </w:p>
  <w:p w:rsidR="00A16FF2" w:rsidRPr="00AD2A1E" w:rsidRDefault="00A16FF2" w:rsidP="008F590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1972A9CE"/>
    <w:lvl w:ilvl="0">
      <w:start w:val="1"/>
      <w:numFmt w:val="decimal"/>
      <w:lvlText w:val="%1."/>
      <w:lvlJc w:val="left"/>
      <w:pPr>
        <w:tabs>
          <w:tab w:val="num" w:pos="360"/>
        </w:tabs>
        <w:ind w:left="360" w:hanging="360"/>
      </w:pPr>
    </w:lvl>
  </w:abstractNum>
  <w:abstractNum w:abstractNumId="1">
    <w:nsid w:val="76655696"/>
    <w:multiLevelType w:val="singleLevel"/>
    <w:tmpl w:val="F32477B6"/>
    <w:lvl w:ilvl="0">
      <w:start w:val="1"/>
      <w:numFmt w:val="decimal"/>
      <w:lvlText w:val="%1"/>
      <w:lvlJc w:val="left"/>
      <w:pPr>
        <w:tabs>
          <w:tab w:val="num" w:pos="0"/>
        </w:tabs>
        <w:ind w:hanging="720"/>
      </w:pPr>
      <w:rPr>
        <w:rFonts w:hint="default"/>
        <w:sz w:val="20"/>
        <w:szCs w:val="20"/>
      </w:rPr>
    </w:lvl>
  </w:abstractNum>
  <w:num w:numId="1">
    <w:abstractNumId w:val="0"/>
  </w:num>
  <w:num w:numId="2">
    <w:abstractNumId w:val="0"/>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0"/>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evenAndOddHeaders/>
  <w:displayHorizontalDrawingGridEvery w:val="0"/>
  <w:displayVerticalDrawingGridEvery w:val="0"/>
  <w:doNotUseMarginsForDrawingGridOrigin/>
  <w:characterSpacingControl w:val="doNotCompress"/>
  <w:doNotValidateAgainstSchema/>
  <w:doNotDemarcateInvalidXml/>
  <w:footnotePr>
    <w:footnote w:id="0"/>
    <w:footnote w:id="1"/>
    <w:footnote w:id="2"/>
  </w:footnotePr>
  <w:endnotePr>
    <w:endnote w:id="0"/>
    <w:endnote w:id="1"/>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44FC5"/>
    <w:rsid w:val="00044024"/>
    <w:rsid w:val="000A1ED4"/>
    <w:rsid w:val="000D327D"/>
    <w:rsid w:val="001910B3"/>
    <w:rsid w:val="001F7A45"/>
    <w:rsid w:val="002809DD"/>
    <w:rsid w:val="002C46AA"/>
    <w:rsid w:val="003B0999"/>
    <w:rsid w:val="003C373B"/>
    <w:rsid w:val="003C6D69"/>
    <w:rsid w:val="004E3F10"/>
    <w:rsid w:val="00523B22"/>
    <w:rsid w:val="00530F85"/>
    <w:rsid w:val="00590C54"/>
    <w:rsid w:val="006020B0"/>
    <w:rsid w:val="00627EDC"/>
    <w:rsid w:val="006325DE"/>
    <w:rsid w:val="00660D21"/>
    <w:rsid w:val="00696ED0"/>
    <w:rsid w:val="00772071"/>
    <w:rsid w:val="00783C49"/>
    <w:rsid w:val="007A75E9"/>
    <w:rsid w:val="0083218B"/>
    <w:rsid w:val="0087727A"/>
    <w:rsid w:val="0088558A"/>
    <w:rsid w:val="008A73FF"/>
    <w:rsid w:val="008F5902"/>
    <w:rsid w:val="009E2B8C"/>
    <w:rsid w:val="00A03A91"/>
    <w:rsid w:val="00A16FF2"/>
    <w:rsid w:val="00A44FC5"/>
    <w:rsid w:val="00A54C81"/>
    <w:rsid w:val="00A82720"/>
    <w:rsid w:val="00AD2A1E"/>
    <w:rsid w:val="00B846A6"/>
    <w:rsid w:val="00BD1CD4"/>
    <w:rsid w:val="00C655F7"/>
    <w:rsid w:val="00CA2371"/>
    <w:rsid w:val="00D12968"/>
    <w:rsid w:val="00DA46F2"/>
    <w:rsid w:val="00DB3039"/>
    <w:rsid w:val="00E02C71"/>
    <w:rsid w:val="00FA3FAF"/>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tabs>
        <w:tab w:val="left" w:pos="720"/>
        <w:tab w:val="left" w:pos="1440"/>
        <w:tab w:val="left" w:pos="2160"/>
        <w:tab w:val="left" w:pos="2880"/>
        <w:tab w:val="left" w:pos="3600"/>
        <w:tab w:val="left" w:pos="4321"/>
        <w:tab w:val="left" w:pos="5041"/>
        <w:tab w:val="left" w:pos="5761"/>
        <w:tab w:val="left" w:pos="6481"/>
        <w:tab w:val="left" w:pos="7201"/>
      </w:tabs>
      <w:spacing w:line="280" w:lineRule="exact"/>
      <w:jc w:val="both"/>
    </w:pPr>
    <w:rPr>
      <w:sz w:val="26"/>
      <w:szCs w:val="26"/>
      <w:lang w:val="en-GB" w:eastAsia="en-US"/>
    </w:rPr>
  </w:style>
  <w:style w:type="paragraph" w:styleId="Heading1">
    <w:name w:val="heading 1"/>
    <w:basedOn w:val="Normal"/>
    <w:next w:val="Normal"/>
    <w:link w:val="Heading1Char"/>
    <w:uiPriority w:val="99"/>
    <w:qFormat/>
    <w:pPr>
      <w:keepNext/>
      <w:outlineLvl w:val="0"/>
    </w:pPr>
    <w:rPr>
      <w:kern w:val="28"/>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6B29"/>
    <w:rPr>
      <w:rFonts w:asciiTheme="majorHAnsi" w:eastAsiaTheme="majorEastAsia" w:hAnsiTheme="majorHAnsi" w:cstheme="majorBidi"/>
      <w:b/>
      <w:bCs/>
      <w:kern w:val="32"/>
      <w:sz w:val="32"/>
      <w:szCs w:val="32"/>
      <w:lang w:val="en-GB" w:eastAsia="en-US"/>
    </w:rPr>
  </w:style>
  <w:style w:type="paragraph" w:styleId="Header">
    <w:name w:val="header"/>
    <w:basedOn w:val="Normal"/>
    <w:link w:val="HeaderChar"/>
    <w:uiPriority w:val="99"/>
    <w:pPr>
      <w:tabs>
        <w:tab w:val="right" w:pos="1134"/>
        <w:tab w:val="left" w:pos="7938"/>
        <w:tab w:val="right" w:pos="9072"/>
      </w:tabs>
      <w:ind w:left="567"/>
    </w:pPr>
    <w:rPr>
      <w:i/>
      <w:iCs/>
      <w:sz w:val="22"/>
      <w:szCs w:val="22"/>
    </w:rPr>
  </w:style>
  <w:style w:type="character" w:customStyle="1" w:styleId="HeaderChar">
    <w:name w:val="Header Char"/>
    <w:basedOn w:val="DefaultParagraphFont"/>
    <w:link w:val="Header"/>
    <w:uiPriority w:val="99"/>
    <w:semiHidden/>
    <w:rsid w:val="00E46B29"/>
    <w:rPr>
      <w:sz w:val="26"/>
      <w:szCs w:val="26"/>
      <w:lang w:val="en-GB" w:eastAsia="en-US"/>
    </w:rPr>
  </w:style>
  <w:style w:type="character" w:styleId="PageNumber">
    <w:name w:val="page number"/>
    <w:basedOn w:val="DefaultParagraphFont"/>
    <w:uiPriority w:val="99"/>
  </w:style>
  <w:style w:type="paragraph" w:styleId="Footer">
    <w:name w:val="footer"/>
    <w:basedOn w:val="Normal"/>
    <w:link w:val="FooterChar"/>
    <w:uiPriority w:val="99"/>
    <w:pPr>
      <w:tabs>
        <w:tab w:val="left" w:pos="510"/>
        <w:tab w:val="left" w:pos="1021"/>
        <w:tab w:val="left" w:pos="1559"/>
        <w:tab w:val="left" w:pos="2126"/>
        <w:tab w:val="left" w:pos="2693"/>
        <w:tab w:val="center" w:pos="4153"/>
        <w:tab w:val="right" w:pos="8306"/>
      </w:tabs>
    </w:pPr>
  </w:style>
  <w:style w:type="character" w:customStyle="1" w:styleId="FooterChar">
    <w:name w:val="Footer Char"/>
    <w:basedOn w:val="DefaultParagraphFont"/>
    <w:link w:val="Footer"/>
    <w:uiPriority w:val="99"/>
    <w:semiHidden/>
    <w:rsid w:val="00E46B29"/>
    <w:rPr>
      <w:sz w:val="26"/>
      <w:szCs w:val="26"/>
      <w:lang w:val="en-GB" w:eastAsia="en-US"/>
    </w:rPr>
  </w:style>
  <w:style w:type="paragraph" w:customStyle="1" w:styleId="Border">
    <w:name w:val="Border"/>
    <w:basedOn w:val="Normal"/>
    <w:uiPriority w:val="99"/>
    <w:pPr>
      <w:pBdr>
        <w:top w:val="single" w:sz="12" w:space="1" w:color="auto"/>
      </w:pBdr>
      <w:ind w:left="2552" w:right="2551"/>
    </w:pPr>
    <w:rPr>
      <w:sz w:val="24"/>
      <w:szCs w:val="24"/>
    </w:rPr>
  </w:style>
  <w:style w:type="paragraph" w:customStyle="1" w:styleId="FootInd">
    <w:name w:val="FootInd"/>
    <w:basedOn w:val="FootnoteText"/>
    <w:uiPriority w:val="99"/>
    <w:pPr>
      <w:tabs>
        <w:tab w:val="clear" w:pos="720"/>
        <w:tab w:val="clear" w:pos="1440"/>
        <w:tab w:val="clear" w:pos="4321"/>
        <w:tab w:val="clear" w:pos="5041"/>
        <w:tab w:val="clear" w:pos="5761"/>
        <w:tab w:val="clear" w:pos="6481"/>
        <w:tab w:val="clear" w:pos="7201"/>
        <w:tab w:val="left" w:pos="1531"/>
        <w:tab w:val="left" w:pos="1800"/>
        <w:tab w:val="left" w:pos="4320"/>
        <w:tab w:val="left" w:pos="5040"/>
        <w:tab w:val="left" w:pos="5760"/>
        <w:tab w:val="left" w:pos="6480"/>
        <w:tab w:val="left" w:pos="7200"/>
      </w:tabs>
      <w:spacing w:line="240" w:lineRule="exact"/>
      <w:ind w:left="1083" w:hanging="6"/>
    </w:pPr>
    <w:rPr>
      <w:lang w:val="en-AU"/>
    </w:rPr>
  </w:style>
  <w:style w:type="paragraph" w:styleId="FootnoteText">
    <w:name w:val="footnote text"/>
    <w:basedOn w:val="Normal"/>
    <w:link w:val="FootnoteTextChar"/>
    <w:uiPriority w:val="99"/>
    <w:semiHidden/>
    <w:pPr>
      <w:spacing w:after="240"/>
      <w:ind w:left="454" w:hanging="454"/>
    </w:pPr>
    <w:rPr>
      <w:sz w:val="24"/>
      <w:szCs w:val="24"/>
    </w:rPr>
  </w:style>
  <w:style w:type="character" w:customStyle="1" w:styleId="FootnoteTextChar">
    <w:name w:val="Footnote Text Char"/>
    <w:basedOn w:val="DefaultParagraphFont"/>
    <w:link w:val="FootnoteText"/>
    <w:uiPriority w:val="99"/>
    <w:semiHidden/>
    <w:rsid w:val="00E46B29"/>
    <w:rPr>
      <w:sz w:val="20"/>
      <w:szCs w:val="20"/>
      <w:lang w:val="en-GB" w:eastAsia="en-US"/>
    </w:rPr>
  </w:style>
  <w:style w:type="character" w:styleId="FootnoteReference">
    <w:name w:val="footnote reference"/>
    <w:basedOn w:val="DefaultParagraphFont"/>
    <w:uiPriority w:val="99"/>
    <w:semiHidden/>
    <w:rPr>
      <w:b/>
      <w:bCs/>
      <w:sz w:val="24"/>
      <w:szCs w:val="24"/>
      <w:vertAlign w:val="superscript"/>
    </w:rPr>
  </w:style>
  <w:style w:type="paragraph" w:customStyle="1" w:styleId="leftright">
    <w:name w:val="leftright"/>
    <w:basedOn w:val="Normal"/>
    <w:link w:val="leftrightChar"/>
    <w:uiPriority w:val="99"/>
    <w:pPr>
      <w:spacing w:after="240"/>
      <w:ind w:left="720"/>
    </w:pPr>
    <w:rPr>
      <w:lang w:val="en-AU"/>
    </w:rPr>
  </w:style>
  <w:style w:type="paragraph" w:customStyle="1" w:styleId="Norm">
    <w:name w:val="Norm"/>
    <w:uiPriority w:val="99"/>
    <w:pPr>
      <w:tabs>
        <w:tab w:val="left" w:pos="720"/>
        <w:tab w:val="left" w:pos="1440"/>
      </w:tabs>
      <w:ind w:left="567" w:right="567"/>
      <w:jc w:val="both"/>
    </w:pPr>
    <w:rPr>
      <w:sz w:val="24"/>
      <w:szCs w:val="24"/>
      <w:lang w:val="en-GB" w:eastAsia="en-US"/>
    </w:rPr>
  </w:style>
  <w:style w:type="paragraph" w:customStyle="1" w:styleId="BorderOrd">
    <w:name w:val="BorderOrd"/>
    <w:basedOn w:val="Normal"/>
    <w:uiPriority w:val="99"/>
    <w:pPr>
      <w:pBdr>
        <w:top w:val="single" w:sz="12" w:space="1" w:color="auto"/>
      </w:pBdr>
      <w:spacing w:line="240" w:lineRule="auto"/>
      <w:ind w:left="2552" w:right="2551"/>
    </w:pPr>
    <w:rPr>
      <w:sz w:val="24"/>
      <w:szCs w:val="24"/>
    </w:rPr>
  </w:style>
  <w:style w:type="paragraph" w:customStyle="1" w:styleId="FootIndAgain">
    <w:name w:val="FootIndAgain"/>
    <w:basedOn w:val="FootnoteText"/>
    <w:uiPriority w:val="99"/>
    <w:pPr>
      <w:tabs>
        <w:tab w:val="clear" w:pos="4321"/>
        <w:tab w:val="clear" w:pos="5041"/>
        <w:tab w:val="clear" w:pos="5761"/>
        <w:tab w:val="clear" w:pos="6481"/>
        <w:tab w:val="clear" w:pos="7201"/>
        <w:tab w:val="left" w:pos="4320"/>
        <w:tab w:val="left" w:pos="5040"/>
        <w:tab w:val="left" w:pos="5760"/>
        <w:tab w:val="left" w:pos="6480"/>
        <w:tab w:val="left" w:pos="7200"/>
      </w:tabs>
      <w:spacing w:line="240" w:lineRule="exact"/>
      <w:ind w:left="1559" w:firstLine="0"/>
    </w:pPr>
    <w:rPr>
      <w:lang w:val="en-AU"/>
    </w:rPr>
  </w:style>
  <w:style w:type="paragraph" w:styleId="Title">
    <w:name w:val="Title"/>
    <w:basedOn w:val="Normal"/>
    <w:link w:val="TitleChar"/>
    <w:uiPriority w:val="99"/>
    <w:qFormat/>
    <w:pPr>
      <w:spacing w:line="240" w:lineRule="atLeast"/>
      <w:jc w:val="center"/>
      <w:outlineLvl w:val="0"/>
    </w:pPr>
    <w:rPr>
      <w:b/>
      <w:bCs/>
      <w:kern w:val="28"/>
      <w:sz w:val="48"/>
      <w:szCs w:val="48"/>
    </w:rPr>
  </w:style>
  <w:style w:type="character" w:customStyle="1" w:styleId="TitleChar">
    <w:name w:val="Title Char"/>
    <w:basedOn w:val="DefaultParagraphFont"/>
    <w:link w:val="Title"/>
    <w:uiPriority w:val="10"/>
    <w:rsid w:val="00E46B29"/>
    <w:rPr>
      <w:rFonts w:asciiTheme="majorHAnsi" w:eastAsiaTheme="majorEastAsia" w:hAnsiTheme="majorHAnsi" w:cstheme="majorBidi"/>
      <w:b/>
      <w:bCs/>
      <w:kern w:val="28"/>
      <w:sz w:val="32"/>
      <w:szCs w:val="32"/>
      <w:lang w:val="en-GB" w:eastAsia="en-US"/>
    </w:rPr>
  </w:style>
  <w:style w:type="paragraph" w:styleId="ListNumber">
    <w:name w:val="List Number"/>
    <w:basedOn w:val="Normal"/>
    <w:next w:val="Normal"/>
    <w:uiPriority w:val="99"/>
    <w:pPr>
      <w:numPr>
        <w:numId w:val="17"/>
      </w:numPr>
      <w:tabs>
        <w:tab w:val="clear" w:pos="720"/>
        <w:tab w:val="clear" w:pos="1440"/>
        <w:tab w:val="clear" w:pos="2160"/>
        <w:tab w:val="clear" w:pos="2880"/>
        <w:tab w:val="clear" w:pos="3600"/>
        <w:tab w:val="clear" w:pos="4321"/>
        <w:tab w:val="clear" w:pos="5041"/>
        <w:tab w:val="clear" w:pos="5761"/>
        <w:tab w:val="clear" w:pos="6481"/>
        <w:tab w:val="clear" w:pos="7201"/>
      </w:tabs>
      <w:ind w:hanging="709"/>
    </w:pPr>
  </w:style>
  <w:style w:type="paragraph" w:customStyle="1" w:styleId="Quote1">
    <w:name w:val="Quote 1"/>
    <w:basedOn w:val="Normal"/>
    <w:uiPriority w:val="99"/>
    <w:pPr>
      <w:tabs>
        <w:tab w:val="clear" w:pos="720"/>
      </w:tabs>
      <w:ind w:left="1134"/>
    </w:pPr>
  </w:style>
  <w:style w:type="paragraph" w:customStyle="1" w:styleId="Quote2">
    <w:name w:val="Quote 2"/>
    <w:basedOn w:val="Quote1"/>
    <w:uiPriority w:val="99"/>
    <w:pPr>
      <w:tabs>
        <w:tab w:val="clear" w:pos="1440"/>
      </w:tabs>
      <w:ind w:left="1701" w:hanging="567"/>
    </w:pPr>
  </w:style>
  <w:style w:type="paragraph" w:customStyle="1" w:styleId="Topic">
    <w:name w:val="Topic"/>
    <w:basedOn w:val="Normal"/>
    <w:uiPriority w:val="99"/>
    <w:pPr>
      <w:keepNext/>
      <w:ind w:left="567"/>
    </w:pPr>
    <w:rPr>
      <w:u w:val="single"/>
    </w:rPr>
  </w:style>
  <w:style w:type="paragraph" w:customStyle="1" w:styleId="Quote3">
    <w:name w:val="Quote 3"/>
    <w:basedOn w:val="Quote2"/>
    <w:uiPriority w:val="99"/>
    <w:pPr>
      <w:ind w:left="1985" w:firstLine="0"/>
    </w:pPr>
  </w:style>
  <w:style w:type="paragraph" w:styleId="BlockText">
    <w:name w:val="Block Text"/>
    <w:basedOn w:val="Normal"/>
    <w:uiPriority w:val="99"/>
    <w:pPr>
      <w:tabs>
        <w:tab w:val="left" w:pos="5103"/>
        <w:tab w:val="right" w:pos="7797"/>
      </w:tabs>
      <w:spacing w:line="240" w:lineRule="auto"/>
      <w:ind w:left="851" w:right="942"/>
      <w:jc w:val="left"/>
    </w:pPr>
  </w:style>
  <w:style w:type="character" w:customStyle="1" w:styleId="Ital">
    <w:name w:val="Ital"/>
    <w:basedOn w:val="DefaultParagraphFont"/>
    <w:uiPriority w:val="99"/>
    <w:rPr>
      <w:i/>
      <w:iCs/>
      <w:sz w:val="26"/>
      <w:szCs w:val="26"/>
    </w:rPr>
  </w:style>
  <w:style w:type="paragraph" w:customStyle="1" w:styleId="Quote4">
    <w:name w:val="Quote4"/>
    <w:basedOn w:val="Quote1"/>
    <w:uiPriority w:val="99"/>
    <w:pPr>
      <w:ind w:left="2835" w:hanging="567"/>
    </w:pPr>
  </w:style>
  <w:style w:type="paragraph" w:customStyle="1" w:styleId="FootNorm">
    <w:name w:val="FootNorm"/>
    <w:basedOn w:val="FootnoteText"/>
    <w:autoRedefine/>
    <w:uiPriority w:val="99"/>
    <w:rsid w:val="00A44FC5"/>
    <w:pPr>
      <w:tabs>
        <w:tab w:val="clear" w:pos="4321"/>
        <w:tab w:val="clear" w:pos="5041"/>
        <w:tab w:val="clear" w:pos="5761"/>
        <w:tab w:val="clear" w:pos="6481"/>
        <w:tab w:val="clear" w:pos="7201"/>
        <w:tab w:val="left" w:pos="4320"/>
        <w:tab w:val="left" w:pos="5040"/>
        <w:tab w:val="left" w:pos="5760"/>
        <w:tab w:val="left" w:pos="6480"/>
        <w:tab w:val="left" w:pos="7200"/>
      </w:tabs>
      <w:spacing w:line="240" w:lineRule="exact"/>
      <w:ind w:left="510" w:right="130" w:firstLine="0"/>
      <w:jc w:val="left"/>
    </w:pPr>
    <w:rPr>
      <w:rFonts w:ascii="Univers" w:hAnsi="Univers" w:cs="Univers"/>
      <w:sz w:val="26"/>
      <w:szCs w:val="26"/>
      <w:lang w:val="en-US" w:eastAsia="en-AU"/>
    </w:rPr>
  </w:style>
  <w:style w:type="character" w:customStyle="1" w:styleId="leftrightChar">
    <w:name w:val="leftright Char"/>
    <w:basedOn w:val="DefaultParagraphFont"/>
    <w:link w:val="leftright"/>
    <w:uiPriority w:val="99"/>
    <w:locked/>
    <w:rsid w:val="00696ED0"/>
    <w:rPr>
      <w:sz w:val="26"/>
      <w:szCs w:val="26"/>
      <w:lang w:val="en-AU" w:eastAsia="en-US"/>
    </w:rPr>
  </w:style>
  <w:style w:type="character" w:customStyle="1" w:styleId="verdana">
    <w:name w:val="verdana"/>
    <w:basedOn w:val="DefaultParagraphFont"/>
    <w:uiPriority w:val="99"/>
    <w:rsid w:val="00696ED0"/>
  </w:style>
  <w:style w:type="character" w:customStyle="1" w:styleId="ssl4">
    <w:name w:val="ss_l4"/>
    <w:basedOn w:val="DefaultParagraphFont"/>
    <w:uiPriority w:val="99"/>
    <w:rsid w:val="00696ED0"/>
  </w:style>
  <w:style w:type="character" w:styleId="Hyperlink">
    <w:name w:val="Hyperlink"/>
    <w:basedOn w:val="DefaultParagraphFont"/>
    <w:uiPriority w:val="99"/>
    <w:rsid w:val="003C6D6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5.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27</Pages>
  <Words>6398</Words>
  <Characters>-32766</Characters>
  <Application>Microsoft Office Outlook</Application>
  <DocSecurity>0</DocSecurity>
  <Lines>0</Lines>
  <Paragraphs>0</Paragraphs>
  <ScaleCrop>false</ScaleCrop>
  <Company>High Court of Australia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Orders page 1</dc:title>
  <dc:subject/>
  <dc:creator>Setup</dc:creator>
  <cp:keywords/>
  <dc:description/>
  <cp:lastModifiedBy> </cp:lastModifiedBy>
  <cp:revision>2</cp:revision>
  <cp:lastPrinted>2000-08-23T22:45:00Z</cp:lastPrinted>
  <dcterms:created xsi:type="dcterms:W3CDTF">2010-10-28T06:30:00Z</dcterms:created>
  <dcterms:modified xsi:type="dcterms:W3CDTF">2010-10-28T06:30:00Z</dcterms:modified>
</cp:coreProperties>
</file>