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BF" w:rsidRDefault="00A306BF">
      <w:pPr>
        <w:pStyle w:val="NormalHeadings"/>
        <w:jc w:val="center"/>
        <w:rPr>
          <w:sz w:val="32"/>
        </w:rPr>
      </w:pPr>
      <w:r>
        <w:rPr>
          <w:sz w:val="32"/>
        </w:rPr>
        <w:t>FEDERAL COURT OF AUSTRALIA</w:t>
      </w:r>
    </w:p>
    <w:p w:rsidR="00A306BF" w:rsidRDefault="00A306BF">
      <w:pPr>
        <w:pStyle w:val="NormalHeadings"/>
        <w:jc w:val="center"/>
        <w:rPr>
          <w:sz w:val="32"/>
        </w:rPr>
      </w:pPr>
    </w:p>
    <w:p w:rsidR="00A306BF" w:rsidRDefault="00B10DA0">
      <w:pPr>
        <w:pStyle w:val="MediaNeutralStyle"/>
      </w:pPr>
      <w:bookmarkStart w:id="0" w:name="MNC"/>
      <w:proofErr w:type="spellStart"/>
      <w:r>
        <w:t>Neobev</w:t>
      </w:r>
      <w:proofErr w:type="spellEnd"/>
      <w:r>
        <w:t xml:space="preserve"> Pty Ltd v Bacchus Distillery Pty Ltd (Administrators Appointed</w:t>
      </w:r>
      <w:r w:rsidR="00727DBA">
        <w:t>)</w:t>
      </w:r>
      <w:r w:rsidR="00B27359">
        <w:t xml:space="preserve"> (No </w:t>
      </w:r>
      <w:r w:rsidR="003D38F8">
        <w:t>5</w:t>
      </w:r>
      <w:r>
        <w:t xml:space="preserve">) [2014] </w:t>
      </w:r>
      <w:proofErr w:type="spellStart"/>
      <w:r>
        <w:t>FCA</w:t>
      </w:r>
      <w:proofErr w:type="spellEnd"/>
      <w:r w:rsidR="00B27359">
        <w:t xml:space="preserve"> </w:t>
      </w:r>
      <w:r w:rsidR="00116F5A">
        <w:t>95</w:t>
      </w:r>
      <w:bookmarkEnd w:id="0"/>
    </w:p>
    <w:p w:rsidR="00A306BF" w:rsidRDefault="00A306BF">
      <w:pPr>
        <w:pStyle w:val="Normal1linespace"/>
      </w:pPr>
    </w:p>
    <w:tbl>
      <w:tblPr>
        <w:tblW w:w="0" w:type="auto"/>
        <w:tblLook w:val="01E0" w:firstRow="1" w:lastRow="1" w:firstColumn="1" w:lastColumn="1" w:noHBand="0" w:noVBand="0"/>
      </w:tblPr>
      <w:tblGrid>
        <w:gridCol w:w="3062"/>
        <w:gridCol w:w="23"/>
        <w:gridCol w:w="5954"/>
        <w:gridCol w:w="9"/>
      </w:tblGrid>
      <w:tr w:rsidR="00A306BF">
        <w:trPr>
          <w:gridAfter w:val="1"/>
          <w:wAfter w:w="9" w:type="dxa"/>
        </w:trPr>
        <w:tc>
          <w:tcPr>
            <w:tcW w:w="3085" w:type="dxa"/>
            <w:gridSpan w:val="2"/>
            <w:shd w:val="clear" w:color="auto" w:fill="auto"/>
          </w:tcPr>
          <w:p w:rsidR="00A306BF" w:rsidRDefault="00A306BF">
            <w:pPr>
              <w:pStyle w:val="Normal1linespace"/>
              <w:widowControl w:val="0"/>
            </w:pPr>
            <w:r>
              <w:t>Citation:</w:t>
            </w:r>
          </w:p>
        </w:tc>
        <w:tc>
          <w:tcPr>
            <w:tcW w:w="5954" w:type="dxa"/>
            <w:shd w:val="clear" w:color="auto" w:fill="auto"/>
          </w:tcPr>
          <w:p w:rsidR="00A306BF" w:rsidRDefault="00B10DA0" w:rsidP="003D38F8">
            <w:pPr>
              <w:pStyle w:val="Normal1linespace"/>
              <w:widowControl w:val="0"/>
              <w:jc w:val="left"/>
            </w:pPr>
            <w:proofErr w:type="spellStart"/>
            <w:r>
              <w:t>Neobev</w:t>
            </w:r>
            <w:proofErr w:type="spellEnd"/>
            <w:r>
              <w:t xml:space="preserve"> Pty Ltd v Bacchus Distillery Pty Ltd </w:t>
            </w:r>
            <w:r w:rsidR="00B27359">
              <w:t xml:space="preserve">(Administrators Appointed) (No </w:t>
            </w:r>
            <w:r w:rsidR="003D38F8">
              <w:t>5</w:t>
            </w:r>
            <w:r>
              <w:t xml:space="preserve">) [2014] </w:t>
            </w:r>
            <w:proofErr w:type="spellStart"/>
            <w:r>
              <w:t>FCA</w:t>
            </w:r>
            <w:proofErr w:type="spellEnd"/>
            <w:r>
              <w:t xml:space="preserve"> </w:t>
            </w:r>
            <w:r w:rsidR="00116F5A">
              <w:t>95</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Parties:</w:t>
            </w:r>
          </w:p>
        </w:tc>
        <w:tc>
          <w:tcPr>
            <w:tcW w:w="5954" w:type="dxa"/>
            <w:shd w:val="clear" w:color="auto" w:fill="auto"/>
          </w:tcPr>
          <w:p w:rsidR="00A306BF" w:rsidRDefault="00B10DA0">
            <w:pPr>
              <w:pStyle w:val="Normal1linespace"/>
              <w:widowControl w:val="0"/>
              <w:jc w:val="left"/>
              <w:rPr>
                <w:b/>
              </w:rPr>
            </w:pPr>
            <w:bookmarkStart w:id="1" w:name="JudgmentFP"/>
            <w:proofErr w:type="spellStart"/>
            <w:r>
              <w:rPr>
                <w:b/>
              </w:rPr>
              <w:t>NEOBEV</w:t>
            </w:r>
            <w:proofErr w:type="spellEnd"/>
            <w:r>
              <w:rPr>
                <w:b/>
              </w:rPr>
              <w:t xml:space="preserve"> PTY LTD (</w:t>
            </w:r>
            <w:proofErr w:type="spellStart"/>
            <w:r>
              <w:rPr>
                <w:b/>
              </w:rPr>
              <w:t>ACN</w:t>
            </w:r>
            <w:proofErr w:type="spellEnd"/>
            <w:r>
              <w:rPr>
                <w:b/>
              </w:rPr>
              <w:t xml:space="preserve"> 165 795 746) v BACCHUS DISTILLERY PTY LTD (ADMINISTRATORS APPOINTED) (</w:t>
            </w:r>
            <w:proofErr w:type="spellStart"/>
            <w:r>
              <w:rPr>
                <w:b/>
              </w:rPr>
              <w:t>ACN</w:t>
            </w:r>
            <w:proofErr w:type="spellEnd"/>
            <w:r>
              <w:rPr>
                <w:b/>
              </w:rPr>
              <w:t xml:space="preserve"> 065 961 711)</w:t>
            </w:r>
            <w:bookmarkEnd w:id="1"/>
            <w:r>
              <w:rPr>
                <w:b/>
              </w:rPr>
              <w:t xml:space="preserve">; MAX SCOTT CONSULTING PTY LTD </w:t>
            </w:r>
            <w:r w:rsidR="00B27359">
              <w:rPr>
                <w:b/>
              </w:rPr>
              <w:t>(</w:t>
            </w:r>
            <w:proofErr w:type="spellStart"/>
            <w:r w:rsidR="00B27359">
              <w:rPr>
                <w:b/>
              </w:rPr>
              <w:t>ACN</w:t>
            </w:r>
            <w:proofErr w:type="spellEnd"/>
            <w:r w:rsidR="00B27359">
              <w:rPr>
                <w:b/>
              </w:rPr>
              <w:t xml:space="preserve"> 098 170 480) </w:t>
            </w:r>
            <w:r>
              <w:rPr>
                <w:b/>
              </w:rPr>
              <w:t>and MAX SCOTT</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rsidP="006B5FB5">
            <w:pPr>
              <w:pStyle w:val="Normal1linespace"/>
              <w:widowControl w:val="0"/>
            </w:pPr>
            <w:r>
              <w:t>File number:</w:t>
            </w:r>
          </w:p>
        </w:tc>
        <w:tc>
          <w:tcPr>
            <w:tcW w:w="5954" w:type="dxa"/>
            <w:shd w:val="clear" w:color="auto" w:fill="auto"/>
          </w:tcPr>
          <w:p w:rsidR="00A306BF" w:rsidRDefault="00A306BF" w:rsidP="006B5FB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857B30">
              <w:rPr>
                <w:szCs w:val="24"/>
              </w:rPr>
              <w:t xml:space="preserve">SAD </w:t>
            </w:r>
            <w:r w:rsidR="006B5FB5">
              <w:rPr>
                <w:szCs w:val="24"/>
              </w:rPr>
              <w:t>291</w:t>
            </w:r>
            <w:r w:rsidR="00857B30">
              <w:rPr>
                <w:szCs w:val="24"/>
              </w:rPr>
              <w:t xml:space="preserve"> of 20</w:t>
            </w:r>
            <w:r w:rsidR="006B5FB5">
              <w:rPr>
                <w:szCs w:val="24"/>
              </w:rPr>
              <w:t>13</w:t>
            </w:r>
            <w:r>
              <w:rPr>
                <w:szCs w:val="24"/>
              </w:rPr>
              <w:fldChar w:fldCharType="end"/>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6B5FB5">
            <w:pPr>
              <w:pStyle w:val="Normal1linespace"/>
              <w:widowControl w:val="0"/>
            </w:pPr>
            <w:r>
              <w:t>Judge</w:t>
            </w:r>
            <w:r w:rsidR="00A306BF">
              <w:t>:</w:t>
            </w:r>
          </w:p>
        </w:tc>
        <w:tc>
          <w:tcPr>
            <w:tcW w:w="5954" w:type="dxa"/>
            <w:shd w:val="clear" w:color="auto" w:fill="auto"/>
          </w:tcPr>
          <w:p w:rsidR="00A306BF" w:rsidRDefault="00A306BF">
            <w:pPr>
              <w:pStyle w:val="Normal1linespace"/>
              <w:widowControl w:val="0"/>
              <w:jc w:val="left"/>
              <w:rPr>
                <w:b/>
              </w:rPr>
            </w:pPr>
            <w:r w:rsidRPr="00857B30">
              <w:rPr>
                <w:b/>
              </w:rPr>
              <w:fldChar w:fldCharType="begin" w:fldLock="1"/>
            </w:r>
            <w:r w:rsidRPr="00857B30">
              <w:rPr>
                <w:b/>
              </w:rPr>
              <w:instrText xml:space="preserve"> REF  Judge  \* MERGEFORMAT </w:instrText>
            </w:r>
            <w:r w:rsidRPr="00857B30">
              <w:rPr>
                <w:b/>
              </w:rPr>
              <w:fldChar w:fldCharType="separate"/>
            </w:r>
            <w:r w:rsidR="00857B30" w:rsidRPr="00857B30">
              <w:rPr>
                <w:b/>
                <w:caps/>
                <w:szCs w:val="24"/>
              </w:rPr>
              <w:t>BESANKO J</w:t>
            </w:r>
            <w:r w:rsidRPr="00857B30">
              <w:rPr>
                <w:b/>
              </w:rPr>
              <w:fldChar w:fldCharType="end"/>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Date of judgment:</w:t>
            </w:r>
          </w:p>
        </w:tc>
        <w:tc>
          <w:tcPr>
            <w:tcW w:w="5954" w:type="dxa"/>
            <w:shd w:val="clear" w:color="auto" w:fill="auto"/>
          </w:tcPr>
          <w:p w:rsidR="00A306BF" w:rsidRDefault="003D38F8">
            <w:pPr>
              <w:pStyle w:val="Normal1linespace"/>
              <w:widowControl w:val="0"/>
              <w:jc w:val="left"/>
            </w:pPr>
            <w:r>
              <w:t xml:space="preserve">19 </w:t>
            </w:r>
            <w:r w:rsidR="00C024EA">
              <w:t>February 2014</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Catchwords:</w:t>
            </w:r>
          </w:p>
        </w:tc>
        <w:tc>
          <w:tcPr>
            <w:tcW w:w="5954" w:type="dxa"/>
            <w:shd w:val="clear" w:color="auto" w:fill="auto"/>
          </w:tcPr>
          <w:p w:rsidR="00AD0209" w:rsidRDefault="00AD0209" w:rsidP="00AD0209">
            <w:pPr>
              <w:spacing w:line="240" w:lineRule="auto"/>
              <w:rPr>
                <w:szCs w:val="24"/>
              </w:rPr>
            </w:pPr>
            <w:bookmarkStart w:id="2" w:name="Catchwords"/>
            <w:r>
              <w:rPr>
                <w:b/>
                <w:szCs w:val="24"/>
              </w:rPr>
              <w:t>COSTS</w:t>
            </w:r>
            <w:r w:rsidR="004C4376">
              <w:rPr>
                <w:szCs w:val="24"/>
              </w:rPr>
              <w:t xml:space="preserve"> – A</w:t>
            </w:r>
            <w:r>
              <w:rPr>
                <w:szCs w:val="24"/>
              </w:rPr>
              <w:t>pplicant succeeds on</w:t>
            </w:r>
            <w:bookmarkStart w:id="3" w:name="_GoBack"/>
            <w:bookmarkEnd w:id="3"/>
            <w:r>
              <w:rPr>
                <w:szCs w:val="24"/>
              </w:rPr>
              <w:t xml:space="preserve"> some but not all issues in a proceeding – whether </w:t>
            </w:r>
            <w:r w:rsidR="004C4376">
              <w:rPr>
                <w:szCs w:val="24"/>
              </w:rPr>
              <w:t>A</w:t>
            </w:r>
            <w:r>
              <w:rPr>
                <w:szCs w:val="24"/>
              </w:rPr>
              <w:t>pplicant succeeded on main issues in the proceeding – appropriate reduction in costs orders – further disputes between the parties concerning the property in issue in the proceeding – subsequent proceeding issued in the Supreme Court of Victoria – whether costs determination should be adjourned until subsequent pr</w:t>
            </w:r>
            <w:r w:rsidR="004C4376">
              <w:rPr>
                <w:szCs w:val="24"/>
              </w:rPr>
              <w:t>oceedings determined – whether A</w:t>
            </w:r>
            <w:r>
              <w:rPr>
                <w:szCs w:val="24"/>
              </w:rPr>
              <w:t xml:space="preserve">pplicant would ultimately receive any benefit from final orders made – whether proceedings futile – whether </w:t>
            </w:r>
            <w:proofErr w:type="spellStart"/>
            <w:r>
              <w:rPr>
                <w:szCs w:val="24"/>
              </w:rPr>
              <w:t>Calderb</w:t>
            </w:r>
            <w:r w:rsidR="004C4376">
              <w:rPr>
                <w:szCs w:val="24"/>
              </w:rPr>
              <w:t>ank</w:t>
            </w:r>
            <w:proofErr w:type="spellEnd"/>
            <w:r w:rsidR="004C4376">
              <w:rPr>
                <w:szCs w:val="24"/>
              </w:rPr>
              <w:t xml:space="preserve"> letter effective – whether A</w:t>
            </w:r>
            <w:r>
              <w:rPr>
                <w:szCs w:val="24"/>
              </w:rPr>
              <w:t>pplicant had collateral purpose in bringing proceeding – whether proceedi</w:t>
            </w:r>
            <w:r w:rsidR="004C4376">
              <w:rPr>
                <w:szCs w:val="24"/>
              </w:rPr>
              <w:t>ng would have been resolved if A</w:t>
            </w:r>
            <w:r>
              <w:rPr>
                <w:szCs w:val="24"/>
              </w:rPr>
              <w:t>pplicant raised amendments to claim earlier – release of security paid into solicitor’s trust account.</w:t>
            </w:r>
          </w:p>
          <w:p w:rsidR="00AD0209" w:rsidRPr="0024223E" w:rsidRDefault="00AD0209" w:rsidP="00AD0209">
            <w:pPr>
              <w:spacing w:line="240" w:lineRule="auto"/>
              <w:rPr>
                <w:szCs w:val="24"/>
              </w:rPr>
            </w:pPr>
          </w:p>
          <w:p w:rsidR="00A306BF" w:rsidRDefault="00AD0209" w:rsidP="00AD0209">
            <w:pPr>
              <w:spacing w:line="240" w:lineRule="auto"/>
            </w:pPr>
            <w:r>
              <w:rPr>
                <w:b/>
                <w:szCs w:val="24"/>
              </w:rPr>
              <w:t>Held:</w:t>
            </w:r>
            <w:r>
              <w:rPr>
                <w:szCs w:val="24"/>
              </w:rPr>
              <w:t xml:space="preserve"> Respondent to pay 70% of the Applicant and Cross Respondents’ costs, including any reserved costs, but excluding costs subject to prior orders in favour of the Respondent. Security released.</w:t>
            </w:r>
            <w:r>
              <w:t xml:space="preserve"> </w:t>
            </w:r>
            <w:bookmarkEnd w:id="2"/>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Legislation:</w:t>
            </w:r>
          </w:p>
        </w:tc>
        <w:tc>
          <w:tcPr>
            <w:tcW w:w="5954" w:type="dxa"/>
            <w:shd w:val="clear" w:color="auto" w:fill="auto"/>
          </w:tcPr>
          <w:p w:rsidR="00A70907" w:rsidRDefault="00D917E3" w:rsidP="005B73D4">
            <w:pPr>
              <w:pStyle w:val="Normal1linespace"/>
              <w:widowControl w:val="0"/>
              <w:jc w:val="left"/>
            </w:pPr>
            <w:bookmarkStart w:id="4" w:name="Legislation"/>
            <w:r>
              <w:rPr>
                <w:i/>
              </w:rPr>
              <w:t xml:space="preserve">Federal Court of Australia Act 1976 </w:t>
            </w:r>
            <w:r>
              <w:t>(</w:t>
            </w:r>
            <w:proofErr w:type="spellStart"/>
            <w:r>
              <w:t>Cth</w:t>
            </w:r>
            <w:proofErr w:type="spellEnd"/>
            <w:r>
              <w:t xml:space="preserve">) s 43 </w:t>
            </w:r>
            <w:bookmarkEnd w:id="4"/>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Cases cited:</w:t>
            </w:r>
          </w:p>
        </w:tc>
        <w:tc>
          <w:tcPr>
            <w:tcW w:w="5954" w:type="dxa"/>
            <w:shd w:val="clear" w:color="auto" w:fill="auto"/>
          </w:tcPr>
          <w:p w:rsidR="00D917E3" w:rsidRDefault="00D917E3" w:rsidP="00D917E3">
            <w:pPr>
              <w:pStyle w:val="Normal1linespace"/>
              <w:widowControl w:val="0"/>
              <w:jc w:val="left"/>
              <w:rPr>
                <w:i/>
              </w:rPr>
            </w:pPr>
            <w:bookmarkStart w:id="5" w:name="Cases_Cited"/>
            <w:proofErr w:type="spellStart"/>
            <w:r w:rsidRPr="00BB1875">
              <w:rPr>
                <w:i/>
              </w:rPr>
              <w:t>Neobev</w:t>
            </w:r>
            <w:proofErr w:type="spellEnd"/>
            <w:r w:rsidRPr="00BB1875">
              <w:rPr>
                <w:i/>
              </w:rPr>
              <w:t xml:space="preserve"> Pty Ltd v Bacchus Distillery Pty Ltd (Administrators Appointed) (No </w:t>
            </w:r>
            <w:r>
              <w:rPr>
                <w:i/>
              </w:rPr>
              <w:t>3</w:t>
            </w:r>
            <w:r w:rsidRPr="00BB1875">
              <w:rPr>
                <w:i/>
              </w:rPr>
              <w:t xml:space="preserve">) </w:t>
            </w:r>
            <w:r>
              <w:t xml:space="preserve">[2014] </w:t>
            </w:r>
            <w:proofErr w:type="spellStart"/>
            <w:r>
              <w:t>FCA</w:t>
            </w:r>
            <w:proofErr w:type="spellEnd"/>
            <w:r>
              <w:t xml:space="preserve"> 4</w:t>
            </w:r>
          </w:p>
          <w:p w:rsidR="00D917E3" w:rsidRDefault="00D917E3" w:rsidP="00D917E3">
            <w:pPr>
              <w:pStyle w:val="Normal1linespace"/>
              <w:widowControl w:val="0"/>
              <w:jc w:val="left"/>
            </w:pPr>
            <w:proofErr w:type="spellStart"/>
            <w:r w:rsidRPr="00BB1875">
              <w:rPr>
                <w:i/>
              </w:rPr>
              <w:t>Neobev</w:t>
            </w:r>
            <w:proofErr w:type="spellEnd"/>
            <w:r w:rsidRPr="00BB1875">
              <w:rPr>
                <w:i/>
              </w:rPr>
              <w:t xml:space="preserve"> Pty Ltd v Bacchus Distillery Pty Ltd (Administrators Appointed) (No </w:t>
            </w:r>
            <w:r>
              <w:rPr>
                <w:i/>
              </w:rPr>
              <w:t>4</w:t>
            </w:r>
            <w:r w:rsidRPr="00BB1875">
              <w:rPr>
                <w:i/>
              </w:rPr>
              <w:t xml:space="preserve">) </w:t>
            </w:r>
            <w:r>
              <w:t xml:space="preserve">[2014] </w:t>
            </w:r>
            <w:proofErr w:type="spellStart"/>
            <w:r>
              <w:t>FCA</w:t>
            </w:r>
            <w:proofErr w:type="spellEnd"/>
            <w:r>
              <w:t xml:space="preserve"> 21</w:t>
            </w:r>
            <w:r>
              <w:rPr>
                <w:i/>
              </w:rPr>
              <w:t xml:space="preserve"> </w:t>
            </w:r>
            <w:bookmarkEnd w:id="5"/>
          </w:p>
          <w:p w:rsidR="00A306BF" w:rsidRDefault="00A306BF" w:rsidP="003D38F8">
            <w:pPr>
              <w:pStyle w:val="Normal1linespace"/>
              <w:widowControl w:val="0"/>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BB1875">
            <w:pPr>
              <w:pStyle w:val="Normal1linespace"/>
              <w:jc w:val="left"/>
            </w:pPr>
            <w:bookmarkStart w:id="6" w:name="CounselDate"/>
            <w:r w:rsidRPr="00895C62">
              <w:t>Date of hearing:</w:t>
            </w:r>
          </w:p>
        </w:tc>
        <w:tc>
          <w:tcPr>
            <w:tcW w:w="5986" w:type="dxa"/>
            <w:gridSpan w:val="3"/>
            <w:shd w:val="clear" w:color="auto" w:fill="auto"/>
          </w:tcPr>
          <w:p w:rsidR="007772AC" w:rsidRPr="00895C62" w:rsidRDefault="003D38F8" w:rsidP="003D38F8">
            <w:pPr>
              <w:pStyle w:val="Normal1linespace"/>
              <w:jc w:val="left"/>
            </w:pPr>
            <w:bookmarkStart w:id="7" w:name="HearingDate"/>
            <w:r>
              <w:t>13</w:t>
            </w:r>
            <w:r w:rsidR="00BB1875">
              <w:t xml:space="preserve"> </w:t>
            </w:r>
            <w:r>
              <w:t>February</w:t>
            </w:r>
            <w:r w:rsidR="00BB1875">
              <w:t xml:space="preserve"> 2014</w:t>
            </w:r>
            <w:bookmarkEnd w:id="7"/>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bookmarkEnd w:id="6"/>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Place:</w:t>
            </w:r>
          </w:p>
        </w:tc>
        <w:tc>
          <w:tcPr>
            <w:tcW w:w="5986" w:type="dxa"/>
            <w:gridSpan w:val="3"/>
            <w:shd w:val="clear" w:color="auto" w:fill="auto"/>
          </w:tcPr>
          <w:p w:rsidR="007772AC" w:rsidRPr="00895C62" w:rsidRDefault="003B2E94" w:rsidP="007772AC">
            <w:pPr>
              <w:pStyle w:val="Normal1linespace"/>
              <w:jc w:val="left"/>
            </w:pPr>
            <w:r>
              <w:fldChar w:fldCharType="begin"/>
            </w:r>
            <w:r>
              <w:instrText xml:space="preserve"> DOCVARIABLE  Place_SentenceCase  \* MERGEFORMAT </w:instrText>
            </w:r>
            <w:r>
              <w:fldChar w:fldCharType="separate"/>
            </w:r>
            <w:r w:rsidR="007772AC">
              <w:t>Adelaide</w:t>
            </w:r>
            <w:r>
              <w:fldChar w:fldCharType="end"/>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Division:</w:t>
            </w:r>
          </w:p>
        </w:tc>
        <w:tc>
          <w:tcPr>
            <w:tcW w:w="5986" w:type="dxa"/>
            <w:gridSpan w:val="3"/>
            <w:shd w:val="clear" w:color="auto" w:fill="auto"/>
          </w:tcPr>
          <w:p w:rsidR="007772AC" w:rsidRPr="00895C62" w:rsidRDefault="003B2E94" w:rsidP="007772AC">
            <w:pPr>
              <w:pStyle w:val="Normal1linespace"/>
              <w:jc w:val="left"/>
            </w:pPr>
            <w:r>
              <w:fldChar w:fldCharType="begin"/>
            </w:r>
            <w:r>
              <w:instrText xml:space="preserve"> REF  Division </w:instrText>
            </w:r>
            <w:r>
              <w:fldChar w:fldCharType="separate"/>
            </w:r>
            <w:r w:rsidR="004C4376">
              <w:rPr>
                <w:caps/>
                <w:szCs w:val="24"/>
              </w:rPr>
              <w:t>GENERAL DIVISION</w:t>
            </w:r>
            <w:r>
              <w:rPr>
                <w:caps/>
                <w:szCs w:val="24"/>
              </w:rPr>
              <w:fldChar w:fldCharType="end"/>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Category:</w:t>
            </w:r>
          </w:p>
        </w:tc>
        <w:tc>
          <w:tcPr>
            <w:tcW w:w="5986" w:type="dxa"/>
            <w:gridSpan w:val="3"/>
            <w:shd w:val="clear" w:color="auto" w:fill="auto"/>
          </w:tcPr>
          <w:p w:rsidR="007772AC" w:rsidRPr="00895C62" w:rsidRDefault="007772AC" w:rsidP="007772AC">
            <w:pPr>
              <w:pStyle w:val="Normal1linespace"/>
              <w:jc w:val="left"/>
            </w:pPr>
            <w:r>
              <w:t>Catchwords</w:t>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Number of paragraphs:</w:t>
            </w:r>
          </w:p>
        </w:tc>
        <w:tc>
          <w:tcPr>
            <w:tcW w:w="5986" w:type="dxa"/>
            <w:gridSpan w:val="3"/>
            <w:shd w:val="clear" w:color="auto" w:fill="auto"/>
          </w:tcPr>
          <w:p w:rsidR="007772AC" w:rsidRPr="00895C62" w:rsidRDefault="00D644B9" w:rsidP="007772AC">
            <w:pPr>
              <w:pStyle w:val="Normal1linespace"/>
              <w:jc w:val="left"/>
            </w:pPr>
            <w:r>
              <w:t>20</w:t>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bookmarkStart w:id="8" w:name="Counsel"/>
            <w:r>
              <w:t>Counsel for the Applicant/Cross Respondents:</w:t>
            </w:r>
          </w:p>
        </w:tc>
        <w:tc>
          <w:tcPr>
            <w:tcW w:w="5986" w:type="dxa"/>
            <w:gridSpan w:val="3"/>
            <w:shd w:val="clear" w:color="auto" w:fill="auto"/>
          </w:tcPr>
          <w:p w:rsidR="007772AC" w:rsidRPr="00895C62" w:rsidRDefault="00145489" w:rsidP="00145489">
            <w:pPr>
              <w:pStyle w:val="Normal1linespace"/>
              <w:jc w:val="left"/>
            </w:pPr>
            <w:bookmarkStart w:id="9" w:name="AppCounsel"/>
            <w:bookmarkEnd w:id="9"/>
            <w:r>
              <w:t>Mr D Williams</w:t>
            </w:r>
            <w:r w:rsidR="007772AC">
              <w:t xml:space="preserve"> SC with Mr L Merrick</w:t>
            </w: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Solicitor for the Applicant/Cross Respondents:</w:t>
            </w:r>
          </w:p>
        </w:tc>
        <w:tc>
          <w:tcPr>
            <w:tcW w:w="5986" w:type="dxa"/>
            <w:gridSpan w:val="3"/>
            <w:shd w:val="clear" w:color="auto" w:fill="auto"/>
          </w:tcPr>
          <w:p w:rsidR="007772AC" w:rsidRDefault="007772AC" w:rsidP="007772AC">
            <w:pPr>
              <w:pStyle w:val="Normal1linespace"/>
              <w:jc w:val="left"/>
            </w:pPr>
            <w:r>
              <w:t>Piper Alderman</w:t>
            </w: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Counsel for the Respondent/Cross Claimant:</w:t>
            </w:r>
          </w:p>
        </w:tc>
        <w:tc>
          <w:tcPr>
            <w:tcW w:w="5986" w:type="dxa"/>
            <w:gridSpan w:val="3"/>
            <w:shd w:val="clear" w:color="auto" w:fill="auto"/>
          </w:tcPr>
          <w:p w:rsidR="007772AC" w:rsidRDefault="007772AC" w:rsidP="002D61F1">
            <w:pPr>
              <w:pStyle w:val="Normal1linespace"/>
              <w:jc w:val="left"/>
            </w:pPr>
            <w:r>
              <w:t xml:space="preserve">Mr </w:t>
            </w:r>
            <w:r w:rsidR="00145489">
              <w:t>T Cox SC</w:t>
            </w: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Solicitor for the Respondent/Cross Claimant:</w:t>
            </w:r>
          </w:p>
        </w:tc>
        <w:tc>
          <w:tcPr>
            <w:tcW w:w="5986" w:type="dxa"/>
            <w:gridSpan w:val="3"/>
            <w:shd w:val="clear" w:color="auto" w:fill="auto"/>
          </w:tcPr>
          <w:p w:rsidR="007772AC" w:rsidRDefault="007772AC" w:rsidP="007772AC">
            <w:pPr>
              <w:pStyle w:val="Normal1linespace"/>
              <w:jc w:val="left"/>
            </w:pPr>
            <w:proofErr w:type="spellStart"/>
            <w:r>
              <w:t>DMAW</w:t>
            </w:r>
            <w:proofErr w:type="spellEnd"/>
            <w:r>
              <w:t xml:space="preserve"> Lawyers as agent for Mills Oakley Lawyers</w:t>
            </w:r>
          </w:p>
        </w:tc>
      </w:tr>
      <w:bookmarkEnd w:id="8"/>
    </w:tbl>
    <w:p w:rsidR="00A306BF" w:rsidRDefault="00A306BF">
      <w:pPr>
        <w:pStyle w:val="Normal1linespace"/>
      </w:pPr>
    </w:p>
    <w:p w:rsidR="00A306BF" w:rsidRDefault="00A306BF">
      <w:pPr>
        <w:pStyle w:val="Normal1linespace"/>
      </w:pPr>
    </w:p>
    <w:p w:rsidR="00A306BF" w:rsidRDefault="00A306BF">
      <w:pPr>
        <w:pStyle w:val="Normal1linespace"/>
        <w:sectPr w:rsidR="00A306BF">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A306BF">
        <w:tc>
          <w:tcPr>
            <w:tcW w:w="6771" w:type="dxa"/>
          </w:tcPr>
          <w:p w:rsidR="00A306BF" w:rsidRDefault="00A306BF">
            <w:pPr>
              <w:pStyle w:val="NormalHeadings"/>
              <w:spacing w:after="120"/>
              <w:jc w:val="left"/>
              <w:rPr>
                <w:caps/>
                <w:szCs w:val="24"/>
              </w:rPr>
            </w:pPr>
            <w:r>
              <w:rPr>
                <w:caps/>
                <w:szCs w:val="24"/>
              </w:rPr>
              <w:lastRenderedPageBreak/>
              <w:t>IN THE FEDERAL COURT OF AUSTRALIA</w:t>
            </w:r>
          </w:p>
        </w:tc>
        <w:tc>
          <w:tcPr>
            <w:tcW w:w="2471" w:type="dxa"/>
          </w:tcPr>
          <w:p w:rsidR="00A306BF" w:rsidRDefault="00A306BF">
            <w:pPr>
              <w:pStyle w:val="NormalHeadings"/>
              <w:jc w:val="left"/>
              <w:rPr>
                <w:caps/>
                <w:szCs w:val="24"/>
              </w:rPr>
            </w:pPr>
          </w:p>
        </w:tc>
      </w:tr>
      <w:tr w:rsidR="00A306BF">
        <w:tc>
          <w:tcPr>
            <w:tcW w:w="6771" w:type="dxa"/>
          </w:tcPr>
          <w:p w:rsidR="00A306BF" w:rsidRDefault="00857B30">
            <w:pPr>
              <w:pStyle w:val="NormalHeadings"/>
              <w:spacing w:after="120"/>
              <w:jc w:val="left"/>
              <w:rPr>
                <w:caps/>
                <w:szCs w:val="24"/>
              </w:rPr>
            </w:pPr>
            <w:bookmarkStart w:id="10" w:name="State"/>
            <w:r>
              <w:rPr>
                <w:caps/>
                <w:szCs w:val="24"/>
              </w:rPr>
              <w:t>SOUTH AUSTRALIA</w:t>
            </w:r>
            <w:bookmarkEnd w:id="10"/>
            <w:r w:rsidR="00A306BF">
              <w:rPr>
                <w:caps/>
                <w:szCs w:val="24"/>
              </w:rPr>
              <w:t xml:space="preserve"> DISTRICT REGISTRY</w:t>
            </w:r>
          </w:p>
        </w:tc>
        <w:tc>
          <w:tcPr>
            <w:tcW w:w="2471" w:type="dxa"/>
          </w:tcPr>
          <w:p w:rsidR="00A306BF" w:rsidRDefault="00A306BF">
            <w:pPr>
              <w:pStyle w:val="NormalHeadings"/>
              <w:tabs>
                <w:tab w:val="right" w:pos="3609"/>
              </w:tabs>
              <w:jc w:val="right"/>
              <w:rPr>
                <w:szCs w:val="24"/>
              </w:rPr>
            </w:pPr>
          </w:p>
        </w:tc>
      </w:tr>
      <w:tr w:rsidR="00A306BF">
        <w:tc>
          <w:tcPr>
            <w:tcW w:w="6771" w:type="dxa"/>
          </w:tcPr>
          <w:p w:rsidR="00A306BF" w:rsidRDefault="00857B30">
            <w:pPr>
              <w:pStyle w:val="NormalHeadings"/>
              <w:spacing w:after="120"/>
              <w:jc w:val="left"/>
              <w:rPr>
                <w:caps/>
                <w:szCs w:val="24"/>
              </w:rPr>
            </w:pPr>
            <w:bookmarkStart w:id="11" w:name="Division"/>
            <w:r>
              <w:rPr>
                <w:caps/>
                <w:szCs w:val="24"/>
              </w:rPr>
              <w:t>GENERAL DIVISION</w:t>
            </w:r>
            <w:bookmarkEnd w:id="11"/>
          </w:p>
        </w:tc>
        <w:tc>
          <w:tcPr>
            <w:tcW w:w="2471" w:type="dxa"/>
          </w:tcPr>
          <w:p w:rsidR="00A306BF" w:rsidRDefault="00857B30" w:rsidP="006B5FB5">
            <w:pPr>
              <w:pStyle w:val="NormalHeadings"/>
              <w:tabs>
                <w:tab w:val="right" w:pos="3609"/>
              </w:tabs>
              <w:jc w:val="right"/>
              <w:rPr>
                <w:szCs w:val="24"/>
              </w:rPr>
            </w:pPr>
            <w:bookmarkStart w:id="12" w:name="Num"/>
            <w:r>
              <w:rPr>
                <w:szCs w:val="24"/>
              </w:rPr>
              <w:t xml:space="preserve">SAD </w:t>
            </w:r>
            <w:r w:rsidR="006B5FB5">
              <w:rPr>
                <w:szCs w:val="24"/>
              </w:rPr>
              <w:t xml:space="preserve">291 </w:t>
            </w:r>
            <w:r>
              <w:rPr>
                <w:szCs w:val="24"/>
              </w:rPr>
              <w:t>of 20</w:t>
            </w:r>
            <w:r w:rsidR="006B5FB5">
              <w:rPr>
                <w:szCs w:val="24"/>
              </w:rPr>
              <w:t>13</w:t>
            </w:r>
            <w:bookmarkEnd w:id="12"/>
          </w:p>
        </w:tc>
      </w:tr>
    </w:tbl>
    <w:p w:rsidR="00A306BF" w:rsidRPr="00857B30" w:rsidRDefault="00A306BF">
      <w:pPr>
        <w:pStyle w:val="AppealTable"/>
        <w:rPr>
          <w:sz w:val="24"/>
        </w:rPr>
      </w:pPr>
      <w:bookmarkStart w:id="13" w:name="AppealTable"/>
      <w:r w:rsidRPr="00857B30">
        <w:rPr>
          <w:sz w:val="24"/>
        </w:rPr>
        <w:t xml:space="preserve"> </w:t>
      </w:r>
      <w:bookmarkEnd w:id="13"/>
    </w:p>
    <w:tbl>
      <w:tblPr>
        <w:tblW w:w="0" w:type="auto"/>
        <w:tblLayout w:type="fixed"/>
        <w:tblLook w:val="0000" w:firstRow="0" w:lastRow="0" w:firstColumn="0" w:lastColumn="0" w:noHBand="0" w:noVBand="0"/>
      </w:tblPr>
      <w:tblGrid>
        <w:gridCol w:w="2376"/>
        <w:gridCol w:w="6866"/>
      </w:tblGrid>
      <w:tr w:rsidR="00B10DA0">
        <w:trPr>
          <w:trHeight w:val="386"/>
        </w:trPr>
        <w:tc>
          <w:tcPr>
            <w:tcW w:w="2376" w:type="dxa"/>
          </w:tcPr>
          <w:p w:rsidR="00B10DA0" w:rsidRDefault="00B10DA0">
            <w:pPr>
              <w:pStyle w:val="NormalHeadings"/>
              <w:jc w:val="left"/>
              <w:rPr>
                <w:caps/>
                <w:szCs w:val="24"/>
              </w:rPr>
            </w:pPr>
            <w:bookmarkStart w:id="14" w:name="Parties"/>
            <w:r>
              <w:rPr>
                <w:caps/>
                <w:szCs w:val="24"/>
              </w:rPr>
              <w:t>BETWEEN:</w:t>
            </w:r>
          </w:p>
        </w:tc>
        <w:tc>
          <w:tcPr>
            <w:tcW w:w="6866" w:type="dxa"/>
          </w:tcPr>
          <w:p w:rsidR="00B10DA0" w:rsidRDefault="00B10DA0" w:rsidP="00510113">
            <w:pPr>
              <w:pStyle w:val="NormalHeadings"/>
              <w:jc w:val="left"/>
              <w:rPr>
                <w:szCs w:val="24"/>
              </w:rPr>
            </w:pPr>
            <w:bookmarkStart w:id="15" w:name="Applicant"/>
            <w:proofErr w:type="spellStart"/>
            <w:r>
              <w:rPr>
                <w:szCs w:val="24"/>
              </w:rPr>
              <w:t>NEOBEV</w:t>
            </w:r>
            <w:proofErr w:type="spellEnd"/>
            <w:r>
              <w:rPr>
                <w:szCs w:val="24"/>
              </w:rPr>
              <w:t xml:space="preserve"> PTY LTD (</w:t>
            </w:r>
            <w:proofErr w:type="spellStart"/>
            <w:r>
              <w:rPr>
                <w:szCs w:val="24"/>
              </w:rPr>
              <w:t>ACN</w:t>
            </w:r>
            <w:proofErr w:type="spellEnd"/>
            <w:r>
              <w:rPr>
                <w:szCs w:val="24"/>
              </w:rPr>
              <w:t xml:space="preserve"> 165 795 746)</w:t>
            </w:r>
          </w:p>
          <w:p w:rsidR="00B10DA0" w:rsidRDefault="00B10DA0" w:rsidP="00510113">
            <w:pPr>
              <w:pStyle w:val="NormalHeadings"/>
              <w:jc w:val="left"/>
              <w:rPr>
                <w:szCs w:val="24"/>
              </w:rPr>
            </w:pPr>
            <w:r>
              <w:rPr>
                <w:szCs w:val="24"/>
              </w:rPr>
              <w:t>Applicant/First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 CONSULTING PTY LTD</w:t>
            </w:r>
            <w:r w:rsidR="00B27359">
              <w:rPr>
                <w:szCs w:val="24"/>
              </w:rPr>
              <w:t xml:space="preserve"> (</w:t>
            </w:r>
            <w:proofErr w:type="spellStart"/>
            <w:r w:rsidR="00B27359">
              <w:rPr>
                <w:szCs w:val="24"/>
              </w:rPr>
              <w:t>ACN</w:t>
            </w:r>
            <w:proofErr w:type="spellEnd"/>
            <w:r w:rsidR="00B27359">
              <w:rPr>
                <w:szCs w:val="24"/>
              </w:rPr>
              <w:t xml:space="preserve"> 098 170 480)</w:t>
            </w:r>
          </w:p>
          <w:p w:rsidR="00B10DA0" w:rsidRDefault="00B10DA0" w:rsidP="00510113">
            <w:pPr>
              <w:pStyle w:val="NormalHeadings"/>
              <w:jc w:val="left"/>
              <w:rPr>
                <w:szCs w:val="24"/>
              </w:rPr>
            </w:pPr>
            <w:r>
              <w:rPr>
                <w:szCs w:val="24"/>
              </w:rPr>
              <w:t>Second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w:t>
            </w:r>
          </w:p>
          <w:p w:rsidR="00B10DA0" w:rsidRPr="003C4051" w:rsidRDefault="00B10DA0" w:rsidP="00510113">
            <w:pPr>
              <w:pStyle w:val="NormalHeadings"/>
              <w:jc w:val="left"/>
              <w:rPr>
                <w:szCs w:val="24"/>
              </w:rPr>
            </w:pPr>
            <w:r>
              <w:rPr>
                <w:szCs w:val="24"/>
              </w:rPr>
              <w:t>Third Cross Respondent</w:t>
            </w:r>
          </w:p>
          <w:bookmarkEnd w:id="15"/>
          <w:p w:rsidR="00B10DA0" w:rsidRPr="0026717E" w:rsidRDefault="00B10DA0" w:rsidP="00510113">
            <w:pPr>
              <w:pStyle w:val="NormalHeadings"/>
              <w:jc w:val="left"/>
              <w:rPr>
                <w:szCs w:val="24"/>
              </w:rPr>
            </w:pPr>
          </w:p>
        </w:tc>
      </w:tr>
      <w:tr w:rsidR="00B10DA0">
        <w:trPr>
          <w:trHeight w:val="386"/>
        </w:trPr>
        <w:tc>
          <w:tcPr>
            <w:tcW w:w="2376" w:type="dxa"/>
          </w:tcPr>
          <w:p w:rsidR="00B10DA0" w:rsidRDefault="00B10DA0">
            <w:pPr>
              <w:pStyle w:val="NormalHeadings"/>
              <w:jc w:val="left"/>
              <w:rPr>
                <w:caps/>
                <w:szCs w:val="24"/>
              </w:rPr>
            </w:pPr>
            <w:r>
              <w:rPr>
                <w:caps/>
                <w:szCs w:val="24"/>
              </w:rPr>
              <w:t>AND:</w:t>
            </w:r>
          </w:p>
        </w:tc>
        <w:tc>
          <w:tcPr>
            <w:tcW w:w="6866" w:type="dxa"/>
          </w:tcPr>
          <w:p w:rsidR="00B10DA0" w:rsidRDefault="00B10DA0" w:rsidP="00B10DA0">
            <w:pPr>
              <w:pStyle w:val="NormalHeadings"/>
              <w:jc w:val="left"/>
              <w:rPr>
                <w:szCs w:val="24"/>
              </w:rPr>
            </w:pPr>
            <w:bookmarkStart w:id="16" w:name="Respondent"/>
            <w:r>
              <w:rPr>
                <w:szCs w:val="24"/>
              </w:rPr>
              <w:t>BACCHUS DISTILLERY PTY LTD (ADMINISTRATORS APPOINTED) (</w:t>
            </w:r>
            <w:proofErr w:type="spellStart"/>
            <w:r>
              <w:rPr>
                <w:szCs w:val="24"/>
              </w:rPr>
              <w:t>ACN</w:t>
            </w:r>
            <w:proofErr w:type="spellEnd"/>
            <w:r>
              <w:rPr>
                <w:szCs w:val="24"/>
              </w:rPr>
              <w:t xml:space="preserve"> 065 961 711)</w:t>
            </w:r>
          </w:p>
          <w:p w:rsidR="00B10DA0" w:rsidRDefault="00B10DA0" w:rsidP="00B10DA0">
            <w:pPr>
              <w:pStyle w:val="NormalHeadings"/>
              <w:jc w:val="left"/>
              <w:rPr>
                <w:szCs w:val="24"/>
              </w:rPr>
            </w:pPr>
            <w:r>
              <w:rPr>
                <w:szCs w:val="24"/>
              </w:rPr>
              <w:t>Respondent/Cross Claimant</w:t>
            </w:r>
          </w:p>
          <w:bookmarkEnd w:id="16"/>
          <w:p w:rsidR="00B10DA0" w:rsidRDefault="00B10DA0">
            <w:pPr>
              <w:pStyle w:val="NormalHeadings"/>
              <w:jc w:val="left"/>
              <w:rPr>
                <w:szCs w:val="24"/>
              </w:rPr>
            </w:pPr>
          </w:p>
        </w:tc>
      </w:tr>
      <w:bookmarkEnd w:id="14"/>
    </w:tbl>
    <w:p w:rsidR="00A306BF" w:rsidRDefault="00A306BF">
      <w:pPr>
        <w:pStyle w:val="NormalHeadings"/>
      </w:pPr>
    </w:p>
    <w:tbl>
      <w:tblPr>
        <w:tblW w:w="0" w:type="auto"/>
        <w:tblLayout w:type="fixed"/>
        <w:tblLook w:val="0000" w:firstRow="0" w:lastRow="0" w:firstColumn="0" w:lastColumn="0" w:noHBand="0" w:noVBand="0"/>
      </w:tblPr>
      <w:tblGrid>
        <w:gridCol w:w="2376"/>
        <w:gridCol w:w="6866"/>
      </w:tblGrid>
      <w:tr w:rsidR="00A306BF">
        <w:tc>
          <w:tcPr>
            <w:tcW w:w="2376" w:type="dxa"/>
          </w:tcPr>
          <w:p w:rsidR="00A306BF" w:rsidRDefault="00857B30">
            <w:pPr>
              <w:pStyle w:val="NormalHeadings"/>
              <w:spacing w:after="120"/>
              <w:jc w:val="left"/>
              <w:rPr>
                <w:caps/>
                <w:szCs w:val="24"/>
              </w:rPr>
            </w:pPr>
            <w:bookmarkStart w:id="17" w:name="JudgeText"/>
            <w:r>
              <w:rPr>
                <w:caps/>
                <w:szCs w:val="24"/>
              </w:rPr>
              <w:t>JUDGE</w:t>
            </w:r>
            <w:bookmarkEnd w:id="17"/>
            <w:r w:rsidR="00A306BF">
              <w:rPr>
                <w:caps/>
                <w:szCs w:val="24"/>
              </w:rPr>
              <w:t>:</w:t>
            </w:r>
          </w:p>
        </w:tc>
        <w:tc>
          <w:tcPr>
            <w:tcW w:w="6866" w:type="dxa"/>
          </w:tcPr>
          <w:p w:rsidR="00A306BF" w:rsidRDefault="007772AC">
            <w:pPr>
              <w:pStyle w:val="NormalHeadings"/>
              <w:jc w:val="left"/>
              <w:rPr>
                <w:caps/>
                <w:szCs w:val="24"/>
              </w:rPr>
            </w:pPr>
            <w:bookmarkStart w:id="18" w:name="Judge"/>
            <w:r>
              <w:rPr>
                <w:caps/>
                <w:szCs w:val="24"/>
              </w:rPr>
              <w:t>BESANKO J</w:t>
            </w:r>
            <w:bookmarkEnd w:id="18"/>
          </w:p>
        </w:tc>
      </w:tr>
      <w:tr w:rsidR="00A306BF">
        <w:tc>
          <w:tcPr>
            <w:tcW w:w="2376" w:type="dxa"/>
          </w:tcPr>
          <w:p w:rsidR="00A306BF" w:rsidRDefault="00A306BF">
            <w:pPr>
              <w:pStyle w:val="NormalHeadings"/>
              <w:spacing w:after="120"/>
              <w:jc w:val="left"/>
              <w:rPr>
                <w:caps/>
                <w:szCs w:val="24"/>
              </w:rPr>
            </w:pPr>
            <w:r>
              <w:rPr>
                <w:caps/>
                <w:szCs w:val="24"/>
              </w:rPr>
              <w:t>DATE OF ORDER:</w:t>
            </w:r>
          </w:p>
        </w:tc>
        <w:tc>
          <w:tcPr>
            <w:tcW w:w="6866" w:type="dxa"/>
          </w:tcPr>
          <w:p w:rsidR="00A306BF" w:rsidRDefault="003D38F8">
            <w:pPr>
              <w:pStyle w:val="NormalHeadings"/>
              <w:jc w:val="left"/>
              <w:rPr>
                <w:caps/>
                <w:szCs w:val="24"/>
              </w:rPr>
            </w:pPr>
            <w:bookmarkStart w:id="19" w:name="Judgment_Dated"/>
            <w:r>
              <w:rPr>
                <w:caps/>
                <w:szCs w:val="24"/>
              </w:rPr>
              <w:t>19</w:t>
            </w:r>
            <w:r w:rsidR="00C024EA">
              <w:rPr>
                <w:caps/>
                <w:szCs w:val="24"/>
              </w:rPr>
              <w:t xml:space="preserve"> february </w:t>
            </w:r>
            <w:r w:rsidR="00BB1875">
              <w:rPr>
                <w:caps/>
                <w:szCs w:val="24"/>
              </w:rPr>
              <w:t>2</w:t>
            </w:r>
            <w:r w:rsidR="00857B30">
              <w:rPr>
                <w:caps/>
                <w:szCs w:val="24"/>
              </w:rPr>
              <w:t>014</w:t>
            </w:r>
            <w:bookmarkEnd w:id="19"/>
          </w:p>
        </w:tc>
      </w:tr>
      <w:tr w:rsidR="00A306BF">
        <w:tc>
          <w:tcPr>
            <w:tcW w:w="2376" w:type="dxa"/>
          </w:tcPr>
          <w:p w:rsidR="00A306BF" w:rsidRDefault="00A306BF">
            <w:pPr>
              <w:pStyle w:val="NormalHeadings"/>
              <w:spacing w:after="120"/>
              <w:jc w:val="left"/>
              <w:rPr>
                <w:caps/>
                <w:szCs w:val="24"/>
              </w:rPr>
            </w:pPr>
            <w:r>
              <w:rPr>
                <w:caps/>
                <w:szCs w:val="24"/>
              </w:rPr>
              <w:t>WHERE MADE:</w:t>
            </w:r>
          </w:p>
        </w:tc>
        <w:tc>
          <w:tcPr>
            <w:tcW w:w="6866" w:type="dxa"/>
          </w:tcPr>
          <w:p w:rsidR="00A306BF" w:rsidRDefault="00857B30">
            <w:pPr>
              <w:pStyle w:val="NormalHeadings"/>
              <w:jc w:val="left"/>
              <w:rPr>
                <w:caps/>
                <w:szCs w:val="24"/>
              </w:rPr>
            </w:pPr>
            <w:bookmarkStart w:id="20" w:name="Place"/>
            <w:r>
              <w:rPr>
                <w:caps/>
                <w:szCs w:val="24"/>
              </w:rPr>
              <w:t>ADELAIDE</w:t>
            </w:r>
            <w:bookmarkEnd w:id="20"/>
          </w:p>
        </w:tc>
      </w:tr>
    </w:tbl>
    <w:p w:rsidR="00A306BF" w:rsidRDefault="00A306BF">
      <w:pPr>
        <w:pStyle w:val="NormalHeadings"/>
        <w:rPr>
          <w:b w:val="0"/>
        </w:rPr>
      </w:pPr>
    </w:p>
    <w:p w:rsidR="00A306BF" w:rsidRDefault="00A306BF">
      <w:pPr>
        <w:pStyle w:val="NormalHeadings"/>
      </w:pPr>
      <w:r>
        <w:t xml:space="preserve">THE COURT </w:t>
      </w:r>
      <w:r w:rsidR="00DF0DFE">
        <w:t>ORDERS</w:t>
      </w:r>
      <w:r>
        <w:t xml:space="preserve"> THAT:</w:t>
      </w:r>
    </w:p>
    <w:p w:rsidR="00A306BF" w:rsidRDefault="00A306BF">
      <w:pPr>
        <w:pStyle w:val="NormalHeadings"/>
      </w:pPr>
    </w:p>
    <w:p w:rsidR="00D917E3" w:rsidRDefault="001B0D6A" w:rsidP="001B0D6A">
      <w:pPr>
        <w:pStyle w:val="ListNo"/>
        <w:ind w:left="720" w:hanging="720"/>
      </w:pPr>
      <w:bookmarkStart w:id="21" w:name="Order_Start_Text"/>
      <w:r>
        <w:t>1.</w:t>
      </w:r>
      <w:r>
        <w:tab/>
      </w:r>
      <w:r w:rsidR="00A64C50">
        <w:t>The R</w:t>
      </w:r>
      <w:r w:rsidR="00D917E3">
        <w:t xml:space="preserve">espondent pay </w:t>
      </w:r>
      <w:r w:rsidR="00664BDB">
        <w:t xml:space="preserve">to the </w:t>
      </w:r>
      <w:r w:rsidR="00A64C50">
        <w:t>A</w:t>
      </w:r>
      <w:r w:rsidR="00664BDB">
        <w:t xml:space="preserve">pplicant </w:t>
      </w:r>
      <w:r w:rsidR="00D917E3">
        <w:t xml:space="preserve">70% of the </w:t>
      </w:r>
      <w:r w:rsidR="00A64C50">
        <w:t>A</w:t>
      </w:r>
      <w:r w:rsidR="00D917E3">
        <w:t>pplicant’s costs of the claim, including any reserved  costs, but excluding those costs which are the subject of order 4 of the orders made by the Court on 12 December 2013 and order 3 of the orders made by the Court on 16 December 2013.</w:t>
      </w:r>
    </w:p>
    <w:p w:rsidR="00D917E3" w:rsidRDefault="001B0D6A" w:rsidP="001B0D6A">
      <w:pPr>
        <w:pStyle w:val="ListNo"/>
        <w:ind w:left="720" w:hanging="720"/>
      </w:pPr>
      <w:r>
        <w:t>2.</w:t>
      </w:r>
      <w:r>
        <w:tab/>
      </w:r>
      <w:r w:rsidR="00D917E3">
        <w:t xml:space="preserve">The </w:t>
      </w:r>
      <w:r w:rsidR="00A64C50">
        <w:t>R</w:t>
      </w:r>
      <w:r w:rsidR="00D917E3">
        <w:t>espondent/</w:t>
      </w:r>
      <w:r w:rsidR="00A64C50">
        <w:t>C</w:t>
      </w:r>
      <w:r w:rsidR="00D917E3">
        <w:t xml:space="preserve">ross </w:t>
      </w:r>
      <w:r w:rsidR="00A64C50">
        <w:t>C</w:t>
      </w:r>
      <w:r w:rsidR="00D917E3">
        <w:t xml:space="preserve">laimant pay </w:t>
      </w:r>
      <w:r w:rsidR="00572454">
        <w:t>to the C</w:t>
      </w:r>
      <w:r w:rsidR="00664BDB">
        <w:t xml:space="preserve">ross </w:t>
      </w:r>
      <w:r w:rsidR="00572454">
        <w:t>R</w:t>
      </w:r>
      <w:r w:rsidR="00664BDB">
        <w:t xml:space="preserve">espondents </w:t>
      </w:r>
      <w:r w:rsidR="00D917E3">
        <w:t xml:space="preserve">70% of the </w:t>
      </w:r>
      <w:r w:rsidR="00572454">
        <w:t>C</w:t>
      </w:r>
      <w:r w:rsidR="00D917E3">
        <w:t xml:space="preserve">ross </w:t>
      </w:r>
      <w:r w:rsidR="00572454">
        <w:t>R</w:t>
      </w:r>
      <w:r w:rsidR="00D917E3">
        <w:t>espondents’ costs of the cross claim</w:t>
      </w:r>
      <w:r w:rsidR="00572454">
        <w:t>,</w:t>
      </w:r>
      <w:r w:rsidR="00D917E3">
        <w:t xml:space="preserve"> including any reserved costs.</w:t>
      </w:r>
    </w:p>
    <w:p w:rsidR="00D917E3" w:rsidRDefault="001B0D6A" w:rsidP="001B0D6A">
      <w:pPr>
        <w:pStyle w:val="ListNo"/>
        <w:ind w:left="720" w:hanging="720"/>
      </w:pPr>
      <w:r>
        <w:t>3.</w:t>
      </w:r>
      <w:r>
        <w:tab/>
      </w:r>
      <w:r w:rsidR="00D917E3">
        <w:t xml:space="preserve">The costs payable to the </w:t>
      </w:r>
      <w:r w:rsidR="00A64C50">
        <w:t>R</w:t>
      </w:r>
      <w:r w:rsidR="00D917E3">
        <w:t>espondent</w:t>
      </w:r>
      <w:r w:rsidR="00A64C50">
        <w:t>/Cross Claimant</w:t>
      </w:r>
      <w:r w:rsidR="00D917E3">
        <w:t xml:space="preserve"> pursuant to order 4 of the orders made by the Court on 12 December 2013 and order 3 of the orders made by the Court on 16 December 2013 be set off against the costs payable to the </w:t>
      </w:r>
      <w:r w:rsidR="00A64C50">
        <w:t>A</w:t>
      </w:r>
      <w:r w:rsidR="00D917E3">
        <w:t>pplicant</w:t>
      </w:r>
      <w:r w:rsidR="00A64C50">
        <w:t>/First Cross Respondent</w:t>
      </w:r>
      <w:r w:rsidR="00D917E3">
        <w:t xml:space="preserve"> pursuant to </w:t>
      </w:r>
      <w:r w:rsidR="00A64C50">
        <w:t xml:space="preserve">orders </w:t>
      </w:r>
      <w:r w:rsidR="00D917E3">
        <w:t>1 and 2 above and pursuant to order 7 of the orders made by the Court on 16 December 2013.</w:t>
      </w:r>
    </w:p>
    <w:p w:rsidR="00D917E3" w:rsidRDefault="00A64C50" w:rsidP="001B0D6A">
      <w:pPr>
        <w:pStyle w:val="ListNo"/>
        <w:numPr>
          <w:ilvl w:val="0"/>
          <w:numId w:val="44"/>
        </w:numPr>
        <w:ind w:hanging="720"/>
      </w:pPr>
      <w:r>
        <w:t>After the expiration of three</w:t>
      </w:r>
      <w:r w:rsidR="00D917E3">
        <w:t xml:space="preserve"> business days from the</w:t>
      </w:r>
      <w:r w:rsidR="00572454">
        <w:t xml:space="preserve"> date of this order, the A</w:t>
      </w:r>
      <w:r w:rsidR="00D917E3">
        <w:t>pplicant be released from its obligati</w:t>
      </w:r>
      <w:r>
        <w:t>on to provide security for the R</w:t>
      </w:r>
      <w:r w:rsidR="00D917E3">
        <w:t xml:space="preserve">espondent’s costs (including its obligations under orders 6 and 7 of the orders made by the Court on 22 October 2013, order 5 of the orders made by the Court on 12 December 2013 and </w:t>
      </w:r>
      <w:r w:rsidR="00D917E3">
        <w:lastRenderedPageBreak/>
        <w:t>as set out in the transcript of the hearing on 16 December 2013 at page 25, line 26 and following).</w:t>
      </w:r>
    </w:p>
    <w:p w:rsidR="00A306BF" w:rsidRDefault="00D917E3" w:rsidP="001B0D6A">
      <w:pPr>
        <w:pStyle w:val="ListNo"/>
        <w:numPr>
          <w:ilvl w:val="0"/>
          <w:numId w:val="44"/>
        </w:numPr>
        <w:ind w:hanging="720"/>
      </w:pPr>
      <w:r>
        <w:t>Liberty to apply on short notice.</w:t>
      </w:r>
      <w:r w:rsidR="00A306BF">
        <w:t xml:space="preserve"> </w:t>
      </w:r>
      <w:bookmarkEnd w:id="21"/>
    </w:p>
    <w:p w:rsidR="00DF0DFE" w:rsidRDefault="00DF0DFE" w:rsidP="00DF0DFE">
      <w:pPr>
        <w:spacing w:before="60" w:after="60"/>
      </w:pPr>
    </w:p>
    <w:p w:rsidR="00DF0DFE" w:rsidRDefault="00DF0DFE" w:rsidP="00DF0DFE">
      <w:pPr>
        <w:spacing w:before="60" w:after="60"/>
      </w:pPr>
    </w:p>
    <w:p w:rsidR="00D917E3" w:rsidRDefault="00D917E3" w:rsidP="00DF0DFE">
      <w:pPr>
        <w:spacing w:before="60" w:after="60"/>
      </w:pPr>
    </w:p>
    <w:p w:rsidR="00D917E3" w:rsidRDefault="00D917E3" w:rsidP="00DF0DFE">
      <w:pPr>
        <w:spacing w:before="60" w:after="60"/>
      </w:pPr>
    </w:p>
    <w:p w:rsidR="00D917E3" w:rsidRDefault="00D917E3" w:rsidP="00DF0DFE">
      <w:pPr>
        <w:spacing w:before="60" w:after="60"/>
      </w:pPr>
    </w:p>
    <w:p w:rsidR="00D917E3" w:rsidRDefault="00D917E3" w:rsidP="00DF0DFE">
      <w:pPr>
        <w:spacing w:before="60" w:after="60"/>
      </w:pPr>
    </w:p>
    <w:p w:rsidR="00D917E3" w:rsidRDefault="00D917E3" w:rsidP="00DF0DFE">
      <w:pPr>
        <w:spacing w:before="60" w:after="60"/>
      </w:pPr>
    </w:p>
    <w:p w:rsidR="00D917E3" w:rsidRDefault="00D917E3" w:rsidP="00DF0DFE">
      <w:pPr>
        <w:spacing w:before="60" w:after="60"/>
      </w:pPr>
    </w:p>
    <w:p w:rsidR="002513B9" w:rsidRDefault="002513B9">
      <w:pPr>
        <w:spacing w:before="60" w:after="60"/>
      </w:pPr>
    </w:p>
    <w:p w:rsidR="002513B9" w:rsidRDefault="002513B9">
      <w:pPr>
        <w:spacing w:before="60" w:after="60"/>
      </w:pPr>
    </w:p>
    <w:p w:rsidR="002513B9" w:rsidRDefault="002513B9">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75263B" w:rsidRDefault="0075263B">
      <w:pPr>
        <w:spacing w:before="60" w:after="60"/>
      </w:pPr>
    </w:p>
    <w:p w:rsidR="00A306BF" w:rsidRDefault="00A306BF">
      <w:pPr>
        <w:spacing w:before="60" w:after="60"/>
      </w:pPr>
    </w:p>
    <w:p w:rsidR="00A306BF" w:rsidRDefault="00A306BF">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A306BF" w:rsidRDefault="00A306BF"/>
    <w:p w:rsidR="00A306BF" w:rsidRDefault="00A306BF"/>
    <w:p w:rsidR="00A306BF" w:rsidRDefault="00A306BF">
      <w:pPr>
        <w:pStyle w:val="NormalHeadings"/>
        <w:spacing w:before="240" w:after="120"/>
        <w:rPr>
          <w:b w:val="0"/>
        </w:rPr>
        <w:sectPr w:rsidR="00A306BF">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A306BF">
        <w:tc>
          <w:tcPr>
            <w:tcW w:w="6771" w:type="dxa"/>
          </w:tcPr>
          <w:p w:rsidR="00A306BF" w:rsidRDefault="00A306BF">
            <w:pPr>
              <w:pStyle w:val="NormalHeadings"/>
              <w:spacing w:after="120"/>
              <w:jc w:val="left"/>
              <w:rPr>
                <w:caps/>
                <w:szCs w:val="24"/>
              </w:rPr>
            </w:pPr>
            <w:bookmarkStart w:id="22" w:name="ReasonsPage"/>
            <w:bookmarkEnd w:id="22"/>
            <w:r>
              <w:rPr>
                <w:caps/>
                <w:szCs w:val="24"/>
              </w:rPr>
              <w:lastRenderedPageBreak/>
              <w:t>IN THE FEDERAL COURT OF AUSTRALIA</w:t>
            </w:r>
          </w:p>
        </w:tc>
        <w:tc>
          <w:tcPr>
            <w:tcW w:w="2471" w:type="dxa"/>
          </w:tcPr>
          <w:p w:rsidR="00A306BF" w:rsidRDefault="00A306BF">
            <w:pPr>
              <w:pStyle w:val="NormalHeadings"/>
            </w:pPr>
          </w:p>
        </w:tc>
      </w:tr>
      <w:tr w:rsidR="00A306BF">
        <w:tc>
          <w:tcPr>
            <w:tcW w:w="6771" w:type="dxa"/>
          </w:tcPr>
          <w:p w:rsidR="00A306BF" w:rsidRDefault="00A306BF">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857B30">
              <w:rPr>
                <w:caps/>
                <w:szCs w:val="24"/>
              </w:rPr>
              <w:t>SOUTH AUSTRALIA</w:t>
            </w:r>
            <w:r>
              <w:rPr>
                <w:caps/>
                <w:szCs w:val="24"/>
              </w:rPr>
              <w:fldChar w:fldCharType="end"/>
            </w:r>
            <w:r>
              <w:rPr>
                <w:caps/>
                <w:szCs w:val="24"/>
              </w:rPr>
              <w:t xml:space="preserve"> DISTRICT REGISTRY</w:t>
            </w:r>
          </w:p>
        </w:tc>
        <w:tc>
          <w:tcPr>
            <w:tcW w:w="2471" w:type="dxa"/>
          </w:tcPr>
          <w:p w:rsidR="00A306BF" w:rsidRDefault="00A306BF">
            <w:pPr>
              <w:pStyle w:val="NormalHeadings"/>
              <w:tabs>
                <w:tab w:val="right" w:pos="3609"/>
              </w:tabs>
              <w:jc w:val="right"/>
              <w:rPr>
                <w:caps/>
                <w:szCs w:val="24"/>
              </w:rPr>
            </w:pPr>
          </w:p>
        </w:tc>
      </w:tr>
      <w:tr w:rsidR="00A306BF">
        <w:tc>
          <w:tcPr>
            <w:tcW w:w="6771" w:type="dxa"/>
          </w:tcPr>
          <w:p w:rsidR="00A306BF" w:rsidRDefault="00A306BF">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857B30">
              <w:rPr>
                <w:caps/>
                <w:szCs w:val="24"/>
              </w:rPr>
              <w:t>GENERAL DIVISION</w:t>
            </w:r>
            <w:r>
              <w:rPr>
                <w:caps/>
                <w:szCs w:val="24"/>
              </w:rPr>
              <w:fldChar w:fldCharType="end"/>
            </w:r>
          </w:p>
        </w:tc>
        <w:tc>
          <w:tcPr>
            <w:tcW w:w="2471" w:type="dxa"/>
          </w:tcPr>
          <w:p w:rsidR="00A306BF" w:rsidRDefault="00A306BF" w:rsidP="006B0AC6">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857B30" w:rsidRPr="00857B30">
              <w:rPr>
                <w:caps/>
                <w:szCs w:val="24"/>
              </w:rPr>
              <w:t>SAD</w:t>
            </w:r>
            <w:r w:rsidR="00857B30">
              <w:rPr>
                <w:szCs w:val="24"/>
              </w:rPr>
              <w:t xml:space="preserve"> </w:t>
            </w:r>
            <w:r w:rsidR="006B5FB5">
              <w:rPr>
                <w:szCs w:val="24"/>
              </w:rPr>
              <w:t>29</w:t>
            </w:r>
            <w:r w:rsidR="006B0AC6">
              <w:rPr>
                <w:szCs w:val="24"/>
              </w:rPr>
              <w:t>1</w:t>
            </w:r>
            <w:r w:rsidR="00857B30">
              <w:rPr>
                <w:szCs w:val="24"/>
              </w:rPr>
              <w:t xml:space="preserve"> of 20</w:t>
            </w:r>
            <w:r w:rsidR="006B5FB5">
              <w:rPr>
                <w:szCs w:val="24"/>
              </w:rPr>
              <w:t>13</w:t>
            </w:r>
            <w:r>
              <w:rPr>
                <w:caps/>
                <w:szCs w:val="24"/>
              </w:rPr>
              <w:fldChar w:fldCharType="end"/>
            </w:r>
          </w:p>
        </w:tc>
      </w:tr>
    </w:tbl>
    <w:p w:rsidR="00A306BF" w:rsidRDefault="003B2E94">
      <w:pPr>
        <w:pStyle w:val="AppealTable"/>
      </w:pPr>
      <w:r>
        <w:fldChar w:fldCharType="begin" w:fldLock="1"/>
      </w:r>
      <w:r>
        <w:instrText xml:space="preserve"> Ref AppealTable  \* MERGEFORMAT </w:instrText>
      </w:r>
      <w:r>
        <w:fldChar w:fldCharType="separate"/>
      </w:r>
      <w:r w:rsidR="00857B30" w:rsidRPr="00857B30">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B10DA0">
        <w:trPr>
          <w:trHeight w:val="386"/>
        </w:trPr>
        <w:tc>
          <w:tcPr>
            <w:tcW w:w="2376" w:type="dxa"/>
          </w:tcPr>
          <w:p w:rsidR="00B10DA0" w:rsidRDefault="00B10DA0">
            <w:pPr>
              <w:pStyle w:val="NormalHeadings"/>
              <w:jc w:val="left"/>
              <w:rPr>
                <w:caps/>
                <w:szCs w:val="24"/>
              </w:rPr>
            </w:pPr>
            <w:r>
              <w:rPr>
                <w:caps/>
                <w:szCs w:val="24"/>
              </w:rPr>
              <w:t>BETWEEN:</w:t>
            </w:r>
          </w:p>
        </w:tc>
        <w:tc>
          <w:tcPr>
            <w:tcW w:w="6866" w:type="dxa"/>
          </w:tcPr>
          <w:p w:rsidR="00B10DA0" w:rsidRDefault="00B10DA0" w:rsidP="00510113">
            <w:pPr>
              <w:pStyle w:val="NormalHeadings"/>
              <w:jc w:val="left"/>
              <w:rPr>
                <w:szCs w:val="24"/>
              </w:rPr>
            </w:pPr>
            <w:proofErr w:type="spellStart"/>
            <w:r>
              <w:rPr>
                <w:szCs w:val="24"/>
              </w:rPr>
              <w:t>NEOBEV</w:t>
            </w:r>
            <w:proofErr w:type="spellEnd"/>
            <w:r>
              <w:rPr>
                <w:szCs w:val="24"/>
              </w:rPr>
              <w:t xml:space="preserve"> PTY LTD (</w:t>
            </w:r>
            <w:proofErr w:type="spellStart"/>
            <w:r>
              <w:rPr>
                <w:szCs w:val="24"/>
              </w:rPr>
              <w:t>ACN</w:t>
            </w:r>
            <w:proofErr w:type="spellEnd"/>
            <w:r>
              <w:rPr>
                <w:szCs w:val="24"/>
              </w:rPr>
              <w:t xml:space="preserve"> 165 795 746)</w:t>
            </w:r>
          </w:p>
          <w:p w:rsidR="00B10DA0" w:rsidRDefault="00B10DA0" w:rsidP="00510113">
            <w:pPr>
              <w:pStyle w:val="NormalHeadings"/>
              <w:jc w:val="left"/>
              <w:rPr>
                <w:szCs w:val="24"/>
              </w:rPr>
            </w:pPr>
            <w:r>
              <w:rPr>
                <w:szCs w:val="24"/>
              </w:rPr>
              <w:t>Applicant/First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 CONSULTING PTY LTD</w:t>
            </w:r>
            <w:r w:rsidR="006B0AC6">
              <w:rPr>
                <w:szCs w:val="24"/>
              </w:rPr>
              <w:t xml:space="preserve"> (</w:t>
            </w:r>
            <w:proofErr w:type="spellStart"/>
            <w:r w:rsidR="006B0AC6">
              <w:rPr>
                <w:szCs w:val="24"/>
              </w:rPr>
              <w:t>ACN</w:t>
            </w:r>
            <w:proofErr w:type="spellEnd"/>
            <w:r w:rsidR="006B0AC6">
              <w:rPr>
                <w:szCs w:val="24"/>
              </w:rPr>
              <w:t xml:space="preserve"> 098 170 480)</w:t>
            </w:r>
          </w:p>
          <w:p w:rsidR="00B10DA0" w:rsidRDefault="00B10DA0" w:rsidP="00510113">
            <w:pPr>
              <w:pStyle w:val="NormalHeadings"/>
              <w:jc w:val="left"/>
              <w:rPr>
                <w:szCs w:val="24"/>
              </w:rPr>
            </w:pPr>
            <w:r>
              <w:rPr>
                <w:szCs w:val="24"/>
              </w:rPr>
              <w:t>Second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w:t>
            </w:r>
          </w:p>
          <w:p w:rsidR="00B10DA0" w:rsidRPr="003C4051" w:rsidRDefault="00B10DA0" w:rsidP="00510113">
            <w:pPr>
              <w:pStyle w:val="NormalHeadings"/>
              <w:jc w:val="left"/>
              <w:rPr>
                <w:szCs w:val="24"/>
              </w:rPr>
            </w:pPr>
            <w:r>
              <w:rPr>
                <w:szCs w:val="24"/>
              </w:rPr>
              <w:t>Third Cross Respondent</w:t>
            </w:r>
          </w:p>
          <w:p w:rsidR="00B10DA0" w:rsidRPr="0026717E" w:rsidRDefault="00B10DA0" w:rsidP="00510113">
            <w:pPr>
              <w:pStyle w:val="NormalHeadings"/>
              <w:jc w:val="left"/>
              <w:rPr>
                <w:szCs w:val="24"/>
              </w:rPr>
            </w:pPr>
          </w:p>
        </w:tc>
      </w:tr>
      <w:tr w:rsidR="00B10DA0">
        <w:trPr>
          <w:trHeight w:val="386"/>
        </w:trPr>
        <w:tc>
          <w:tcPr>
            <w:tcW w:w="2376" w:type="dxa"/>
          </w:tcPr>
          <w:p w:rsidR="00B10DA0" w:rsidRDefault="00B10DA0">
            <w:pPr>
              <w:pStyle w:val="NormalHeadings"/>
              <w:jc w:val="left"/>
              <w:rPr>
                <w:caps/>
                <w:szCs w:val="24"/>
              </w:rPr>
            </w:pPr>
            <w:r>
              <w:rPr>
                <w:caps/>
                <w:szCs w:val="24"/>
              </w:rPr>
              <w:t>AND:</w:t>
            </w:r>
          </w:p>
        </w:tc>
        <w:tc>
          <w:tcPr>
            <w:tcW w:w="6866" w:type="dxa"/>
          </w:tcPr>
          <w:p w:rsidR="00B10DA0" w:rsidRDefault="00B10DA0" w:rsidP="00B10DA0">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Pr>
                <w:szCs w:val="24"/>
              </w:rPr>
              <w:t xml:space="preserve"> BACCHUS DISTILLERY PTY LTD (ADMINISTRATORS APPOINTED) (</w:t>
            </w:r>
            <w:proofErr w:type="spellStart"/>
            <w:r>
              <w:rPr>
                <w:szCs w:val="24"/>
              </w:rPr>
              <w:t>ACN</w:t>
            </w:r>
            <w:proofErr w:type="spellEnd"/>
            <w:r>
              <w:rPr>
                <w:szCs w:val="24"/>
              </w:rPr>
              <w:t xml:space="preserve"> 065 961 711)</w:t>
            </w:r>
          </w:p>
          <w:p w:rsidR="00B10DA0" w:rsidRDefault="00B10DA0" w:rsidP="004518E9">
            <w:pPr>
              <w:pStyle w:val="NormalHeadings"/>
              <w:jc w:val="left"/>
              <w:rPr>
                <w:caps/>
                <w:szCs w:val="24"/>
              </w:rPr>
            </w:pPr>
            <w:r>
              <w:rPr>
                <w:szCs w:val="24"/>
              </w:rPr>
              <w:t>Respondent/Cross Claimant</w:t>
            </w:r>
            <w:r>
              <w:rPr>
                <w:caps/>
                <w:szCs w:val="24"/>
              </w:rPr>
              <w:fldChar w:fldCharType="end"/>
            </w:r>
          </w:p>
        </w:tc>
      </w:tr>
    </w:tbl>
    <w:p w:rsidR="00A306BF" w:rsidRDefault="00A306BF">
      <w:pPr>
        <w:pStyle w:val="NormalHeadings"/>
      </w:pPr>
    </w:p>
    <w:tbl>
      <w:tblPr>
        <w:tblW w:w="0" w:type="auto"/>
        <w:tblLayout w:type="fixed"/>
        <w:tblLook w:val="0000" w:firstRow="0" w:lastRow="0" w:firstColumn="0" w:lastColumn="0" w:noHBand="0" w:noVBand="0"/>
      </w:tblPr>
      <w:tblGrid>
        <w:gridCol w:w="2376"/>
        <w:gridCol w:w="6866"/>
      </w:tblGrid>
      <w:tr w:rsidR="00A306BF">
        <w:tc>
          <w:tcPr>
            <w:tcW w:w="2376" w:type="dxa"/>
          </w:tcPr>
          <w:p w:rsidR="00A306BF" w:rsidRDefault="00A306BF">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857B30">
              <w:rPr>
                <w:caps/>
                <w:szCs w:val="24"/>
              </w:rPr>
              <w:t>JUDGE</w:t>
            </w:r>
            <w:r>
              <w:rPr>
                <w:caps/>
                <w:szCs w:val="24"/>
              </w:rPr>
              <w:fldChar w:fldCharType="end"/>
            </w:r>
            <w:r>
              <w:rPr>
                <w:caps/>
                <w:szCs w:val="24"/>
              </w:rPr>
              <w:t>:</w:t>
            </w:r>
          </w:p>
        </w:tc>
        <w:tc>
          <w:tcPr>
            <w:tcW w:w="6866" w:type="dxa"/>
          </w:tcPr>
          <w:p w:rsidR="00A306BF" w:rsidRDefault="00A306BF">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857B30">
              <w:rPr>
                <w:caps/>
                <w:szCs w:val="24"/>
              </w:rPr>
              <w:t>BESANKO J</w:t>
            </w:r>
            <w:r>
              <w:rPr>
                <w:caps/>
                <w:szCs w:val="24"/>
              </w:rPr>
              <w:fldChar w:fldCharType="end"/>
            </w:r>
          </w:p>
        </w:tc>
      </w:tr>
      <w:tr w:rsidR="00A306BF">
        <w:tc>
          <w:tcPr>
            <w:tcW w:w="2376" w:type="dxa"/>
          </w:tcPr>
          <w:p w:rsidR="00A306BF" w:rsidRDefault="00A306BF">
            <w:pPr>
              <w:pStyle w:val="NormalHeadings"/>
              <w:spacing w:after="120"/>
              <w:jc w:val="left"/>
              <w:rPr>
                <w:caps/>
                <w:szCs w:val="24"/>
              </w:rPr>
            </w:pPr>
            <w:r>
              <w:rPr>
                <w:caps/>
                <w:szCs w:val="24"/>
              </w:rPr>
              <w:t>DATE:</w:t>
            </w:r>
          </w:p>
        </w:tc>
        <w:tc>
          <w:tcPr>
            <w:tcW w:w="6866" w:type="dxa"/>
          </w:tcPr>
          <w:p w:rsidR="00A306BF" w:rsidRDefault="003D38F8" w:rsidP="00BB1875">
            <w:pPr>
              <w:pStyle w:val="NormalHeadings"/>
              <w:rPr>
                <w:caps/>
                <w:szCs w:val="24"/>
              </w:rPr>
            </w:pPr>
            <w:r>
              <w:rPr>
                <w:caps/>
                <w:szCs w:val="24"/>
              </w:rPr>
              <w:t>19</w:t>
            </w:r>
            <w:r w:rsidR="00C024EA">
              <w:rPr>
                <w:caps/>
                <w:szCs w:val="24"/>
              </w:rPr>
              <w:t xml:space="preserve"> february </w:t>
            </w:r>
            <w:r w:rsidR="00A306BF">
              <w:rPr>
                <w:caps/>
                <w:szCs w:val="24"/>
              </w:rPr>
              <w:fldChar w:fldCharType="begin" w:fldLock="1"/>
            </w:r>
            <w:r w:rsidR="00A306BF">
              <w:rPr>
                <w:caps/>
                <w:szCs w:val="24"/>
              </w:rPr>
              <w:instrText xml:space="preserve"> REF Judgment_Dated  \* MERGEFORMAT </w:instrText>
            </w:r>
            <w:r w:rsidR="00A306BF">
              <w:rPr>
                <w:caps/>
                <w:szCs w:val="24"/>
              </w:rPr>
              <w:fldChar w:fldCharType="separate"/>
            </w:r>
            <w:r w:rsidR="00857B30">
              <w:rPr>
                <w:caps/>
                <w:szCs w:val="24"/>
              </w:rPr>
              <w:t>2014</w:t>
            </w:r>
            <w:r w:rsidR="00A306BF">
              <w:rPr>
                <w:caps/>
                <w:szCs w:val="24"/>
              </w:rPr>
              <w:fldChar w:fldCharType="end"/>
            </w:r>
          </w:p>
        </w:tc>
      </w:tr>
      <w:tr w:rsidR="00A306BF">
        <w:tc>
          <w:tcPr>
            <w:tcW w:w="2376" w:type="dxa"/>
          </w:tcPr>
          <w:p w:rsidR="00A306BF" w:rsidRDefault="00A306BF">
            <w:pPr>
              <w:pStyle w:val="NormalHeadings"/>
              <w:spacing w:after="120"/>
              <w:jc w:val="left"/>
              <w:rPr>
                <w:caps/>
                <w:szCs w:val="24"/>
              </w:rPr>
            </w:pPr>
            <w:r>
              <w:rPr>
                <w:caps/>
                <w:szCs w:val="24"/>
              </w:rPr>
              <w:t>PLACE:</w:t>
            </w:r>
          </w:p>
        </w:tc>
        <w:tc>
          <w:tcPr>
            <w:tcW w:w="6866" w:type="dxa"/>
          </w:tcPr>
          <w:p w:rsidR="00A306BF" w:rsidRDefault="00A306BF">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857B30">
              <w:rPr>
                <w:caps/>
                <w:szCs w:val="24"/>
              </w:rPr>
              <w:t>ADELAIDE</w:t>
            </w:r>
            <w:r>
              <w:rPr>
                <w:caps/>
                <w:szCs w:val="24"/>
              </w:rPr>
              <w:fldChar w:fldCharType="end"/>
            </w:r>
          </w:p>
        </w:tc>
      </w:tr>
    </w:tbl>
    <w:p w:rsidR="00A306BF" w:rsidRDefault="00A306BF"/>
    <w:p w:rsidR="00A306BF" w:rsidRDefault="00A306BF">
      <w:pPr>
        <w:pStyle w:val="StyleBold"/>
        <w:jc w:val="center"/>
        <w:rPr>
          <w:b/>
        </w:rPr>
      </w:pPr>
      <w:r>
        <w:rPr>
          <w:b/>
        </w:rPr>
        <w:t>REASONS FOR JUDGMENT</w:t>
      </w:r>
    </w:p>
    <w:p w:rsidR="0075263B" w:rsidRDefault="003D38F8" w:rsidP="00225C8A">
      <w:pPr>
        <w:pStyle w:val="ParaNumbering"/>
      </w:pPr>
      <w:r>
        <w:t xml:space="preserve">These reasons deal with the costs of a proceeding </w:t>
      </w:r>
      <w:r w:rsidR="00225C8A">
        <w:t>in</w:t>
      </w:r>
      <w:r>
        <w:t xml:space="preserve"> this Court in which I delivered reasons for judgment on 16 January 2014 (</w:t>
      </w:r>
      <w:proofErr w:type="spellStart"/>
      <w:r w:rsidRPr="00BB1875">
        <w:rPr>
          <w:i/>
        </w:rPr>
        <w:t>Neobev</w:t>
      </w:r>
      <w:proofErr w:type="spellEnd"/>
      <w:r w:rsidRPr="00BB1875">
        <w:rPr>
          <w:i/>
        </w:rPr>
        <w:t xml:space="preserve"> Pty Ltd v Bacchus Distillery Pty Ltd (Administrators Appointed) (No </w:t>
      </w:r>
      <w:r>
        <w:rPr>
          <w:i/>
        </w:rPr>
        <w:t>3</w:t>
      </w:r>
      <w:r w:rsidRPr="00BB1875">
        <w:rPr>
          <w:i/>
        </w:rPr>
        <w:t xml:space="preserve">) </w:t>
      </w:r>
      <w:r>
        <w:t xml:space="preserve">[2014] </w:t>
      </w:r>
      <w:proofErr w:type="spellStart"/>
      <w:r>
        <w:t>FCA</w:t>
      </w:r>
      <w:proofErr w:type="spellEnd"/>
      <w:r>
        <w:t xml:space="preserve"> 4) and reasons</w:t>
      </w:r>
      <w:r w:rsidR="00F326DD">
        <w:t xml:space="preserve"> </w:t>
      </w:r>
      <w:r>
        <w:t>for the final orders made on 4 February 2014 (</w:t>
      </w:r>
      <w:proofErr w:type="spellStart"/>
      <w:r w:rsidRPr="00BB1875">
        <w:rPr>
          <w:i/>
        </w:rPr>
        <w:t>Neobev</w:t>
      </w:r>
      <w:proofErr w:type="spellEnd"/>
      <w:r w:rsidRPr="00BB1875">
        <w:rPr>
          <w:i/>
        </w:rPr>
        <w:t xml:space="preserve"> Pty Ltd v Bacchus Distillery Pty Ltd (Administrators Appointed) (No </w:t>
      </w:r>
      <w:r>
        <w:rPr>
          <w:i/>
        </w:rPr>
        <w:t>4</w:t>
      </w:r>
      <w:r w:rsidRPr="00BB1875">
        <w:rPr>
          <w:i/>
        </w:rPr>
        <w:t xml:space="preserve">) </w:t>
      </w:r>
      <w:r>
        <w:t xml:space="preserve">[2014] </w:t>
      </w:r>
      <w:proofErr w:type="spellStart"/>
      <w:r>
        <w:t>FCA</w:t>
      </w:r>
      <w:proofErr w:type="spellEnd"/>
      <w:r>
        <w:t xml:space="preserve"> 21).  </w:t>
      </w:r>
      <w:r w:rsidR="00664BDB">
        <w:t>These reasons should be read with those reasons.  I have, for example, adopted the same abbreviations in these reasons.</w:t>
      </w:r>
    </w:p>
    <w:p w:rsidR="00225C8A" w:rsidRDefault="00225C8A" w:rsidP="00225C8A">
      <w:pPr>
        <w:pStyle w:val="ParaNumbering"/>
      </w:pPr>
      <w:r>
        <w:t xml:space="preserve">The Court’s power to award costs is contained in s 43 of the </w:t>
      </w:r>
      <w:r>
        <w:rPr>
          <w:i/>
        </w:rPr>
        <w:t xml:space="preserve">Federal Court of Australia Act 1976 </w:t>
      </w:r>
      <w:r>
        <w:t>(</w:t>
      </w:r>
      <w:proofErr w:type="spellStart"/>
      <w:r>
        <w:t>Cth</w:t>
      </w:r>
      <w:proofErr w:type="spellEnd"/>
      <w:r>
        <w:t>).  Section 43(2) provides that costs are in the discretion of the Court, and s 43(3) provides in a non-exhaustive way for the type of orders the Court may make.  In the ordinary case, costs follow the event.  Where a party has succeeded on some</w:t>
      </w:r>
      <w:r w:rsidR="00664BDB">
        <w:t>,</w:t>
      </w:r>
      <w:r>
        <w:t xml:space="preserve"> but not all</w:t>
      </w:r>
      <w:r w:rsidR="00A64C50">
        <w:t>,</w:t>
      </w:r>
      <w:r>
        <w:t xml:space="preserve"> issues presented to the Court for its determination, that </w:t>
      </w:r>
      <w:r w:rsidR="00A64C50">
        <w:t>party’s p</w:t>
      </w:r>
      <w:r>
        <w:t>artial lack of success may lead to an order that the party pay the other side’s costs on those issues in respect of which it has been unsuccessful, or a reduction of the party’s costs.</w:t>
      </w:r>
      <w:r w:rsidR="00664BDB">
        <w:t xml:space="preserve">  Whether such an approach is appropriate will depend on all</w:t>
      </w:r>
      <w:r w:rsidR="00A64C50">
        <w:t xml:space="preserve"> of</w:t>
      </w:r>
      <w:r w:rsidR="00664BDB">
        <w:t xml:space="preserve"> the circumstances of the case.</w:t>
      </w:r>
    </w:p>
    <w:p w:rsidR="003D38F8" w:rsidRDefault="003D38F8" w:rsidP="00BB1875">
      <w:pPr>
        <w:pStyle w:val="ParaNumbering"/>
      </w:pPr>
      <w:r>
        <w:t xml:space="preserve">The </w:t>
      </w:r>
      <w:r w:rsidR="00225C8A">
        <w:t xml:space="preserve">final </w:t>
      </w:r>
      <w:r>
        <w:t>orders made on 4 February 2014 were as follows:</w:t>
      </w:r>
    </w:p>
    <w:p w:rsidR="003D38F8" w:rsidRDefault="003D38F8" w:rsidP="003D38F8">
      <w:pPr>
        <w:pStyle w:val="Quote1"/>
      </w:pPr>
      <w:r w:rsidRPr="00A64C50">
        <w:rPr>
          <w:b/>
        </w:rPr>
        <w:lastRenderedPageBreak/>
        <w:t>THE COURT DECLARES THAT</w:t>
      </w:r>
      <w:r>
        <w:t>:</w:t>
      </w:r>
    </w:p>
    <w:p w:rsidR="003D38F8" w:rsidRDefault="003D38F8" w:rsidP="003D38F8">
      <w:pPr>
        <w:pStyle w:val="Quote1"/>
      </w:pPr>
    </w:p>
    <w:p w:rsidR="003D38F8" w:rsidRDefault="003D38F8" w:rsidP="003D38F8">
      <w:pPr>
        <w:pStyle w:val="Quote1"/>
        <w:numPr>
          <w:ilvl w:val="0"/>
          <w:numId w:val="38"/>
        </w:numPr>
      </w:pPr>
      <w:r>
        <w:t>Mr Max Scott is the sole inventor of the invention which is the subject of Australian Standard Patent 2006201593 (“593 Patent”) and Australian Standard Patent Application 2011201999 (“999 Application”).</w:t>
      </w:r>
    </w:p>
    <w:p w:rsidR="003D38F8" w:rsidRDefault="003D38F8" w:rsidP="003D38F8">
      <w:pPr>
        <w:pStyle w:val="Quote1"/>
        <w:ind w:left="1097"/>
      </w:pPr>
    </w:p>
    <w:p w:rsidR="003D38F8" w:rsidRDefault="00DF0DFE" w:rsidP="00DF0DFE">
      <w:pPr>
        <w:pStyle w:val="Quote1"/>
        <w:numPr>
          <w:ilvl w:val="0"/>
          <w:numId w:val="38"/>
        </w:numPr>
        <w:tabs>
          <w:tab w:val="left" w:pos="1134"/>
        </w:tabs>
        <w:ind w:left="1701" w:hanging="850"/>
      </w:pPr>
      <w:r>
        <w:t>(a)</w:t>
      </w:r>
      <w:r>
        <w:tab/>
      </w:r>
      <w:r w:rsidR="003D38F8">
        <w:t>The Applicant/First Cross Respondent (</w:t>
      </w:r>
      <w:proofErr w:type="spellStart"/>
      <w:r w:rsidR="003D38F8">
        <w:t>Neobev</w:t>
      </w:r>
      <w:proofErr w:type="spellEnd"/>
      <w:r w:rsidR="003D38F8">
        <w:t xml:space="preserve"> Pty Ltd (</w:t>
      </w:r>
      <w:proofErr w:type="spellStart"/>
      <w:r w:rsidR="003D38F8">
        <w:t>ACN</w:t>
      </w:r>
      <w:proofErr w:type="spellEnd"/>
      <w:r w:rsidR="003D38F8">
        <w:t xml:space="preserve"> 165 795 746) (“</w:t>
      </w:r>
      <w:proofErr w:type="spellStart"/>
      <w:r w:rsidR="003D38F8">
        <w:t>Neobev</w:t>
      </w:r>
      <w:proofErr w:type="spellEnd"/>
      <w:r w:rsidR="003D38F8">
        <w:t>”)) is, and has since 13 September 2013 been, the beneficial co</w:t>
      </w:r>
      <w:r w:rsidR="003D38F8">
        <w:noBreakHyphen/>
        <w:t>owner of the 593 Patent and the invention which is the subject of that patent; and</w:t>
      </w:r>
    </w:p>
    <w:p w:rsidR="003D38F8" w:rsidRDefault="003D38F8" w:rsidP="003D38F8">
      <w:pPr>
        <w:pStyle w:val="Quote1"/>
        <w:ind w:left="1440"/>
      </w:pPr>
    </w:p>
    <w:p w:rsidR="003D38F8" w:rsidRDefault="00F326DD" w:rsidP="00DF0DFE">
      <w:pPr>
        <w:pStyle w:val="Quote1"/>
        <w:tabs>
          <w:tab w:val="left" w:pos="1701"/>
        </w:tabs>
        <w:ind w:left="1701" w:hanging="604"/>
      </w:pPr>
      <w:r>
        <w:t>(b)</w:t>
      </w:r>
      <w:r>
        <w:tab/>
      </w:r>
      <w:r w:rsidR="003D38F8">
        <w:t>The Respondent/Cross Claimant (Bacchus Distillery Pty Ltd (Administrators Appointed) (</w:t>
      </w:r>
      <w:proofErr w:type="spellStart"/>
      <w:r w:rsidR="003D38F8">
        <w:t>ACN</w:t>
      </w:r>
      <w:proofErr w:type="spellEnd"/>
      <w:r w:rsidR="003D38F8">
        <w:t xml:space="preserve"> 065 961 711) (“Bacchus”)) holds the ownership of the 593 Patent, and the invention the subject of that patent, on trust for itself and </w:t>
      </w:r>
      <w:proofErr w:type="spellStart"/>
      <w:r w:rsidR="003D38F8">
        <w:t>Neobev</w:t>
      </w:r>
      <w:proofErr w:type="spellEnd"/>
      <w:r w:rsidR="003D38F8">
        <w:t xml:space="preserve"> as co-owners in equity.</w:t>
      </w:r>
    </w:p>
    <w:p w:rsidR="00F326DD" w:rsidRDefault="00F326DD" w:rsidP="00F326DD">
      <w:pPr>
        <w:pStyle w:val="Quote1"/>
        <w:ind w:left="1440" w:hanging="343"/>
      </w:pPr>
    </w:p>
    <w:p w:rsidR="003D38F8" w:rsidRDefault="003D38F8" w:rsidP="00F326DD">
      <w:pPr>
        <w:pStyle w:val="Quote1"/>
        <w:numPr>
          <w:ilvl w:val="0"/>
          <w:numId w:val="38"/>
        </w:numPr>
      </w:pPr>
      <w:r>
        <w:t>The licence with respect to the Confidential Information and Copyright Works defined in the Amended Statement of Claim (“Confidential Information and Copyright Works”) to use the same for the purpose of manufacturing cream liqueur products using the emulsifiers supplied by or on behalf of Max Scott Consulting Pty Ltd and Mr Max Scott was not terminated by reason of the fact that Bacchus was placed into administration on 9 September 2013.</w:t>
      </w:r>
    </w:p>
    <w:p w:rsidR="003D38F8" w:rsidRDefault="003D38F8" w:rsidP="003D38F8">
      <w:pPr>
        <w:pStyle w:val="Quote1"/>
        <w:rPr>
          <w:b/>
        </w:rPr>
      </w:pPr>
    </w:p>
    <w:p w:rsidR="003D38F8" w:rsidRPr="00F326DD" w:rsidRDefault="003D38F8" w:rsidP="003D38F8">
      <w:pPr>
        <w:pStyle w:val="Quote1"/>
      </w:pPr>
      <w:r w:rsidRPr="00A64C50">
        <w:rPr>
          <w:b/>
        </w:rPr>
        <w:t>THE COURT ORDERS THAT</w:t>
      </w:r>
      <w:r w:rsidRPr="00F326DD">
        <w:t>:</w:t>
      </w:r>
    </w:p>
    <w:p w:rsidR="003D38F8" w:rsidRPr="006C271C" w:rsidRDefault="003D38F8" w:rsidP="003D38F8">
      <w:pPr>
        <w:pStyle w:val="Quote1"/>
        <w:rPr>
          <w:b/>
        </w:rPr>
      </w:pPr>
    </w:p>
    <w:p w:rsidR="003D38F8" w:rsidRDefault="003D38F8" w:rsidP="003D38F8">
      <w:pPr>
        <w:pStyle w:val="Quote1"/>
        <w:numPr>
          <w:ilvl w:val="0"/>
          <w:numId w:val="37"/>
        </w:numPr>
      </w:pPr>
      <w:r>
        <w:t>The Commissioner of Patents rectify the Register of Patents in relation to the 593 Patent so as to name Mr Max Scott as the sole inventor of the 593 Patent.</w:t>
      </w:r>
    </w:p>
    <w:p w:rsidR="003D38F8" w:rsidRDefault="003D38F8" w:rsidP="003D38F8">
      <w:pPr>
        <w:pStyle w:val="Quote1"/>
        <w:ind w:left="1097"/>
      </w:pPr>
    </w:p>
    <w:p w:rsidR="003D38F8" w:rsidRDefault="003D38F8" w:rsidP="003D38F8">
      <w:pPr>
        <w:pStyle w:val="Quote1"/>
        <w:numPr>
          <w:ilvl w:val="0"/>
          <w:numId w:val="37"/>
        </w:numPr>
      </w:pPr>
      <w:r>
        <w:t>A copy of these orders be served on the Commissioner of Patents within fourteen days of this order.</w:t>
      </w:r>
    </w:p>
    <w:p w:rsidR="003D38F8" w:rsidRDefault="003D38F8" w:rsidP="003D38F8">
      <w:pPr>
        <w:pStyle w:val="ListParagraph"/>
        <w:spacing w:line="240" w:lineRule="auto"/>
      </w:pPr>
    </w:p>
    <w:p w:rsidR="003D38F8" w:rsidRDefault="003D38F8" w:rsidP="003D38F8">
      <w:pPr>
        <w:pStyle w:val="Quote1"/>
        <w:numPr>
          <w:ilvl w:val="0"/>
          <w:numId w:val="37"/>
        </w:numPr>
      </w:pPr>
      <w:r>
        <w:t xml:space="preserve">Bacchus, whether by itself, its officers, employees or agents or otherwise howsoever, be restrained from promoting for sale, selling or otherwise disposing of the Confidential Information or Copyright Works without </w:t>
      </w:r>
      <w:proofErr w:type="spellStart"/>
      <w:r>
        <w:t>Neobev’s</w:t>
      </w:r>
      <w:proofErr w:type="spellEnd"/>
      <w:r>
        <w:t xml:space="preserve"> consent.</w:t>
      </w:r>
    </w:p>
    <w:p w:rsidR="003D38F8" w:rsidRDefault="003D38F8" w:rsidP="003D38F8">
      <w:pPr>
        <w:pStyle w:val="Quote1"/>
        <w:ind w:left="1097"/>
      </w:pPr>
    </w:p>
    <w:p w:rsidR="003D38F8" w:rsidRDefault="003D38F8" w:rsidP="003D38F8">
      <w:pPr>
        <w:pStyle w:val="Quote1"/>
        <w:numPr>
          <w:ilvl w:val="0"/>
          <w:numId w:val="37"/>
        </w:numPr>
      </w:pPr>
      <w:r>
        <w:t xml:space="preserve">All </w:t>
      </w:r>
      <w:r w:rsidR="00A64C50">
        <w:t xml:space="preserve">applications for </w:t>
      </w:r>
      <w:r>
        <w:t xml:space="preserve">costs be </w:t>
      </w:r>
      <w:r w:rsidR="00A64C50">
        <w:t xml:space="preserve">adjourned to Thursday, 13 February 2014 at </w:t>
      </w:r>
      <w:proofErr w:type="spellStart"/>
      <w:r w:rsidR="00A64C50">
        <w:t>10am</w:t>
      </w:r>
      <w:proofErr w:type="spellEnd"/>
      <w:r w:rsidR="00A64C50">
        <w:t xml:space="preserve"> (Adelaide time) for hearing.</w:t>
      </w:r>
    </w:p>
    <w:p w:rsidR="00F326DD" w:rsidRDefault="00F326DD" w:rsidP="00F326DD">
      <w:pPr>
        <w:pStyle w:val="ListParagraph"/>
        <w:spacing w:line="240" w:lineRule="auto"/>
      </w:pPr>
    </w:p>
    <w:p w:rsidR="003D38F8" w:rsidRDefault="003D38F8" w:rsidP="00BB1875">
      <w:pPr>
        <w:pStyle w:val="ParaNumbering"/>
      </w:pPr>
      <w:r>
        <w:t>Th</w:t>
      </w:r>
      <w:r w:rsidR="00116F5A">
        <w:t>e</w:t>
      </w:r>
      <w:r w:rsidR="00664BDB">
        <w:t>se</w:t>
      </w:r>
      <w:r>
        <w:t xml:space="preserve"> </w:t>
      </w:r>
      <w:r w:rsidR="00664BDB">
        <w:t>declarations and orders can be linked to the main issues in the case.</w:t>
      </w:r>
      <w:r>
        <w:t xml:space="preserve">  The first declaration and the first and second orders relate to the issue of </w:t>
      </w:r>
      <w:proofErr w:type="spellStart"/>
      <w:r>
        <w:t>inventorship</w:t>
      </w:r>
      <w:proofErr w:type="spellEnd"/>
      <w:r>
        <w:t xml:space="preserve"> </w:t>
      </w:r>
      <w:r w:rsidR="00664BDB">
        <w:t>(i.e., the identity of the inventor or inventors)</w:t>
      </w:r>
      <w:r w:rsidR="00A64C50">
        <w:t>,</w:t>
      </w:r>
      <w:r w:rsidR="00664BDB">
        <w:t xml:space="preserve"> </w:t>
      </w:r>
      <w:r>
        <w:t xml:space="preserve">which </w:t>
      </w:r>
      <w:r w:rsidR="00664BDB">
        <w:t xml:space="preserve">issue </w:t>
      </w:r>
      <w:r>
        <w:t xml:space="preserve">was decided in favour of </w:t>
      </w:r>
      <w:proofErr w:type="spellStart"/>
      <w:r>
        <w:t>Neobev</w:t>
      </w:r>
      <w:proofErr w:type="spellEnd"/>
      <w:r>
        <w:t xml:space="preserve">.  The second </w:t>
      </w:r>
      <w:r w:rsidR="00225C8A">
        <w:t>declaration</w:t>
      </w:r>
      <w:r>
        <w:t xml:space="preserve"> relates to the issue of ownership of the invention and the 593 Patent and</w:t>
      </w:r>
      <w:r w:rsidR="00DF0DFE">
        <w:t>,</w:t>
      </w:r>
      <w:r>
        <w:t xml:space="preserve"> as to that</w:t>
      </w:r>
      <w:r w:rsidR="00C10210">
        <w:t xml:space="preserve"> issue</w:t>
      </w:r>
      <w:r w:rsidR="00DF0DFE">
        <w:t>,</w:t>
      </w:r>
      <w:r>
        <w:t xml:space="preserve"> </w:t>
      </w:r>
      <w:proofErr w:type="spellStart"/>
      <w:r>
        <w:t>Neobev</w:t>
      </w:r>
      <w:proofErr w:type="spellEnd"/>
      <w:r>
        <w:t xml:space="preserve"> was successful in establishing joint beneficial ownership, but unsuccessful in its attempt to have itself recorded as a co</w:t>
      </w:r>
      <w:r>
        <w:noBreakHyphen/>
        <w:t xml:space="preserve">owner on the Register of Patents.  A material consideration in terms of </w:t>
      </w:r>
      <w:r w:rsidR="00664BDB">
        <w:t xml:space="preserve">the </w:t>
      </w:r>
      <w:r>
        <w:t>co</w:t>
      </w:r>
      <w:r w:rsidR="00F326DD">
        <w:t>s</w:t>
      </w:r>
      <w:r>
        <w:t xml:space="preserve">ts </w:t>
      </w:r>
      <w:r w:rsidR="00225C8A">
        <w:t>of the issue of</w:t>
      </w:r>
      <w:r>
        <w:t xml:space="preserve"> ownership of the invention and the 593 Patent is that</w:t>
      </w:r>
      <w:r w:rsidR="00A64C50">
        <w:t>,</w:t>
      </w:r>
      <w:r>
        <w:t xml:space="preserve"> </w:t>
      </w:r>
      <w:r w:rsidR="00DF0DFE">
        <w:t>up</w:t>
      </w:r>
      <w:r>
        <w:t xml:space="preserve"> until shortly prior to trial, </w:t>
      </w:r>
      <w:proofErr w:type="spellStart"/>
      <w:r>
        <w:t>Neobev</w:t>
      </w:r>
      <w:proofErr w:type="spellEnd"/>
      <w:r>
        <w:t xml:space="preserve"> claimed in its </w:t>
      </w:r>
      <w:r w:rsidR="00225C8A">
        <w:t>Originating Application and Statement of Claim</w:t>
      </w:r>
      <w:r>
        <w:t xml:space="preserve"> that it was entitled to sole ownership of the invention and the 593 Patent.  The third declaration and third order may be considered together.  They relate to the </w:t>
      </w:r>
      <w:r>
        <w:lastRenderedPageBreak/>
        <w:t xml:space="preserve">Confidential Information and Copyright Works and the two issues of whether the licence to </w:t>
      </w:r>
      <w:r w:rsidR="00664BDB">
        <w:t>use that i</w:t>
      </w:r>
      <w:r w:rsidR="00DF0DFE">
        <w:t xml:space="preserve">nformation and those </w:t>
      </w:r>
      <w:r w:rsidR="00664BDB">
        <w:t>w</w:t>
      </w:r>
      <w:r>
        <w:t xml:space="preserve">orks had come to an end by reason of Bacchus being placed into administration, with respect to which </w:t>
      </w:r>
      <w:r w:rsidR="00664BDB">
        <w:t xml:space="preserve">issue </w:t>
      </w:r>
      <w:proofErr w:type="spellStart"/>
      <w:r>
        <w:t>Neobev</w:t>
      </w:r>
      <w:proofErr w:type="spellEnd"/>
      <w:r>
        <w:t xml:space="preserve"> was unsuccessful and Bacchus </w:t>
      </w:r>
      <w:r w:rsidR="00A64C50">
        <w:t xml:space="preserve">was </w:t>
      </w:r>
      <w:r>
        <w:t>successful</w:t>
      </w:r>
      <w:r w:rsidR="00DF0DFE">
        <w:t>,</w:t>
      </w:r>
      <w:r>
        <w:t xml:space="preserve"> and the assignability of the licence, with respect to which </w:t>
      </w:r>
      <w:r w:rsidR="00664BDB">
        <w:t xml:space="preserve">issue </w:t>
      </w:r>
      <w:proofErr w:type="spellStart"/>
      <w:r>
        <w:t>Neobev</w:t>
      </w:r>
      <w:proofErr w:type="spellEnd"/>
      <w:r>
        <w:t xml:space="preserve"> was successful and Bacchus was unsuccessful.  There was one further issue in the proceeding </w:t>
      </w:r>
      <w:r w:rsidR="00572454">
        <w:t>t</w:t>
      </w:r>
      <w:r w:rsidR="00225C8A">
        <w:t>h</w:t>
      </w:r>
      <w:r w:rsidR="00572454">
        <w:t>at</w:t>
      </w:r>
      <w:r w:rsidR="00225C8A">
        <w:t xml:space="preserve"> </w:t>
      </w:r>
      <w:r w:rsidR="00664BDB">
        <w:t>i</w:t>
      </w:r>
      <w:r w:rsidR="00225C8A">
        <w:t xml:space="preserve">s not the subject of any </w:t>
      </w:r>
      <w:r w:rsidR="00664BDB">
        <w:t xml:space="preserve">declarations or </w:t>
      </w:r>
      <w:r w:rsidR="00225C8A">
        <w:t xml:space="preserve">orders </w:t>
      </w:r>
      <w:r>
        <w:t xml:space="preserve">and that concerned </w:t>
      </w:r>
      <w:proofErr w:type="spellStart"/>
      <w:r w:rsidR="004218DA">
        <w:t>Neobev’s</w:t>
      </w:r>
      <w:proofErr w:type="spellEnd"/>
      <w:r w:rsidR="004218DA">
        <w:t xml:space="preserve"> claim for </w:t>
      </w:r>
      <w:r>
        <w:t>specific performance of the Royalty Agreement</w:t>
      </w:r>
      <w:r w:rsidR="00664BDB">
        <w:t xml:space="preserve">.  That issue </w:t>
      </w:r>
      <w:r>
        <w:t xml:space="preserve">is dealt with in </w:t>
      </w:r>
      <w:proofErr w:type="spellStart"/>
      <w:r w:rsidRPr="00BB1875">
        <w:rPr>
          <w:i/>
        </w:rPr>
        <w:t>Neobev</w:t>
      </w:r>
      <w:proofErr w:type="spellEnd"/>
      <w:r w:rsidRPr="00BB1875">
        <w:rPr>
          <w:i/>
        </w:rPr>
        <w:t xml:space="preserve"> Pty Ltd v Bacchus Distillery Pty Ltd (Administrators Appointed) (No </w:t>
      </w:r>
      <w:r>
        <w:rPr>
          <w:i/>
        </w:rPr>
        <w:t>3</w:t>
      </w:r>
      <w:r w:rsidRPr="00BB1875">
        <w:rPr>
          <w:i/>
        </w:rPr>
        <w:t>)</w:t>
      </w:r>
      <w:r>
        <w:rPr>
          <w:i/>
        </w:rPr>
        <w:t xml:space="preserve"> </w:t>
      </w:r>
      <w:r w:rsidR="00D96DE7">
        <w:t>at [119]</w:t>
      </w:r>
      <w:r w:rsidR="00D96DE7">
        <w:noBreakHyphen/>
        <w:t xml:space="preserve">[135].  </w:t>
      </w:r>
      <w:r w:rsidR="00664BDB">
        <w:t xml:space="preserve">It was decided against </w:t>
      </w:r>
      <w:proofErr w:type="spellStart"/>
      <w:r w:rsidR="00664BDB">
        <w:t>Neobev</w:t>
      </w:r>
      <w:proofErr w:type="spellEnd"/>
      <w:r w:rsidR="00D96DE7">
        <w:t xml:space="preserve"> and there were no declarations or orders made with respect to it.</w:t>
      </w:r>
    </w:p>
    <w:p w:rsidR="00225C8A" w:rsidRDefault="00225C8A" w:rsidP="00BB1875">
      <w:pPr>
        <w:pStyle w:val="ParaNumbering"/>
      </w:pPr>
      <w:r>
        <w:t>At the outset</w:t>
      </w:r>
      <w:r w:rsidR="00A64C50">
        <w:t>,</w:t>
      </w:r>
      <w:r>
        <w:t xml:space="preserve"> it is necessary to consider a submission</w:t>
      </w:r>
      <w:r w:rsidR="00D96DE7">
        <w:t xml:space="preserve"> </w:t>
      </w:r>
      <w:r w:rsidR="00664BDB">
        <w:t xml:space="preserve">made </w:t>
      </w:r>
      <w:r w:rsidR="00D96DE7">
        <w:t xml:space="preserve">by Bacchus that the question of costs </w:t>
      </w:r>
      <w:r>
        <w:t xml:space="preserve">in this proceeding </w:t>
      </w:r>
      <w:r w:rsidR="00D96DE7">
        <w:t xml:space="preserve">should be adjourned until after the determination of an application issued in the Supreme Court of Victoria by Bacchus’ administrators the day after I made final orders in this proceeding.  The orders I made on 4 February 2014 have not resolved all </w:t>
      </w:r>
      <w:r w:rsidR="004218DA">
        <w:t xml:space="preserve">of </w:t>
      </w:r>
      <w:r w:rsidR="00664BDB">
        <w:t xml:space="preserve">the issues between the parties concerning </w:t>
      </w:r>
      <w:r w:rsidR="00D96DE7">
        <w:t xml:space="preserve">the invention and the 593 Patent.  </w:t>
      </w:r>
      <w:r>
        <w:t>The outstanding issues</w:t>
      </w:r>
      <w:r w:rsidR="0075263B">
        <w:t>,</w:t>
      </w:r>
      <w:r>
        <w:t xml:space="preserve"> in general terms</w:t>
      </w:r>
      <w:r w:rsidR="0075263B">
        <w:t>,</w:t>
      </w:r>
      <w:r>
        <w:t xml:space="preserve"> are whether the administrators are able to sell the invention and the 593 Patent and, if so, the </w:t>
      </w:r>
      <w:r w:rsidR="004218DA">
        <w:t xml:space="preserve">proper </w:t>
      </w:r>
      <w:r>
        <w:t>application of the proceeds</w:t>
      </w:r>
      <w:r w:rsidR="00664BDB">
        <w:t xml:space="preserve"> of sale.  Those issues are the subject of </w:t>
      </w:r>
      <w:r w:rsidR="00604B42">
        <w:t>the</w:t>
      </w:r>
      <w:r w:rsidR="00664BDB">
        <w:t xml:space="preserve"> proceeding in the Supreme Court of Victoria.  I identified some of the matters relevant to</w:t>
      </w:r>
      <w:r>
        <w:t xml:space="preserve"> the issues </w:t>
      </w:r>
      <w:r w:rsidR="00D96DE7">
        <w:t xml:space="preserve">in </w:t>
      </w:r>
      <w:proofErr w:type="spellStart"/>
      <w:r w:rsidR="00D96DE7" w:rsidRPr="00BB1875">
        <w:rPr>
          <w:i/>
        </w:rPr>
        <w:t>Neobev</w:t>
      </w:r>
      <w:proofErr w:type="spellEnd"/>
      <w:r w:rsidR="00D96DE7" w:rsidRPr="00BB1875">
        <w:rPr>
          <w:i/>
        </w:rPr>
        <w:t xml:space="preserve"> Pty Ltd v Bacchus Distillery Pty Ltd (Administrators Appointed) (No</w:t>
      </w:r>
      <w:r w:rsidR="00F326DD">
        <w:rPr>
          <w:i/>
        </w:rPr>
        <w:t> </w:t>
      </w:r>
      <w:r w:rsidR="00D96DE7">
        <w:rPr>
          <w:i/>
        </w:rPr>
        <w:t>4</w:t>
      </w:r>
      <w:r w:rsidR="00D96DE7" w:rsidRPr="00BB1875">
        <w:rPr>
          <w:i/>
        </w:rPr>
        <w:t>)</w:t>
      </w:r>
      <w:r w:rsidR="00DF0DFE">
        <w:rPr>
          <w:i/>
        </w:rPr>
        <w:t xml:space="preserve"> </w:t>
      </w:r>
      <w:r w:rsidR="00D96DE7">
        <w:t>[8]</w:t>
      </w:r>
      <w:r w:rsidR="00D96DE7">
        <w:noBreakHyphen/>
        <w:t xml:space="preserve">[10].  </w:t>
      </w:r>
      <w:r w:rsidR="00664BDB">
        <w:t xml:space="preserve">Although neither party asserts that the </w:t>
      </w:r>
      <w:r w:rsidR="00D96DE7">
        <w:t xml:space="preserve">other party is precluded by some form of estoppel </w:t>
      </w:r>
      <w:r>
        <w:t xml:space="preserve">arising from its conduct of the proceeding before me </w:t>
      </w:r>
      <w:r w:rsidR="00D96DE7">
        <w:t>from raising th</w:t>
      </w:r>
      <w:r w:rsidR="00664BDB">
        <w:t>o</w:t>
      </w:r>
      <w:r w:rsidR="00D96DE7">
        <w:t>se issues in the proceeding</w:t>
      </w:r>
      <w:r w:rsidR="00664BDB">
        <w:t xml:space="preserve"> in the Supreme Court of Victoria, Bacchus asserts </w:t>
      </w:r>
      <w:r w:rsidR="00D96DE7">
        <w:t>that</w:t>
      </w:r>
      <w:r w:rsidR="00A64C50">
        <w:t>,</w:t>
      </w:r>
      <w:r w:rsidR="00D96DE7">
        <w:t xml:space="preserve"> </w:t>
      </w:r>
      <w:r>
        <w:t>s</w:t>
      </w:r>
      <w:r w:rsidR="00D96DE7">
        <w:t xml:space="preserve">hould it succeed in </w:t>
      </w:r>
      <w:r>
        <w:t xml:space="preserve">its application </w:t>
      </w:r>
      <w:r w:rsidR="00D96DE7">
        <w:t>in the Supreme Court of Victoria, the</w:t>
      </w:r>
      <w:r>
        <w:t>n</w:t>
      </w:r>
      <w:r w:rsidR="00D96DE7">
        <w:t xml:space="preserve"> </w:t>
      </w:r>
      <w:r w:rsidR="0075263B">
        <w:t xml:space="preserve">from </w:t>
      </w:r>
      <w:proofErr w:type="spellStart"/>
      <w:r w:rsidR="00D96DE7">
        <w:t>Neobev’s</w:t>
      </w:r>
      <w:proofErr w:type="spellEnd"/>
      <w:r w:rsidR="00D96DE7">
        <w:t xml:space="preserve"> point of view, </w:t>
      </w:r>
      <w:r>
        <w:t xml:space="preserve">and having regard to the financial condition of the company, the proceeding </w:t>
      </w:r>
      <w:r w:rsidR="0075263B">
        <w:t xml:space="preserve">in </w:t>
      </w:r>
      <w:r>
        <w:t xml:space="preserve">this Court will </w:t>
      </w:r>
      <w:r w:rsidR="00D96DE7">
        <w:t xml:space="preserve">have proved utterly futile.  </w:t>
      </w:r>
      <w:r>
        <w:t>Bacchus submits that</w:t>
      </w:r>
      <w:r w:rsidR="00A64C50">
        <w:t>,</w:t>
      </w:r>
      <w:r>
        <w:t xml:space="preserve"> if </w:t>
      </w:r>
      <w:r w:rsidR="00D96DE7">
        <w:t xml:space="preserve">that proves to be the case, </w:t>
      </w:r>
      <w:r>
        <w:t>then it</w:t>
      </w:r>
      <w:r w:rsidR="00D96DE7">
        <w:t xml:space="preserve"> should receive its costs of this proceeding or, at the very least, </w:t>
      </w:r>
      <w:proofErr w:type="spellStart"/>
      <w:r w:rsidR="00D96DE7">
        <w:t>Neobev</w:t>
      </w:r>
      <w:proofErr w:type="spellEnd"/>
      <w:r w:rsidR="00D96DE7">
        <w:t xml:space="preserve"> should not get its costs.  </w:t>
      </w:r>
      <w:r w:rsidR="004218DA">
        <w:t xml:space="preserve">It is for this reason that </w:t>
      </w:r>
      <w:r w:rsidR="00664BDB">
        <w:t>it submits that I should adjourn the questio</w:t>
      </w:r>
      <w:r w:rsidR="00A42091">
        <w:t>n</w:t>
      </w:r>
      <w:r w:rsidR="00664BDB">
        <w:t xml:space="preserve"> of costs until the result of the proceeding in the Supreme Court of Victoria is known.</w:t>
      </w:r>
    </w:p>
    <w:p w:rsidR="00F9168F" w:rsidRDefault="00F9168F" w:rsidP="00F9168F">
      <w:pPr>
        <w:pStyle w:val="ParaNumbering"/>
      </w:pPr>
      <w:r>
        <w:t xml:space="preserve">I do not accept this submission.  The ownership of the invention and the 593 Patent was the main issue in the proceeding before me.  There were two arguments, one relating to </w:t>
      </w:r>
      <w:r w:rsidR="004218DA">
        <w:t xml:space="preserve">a claim of </w:t>
      </w:r>
      <w:r>
        <w:t>joint beneficial ownership</w:t>
      </w:r>
      <w:r w:rsidR="00A64C50">
        <w:t>,</w:t>
      </w:r>
      <w:r>
        <w:t xml:space="preserve"> and the other</w:t>
      </w:r>
      <w:r w:rsidR="004218DA">
        <w:t xml:space="preserve"> relating to</w:t>
      </w:r>
      <w:r>
        <w:t xml:space="preserve"> whether </w:t>
      </w:r>
      <w:proofErr w:type="spellStart"/>
      <w:r>
        <w:t>Neobev’s</w:t>
      </w:r>
      <w:proofErr w:type="spellEnd"/>
      <w:r>
        <w:t xml:space="preserve"> ownership interest should be recorded on the Register of Patents.  Those issues were contested and I determined them.  I see no reason why I should not make an order for costs </w:t>
      </w:r>
      <w:r w:rsidR="004218DA">
        <w:t>with respect to</w:t>
      </w:r>
      <w:r>
        <w:t xml:space="preserve"> the issues the parties put before the Court.</w:t>
      </w:r>
    </w:p>
    <w:p w:rsidR="00F9168F" w:rsidRDefault="00F9168F" w:rsidP="00F9168F">
      <w:pPr>
        <w:pStyle w:val="ParaNumbering"/>
      </w:pPr>
      <w:r>
        <w:lastRenderedPageBreak/>
        <w:t xml:space="preserve">Independently of this reason, I have great difficulty in seeing how Bacchus could establish that the proceeding before me was futile such that it should never have been brought.  For example, I note that by letter dated 13 December 2013, which was the Friday before the trial commenced on the following Monday, Bacchus’ solicitors made an offer to </w:t>
      </w:r>
      <w:proofErr w:type="spellStart"/>
      <w:r>
        <w:t>Neobev</w:t>
      </w:r>
      <w:proofErr w:type="spellEnd"/>
      <w:r>
        <w:t xml:space="preserve"> through its solicitors in the following terms:</w:t>
      </w:r>
    </w:p>
    <w:p w:rsidR="00F9168F" w:rsidRDefault="00F9168F" w:rsidP="00F9168F">
      <w:pPr>
        <w:pStyle w:val="Quote1"/>
        <w:ind w:left="1440" w:hanging="703"/>
      </w:pPr>
      <w:r>
        <w:t>17.</w:t>
      </w:r>
      <w:r>
        <w:tab/>
        <w:t>Having regard to all the matters set out above, and with a view to resolving the Proceeding without further delay and costs, our clients are willing to settle the Proceeding on the following basis:</w:t>
      </w:r>
    </w:p>
    <w:p w:rsidR="00F9168F" w:rsidRDefault="00F9168F" w:rsidP="00F9168F">
      <w:pPr>
        <w:pStyle w:val="Quote1"/>
        <w:ind w:left="1440" w:hanging="703"/>
      </w:pPr>
    </w:p>
    <w:p w:rsidR="00F9168F" w:rsidRDefault="00F9168F" w:rsidP="00F9168F">
      <w:pPr>
        <w:pStyle w:val="Quote1"/>
        <w:numPr>
          <w:ilvl w:val="0"/>
          <w:numId w:val="40"/>
        </w:numPr>
      </w:pPr>
      <w:r>
        <w:t>our client will pay your client 10% of the net surplus proceeds of the sale of the Company’s assets, being the funds available to our client after:</w:t>
      </w:r>
    </w:p>
    <w:p w:rsidR="00F9168F" w:rsidRDefault="00F9168F" w:rsidP="00F9168F">
      <w:pPr>
        <w:pStyle w:val="Quote1"/>
        <w:ind w:left="1805"/>
      </w:pPr>
    </w:p>
    <w:p w:rsidR="00F9168F" w:rsidRDefault="00F9168F" w:rsidP="00F9168F">
      <w:pPr>
        <w:pStyle w:val="Quote1"/>
        <w:numPr>
          <w:ilvl w:val="0"/>
          <w:numId w:val="41"/>
        </w:numPr>
        <w:ind w:left="2160" w:hanging="355"/>
      </w:pPr>
      <w:r>
        <w:t>payment of the administrators’, deed administrators’ and liquidators’ remuneration, costs and expenses (as applicable) including the costs of the Proceeding;</w:t>
      </w:r>
    </w:p>
    <w:p w:rsidR="00F9168F" w:rsidRDefault="00F9168F" w:rsidP="00F9168F">
      <w:pPr>
        <w:pStyle w:val="Quote1"/>
        <w:ind w:left="2160"/>
      </w:pPr>
    </w:p>
    <w:p w:rsidR="00F9168F" w:rsidRDefault="00F9168F" w:rsidP="00F9168F">
      <w:pPr>
        <w:pStyle w:val="Quote1"/>
        <w:numPr>
          <w:ilvl w:val="0"/>
          <w:numId w:val="41"/>
        </w:numPr>
        <w:ind w:left="2160" w:hanging="355"/>
      </w:pPr>
      <w:r>
        <w:t>payment of the claims of creditors who hold a valid and enforceable security interest over the Company’s assets that the subject of any sale;</w:t>
      </w:r>
    </w:p>
    <w:p w:rsidR="00F9168F" w:rsidRDefault="00F9168F" w:rsidP="00F9168F">
      <w:pPr>
        <w:pStyle w:val="ListParagraph"/>
        <w:spacing w:line="240" w:lineRule="auto"/>
      </w:pPr>
    </w:p>
    <w:p w:rsidR="00F9168F" w:rsidRDefault="00F9168F" w:rsidP="00F9168F">
      <w:pPr>
        <w:pStyle w:val="Quote1"/>
        <w:numPr>
          <w:ilvl w:val="0"/>
          <w:numId w:val="40"/>
        </w:numPr>
      </w:pPr>
      <w:r>
        <w:t>the parties file consent orders dismissing the Applicant’s claim and entry into  judgment in from of the orders sought in the in the cross-claim;</w:t>
      </w:r>
    </w:p>
    <w:p w:rsidR="00F9168F" w:rsidRDefault="00F9168F" w:rsidP="00F9168F">
      <w:pPr>
        <w:pStyle w:val="Quote1"/>
        <w:ind w:left="1805"/>
      </w:pPr>
    </w:p>
    <w:p w:rsidR="00F9168F" w:rsidRDefault="00F9168F" w:rsidP="00F9168F">
      <w:pPr>
        <w:pStyle w:val="Quote1"/>
        <w:numPr>
          <w:ilvl w:val="0"/>
          <w:numId w:val="40"/>
        </w:numPr>
      </w:pPr>
      <w:r>
        <w:t>the parties will be at liberty to enforce any costs orders already made in the Proceeding, but will otherwise bear their own costs.</w:t>
      </w:r>
    </w:p>
    <w:p w:rsidR="00F9168F" w:rsidRDefault="00F9168F" w:rsidP="00F9168F">
      <w:pPr>
        <w:pStyle w:val="ListParagraph"/>
        <w:spacing w:line="240" w:lineRule="auto"/>
      </w:pPr>
    </w:p>
    <w:p w:rsidR="00F9168F" w:rsidRDefault="00F9168F" w:rsidP="00F9168F">
      <w:pPr>
        <w:pStyle w:val="Quote1"/>
        <w:ind w:left="1440" w:hanging="703"/>
      </w:pPr>
      <w:r>
        <w:t>18.</w:t>
      </w:r>
      <w:r>
        <w:tab/>
        <w:t xml:space="preserve">If you client accepts this offer by </w:t>
      </w:r>
      <w:proofErr w:type="spellStart"/>
      <w:r w:rsidRPr="00A64C50">
        <w:rPr>
          <w:b/>
        </w:rPr>
        <w:t>6:00pm</w:t>
      </w:r>
      <w:proofErr w:type="spellEnd"/>
      <w:r w:rsidRPr="00A64C50">
        <w:rPr>
          <w:b/>
        </w:rPr>
        <w:t xml:space="preserve"> today, Friday 13 December 2013</w:t>
      </w:r>
      <w:r>
        <w:t>, I am instructed that our client will limit their claim under all present costs orders to $140,000 on taxation.</w:t>
      </w:r>
    </w:p>
    <w:p w:rsidR="00F9168F" w:rsidRDefault="00F9168F" w:rsidP="00F9168F">
      <w:pPr>
        <w:pStyle w:val="Quote1"/>
      </w:pPr>
    </w:p>
    <w:p w:rsidR="00F9168F" w:rsidRDefault="00F9168F" w:rsidP="00F9168F">
      <w:pPr>
        <w:pStyle w:val="Quote1"/>
        <w:ind w:left="1440" w:hanging="703"/>
      </w:pPr>
      <w:r>
        <w:t>19.</w:t>
      </w:r>
      <w:r>
        <w:tab/>
        <w:t xml:space="preserve">This offer is otherwise open for your client’s acceptance until </w:t>
      </w:r>
      <w:proofErr w:type="spellStart"/>
      <w:r w:rsidRPr="00A64C50">
        <w:rPr>
          <w:b/>
        </w:rPr>
        <w:t>12:00pm</w:t>
      </w:r>
      <w:proofErr w:type="spellEnd"/>
      <w:r w:rsidRPr="00A64C50">
        <w:rPr>
          <w:b/>
        </w:rPr>
        <w:t>, Sunday 15 December 2013</w:t>
      </w:r>
      <w:r>
        <w:t>, after which time it will automatically lapse.</w:t>
      </w:r>
    </w:p>
    <w:p w:rsidR="00F9168F" w:rsidRDefault="00F9168F" w:rsidP="00F9168F">
      <w:pPr>
        <w:pStyle w:val="Quote1"/>
      </w:pPr>
    </w:p>
    <w:p w:rsidR="00F9168F" w:rsidRDefault="00F9168F" w:rsidP="00F9168F">
      <w:pPr>
        <w:pStyle w:val="ParaNumbering"/>
      </w:pPr>
      <w:proofErr w:type="spellStart"/>
      <w:r>
        <w:t>Neobev’s</w:t>
      </w:r>
      <w:proofErr w:type="spellEnd"/>
      <w:r>
        <w:t xml:space="preserve"> solicitors responded on the sa</w:t>
      </w:r>
      <w:r w:rsidR="00A64C50">
        <w:t>me day as follows:</w:t>
      </w:r>
    </w:p>
    <w:p w:rsidR="00F9168F" w:rsidRDefault="00F9168F" w:rsidP="00F9168F">
      <w:pPr>
        <w:pStyle w:val="Quote1"/>
        <w:numPr>
          <w:ilvl w:val="0"/>
          <w:numId w:val="42"/>
        </w:numPr>
        <w:ind w:left="1418" w:hanging="709"/>
      </w:pPr>
      <w:r>
        <w:t>We refer to your without prejudice letter of today and our discussion this evening.</w:t>
      </w:r>
    </w:p>
    <w:p w:rsidR="00F9168F" w:rsidRDefault="00F9168F" w:rsidP="00F9168F">
      <w:pPr>
        <w:pStyle w:val="Quote1"/>
        <w:ind w:left="1418"/>
      </w:pPr>
    </w:p>
    <w:p w:rsidR="00F9168F" w:rsidRDefault="00F9168F" w:rsidP="00F9168F">
      <w:pPr>
        <w:pStyle w:val="Quote1"/>
        <w:numPr>
          <w:ilvl w:val="0"/>
          <w:numId w:val="42"/>
        </w:numPr>
        <w:ind w:left="1418" w:hanging="709"/>
      </w:pPr>
      <w:r>
        <w:t xml:space="preserve">Your letter was received by us at </w:t>
      </w:r>
      <w:proofErr w:type="spellStart"/>
      <w:r>
        <w:t>3:38pm</w:t>
      </w:r>
      <w:proofErr w:type="spellEnd"/>
      <w:r>
        <w:t xml:space="preserve"> on Friday, 13 December 2013.  The trial is listed to commence at </w:t>
      </w:r>
      <w:proofErr w:type="spellStart"/>
      <w:r>
        <w:t>10.15am</w:t>
      </w:r>
      <w:proofErr w:type="spellEnd"/>
      <w:r>
        <w:t xml:space="preserve"> on Monday, 16 December 2013.  In order to accept part of the offer made in your letter, our clients were required to accept that offer by </w:t>
      </w:r>
      <w:proofErr w:type="spellStart"/>
      <w:r>
        <w:t>6.00pm</w:t>
      </w:r>
      <w:proofErr w:type="spellEnd"/>
      <w:r>
        <w:t xml:space="preserve"> this evening.  On its face, this period for the consideration of an offer is unreasonable, particularly having regard to the fact that this is the first occasion on which your clients have made any offer of settlement.</w:t>
      </w:r>
    </w:p>
    <w:p w:rsidR="00F9168F" w:rsidRDefault="00F9168F" w:rsidP="00F9168F">
      <w:pPr>
        <w:pStyle w:val="ListParagraph"/>
        <w:spacing w:line="240" w:lineRule="auto"/>
      </w:pPr>
    </w:p>
    <w:p w:rsidR="00F9168F" w:rsidRDefault="00F9168F" w:rsidP="00F9168F">
      <w:pPr>
        <w:pStyle w:val="Quote1"/>
        <w:numPr>
          <w:ilvl w:val="0"/>
          <w:numId w:val="42"/>
        </w:numPr>
        <w:ind w:left="1418" w:hanging="709"/>
      </w:pPr>
      <w:r>
        <w:t>We do not agree with your assessment of our clients’ case.  We have provided written submissions setting out the merits of that case and will not repeat those matters in this letter.</w:t>
      </w:r>
    </w:p>
    <w:p w:rsidR="00F9168F" w:rsidRDefault="00F9168F" w:rsidP="00F9168F">
      <w:pPr>
        <w:pStyle w:val="ListParagraph"/>
        <w:spacing w:line="240" w:lineRule="auto"/>
      </w:pPr>
    </w:p>
    <w:p w:rsidR="00F9168F" w:rsidRDefault="00F9168F" w:rsidP="00F9168F">
      <w:pPr>
        <w:pStyle w:val="Quote1"/>
        <w:numPr>
          <w:ilvl w:val="0"/>
          <w:numId w:val="42"/>
        </w:numPr>
        <w:ind w:left="1418" w:hanging="709"/>
      </w:pPr>
      <w:r>
        <w:t>As we indicated this evening, the offer to pay “10% of net surplus for proceeds of the sale of the Company’s assets being the funds available” after payment of the expenses set out in paragraph 17(a), is unclear in the absence of any information about the likely sale price of the Company’s assets or the quantum of those expenses.  We cannot assess the value of that offer and advise our clients accordingly.</w:t>
      </w:r>
    </w:p>
    <w:p w:rsidR="00F9168F" w:rsidRDefault="00F9168F" w:rsidP="00F9168F">
      <w:pPr>
        <w:pStyle w:val="ListParagraph"/>
        <w:spacing w:line="240" w:lineRule="auto"/>
      </w:pPr>
    </w:p>
    <w:p w:rsidR="00F9168F" w:rsidRDefault="00F9168F" w:rsidP="00F9168F">
      <w:pPr>
        <w:pStyle w:val="Quote1"/>
        <w:numPr>
          <w:ilvl w:val="0"/>
          <w:numId w:val="42"/>
        </w:numPr>
        <w:ind w:left="1418" w:hanging="709"/>
      </w:pPr>
      <w:r>
        <w:t>The suggestion that your clients’ costs thrown away by our client’s amendments are likely to exceed $140,000 is impossible for us to test at this stage.  We can, however, say that we regard that figure as surprisingly high.</w:t>
      </w:r>
    </w:p>
    <w:p w:rsidR="00F9168F" w:rsidRDefault="00F9168F" w:rsidP="00F9168F">
      <w:pPr>
        <w:pStyle w:val="ListParagraph"/>
        <w:spacing w:line="240" w:lineRule="auto"/>
      </w:pPr>
    </w:p>
    <w:p w:rsidR="00F9168F" w:rsidRDefault="00F9168F" w:rsidP="00F9168F">
      <w:pPr>
        <w:pStyle w:val="Quote1"/>
        <w:numPr>
          <w:ilvl w:val="0"/>
          <w:numId w:val="42"/>
        </w:numPr>
        <w:ind w:left="1418" w:hanging="709"/>
      </w:pPr>
      <w:r>
        <w:t>In the circumstances, there is insufficient time and information for us to properly advise our clients on the offer and its implications.  Further, there is insufficient information to enable a reasonable assessment of the scope of the offer to be made in the time available.</w:t>
      </w:r>
    </w:p>
    <w:p w:rsidR="00F9168F" w:rsidRDefault="00F9168F" w:rsidP="00F9168F">
      <w:pPr>
        <w:pStyle w:val="ListParagraph"/>
        <w:spacing w:line="240" w:lineRule="auto"/>
      </w:pPr>
    </w:p>
    <w:p w:rsidR="00F9168F" w:rsidRDefault="00F9168F" w:rsidP="00F9168F">
      <w:pPr>
        <w:pStyle w:val="Quote1"/>
        <w:numPr>
          <w:ilvl w:val="0"/>
          <w:numId w:val="42"/>
        </w:numPr>
        <w:ind w:left="1418" w:hanging="709"/>
      </w:pPr>
      <w:r>
        <w:t>You are invited to provide further information on these matters to enable us to properly assess the reasonableness or otherwise of your clients’ proposal.  In the alternative, our clients remain willing to discuss with you settlement proposals which are more reasonably quantifiable.</w:t>
      </w:r>
    </w:p>
    <w:p w:rsidR="00F9168F" w:rsidRDefault="00F9168F" w:rsidP="00F9168F">
      <w:pPr>
        <w:pStyle w:val="Quote1"/>
        <w:ind w:left="1097"/>
      </w:pPr>
    </w:p>
    <w:p w:rsidR="00F9168F" w:rsidRDefault="00F9168F" w:rsidP="00F9168F">
      <w:pPr>
        <w:pStyle w:val="ParaNumbering"/>
      </w:pPr>
      <w:r>
        <w:t xml:space="preserve">This letter is not an effective </w:t>
      </w:r>
      <w:proofErr w:type="spellStart"/>
      <w:r>
        <w:t>Calderbank</w:t>
      </w:r>
      <w:proofErr w:type="spellEnd"/>
      <w:r>
        <w:t xml:space="preserve"> letter because what was being offered was vague and uncertain</w:t>
      </w:r>
      <w:r w:rsidR="00572454">
        <w:t>,</w:t>
      </w:r>
      <w:r>
        <w:t xml:space="preserve"> and I do not think that it was unreasonable for </w:t>
      </w:r>
      <w:proofErr w:type="spellStart"/>
      <w:r>
        <w:t>Neobev</w:t>
      </w:r>
      <w:proofErr w:type="spellEnd"/>
      <w:r>
        <w:t xml:space="preserve"> to seek clarification.  However, </w:t>
      </w:r>
      <w:r w:rsidR="004218DA">
        <w:t xml:space="preserve">and this is the important point, </w:t>
      </w:r>
      <w:r>
        <w:t xml:space="preserve">presumably Bacchus considered that it was making an offer </w:t>
      </w:r>
      <w:r w:rsidR="004218DA">
        <w:t xml:space="preserve">to </w:t>
      </w:r>
      <w:proofErr w:type="spellStart"/>
      <w:r w:rsidR="004218DA">
        <w:t>Neobev</w:t>
      </w:r>
      <w:proofErr w:type="spellEnd"/>
      <w:r w:rsidR="004218DA">
        <w:t xml:space="preserve"> which had</w:t>
      </w:r>
      <w:r>
        <w:t xml:space="preserve"> some commercial value.</w:t>
      </w:r>
    </w:p>
    <w:p w:rsidR="00F9168F" w:rsidRDefault="00F9168F" w:rsidP="00F9168F">
      <w:pPr>
        <w:pStyle w:val="ParaNumbering"/>
      </w:pPr>
      <w:r>
        <w:t xml:space="preserve">For these reasons, I do not think it </w:t>
      </w:r>
      <w:r w:rsidR="004218DA">
        <w:t xml:space="preserve">either necessary or </w:t>
      </w:r>
      <w:r>
        <w:t>appropriate to await the outcome of the proceeding in the Supreme Court of Victoria.</w:t>
      </w:r>
    </w:p>
    <w:p w:rsidR="00D96DE7" w:rsidRDefault="00A42091" w:rsidP="00BB1875">
      <w:pPr>
        <w:pStyle w:val="ParaNumbering"/>
      </w:pPr>
      <w:r>
        <w:t xml:space="preserve">Bacchus put two general arguments </w:t>
      </w:r>
      <w:r w:rsidR="004218DA">
        <w:t xml:space="preserve">which </w:t>
      </w:r>
      <w:r>
        <w:t>it contended were relevant to the question of costs.</w:t>
      </w:r>
    </w:p>
    <w:p w:rsidR="00A42091" w:rsidRDefault="00A42091" w:rsidP="00BB1875">
      <w:pPr>
        <w:pStyle w:val="ParaNumbering"/>
      </w:pPr>
      <w:r>
        <w:t>First, it su</w:t>
      </w:r>
      <w:r w:rsidR="004218DA">
        <w:t>bmit</w:t>
      </w:r>
      <w:r>
        <w:t xml:space="preserve">ted (as it has on previous occasions) that </w:t>
      </w:r>
      <w:proofErr w:type="spellStart"/>
      <w:r>
        <w:t>Neobev</w:t>
      </w:r>
      <w:proofErr w:type="spellEnd"/>
      <w:r>
        <w:t xml:space="preserve"> has had a collateral purpose in bringing and maintaining this proceeding and</w:t>
      </w:r>
      <w:r w:rsidR="004218DA">
        <w:t xml:space="preserve"> that</w:t>
      </w:r>
      <w:r>
        <w:t xml:space="preserve"> that purpose is to thwart a competitive sale process</w:t>
      </w:r>
      <w:r w:rsidR="004218DA">
        <w:t xml:space="preserve"> by the administrators of Bacchus</w:t>
      </w:r>
      <w:r>
        <w:t>.  I fail to see how that is so.  It asserted a legal right (including in that expression a claim for joint beneficial ownership)</w:t>
      </w:r>
      <w:r w:rsidR="00572454">
        <w:t>,</w:t>
      </w:r>
      <w:r>
        <w:t xml:space="preserve"> which was denied by Bacchus.  </w:t>
      </w:r>
      <w:proofErr w:type="spellStart"/>
      <w:r>
        <w:t>Neobev</w:t>
      </w:r>
      <w:proofErr w:type="spellEnd"/>
      <w:r>
        <w:t xml:space="preserve"> succeeded with respect to that issue.</w:t>
      </w:r>
    </w:p>
    <w:p w:rsidR="00403908" w:rsidRDefault="00A42091" w:rsidP="00BB1875">
      <w:pPr>
        <w:pStyle w:val="ParaNumbering"/>
      </w:pPr>
      <w:r>
        <w:t xml:space="preserve">Secondly, </w:t>
      </w:r>
      <w:r w:rsidR="004218DA">
        <w:t>Bacchus</w:t>
      </w:r>
      <w:r>
        <w:t xml:space="preserve"> suggested </w:t>
      </w:r>
      <w:r w:rsidR="00403908">
        <w:t>through one of its administrators</w:t>
      </w:r>
      <w:r w:rsidR="00DF0DFE">
        <w:t>,</w:t>
      </w:r>
      <w:r w:rsidR="00403908">
        <w:t xml:space="preserve"> </w:t>
      </w:r>
      <w:r w:rsidR="00803D2C">
        <w:t xml:space="preserve">Mr </w:t>
      </w:r>
      <w:proofErr w:type="spellStart"/>
      <w:r w:rsidR="00803D2C">
        <w:t>Secatore</w:t>
      </w:r>
      <w:proofErr w:type="spellEnd"/>
      <w:r w:rsidR="00803D2C">
        <w:t xml:space="preserve">, </w:t>
      </w:r>
      <w:r w:rsidR="00403908">
        <w:t>that</w:t>
      </w:r>
      <w:r w:rsidR="00572454">
        <w:t>,</w:t>
      </w:r>
      <w:r w:rsidR="00403908">
        <w:t xml:space="preserve"> if the claim for joint beneficial ownership had been raised earlier, then the claim may have been </w:t>
      </w:r>
      <w:r>
        <w:t>resolved.</w:t>
      </w:r>
      <w:r w:rsidR="00403908">
        <w:t xml:space="preserve">  I do not think there is </w:t>
      </w:r>
      <w:r w:rsidR="00F326DD">
        <w:t xml:space="preserve">a sufficient basis </w:t>
      </w:r>
      <w:r w:rsidR="00DF0DFE">
        <w:t>i</w:t>
      </w:r>
      <w:r w:rsidR="00403908">
        <w:t xml:space="preserve">n </w:t>
      </w:r>
      <w:r>
        <w:t xml:space="preserve">the </w:t>
      </w:r>
      <w:r w:rsidR="00403908">
        <w:t>objective fact</w:t>
      </w:r>
      <w:r>
        <w:t>s</w:t>
      </w:r>
      <w:r w:rsidR="00403908">
        <w:t xml:space="preserve"> for me to place any weight on that opinion.</w:t>
      </w:r>
    </w:p>
    <w:p w:rsidR="00D644B9" w:rsidRDefault="00D644B9" w:rsidP="00BB1875">
      <w:pPr>
        <w:pStyle w:val="ParaNumbering"/>
      </w:pPr>
      <w:r>
        <w:lastRenderedPageBreak/>
        <w:t xml:space="preserve">The fact that until shortly before trial </w:t>
      </w:r>
      <w:proofErr w:type="spellStart"/>
      <w:r>
        <w:t>Neobev</w:t>
      </w:r>
      <w:proofErr w:type="spellEnd"/>
      <w:r>
        <w:t xml:space="preserve"> asserted a right to sole ownership of the invention and the 593 Patent is significant.  However, in terms of costs, I accept </w:t>
      </w:r>
      <w:proofErr w:type="spellStart"/>
      <w:r>
        <w:t>Neobev’s</w:t>
      </w:r>
      <w:proofErr w:type="spellEnd"/>
      <w:r>
        <w:t xml:space="preserve"> submission that it is a circumstance co</w:t>
      </w:r>
      <w:r w:rsidR="004218DA">
        <w:t>vered by an</w:t>
      </w:r>
      <w:r>
        <w:t xml:space="preserve"> existing costs order in favour of Bacchus, being order 4 made on 12 December 2013.</w:t>
      </w:r>
    </w:p>
    <w:p w:rsidR="00403908" w:rsidRDefault="00403908" w:rsidP="00BB1875">
      <w:pPr>
        <w:pStyle w:val="ParaNumbering"/>
      </w:pPr>
      <w:r>
        <w:t xml:space="preserve">In terms of the outcome of the proceeding before me, </w:t>
      </w:r>
      <w:proofErr w:type="spellStart"/>
      <w:r>
        <w:t>Neobev</w:t>
      </w:r>
      <w:proofErr w:type="spellEnd"/>
      <w:r>
        <w:t xml:space="preserve"> succeeded on a number of issues and Bacchus succeeded on other issues.  </w:t>
      </w:r>
      <w:proofErr w:type="spellStart"/>
      <w:r>
        <w:t>Neobev</w:t>
      </w:r>
      <w:proofErr w:type="spellEnd"/>
      <w:r>
        <w:t xml:space="preserve"> succeeded on the main issue in the </w:t>
      </w:r>
      <w:r w:rsidR="00803D2C">
        <w:t>proceeding</w:t>
      </w:r>
      <w:r>
        <w:t xml:space="preserve"> although, as I have said, I must take into account the fact that it did not succeed in its claim to be recorded as a co</w:t>
      </w:r>
      <w:r>
        <w:noBreakHyphen/>
        <w:t xml:space="preserve">owner on the Register of Patents.  </w:t>
      </w:r>
      <w:r w:rsidR="00A42091">
        <w:t xml:space="preserve">Nevertheless, </w:t>
      </w:r>
      <w:r>
        <w:t xml:space="preserve">I do not think </w:t>
      </w:r>
      <w:r w:rsidR="00803D2C">
        <w:t>this</w:t>
      </w:r>
      <w:r>
        <w:t xml:space="preserve"> is a case where </w:t>
      </w:r>
      <w:r w:rsidR="00DD2D2F">
        <w:t xml:space="preserve">honours were about even </w:t>
      </w:r>
      <w:r w:rsidR="00803D2C">
        <w:t>and where</w:t>
      </w:r>
      <w:r w:rsidR="00DD2D2F">
        <w:t xml:space="preserve"> an order that there be no order as to costs</w:t>
      </w:r>
      <w:r w:rsidR="00803D2C">
        <w:t xml:space="preserve"> might be appropriate</w:t>
      </w:r>
      <w:r w:rsidR="00DD2D2F">
        <w:t xml:space="preserve">.  </w:t>
      </w:r>
      <w:proofErr w:type="spellStart"/>
      <w:r w:rsidR="00DD2D2F">
        <w:t>Neobev</w:t>
      </w:r>
      <w:proofErr w:type="spellEnd"/>
      <w:r w:rsidR="00DD2D2F">
        <w:t xml:space="preserve"> was, to my mind, substantially successful.</w:t>
      </w:r>
    </w:p>
    <w:p w:rsidR="00DD2D2F" w:rsidRDefault="00DD2D2F" w:rsidP="00BB1875">
      <w:pPr>
        <w:pStyle w:val="ParaNumbering"/>
      </w:pPr>
      <w:r>
        <w:t xml:space="preserve">Counsel for Bacchus submitted that at one point before trial he had indicated that the administrators of Bacchus were not really interested in the issue of </w:t>
      </w:r>
      <w:proofErr w:type="spellStart"/>
      <w:r>
        <w:t>inventorship</w:t>
      </w:r>
      <w:proofErr w:type="spellEnd"/>
      <w:r>
        <w:t>.  I do not think that that is a matter to take into account.  The fact is that it was an issue at trial</w:t>
      </w:r>
      <w:r w:rsidR="00572454">
        <w:t>,</w:t>
      </w:r>
      <w:r>
        <w:t xml:space="preserve"> which was contested</w:t>
      </w:r>
      <w:r w:rsidR="004C4376">
        <w:t>,</w:t>
      </w:r>
      <w:r w:rsidR="00A42091">
        <w:t xml:space="preserve"> and that</w:t>
      </w:r>
      <w:r>
        <w:t xml:space="preserve"> </w:t>
      </w:r>
      <w:proofErr w:type="spellStart"/>
      <w:r>
        <w:t>Neobev</w:t>
      </w:r>
      <w:proofErr w:type="spellEnd"/>
      <w:r>
        <w:t xml:space="preserve"> was successful on th</w:t>
      </w:r>
      <w:r w:rsidR="00A42091">
        <w:t>at</w:t>
      </w:r>
      <w:r>
        <w:t xml:space="preserve"> issue.</w:t>
      </w:r>
    </w:p>
    <w:p w:rsidR="00DD2D2F" w:rsidRDefault="00DD2D2F" w:rsidP="00BB1875">
      <w:pPr>
        <w:pStyle w:val="ParaNumbering"/>
      </w:pPr>
      <w:r>
        <w:t xml:space="preserve">As to the licence to use the Confidential Information and Copyright Works, Bacchus succeeded on the issue of termination but I do not think that that justifies a separate order </w:t>
      </w:r>
      <w:r w:rsidR="004218DA">
        <w:t>for</w:t>
      </w:r>
      <w:r>
        <w:t xml:space="preserve"> costs.  </w:t>
      </w:r>
      <w:r w:rsidR="00803D2C">
        <w:t>When</w:t>
      </w:r>
      <w:r>
        <w:t xml:space="preserve"> compared with the issue of assignability, </w:t>
      </w:r>
      <w:r w:rsidR="00803D2C">
        <w:t xml:space="preserve">it was </w:t>
      </w:r>
      <w:r>
        <w:t>a secondary issue.</w:t>
      </w:r>
    </w:p>
    <w:p w:rsidR="00DD2D2F" w:rsidRDefault="00DD2D2F" w:rsidP="00BB1875">
      <w:pPr>
        <w:pStyle w:val="ParaNumbering"/>
      </w:pPr>
      <w:r>
        <w:t xml:space="preserve">As to </w:t>
      </w:r>
      <w:proofErr w:type="spellStart"/>
      <w:r w:rsidR="004218DA">
        <w:t>Neobev’s</w:t>
      </w:r>
      <w:proofErr w:type="spellEnd"/>
      <w:r>
        <w:t xml:space="preserve"> </w:t>
      </w:r>
      <w:r w:rsidR="00803D2C">
        <w:t xml:space="preserve">claim for </w:t>
      </w:r>
      <w:r>
        <w:t>specific performance of the Royalty Agreement, that claim was introduced by a late amendment and a costs order in favour of Bacchus attended its introduction</w:t>
      </w:r>
      <w:r w:rsidR="00962DDD">
        <w:t>,</w:t>
      </w:r>
      <w:r w:rsidR="00803D2C">
        <w:t xml:space="preserve"> </w:t>
      </w:r>
      <w:r w:rsidR="00D644B9">
        <w:t>being</w:t>
      </w:r>
      <w:r w:rsidR="00803D2C">
        <w:t xml:space="preserve"> order 3 made on 16 December 2013</w:t>
      </w:r>
      <w:r>
        <w:t>.  Bacchus was successful on the issue and</w:t>
      </w:r>
      <w:r w:rsidR="00572454">
        <w:t>,</w:t>
      </w:r>
      <w:r>
        <w:t xml:space="preserve"> although that fact should be reflected in the order</w:t>
      </w:r>
      <w:r w:rsidR="00D644B9">
        <w:t>s I make as to costs</w:t>
      </w:r>
      <w:r>
        <w:t xml:space="preserve">, it does not, to my mind, call for a separate order for costs.  I have reached that conclusion having regard to the overwhelming significance of the ownership issue and the overlap in terms of evidence between that issue and </w:t>
      </w:r>
      <w:r w:rsidR="00803D2C">
        <w:t xml:space="preserve">the claim for </w:t>
      </w:r>
      <w:r>
        <w:t>specific performance of the Royalty Agreement.</w:t>
      </w:r>
    </w:p>
    <w:p w:rsidR="00803D2C" w:rsidRDefault="00DD2D2F" w:rsidP="00803D2C">
      <w:pPr>
        <w:pStyle w:val="ParaNumbering"/>
      </w:pPr>
      <w:r>
        <w:t xml:space="preserve">The </w:t>
      </w:r>
      <w:r w:rsidR="00803D2C">
        <w:t xml:space="preserve">two </w:t>
      </w:r>
      <w:r>
        <w:t xml:space="preserve">existing costs orders </w:t>
      </w:r>
      <w:r w:rsidR="00803D2C">
        <w:t>in favour of Bacchus</w:t>
      </w:r>
      <w:r w:rsidR="00D644B9">
        <w:t xml:space="preserve"> to which I have referred</w:t>
      </w:r>
      <w:r w:rsidR="00803D2C">
        <w:t xml:space="preserve"> </w:t>
      </w:r>
      <w:r>
        <w:t xml:space="preserve">will stand.  It seems to me that the matters in Bacchus’ favour </w:t>
      </w:r>
      <w:r w:rsidR="004218DA">
        <w:t xml:space="preserve">as outlined above </w:t>
      </w:r>
      <w:r>
        <w:t xml:space="preserve">should be reflected in a reduction in the costs payable to </w:t>
      </w:r>
      <w:proofErr w:type="spellStart"/>
      <w:r>
        <w:t>Neobev</w:t>
      </w:r>
      <w:proofErr w:type="spellEnd"/>
      <w:r>
        <w:t>.  I think a reduction of 30% is appropriate</w:t>
      </w:r>
      <w:r w:rsidR="00D644B9">
        <w:t xml:space="preserve"> to reflect those matters</w:t>
      </w:r>
      <w:r>
        <w:t xml:space="preserve">.  Subject to </w:t>
      </w:r>
      <w:r w:rsidR="00803D2C">
        <w:t xml:space="preserve">two </w:t>
      </w:r>
      <w:r>
        <w:t>existing costs</w:t>
      </w:r>
      <w:r w:rsidR="00DF0DFE">
        <w:t xml:space="preserve"> orders</w:t>
      </w:r>
      <w:r w:rsidR="00803D2C">
        <w:t xml:space="preserve"> in favour of it (Bacchus)</w:t>
      </w:r>
      <w:r>
        <w:t xml:space="preserve">, Bacchus should pay 70% of </w:t>
      </w:r>
      <w:proofErr w:type="spellStart"/>
      <w:r>
        <w:t>Neobev’s</w:t>
      </w:r>
      <w:proofErr w:type="spellEnd"/>
      <w:r>
        <w:t xml:space="preserve"> costs of the proceeding assessed on a party and party basis.</w:t>
      </w:r>
      <w:r w:rsidR="00803D2C">
        <w:t xml:space="preserve">  I think that the order with respect to the claim and the cross claim</w:t>
      </w:r>
      <w:r w:rsidR="0075263B">
        <w:t xml:space="preserve"> should be the same</w:t>
      </w:r>
      <w:r w:rsidR="00803D2C">
        <w:t xml:space="preserve">.  The cross claim </w:t>
      </w:r>
      <w:r w:rsidR="00803D2C">
        <w:lastRenderedPageBreak/>
        <w:t xml:space="preserve">did not add to, or even expand, the issues raised by </w:t>
      </w:r>
      <w:proofErr w:type="spellStart"/>
      <w:r w:rsidR="00D644B9">
        <w:t>Neobev’s</w:t>
      </w:r>
      <w:proofErr w:type="spellEnd"/>
      <w:r w:rsidR="00D644B9">
        <w:t xml:space="preserve"> </w:t>
      </w:r>
      <w:r w:rsidR="00803D2C">
        <w:t xml:space="preserve">claim and </w:t>
      </w:r>
      <w:r w:rsidR="00D644B9">
        <w:t xml:space="preserve">Bacchus’ </w:t>
      </w:r>
      <w:r w:rsidR="00803D2C">
        <w:t>defence to it.</w:t>
      </w:r>
    </w:p>
    <w:p w:rsidR="00DD2D2F" w:rsidRDefault="00DD2D2F" w:rsidP="00BB1875">
      <w:pPr>
        <w:pStyle w:val="ParaNumbering"/>
      </w:pPr>
      <w:r>
        <w:t>As a result of the costs</w:t>
      </w:r>
      <w:r w:rsidR="00F326DD">
        <w:t xml:space="preserve"> order</w:t>
      </w:r>
      <w:r>
        <w:t xml:space="preserve"> I will make, there will be, as I understand it, a balance in favour of </w:t>
      </w:r>
      <w:proofErr w:type="spellStart"/>
      <w:r>
        <w:t>Neobev</w:t>
      </w:r>
      <w:proofErr w:type="spellEnd"/>
      <w:r>
        <w:t xml:space="preserve">.  In those circumstances, it is appropriate that </w:t>
      </w:r>
      <w:proofErr w:type="spellStart"/>
      <w:r>
        <w:t>Neobev’</w:t>
      </w:r>
      <w:r w:rsidR="00F326DD">
        <w:t>s</w:t>
      </w:r>
      <w:proofErr w:type="spellEnd"/>
      <w:r w:rsidR="00F326DD">
        <w:t xml:space="preserve"> solicitors be released f</w:t>
      </w:r>
      <w:r>
        <w:t>r</w:t>
      </w:r>
      <w:r w:rsidR="00F326DD">
        <w:t>o</w:t>
      </w:r>
      <w:r>
        <w:t xml:space="preserve">m their undertaking with respect to monies held in their trust account.  I will order that they be released </w:t>
      </w:r>
      <w:r w:rsidR="00D644B9">
        <w:t xml:space="preserve">from that undertaking </w:t>
      </w:r>
      <w:r>
        <w:t xml:space="preserve">after </w:t>
      </w:r>
      <w:r w:rsidR="00A64C50">
        <w:t>three</w:t>
      </w:r>
      <w:r w:rsidR="00803D2C">
        <w:t xml:space="preserve"> business</w:t>
      </w:r>
      <w:r>
        <w:t xml:space="preserve"> days and I will give liberty to apply.</w:t>
      </w:r>
    </w:p>
    <w:p w:rsidR="00FF6F94" w:rsidRDefault="00FF6F94" w:rsidP="00FF6F94">
      <w:pPr>
        <w:pStyle w:val="ParaNumbering"/>
        <w:numPr>
          <w:ilvl w:val="0"/>
          <w:numId w:val="0"/>
        </w:numPr>
      </w:pPr>
    </w:p>
    <w:tbl>
      <w:tblPr>
        <w:tblW w:w="0" w:type="auto"/>
        <w:tblLayout w:type="fixed"/>
        <w:tblLook w:val="04A0" w:firstRow="1" w:lastRow="0" w:firstColumn="1" w:lastColumn="0" w:noHBand="0" w:noVBand="1"/>
      </w:tblPr>
      <w:tblGrid>
        <w:gridCol w:w="3799"/>
      </w:tblGrid>
      <w:tr w:rsidR="00FF6F94" w:rsidTr="00FF6F94">
        <w:tc>
          <w:tcPr>
            <w:tcW w:w="3799" w:type="dxa"/>
            <w:hideMark/>
          </w:tcPr>
          <w:p w:rsidR="00FF6F94" w:rsidRDefault="00FF6F94" w:rsidP="00D644B9">
            <w:pPr>
              <w:pStyle w:val="Normal1linespace"/>
              <w:jc w:val="left"/>
            </w:pPr>
            <w:bookmarkStart w:id="23" w:name="Certification"/>
            <w:r>
              <w:t xml:space="preserve">I certify that the preceding </w:t>
            </w:r>
            <w:bookmarkStart w:id="24" w:name="NumberWord"/>
            <w:r>
              <w:t>t</w:t>
            </w:r>
            <w:r w:rsidR="00D644B9">
              <w:t>w</w:t>
            </w:r>
            <w:r>
              <w:t>e</w:t>
            </w:r>
            <w:r w:rsidR="00D644B9">
              <w:t>nty</w:t>
            </w:r>
            <w:bookmarkEnd w:id="24"/>
            <w:r>
              <w:t xml:space="preserve"> (</w:t>
            </w:r>
            <w:bookmarkStart w:id="25" w:name="NumberNumeral"/>
            <w:r w:rsidR="00D644B9">
              <w:t>20</w:t>
            </w:r>
            <w:bookmarkEnd w:id="25"/>
            <w:r>
              <w:t xml:space="preserve">) numbered </w:t>
            </w:r>
            <w:bookmarkStart w:id="26" w:name="CertPara"/>
            <w:r>
              <w:t>paragraphs are</w:t>
            </w:r>
            <w:bookmarkEnd w:id="26"/>
            <w:r>
              <w:t xml:space="preserve"> a true copy of the Reasons for Judgment herein of the Honourable </w:t>
            </w:r>
            <w:bookmarkStart w:id="27" w:name="Justice"/>
            <w:r>
              <w:t>Justice Besanko</w:t>
            </w:r>
            <w:bookmarkEnd w:id="27"/>
            <w:r>
              <w:t>.</w:t>
            </w:r>
          </w:p>
        </w:tc>
      </w:tr>
    </w:tbl>
    <w:p w:rsidR="00F7539B" w:rsidRDefault="00F7539B">
      <w:pPr>
        <w:suppressAutoHyphens/>
      </w:pPr>
    </w:p>
    <w:p w:rsidR="007772AC" w:rsidRDefault="00F7539B">
      <w:pPr>
        <w:suppressAutoHyphens/>
      </w:pPr>
      <w:r>
        <w:t>A</w:t>
      </w:r>
      <w:r w:rsidR="007772AC">
        <w:t>ssociate:</w:t>
      </w:r>
    </w:p>
    <w:p w:rsidR="00285294" w:rsidRDefault="00285294">
      <w:pPr>
        <w:suppressAutoHyphens/>
      </w:pPr>
    </w:p>
    <w:p w:rsidR="007772AC" w:rsidRDefault="007772AC">
      <w:pPr>
        <w:tabs>
          <w:tab w:val="left" w:pos="1134"/>
        </w:tabs>
        <w:suppressAutoHyphens/>
      </w:pPr>
      <w:r>
        <w:t>Dated:</w:t>
      </w:r>
      <w:r>
        <w:tab/>
      </w:r>
      <w:bookmarkStart w:id="28" w:name="CertifyDated"/>
      <w:r w:rsidR="00DD2D2F">
        <w:t>19</w:t>
      </w:r>
      <w:r w:rsidR="00086CC8">
        <w:t xml:space="preserve"> February </w:t>
      </w:r>
      <w:r>
        <w:t>2014</w:t>
      </w:r>
      <w:bookmarkEnd w:id="23"/>
      <w:bookmarkEnd w:id="28"/>
    </w:p>
    <w:sectPr w:rsidR="007772AC">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AB" w:rsidRDefault="00CC2FAB">
      <w:pPr>
        <w:spacing w:line="20" w:lineRule="exact"/>
      </w:pPr>
    </w:p>
    <w:p w:rsidR="00CC2FAB" w:rsidRDefault="00CC2FAB"/>
    <w:p w:rsidR="00CC2FAB" w:rsidRDefault="00CC2FAB"/>
  </w:endnote>
  <w:endnote w:type="continuationSeparator" w:id="0">
    <w:p w:rsidR="00CC2FAB" w:rsidRDefault="00CC2FAB">
      <w:r>
        <w:t xml:space="preserve"> </w:t>
      </w:r>
    </w:p>
    <w:p w:rsidR="00CC2FAB" w:rsidRDefault="00CC2FAB"/>
    <w:p w:rsidR="00CC2FAB" w:rsidRDefault="00CC2FAB"/>
  </w:endnote>
  <w:endnote w:type="continuationNotice" w:id="1">
    <w:p w:rsidR="00CC2FAB" w:rsidRDefault="00CC2FAB">
      <w:r>
        <w:t xml:space="preserve"> </w:t>
      </w:r>
    </w:p>
    <w:p w:rsidR="00CC2FAB" w:rsidRDefault="00CC2FAB"/>
    <w:p w:rsidR="00CC2FAB" w:rsidRDefault="00CC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Pr="00727DBA" w:rsidRDefault="00CC2FAB" w:rsidP="00727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Pr="00727DBA" w:rsidRDefault="00CC2FAB" w:rsidP="0072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AB" w:rsidRDefault="00CC2FAB"/>
    <w:p w:rsidR="00CC2FAB" w:rsidRDefault="00CC2FAB"/>
    <w:p w:rsidR="00CC2FAB" w:rsidRDefault="00CC2FAB"/>
  </w:footnote>
  <w:footnote w:type="continuationSeparator" w:id="0">
    <w:p w:rsidR="00CC2FAB" w:rsidRDefault="00CC2FAB">
      <w:r>
        <w:continuationSeparator/>
      </w:r>
    </w:p>
    <w:p w:rsidR="00CC2FAB" w:rsidRDefault="00CC2FAB"/>
    <w:p w:rsidR="00CC2FAB" w:rsidRDefault="00CC2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3B2E94">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pPr>
    <w:r>
      <w:tab/>
      <w:t xml:space="preserve">- </w:t>
    </w:r>
    <w:r>
      <w:fldChar w:fldCharType="begin"/>
    </w:r>
    <w:r>
      <w:instrText>page \* arabic</w:instrText>
    </w:r>
    <w:r>
      <w:fldChar w:fldCharType="separate"/>
    </w:r>
    <w:r w:rsidR="003B2E94">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pPr>
    <w:r>
      <w:tab/>
      <w:t xml:space="preserve">- </w:t>
    </w:r>
    <w:r>
      <w:fldChar w:fldCharType="begin"/>
    </w:r>
    <w:r>
      <w:instrText>page \* arabic</w:instrText>
    </w:r>
    <w:r>
      <w:fldChar w:fldCharType="separate"/>
    </w:r>
    <w:r w:rsidR="003B2E94">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16B77"/>
    <w:multiLevelType w:val="hybridMultilevel"/>
    <w:tmpl w:val="B0EE13D4"/>
    <w:lvl w:ilvl="0" w:tplc="CF4C3794">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8DE66F7"/>
    <w:multiLevelType w:val="hybridMultilevel"/>
    <w:tmpl w:val="76DA12B6"/>
    <w:lvl w:ilvl="0" w:tplc="705E2C36">
      <w:start w:val="1"/>
      <w:numFmt w:val="lowerRoman"/>
      <w:lvlText w:val="(%1)"/>
      <w:lvlJc w:val="left"/>
      <w:pPr>
        <w:ind w:left="2525" w:hanging="720"/>
      </w:pPr>
      <w:rPr>
        <w:rFonts w:hint="default"/>
      </w:rPr>
    </w:lvl>
    <w:lvl w:ilvl="1" w:tplc="0C090019" w:tentative="1">
      <w:start w:val="1"/>
      <w:numFmt w:val="lowerLetter"/>
      <w:lvlText w:val="%2."/>
      <w:lvlJc w:val="left"/>
      <w:pPr>
        <w:ind w:left="2885" w:hanging="360"/>
      </w:pPr>
    </w:lvl>
    <w:lvl w:ilvl="2" w:tplc="0C09001B" w:tentative="1">
      <w:start w:val="1"/>
      <w:numFmt w:val="lowerRoman"/>
      <w:lvlText w:val="%3."/>
      <w:lvlJc w:val="right"/>
      <w:pPr>
        <w:ind w:left="3605" w:hanging="180"/>
      </w:pPr>
    </w:lvl>
    <w:lvl w:ilvl="3" w:tplc="0C09000F" w:tentative="1">
      <w:start w:val="1"/>
      <w:numFmt w:val="decimal"/>
      <w:lvlText w:val="%4."/>
      <w:lvlJc w:val="left"/>
      <w:pPr>
        <w:ind w:left="4325" w:hanging="360"/>
      </w:pPr>
    </w:lvl>
    <w:lvl w:ilvl="4" w:tplc="0C090019" w:tentative="1">
      <w:start w:val="1"/>
      <w:numFmt w:val="lowerLetter"/>
      <w:lvlText w:val="%5."/>
      <w:lvlJc w:val="left"/>
      <w:pPr>
        <w:ind w:left="5045" w:hanging="360"/>
      </w:pPr>
    </w:lvl>
    <w:lvl w:ilvl="5" w:tplc="0C09001B" w:tentative="1">
      <w:start w:val="1"/>
      <w:numFmt w:val="lowerRoman"/>
      <w:lvlText w:val="%6."/>
      <w:lvlJc w:val="right"/>
      <w:pPr>
        <w:ind w:left="5765" w:hanging="180"/>
      </w:pPr>
    </w:lvl>
    <w:lvl w:ilvl="6" w:tplc="0C09000F" w:tentative="1">
      <w:start w:val="1"/>
      <w:numFmt w:val="decimal"/>
      <w:lvlText w:val="%7."/>
      <w:lvlJc w:val="left"/>
      <w:pPr>
        <w:ind w:left="6485" w:hanging="360"/>
      </w:pPr>
    </w:lvl>
    <w:lvl w:ilvl="7" w:tplc="0C090019" w:tentative="1">
      <w:start w:val="1"/>
      <w:numFmt w:val="lowerLetter"/>
      <w:lvlText w:val="%8."/>
      <w:lvlJc w:val="left"/>
      <w:pPr>
        <w:ind w:left="7205" w:hanging="360"/>
      </w:pPr>
    </w:lvl>
    <w:lvl w:ilvl="8" w:tplc="0C09001B" w:tentative="1">
      <w:start w:val="1"/>
      <w:numFmt w:val="lowerRoman"/>
      <w:lvlText w:val="%9."/>
      <w:lvlJc w:val="right"/>
      <w:pPr>
        <w:ind w:left="7925" w:hanging="180"/>
      </w:pPr>
    </w:lvl>
  </w:abstractNum>
  <w:abstractNum w:abstractNumId="12">
    <w:nsid w:val="0974593E"/>
    <w:multiLevelType w:val="hybridMultilevel"/>
    <w:tmpl w:val="CEC62246"/>
    <w:lvl w:ilvl="0" w:tplc="92C61B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7A689C"/>
    <w:multiLevelType w:val="hybridMultilevel"/>
    <w:tmpl w:val="BDBC662E"/>
    <w:lvl w:ilvl="0" w:tplc="585E7E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188C70BB"/>
    <w:multiLevelType w:val="hybridMultilevel"/>
    <w:tmpl w:val="9034AE74"/>
    <w:lvl w:ilvl="0" w:tplc="DF9022D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1C5D4BDA"/>
    <w:multiLevelType w:val="hybridMultilevel"/>
    <w:tmpl w:val="74C05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251B53"/>
    <w:multiLevelType w:val="multilevel"/>
    <w:tmpl w:val="762858CE"/>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9">
    <w:nsid w:val="29AE3DD1"/>
    <w:multiLevelType w:val="singleLevel"/>
    <w:tmpl w:val="9F309750"/>
    <w:lvl w:ilvl="0">
      <w:start w:val="1"/>
      <w:numFmt w:val="decimal"/>
      <w:lvlRestart w:val="0"/>
      <w:pStyle w:val="ParaNumbering"/>
      <w:lvlText w:val="%1"/>
      <w:lvlJc w:val="left"/>
      <w:pPr>
        <w:tabs>
          <w:tab w:val="num" w:pos="720"/>
        </w:tabs>
        <w:ind w:left="0" w:hanging="720"/>
      </w:pPr>
      <w:rPr>
        <w:rFonts w:hint="default"/>
        <w:sz w:val="20"/>
      </w:rPr>
    </w:lvl>
  </w:abstractNum>
  <w:abstractNum w:abstractNumId="20">
    <w:nsid w:val="33630A1B"/>
    <w:multiLevelType w:val="multilevel"/>
    <w:tmpl w:val="FF3EAE2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24356A3"/>
    <w:multiLevelType w:val="hybridMultilevel"/>
    <w:tmpl w:val="841C8D1E"/>
    <w:lvl w:ilvl="0" w:tplc="C854BB4A">
      <w:start w:val="1"/>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22">
    <w:nsid w:val="456D39F5"/>
    <w:multiLevelType w:val="hybridMultilevel"/>
    <w:tmpl w:val="9642C64A"/>
    <w:lvl w:ilvl="0" w:tplc="7E6EC3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5E235C4"/>
    <w:multiLevelType w:val="hybridMultilevel"/>
    <w:tmpl w:val="8DBAB8B0"/>
    <w:lvl w:ilvl="0" w:tplc="F296160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48BD3FC5"/>
    <w:multiLevelType w:val="hybridMultilevel"/>
    <w:tmpl w:val="DE203046"/>
    <w:lvl w:ilvl="0" w:tplc="A2307D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A38142E"/>
    <w:multiLevelType w:val="hybridMultilevel"/>
    <w:tmpl w:val="5862FC1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E1F53FF"/>
    <w:multiLevelType w:val="multilevel"/>
    <w:tmpl w:val="0086892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nsid w:val="5BED64A5"/>
    <w:multiLevelType w:val="hybridMultilevel"/>
    <w:tmpl w:val="AE707B8C"/>
    <w:lvl w:ilvl="0" w:tplc="9732F1D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717435E3"/>
    <w:multiLevelType w:val="multilevel"/>
    <w:tmpl w:val="241CB7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75714565"/>
    <w:multiLevelType w:val="hybridMultilevel"/>
    <w:tmpl w:val="C68A3F02"/>
    <w:lvl w:ilvl="0" w:tplc="9732F1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6C8247C"/>
    <w:multiLevelType w:val="hybridMultilevel"/>
    <w:tmpl w:val="52D09116"/>
    <w:lvl w:ilvl="0" w:tplc="BE4297A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9"/>
  </w:num>
  <w:num w:numId="2">
    <w:abstractNumId w:val="3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4"/>
  </w:num>
  <w:num w:numId="16">
    <w:abstractNumId w:val="36"/>
  </w:num>
  <w:num w:numId="17">
    <w:abstractNumId w:val="20"/>
  </w:num>
  <w:num w:numId="18">
    <w:abstractNumId w:val="20"/>
  </w:num>
  <w:num w:numId="19">
    <w:abstractNumId w:val="32"/>
  </w:num>
  <w:num w:numId="20">
    <w:abstractNumId w:val="26"/>
  </w:num>
  <w:num w:numId="21">
    <w:abstractNumId w:val="28"/>
  </w:num>
  <w:num w:numId="22">
    <w:abstractNumId w:val="37"/>
  </w:num>
  <w:num w:numId="23">
    <w:abstractNumId w:val="37"/>
  </w:num>
  <w:num w:numId="24">
    <w:abstractNumId w:val="37"/>
  </w:num>
  <w:num w:numId="25">
    <w:abstractNumId w:val="37"/>
  </w:num>
  <w:num w:numId="26">
    <w:abstractNumId w:val="37"/>
  </w:num>
  <w:num w:numId="27">
    <w:abstractNumId w:val="18"/>
  </w:num>
  <w:num w:numId="28">
    <w:abstractNumId w:val="35"/>
  </w:num>
  <w:num w:numId="29">
    <w:abstractNumId w:val="29"/>
  </w:num>
  <w:num w:numId="30">
    <w:abstractNumId w:val="13"/>
  </w:num>
  <w:num w:numId="31">
    <w:abstractNumId w:val="25"/>
  </w:num>
  <w:num w:numId="32">
    <w:abstractNumId w:val="34"/>
  </w:num>
  <w:num w:numId="33">
    <w:abstractNumId w:val="31"/>
  </w:num>
  <w:num w:numId="34">
    <w:abstractNumId w:val="17"/>
  </w:num>
  <w:num w:numId="35">
    <w:abstractNumId w:val="22"/>
  </w:num>
  <w:num w:numId="36">
    <w:abstractNumId w:val="33"/>
  </w:num>
  <w:num w:numId="37">
    <w:abstractNumId w:val="23"/>
  </w:num>
  <w:num w:numId="38">
    <w:abstractNumId w:val="16"/>
  </w:num>
  <w:num w:numId="39">
    <w:abstractNumId w:val="19"/>
    <w:lvlOverride w:ilvl="0">
      <w:startOverride w:val="1"/>
    </w:lvlOverride>
  </w:num>
  <w:num w:numId="40">
    <w:abstractNumId w:val="21"/>
  </w:num>
  <w:num w:numId="41">
    <w:abstractNumId w:val="11"/>
  </w:num>
  <w:num w:numId="42">
    <w:abstractNumId w:val="10"/>
  </w:num>
  <w:num w:numId="43">
    <w:abstractNumId w:val="12"/>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Neobev Pty Ltd"/>
    <w:docVar w:name="CounselParties" w:val="Respondent"/>
    <w:docVar w:name="CounselType" w:val="Solicitor for the "/>
    <w:docVar w:name="Division" w:val="GENERAL DIVISION"/>
    <w:docVar w:name="DocCreated" w:val="True"/>
    <w:docVar w:name="FileNumbers" w:val="SAD ### of 20##"/>
    <w:docVar w:name="FullCourt" w:val="False"/>
    <w:docVar w:name="HearingDate" w:val="16-19 December 2013"/>
    <w:docVar w:name="Judgdate" w:val="16 January 2014"/>
    <w:docVar w:name="Judge" w:val="Besanko"/>
    <w:docVar w:name="JudgePlace" w:val="ADELAIDE"/>
    <w:docVar w:name="lstEntryList" w:val="-1"/>
    <w:docVar w:name="myEntryList" w:val="Counsel for the Applicant=Mr P Crutchfield SC with Mr L Merrick|Solicitor for the Applicant=Piper Alderman|Counsel for the Respondent=Mr M Livesey QC|Solicitor for the Respondent=DMAW Lawyers as agent for Mills Oakley Lawyers"/>
    <w:docVar w:name="NSD" w:val="NSD SAD ### of 20##"/>
    <w:docVar w:name="NumApps" w:val="1"/>
    <w:docVar w:name="NumApps_" w:val="1"/>
    <w:docVar w:name="NumJudges" w:val="Single Judge"/>
    <w:docVar w:name="Parties" w:val="Respondent"/>
    <w:docVar w:name="Place_SentenceCase" w:val="Adelaide"/>
    <w:docVar w:name="Respondent" w:val="Bacchus Distillery Pty Ltd (Administrators Appointed)"/>
    <w:docVar w:name="ResState" w:val="SOUTH AUSTRALIA"/>
    <w:docVar w:name="Single" w:val="True"/>
  </w:docVars>
  <w:rsids>
    <w:rsidRoot w:val="00857B30"/>
    <w:rsid w:val="00001F94"/>
    <w:rsid w:val="000128EF"/>
    <w:rsid w:val="000778E3"/>
    <w:rsid w:val="00086CC8"/>
    <w:rsid w:val="000A7115"/>
    <w:rsid w:val="000E0F3C"/>
    <w:rsid w:val="000F1EF3"/>
    <w:rsid w:val="00116F5A"/>
    <w:rsid w:val="00127EBA"/>
    <w:rsid w:val="00145489"/>
    <w:rsid w:val="001A6B8C"/>
    <w:rsid w:val="001B0D6A"/>
    <w:rsid w:val="001B1F4B"/>
    <w:rsid w:val="001C77A3"/>
    <w:rsid w:val="001F348E"/>
    <w:rsid w:val="00201B08"/>
    <w:rsid w:val="0020450B"/>
    <w:rsid w:val="002101EB"/>
    <w:rsid w:val="00225C8A"/>
    <w:rsid w:val="00230F1F"/>
    <w:rsid w:val="002513B9"/>
    <w:rsid w:val="00285294"/>
    <w:rsid w:val="00297E91"/>
    <w:rsid w:val="002A028E"/>
    <w:rsid w:val="002C1A35"/>
    <w:rsid w:val="002C3B21"/>
    <w:rsid w:val="002D61F1"/>
    <w:rsid w:val="00362D00"/>
    <w:rsid w:val="00374218"/>
    <w:rsid w:val="0038346D"/>
    <w:rsid w:val="003B2E94"/>
    <w:rsid w:val="003B3C60"/>
    <w:rsid w:val="003D38F8"/>
    <w:rsid w:val="00403908"/>
    <w:rsid w:val="004063A6"/>
    <w:rsid w:val="0041623F"/>
    <w:rsid w:val="004218DA"/>
    <w:rsid w:val="00426BDA"/>
    <w:rsid w:val="00436EE0"/>
    <w:rsid w:val="004518E9"/>
    <w:rsid w:val="004A08F1"/>
    <w:rsid w:val="004A2061"/>
    <w:rsid w:val="004A6507"/>
    <w:rsid w:val="004B33E9"/>
    <w:rsid w:val="004B5B03"/>
    <w:rsid w:val="004C4376"/>
    <w:rsid w:val="004D046F"/>
    <w:rsid w:val="00510113"/>
    <w:rsid w:val="00562CC0"/>
    <w:rsid w:val="00570563"/>
    <w:rsid w:val="00572454"/>
    <w:rsid w:val="00587881"/>
    <w:rsid w:val="00591E6C"/>
    <w:rsid w:val="005B3B83"/>
    <w:rsid w:val="005B73D4"/>
    <w:rsid w:val="005D16F2"/>
    <w:rsid w:val="005D6E1F"/>
    <w:rsid w:val="005E277A"/>
    <w:rsid w:val="0060417C"/>
    <w:rsid w:val="00604B42"/>
    <w:rsid w:val="00612BB0"/>
    <w:rsid w:val="00635DE9"/>
    <w:rsid w:val="00663AF0"/>
    <w:rsid w:val="00664BDB"/>
    <w:rsid w:val="006763F1"/>
    <w:rsid w:val="006818BE"/>
    <w:rsid w:val="00684D91"/>
    <w:rsid w:val="00694A66"/>
    <w:rsid w:val="006B0AC6"/>
    <w:rsid w:val="006B5FB5"/>
    <w:rsid w:val="006C271C"/>
    <w:rsid w:val="006E702A"/>
    <w:rsid w:val="006F59AD"/>
    <w:rsid w:val="00727DBA"/>
    <w:rsid w:val="00745B82"/>
    <w:rsid w:val="0075263B"/>
    <w:rsid w:val="00764DCF"/>
    <w:rsid w:val="00776A17"/>
    <w:rsid w:val="007772AC"/>
    <w:rsid w:val="007A73E2"/>
    <w:rsid w:val="007C64A2"/>
    <w:rsid w:val="00803D2C"/>
    <w:rsid w:val="00814252"/>
    <w:rsid w:val="00817BD5"/>
    <w:rsid w:val="008249B6"/>
    <w:rsid w:val="00827EA8"/>
    <w:rsid w:val="00850533"/>
    <w:rsid w:val="00857B30"/>
    <w:rsid w:val="008715AF"/>
    <w:rsid w:val="008B3E0B"/>
    <w:rsid w:val="00932CB2"/>
    <w:rsid w:val="0093452B"/>
    <w:rsid w:val="00962DDD"/>
    <w:rsid w:val="00985630"/>
    <w:rsid w:val="00993534"/>
    <w:rsid w:val="009E41A4"/>
    <w:rsid w:val="00A034D1"/>
    <w:rsid w:val="00A306BF"/>
    <w:rsid w:val="00A36F04"/>
    <w:rsid w:val="00A41397"/>
    <w:rsid w:val="00A42091"/>
    <w:rsid w:val="00A64C50"/>
    <w:rsid w:val="00A65D72"/>
    <w:rsid w:val="00A70907"/>
    <w:rsid w:val="00AA1725"/>
    <w:rsid w:val="00AA5DC3"/>
    <w:rsid w:val="00AB33E4"/>
    <w:rsid w:val="00AD0209"/>
    <w:rsid w:val="00AE1FDA"/>
    <w:rsid w:val="00AE6743"/>
    <w:rsid w:val="00AE7328"/>
    <w:rsid w:val="00B10DA0"/>
    <w:rsid w:val="00B240F3"/>
    <w:rsid w:val="00B27359"/>
    <w:rsid w:val="00B46DC9"/>
    <w:rsid w:val="00B6060C"/>
    <w:rsid w:val="00B758FB"/>
    <w:rsid w:val="00BB1875"/>
    <w:rsid w:val="00BC654D"/>
    <w:rsid w:val="00BC750B"/>
    <w:rsid w:val="00BD0897"/>
    <w:rsid w:val="00BE43FD"/>
    <w:rsid w:val="00C024EA"/>
    <w:rsid w:val="00C10210"/>
    <w:rsid w:val="00C41EA5"/>
    <w:rsid w:val="00C42716"/>
    <w:rsid w:val="00C92B34"/>
    <w:rsid w:val="00CC2FAB"/>
    <w:rsid w:val="00CF3B1A"/>
    <w:rsid w:val="00D25F87"/>
    <w:rsid w:val="00D644B9"/>
    <w:rsid w:val="00D917E3"/>
    <w:rsid w:val="00D96DE7"/>
    <w:rsid w:val="00DB792C"/>
    <w:rsid w:val="00DD2D2F"/>
    <w:rsid w:val="00DE51E6"/>
    <w:rsid w:val="00DF0DFE"/>
    <w:rsid w:val="00DF7111"/>
    <w:rsid w:val="00E31484"/>
    <w:rsid w:val="00E75903"/>
    <w:rsid w:val="00E92C66"/>
    <w:rsid w:val="00EB3CB4"/>
    <w:rsid w:val="00F209DE"/>
    <w:rsid w:val="00F326DD"/>
    <w:rsid w:val="00F703AA"/>
    <w:rsid w:val="00F7539B"/>
    <w:rsid w:val="00F9168F"/>
    <w:rsid w:val="00F930C4"/>
    <w:rsid w:val="00F93C0D"/>
    <w:rsid w:val="00FA1D68"/>
    <w:rsid w:val="00FB39D5"/>
    <w:rsid w:val="00FD5BA5"/>
    <w:rsid w:val="00FE085C"/>
    <w:rsid w:val="00FE088F"/>
    <w:rsid w:val="00FF6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 w:type="paragraph" w:styleId="ListParagraph">
    <w:name w:val="List Paragraph"/>
    <w:basedOn w:val="Normal"/>
    <w:uiPriority w:val="34"/>
    <w:qFormat/>
    <w:rsid w:val="00635DE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0AAA-E936-4C8A-8957-45BDB97E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1</TotalTime>
  <Pages>11</Pages>
  <Words>3018</Words>
  <Characters>17205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Janet Rice</dc:creator>
  <cp:lastModifiedBy>Craig Tudman</cp:lastModifiedBy>
  <cp:revision>2</cp:revision>
  <cp:lastPrinted>2014-02-18T06:38:00Z</cp:lastPrinted>
  <dcterms:created xsi:type="dcterms:W3CDTF">2014-02-18T23:39:00Z</dcterms:created>
  <dcterms:modified xsi:type="dcterms:W3CDTF">2014-02-18T23:39:00Z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BESANKO J</vt:lpwstr>
  </property>
  <property fmtid="{D5CDD505-2E9C-101B-9397-08002B2CF9AE}" pid="4" name="Judgment_dated" linkTarget="Judgment_dated">
    <vt:lpwstr>19 february 2014</vt:lpwstr>
  </property>
  <property fmtid="{D5CDD505-2E9C-101B-9397-08002B2CF9AE}" pid="5" name="Distribution" linkTarget="Distribution">
    <vt:lpwstr>GENERAL DISTRIBUTION</vt:lpwstr>
  </property>
  <property fmtid="{D5CDD505-2E9C-101B-9397-08002B2CF9AE}" pid="6" name="MNC" linkTarget="MNC">
    <vt:lpwstr>Neobev Pty Ltd v Bacchus Distillery Pty Ltd (Administrators Appointed) (No 5) [2014] FCA 95</vt:lpwstr>
  </property>
  <property fmtid="{D5CDD505-2E9C-101B-9397-08002B2CF9AE}" pid="7" name="File_Number" linkTarget="Num">
    <vt:lpwstr>SAD 291 of 2013</vt:lpwstr>
  </property>
  <property fmtid="{D5CDD505-2E9C-101B-9397-08002B2CF9AE}" pid="8" name="Pages">
    <vt:lpwstr>3</vt:lpwstr>
  </property>
  <property fmtid="{D5CDD505-2E9C-101B-9397-08002B2CF9AE}" pid="9" name="Parties">
    <vt:lpwstr> </vt:lpwstr>
  </property>
  <property fmtid="{D5CDD505-2E9C-101B-9397-08002B2CF9AE}" pid="10" name="Place" linkTarget="Place">
    <vt:lpwstr>ADELAIDE</vt:lpwstr>
  </property>
  <property fmtid="{D5CDD505-2E9C-101B-9397-08002B2CF9AE}" pid="11" name="Respondent" linkTarget="Respondent">
    <vt:lpwstr>BACCHUS DISTILLERY PTY LTD (ADMINISTRATORS APPOINTED) (ACN 065 961 711).Respondent/Cross Claimant.</vt:lpwstr>
  </property>
  <property fmtid="{D5CDD505-2E9C-101B-9397-08002B2CF9AE}" pid="12" name="State" linkTarget="State">
    <vt:lpwstr>SOUTH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