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C842B9" w:rsidP="00A22932">
      <w:pPr>
        <w:pStyle w:val="CourtTitle"/>
      </w:pPr>
      <w:r>
        <w:fldChar w:fldCharType="begin" w:fldLock="1"/>
      </w:r>
      <w:r>
        <w:instrText xml:space="preserve"> DOCPROPERTY  Court  \* MERGEFORMAT </w:instrText>
      </w:r>
      <w:r>
        <w:fldChar w:fldCharType="separate"/>
      </w:r>
      <w:r w:rsidR="005208FF">
        <w:t>Federal Court of Australia</w:t>
      </w:r>
      <w:r>
        <w:fldChar w:fldCharType="end"/>
      </w:r>
    </w:p>
    <w:p w:rsidR="00395B24" w:rsidRDefault="00395B24">
      <w:pPr>
        <w:pStyle w:val="NormalHeadings"/>
        <w:jc w:val="center"/>
        <w:rPr>
          <w:sz w:val="32"/>
        </w:rPr>
      </w:pPr>
    </w:p>
    <w:bookmarkStart w:id="0" w:name="MNC"/>
    <w:p w:rsidR="00374CC4" w:rsidRDefault="006456F8" w:rsidP="001A2B40">
      <w:pPr>
        <w:pStyle w:val="MNC"/>
      </w:pPr>
      <w:sdt>
        <w:sdtPr>
          <w:alias w:val="MNC"/>
          <w:tag w:val="MNC"/>
          <w:id w:val="343289786"/>
          <w:lock w:val="sdtLocked"/>
          <w:placeholder>
            <w:docPart w:val="9C42E6ED565A4AB0974EE88194EAF37B"/>
          </w:placeholder>
          <w:dataBinding w:prefixMappings="xmlns:ns0='http://schemas.globalmacros.com/FCA'" w:xpath="/ns0:root[1]/ns0:Name[1]" w:storeItemID="{687E7CCB-4AA5-44E7-B148-17BA2B6F57C0}"/>
          <w:text w:multiLine="1"/>
        </w:sdtPr>
        <w:sdtEndPr/>
        <w:sdtContent>
          <w:r w:rsidR="00595859">
            <w:t xml:space="preserve"> Australian Securities and</w:t>
          </w:r>
          <w:r w:rsidR="00851B65">
            <w:t xml:space="preserve"> Investments Co</w:t>
          </w:r>
          <w:r w:rsidR="00256BC1">
            <w:t>mmission v Dawson [2021] FCA 301</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505776">
        <w:tc>
          <w:tcPr>
            <w:tcW w:w="3084" w:type="dxa"/>
            <w:shd w:val="clear" w:color="auto" w:fill="auto"/>
          </w:tcPr>
          <w:p w:rsidR="00395B24" w:rsidRDefault="00256BC1" w:rsidP="00663878">
            <w:pPr>
              <w:pStyle w:val="Normal1linespace"/>
              <w:widowControl w:val="0"/>
              <w:jc w:val="left"/>
            </w:pPr>
            <w:r>
              <w:t>File number</w:t>
            </w:r>
            <w:r w:rsidR="002C7385">
              <w:t>:</w:t>
            </w:r>
          </w:p>
        </w:tc>
        <w:tc>
          <w:tcPr>
            <w:tcW w:w="5989" w:type="dxa"/>
            <w:shd w:val="clear" w:color="auto" w:fill="auto"/>
          </w:tcPr>
          <w:p w:rsidR="00395B24" w:rsidRPr="005208FF" w:rsidRDefault="00BE1FDC" w:rsidP="005208FF">
            <w:pPr>
              <w:pStyle w:val="Normal1linespace"/>
              <w:jc w:val="left"/>
            </w:pPr>
            <w:fldSimple w:instr=" REF  FileNo  \* MERGEFORMAT " w:fldLock="1">
              <w:r w:rsidR="005208FF" w:rsidRPr="005208FF">
                <w:t>VID 521 of 2020</w:t>
              </w:r>
            </w:fldSimple>
          </w:p>
        </w:tc>
      </w:tr>
      <w:tr w:rsidR="00395B24" w:rsidTr="00505776">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05776">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5208FF">
              <w:rPr>
                <w:b/>
              </w:rPr>
              <w:fldChar w:fldCharType="begin" w:fldLock="1"/>
            </w:r>
            <w:r w:rsidRPr="005208FF">
              <w:rPr>
                <w:b/>
              </w:rPr>
              <w:instrText xml:space="preserve"> REF  Judge  \* MERGEFORMAT </w:instrText>
            </w:r>
            <w:r w:rsidRPr="005208FF">
              <w:rPr>
                <w:b/>
              </w:rPr>
              <w:fldChar w:fldCharType="separate"/>
            </w:r>
            <w:r w:rsidR="005208FF" w:rsidRPr="005208FF">
              <w:rPr>
                <w:b/>
                <w:caps/>
                <w:szCs w:val="24"/>
              </w:rPr>
              <w:t>ANASTASSIOU J</w:t>
            </w:r>
            <w:r w:rsidRPr="005208FF">
              <w:rPr>
                <w:b/>
              </w:rPr>
              <w:fldChar w:fldCharType="end"/>
            </w:r>
          </w:p>
        </w:tc>
      </w:tr>
      <w:tr w:rsidR="00395B24" w:rsidTr="00505776">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05776">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307F2F" w:rsidP="00663878">
            <w:pPr>
              <w:pStyle w:val="Normal1linespace"/>
              <w:widowControl w:val="0"/>
              <w:jc w:val="left"/>
            </w:pPr>
            <w:bookmarkStart w:id="1" w:name="JudgmentDate"/>
            <w:r>
              <w:t>1 April</w:t>
            </w:r>
            <w:r w:rsidR="00B146CD">
              <w:t xml:space="preserve"> 2021</w:t>
            </w:r>
            <w:bookmarkEnd w:id="1"/>
          </w:p>
        </w:tc>
      </w:tr>
      <w:tr w:rsidR="00395B24" w:rsidTr="00505776">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05776">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4512E1" w:rsidP="009D6BE7">
            <w:pPr>
              <w:pStyle w:val="Normal1linespace"/>
              <w:widowControl w:val="0"/>
              <w:jc w:val="left"/>
            </w:pPr>
            <w:bookmarkStart w:id="2" w:name="Catchwords"/>
            <w:r>
              <w:rPr>
                <w:b/>
              </w:rPr>
              <w:t>CORPORATIONS</w:t>
            </w:r>
            <w:r>
              <w:t xml:space="preserve"> </w:t>
            </w:r>
            <w:r w:rsidR="00B146CD">
              <w:t xml:space="preserve">– application for approval of </w:t>
            </w:r>
            <w:r w:rsidR="009F19D3" w:rsidRPr="00505776">
              <w:rPr>
                <w:b/>
              </w:rPr>
              <w:t>R</w:t>
            </w:r>
            <w:r w:rsidR="00B146CD" w:rsidRPr="00505776">
              <w:rPr>
                <w:b/>
              </w:rPr>
              <w:t>eceivers</w:t>
            </w:r>
            <w:r w:rsidR="00B146CD">
              <w:t xml:space="preserve"> and </w:t>
            </w:r>
            <w:r w:rsidR="009F19D3">
              <w:t>M</w:t>
            </w:r>
            <w:r w:rsidR="00B146CD">
              <w:t>an</w:t>
            </w:r>
            <w:r w:rsidR="009F19D3">
              <w:t>a</w:t>
            </w:r>
            <w:r w:rsidR="00B146CD">
              <w:t>gers’</w:t>
            </w:r>
            <w:r w:rsidR="00C34F7C">
              <w:t xml:space="preserve"> remuneration in connection with two receiverships </w:t>
            </w:r>
            <w:r w:rsidR="009D6BE7">
              <w:t>pursuant to</w:t>
            </w:r>
            <w:r w:rsidR="00C34F7C">
              <w:t xml:space="preserve"> s 425 of the </w:t>
            </w:r>
            <w:r w:rsidR="00C34F7C">
              <w:rPr>
                <w:i/>
              </w:rPr>
              <w:t xml:space="preserve">Corporations </w:t>
            </w:r>
            <w:r w:rsidR="00C34F7C" w:rsidRPr="009D6BE7">
              <w:rPr>
                <w:b/>
                <w:i/>
              </w:rPr>
              <w:t>Act</w:t>
            </w:r>
            <w:r w:rsidR="00C34F7C">
              <w:rPr>
                <w:i/>
              </w:rPr>
              <w:t xml:space="preserve"> 2001</w:t>
            </w:r>
            <w:r w:rsidR="00C34F7C">
              <w:t xml:space="preserve"> (</w:t>
            </w:r>
            <w:proofErr w:type="spellStart"/>
            <w:r w:rsidR="00C34F7C">
              <w:t>Cth</w:t>
            </w:r>
            <w:proofErr w:type="spellEnd"/>
            <w:r w:rsidR="00C34F7C">
              <w:t>) or alternatively r 1</w:t>
            </w:r>
            <w:r w:rsidR="00B24D90">
              <w:t>4</w:t>
            </w:r>
            <w:r w:rsidR="00C34F7C">
              <w:t xml:space="preserve">.24 of the </w:t>
            </w:r>
            <w:r w:rsidR="00C34F7C">
              <w:rPr>
                <w:i/>
              </w:rPr>
              <w:t xml:space="preserve">Federal Court </w:t>
            </w:r>
            <w:r w:rsidR="00C34F7C" w:rsidRPr="009D6BE7">
              <w:rPr>
                <w:b/>
                <w:i/>
              </w:rPr>
              <w:t>Rules</w:t>
            </w:r>
            <w:r w:rsidR="00C34F7C">
              <w:rPr>
                <w:i/>
              </w:rPr>
              <w:t xml:space="preserve"> 2011 </w:t>
            </w:r>
            <w:r w:rsidR="00C34F7C">
              <w:t>(</w:t>
            </w:r>
            <w:proofErr w:type="spellStart"/>
            <w:r w:rsidR="00C34F7C">
              <w:t>Cth</w:t>
            </w:r>
            <w:proofErr w:type="spellEnd"/>
            <w:r w:rsidR="00C34F7C">
              <w:t>)</w:t>
            </w:r>
            <w:r w:rsidR="00D75CEF">
              <w:t xml:space="preserve"> </w:t>
            </w:r>
            <w:r w:rsidR="00C34F7C">
              <w:t xml:space="preserve">– whether remuneration was fair and reasonable – </w:t>
            </w:r>
            <w:r w:rsidR="00D32773">
              <w:t>whether costs were appropriately apportioned between two receiverships –</w:t>
            </w:r>
            <w:r w:rsidR="00DF2CF4">
              <w:t xml:space="preserve"> </w:t>
            </w:r>
            <w:r w:rsidR="00C34F7C">
              <w:t>application granted</w:t>
            </w:r>
            <w:bookmarkEnd w:id="2"/>
            <w:r w:rsidR="00D75CEF">
              <w:t xml:space="preserve">  </w:t>
            </w:r>
          </w:p>
        </w:tc>
      </w:tr>
      <w:tr w:rsidR="00395B24" w:rsidTr="00505776">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05776">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4512E1" w:rsidRDefault="004512E1" w:rsidP="00D82620">
            <w:pPr>
              <w:pStyle w:val="CasesLegislationAppealFrom"/>
              <w:spacing w:after="60"/>
            </w:pPr>
            <w:bookmarkStart w:id="3" w:name="Legislation"/>
            <w:r>
              <w:rPr>
                <w:i/>
              </w:rPr>
              <w:t>Corporations Act 2001</w:t>
            </w:r>
            <w:r>
              <w:t>(</w:t>
            </w:r>
            <w:proofErr w:type="spellStart"/>
            <w:r>
              <w:t>Cth</w:t>
            </w:r>
            <w:proofErr w:type="spellEnd"/>
            <w:r>
              <w:t>), s</w:t>
            </w:r>
            <w:r w:rsidR="00B146CD">
              <w:t xml:space="preserve"> </w:t>
            </w:r>
            <w:r>
              <w:t>425</w:t>
            </w:r>
          </w:p>
          <w:p w:rsidR="00395B24" w:rsidRDefault="004512E1" w:rsidP="00D5355E">
            <w:pPr>
              <w:pStyle w:val="CasesLegislationAppealFrom"/>
              <w:spacing w:after="60"/>
            </w:pPr>
            <w:r>
              <w:rPr>
                <w:i/>
              </w:rPr>
              <w:t xml:space="preserve">Federal Court </w:t>
            </w:r>
            <w:r w:rsidR="00481534">
              <w:rPr>
                <w:i/>
              </w:rPr>
              <w:t>Rule</w:t>
            </w:r>
            <w:r w:rsidR="00B146CD">
              <w:rPr>
                <w:i/>
              </w:rPr>
              <w:t>s</w:t>
            </w:r>
            <w:r w:rsidR="00481534">
              <w:rPr>
                <w:i/>
              </w:rPr>
              <w:t xml:space="preserve"> 2011</w:t>
            </w:r>
            <w:r w:rsidR="00B146CD">
              <w:t>(</w:t>
            </w:r>
            <w:proofErr w:type="spellStart"/>
            <w:r w:rsidR="00B146CD">
              <w:t>Cth</w:t>
            </w:r>
            <w:proofErr w:type="spellEnd"/>
            <w:r w:rsidR="00D5355E">
              <w:t>)</w:t>
            </w:r>
            <w:r w:rsidR="00B146CD" w:rsidRPr="00505776">
              <w:rPr>
                <w:i/>
              </w:rPr>
              <w:t>,</w:t>
            </w:r>
            <w:r w:rsidR="00481534" w:rsidRPr="00CA33F0">
              <w:rPr>
                <w:i/>
              </w:rPr>
              <w:t xml:space="preserve"> </w:t>
            </w:r>
            <w:proofErr w:type="spellStart"/>
            <w:r w:rsidR="00481534" w:rsidRPr="00505776">
              <w:t>r</w:t>
            </w:r>
            <w:r w:rsidR="00256BC1">
              <w:t>r</w:t>
            </w:r>
            <w:proofErr w:type="spellEnd"/>
            <w:r w:rsidR="00481534" w:rsidRPr="00505776">
              <w:t xml:space="preserve"> </w:t>
            </w:r>
            <w:r w:rsidR="00CA33F0" w:rsidRPr="00505776">
              <w:t xml:space="preserve">9.1, </w:t>
            </w:r>
            <w:r w:rsidR="00481534" w:rsidRPr="00505776">
              <w:t>13.24</w:t>
            </w:r>
            <w:r w:rsidR="00D27D27">
              <w:rPr>
                <w:i/>
              </w:rPr>
              <w:t xml:space="preserve"> </w:t>
            </w:r>
            <w:bookmarkEnd w:id="3"/>
          </w:p>
        </w:tc>
      </w:tr>
      <w:tr w:rsidR="00395B24" w:rsidTr="00505776">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05776">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B146CD" w:rsidRPr="00B146CD" w:rsidRDefault="00B146CD" w:rsidP="00B146CD">
            <w:pPr>
              <w:pStyle w:val="CasesLegislationAppealFrom"/>
              <w:spacing w:after="60"/>
              <w:rPr>
                <w:iCs/>
              </w:rPr>
            </w:pPr>
            <w:r>
              <w:rPr>
                <w:i/>
              </w:rPr>
              <w:t xml:space="preserve">Australian Securities and Investments Commission v </w:t>
            </w:r>
            <w:r w:rsidRPr="002E456F">
              <w:rPr>
                <w:i/>
                <w:iCs/>
              </w:rPr>
              <w:t xml:space="preserve">Linchpin </w:t>
            </w:r>
            <w:r>
              <w:rPr>
                <w:i/>
                <w:iCs/>
              </w:rPr>
              <w:t xml:space="preserve">Capital Group Ltd (No 3) </w:t>
            </w:r>
            <w:r w:rsidR="00DF2CF4">
              <w:rPr>
                <w:iCs/>
              </w:rPr>
              <w:t>[</w:t>
            </w:r>
            <w:r>
              <w:rPr>
                <w:iCs/>
              </w:rPr>
              <w:t>2020</w:t>
            </w:r>
            <w:r w:rsidR="00DF2CF4">
              <w:rPr>
                <w:iCs/>
              </w:rPr>
              <w:t>]</w:t>
            </w:r>
            <w:r>
              <w:rPr>
                <w:iCs/>
              </w:rPr>
              <w:t xml:space="preserve"> </w:t>
            </w:r>
            <w:r w:rsidR="00DF2CF4">
              <w:rPr>
                <w:iCs/>
              </w:rPr>
              <w:t xml:space="preserve">FCA 44; </w:t>
            </w:r>
            <w:r>
              <w:rPr>
                <w:iCs/>
              </w:rPr>
              <w:t>142 ACSR 193</w:t>
            </w:r>
          </w:p>
          <w:p w:rsidR="00B146CD" w:rsidRDefault="00B146CD" w:rsidP="00D82620">
            <w:pPr>
              <w:pStyle w:val="CasesLegislationAppealFrom"/>
              <w:spacing w:after="60"/>
            </w:pPr>
            <w:r w:rsidRPr="00B146CD">
              <w:rPr>
                <w:i/>
              </w:rPr>
              <w:t xml:space="preserve">In the matter of Say Enterprises Pty Ltd </w:t>
            </w:r>
            <w:r w:rsidRPr="00C34F7C">
              <w:t xml:space="preserve">[2018] NSWSC 396 </w:t>
            </w:r>
          </w:p>
        </w:tc>
      </w:tr>
      <w:tr w:rsidR="005208FF" w:rsidTr="00505776">
        <w:tc>
          <w:tcPr>
            <w:tcW w:w="3084" w:type="dxa"/>
            <w:shd w:val="clear" w:color="auto" w:fill="auto"/>
          </w:tcPr>
          <w:p w:rsidR="005208FF" w:rsidRDefault="005208FF" w:rsidP="005C0A54">
            <w:pPr>
              <w:pStyle w:val="Normal1linespace"/>
              <w:widowControl w:val="0"/>
            </w:pPr>
          </w:p>
        </w:tc>
        <w:tc>
          <w:tcPr>
            <w:tcW w:w="5989" w:type="dxa"/>
            <w:shd w:val="clear" w:color="auto" w:fill="auto"/>
          </w:tcPr>
          <w:p w:rsidR="005208FF" w:rsidRDefault="005208FF" w:rsidP="005C0A54">
            <w:pPr>
              <w:pStyle w:val="Normal1linespace"/>
              <w:widowControl w:val="0"/>
              <w:jc w:val="left"/>
            </w:pPr>
          </w:p>
        </w:tc>
      </w:tr>
      <w:tr w:rsidR="005208FF" w:rsidTr="00505776">
        <w:tc>
          <w:tcPr>
            <w:tcW w:w="3084" w:type="dxa"/>
            <w:shd w:val="clear" w:color="auto" w:fill="auto"/>
          </w:tcPr>
          <w:p w:rsidR="005208FF" w:rsidRDefault="005208FF" w:rsidP="00501A12">
            <w:pPr>
              <w:pStyle w:val="Normal1linespace"/>
              <w:widowControl w:val="0"/>
            </w:pPr>
            <w:r>
              <w:t>Division:</w:t>
            </w:r>
          </w:p>
        </w:tc>
        <w:tc>
          <w:tcPr>
            <w:tcW w:w="5989" w:type="dxa"/>
            <w:shd w:val="clear" w:color="auto" w:fill="auto"/>
          </w:tcPr>
          <w:p w:rsidR="005208FF" w:rsidRPr="00F17599" w:rsidRDefault="00BE1FDC" w:rsidP="00501A12">
            <w:pPr>
              <w:pStyle w:val="Normal1linespace"/>
              <w:widowControl w:val="0"/>
              <w:jc w:val="left"/>
            </w:pPr>
            <w:fldSimple w:instr=" DOCPROPERTY  Division " w:fldLock="1">
              <w:r w:rsidR="005208FF">
                <w:t>General Division</w:t>
              </w:r>
            </w:fldSimple>
          </w:p>
        </w:tc>
      </w:tr>
      <w:tr w:rsidR="005208FF" w:rsidTr="00505776">
        <w:tc>
          <w:tcPr>
            <w:tcW w:w="3084" w:type="dxa"/>
            <w:shd w:val="clear" w:color="auto" w:fill="auto"/>
          </w:tcPr>
          <w:p w:rsidR="005208FF" w:rsidRDefault="005208FF" w:rsidP="00501A12">
            <w:pPr>
              <w:pStyle w:val="Normal1linespace"/>
              <w:widowControl w:val="0"/>
            </w:pPr>
            <w:bookmarkStart w:id="4" w:name="Registry_rows" w:colFirst="0" w:colLast="1"/>
          </w:p>
        </w:tc>
        <w:tc>
          <w:tcPr>
            <w:tcW w:w="5989" w:type="dxa"/>
            <w:shd w:val="clear" w:color="auto" w:fill="auto"/>
          </w:tcPr>
          <w:p w:rsidR="005208FF" w:rsidRDefault="005208FF" w:rsidP="00501A12">
            <w:pPr>
              <w:pStyle w:val="Normal1linespace"/>
              <w:widowControl w:val="0"/>
              <w:jc w:val="left"/>
            </w:pPr>
          </w:p>
        </w:tc>
      </w:tr>
      <w:tr w:rsidR="005208FF" w:rsidTr="00505776">
        <w:tc>
          <w:tcPr>
            <w:tcW w:w="3084" w:type="dxa"/>
            <w:shd w:val="clear" w:color="auto" w:fill="auto"/>
          </w:tcPr>
          <w:p w:rsidR="005208FF" w:rsidRDefault="005208FF" w:rsidP="00501A12">
            <w:pPr>
              <w:pStyle w:val="Normal1linespace"/>
              <w:widowControl w:val="0"/>
            </w:pPr>
            <w:r>
              <w:t>Registry:</w:t>
            </w:r>
          </w:p>
        </w:tc>
        <w:tc>
          <w:tcPr>
            <w:tcW w:w="5989" w:type="dxa"/>
            <w:shd w:val="clear" w:color="auto" w:fill="auto"/>
          </w:tcPr>
          <w:p w:rsidR="005208FF" w:rsidRPr="00F17599" w:rsidRDefault="00BE1FDC" w:rsidP="00501A12">
            <w:pPr>
              <w:pStyle w:val="Normal1linespace"/>
              <w:widowControl w:val="0"/>
              <w:jc w:val="left"/>
            </w:pPr>
            <w:fldSimple w:instr=" DOCPROPERTY  Registry " w:fldLock="1">
              <w:r w:rsidR="005208FF">
                <w:t>Victoria</w:t>
              </w:r>
            </w:fldSimple>
          </w:p>
        </w:tc>
      </w:tr>
      <w:tr w:rsidR="005208FF" w:rsidTr="00505776">
        <w:tc>
          <w:tcPr>
            <w:tcW w:w="3084" w:type="dxa"/>
            <w:shd w:val="clear" w:color="auto" w:fill="auto"/>
          </w:tcPr>
          <w:p w:rsidR="005208FF" w:rsidRDefault="005208FF" w:rsidP="00501A12">
            <w:pPr>
              <w:pStyle w:val="Normal1linespace"/>
              <w:widowControl w:val="0"/>
            </w:pPr>
            <w:bookmarkStart w:id="5" w:name="NPARow" w:colFirst="0" w:colLast="1"/>
            <w:bookmarkEnd w:id="4"/>
          </w:p>
        </w:tc>
        <w:tc>
          <w:tcPr>
            <w:tcW w:w="5989" w:type="dxa"/>
            <w:shd w:val="clear" w:color="auto" w:fill="auto"/>
          </w:tcPr>
          <w:p w:rsidR="005208FF" w:rsidRPr="00F17599" w:rsidRDefault="005208FF" w:rsidP="00501A12">
            <w:pPr>
              <w:pStyle w:val="Normal1linespace"/>
              <w:widowControl w:val="0"/>
              <w:jc w:val="left"/>
              <w:rPr>
                <w:b/>
              </w:rPr>
            </w:pPr>
          </w:p>
        </w:tc>
      </w:tr>
      <w:tr w:rsidR="005208FF" w:rsidTr="00505776">
        <w:tc>
          <w:tcPr>
            <w:tcW w:w="3084" w:type="dxa"/>
            <w:shd w:val="clear" w:color="auto" w:fill="auto"/>
          </w:tcPr>
          <w:p w:rsidR="005208FF" w:rsidRDefault="005208FF" w:rsidP="00501A12">
            <w:pPr>
              <w:pStyle w:val="Normal1linespace"/>
              <w:widowControl w:val="0"/>
            </w:pPr>
            <w:r>
              <w:t>National Practice Area:</w:t>
            </w:r>
          </w:p>
        </w:tc>
        <w:tc>
          <w:tcPr>
            <w:tcW w:w="5989" w:type="dxa"/>
            <w:shd w:val="clear" w:color="auto" w:fill="auto"/>
          </w:tcPr>
          <w:p w:rsidR="005208FF" w:rsidRPr="00F17599" w:rsidRDefault="00BE1FDC" w:rsidP="005C0A54">
            <w:pPr>
              <w:pStyle w:val="Normal1linespace"/>
              <w:widowControl w:val="0"/>
              <w:jc w:val="left"/>
              <w:rPr>
                <w:b/>
              </w:rPr>
            </w:pPr>
            <w:fldSimple w:instr=" DOCPROPERTY  &quot;Practice Area&quot;  \* MERGEFORMAT " w:fldLock="1">
              <w:r w:rsidR="005208FF">
                <w:t>Commercial and Corporations</w:t>
              </w:r>
            </w:fldSimple>
          </w:p>
        </w:tc>
      </w:tr>
      <w:tr w:rsidR="005208FF" w:rsidTr="00505776">
        <w:tc>
          <w:tcPr>
            <w:tcW w:w="3084" w:type="dxa"/>
            <w:shd w:val="clear" w:color="auto" w:fill="auto"/>
          </w:tcPr>
          <w:p w:rsidR="005208FF" w:rsidRDefault="005208FF" w:rsidP="00501A12">
            <w:pPr>
              <w:pStyle w:val="Normal1linespace"/>
              <w:widowControl w:val="0"/>
            </w:pPr>
            <w:bookmarkStart w:id="6" w:name="SubAreaRow" w:colFirst="0" w:colLast="1"/>
            <w:bookmarkEnd w:id="5"/>
          </w:p>
        </w:tc>
        <w:tc>
          <w:tcPr>
            <w:tcW w:w="5989" w:type="dxa"/>
            <w:shd w:val="clear" w:color="auto" w:fill="auto"/>
          </w:tcPr>
          <w:p w:rsidR="005208FF" w:rsidRDefault="005208FF" w:rsidP="005C0A54">
            <w:pPr>
              <w:pStyle w:val="Normal1linespace"/>
              <w:widowControl w:val="0"/>
              <w:jc w:val="left"/>
            </w:pPr>
          </w:p>
        </w:tc>
      </w:tr>
      <w:tr w:rsidR="005208FF" w:rsidTr="00505776">
        <w:tc>
          <w:tcPr>
            <w:tcW w:w="3084" w:type="dxa"/>
            <w:shd w:val="clear" w:color="auto" w:fill="auto"/>
          </w:tcPr>
          <w:p w:rsidR="005208FF" w:rsidRDefault="005208FF" w:rsidP="00501A12">
            <w:pPr>
              <w:pStyle w:val="Normal1linespace"/>
              <w:widowControl w:val="0"/>
            </w:pPr>
            <w:r>
              <w:t>Sub-area:</w:t>
            </w:r>
          </w:p>
        </w:tc>
        <w:tc>
          <w:tcPr>
            <w:tcW w:w="5989" w:type="dxa"/>
            <w:shd w:val="clear" w:color="auto" w:fill="auto"/>
          </w:tcPr>
          <w:p w:rsidR="005208FF" w:rsidRPr="00837288" w:rsidRDefault="00BE1FDC" w:rsidP="005C0A54">
            <w:pPr>
              <w:pStyle w:val="Normal1linespace"/>
              <w:widowControl w:val="0"/>
              <w:jc w:val="left"/>
            </w:pPr>
            <w:fldSimple w:instr=" DOCPROPERTY  &quot;Sub Area&quot;  \* MERGEFORMAT " w:fldLock="1">
              <w:r w:rsidR="005208FF" w:rsidRPr="005208FF">
                <w:rPr>
                  <w:lang w:val="en-US"/>
                </w:rPr>
                <w:t>Regulator and Consumer</w:t>
              </w:r>
              <w:r w:rsidR="005208FF">
                <w:t xml:space="preserve"> Protection</w:t>
              </w:r>
            </w:fldSimple>
          </w:p>
        </w:tc>
      </w:tr>
      <w:bookmarkEnd w:id="6"/>
      <w:tr w:rsidR="005208FF" w:rsidTr="00505776">
        <w:tc>
          <w:tcPr>
            <w:tcW w:w="3084" w:type="dxa"/>
            <w:shd w:val="clear" w:color="auto" w:fill="auto"/>
          </w:tcPr>
          <w:p w:rsidR="005208FF" w:rsidRDefault="005208FF" w:rsidP="00501A12">
            <w:pPr>
              <w:pStyle w:val="Normal1linespace"/>
              <w:widowControl w:val="0"/>
            </w:pPr>
          </w:p>
        </w:tc>
        <w:tc>
          <w:tcPr>
            <w:tcW w:w="5989" w:type="dxa"/>
            <w:shd w:val="clear" w:color="auto" w:fill="auto"/>
          </w:tcPr>
          <w:p w:rsidR="005208FF" w:rsidRDefault="005208FF" w:rsidP="00501A12">
            <w:pPr>
              <w:pStyle w:val="Normal1linespace"/>
              <w:widowControl w:val="0"/>
              <w:jc w:val="left"/>
            </w:pPr>
          </w:p>
        </w:tc>
      </w:tr>
      <w:tr w:rsidR="005208FF" w:rsidTr="00505776">
        <w:tc>
          <w:tcPr>
            <w:tcW w:w="3084" w:type="dxa"/>
            <w:shd w:val="clear" w:color="auto" w:fill="auto"/>
          </w:tcPr>
          <w:p w:rsidR="005208FF" w:rsidRDefault="005208FF" w:rsidP="00501A12">
            <w:pPr>
              <w:pStyle w:val="Normal1linespace"/>
              <w:widowControl w:val="0"/>
            </w:pPr>
            <w:r>
              <w:t>Number of paragraphs:</w:t>
            </w:r>
          </w:p>
        </w:tc>
        <w:tc>
          <w:tcPr>
            <w:tcW w:w="5989" w:type="dxa"/>
            <w:shd w:val="clear" w:color="auto" w:fill="auto"/>
          </w:tcPr>
          <w:p w:rsidR="005208FF" w:rsidRDefault="00DE0433" w:rsidP="00501A12">
            <w:pPr>
              <w:pStyle w:val="Normal1linespace"/>
              <w:widowControl w:val="0"/>
              <w:jc w:val="left"/>
            </w:pPr>
            <w:bookmarkStart w:id="7" w:name="PlaceCategoryParagraphs"/>
            <w:r>
              <w:t>21</w:t>
            </w:r>
            <w:bookmarkEnd w:id="7"/>
          </w:p>
        </w:tc>
      </w:tr>
      <w:tr w:rsidR="005208FF" w:rsidTr="00505776">
        <w:tc>
          <w:tcPr>
            <w:tcW w:w="3084" w:type="dxa"/>
            <w:shd w:val="clear" w:color="auto" w:fill="auto"/>
          </w:tcPr>
          <w:p w:rsidR="005208FF" w:rsidRDefault="005208FF" w:rsidP="005208FF">
            <w:pPr>
              <w:pStyle w:val="Normal1linespace"/>
              <w:widowControl w:val="0"/>
              <w:jc w:val="left"/>
            </w:pPr>
          </w:p>
        </w:tc>
        <w:tc>
          <w:tcPr>
            <w:tcW w:w="5989" w:type="dxa"/>
            <w:shd w:val="clear" w:color="auto" w:fill="auto"/>
          </w:tcPr>
          <w:p w:rsidR="005208FF" w:rsidRDefault="005208FF" w:rsidP="005208FF">
            <w:pPr>
              <w:pStyle w:val="Normal1linespace"/>
              <w:widowControl w:val="0"/>
              <w:jc w:val="left"/>
            </w:pPr>
          </w:p>
        </w:tc>
      </w:tr>
      <w:tr w:rsidR="005208FF" w:rsidTr="00505776">
        <w:tc>
          <w:tcPr>
            <w:tcW w:w="3084" w:type="dxa"/>
            <w:shd w:val="clear" w:color="auto" w:fill="auto"/>
          </w:tcPr>
          <w:p w:rsidR="005208FF" w:rsidRDefault="005208FF" w:rsidP="005208FF">
            <w:pPr>
              <w:pStyle w:val="Normal1linespace"/>
              <w:widowControl w:val="0"/>
              <w:jc w:val="left"/>
            </w:pPr>
            <w:bookmarkStart w:id="8" w:name="CounselDate" w:colFirst="0" w:colLast="2"/>
            <w:r w:rsidRPr="006A24E3">
              <w:t>Date of hearing:</w:t>
            </w:r>
          </w:p>
        </w:tc>
        <w:tc>
          <w:tcPr>
            <w:tcW w:w="5989" w:type="dxa"/>
            <w:shd w:val="clear" w:color="auto" w:fill="auto"/>
          </w:tcPr>
          <w:p w:rsidR="005208FF" w:rsidRDefault="004512E1" w:rsidP="005208FF">
            <w:pPr>
              <w:pStyle w:val="Normal1linespace"/>
              <w:widowControl w:val="0"/>
              <w:jc w:val="left"/>
            </w:pPr>
            <w:bookmarkStart w:id="9" w:name="HearingDate"/>
            <w:r>
              <w:t>23 February 2021</w:t>
            </w:r>
            <w:r w:rsidR="005208FF">
              <w:t xml:space="preserve"> </w:t>
            </w:r>
            <w:bookmarkEnd w:id="9"/>
          </w:p>
        </w:tc>
      </w:tr>
      <w:tr w:rsidR="005208FF" w:rsidTr="00505776">
        <w:tc>
          <w:tcPr>
            <w:tcW w:w="3084" w:type="dxa"/>
            <w:shd w:val="clear" w:color="auto" w:fill="auto"/>
          </w:tcPr>
          <w:p w:rsidR="005208FF" w:rsidRDefault="005208FF" w:rsidP="005208FF">
            <w:pPr>
              <w:pStyle w:val="Normal1linespace"/>
              <w:widowControl w:val="0"/>
              <w:jc w:val="left"/>
            </w:pPr>
          </w:p>
        </w:tc>
        <w:tc>
          <w:tcPr>
            <w:tcW w:w="5989" w:type="dxa"/>
            <w:shd w:val="clear" w:color="auto" w:fill="auto"/>
          </w:tcPr>
          <w:p w:rsidR="005208FF" w:rsidRDefault="005208FF" w:rsidP="005208FF">
            <w:pPr>
              <w:pStyle w:val="Normal1linespace"/>
              <w:widowControl w:val="0"/>
              <w:jc w:val="left"/>
            </w:pPr>
          </w:p>
        </w:tc>
      </w:tr>
      <w:tr w:rsidR="00DE0433" w:rsidTr="00DE0433">
        <w:tc>
          <w:tcPr>
            <w:tcW w:w="3081" w:type="dxa"/>
            <w:shd w:val="clear" w:color="auto" w:fill="auto"/>
          </w:tcPr>
          <w:p w:rsidR="00DE0433" w:rsidRDefault="00DE0433" w:rsidP="00DE0433">
            <w:pPr>
              <w:pStyle w:val="Normal1linespace"/>
              <w:widowControl w:val="0"/>
              <w:jc w:val="left"/>
            </w:pPr>
            <w:bookmarkStart w:id="10" w:name="Counsel" w:colFirst="0" w:colLast="2"/>
            <w:bookmarkEnd w:id="8"/>
            <w:r>
              <w:t>Counsel for the Applicant:</w:t>
            </w:r>
          </w:p>
        </w:tc>
        <w:tc>
          <w:tcPr>
            <w:tcW w:w="5989" w:type="dxa"/>
            <w:shd w:val="clear" w:color="auto" w:fill="auto"/>
          </w:tcPr>
          <w:p w:rsidR="00DE0433" w:rsidRDefault="00C9752E" w:rsidP="00DE0433">
            <w:pPr>
              <w:pStyle w:val="Normal1linespace"/>
              <w:widowControl w:val="0"/>
              <w:jc w:val="left"/>
            </w:pPr>
            <w:bookmarkStart w:id="11" w:name="AppCounsel"/>
            <w:bookmarkEnd w:id="11"/>
            <w:r>
              <w:t>Mr B. W.</w:t>
            </w:r>
            <w:r w:rsidR="00DE0433">
              <w:t xml:space="preserve"> Wacker</w:t>
            </w:r>
          </w:p>
        </w:tc>
      </w:tr>
      <w:tr w:rsidR="00DE0433" w:rsidTr="00DE0433">
        <w:tc>
          <w:tcPr>
            <w:tcW w:w="3081" w:type="dxa"/>
            <w:shd w:val="clear" w:color="auto" w:fill="auto"/>
          </w:tcPr>
          <w:p w:rsidR="00DE0433" w:rsidRDefault="00DE0433" w:rsidP="00DE0433">
            <w:pPr>
              <w:pStyle w:val="Normal1linespace"/>
              <w:widowControl w:val="0"/>
              <w:jc w:val="left"/>
            </w:pPr>
          </w:p>
        </w:tc>
        <w:tc>
          <w:tcPr>
            <w:tcW w:w="5989" w:type="dxa"/>
            <w:shd w:val="clear" w:color="auto" w:fill="auto"/>
          </w:tcPr>
          <w:p w:rsidR="00DE0433" w:rsidRDefault="00DE0433" w:rsidP="00DE0433">
            <w:pPr>
              <w:pStyle w:val="Normal1linespace"/>
              <w:widowControl w:val="0"/>
              <w:jc w:val="left"/>
            </w:pPr>
          </w:p>
        </w:tc>
      </w:tr>
      <w:tr w:rsidR="00DE0433" w:rsidTr="00DE0433">
        <w:tc>
          <w:tcPr>
            <w:tcW w:w="3081" w:type="dxa"/>
            <w:shd w:val="clear" w:color="auto" w:fill="auto"/>
          </w:tcPr>
          <w:p w:rsidR="00DE0433" w:rsidRDefault="00DE0433" w:rsidP="00DE0433">
            <w:pPr>
              <w:pStyle w:val="Normal1linespace"/>
              <w:widowControl w:val="0"/>
              <w:jc w:val="left"/>
            </w:pPr>
            <w:r>
              <w:t>Solicitor for the Applicant:</w:t>
            </w:r>
          </w:p>
        </w:tc>
        <w:tc>
          <w:tcPr>
            <w:tcW w:w="5989" w:type="dxa"/>
            <w:shd w:val="clear" w:color="auto" w:fill="auto"/>
          </w:tcPr>
          <w:p w:rsidR="00DE0433" w:rsidRDefault="00DE0433" w:rsidP="00DE0433">
            <w:pPr>
              <w:pStyle w:val="Normal1linespace"/>
              <w:widowControl w:val="0"/>
              <w:jc w:val="left"/>
            </w:pPr>
            <w:r>
              <w:t xml:space="preserve">Johnson Winter &amp; Slattery </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5208FF" w:rsidP="00F92355">
            <w:pPr>
              <w:pStyle w:val="NormalHeadings"/>
              <w:jc w:val="right"/>
            </w:pPr>
            <w:bookmarkStart w:id="12" w:name="FileNo"/>
            <w:r>
              <w:t>VID 521 of 2020</w:t>
            </w:r>
            <w:bookmarkEnd w:id="12"/>
          </w:p>
        </w:tc>
      </w:tr>
      <w:tr w:rsidR="00A76C13" w:rsidTr="005C0A54">
        <w:tc>
          <w:tcPr>
            <w:tcW w:w="9242" w:type="dxa"/>
            <w:gridSpan w:val="3"/>
          </w:tcPr>
          <w:p w:rsidR="00A76C13" w:rsidRPr="00A76C13" w:rsidRDefault="005208FF" w:rsidP="005208FF">
            <w:pPr>
              <w:pStyle w:val="NormalHeadings"/>
              <w:jc w:val="left"/>
            </w:pPr>
            <w:bookmarkStart w:id="13" w:name="InTheMatterOf"/>
            <w:r>
              <w:t xml:space="preserve"> </w:t>
            </w:r>
            <w:bookmarkEnd w:id="13"/>
          </w:p>
        </w:tc>
      </w:tr>
      <w:tr w:rsidR="00A46CCC" w:rsidTr="005C0A54">
        <w:trPr>
          <w:trHeight w:val="386"/>
        </w:trPr>
        <w:tc>
          <w:tcPr>
            <w:tcW w:w="2376" w:type="dxa"/>
          </w:tcPr>
          <w:p w:rsidR="00A46CCC" w:rsidRDefault="00A46CCC" w:rsidP="005C0A54">
            <w:pPr>
              <w:pStyle w:val="NormalHeadings"/>
              <w:jc w:val="left"/>
              <w:rPr>
                <w:caps/>
                <w:szCs w:val="24"/>
              </w:rPr>
            </w:pPr>
            <w:bookmarkStart w:id="14" w:name="Parties"/>
            <w:r>
              <w:rPr>
                <w:caps/>
                <w:szCs w:val="24"/>
              </w:rPr>
              <w:t>BETWEEN:</w:t>
            </w:r>
          </w:p>
        </w:tc>
        <w:tc>
          <w:tcPr>
            <w:tcW w:w="6866" w:type="dxa"/>
            <w:gridSpan w:val="2"/>
          </w:tcPr>
          <w:p w:rsidR="005208FF" w:rsidRDefault="005208FF" w:rsidP="005208FF">
            <w:pPr>
              <w:pStyle w:val="NormalHeadings"/>
              <w:jc w:val="left"/>
            </w:pPr>
            <w:bookmarkStart w:id="15" w:name="Applicant"/>
            <w:r>
              <w:t>AUSTRALIAN SECURITIES AND INVESTMENTS COMMISSION</w:t>
            </w:r>
          </w:p>
          <w:p w:rsidR="005208FF" w:rsidRDefault="005208FF" w:rsidP="005208FF">
            <w:pPr>
              <w:pStyle w:val="PartyType"/>
            </w:pPr>
            <w:r>
              <w:t>Applicant</w:t>
            </w:r>
          </w:p>
          <w:bookmarkEnd w:id="15"/>
          <w:p w:rsidR="00A46CCC" w:rsidRPr="006555B4" w:rsidRDefault="00A46CCC" w:rsidP="005C0A54">
            <w:pPr>
              <w:pStyle w:val="NormalHeadings"/>
              <w:jc w:val="left"/>
            </w:pPr>
          </w:p>
        </w:tc>
      </w:tr>
      <w:tr w:rsidR="00A46CCC" w:rsidTr="005C0A54">
        <w:trPr>
          <w:trHeight w:val="386"/>
        </w:trPr>
        <w:tc>
          <w:tcPr>
            <w:tcW w:w="2376" w:type="dxa"/>
          </w:tcPr>
          <w:p w:rsidR="00A46CCC" w:rsidRDefault="00A46CCC" w:rsidP="005C0A54">
            <w:pPr>
              <w:pStyle w:val="NormalHeadings"/>
              <w:jc w:val="left"/>
              <w:rPr>
                <w:caps/>
                <w:szCs w:val="24"/>
              </w:rPr>
            </w:pPr>
            <w:r>
              <w:rPr>
                <w:caps/>
                <w:szCs w:val="24"/>
              </w:rPr>
              <w:t>AND:</w:t>
            </w:r>
          </w:p>
        </w:tc>
        <w:tc>
          <w:tcPr>
            <w:tcW w:w="6866" w:type="dxa"/>
            <w:gridSpan w:val="2"/>
          </w:tcPr>
          <w:p w:rsidR="005208FF" w:rsidRDefault="005208FF" w:rsidP="005208FF">
            <w:pPr>
              <w:pStyle w:val="NormalHeadings"/>
              <w:jc w:val="left"/>
            </w:pPr>
            <w:bookmarkStart w:id="16" w:name="Respondent"/>
            <w:r>
              <w:t>LARRY JOHN DAWSON</w:t>
            </w:r>
          </w:p>
          <w:p w:rsidR="005208FF" w:rsidRDefault="005208FF" w:rsidP="005208FF">
            <w:pPr>
              <w:pStyle w:val="PartyType"/>
            </w:pPr>
            <w:r>
              <w:t>First Respondent</w:t>
            </w:r>
          </w:p>
          <w:p w:rsidR="005208FF" w:rsidRDefault="005208FF" w:rsidP="005C0A54">
            <w:pPr>
              <w:pStyle w:val="NormalHeadings"/>
              <w:jc w:val="left"/>
              <w:rPr>
                <w:szCs w:val="24"/>
              </w:rPr>
            </w:pPr>
          </w:p>
          <w:p w:rsidR="005208FF" w:rsidRDefault="005208FF" w:rsidP="005208FF">
            <w:pPr>
              <w:pStyle w:val="NormalHeadings"/>
              <w:jc w:val="left"/>
            </w:pPr>
            <w:r>
              <w:t>PW KITT CO PTY LTD (ACN 635 767 047)</w:t>
            </w:r>
          </w:p>
          <w:p w:rsidR="005208FF" w:rsidRDefault="005208FF" w:rsidP="005208FF">
            <w:pPr>
              <w:pStyle w:val="PartyType"/>
            </w:pPr>
            <w:r>
              <w:t>Second Respondent</w:t>
            </w:r>
          </w:p>
          <w:bookmarkEnd w:id="16"/>
          <w:p w:rsidR="00A46CCC" w:rsidRPr="006555B4" w:rsidRDefault="00A46CCC" w:rsidP="005C0A54">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5208FF">
            <w:pPr>
              <w:pStyle w:val="NormalHeadings"/>
              <w:jc w:val="left"/>
              <w:rPr>
                <w:caps/>
                <w:szCs w:val="24"/>
              </w:rPr>
            </w:pPr>
            <w:bookmarkStart w:id="19" w:name="Judge"/>
            <w:r>
              <w:rPr>
                <w:caps/>
                <w:szCs w:val="24"/>
              </w:rPr>
              <w:t>ANASTASSIOU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4512E1" w:rsidP="004512E1">
            <w:pPr>
              <w:pStyle w:val="NormalHeadings"/>
              <w:jc w:val="left"/>
              <w:rPr>
                <w:caps/>
                <w:szCs w:val="24"/>
              </w:rPr>
            </w:pPr>
            <w:bookmarkStart w:id="20" w:name="Judgment_Dated"/>
            <w:r>
              <w:rPr>
                <w:caps/>
                <w:szCs w:val="24"/>
              </w:rPr>
              <w:t>23 February 2021</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9A01B7" w:rsidRDefault="009A01B7" w:rsidP="009A01B7">
      <w:pPr>
        <w:pStyle w:val="Order1"/>
      </w:pPr>
      <w:r>
        <w:t xml:space="preserve">Pursuant to section 425 of the </w:t>
      </w:r>
      <w:r w:rsidRPr="00C34F7C">
        <w:rPr>
          <w:i/>
        </w:rPr>
        <w:t>Corporations Act 2001</w:t>
      </w:r>
      <w:r>
        <w:t xml:space="preserve"> (</w:t>
      </w:r>
      <w:proofErr w:type="spellStart"/>
      <w:r>
        <w:t>Cth</w:t>
      </w:r>
      <w:proofErr w:type="spellEnd"/>
      <w:r>
        <w:t xml:space="preserve">), the applicants' remuneration as receivers and managers of the property of PW </w:t>
      </w:r>
      <w:proofErr w:type="spellStart"/>
      <w:r>
        <w:t>Kitt</w:t>
      </w:r>
      <w:proofErr w:type="spellEnd"/>
      <w:r>
        <w:t xml:space="preserve"> Co Pty Ltd (In Liquidation) (ACN 635 767 047) be fixed at the amount of $112,154.00 for the period 7 August 2020 to 5 November 2020.</w:t>
      </w:r>
    </w:p>
    <w:p w:rsidR="009A01B7" w:rsidRDefault="009A01B7" w:rsidP="009A01B7">
      <w:pPr>
        <w:pStyle w:val="Order1"/>
      </w:pPr>
      <w:r>
        <w:t xml:space="preserve">Pursuant to section 425 of the </w:t>
      </w:r>
      <w:r w:rsidRPr="00C34F7C">
        <w:rPr>
          <w:i/>
        </w:rPr>
        <w:t>Corporations Act 2001</w:t>
      </w:r>
      <w:r>
        <w:t xml:space="preserve"> (</w:t>
      </w:r>
      <w:proofErr w:type="spellStart"/>
      <w:r>
        <w:t>Cth</w:t>
      </w:r>
      <w:proofErr w:type="spellEnd"/>
      <w:r>
        <w:t>), the applicants' remuneration as receivers and managers of the property of Larry John Dawson be fixed at the amount of $10,113.00 for the period 7 August 2020 to 5 November 2020.</w:t>
      </w:r>
    </w:p>
    <w:p w:rsidR="001A6C52" w:rsidRDefault="009A01B7" w:rsidP="009A01B7">
      <w:pPr>
        <w:pStyle w:val="Order1"/>
      </w:pPr>
      <w:r>
        <w:t xml:space="preserve">An order that the costs of and incidental to this Interlocutory Process be paid out of the assets of the Second Defendant. </w:t>
      </w:r>
    </w:p>
    <w:p w:rsidR="001A6C52" w:rsidRDefault="001A6C52" w:rsidP="001A6C52">
      <w:pPr>
        <w:pStyle w:val="BodyText"/>
      </w:pPr>
    </w:p>
    <w:p w:rsidR="00A431E6" w:rsidRDefault="00A431E6" w:rsidP="001A6C52">
      <w:pPr>
        <w:pStyle w:val="BodyText"/>
      </w:pPr>
    </w:p>
    <w:p w:rsidR="0050309C" w:rsidRDefault="005208FF"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181EB2" w:rsidRDefault="00484F6D" w:rsidP="00B146CD">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r w:rsidR="00181EB2" w:rsidDel="00181EB2">
        <w:rPr>
          <w:sz w:val="28"/>
          <w:szCs w:val="28"/>
        </w:rPr>
        <w:t xml:space="preserve"> </w:t>
      </w:r>
    </w:p>
    <w:p w:rsidR="00B146CD" w:rsidRPr="00B146CD" w:rsidRDefault="00B146CD" w:rsidP="00B146CD">
      <w:pPr>
        <w:pStyle w:val="NormalHeadings"/>
        <w:spacing w:line="480" w:lineRule="auto"/>
        <w:jc w:val="center"/>
        <w:rPr>
          <w:sz w:val="28"/>
          <w:szCs w:val="28"/>
        </w:rPr>
      </w:pPr>
      <w:r>
        <w:rPr>
          <w:sz w:val="28"/>
          <w:szCs w:val="28"/>
        </w:rPr>
        <w:t>(</w:t>
      </w:r>
      <w:r w:rsidR="00C34F7C">
        <w:rPr>
          <w:sz w:val="28"/>
          <w:szCs w:val="28"/>
        </w:rPr>
        <w:t>Delivered</w:t>
      </w:r>
      <w:r>
        <w:rPr>
          <w:sz w:val="28"/>
          <w:szCs w:val="28"/>
        </w:rPr>
        <w:t xml:space="preserve"> </w:t>
      </w:r>
      <w:r>
        <w:rPr>
          <w:i/>
          <w:sz w:val="28"/>
          <w:szCs w:val="28"/>
        </w:rPr>
        <w:t>ex tempore</w:t>
      </w:r>
      <w:r w:rsidR="00C34F7C">
        <w:rPr>
          <w:i/>
          <w:sz w:val="28"/>
          <w:szCs w:val="28"/>
        </w:rPr>
        <w:t xml:space="preserve">, </w:t>
      </w:r>
      <w:r w:rsidR="00C34F7C">
        <w:rPr>
          <w:sz w:val="28"/>
          <w:szCs w:val="28"/>
        </w:rPr>
        <w:t>revised from transcript</w:t>
      </w:r>
      <w:r>
        <w:rPr>
          <w:sz w:val="28"/>
          <w:szCs w:val="28"/>
        </w:rPr>
        <w:t>)</w:t>
      </w:r>
    </w:p>
    <w:p w:rsidR="00694BEB" w:rsidRDefault="004512E1" w:rsidP="00505776">
      <w:pPr>
        <w:pStyle w:val="Heading1"/>
      </w:pPr>
      <w:r>
        <w:t>ANASTASSIOU J</w:t>
      </w:r>
      <w:r w:rsidR="00AF0074">
        <w:t>:</w:t>
      </w:r>
      <w:r>
        <w:t xml:space="preserve"> </w:t>
      </w:r>
    </w:p>
    <w:p w:rsidR="00DD05A5" w:rsidRDefault="00DD05A5" w:rsidP="00505776">
      <w:pPr>
        <w:pStyle w:val="Heading1"/>
      </w:pPr>
      <w:r>
        <w:t>BACKGROUND</w:t>
      </w:r>
    </w:p>
    <w:p w:rsidR="00481534" w:rsidRPr="00595859" w:rsidRDefault="00C34F7C" w:rsidP="0051434F">
      <w:pPr>
        <w:pStyle w:val="ParaNumbering"/>
      </w:pPr>
      <w:r w:rsidRPr="00595859">
        <w:t>At</w:t>
      </w:r>
      <w:r w:rsidR="009A01B7" w:rsidRPr="00595859">
        <w:t xml:space="preserve"> the hearing dated 7 August 2020, I made orders appointing </w:t>
      </w:r>
      <w:r w:rsidR="00880E15" w:rsidRPr="00595859">
        <w:t xml:space="preserve">Michael </w:t>
      </w:r>
      <w:r w:rsidR="00D56E76" w:rsidRPr="00595859">
        <w:t>J</w:t>
      </w:r>
      <w:r w:rsidR="00880E15" w:rsidRPr="00595859">
        <w:t xml:space="preserve">ohn Hill, Anthony Norman Connelly and Katherine </w:t>
      </w:r>
      <w:proofErr w:type="spellStart"/>
      <w:r w:rsidR="00880E15" w:rsidRPr="00595859">
        <w:t>Sozou</w:t>
      </w:r>
      <w:proofErr w:type="spellEnd"/>
      <w:r w:rsidR="00880E15" w:rsidRPr="00595859">
        <w:t xml:space="preserve"> </w:t>
      </w:r>
      <w:r w:rsidR="009F19D3">
        <w:t xml:space="preserve">of </w:t>
      </w:r>
      <w:proofErr w:type="spellStart"/>
      <w:r w:rsidR="009F19D3">
        <w:t>McGrathNichol</w:t>
      </w:r>
      <w:proofErr w:type="spellEnd"/>
      <w:r w:rsidR="009F19D3">
        <w:t xml:space="preserve"> </w:t>
      </w:r>
      <w:r w:rsidR="009431D2" w:rsidRPr="00595859">
        <w:t xml:space="preserve">as </w:t>
      </w:r>
      <w:r w:rsidR="009431D2" w:rsidRPr="00595859">
        <w:rPr>
          <w:b/>
        </w:rPr>
        <w:t>Receivers</w:t>
      </w:r>
      <w:r w:rsidR="00720A98" w:rsidRPr="00595859">
        <w:rPr>
          <w:b/>
        </w:rPr>
        <w:t xml:space="preserve"> </w:t>
      </w:r>
      <w:r w:rsidR="0000587E" w:rsidRPr="00595859">
        <w:t xml:space="preserve">and Managers </w:t>
      </w:r>
      <w:r w:rsidR="009A01B7" w:rsidRPr="00595859">
        <w:t xml:space="preserve">over the property of </w:t>
      </w:r>
      <w:r w:rsidR="00250E64" w:rsidRPr="00595859">
        <w:t xml:space="preserve">the First and Second Defendants, being </w:t>
      </w:r>
      <w:r w:rsidR="00250E64" w:rsidRPr="00256BC1">
        <w:rPr>
          <w:b/>
        </w:rPr>
        <w:t>Mr</w:t>
      </w:r>
      <w:r w:rsidR="00250E64" w:rsidRPr="00595859">
        <w:t xml:space="preserve"> Larry John </w:t>
      </w:r>
      <w:r w:rsidR="00250E64" w:rsidRPr="00595859">
        <w:rPr>
          <w:b/>
        </w:rPr>
        <w:t>Dawson</w:t>
      </w:r>
      <w:r w:rsidR="00250E64" w:rsidRPr="00595859">
        <w:t xml:space="preserve"> and </w:t>
      </w:r>
      <w:r w:rsidR="00250E64" w:rsidRPr="00595859">
        <w:rPr>
          <w:b/>
        </w:rPr>
        <w:t xml:space="preserve">PW </w:t>
      </w:r>
      <w:proofErr w:type="spellStart"/>
      <w:r w:rsidR="00250E64" w:rsidRPr="00595859">
        <w:rPr>
          <w:b/>
        </w:rPr>
        <w:t>Kitt</w:t>
      </w:r>
      <w:proofErr w:type="spellEnd"/>
      <w:r w:rsidR="00250E64" w:rsidRPr="00595859">
        <w:rPr>
          <w:b/>
        </w:rPr>
        <w:t xml:space="preserve"> </w:t>
      </w:r>
      <w:r w:rsidR="00250E64" w:rsidRPr="00256BC1">
        <w:rPr>
          <w:b/>
        </w:rPr>
        <w:t>Co</w:t>
      </w:r>
      <w:r w:rsidR="00250E64" w:rsidRPr="00595859">
        <w:t xml:space="preserve"> Pty Ltd, </w:t>
      </w:r>
      <w:r w:rsidR="00D56E76" w:rsidRPr="00595859">
        <w:t xml:space="preserve">to report </w:t>
      </w:r>
      <w:r w:rsidR="00250E64" w:rsidRPr="00595859">
        <w:t xml:space="preserve">on the financial positions of the </w:t>
      </w:r>
      <w:r w:rsidR="00660B89" w:rsidRPr="00595859">
        <w:t>d</w:t>
      </w:r>
      <w:r w:rsidR="00250E64" w:rsidRPr="00595859">
        <w:t>efendant</w:t>
      </w:r>
      <w:r w:rsidR="00660B89" w:rsidRPr="00595859">
        <w:t>s</w:t>
      </w:r>
      <w:r w:rsidR="00AA5019" w:rsidRPr="00595859">
        <w:t xml:space="preserve"> within 42 days of the order</w:t>
      </w:r>
      <w:r w:rsidR="00250E64" w:rsidRPr="00595859">
        <w:t>.</w:t>
      </w:r>
      <w:r w:rsidR="009D6BE7">
        <w:t xml:space="preserve">  </w:t>
      </w:r>
      <w:r w:rsidR="00A76A16" w:rsidRPr="00595859">
        <w:t xml:space="preserve">The </w:t>
      </w:r>
      <w:r w:rsidRPr="00595859">
        <w:rPr>
          <w:b/>
        </w:rPr>
        <w:t>First R</w:t>
      </w:r>
      <w:r w:rsidR="00A76A16" w:rsidRPr="00595859">
        <w:rPr>
          <w:b/>
        </w:rPr>
        <w:t>eceivership</w:t>
      </w:r>
      <w:r w:rsidRPr="00595859">
        <w:t>,</w:t>
      </w:r>
      <w:r w:rsidR="00A76A16" w:rsidRPr="00595859">
        <w:t xml:space="preserve"> and principal </w:t>
      </w:r>
      <w:r w:rsidRPr="00595859">
        <w:t>receivership,</w:t>
      </w:r>
      <w:r w:rsidR="00A76A16" w:rsidRPr="00595859">
        <w:t xml:space="preserve"> is that of PW </w:t>
      </w:r>
      <w:proofErr w:type="spellStart"/>
      <w:r w:rsidR="00A76A16" w:rsidRPr="00595859">
        <w:t>Kitt</w:t>
      </w:r>
      <w:proofErr w:type="spellEnd"/>
      <w:r w:rsidR="00A76A16" w:rsidRPr="00595859">
        <w:t xml:space="preserve"> Co in liquidation, and the </w:t>
      </w:r>
      <w:r w:rsidRPr="00595859">
        <w:rPr>
          <w:b/>
        </w:rPr>
        <w:t>Second R</w:t>
      </w:r>
      <w:r w:rsidR="00A76A16" w:rsidRPr="00595859">
        <w:rPr>
          <w:b/>
        </w:rPr>
        <w:t>eceivership</w:t>
      </w:r>
      <w:r w:rsidR="00A76A16" w:rsidRPr="00595859">
        <w:t xml:space="preserve"> is for the assets of Mr Dawson</w:t>
      </w:r>
      <w:r w:rsidR="00D56E76" w:rsidRPr="00595859">
        <w:t>.</w:t>
      </w:r>
    </w:p>
    <w:p w:rsidR="00880E15" w:rsidRDefault="001B1B50" w:rsidP="001B1B50">
      <w:pPr>
        <w:pStyle w:val="ParaNumbering"/>
      </w:pPr>
      <w:r>
        <w:t xml:space="preserve">By </w:t>
      </w:r>
      <w:r w:rsidR="00D27D27">
        <w:t xml:space="preserve">amended </w:t>
      </w:r>
      <w:r w:rsidR="00256BC1">
        <w:t>interlocutory a</w:t>
      </w:r>
      <w:r>
        <w:t>pplication da</w:t>
      </w:r>
      <w:r w:rsidR="00D27D27">
        <w:t xml:space="preserve">ted </w:t>
      </w:r>
      <w:r>
        <w:t>23 F</w:t>
      </w:r>
      <w:r w:rsidR="00D27D27">
        <w:t>ebruary 2021</w:t>
      </w:r>
      <w:r>
        <w:t>, the Receivers</w:t>
      </w:r>
      <w:r w:rsidR="002E456F">
        <w:t>, who are now liquidators,</w:t>
      </w:r>
      <w:r>
        <w:t xml:space="preserve"> seek authority pu</w:t>
      </w:r>
      <w:r w:rsidR="00145DEF">
        <w:t>rsuant to s</w:t>
      </w:r>
      <w:r>
        <w:t xml:space="preserve"> 425 of the </w:t>
      </w:r>
      <w:r w:rsidRPr="001D2680">
        <w:rPr>
          <w:i/>
        </w:rPr>
        <w:t>Corporations</w:t>
      </w:r>
      <w:r w:rsidRPr="001B1B50">
        <w:rPr>
          <w:b/>
          <w:i/>
        </w:rPr>
        <w:t xml:space="preserve"> Act</w:t>
      </w:r>
      <w:r>
        <w:rPr>
          <w:i/>
        </w:rPr>
        <w:t xml:space="preserve"> </w:t>
      </w:r>
      <w:r w:rsidR="001A0E9D">
        <w:rPr>
          <w:i/>
        </w:rPr>
        <w:t>2001</w:t>
      </w:r>
      <w:r>
        <w:rPr>
          <w:i/>
        </w:rPr>
        <w:t xml:space="preserve"> </w:t>
      </w:r>
      <w:r>
        <w:t>(</w:t>
      </w:r>
      <w:proofErr w:type="spellStart"/>
      <w:r>
        <w:t>Cth</w:t>
      </w:r>
      <w:proofErr w:type="spellEnd"/>
      <w:r>
        <w:t>) and al</w:t>
      </w:r>
      <w:r w:rsidR="00145DEF">
        <w:t>ternatively, pursuant to r</w:t>
      </w:r>
      <w:r w:rsidR="008E2BC4">
        <w:t xml:space="preserve"> 14</w:t>
      </w:r>
      <w:r>
        <w:t xml:space="preserve">.24 of the </w:t>
      </w:r>
      <w:r w:rsidRPr="001B1B50">
        <w:rPr>
          <w:i/>
        </w:rPr>
        <w:t xml:space="preserve">Federal Court </w:t>
      </w:r>
      <w:r w:rsidRPr="001B1B50">
        <w:rPr>
          <w:b/>
          <w:i/>
        </w:rPr>
        <w:t>Rules</w:t>
      </w:r>
      <w:r w:rsidRPr="001B1B50">
        <w:rPr>
          <w:i/>
        </w:rPr>
        <w:t xml:space="preserve"> 2011</w:t>
      </w:r>
      <w:r>
        <w:t xml:space="preserve"> (</w:t>
      </w:r>
      <w:proofErr w:type="spellStart"/>
      <w:r>
        <w:t>Cth</w:t>
      </w:r>
      <w:proofErr w:type="spellEnd"/>
      <w:r>
        <w:t>)</w:t>
      </w:r>
      <w:r w:rsidR="00880E15">
        <w:t>,</w:t>
      </w:r>
      <w:r>
        <w:t xml:space="preserve"> for the fixing of </w:t>
      </w:r>
      <w:r w:rsidR="00C34F7C">
        <w:t xml:space="preserve">their </w:t>
      </w:r>
      <w:r>
        <w:t>remuneration in connection with the two receiverships</w:t>
      </w:r>
      <w:r w:rsidR="00880E15">
        <w:t xml:space="preserve"> for the period of 7 August 2020 to 5 November 2020 in the amounts of:</w:t>
      </w:r>
    </w:p>
    <w:p w:rsidR="00880E15" w:rsidRDefault="00880E15" w:rsidP="00505776">
      <w:pPr>
        <w:pStyle w:val="ListNo1"/>
      </w:pPr>
      <w:r>
        <w:t xml:space="preserve">$112,154 in respect of the </w:t>
      </w:r>
      <w:r w:rsidR="00AA6616">
        <w:t>First R</w:t>
      </w:r>
      <w:r>
        <w:t>eceivership; and</w:t>
      </w:r>
    </w:p>
    <w:p w:rsidR="00A76A16" w:rsidRDefault="00880E15" w:rsidP="00505776">
      <w:pPr>
        <w:pStyle w:val="ListNo1"/>
      </w:pPr>
      <w:r>
        <w:t xml:space="preserve">$10,113 in respect of the </w:t>
      </w:r>
      <w:r w:rsidR="00AA6616">
        <w:t>Second R</w:t>
      </w:r>
      <w:r>
        <w:t>eceivership</w:t>
      </w:r>
      <w:r w:rsidR="001B1B50">
        <w:t xml:space="preserve">. </w:t>
      </w:r>
    </w:p>
    <w:p w:rsidR="001B1B50" w:rsidRDefault="00A76A16" w:rsidP="001B1B50">
      <w:pPr>
        <w:pStyle w:val="ParaNumbering"/>
      </w:pPr>
      <w:r>
        <w:t>For the reason</w:t>
      </w:r>
      <w:r w:rsidR="008E2BC4">
        <w:t>s</w:t>
      </w:r>
      <w:r w:rsidR="00C34F7C">
        <w:t xml:space="preserve"> that follow, I </w:t>
      </w:r>
      <w:r>
        <w:t>give leave</w:t>
      </w:r>
      <w:r w:rsidR="00C34F7C">
        <w:t xml:space="preserve"> for the</w:t>
      </w:r>
      <w:r w:rsidR="00256BC1">
        <w:t xml:space="preserve"> Receivers to file the amended interlocutory a</w:t>
      </w:r>
      <w:r>
        <w:t>pplication</w:t>
      </w:r>
      <w:r w:rsidR="00720A98">
        <w:t>,</w:t>
      </w:r>
      <w:r>
        <w:t xml:space="preserve"> and approve the costs as sought by the Receivers </w:t>
      </w:r>
      <w:r w:rsidR="00880E15">
        <w:t>as well as</w:t>
      </w:r>
      <w:r>
        <w:t xml:space="preserve"> the division of the costs as between the two receiverships.</w:t>
      </w:r>
    </w:p>
    <w:p w:rsidR="007042EC" w:rsidRPr="00505776" w:rsidRDefault="00B50DA7" w:rsidP="00505776">
      <w:pPr>
        <w:pStyle w:val="Heading1"/>
        <w:rPr>
          <w:b w:val="0"/>
        </w:rPr>
      </w:pPr>
      <w:bookmarkStart w:id="23" w:name="PastedTemp57"/>
      <w:r w:rsidRPr="009F19D3">
        <w:t>CONSIDERATION</w:t>
      </w:r>
    </w:p>
    <w:p w:rsidR="00720A98" w:rsidRDefault="00B21878" w:rsidP="008E2BC4">
      <w:pPr>
        <w:pStyle w:val="ParaNumbering"/>
      </w:pPr>
      <w:r>
        <w:t>The Receivers</w:t>
      </w:r>
      <w:r w:rsidR="00DD05A5">
        <w:t>’</w:t>
      </w:r>
      <w:r>
        <w:t xml:space="preserve"> application is made pursuant to s 425 of the </w:t>
      </w:r>
      <w:r w:rsidR="00660B89">
        <w:t>Act</w:t>
      </w:r>
      <w:r w:rsidR="00D32773">
        <w:t>, which</w:t>
      </w:r>
      <w:r>
        <w:t xml:space="preserve"> empowers the Court to fix the remuneratio</w:t>
      </w:r>
      <w:r w:rsidR="00DD05A5">
        <w:t>n of a court-appointed receiver</w:t>
      </w:r>
      <w:r w:rsidR="0025616D">
        <w:t>.</w:t>
      </w:r>
      <w:r w:rsidR="00256BC1">
        <w:t xml:space="preserve"> </w:t>
      </w:r>
      <w:r w:rsidR="00D75CEF">
        <w:t xml:space="preserve"> </w:t>
      </w:r>
      <w:r w:rsidR="00D32773">
        <w:t>Relevantly, s 425(8)</w:t>
      </w:r>
      <w:r w:rsidR="00D75CEF">
        <w:t xml:space="preserve"> </w:t>
      </w:r>
      <w:r w:rsidR="0075245B">
        <w:t>specifies</w:t>
      </w:r>
      <w:r w:rsidR="00DD05A5">
        <w:t xml:space="preserve"> </w:t>
      </w:r>
      <w:r w:rsidR="00D32773">
        <w:t xml:space="preserve">the </w:t>
      </w:r>
      <w:r w:rsidR="0025616D">
        <w:t xml:space="preserve">matters </w:t>
      </w:r>
      <w:r w:rsidR="00DD05A5">
        <w:t>to be taken into account when determining whether such a</w:t>
      </w:r>
      <w:r w:rsidR="00256BC1">
        <w:t>n application should be granted</w:t>
      </w:r>
      <w:r w:rsidR="009D6BE7">
        <w:t>:</w:t>
      </w:r>
      <w:r>
        <w:t xml:space="preserve"> </w:t>
      </w:r>
    </w:p>
    <w:p w:rsidR="00D75CEF" w:rsidRDefault="00256BC1" w:rsidP="00C842B9">
      <w:pPr>
        <w:pStyle w:val="Quote1"/>
        <w:ind w:left="1440" w:hanging="703"/>
      </w:pPr>
      <w:bookmarkStart w:id="24" w:name="PastedTemp70"/>
      <w:r>
        <w:t xml:space="preserve"> </w:t>
      </w:r>
      <w:r w:rsidR="00D75CEF">
        <w:t>(8)</w:t>
      </w:r>
      <w:r w:rsidR="00836804">
        <w:tab/>
      </w:r>
      <w:r w:rsidR="00D75CEF">
        <w:t>In exercising its powers under this section, the Court must have regard to whether the remuneration is reasonable, taking into account any or all of the following matters:</w:t>
      </w:r>
    </w:p>
    <w:p w:rsidR="00D75CEF" w:rsidRDefault="00D75CEF" w:rsidP="00C842B9">
      <w:pPr>
        <w:pStyle w:val="Quote2"/>
        <w:ind w:left="2160" w:hanging="720"/>
      </w:pPr>
      <w:r>
        <w:t>(a)</w:t>
      </w:r>
      <w:r w:rsidR="00836804">
        <w:tab/>
      </w:r>
      <w:r>
        <w:t>the extent to which the work performed by the receiver was reasonably necessary;</w:t>
      </w:r>
    </w:p>
    <w:p w:rsidR="00D75CEF" w:rsidRDefault="00D75CEF" w:rsidP="00C842B9">
      <w:pPr>
        <w:pStyle w:val="Quote2"/>
        <w:ind w:left="2160" w:hanging="720"/>
      </w:pPr>
      <w:r>
        <w:t>(b)</w:t>
      </w:r>
      <w:r w:rsidR="00836804">
        <w:tab/>
      </w:r>
      <w:r>
        <w:t xml:space="preserve">the extent to which the work likely to be performed by the receiver is </w:t>
      </w:r>
      <w:r>
        <w:lastRenderedPageBreak/>
        <w:t>likely to be reasonably necessary;</w:t>
      </w:r>
    </w:p>
    <w:p w:rsidR="00D75CEF" w:rsidRDefault="00D75CEF" w:rsidP="00C842B9">
      <w:pPr>
        <w:pStyle w:val="Quote2"/>
        <w:ind w:left="2160" w:hanging="720"/>
      </w:pPr>
      <w:bookmarkStart w:id="25" w:name="PastedTemp53"/>
      <w:r>
        <w:t>(c)</w:t>
      </w:r>
      <w:r w:rsidR="00836804">
        <w:tab/>
      </w:r>
      <w:r>
        <w:t>the period during which the work was, or is likely to be, performed by the receiver;</w:t>
      </w:r>
    </w:p>
    <w:p w:rsidR="00D75CEF" w:rsidRDefault="00D75CEF" w:rsidP="00C842B9">
      <w:pPr>
        <w:pStyle w:val="Quote2"/>
        <w:ind w:left="2160" w:hanging="720"/>
      </w:pPr>
      <w:r>
        <w:t>(d)</w:t>
      </w:r>
      <w:r w:rsidR="00836804">
        <w:tab/>
      </w:r>
      <w:r>
        <w:t>the quality of the work performed, or likely to be performed, by the receiver;</w:t>
      </w:r>
    </w:p>
    <w:p w:rsidR="00D75CEF" w:rsidRDefault="00D75CEF" w:rsidP="00C842B9">
      <w:pPr>
        <w:pStyle w:val="Quote2"/>
        <w:ind w:left="2160" w:hanging="720"/>
      </w:pPr>
      <w:r>
        <w:t>(e)</w:t>
      </w:r>
      <w:r w:rsidR="00836804">
        <w:tab/>
      </w:r>
      <w:r>
        <w:t>the complexity (or otherwise) of the work performed, or likely to be performed, by the receiver;</w:t>
      </w:r>
    </w:p>
    <w:p w:rsidR="00D75CEF" w:rsidRDefault="00D75CEF" w:rsidP="00C842B9">
      <w:pPr>
        <w:pStyle w:val="Quote2"/>
        <w:ind w:left="2160" w:hanging="720"/>
      </w:pPr>
      <w:r>
        <w:t>(f)</w:t>
      </w:r>
      <w:r w:rsidR="00836804">
        <w:tab/>
      </w:r>
      <w:r>
        <w:t>the extent (if any) to which the receiver was, or is likely to be, required to deal with extraordinary issues;</w:t>
      </w:r>
    </w:p>
    <w:p w:rsidR="00D75CEF" w:rsidRDefault="00D75CEF" w:rsidP="00C842B9">
      <w:pPr>
        <w:pStyle w:val="Quote2"/>
        <w:ind w:left="2160" w:hanging="720"/>
      </w:pPr>
      <w:r>
        <w:t>(g)</w:t>
      </w:r>
      <w:r w:rsidR="00836804">
        <w:tab/>
      </w:r>
      <w:r>
        <w:t>the extent (if any) to which the receiver was, or is likely to be, required to accept a higher level of risk or responsibility than is usually the case;</w:t>
      </w:r>
    </w:p>
    <w:p w:rsidR="00D75CEF" w:rsidRDefault="00D75CEF" w:rsidP="00C842B9">
      <w:pPr>
        <w:pStyle w:val="Quote2"/>
        <w:ind w:left="2160" w:hanging="720"/>
      </w:pPr>
      <w:r>
        <w:t>(h)</w:t>
      </w:r>
      <w:r w:rsidR="00836804">
        <w:tab/>
      </w:r>
      <w:r>
        <w:t>the value and nature of any property dealt with, or likely to be dealt with, by the receiver;</w:t>
      </w:r>
    </w:p>
    <w:p w:rsidR="00D75CEF" w:rsidRDefault="00D75CEF" w:rsidP="00C842B9">
      <w:pPr>
        <w:pStyle w:val="Quote2"/>
        <w:ind w:left="2160" w:hanging="720"/>
      </w:pPr>
      <w:r>
        <w:t>(</w:t>
      </w:r>
      <w:proofErr w:type="spellStart"/>
      <w:r>
        <w:t>i</w:t>
      </w:r>
      <w:proofErr w:type="spellEnd"/>
      <w:r>
        <w:t>)</w:t>
      </w:r>
      <w:r w:rsidR="00836804">
        <w:tab/>
      </w:r>
      <w:r>
        <w:t>whether the receiver was, or is likely to be, required to deal with:</w:t>
      </w:r>
    </w:p>
    <w:p w:rsidR="00D75CEF" w:rsidRDefault="00D75CEF" w:rsidP="00505776">
      <w:pPr>
        <w:pStyle w:val="Quote3"/>
      </w:pPr>
      <w:r>
        <w:t>(</w:t>
      </w:r>
      <w:proofErr w:type="spellStart"/>
      <w:r>
        <w:t>i</w:t>
      </w:r>
      <w:proofErr w:type="spellEnd"/>
      <w:r>
        <w:t>)</w:t>
      </w:r>
      <w:r w:rsidR="0040792E">
        <w:tab/>
      </w:r>
      <w:r>
        <w:t xml:space="preserve">one or more other receivers; or </w:t>
      </w:r>
    </w:p>
    <w:p w:rsidR="00D75CEF" w:rsidRDefault="00D75CEF" w:rsidP="00505776">
      <w:pPr>
        <w:pStyle w:val="Quote3"/>
      </w:pPr>
      <w:r>
        <w:t>(ii)</w:t>
      </w:r>
      <w:r w:rsidR="0040792E">
        <w:tab/>
      </w:r>
      <w:r>
        <w:t xml:space="preserve">one or more receivers and managers; or </w:t>
      </w:r>
    </w:p>
    <w:p w:rsidR="00D75CEF" w:rsidRDefault="00D75CEF" w:rsidP="00505776">
      <w:pPr>
        <w:pStyle w:val="Quote3"/>
      </w:pPr>
      <w:r>
        <w:t xml:space="preserve">(iii) </w:t>
      </w:r>
      <w:r w:rsidR="0040792E">
        <w:tab/>
      </w:r>
      <w:r>
        <w:t xml:space="preserve">one or more liquidators; or </w:t>
      </w:r>
    </w:p>
    <w:p w:rsidR="00D75CEF" w:rsidRDefault="00D75CEF" w:rsidP="00505776">
      <w:pPr>
        <w:pStyle w:val="Quote3"/>
      </w:pPr>
      <w:r>
        <w:t xml:space="preserve">(iv) </w:t>
      </w:r>
      <w:r w:rsidR="0040792E">
        <w:tab/>
      </w:r>
      <w:r>
        <w:t xml:space="preserve">one or more administrators; or </w:t>
      </w:r>
    </w:p>
    <w:p w:rsidR="00D75CEF" w:rsidRDefault="00D75CEF" w:rsidP="00C842B9">
      <w:pPr>
        <w:pStyle w:val="Quote3"/>
        <w:ind w:left="2880" w:hanging="720"/>
      </w:pPr>
      <w:r>
        <w:t xml:space="preserve">(v) </w:t>
      </w:r>
      <w:r w:rsidR="0040792E">
        <w:tab/>
      </w:r>
      <w:r>
        <w:t>one or more administrators of deeds of company arrangement; or</w:t>
      </w:r>
    </w:p>
    <w:p w:rsidR="00D75CEF" w:rsidRDefault="00D75CEF" w:rsidP="00505776">
      <w:pPr>
        <w:pStyle w:val="Quote3"/>
      </w:pPr>
      <w:r>
        <w:t xml:space="preserve">(vi) </w:t>
      </w:r>
      <w:r w:rsidR="0040792E">
        <w:tab/>
      </w:r>
      <w:r>
        <w:t xml:space="preserve">one or more restructuring practitioners; or </w:t>
      </w:r>
    </w:p>
    <w:p w:rsidR="00D75CEF" w:rsidRDefault="00D75CEF" w:rsidP="00505776">
      <w:pPr>
        <w:pStyle w:val="Quote3"/>
      </w:pPr>
      <w:r>
        <w:t xml:space="preserve">(vii) </w:t>
      </w:r>
      <w:r w:rsidR="0040792E">
        <w:tab/>
      </w:r>
      <w:r>
        <w:t>one or more restructuring practitioners for restructuring plans;</w:t>
      </w:r>
    </w:p>
    <w:p w:rsidR="00D75CEF" w:rsidRDefault="00D75CEF" w:rsidP="00C842B9">
      <w:pPr>
        <w:pStyle w:val="Quote2"/>
        <w:ind w:left="2160" w:hanging="720"/>
      </w:pPr>
      <w:r>
        <w:t>(j)</w:t>
      </w:r>
      <w:r w:rsidR="0040792E">
        <w:tab/>
      </w:r>
      <w:r>
        <w:t>the number, attributes and behaviour, or the likely number, attributes and behaviour, of the company’s creditors;</w:t>
      </w:r>
    </w:p>
    <w:p w:rsidR="00D75CEF" w:rsidRDefault="00D75CEF" w:rsidP="00D75CEF">
      <w:pPr>
        <w:pStyle w:val="Quote2"/>
      </w:pPr>
      <w:r>
        <w:t>(k)</w:t>
      </w:r>
      <w:r w:rsidR="0040792E">
        <w:tab/>
      </w:r>
      <w:r>
        <w:t>if the remuneration is ascertained, in whole or in part, on a time basis:</w:t>
      </w:r>
    </w:p>
    <w:p w:rsidR="00D75CEF" w:rsidRDefault="00D75CEF" w:rsidP="00C842B9">
      <w:pPr>
        <w:pStyle w:val="Quote3"/>
        <w:ind w:left="2880" w:hanging="720"/>
      </w:pPr>
      <w:r>
        <w:t>(</w:t>
      </w:r>
      <w:proofErr w:type="spellStart"/>
      <w:r>
        <w:t>i</w:t>
      </w:r>
      <w:proofErr w:type="spellEnd"/>
      <w:r>
        <w:t xml:space="preserve">) </w:t>
      </w:r>
      <w:r w:rsidR="0040792E">
        <w:tab/>
      </w:r>
      <w:r>
        <w:t xml:space="preserve">the time properly taken, or likely to be properly taken, by the receiver in performing the work; and </w:t>
      </w:r>
    </w:p>
    <w:p w:rsidR="00D75CEF" w:rsidRDefault="00D75CEF" w:rsidP="00C842B9">
      <w:pPr>
        <w:pStyle w:val="Quote3"/>
        <w:ind w:left="2880" w:hanging="720"/>
      </w:pPr>
      <w:r>
        <w:t xml:space="preserve">(ii) </w:t>
      </w:r>
      <w:r w:rsidR="0040792E">
        <w:tab/>
      </w:r>
      <w:r>
        <w:t>whether the total remuneration payable to the receiver is capped;</w:t>
      </w:r>
    </w:p>
    <w:p w:rsidR="00D75CEF" w:rsidRDefault="00D75CEF" w:rsidP="00505776">
      <w:pPr>
        <w:pStyle w:val="Quote2"/>
      </w:pPr>
      <w:r>
        <w:t xml:space="preserve">(l) </w:t>
      </w:r>
      <w:r w:rsidR="0040792E">
        <w:tab/>
      </w:r>
      <w:r>
        <w:t>any other relevant matters.</w:t>
      </w:r>
      <w:bookmarkEnd w:id="25"/>
      <w:bookmarkEnd w:id="24"/>
      <w:r>
        <w:t xml:space="preserve"> </w:t>
      </w:r>
    </w:p>
    <w:p w:rsidR="00046039" w:rsidRDefault="008E7D31" w:rsidP="00046039">
      <w:pPr>
        <w:pStyle w:val="ParaNumbering"/>
      </w:pPr>
      <w:r>
        <w:rPr>
          <w:i/>
        </w:rPr>
        <w:t xml:space="preserve">In the matter of </w:t>
      </w:r>
      <w:r w:rsidRPr="00132293">
        <w:rPr>
          <w:b/>
          <w:i/>
        </w:rPr>
        <w:t>Say Enterprises Pty Ltd</w:t>
      </w:r>
      <w:r>
        <w:t xml:space="preserve"> [2018] NSWSC 396</w:t>
      </w:r>
      <w:r w:rsidR="00672194">
        <w:t xml:space="preserve">, </w:t>
      </w:r>
      <w:r w:rsidR="00B52819">
        <w:t>in reference to the matters in s 425(8)</w:t>
      </w:r>
      <w:r w:rsidR="004268F1">
        <w:t xml:space="preserve"> of the Act</w:t>
      </w:r>
      <w:r w:rsidR="00B52819">
        <w:t xml:space="preserve">, </w:t>
      </w:r>
      <w:r w:rsidRPr="000A574A">
        <w:t>Brereton J held at [</w:t>
      </w:r>
      <w:r>
        <w:t>6</w:t>
      </w:r>
      <w:r w:rsidRPr="000A574A">
        <w:t>]:</w:t>
      </w:r>
    </w:p>
    <w:p w:rsidR="00046039" w:rsidRPr="00046039" w:rsidRDefault="00046039" w:rsidP="00046039">
      <w:pPr>
        <w:pStyle w:val="Quote1"/>
      </w:pPr>
      <w:r>
        <w:t xml:space="preserve">… </w:t>
      </w:r>
    </w:p>
    <w:p w:rsidR="008E7D31" w:rsidRPr="000A574A" w:rsidRDefault="008E7D31" w:rsidP="008E7D31">
      <w:pPr>
        <w:pStyle w:val="Quote1"/>
        <w:ind w:left="1440" w:hanging="703"/>
      </w:pPr>
      <w:r>
        <w:t xml:space="preserve">7. </w:t>
      </w:r>
      <w:r>
        <w:tab/>
      </w:r>
      <w:r w:rsidRPr="000A574A">
        <w:t>Many of those factors - in particular, pars (d)-(e) and (g)-(h) - have as their unifying theme the concept of proportionality (being the relationship of the work done and the remuneration claimed to the value of the estate), which is an important consideration in determining reasonableness.</w:t>
      </w:r>
    </w:p>
    <w:p w:rsidR="00920907" w:rsidRPr="00920907" w:rsidRDefault="00920907" w:rsidP="00920907">
      <w:pPr>
        <w:pStyle w:val="ParaNumbering"/>
      </w:pPr>
      <w:r>
        <w:lastRenderedPageBreak/>
        <w:t>The alternative basis upon which relief was sought is r 14.24 of the Rules.</w:t>
      </w:r>
      <w:r w:rsidR="00D75CEF">
        <w:t xml:space="preserve"> </w:t>
      </w:r>
      <w:r>
        <w:t>That rule provides that:</w:t>
      </w:r>
      <w:r w:rsidR="00486A8E">
        <w:rPr>
          <w:b/>
        </w:rPr>
        <w:t xml:space="preserve"> </w:t>
      </w:r>
      <w:bookmarkStart w:id="26" w:name="_Toc11924217"/>
    </w:p>
    <w:p w:rsidR="008E2BC4" w:rsidRPr="00505776" w:rsidRDefault="008E2BC4" w:rsidP="00505776">
      <w:pPr>
        <w:pStyle w:val="Quote1"/>
        <w:rPr>
          <w:b/>
        </w:rPr>
      </w:pPr>
      <w:r w:rsidRPr="00D75CEF">
        <w:rPr>
          <w:rStyle w:val="charsectno"/>
          <w:rFonts w:ascii="Helvetica Neue" w:hAnsi="Helvetica Neue" w:hint="eastAsia"/>
          <w:b/>
          <w:sz w:val="19"/>
          <w:szCs w:val="19"/>
        </w:rPr>
        <w:t>14.24</w:t>
      </w:r>
      <w:r w:rsidR="00D75CEF">
        <w:rPr>
          <w:b/>
        </w:rPr>
        <w:t xml:space="preserve">  </w:t>
      </w:r>
      <w:bookmarkEnd w:id="26"/>
      <w:r w:rsidR="007042EC" w:rsidRPr="00505776">
        <w:rPr>
          <w:b/>
        </w:rPr>
        <w:t> Remuneration</w:t>
      </w:r>
    </w:p>
    <w:p w:rsidR="008E2BC4" w:rsidRPr="008E2BC4" w:rsidRDefault="008E2BC4" w:rsidP="00505776">
      <w:pPr>
        <w:pStyle w:val="Quote1"/>
        <w:rPr>
          <w:lang w:val="en-US"/>
        </w:rPr>
      </w:pPr>
      <w:r>
        <w:t>A receiver may apply to the Court to have the Court fix the receiver’s remuneration.</w:t>
      </w:r>
    </w:p>
    <w:p w:rsidR="008E2BC4" w:rsidRDefault="008E2BC4" w:rsidP="008E2BC4">
      <w:pPr>
        <w:pStyle w:val="ParaNumbering"/>
      </w:pPr>
      <w:r>
        <w:t xml:space="preserve">The power of the Court under r 14.24 of the Rules to fix the receivers’ remuneration is governed by the general principle that the Court should only allow remuneration which is fair and reasonable: </w:t>
      </w:r>
      <w:r w:rsidR="002E456F">
        <w:rPr>
          <w:i/>
        </w:rPr>
        <w:t xml:space="preserve">Australian Securities and Investments Commission v </w:t>
      </w:r>
      <w:r w:rsidRPr="002E456F">
        <w:rPr>
          <w:i/>
          <w:iCs/>
        </w:rPr>
        <w:t xml:space="preserve">Linchpin </w:t>
      </w:r>
      <w:r w:rsidR="002E456F">
        <w:rPr>
          <w:i/>
          <w:iCs/>
        </w:rPr>
        <w:t xml:space="preserve">Capital Group Ltd (No 3) </w:t>
      </w:r>
      <w:r w:rsidR="00920907">
        <w:rPr>
          <w:iCs/>
        </w:rPr>
        <w:t>[2020] FCA 44,</w:t>
      </w:r>
      <w:r w:rsidR="002E456F">
        <w:rPr>
          <w:iCs/>
        </w:rPr>
        <w:t xml:space="preserve"> 142 ACSR 193 </w:t>
      </w:r>
      <w:r w:rsidRPr="002E456F">
        <w:t>at [7]</w:t>
      </w:r>
      <w:r w:rsidR="002E456F">
        <w:t xml:space="preserve"> (Derrington J)</w:t>
      </w:r>
      <w:r w:rsidRPr="002E456F">
        <w:t>.</w:t>
      </w:r>
      <w:r>
        <w:t xml:space="preserve"> </w:t>
      </w:r>
    </w:p>
    <w:p w:rsidR="008E2BC4" w:rsidRDefault="008E2BC4" w:rsidP="008E2BC4">
      <w:pPr>
        <w:pStyle w:val="ParaNumbering"/>
      </w:pPr>
      <w:r>
        <w:t xml:space="preserve">A convenient summary of the </w:t>
      </w:r>
      <w:r w:rsidR="00132293">
        <w:t xml:space="preserve">relevant </w:t>
      </w:r>
      <w:r>
        <w:t>pr</w:t>
      </w:r>
      <w:r w:rsidR="00132293">
        <w:t>inciples</w:t>
      </w:r>
      <w:r w:rsidR="006848D4">
        <w:t xml:space="preserve"> to be applied when fixing the remuneration of a court appointed receiver </w:t>
      </w:r>
      <w:r w:rsidR="00132293">
        <w:t>is found in</w:t>
      </w:r>
      <w:r w:rsidR="00D32773">
        <w:t xml:space="preserve"> </w:t>
      </w:r>
      <w:r w:rsidRPr="0075245B">
        <w:rPr>
          <w:i/>
        </w:rPr>
        <w:t>Say Enterprises Pty</w:t>
      </w:r>
      <w:r w:rsidRPr="00365640">
        <w:rPr>
          <w:i/>
        </w:rPr>
        <w:t xml:space="preserve"> Ltd</w:t>
      </w:r>
      <w:r>
        <w:t xml:space="preserve"> at [6] (Brereton J):</w:t>
      </w:r>
    </w:p>
    <w:p w:rsidR="008E2BC4" w:rsidRDefault="008E2BC4" w:rsidP="00C842B9">
      <w:pPr>
        <w:pStyle w:val="Quote1"/>
        <w:ind w:left="1440" w:hanging="703"/>
      </w:pPr>
      <w:r>
        <w:t xml:space="preserve">1. </w:t>
      </w:r>
      <w:r w:rsidR="0040792E">
        <w:tab/>
      </w:r>
      <w:r>
        <w:t>A receiver is entitled to the costs, charges and expenses properly incurred in the discharge of the receiver’s ordinary duties, or in the performance of extraordinary services that have been sanctioned by the Court.</w:t>
      </w:r>
    </w:p>
    <w:p w:rsidR="008E2BC4" w:rsidRDefault="008E2BC4" w:rsidP="00C842B9">
      <w:pPr>
        <w:pStyle w:val="Quote1"/>
        <w:ind w:left="1440" w:hanging="703"/>
      </w:pPr>
      <w:r>
        <w:t xml:space="preserve">2. </w:t>
      </w:r>
      <w:r w:rsidR="0040792E">
        <w:tab/>
      </w:r>
      <w:r>
        <w:t>The ultimate question is what amount of remuneration is ‘reasonable’, and this involves considering whether the work in respect of which remuneration is claimed was reasonably undertaken in the due course of the receivership, and whether the amount claimed for it is a fair and reasonable reward for it. The objective is to award a sum or devise a formula which will reasonably and fairly compensate the receiver for the time and trouble expended in the execution of his or her duties and the responsibility he or she has assumed.</w:t>
      </w:r>
    </w:p>
    <w:p w:rsidR="008E2BC4" w:rsidRDefault="008E2BC4" w:rsidP="00C842B9">
      <w:pPr>
        <w:pStyle w:val="Quote1"/>
        <w:ind w:left="1440" w:hanging="703"/>
      </w:pPr>
      <w:r>
        <w:t xml:space="preserve">3. </w:t>
      </w:r>
      <w:r w:rsidR="0040792E">
        <w:tab/>
      </w:r>
      <w:r>
        <w:t>The receiver bears the onus of justifying the reasonableness and prudence of the tasks undertaken for which remuneration is sought, and the reasonableness of the remuneration claimed for them.</w:t>
      </w:r>
    </w:p>
    <w:p w:rsidR="008E2BC4" w:rsidRDefault="008E2BC4" w:rsidP="00C842B9">
      <w:pPr>
        <w:pStyle w:val="Quote1"/>
        <w:ind w:left="1440" w:hanging="703"/>
      </w:pPr>
      <w:r>
        <w:t xml:space="preserve">4. </w:t>
      </w:r>
      <w:r w:rsidR="0040792E">
        <w:tab/>
      </w:r>
      <w:r>
        <w:t xml:space="preserve">Remuneration may be allowed on the basis of a fixed salary, a commission on receipts, or a quantum </w:t>
      </w:r>
      <w:proofErr w:type="spellStart"/>
      <w:r>
        <w:t>meruit</w:t>
      </w:r>
      <w:proofErr w:type="spellEnd"/>
      <w:r>
        <w:t xml:space="preserve"> having regard to the time, trouble and responsibility involved. It is a matter for the Court to determine what basis is appropriate in the particular case, having regard to the principle that the remuneration must be reasonable.</w:t>
      </w:r>
    </w:p>
    <w:p w:rsidR="00C232D8" w:rsidRPr="000A574A" w:rsidRDefault="00C232D8" w:rsidP="00C842B9">
      <w:pPr>
        <w:pStyle w:val="Quote1"/>
        <w:ind w:left="1440" w:hanging="703"/>
      </w:pPr>
      <w:r>
        <w:t xml:space="preserve">5. </w:t>
      </w:r>
      <w:r w:rsidR="0040792E">
        <w:tab/>
      </w:r>
      <w:r>
        <w:t xml:space="preserve">If a time-based approach is adopted, the Court is guided by professional scales of </w:t>
      </w:r>
      <w:r w:rsidRPr="000A574A">
        <w:t>charges, with emphasis on the broad average or general rate charged by persons of the relevant status and qualifications who carry out the relevant type of work. The Court will usually act on time sheets created in the receiver’s office, provided that they do significantly more than merely detail the total number of hours spent by the receiver and officers of particular grades on his or her staff.</w:t>
      </w:r>
    </w:p>
    <w:p w:rsidR="00B95E8B" w:rsidRPr="000A574A" w:rsidRDefault="008E7D31">
      <w:pPr>
        <w:pStyle w:val="ParaNumbering"/>
      </w:pPr>
      <w:r>
        <w:t>In the present case, t</w:t>
      </w:r>
      <w:r w:rsidR="0087062C" w:rsidRPr="000A574A">
        <w:t xml:space="preserve">he application is supported by </w:t>
      </w:r>
      <w:r w:rsidR="00B95E8B" w:rsidRPr="000A574A">
        <w:t>detailed written submission</w:t>
      </w:r>
      <w:r w:rsidR="00820151" w:rsidRPr="000A574A">
        <w:t>s</w:t>
      </w:r>
      <w:r w:rsidR="00B95E8B" w:rsidRPr="000A574A">
        <w:t xml:space="preserve"> prepared by Counsel for the Receivers</w:t>
      </w:r>
      <w:r w:rsidR="00820151" w:rsidRPr="000A574A">
        <w:t>,</w:t>
      </w:r>
      <w:r w:rsidR="00B95E8B" w:rsidRPr="000A574A">
        <w:t xml:space="preserve"> as well as </w:t>
      </w:r>
      <w:r w:rsidR="0087062C" w:rsidRPr="000A574A">
        <w:t>four affidavits</w:t>
      </w:r>
      <w:r w:rsidR="00B95E8B" w:rsidRPr="000A574A">
        <w:t xml:space="preserve"> which address the relevant criteria as set out under s 42</w:t>
      </w:r>
      <w:r w:rsidR="00A017FA" w:rsidRPr="000A574A">
        <w:t>5</w:t>
      </w:r>
      <w:r w:rsidR="00B95E8B" w:rsidRPr="000A574A">
        <w:t xml:space="preserve"> of the Act.</w:t>
      </w:r>
    </w:p>
    <w:p w:rsidR="00F52B0C" w:rsidRPr="000A574A" w:rsidRDefault="00B95E8B" w:rsidP="001D2680">
      <w:pPr>
        <w:pStyle w:val="ParaNumbering"/>
      </w:pPr>
      <w:r w:rsidRPr="000A574A">
        <w:lastRenderedPageBreak/>
        <w:t xml:space="preserve">Of the four affidavits relied on, </w:t>
      </w:r>
      <w:r w:rsidR="0087062C" w:rsidRPr="000A574A">
        <w:t xml:space="preserve">two affidavits </w:t>
      </w:r>
      <w:r w:rsidRPr="000A574A">
        <w:t xml:space="preserve">are </w:t>
      </w:r>
      <w:r w:rsidR="0087062C" w:rsidRPr="000A574A">
        <w:t xml:space="preserve">sworn by the solicitor acting on behalf of the receiver, Ms Lauren Emma </w:t>
      </w:r>
      <w:proofErr w:type="spellStart"/>
      <w:r w:rsidR="0087062C" w:rsidRPr="000A574A">
        <w:t>Danckwerts</w:t>
      </w:r>
      <w:proofErr w:type="spellEnd"/>
      <w:r w:rsidR="008E7D31">
        <w:t>,</w:t>
      </w:r>
      <w:r w:rsidR="0025616D" w:rsidRPr="000A574A">
        <w:t xml:space="preserve"> and</w:t>
      </w:r>
      <w:r w:rsidR="00F52B0C" w:rsidRPr="000A574A">
        <w:t xml:space="preserve"> two affidavits are sworn by the receiver</w:t>
      </w:r>
      <w:r w:rsidR="008E7D31">
        <w:t>,</w:t>
      </w:r>
      <w:r w:rsidR="00F52B0C" w:rsidRPr="000A574A">
        <w:t xml:space="preserve"> Mr </w:t>
      </w:r>
      <w:r w:rsidR="009F19D3">
        <w:t xml:space="preserve">Michael John </w:t>
      </w:r>
      <w:r w:rsidR="00F52B0C" w:rsidRPr="000A574A">
        <w:t xml:space="preserve">Hill, who is </w:t>
      </w:r>
      <w:r w:rsidR="00D41E98">
        <w:t>now a</w:t>
      </w:r>
      <w:r w:rsidR="009F19D3">
        <w:t xml:space="preserve"> liquidator of PW </w:t>
      </w:r>
      <w:proofErr w:type="spellStart"/>
      <w:r w:rsidR="009F19D3">
        <w:t>Kitt</w:t>
      </w:r>
      <w:proofErr w:type="spellEnd"/>
      <w:r w:rsidR="008E7D31">
        <w:t xml:space="preserve"> Co</w:t>
      </w:r>
      <w:r w:rsidR="00F52B0C" w:rsidRPr="000A574A">
        <w:t>.</w:t>
      </w:r>
    </w:p>
    <w:p w:rsidR="000D5D08" w:rsidRPr="000A574A" w:rsidRDefault="00CA33F0">
      <w:pPr>
        <w:pStyle w:val="ParaNumbering"/>
      </w:pPr>
      <w:r w:rsidRPr="000A574A">
        <w:t xml:space="preserve">As detailed in </w:t>
      </w:r>
      <w:r w:rsidR="00F52B0C" w:rsidRPr="000A574A">
        <w:t xml:space="preserve">Ms </w:t>
      </w:r>
      <w:proofErr w:type="spellStart"/>
      <w:r w:rsidR="00F52B0C" w:rsidRPr="000A574A">
        <w:t>Danckwerts</w:t>
      </w:r>
      <w:proofErr w:type="spellEnd"/>
      <w:r w:rsidR="00F52B0C" w:rsidRPr="000A574A">
        <w:t xml:space="preserve">’ </w:t>
      </w:r>
      <w:r w:rsidR="0025616D" w:rsidRPr="000A574A">
        <w:t xml:space="preserve">two </w:t>
      </w:r>
      <w:r w:rsidR="000D5D08" w:rsidRPr="000A574A">
        <w:t>affidavits, dated</w:t>
      </w:r>
      <w:r w:rsidR="0087062C" w:rsidRPr="000A574A">
        <w:t xml:space="preserve"> 27 January 2021 and 22 February 202</w:t>
      </w:r>
      <w:r w:rsidRPr="000A574A">
        <w:t>1,</w:t>
      </w:r>
      <w:r w:rsidR="00D75CEF">
        <w:t xml:space="preserve"> </w:t>
      </w:r>
      <w:r w:rsidRPr="000A574A">
        <w:t xml:space="preserve">the Receivers, in compliance with r 9.1 of the </w:t>
      </w:r>
      <w:r w:rsidR="009F19D3">
        <w:rPr>
          <w:i/>
        </w:rPr>
        <w:t xml:space="preserve">Federal Court (Corporation) Rules 2000 </w:t>
      </w:r>
      <w:r w:rsidR="009F19D3">
        <w:t>(</w:t>
      </w:r>
      <w:proofErr w:type="spellStart"/>
      <w:r w:rsidR="009F19D3">
        <w:t>Cth</w:t>
      </w:r>
      <w:proofErr w:type="spellEnd"/>
      <w:r w:rsidR="009F19D3">
        <w:t>)</w:t>
      </w:r>
      <w:r w:rsidRPr="000A574A">
        <w:t>, notified</w:t>
      </w:r>
      <w:r w:rsidR="00595859">
        <w:t xml:space="preserve"> the Australian Securities and Investments Commission</w:t>
      </w:r>
      <w:r w:rsidR="008B20F6" w:rsidRPr="000A574A">
        <w:t xml:space="preserve"> </w:t>
      </w:r>
      <w:r w:rsidR="00595859">
        <w:t>(</w:t>
      </w:r>
      <w:r w:rsidR="000D5D08" w:rsidRPr="00505776">
        <w:rPr>
          <w:b/>
        </w:rPr>
        <w:t>ASIC</w:t>
      </w:r>
      <w:r w:rsidR="00595859">
        <w:t>)</w:t>
      </w:r>
      <w:r w:rsidR="000D5D08" w:rsidRPr="000A574A">
        <w:t xml:space="preserve">, the five largest creditors of PW </w:t>
      </w:r>
      <w:proofErr w:type="spellStart"/>
      <w:r w:rsidR="000D5D08" w:rsidRPr="000A574A">
        <w:t>Kitt</w:t>
      </w:r>
      <w:proofErr w:type="spellEnd"/>
      <w:r w:rsidR="000D5D08" w:rsidRPr="000A574A">
        <w:t xml:space="preserve"> </w:t>
      </w:r>
      <w:r w:rsidR="008E7D31">
        <w:t xml:space="preserve">Co </w:t>
      </w:r>
      <w:r w:rsidR="000D5D08" w:rsidRPr="000A574A">
        <w:t xml:space="preserve">and </w:t>
      </w:r>
      <w:r w:rsidR="008E7D31">
        <w:t xml:space="preserve">Mr </w:t>
      </w:r>
      <w:r w:rsidR="009F19D3">
        <w:t xml:space="preserve">Dawson, </w:t>
      </w:r>
      <w:r w:rsidR="000D5D08" w:rsidRPr="000A574A">
        <w:t xml:space="preserve">the sole shareholder of PW </w:t>
      </w:r>
      <w:proofErr w:type="spellStart"/>
      <w:r w:rsidR="000D5D08" w:rsidRPr="000A574A">
        <w:t>Kitt</w:t>
      </w:r>
      <w:proofErr w:type="spellEnd"/>
      <w:r w:rsidR="008E7D31">
        <w:t xml:space="preserve"> Co</w:t>
      </w:r>
      <w:r w:rsidR="009F19D3">
        <w:t>,</w:t>
      </w:r>
      <w:r w:rsidRPr="000A574A">
        <w:t xml:space="preserve"> of their </w:t>
      </w:r>
      <w:r w:rsidR="009A6DB2" w:rsidRPr="000A574A">
        <w:t>intention to apply for the order fixing their remuneration</w:t>
      </w:r>
      <w:r w:rsidR="000D5D08" w:rsidRPr="000A574A">
        <w:t>.</w:t>
      </w:r>
      <w:r w:rsidR="00D75CEF">
        <w:t xml:space="preserve"> </w:t>
      </w:r>
      <w:r w:rsidR="008E7D31">
        <w:t xml:space="preserve"> </w:t>
      </w:r>
      <w:r w:rsidR="009A6DB2" w:rsidRPr="000A574A">
        <w:t>ASIC did not object to t</w:t>
      </w:r>
      <w:r w:rsidR="0022083F" w:rsidRPr="000A574A">
        <w:t>he amount claimed</w:t>
      </w:r>
      <w:r w:rsidR="008E7D31">
        <w:t>,</w:t>
      </w:r>
      <w:r w:rsidR="0022083F" w:rsidRPr="000A574A">
        <w:t xml:space="preserve"> </w:t>
      </w:r>
      <w:r w:rsidR="009A6DB2" w:rsidRPr="000A574A">
        <w:t xml:space="preserve">and of </w:t>
      </w:r>
      <w:r w:rsidRPr="000A574A">
        <w:t xml:space="preserve">the </w:t>
      </w:r>
      <w:r w:rsidR="009A6DB2" w:rsidRPr="000A574A">
        <w:t>five creditors</w:t>
      </w:r>
      <w:r w:rsidR="0022083F" w:rsidRPr="000A574A">
        <w:t xml:space="preserve"> who were served</w:t>
      </w:r>
      <w:r w:rsidR="009A6DB2" w:rsidRPr="000A574A">
        <w:t xml:space="preserve">, only two </w:t>
      </w:r>
      <w:r w:rsidR="00524FD4" w:rsidRPr="000A574A">
        <w:t>raised objections</w:t>
      </w:r>
      <w:r w:rsidR="009A6DB2" w:rsidRPr="000A574A">
        <w:t>.</w:t>
      </w:r>
      <w:r w:rsidR="00D75CEF">
        <w:t xml:space="preserve"> </w:t>
      </w:r>
      <w:r w:rsidR="006556AF">
        <w:t xml:space="preserve"> </w:t>
      </w:r>
      <w:r w:rsidR="0022083F" w:rsidRPr="000A574A">
        <w:t>T</w:t>
      </w:r>
      <w:r w:rsidRPr="000A574A">
        <w:t>he application</w:t>
      </w:r>
      <w:r w:rsidR="006556AF">
        <w:t xml:space="preserve"> and</w:t>
      </w:r>
      <w:r w:rsidRPr="000A574A">
        <w:t xml:space="preserve"> supporting affidavits</w:t>
      </w:r>
      <w:r w:rsidR="006556AF">
        <w:t xml:space="preserve"> were</w:t>
      </w:r>
      <w:r w:rsidRPr="000A574A">
        <w:t xml:space="preserve"> subsequently serve</w:t>
      </w:r>
      <w:r w:rsidR="0022083F" w:rsidRPr="000A574A">
        <w:t>d</w:t>
      </w:r>
      <w:r w:rsidRPr="000A574A">
        <w:t xml:space="preserve"> on each of the objecting creditors, as required by the </w:t>
      </w:r>
      <w:r w:rsidR="009F19D3">
        <w:rPr>
          <w:i/>
        </w:rPr>
        <w:t xml:space="preserve">Federal Court (Corporation) Rules 2000 </w:t>
      </w:r>
      <w:r w:rsidR="009F19D3">
        <w:t>(</w:t>
      </w:r>
      <w:proofErr w:type="spellStart"/>
      <w:r w:rsidR="009F19D3">
        <w:t>Cth</w:t>
      </w:r>
      <w:proofErr w:type="spellEnd"/>
      <w:r w:rsidR="009F19D3">
        <w:t>)</w:t>
      </w:r>
      <w:r w:rsidRPr="000A574A">
        <w:t xml:space="preserve">. </w:t>
      </w:r>
    </w:p>
    <w:p w:rsidR="00ED76C2" w:rsidRPr="000A574A" w:rsidRDefault="00B470F1" w:rsidP="008E7D31">
      <w:pPr>
        <w:pStyle w:val="ParaNumbering"/>
      </w:pPr>
      <w:r w:rsidRPr="000A574A">
        <w:t>Mr Hill’s</w:t>
      </w:r>
      <w:r w:rsidR="0087062C" w:rsidRPr="000A574A">
        <w:t xml:space="preserve"> affidavits are dated 18 December 2020 </w:t>
      </w:r>
      <w:r w:rsidR="003D1726" w:rsidRPr="000A574A">
        <w:t>(</w:t>
      </w:r>
      <w:r w:rsidR="003D1726" w:rsidRPr="000A574A">
        <w:rPr>
          <w:b/>
        </w:rPr>
        <w:t xml:space="preserve">First Affidavit) </w:t>
      </w:r>
      <w:r w:rsidR="0087062C" w:rsidRPr="000A574A">
        <w:t>and 17 February 2021</w:t>
      </w:r>
      <w:r w:rsidR="003D1726" w:rsidRPr="000A574A">
        <w:t xml:space="preserve"> (</w:t>
      </w:r>
      <w:r w:rsidR="003D1726" w:rsidRPr="000A574A">
        <w:rPr>
          <w:b/>
        </w:rPr>
        <w:t>Second Affidavit</w:t>
      </w:r>
      <w:r w:rsidR="003D1726" w:rsidRPr="000A574A">
        <w:t>)</w:t>
      </w:r>
      <w:r w:rsidR="007A316F" w:rsidRPr="000A574A">
        <w:t xml:space="preserve">. </w:t>
      </w:r>
      <w:r w:rsidR="008E7D31">
        <w:t xml:space="preserve"> I</w:t>
      </w:r>
      <w:r w:rsidR="00DE6589" w:rsidRPr="000A574A">
        <w:t>n his</w:t>
      </w:r>
      <w:r w:rsidR="00380790" w:rsidRPr="000A574A">
        <w:t xml:space="preserve"> First Affidavit</w:t>
      </w:r>
      <w:r w:rsidR="00DE6589" w:rsidRPr="000A574A">
        <w:t>,</w:t>
      </w:r>
      <w:r w:rsidR="00184DC5" w:rsidRPr="000A574A">
        <w:t xml:space="preserve"> </w:t>
      </w:r>
      <w:r w:rsidR="008E7D31">
        <w:t xml:space="preserve">Mr Hill </w:t>
      </w:r>
      <w:r w:rsidR="00380790" w:rsidRPr="000A574A">
        <w:t>summarises</w:t>
      </w:r>
      <w:r w:rsidR="007A316F" w:rsidRPr="000A574A">
        <w:t xml:space="preserve"> the work undertaken by the R</w:t>
      </w:r>
      <w:r w:rsidR="0022083F" w:rsidRPr="000A574A">
        <w:t>eceivers</w:t>
      </w:r>
      <w:r w:rsidR="00660B89" w:rsidRPr="000A574A">
        <w:t>.</w:t>
      </w:r>
      <w:r w:rsidR="00C9752E">
        <w:t xml:space="preserve"> </w:t>
      </w:r>
      <w:r w:rsidR="00D75CEF">
        <w:t xml:space="preserve"> </w:t>
      </w:r>
      <w:r w:rsidR="00DE6589" w:rsidRPr="000A574A">
        <w:t>Specifically, the</w:t>
      </w:r>
      <w:r w:rsidR="003D1726" w:rsidRPr="000A574A">
        <w:t xml:space="preserve"> First Affidavit</w:t>
      </w:r>
      <w:r w:rsidR="00ED76C2" w:rsidRPr="000A574A">
        <w:t xml:space="preserve"> details:</w:t>
      </w:r>
    </w:p>
    <w:p w:rsidR="00EC529D" w:rsidRPr="000A574A" w:rsidRDefault="00CA33F0" w:rsidP="00B21878">
      <w:pPr>
        <w:pStyle w:val="ListNo1"/>
        <w:numPr>
          <w:ilvl w:val="0"/>
          <w:numId w:val="35"/>
        </w:numPr>
      </w:pPr>
      <w:r w:rsidRPr="000A574A">
        <w:t>t</w:t>
      </w:r>
      <w:r w:rsidR="00ED76C2" w:rsidRPr="000A574A">
        <w:t xml:space="preserve">he tasks required to be performed in each receivership </w:t>
      </w:r>
      <w:r w:rsidR="00660B89" w:rsidRPr="000A574A">
        <w:t xml:space="preserve">and </w:t>
      </w:r>
      <w:r w:rsidR="002875FD" w:rsidRPr="000A574A">
        <w:t>the nature of the work performed under each task</w:t>
      </w:r>
      <w:r w:rsidR="00EC529D" w:rsidRPr="000A574A">
        <w:t>;</w:t>
      </w:r>
    </w:p>
    <w:p w:rsidR="00EC529D" w:rsidRPr="000A574A" w:rsidRDefault="00EC529D" w:rsidP="00EC529D">
      <w:pPr>
        <w:pStyle w:val="ListNo1"/>
        <w:numPr>
          <w:ilvl w:val="0"/>
          <w:numId w:val="35"/>
        </w:numPr>
      </w:pPr>
      <w:r w:rsidRPr="000A574A">
        <w:t xml:space="preserve">how the receiverships were staffed; </w:t>
      </w:r>
    </w:p>
    <w:p w:rsidR="00EC529D" w:rsidRPr="000A574A" w:rsidRDefault="00EC529D" w:rsidP="00EC529D">
      <w:pPr>
        <w:pStyle w:val="ListNo1"/>
        <w:numPr>
          <w:ilvl w:val="0"/>
          <w:numId w:val="35"/>
        </w:numPr>
      </w:pPr>
      <w:r w:rsidRPr="000A574A">
        <w:t>the complexity of the work undertaken; and</w:t>
      </w:r>
    </w:p>
    <w:p w:rsidR="00EC529D" w:rsidRPr="000A574A" w:rsidRDefault="00EC529D">
      <w:pPr>
        <w:pStyle w:val="ListNo1"/>
        <w:numPr>
          <w:ilvl w:val="0"/>
          <w:numId w:val="35"/>
        </w:numPr>
      </w:pPr>
      <w:r w:rsidRPr="000A574A">
        <w:t xml:space="preserve">the reasonableness and necessity of the work performed. </w:t>
      </w:r>
    </w:p>
    <w:p w:rsidR="00EC529D" w:rsidRPr="00505776" w:rsidRDefault="00EC529D" w:rsidP="00505776">
      <w:pPr>
        <w:pStyle w:val="Heading2"/>
      </w:pPr>
      <w:r w:rsidRPr="00505776">
        <w:t>Tasks required to be performed</w:t>
      </w:r>
    </w:p>
    <w:p w:rsidR="004C7C53" w:rsidRPr="000A574A" w:rsidRDefault="00EC529D" w:rsidP="00505776">
      <w:pPr>
        <w:pStyle w:val="ParaNumbering"/>
      </w:pPr>
      <w:r w:rsidRPr="000A574A">
        <w:t xml:space="preserve">Work performed was allocated to various tasks or “work streams”, namely Assets, Creditors (in the case of PW </w:t>
      </w:r>
      <w:proofErr w:type="spellStart"/>
      <w:r w:rsidRPr="000A574A">
        <w:t>Kitt</w:t>
      </w:r>
      <w:proofErr w:type="spellEnd"/>
      <w:r w:rsidRPr="000A574A">
        <w:t xml:space="preserve"> </w:t>
      </w:r>
      <w:r w:rsidR="008E7D31">
        <w:t xml:space="preserve">Co </w:t>
      </w:r>
      <w:r w:rsidRPr="000A574A">
        <w:t>only), Investigations and Statutory and Administration</w:t>
      </w:r>
      <w:r w:rsidR="00660B89" w:rsidRPr="000A574A">
        <w:t>.</w:t>
      </w:r>
    </w:p>
    <w:p w:rsidR="00EC529D" w:rsidRDefault="00EC529D" w:rsidP="00505776">
      <w:pPr>
        <w:pStyle w:val="Heading2"/>
      </w:pPr>
      <w:r w:rsidRPr="00505776">
        <w:t>Staffing of Receivership</w:t>
      </w:r>
      <w:r w:rsidR="00FE6B76">
        <w:t xml:space="preserve"> </w:t>
      </w:r>
    </w:p>
    <w:p w:rsidR="00FE6B76" w:rsidRDefault="00FE6B76" w:rsidP="00505776">
      <w:pPr>
        <w:pStyle w:val="ParaNumbering"/>
      </w:pPr>
      <w:r>
        <w:t xml:space="preserve">Remuneration was claimed </w:t>
      </w:r>
      <w:r w:rsidR="008E7D31">
        <w:t>on the basis of</w:t>
      </w:r>
      <w:r>
        <w:t xml:space="preserve"> time entries recorded by </w:t>
      </w:r>
      <w:proofErr w:type="spellStart"/>
      <w:r>
        <w:t>McGrathNicol</w:t>
      </w:r>
      <w:proofErr w:type="spellEnd"/>
      <w:r>
        <w:t xml:space="preserve"> staff at their respective hourly rates.</w:t>
      </w:r>
      <w:r w:rsidR="00D75CEF">
        <w:t xml:space="preserve"> </w:t>
      </w:r>
      <w:r w:rsidR="008E7D31">
        <w:t xml:space="preserve"> </w:t>
      </w:r>
      <w:r>
        <w:t xml:space="preserve">On a monthly basis </w:t>
      </w:r>
      <w:r w:rsidR="002A136F">
        <w:t xml:space="preserve">Mr </w:t>
      </w:r>
      <w:r>
        <w:t xml:space="preserve">Hill </w:t>
      </w:r>
      <w:r w:rsidR="00DE6589">
        <w:t>and another member of his staff</w:t>
      </w:r>
      <w:r>
        <w:t xml:space="preserve"> would review the time entries recorded to be satisfied that the time recorded was reasonable and commensurate with the nature of the work performed.</w:t>
      </w:r>
      <w:r w:rsidR="00D75CEF">
        <w:t xml:space="preserve"> </w:t>
      </w:r>
      <w:r w:rsidR="008E7D31">
        <w:t xml:space="preserve"> </w:t>
      </w:r>
      <w:r>
        <w:t>If the time recorded was not considered to be reasonable, it was reduced to reflect the amount Mr Hill considered appropriate.</w:t>
      </w:r>
    </w:p>
    <w:p w:rsidR="00FE6B76" w:rsidRPr="00505776" w:rsidRDefault="00FE6B76" w:rsidP="00505776">
      <w:pPr>
        <w:pStyle w:val="Heading2"/>
      </w:pPr>
      <w:r w:rsidRPr="00505776">
        <w:lastRenderedPageBreak/>
        <w:t>Complexity of work undertaken</w:t>
      </w:r>
    </w:p>
    <w:p w:rsidR="00595859" w:rsidRDefault="009F19D3" w:rsidP="00505776">
      <w:pPr>
        <w:pStyle w:val="ParaNumbering"/>
      </w:pPr>
      <w:r>
        <w:t xml:space="preserve">The Receivers were also required to conduct external investigations to attempt to obtain and verify information concerning the property and affairs of PW </w:t>
      </w:r>
      <w:proofErr w:type="spellStart"/>
      <w:r>
        <w:t>Kitt</w:t>
      </w:r>
      <w:proofErr w:type="spellEnd"/>
      <w:r w:rsidR="008E7D31">
        <w:t xml:space="preserve"> Co</w:t>
      </w:r>
      <w:r>
        <w:t xml:space="preserve">, which was provided by ASIC by way of affidavits filed in this proceeding. </w:t>
      </w:r>
      <w:r w:rsidR="008E7D31">
        <w:t xml:space="preserve"> </w:t>
      </w:r>
      <w:r>
        <w:t>Further, a</w:t>
      </w:r>
      <w:r w:rsidR="00184DC5">
        <w:t xml:space="preserve"> number of investors contacted the Receivers and their staff concerning the nature of their investments.</w:t>
      </w:r>
      <w:r w:rsidR="00D75CEF">
        <w:t xml:space="preserve"> </w:t>
      </w:r>
      <w:r w:rsidR="008E7D31">
        <w:t xml:space="preserve"> </w:t>
      </w:r>
      <w:r w:rsidR="00184DC5">
        <w:t xml:space="preserve">The Receivers were required to review material to determine the manner in which investments were made, to understand how PW </w:t>
      </w:r>
      <w:proofErr w:type="spellStart"/>
      <w:r w:rsidR="00184DC5">
        <w:t>Kitt</w:t>
      </w:r>
      <w:proofErr w:type="spellEnd"/>
      <w:r w:rsidR="00184DC5">
        <w:t xml:space="preserve"> </w:t>
      </w:r>
      <w:r w:rsidR="008E7D31">
        <w:t xml:space="preserve">Co </w:t>
      </w:r>
      <w:r w:rsidR="00184DC5">
        <w:t xml:space="preserve">conducted its affairs and identify the persons and entities associated with the conduct. </w:t>
      </w:r>
    </w:p>
    <w:p w:rsidR="003F6A75" w:rsidRDefault="003F6A75">
      <w:pPr>
        <w:pStyle w:val="ParaNumbering"/>
      </w:pPr>
      <w:r>
        <w:t>Investigations undertaken</w:t>
      </w:r>
      <w:r w:rsidR="008E7D31">
        <w:t xml:space="preserve"> by the Receivers</w:t>
      </w:r>
      <w:r>
        <w:t xml:space="preserve"> included </w:t>
      </w:r>
      <w:r w:rsidR="008E7D31">
        <w:t xml:space="preserve">making </w:t>
      </w:r>
      <w:r>
        <w:t>enquiries into:</w:t>
      </w:r>
    </w:p>
    <w:p w:rsidR="003F6A75" w:rsidRDefault="003F6A75" w:rsidP="00505776">
      <w:pPr>
        <w:pStyle w:val="ListNo1"/>
        <w:numPr>
          <w:ilvl w:val="0"/>
          <w:numId w:val="38"/>
        </w:numPr>
      </w:pPr>
      <w:r>
        <w:t xml:space="preserve">dealings with six companies, entities or persons that may be related to PW </w:t>
      </w:r>
      <w:proofErr w:type="spellStart"/>
      <w:r>
        <w:t>Kitt</w:t>
      </w:r>
      <w:proofErr w:type="spellEnd"/>
      <w:r>
        <w:t xml:space="preserve"> </w:t>
      </w:r>
      <w:r w:rsidR="006556AF">
        <w:t xml:space="preserve">Co </w:t>
      </w:r>
      <w:r>
        <w:t xml:space="preserve">or </w:t>
      </w:r>
      <w:r w:rsidR="006556AF">
        <w:t xml:space="preserve">Mr </w:t>
      </w:r>
      <w:r>
        <w:t xml:space="preserve">Dawson; </w:t>
      </w:r>
    </w:p>
    <w:p w:rsidR="003F6A75" w:rsidRDefault="003F6A75" w:rsidP="00BE1FDC">
      <w:pPr>
        <w:pStyle w:val="ListNo1"/>
        <w:numPr>
          <w:ilvl w:val="0"/>
          <w:numId w:val="38"/>
        </w:numPr>
      </w:pPr>
      <w:r>
        <w:t>a significant proportion of moneys transferred overseas; and</w:t>
      </w:r>
    </w:p>
    <w:p w:rsidR="003F6A75" w:rsidRDefault="003F6A75" w:rsidP="00BE1FDC">
      <w:pPr>
        <w:pStyle w:val="ListNo1"/>
        <w:numPr>
          <w:ilvl w:val="0"/>
          <w:numId w:val="38"/>
        </w:numPr>
      </w:pPr>
      <w:r>
        <w:t>purchases of Bitcoin made in Australia and Indonesia.</w:t>
      </w:r>
    </w:p>
    <w:p w:rsidR="003F6A75" w:rsidRPr="00505776" w:rsidRDefault="003F6A75" w:rsidP="00505776">
      <w:pPr>
        <w:pStyle w:val="Heading2"/>
      </w:pPr>
      <w:r w:rsidRPr="00505776">
        <w:t>Reasonableness and necessity of work performed</w:t>
      </w:r>
    </w:p>
    <w:p w:rsidR="003F6A75" w:rsidRDefault="003F6A75">
      <w:pPr>
        <w:pStyle w:val="ParaNumbering"/>
      </w:pPr>
      <w:r>
        <w:t xml:space="preserve">The hourly rates charged were those applicable to </w:t>
      </w:r>
      <w:proofErr w:type="spellStart"/>
      <w:r>
        <w:t>McGrathNicol’s</w:t>
      </w:r>
      <w:proofErr w:type="spellEnd"/>
      <w:r>
        <w:t xml:space="preserve"> professional staff.</w:t>
      </w:r>
      <w:r w:rsidR="00D75CEF">
        <w:t xml:space="preserve"> </w:t>
      </w:r>
      <w:r w:rsidR="008E7D31">
        <w:t xml:space="preserve"> </w:t>
      </w:r>
      <w:r>
        <w:t>These rates were reasonable having regard to, amongst other things, the experience and professional qualifications of the relevant staff member and the nature and complexity of the work performed.</w:t>
      </w:r>
      <w:r w:rsidR="006556AF">
        <w:t xml:space="preserve"> </w:t>
      </w:r>
      <w:r w:rsidR="00D75CEF">
        <w:t xml:space="preserve"> </w:t>
      </w:r>
      <w:r>
        <w:t xml:space="preserve">The work was carried out in a timely fashion, to a high standard and without unnecessary duplication. </w:t>
      </w:r>
    </w:p>
    <w:p w:rsidR="00595859" w:rsidRDefault="008E7D31">
      <w:pPr>
        <w:pStyle w:val="ParaNumbering"/>
      </w:pPr>
      <w:r>
        <w:t>T</w:t>
      </w:r>
      <w:r w:rsidR="00595859">
        <w:t xml:space="preserve">aking into consideration the matters referred in s 425(8) of the Act, in conjunction with the </w:t>
      </w:r>
      <w:r>
        <w:t xml:space="preserve">material deposed in the </w:t>
      </w:r>
      <w:r w:rsidR="00595859">
        <w:t>affidavits relied on, it is apparent that the remuneration claimed is reasonable and proportionate to the tasks required to be undertaken by the Receivers.</w:t>
      </w:r>
    </w:p>
    <w:p w:rsidR="00ED76C2" w:rsidRDefault="008E7D31" w:rsidP="00880E15">
      <w:pPr>
        <w:pStyle w:val="ParaNumbering"/>
      </w:pPr>
      <w:r>
        <w:t xml:space="preserve">Further, </w:t>
      </w:r>
      <w:r w:rsidR="00DC4E9B">
        <w:t>Mr Hill, in his Second Affidavit,</w:t>
      </w:r>
      <w:r w:rsidR="003D1726">
        <w:t xml:space="preserve"> </w:t>
      </w:r>
      <w:r w:rsidR="00DC4E9B">
        <w:t xml:space="preserve">deposes </w:t>
      </w:r>
      <w:r w:rsidR="00ED76C2">
        <w:t>the basis upon which time was allocated between the two receiverships</w:t>
      </w:r>
      <w:r w:rsidR="003D1726">
        <w:t xml:space="preserve"> as well as how fees were apportioned</w:t>
      </w:r>
      <w:r w:rsidR="00ED76C2">
        <w:t>, namely:</w:t>
      </w:r>
    </w:p>
    <w:p w:rsidR="00ED76C2" w:rsidRDefault="00ED76C2" w:rsidP="00B21878">
      <w:pPr>
        <w:pStyle w:val="ListNo1"/>
        <w:numPr>
          <w:ilvl w:val="0"/>
          <w:numId w:val="34"/>
        </w:numPr>
      </w:pPr>
      <w:r>
        <w:t xml:space="preserve">all work associated with the Creditors </w:t>
      </w:r>
      <w:r w:rsidR="00B24D90">
        <w:t>work stream</w:t>
      </w:r>
      <w:r>
        <w:t xml:space="preserve"> was allocated to PW </w:t>
      </w:r>
      <w:proofErr w:type="spellStart"/>
      <w:r>
        <w:t>Kitt</w:t>
      </w:r>
      <w:proofErr w:type="spellEnd"/>
      <w:r>
        <w:t xml:space="preserve"> </w:t>
      </w:r>
      <w:r w:rsidR="008E7D31">
        <w:t xml:space="preserve">Co </w:t>
      </w:r>
      <w:r>
        <w:t xml:space="preserve">as </w:t>
      </w:r>
      <w:r w:rsidR="008E7D31">
        <w:t xml:space="preserve">Mr </w:t>
      </w:r>
      <w:r>
        <w:t>Dawson did not have any creditors;</w:t>
      </w:r>
    </w:p>
    <w:p w:rsidR="00ED76C2" w:rsidRDefault="00ED76C2" w:rsidP="00B21878">
      <w:pPr>
        <w:pStyle w:val="ListNo1"/>
        <w:numPr>
          <w:ilvl w:val="0"/>
          <w:numId w:val="34"/>
        </w:numPr>
      </w:pPr>
      <w:r>
        <w:t xml:space="preserve">all work associated with </w:t>
      </w:r>
      <w:r w:rsidR="00D5355E">
        <w:t xml:space="preserve">the </w:t>
      </w:r>
      <w:r>
        <w:t xml:space="preserve">Investigations </w:t>
      </w:r>
      <w:r w:rsidR="00D5355E">
        <w:t xml:space="preserve">work stream </w:t>
      </w:r>
      <w:r>
        <w:t xml:space="preserve">was allocated to PW </w:t>
      </w:r>
      <w:proofErr w:type="spellStart"/>
      <w:r>
        <w:t>Kitt</w:t>
      </w:r>
      <w:proofErr w:type="spellEnd"/>
      <w:r w:rsidR="008E7D31">
        <w:t xml:space="preserve"> Co</w:t>
      </w:r>
      <w:r>
        <w:t>, with four exceptions</w:t>
      </w:r>
      <w:r w:rsidR="00A017FA">
        <w:t xml:space="preserve"> </w:t>
      </w:r>
      <w:r>
        <w:t xml:space="preserve">related to dealing with </w:t>
      </w:r>
      <w:r w:rsidR="008E7D31">
        <w:t xml:space="preserve">Mr </w:t>
      </w:r>
      <w:r>
        <w:t xml:space="preserve">Dawson’s and PW </w:t>
      </w:r>
      <w:proofErr w:type="spellStart"/>
      <w:r>
        <w:t>Kitt</w:t>
      </w:r>
      <w:proofErr w:type="spellEnd"/>
      <w:r w:rsidR="008E7D31">
        <w:t xml:space="preserve"> </w:t>
      </w:r>
      <w:proofErr w:type="spellStart"/>
      <w:r w:rsidR="008E7D31">
        <w:t>Co</w:t>
      </w:r>
      <w:r>
        <w:t>’s</w:t>
      </w:r>
      <w:proofErr w:type="spellEnd"/>
      <w:r>
        <w:t xml:space="preserve"> solicitors and with </w:t>
      </w:r>
      <w:r w:rsidR="008E7D31">
        <w:t xml:space="preserve">Mr </w:t>
      </w:r>
      <w:r>
        <w:t>Dawson’s insurance;</w:t>
      </w:r>
    </w:p>
    <w:p w:rsidR="00ED76C2" w:rsidRDefault="00ED76C2" w:rsidP="00B21878">
      <w:pPr>
        <w:pStyle w:val="ListNo1"/>
        <w:numPr>
          <w:ilvl w:val="0"/>
          <w:numId w:val="34"/>
        </w:numPr>
      </w:pPr>
      <w:r>
        <w:lastRenderedPageBreak/>
        <w:t xml:space="preserve">the majority of time associated with tasks </w:t>
      </w:r>
      <w:r w:rsidR="006556AF">
        <w:t xml:space="preserve">performed in the Statutory and Administration work stream </w:t>
      </w:r>
      <w:r>
        <w:t xml:space="preserve">was allocated to PW </w:t>
      </w:r>
      <w:proofErr w:type="spellStart"/>
      <w:r>
        <w:t>Kitt</w:t>
      </w:r>
      <w:proofErr w:type="spellEnd"/>
      <w:r w:rsidR="008E7D31">
        <w:t xml:space="preserve"> Co</w:t>
      </w:r>
      <w:r>
        <w:t xml:space="preserve">, because most was only relevant to PW </w:t>
      </w:r>
      <w:proofErr w:type="spellStart"/>
      <w:r>
        <w:t>Kitt</w:t>
      </w:r>
      <w:proofErr w:type="spellEnd"/>
      <w:r w:rsidR="008E7D31">
        <w:t xml:space="preserve"> Co</w:t>
      </w:r>
      <w:r>
        <w:t>;</w:t>
      </w:r>
    </w:p>
    <w:p w:rsidR="00ED76C2" w:rsidRDefault="00ED76C2" w:rsidP="00B21878">
      <w:pPr>
        <w:pStyle w:val="ListNo1"/>
        <w:numPr>
          <w:ilvl w:val="0"/>
          <w:numId w:val="34"/>
        </w:numPr>
      </w:pPr>
      <w:r>
        <w:t xml:space="preserve">time relevant to reviewing bank accounts was apportioned 80% to PW </w:t>
      </w:r>
      <w:proofErr w:type="spellStart"/>
      <w:r>
        <w:t>Kitt</w:t>
      </w:r>
      <w:proofErr w:type="spellEnd"/>
      <w:r w:rsidR="008E7D31">
        <w:t xml:space="preserve"> Co</w:t>
      </w:r>
      <w:r>
        <w:t xml:space="preserve"> and 20% to </w:t>
      </w:r>
      <w:r w:rsidR="008E7D31">
        <w:t xml:space="preserve">Mr </w:t>
      </w:r>
      <w:r>
        <w:t xml:space="preserve">Dawson as PW </w:t>
      </w:r>
      <w:proofErr w:type="spellStart"/>
      <w:r>
        <w:t>Kitt</w:t>
      </w:r>
      <w:proofErr w:type="spellEnd"/>
      <w:r>
        <w:t xml:space="preserve"> </w:t>
      </w:r>
      <w:r w:rsidR="008E7D31">
        <w:t xml:space="preserve">Co </w:t>
      </w:r>
      <w:r>
        <w:t xml:space="preserve">had 10 bank accounts to be reviewed </w:t>
      </w:r>
      <w:r w:rsidR="00B24D90">
        <w:t xml:space="preserve">as compared </w:t>
      </w:r>
      <w:r>
        <w:t xml:space="preserve">to </w:t>
      </w:r>
      <w:r w:rsidR="006556AF">
        <w:t xml:space="preserve">Mr </w:t>
      </w:r>
      <w:r>
        <w:t>Dawson’s three;</w:t>
      </w:r>
    </w:p>
    <w:p w:rsidR="00ED76C2" w:rsidRDefault="00ED76C2" w:rsidP="00B21878">
      <w:pPr>
        <w:pStyle w:val="ListNo1"/>
        <w:numPr>
          <w:ilvl w:val="0"/>
          <w:numId w:val="34"/>
        </w:numPr>
      </w:pPr>
      <w:r>
        <w:t xml:space="preserve">time relevant to corresponding with the Australian Taxation Office, PW </w:t>
      </w:r>
      <w:proofErr w:type="spellStart"/>
      <w:r>
        <w:t>Kitt</w:t>
      </w:r>
      <w:proofErr w:type="spellEnd"/>
      <w:r w:rsidR="00307F2F">
        <w:t xml:space="preserve"> </w:t>
      </w:r>
      <w:proofErr w:type="spellStart"/>
      <w:r w:rsidR="00307F2F">
        <w:t>Co</w:t>
      </w:r>
      <w:r>
        <w:t>’s</w:t>
      </w:r>
      <w:proofErr w:type="spellEnd"/>
      <w:r>
        <w:t xml:space="preserve"> and </w:t>
      </w:r>
      <w:r w:rsidR="00307F2F">
        <w:t xml:space="preserve">Mr </w:t>
      </w:r>
      <w:r>
        <w:t xml:space="preserve">Dawson’s solicitors and attending a teleconference with </w:t>
      </w:r>
      <w:r w:rsidR="00307F2F">
        <w:t xml:space="preserve">Mr </w:t>
      </w:r>
      <w:r>
        <w:t>Dawson was allocated equally between the receiverships; and</w:t>
      </w:r>
    </w:p>
    <w:p w:rsidR="00880E15" w:rsidRDefault="00ED76C2" w:rsidP="00B21878">
      <w:pPr>
        <w:pStyle w:val="ListNo1"/>
        <w:numPr>
          <w:ilvl w:val="0"/>
          <w:numId w:val="34"/>
        </w:numPr>
      </w:pPr>
      <w:r>
        <w:t xml:space="preserve">time relevant to the administration of </w:t>
      </w:r>
      <w:r w:rsidR="00307F2F">
        <w:t xml:space="preserve">Mr </w:t>
      </w:r>
      <w:r>
        <w:t>Dawson’s insura</w:t>
      </w:r>
      <w:r w:rsidR="00D5355E">
        <w:t xml:space="preserve">nce was allocated solely to </w:t>
      </w:r>
      <w:r w:rsidR="00307F2F">
        <w:t xml:space="preserve">Mr </w:t>
      </w:r>
      <w:r>
        <w:t>Dawson</w:t>
      </w:r>
      <w:r w:rsidR="00307F2F">
        <w:t>’s</w:t>
      </w:r>
      <w:r>
        <w:t xml:space="preserve"> receivership.</w:t>
      </w:r>
    </w:p>
    <w:p w:rsidR="00595859" w:rsidRDefault="00307F2F" w:rsidP="00307F2F">
      <w:pPr>
        <w:pStyle w:val="ParaNumbering"/>
      </w:pPr>
      <w:r>
        <w:t>A</w:t>
      </w:r>
      <w:r w:rsidR="00DC4E9B">
        <w:t xml:space="preserve"> detailed report of the time entries of the Receivers and their staff, attributable to the two receiverships, is </w:t>
      </w:r>
      <w:r>
        <w:t xml:space="preserve">also </w:t>
      </w:r>
      <w:r w:rsidR="00DC4E9B">
        <w:t>ex</w:t>
      </w:r>
      <w:r>
        <w:t xml:space="preserve">hibited to the Second Affidavit.  </w:t>
      </w:r>
      <w:r w:rsidR="007F29E6">
        <w:t xml:space="preserve">In my view, it is clear that the principal work undertaken by the Receivers was in connection with the First Receivership, </w:t>
      </w:r>
      <w:r w:rsidR="007F29E6" w:rsidRPr="00B95E8B">
        <w:t xml:space="preserve">and </w:t>
      </w:r>
      <w:r w:rsidR="007F29E6">
        <w:t>a</w:t>
      </w:r>
      <w:r w:rsidR="007F29E6" w:rsidRPr="00B95E8B">
        <w:t xml:space="preserve"> smaller percentage of the Receiver’s</w:t>
      </w:r>
      <w:r w:rsidR="007F29E6">
        <w:t xml:space="preserve"> work related to the Second Receivership.</w:t>
      </w:r>
      <w:r w:rsidR="00D75CEF">
        <w:t xml:space="preserve"> </w:t>
      </w:r>
    </w:p>
    <w:p w:rsidR="00B50DA7" w:rsidRPr="00505776" w:rsidRDefault="00B50DA7" w:rsidP="00505776">
      <w:pPr>
        <w:pStyle w:val="Heading1"/>
      </w:pPr>
      <w:r w:rsidRPr="00505776">
        <w:t>DISPOSITION</w:t>
      </w:r>
    </w:p>
    <w:p w:rsidR="00595859" w:rsidRDefault="00D27D27" w:rsidP="00D75CEF">
      <w:pPr>
        <w:pStyle w:val="ParaNumbering"/>
      </w:pPr>
      <w:r>
        <w:t>I am therefore satisfied</w:t>
      </w:r>
      <w:r w:rsidR="006556AF">
        <w:t>,</w:t>
      </w:r>
      <w:r>
        <w:t xml:space="preserve"> </w:t>
      </w:r>
      <w:r w:rsidR="00EE03F6">
        <w:t>based on the material</w:t>
      </w:r>
      <w:r w:rsidR="00B21878">
        <w:t xml:space="preserve"> which</w:t>
      </w:r>
      <w:r w:rsidR="00EE03F6">
        <w:t xml:space="preserve"> I have </w:t>
      </w:r>
      <w:r w:rsidR="00B21878">
        <w:t xml:space="preserve">briefly </w:t>
      </w:r>
      <w:r w:rsidR="00EE03F6">
        <w:t xml:space="preserve">summarised above, </w:t>
      </w:r>
      <w:r w:rsidR="00B21878">
        <w:t xml:space="preserve">that </w:t>
      </w:r>
      <w:r>
        <w:t>it is appropriate in this instance to appr</w:t>
      </w:r>
      <w:r w:rsidR="00A76A16">
        <w:t>ove the costs as sought by the R</w:t>
      </w:r>
      <w:r>
        <w:t>eceivers and the division of the costs as between the two receiverships.</w:t>
      </w:r>
      <w:r w:rsidR="006556AF">
        <w:t xml:space="preserve"> </w:t>
      </w:r>
      <w:r w:rsidR="00D75CEF">
        <w:t xml:space="preserve"> </w:t>
      </w:r>
      <w:r w:rsidR="009F19D3">
        <w:t>As a result</w:t>
      </w:r>
      <w:r>
        <w:t xml:space="preserve">, </w:t>
      </w:r>
      <w:r w:rsidR="00307F2F">
        <w:t>I have</w:t>
      </w:r>
      <w:r>
        <w:t xml:space="preserve"> made </w:t>
      </w:r>
      <w:r w:rsidR="00307F2F">
        <w:t xml:space="preserve">orders </w:t>
      </w:r>
      <w:r>
        <w:t xml:space="preserve">in accordance with those sought in the amended </w:t>
      </w:r>
      <w:r w:rsidR="00307F2F">
        <w:t>i</w:t>
      </w:r>
      <w:r>
        <w:t xml:space="preserve">nterlocutory </w:t>
      </w:r>
      <w:r w:rsidR="00307F2F">
        <w:t>a</w:t>
      </w:r>
      <w:r w:rsidR="00EE03F6">
        <w:t>pplication</w:t>
      </w:r>
      <w:r>
        <w:t xml:space="preserve">, including the order that the costs of this application be paid from the assets of the </w:t>
      </w:r>
      <w:r w:rsidR="00DC4E9B">
        <w:t>S</w:t>
      </w:r>
      <w:r>
        <w:t xml:space="preserve">econd </w:t>
      </w:r>
      <w:r w:rsidR="00DC4E9B">
        <w:t>D</w:t>
      </w:r>
      <w:r>
        <w:t xml:space="preserve">efendant, namely PW </w:t>
      </w:r>
      <w:proofErr w:type="spellStart"/>
      <w:r>
        <w:t>Kitt</w:t>
      </w:r>
      <w:proofErr w:type="spellEnd"/>
      <w:r>
        <w:t xml:space="preserve"> Co. </w:t>
      </w:r>
      <w:bookmarkStart w:id="27" w:name="Certification"/>
      <w:bookmarkEnd w:id="23"/>
    </w:p>
    <w:tbl>
      <w:tblPr>
        <w:tblW w:w="0" w:type="auto"/>
        <w:tblLook w:val="04A0" w:firstRow="1" w:lastRow="0" w:firstColumn="1" w:lastColumn="0" w:noHBand="0" w:noVBand="1"/>
      </w:tblPr>
      <w:tblGrid>
        <w:gridCol w:w="3794"/>
      </w:tblGrid>
      <w:tr w:rsidR="00595859" w:rsidRPr="00595859">
        <w:tc>
          <w:tcPr>
            <w:tcW w:w="3794" w:type="dxa"/>
            <w:shd w:val="clear" w:color="auto" w:fill="auto"/>
          </w:tcPr>
          <w:p w:rsidR="00595859" w:rsidRPr="00595859" w:rsidRDefault="00595859" w:rsidP="00505776">
            <w:r w:rsidRPr="00595859">
              <w:t xml:space="preserve">I certify that the preceding </w:t>
            </w:r>
            <w:bookmarkStart w:id="28" w:name="NumberWord"/>
            <w:r w:rsidR="00DE0433">
              <w:t>twenty-one</w:t>
            </w:r>
            <w:bookmarkEnd w:id="28"/>
            <w:r w:rsidRPr="00595859">
              <w:t xml:space="preserve"> (</w:t>
            </w:r>
            <w:bookmarkStart w:id="29" w:name="NumberNumeral"/>
            <w:r w:rsidR="00DE0433">
              <w:t>21</w:t>
            </w:r>
            <w:bookmarkEnd w:id="29"/>
            <w:r w:rsidRPr="00595859">
              <w:t xml:space="preserve">) numbered </w:t>
            </w:r>
            <w:bookmarkStart w:id="30" w:name="CertPara"/>
            <w:r w:rsidR="00DE0433">
              <w:t>paragraphs are</w:t>
            </w:r>
            <w:bookmarkEnd w:id="30"/>
            <w:r w:rsidRPr="00595859">
              <w:t xml:space="preserve"> a true copy of the Reasons for Judgment of </w:t>
            </w:r>
            <w:bookmarkStart w:id="31" w:name="bkHonourable"/>
            <w:r w:rsidRPr="00595859">
              <w:t xml:space="preserve">the Honourable </w:t>
            </w:r>
            <w:bookmarkStart w:id="32" w:name="Justice"/>
            <w:bookmarkEnd w:id="31"/>
            <w:r w:rsidR="00DE0433">
              <w:t>Justice Anastassiou</w:t>
            </w:r>
            <w:bookmarkEnd w:id="32"/>
            <w:r w:rsidRPr="00595859">
              <w:t>.</w:t>
            </w:r>
          </w:p>
        </w:tc>
      </w:tr>
    </w:tbl>
    <w:p w:rsidR="00595859" w:rsidRDefault="00595859" w:rsidP="00D75CEF">
      <w:pPr>
        <w:pStyle w:val="BodyText"/>
      </w:pPr>
    </w:p>
    <w:p w:rsidR="00595859" w:rsidRDefault="00595859" w:rsidP="00505776">
      <w:pPr>
        <w:pStyle w:val="BodyText"/>
        <w:tabs>
          <w:tab w:val="left" w:pos="2026"/>
        </w:tabs>
      </w:pPr>
      <w:r>
        <w:t>Associate:</w:t>
      </w:r>
      <w:r w:rsidR="007042EC">
        <w:tab/>
      </w:r>
    </w:p>
    <w:p w:rsidR="007042EC" w:rsidRDefault="007042EC" w:rsidP="00505776">
      <w:pPr>
        <w:pStyle w:val="BodyText"/>
        <w:tabs>
          <w:tab w:val="left" w:pos="2026"/>
        </w:tabs>
      </w:pPr>
      <w:bookmarkStart w:id="33" w:name="_GoBack"/>
      <w:bookmarkEnd w:id="33"/>
    </w:p>
    <w:p w:rsidR="00595859" w:rsidRDefault="00595859" w:rsidP="00D75CEF">
      <w:pPr>
        <w:pStyle w:val="BodyText"/>
      </w:pPr>
    </w:p>
    <w:p w:rsidR="00595859" w:rsidRDefault="00595859" w:rsidP="00DE0433">
      <w:pPr>
        <w:pStyle w:val="BodyText"/>
        <w:tabs>
          <w:tab w:val="left" w:pos="1134"/>
        </w:tabs>
      </w:pPr>
      <w:r>
        <w:t>Dated:</w:t>
      </w:r>
      <w:r>
        <w:tab/>
      </w:r>
      <w:bookmarkStart w:id="34" w:name="CertifyDated"/>
      <w:r w:rsidR="00DE0433">
        <w:t>1 April 2021</w:t>
      </w:r>
      <w:bookmarkEnd w:id="34"/>
      <w:bookmarkEnd w:id="27"/>
    </w:p>
    <w:sectPr w:rsidR="00595859"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CEF" w:rsidRDefault="00D75CEF">
      <w:pPr>
        <w:spacing w:line="20" w:lineRule="exact"/>
      </w:pPr>
    </w:p>
    <w:p w:rsidR="00D75CEF" w:rsidRDefault="00D75CEF"/>
    <w:p w:rsidR="00D75CEF" w:rsidRDefault="00D75CEF"/>
  </w:endnote>
  <w:endnote w:type="continuationSeparator" w:id="0">
    <w:p w:rsidR="00D75CEF" w:rsidRDefault="00D75CEF">
      <w:r>
        <w:t xml:space="preserve"> </w:t>
      </w:r>
    </w:p>
    <w:p w:rsidR="00D75CEF" w:rsidRDefault="00D75CEF"/>
    <w:p w:rsidR="00D75CEF" w:rsidRDefault="00D75CEF"/>
  </w:endnote>
  <w:endnote w:type="continuationNotice" w:id="1">
    <w:p w:rsidR="00D75CEF" w:rsidRDefault="00D75CEF">
      <w:r>
        <w:t xml:space="preserve"> </w:t>
      </w:r>
    </w:p>
    <w:p w:rsidR="00D75CEF" w:rsidRDefault="00D75CEF"/>
    <w:p w:rsidR="00D75CEF" w:rsidRDefault="00D75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Pr="00C47B9D" w:rsidRDefault="00D75CE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C5C5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256BC1">
          <w:rPr>
            <w:bCs/>
            <w:sz w:val="18"/>
            <w:szCs w:val="18"/>
          </w:rPr>
          <w:t xml:space="preserve"> Australian Securities and Investments Commission v Dawson [2021] FCA 301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Pr="00C47B9D" w:rsidRDefault="00D75CEF"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BA91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BE38A1226B54944BCC82C78C55F1848"/>
        </w:placeholder>
        <w:dataBinding w:prefixMappings="xmlns:ns0='http://schemas.globalmacros.com/FCA'" w:xpath="/ns0:root[1]/ns0:Name[1]" w:storeItemID="{687E7CCB-4AA5-44E7-B148-17BA2B6F57C0}"/>
        <w:text w:multiLine="1"/>
      </w:sdtPr>
      <w:sdtEndPr/>
      <w:sdtContent>
        <w:r w:rsidR="00256BC1">
          <w:rPr>
            <w:bCs/>
            <w:sz w:val="18"/>
            <w:szCs w:val="18"/>
          </w:rPr>
          <w:t xml:space="preserve"> Australian Securities and Investments Commission v Dawson [2021] FCA 301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Pr="00C47B9D" w:rsidRDefault="00D75CE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C88F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07D2F654EE98499B87D31B8C110E821A"/>
        </w:placeholder>
        <w:dataBinding w:prefixMappings="xmlns:ns0='http://schemas.globalmacros.com/FCA'" w:xpath="/ns0:root[1]/ns0:Name[1]" w:storeItemID="{687E7CCB-4AA5-44E7-B148-17BA2B6F57C0}"/>
        <w:text w:multiLine="1"/>
      </w:sdtPr>
      <w:sdtEndPr/>
      <w:sdtContent>
        <w:r w:rsidR="00256BC1">
          <w:rPr>
            <w:bCs/>
            <w:sz w:val="18"/>
            <w:szCs w:val="18"/>
          </w:rPr>
          <w:t xml:space="preserve"> Australian Securities and Investments Commission v Dawson [2021] FCA 301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A7A41">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Pr="00C47B9D" w:rsidRDefault="00D75CE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896F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457635A5F84B4486A6485CFF6D199A6B"/>
        </w:placeholder>
        <w:dataBinding w:prefixMappings="xmlns:ns0='http://schemas.globalmacros.com/FCA'" w:xpath="/ns0:root[1]/ns0:Name[1]" w:storeItemID="{687E7CCB-4AA5-44E7-B148-17BA2B6F57C0}"/>
        <w:text w:multiLine="1"/>
      </w:sdtPr>
      <w:sdtEndPr/>
      <w:sdtContent>
        <w:r w:rsidR="00256BC1">
          <w:rPr>
            <w:bCs/>
            <w:sz w:val="18"/>
            <w:szCs w:val="18"/>
          </w:rPr>
          <w:t xml:space="preserve"> Australian Securities and Investments Commission v Dawson [2021] FCA 301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456F8">
      <w:rPr>
        <w:bCs/>
        <w:noProof/>
        <w:sz w:val="20"/>
      </w:rPr>
      <w:t>5</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Pr="00C47B9D" w:rsidRDefault="00D75CE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E1FDD"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2DF99301D62948F5B206E423FF9E1495"/>
        </w:placeholder>
        <w:dataBinding w:prefixMappings="xmlns:ns0='http://schemas.globalmacros.com/FCA'" w:xpath="/ns0:root[1]/ns0:Name[1]" w:storeItemID="{687E7CCB-4AA5-44E7-B148-17BA2B6F57C0}"/>
        <w:text w:multiLine="1"/>
      </w:sdtPr>
      <w:sdtEndPr/>
      <w:sdtContent>
        <w:r w:rsidR="00256BC1">
          <w:rPr>
            <w:bCs/>
            <w:sz w:val="18"/>
            <w:szCs w:val="18"/>
          </w:rPr>
          <w:t xml:space="preserve"> Australian Securities and Investments Commission v Dawson [2021] FCA 301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A7A41">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CEF" w:rsidRDefault="00D75CEF"/>
    <w:p w:rsidR="00D75CEF" w:rsidRDefault="00D75CEF"/>
    <w:p w:rsidR="00D75CEF" w:rsidRDefault="00D75CEF"/>
  </w:footnote>
  <w:footnote w:type="continuationSeparator" w:id="0">
    <w:p w:rsidR="00D75CEF" w:rsidRDefault="00D75CEF">
      <w:r>
        <w:continuationSeparator/>
      </w:r>
    </w:p>
    <w:p w:rsidR="00D75CEF" w:rsidRDefault="00D75CEF"/>
    <w:p w:rsidR="00D75CEF" w:rsidRDefault="00D75C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Default="00D75CEF">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Default="00D75CEF">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Default="00D75C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Default="00D75CEF">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EF" w:rsidRDefault="00D75CEF"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2537"/>
        </w:tabs>
        <w:ind w:left="2537" w:hanging="720"/>
      </w:pPr>
      <w:rPr>
        <w:rFonts w:ascii="Times New Roman" w:hAnsi="Times New Roman" w:hint="default"/>
      </w:rPr>
    </w:lvl>
    <w:lvl w:ilvl="1">
      <w:start w:val="1"/>
      <w:numFmt w:val="lowerRoman"/>
      <w:pStyle w:val="ListNo2alt"/>
      <w:lvlText w:val="(%2)"/>
      <w:lvlJc w:val="left"/>
      <w:pPr>
        <w:tabs>
          <w:tab w:val="num" w:pos="3257"/>
        </w:tabs>
        <w:ind w:left="3257" w:hanging="720"/>
      </w:pPr>
      <w:rPr>
        <w:rFonts w:hint="default"/>
      </w:rPr>
    </w:lvl>
    <w:lvl w:ilvl="2">
      <w:start w:val="1"/>
      <w:numFmt w:val="upperLetter"/>
      <w:pStyle w:val="ListNo3alt"/>
      <w:lvlText w:val="(%3)"/>
      <w:lvlJc w:val="left"/>
      <w:pPr>
        <w:tabs>
          <w:tab w:val="num" w:pos="3977"/>
        </w:tabs>
        <w:ind w:left="3977" w:hanging="720"/>
      </w:pPr>
      <w:rPr>
        <w:rFonts w:hint="default"/>
      </w:rPr>
    </w:lvl>
    <w:lvl w:ilvl="3">
      <w:numFmt w:val="none"/>
      <w:lvlRestart w:val="0"/>
      <w:suff w:val="nothing"/>
      <w:lvlText w:val=""/>
      <w:lvlJc w:val="left"/>
      <w:pPr>
        <w:ind w:left="-30950" w:firstLine="0"/>
      </w:pPr>
      <w:rPr>
        <w:rFonts w:hint="default"/>
      </w:rPr>
    </w:lvl>
    <w:lvl w:ilvl="4">
      <w:start w:val="1"/>
      <w:numFmt w:val="none"/>
      <w:lvlRestart w:val="0"/>
      <w:suff w:val="nothing"/>
      <w:lvlText w:val=""/>
      <w:lvlJc w:val="left"/>
      <w:pPr>
        <w:ind w:left="-30950" w:firstLine="0"/>
      </w:pPr>
      <w:rPr>
        <w:rFonts w:hint="default"/>
      </w:rPr>
    </w:lvl>
    <w:lvl w:ilvl="5">
      <w:start w:val="1"/>
      <w:numFmt w:val="none"/>
      <w:lvlRestart w:val="0"/>
      <w:suff w:val="nothing"/>
      <w:lvlText w:val=""/>
      <w:lvlJc w:val="left"/>
      <w:pPr>
        <w:ind w:left="-30950" w:firstLine="0"/>
      </w:pPr>
      <w:rPr>
        <w:rFonts w:hint="default"/>
      </w:rPr>
    </w:lvl>
    <w:lvl w:ilvl="6">
      <w:start w:val="1"/>
      <w:numFmt w:val="none"/>
      <w:lvlRestart w:val="0"/>
      <w:suff w:val="nothing"/>
      <w:lvlText w:val=""/>
      <w:lvlJc w:val="left"/>
      <w:pPr>
        <w:ind w:left="-30950" w:firstLine="0"/>
      </w:pPr>
      <w:rPr>
        <w:rFonts w:hint="default"/>
      </w:rPr>
    </w:lvl>
    <w:lvl w:ilvl="7">
      <w:start w:val="1"/>
      <w:numFmt w:val="none"/>
      <w:lvlRestart w:val="0"/>
      <w:suff w:val="nothing"/>
      <w:lvlText w:val=""/>
      <w:lvlJc w:val="left"/>
      <w:pPr>
        <w:ind w:left="-30950" w:firstLine="0"/>
      </w:pPr>
      <w:rPr>
        <w:rFonts w:hint="default"/>
      </w:rPr>
    </w:lvl>
    <w:lvl w:ilvl="8">
      <w:start w:val="1"/>
      <w:numFmt w:val="none"/>
      <w:lvlRestart w:val="0"/>
      <w:suff w:val="nothing"/>
      <w:lvlText w:val=""/>
      <w:lvlJc w:val="left"/>
      <w:pPr>
        <w:ind w:left="-30950"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091C97"/>
    <w:multiLevelType w:val="hybridMultilevel"/>
    <w:tmpl w:val="5B6CB794"/>
    <w:lvl w:ilvl="0" w:tplc="E32CD274">
      <w:start w:val="1"/>
      <w:numFmt w:val="decimal"/>
      <w:lvlText w:val="(%1)"/>
      <w:lvlJc w:val="left"/>
      <w:pPr>
        <w:ind w:left="1817" w:hanging="375"/>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13"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8614B27"/>
    <w:multiLevelType w:val="hybridMultilevel"/>
    <w:tmpl w:val="BA1095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2E4C4FA8"/>
    <w:multiLevelType w:val="hybridMultilevel"/>
    <w:tmpl w:val="52784C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A8C1070"/>
    <w:multiLevelType w:val="hybridMultilevel"/>
    <w:tmpl w:val="95DEE24C"/>
    <w:lvl w:ilvl="0" w:tplc="2F322212">
      <w:start w:val="8"/>
      <w:numFmt w:val="decimal"/>
      <w:lvlText w:val="(%1)"/>
      <w:lvlJc w:val="left"/>
      <w:pPr>
        <w:ind w:left="1817" w:hanging="375"/>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5B215F"/>
    <w:multiLevelType w:val="hybridMultilevel"/>
    <w:tmpl w:val="DEC244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9F35E88"/>
    <w:multiLevelType w:val="hybridMultilevel"/>
    <w:tmpl w:val="B07C372A"/>
    <w:lvl w:ilvl="0" w:tplc="2F322212">
      <w:start w:val="8"/>
      <w:numFmt w:val="decimal"/>
      <w:lvlText w:val="(%1)"/>
      <w:lvlJc w:val="left"/>
      <w:pPr>
        <w:ind w:left="1817" w:hanging="375"/>
      </w:pPr>
      <w:rPr>
        <w:rFonts w:hint="default"/>
      </w:rPr>
    </w:lvl>
    <w:lvl w:ilvl="1" w:tplc="0C090019">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2"/>
  </w:num>
  <w:num w:numId="15">
    <w:abstractNumId w:val="23"/>
  </w:num>
  <w:num w:numId="16">
    <w:abstractNumId w:val="29"/>
  </w:num>
  <w:num w:numId="17">
    <w:abstractNumId w:val="14"/>
  </w:num>
  <w:num w:numId="18">
    <w:abstractNumId w:val="28"/>
  </w:num>
  <w:num w:numId="19">
    <w:abstractNumId w:val="11"/>
  </w:num>
  <w:num w:numId="20">
    <w:abstractNumId w:val="20"/>
  </w:num>
  <w:num w:numId="21">
    <w:abstractNumId w:val="17"/>
  </w:num>
  <w:num w:numId="22">
    <w:abstractNumId w:val="18"/>
  </w:num>
  <w:num w:numId="23">
    <w:abstractNumId w:val="21"/>
  </w:num>
  <w:num w:numId="24">
    <w:abstractNumId w:val="10"/>
  </w:num>
  <w:num w:numId="25">
    <w:abstractNumId w:val="10"/>
  </w:num>
  <w:num w:numId="26">
    <w:abstractNumId w:val="12"/>
  </w:num>
  <w:num w:numId="2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num>
  <w:num w:numId="31">
    <w:abstractNumId w:val="25"/>
  </w:num>
  <w:num w:numId="32">
    <w:abstractNumId w:val="15"/>
  </w:num>
  <w:num w:numId="33">
    <w:abstractNumId w:val="19"/>
  </w:num>
  <w:num w:numId="3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Australian Securities and Investments Commission"/>
    <w:docVar w:name="CounselParties" w:val="Applica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VID 521 of 2020"/>
    <w:docVar w:name="grpRadioJudges" w:val="Justice"/>
    <w:docVar w:name="Initiators" w:val="(and another named in the Schedule)"/>
    <w:docVar w:name="Judgdate" w:val="25 March 2021"/>
    <w:docVar w:name="Judge" w:val="Anastassiou"/>
    <w:docVar w:name="lstEntryList" w:val="-1"/>
    <w:docVar w:name="myEntryList" w:val="Counsel for the Applicant=Mr B. W. Wacker|Solicitor for the Applicant=Johnson Winter &amp; Slattery "/>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adioJudge" w:val="False"/>
    <w:docVar w:name="RadioJustice" w:val="True"/>
    <w:docVar w:name="RadioJustices" w:val="False"/>
    <w:docVar w:name="RESAndAnother" w:val="True"/>
    <w:docVar w:name="RESAndOthers" w:val="False"/>
    <w:docVar w:name="Respondent" w:val="Larry John Dawson|PW Kitt Co Pty Ltd (ACN 635 767 047)"/>
    <w:docVar w:name="ResState" w:val="Victoria"/>
    <w:docVar w:name="SubArea" w:val="Regulator and Consumer Protection (C &amp; C)"/>
  </w:docVars>
  <w:rsids>
    <w:rsidRoot w:val="005208FF"/>
    <w:rsid w:val="00000747"/>
    <w:rsid w:val="0000587E"/>
    <w:rsid w:val="000115C5"/>
    <w:rsid w:val="0001469E"/>
    <w:rsid w:val="00015993"/>
    <w:rsid w:val="00021CCB"/>
    <w:rsid w:val="00022289"/>
    <w:rsid w:val="00027398"/>
    <w:rsid w:val="0003201A"/>
    <w:rsid w:val="0003207A"/>
    <w:rsid w:val="00032F9F"/>
    <w:rsid w:val="00034B60"/>
    <w:rsid w:val="00041C07"/>
    <w:rsid w:val="00045BB7"/>
    <w:rsid w:val="00046039"/>
    <w:rsid w:val="00055719"/>
    <w:rsid w:val="0005641B"/>
    <w:rsid w:val="0006196A"/>
    <w:rsid w:val="00081497"/>
    <w:rsid w:val="00085255"/>
    <w:rsid w:val="000A2E76"/>
    <w:rsid w:val="000A4807"/>
    <w:rsid w:val="000A4BE4"/>
    <w:rsid w:val="000A574A"/>
    <w:rsid w:val="000C023E"/>
    <w:rsid w:val="000C5195"/>
    <w:rsid w:val="000C62EF"/>
    <w:rsid w:val="000D2137"/>
    <w:rsid w:val="000D3FD2"/>
    <w:rsid w:val="000D4B2E"/>
    <w:rsid w:val="000D5D08"/>
    <w:rsid w:val="000E3C1D"/>
    <w:rsid w:val="000E3FC8"/>
    <w:rsid w:val="000E7BAE"/>
    <w:rsid w:val="000F133D"/>
    <w:rsid w:val="0010536B"/>
    <w:rsid w:val="0011145C"/>
    <w:rsid w:val="001128BD"/>
    <w:rsid w:val="0011419D"/>
    <w:rsid w:val="00114B02"/>
    <w:rsid w:val="001226C0"/>
    <w:rsid w:val="00126EC8"/>
    <w:rsid w:val="0012731C"/>
    <w:rsid w:val="00132054"/>
    <w:rsid w:val="00132293"/>
    <w:rsid w:val="00134964"/>
    <w:rsid w:val="001351B9"/>
    <w:rsid w:val="001426E9"/>
    <w:rsid w:val="00145DEF"/>
    <w:rsid w:val="00155CD2"/>
    <w:rsid w:val="00156404"/>
    <w:rsid w:val="001727A4"/>
    <w:rsid w:val="0017376C"/>
    <w:rsid w:val="001738AB"/>
    <w:rsid w:val="001765E0"/>
    <w:rsid w:val="00177759"/>
    <w:rsid w:val="00180BB3"/>
    <w:rsid w:val="00181EB2"/>
    <w:rsid w:val="001824F4"/>
    <w:rsid w:val="00184DC5"/>
    <w:rsid w:val="00185E6B"/>
    <w:rsid w:val="00187BBC"/>
    <w:rsid w:val="001932F3"/>
    <w:rsid w:val="001A0E9D"/>
    <w:rsid w:val="001A2B40"/>
    <w:rsid w:val="001A4309"/>
    <w:rsid w:val="001A46AE"/>
    <w:rsid w:val="001A6C52"/>
    <w:rsid w:val="001A7A41"/>
    <w:rsid w:val="001B1053"/>
    <w:rsid w:val="001B14AC"/>
    <w:rsid w:val="001B1B50"/>
    <w:rsid w:val="001B7940"/>
    <w:rsid w:val="001C0C77"/>
    <w:rsid w:val="001C171A"/>
    <w:rsid w:val="001C37CA"/>
    <w:rsid w:val="001C4085"/>
    <w:rsid w:val="001D2680"/>
    <w:rsid w:val="001D4303"/>
    <w:rsid w:val="001D6746"/>
    <w:rsid w:val="001E3B49"/>
    <w:rsid w:val="001E4A05"/>
    <w:rsid w:val="001E7388"/>
    <w:rsid w:val="001F13DD"/>
    <w:rsid w:val="001F2473"/>
    <w:rsid w:val="001F2DBC"/>
    <w:rsid w:val="001F73E8"/>
    <w:rsid w:val="0020262C"/>
    <w:rsid w:val="00211A3E"/>
    <w:rsid w:val="00215BCA"/>
    <w:rsid w:val="00217AC4"/>
    <w:rsid w:val="0022083F"/>
    <w:rsid w:val="00221461"/>
    <w:rsid w:val="00224537"/>
    <w:rsid w:val="00235956"/>
    <w:rsid w:val="00243E5E"/>
    <w:rsid w:val="00247C9A"/>
    <w:rsid w:val="00250E64"/>
    <w:rsid w:val="0025160C"/>
    <w:rsid w:val="002535D0"/>
    <w:rsid w:val="002539B3"/>
    <w:rsid w:val="0025616D"/>
    <w:rsid w:val="00256336"/>
    <w:rsid w:val="00256BC1"/>
    <w:rsid w:val="00257C3E"/>
    <w:rsid w:val="002602C2"/>
    <w:rsid w:val="002666C9"/>
    <w:rsid w:val="00270136"/>
    <w:rsid w:val="00270FD7"/>
    <w:rsid w:val="00274F5B"/>
    <w:rsid w:val="00280836"/>
    <w:rsid w:val="00282E1A"/>
    <w:rsid w:val="002840F1"/>
    <w:rsid w:val="002875FD"/>
    <w:rsid w:val="0029113B"/>
    <w:rsid w:val="002934C0"/>
    <w:rsid w:val="0029764C"/>
    <w:rsid w:val="002A136F"/>
    <w:rsid w:val="002A1B50"/>
    <w:rsid w:val="002B0E91"/>
    <w:rsid w:val="002B132C"/>
    <w:rsid w:val="002B3F23"/>
    <w:rsid w:val="002B4EB5"/>
    <w:rsid w:val="002B6779"/>
    <w:rsid w:val="002B68F8"/>
    <w:rsid w:val="002B71C0"/>
    <w:rsid w:val="002B7664"/>
    <w:rsid w:val="002B7A34"/>
    <w:rsid w:val="002C31AD"/>
    <w:rsid w:val="002C7385"/>
    <w:rsid w:val="002D2DBB"/>
    <w:rsid w:val="002D37D8"/>
    <w:rsid w:val="002D54A6"/>
    <w:rsid w:val="002E456F"/>
    <w:rsid w:val="002E5BF9"/>
    <w:rsid w:val="002E6A7A"/>
    <w:rsid w:val="002F1E49"/>
    <w:rsid w:val="002F28B0"/>
    <w:rsid w:val="002F4E9C"/>
    <w:rsid w:val="00302F4E"/>
    <w:rsid w:val="00307F2F"/>
    <w:rsid w:val="0031256C"/>
    <w:rsid w:val="00314D6C"/>
    <w:rsid w:val="00316D2A"/>
    <w:rsid w:val="00322A7C"/>
    <w:rsid w:val="00322EEC"/>
    <w:rsid w:val="00323061"/>
    <w:rsid w:val="003402D3"/>
    <w:rsid w:val="00343ABC"/>
    <w:rsid w:val="003463FE"/>
    <w:rsid w:val="00347D41"/>
    <w:rsid w:val="003520D5"/>
    <w:rsid w:val="003554B3"/>
    <w:rsid w:val="00356632"/>
    <w:rsid w:val="00357C7E"/>
    <w:rsid w:val="003639C8"/>
    <w:rsid w:val="003653B6"/>
    <w:rsid w:val="00365640"/>
    <w:rsid w:val="00374CC4"/>
    <w:rsid w:val="003753CF"/>
    <w:rsid w:val="003774B2"/>
    <w:rsid w:val="00380790"/>
    <w:rsid w:val="00380F2D"/>
    <w:rsid w:val="003845A9"/>
    <w:rsid w:val="003850C9"/>
    <w:rsid w:val="0038775F"/>
    <w:rsid w:val="00390883"/>
    <w:rsid w:val="003922F8"/>
    <w:rsid w:val="00395B24"/>
    <w:rsid w:val="003A2D38"/>
    <w:rsid w:val="003A7ECC"/>
    <w:rsid w:val="003B2C72"/>
    <w:rsid w:val="003B58B4"/>
    <w:rsid w:val="003C1333"/>
    <w:rsid w:val="003C20FF"/>
    <w:rsid w:val="003C550A"/>
    <w:rsid w:val="003C6055"/>
    <w:rsid w:val="003D1726"/>
    <w:rsid w:val="003D2650"/>
    <w:rsid w:val="003D560C"/>
    <w:rsid w:val="003D5C00"/>
    <w:rsid w:val="003E3154"/>
    <w:rsid w:val="003E5874"/>
    <w:rsid w:val="003E72D3"/>
    <w:rsid w:val="003F193E"/>
    <w:rsid w:val="003F242C"/>
    <w:rsid w:val="003F34F1"/>
    <w:rsid w:val="003F6A75"/>
    <w:rsid w:val="0040792E"/>
    <w:rsid w:val="004104B6"/>
    <w:rsid w:val="00411AE8"/>
    <w:rsid w:val="00413B74"/>
    <w:rsid w:val="004268F1"/>
    <w:rsid w:val="004342F3"/>
    <w:rsid w:val="00434519"/>
    <w:rsid w:val="00435C5F"/>
    <w:rsid w:val="00436155"/>
    <w:rsid w:val="00441E98"/>
    <w:rsid w:val="00450628"/>
    <w:rsid w:val="00450F3A"/>
    <w:rsid w:val="004512E1"/>
    <w:rsid w:val="004532F7"/>
    <w:rsid w:val="00464D51"/>
    <w:rsid w:val="00472027"/>
    <w:rsid w:val="004804CF"/>
    <w:rsid w:val="00481534"/>
    <w:rsid w:val="00484962"/>
    <w:rsid w:val="00484F6D"/>
    <w:rsid w:val="00484FB7"/>
    <w:rsid w:val="0048554D"/>
    <w:rsid w:val="00486A8E"/>
    <w:rsid w:val="0049338A"/>
    <w:rsid w:val="0049417F"/>
    <w:rsid w:val="00496D41"/>
    <w:rsid w:val="004A6602"/>
    <w:rsid w:val="004B3EFA"/>
    <w:rsid w:val="004C2A87"/>
    <w:rsid w:val="004C4D7B"/>
    <w:rsid w:val="004C4ED3"/>
    <w:rsid w:val="004C667B"/>
    <w:rsid w:val="004C7C53"/>
    <w:rsid w:val="004C7ECD"/>
    <w:rsid w:val="004D2EA5"/>
    <w:rsid w:val="004D32A6"/>
    <w:rsid w:val="004D53E5"/>
    <w:rsid w:val="004E6DC4"/>
    <w:rsid w:val="004F21C1"/>
    <w:rsid w:val="00501A12"/>
    <w:rsid w:val="0050309C"/>
    <w:rsid w:val="00505776"/>
    <w:rsid w:val="0051327C"/>
    <w:rsid w:val="0051346D"/>
    <w:rsid w:val="00513EAE"/>
    <w:rsid w:val="0051434F"/>
    <w:rsid w:val="00516806"/>
    <w:rsid w:val="005208FF"/>
    <w:rsid w:val="0052098C"/>
    <w:rsid w:val="00524FD4"/>
    <w:rsid w:val="00525A49"/>
    <w:rsid w:val="005262D1"/>
    <w:rsid w:val="00530876"/>
    <w:rsid w:val="00535613"/>
    <w:rsid w:val="005359EB"/>
    <w:rsid w:val="0054254A"/>
    <w:rsid w:val="0054500B"/>
    <w:rsid w:val="005466B5"/>
    <w:rsid w:val="00550BF1"/>
    <w:rsid w:val="00554314"/>
    <w:rsid w:val="00562829"/>
    <w:rsid w:val="005629B3"/>
    <w:rsid w:val="005724F6"/>
    <w:rsid w:val="00573AC4"/>
    <w:rsid w:val="005801FC"/>
    <w:rsid w:val="00585BA9"/>
    <w:rsid w:val="00587359"/>
    <w:rsid w:val="00595016"/>
    <w:rsid w:val="00595859"/>
    <w:rsid w:val="00597AAE"/>
    <w:rsid w:val="005A222C"/>
    <w:rsid w:val="005A4DF8"/>
    <w:rsid w:val="005A78C8"/>
    <w:rsid w:val="005B1426"/>
    <w:rsid w:val="005C0A54"/>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456F8"/>
    <w:rsid w:val="00652C52"/>
    <w:rsid w:val="006556AF"/>
    <w:rsid w:val="0066063F"/>
    <w:rsid w:val="00660B89"/>
    <w:rsid w:val="00662BB0"/>
    <w:rsid w:val="00663878"/>
    <w:rsid w:val="00667773"/>
    <w:rsid w:val="00670743"/>
    <w:rsid w:val="00672194"/>
    <w:rsid w:val="00680A85"/>
    <w:rsid w:val="00681ADF"/>
    <w:rsid w:val="006848D4"/>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0DA"/>
    <w:rsid w:val="006E35BF"/>
    <w:rsid w:val="006E7850"/>
    <w:rsid w:val="006F46D6"/>
    <w:rsid w:val="007028D9"/>
    <w:rsid w:val="007042EC"/>
    <w:rsid w:val="00707218"/>
    <w:rsid w:val="00710D04"/>
    <w:rsid w:val="00712B1D"/>
    <w:rsid w:val="00715751"/>
    <w:rsid w:val="007171BA"/>
    <w:rsid w:val="00717616"/>
    <w:rsid w:val="00720A98"/>
    <w:rsid w:val="00726EF7"/>
    <w:rsid w:val="007325D9"/>
    <w:rsid w:val="007352B0"/>
    <w:rsid w:val="0073583B"/>
    <w:rsid w:val="007360CA"/>
    <w:rsid w:val="0074667B"/>
    <w:rsid w:val="007470BD"/>
    <w:rsid w:val="0075245B"/>
    <w:rsid w:val="00760EC0"/>
    <w:rsid w:val="007711BD"/>
    <w:rsid w:val="0078003A"/>
    <w:rsid w:val="00780771"/>
    <w:rsid w:val="007929CF"/>
    <w:rsid w:val="007A316F"/>
    <w:rsid w:val="007A3841"/>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3EEE"/>
    <w:rsid w:val="007E41BE"/>
    <w:rsid w:val="007E4DB6"/>
    <w:rsid w:val="007E6733"/>
    <w:rsid w:val="007E7CD4"/>
    <w:rsid w:val="007F12AC"/>
    <w:rsid w:val="007F29E6"/>
    <w:rsid w:val="007F4501"/>
    <w:rsid w:val="007F60DF"/>
    <w:rsid w:val="00801800"/>
    <w:rsid w:val="00801861"/>
    <w:rsid w:val="00801B5B"/>
    <w:rsid w:val="00820151"/>
    <w:rsid w:val="008216E7"/>
    <w:rsid w:val="00825BE6"/>
    <w:rsid w:val="008276B4"/>
    <w:rsid w:val="00831927"/>
    <w:rsid w:val="00836804"/>
    <w:rsid w:val="00837288"/>
    <w:rsid w:val="00841BD3"/>
    <w:rsid w:val="0084273D"/>
    <w:rsid w:val="00844E3F"/>
    <w:rsid w:val="00845A83"/>
    <w:rsid w:val="00846BB9"/>
    <w:rsid w:val="00851B65"/>
    <w:rsid w:val="008649D5"/>
    <w:rsid w:val="0087062C"/>
    <w:rsid w:val="008712BB"/>
    <w:rsid w:val="00880E15"/>
    <w:rsid w:val="008830E7"/>
    <w:rsid w:val="00890EDE"/>
    <w:rsid w:val="00892B38"/>
    <w:rsid w:val="008A1741"/>
    <w:rsid w:val="008A2484"/>
    <w:rsid w:val="008A52F3"/>
    <w:rsid w:val="008B20F6"/>
    <w:rsid w:val="008C1FB0"/>
    <w:rsid w:val="008C26D9"/>
    <w:rsid w:val="008C6D50"/>
    <w:rsid w:val="008C7167"/>
    <w:rsid w:val="008C7503"/>
    <w:rsid w:val="008D1617"/>
    <w:rsid w:val="008D330F"/>
    <w:rsid w:val="008D48C1"/>
    <w:rsid w:val="008E2BC4"/>
    <w:rsid w:val="008E6315"/>
    <w:rsid w:val="008E7D31"/>
    <w:rsid w:val="008F07FC"/>
    <w:rsid w:val="008F11E0"/>
    <w:rsid w:val="008F3EA7"/>
    <w:rsid w:val="008F78BC"/>
    <w:rsid w:val="008F7B63"/>
    <w:rsid w:val="008F7D6A"/>
    <w:rsid w:val="00901C86"/>
    <w:rsid w:val="00903603"/>
    <w:rsid w:val="009054CB"/>
    <w:rsid w:val="00911F8D"/>
    <w:rsid w:val="00912F94"/>
    <w:rsid w:val="009171BC"/>
    <w:rsid w:val="00920907"/>
    <w:rsid w:val="0092497E"/>
    <w:rsid w:val="0092590B"/>
    <w:rsid w:val="00925BF3"/>
    <w:rsid w:val="00925E60"/>
    <w:rsid w:val="009264B3"/>
    <w:rsid w:val="009365E0"/>
    <w:rsid w:val="00942BA2"/>
    <w:rsid w:val="009431D2"/>
    <w:rsid w:val="009432B7"/>
    <w:rsid w:val="00944C86"/>
    <w:rsid w:val="00947C02"/>
    <w:rsid w:val="00950BE6"/>
    <w:rsid w:val="00957DE8"/>
    <w:rsid w:val="00960ECB"/>
    <w:rsid w:val="009615D6"/>
    <w:rsid w:val="00967855"/>
    <w:rsid w:val="00974709"/>
    <w:rsid w:val="00980736"/>
    <w:rsid w:val="00981A39"/>
    <w:rsid w:val="00982D56"/>
    <w:rsid w:val="00983DBF"/>
    <w:rsid w:val="00987097"/>
    <w:rsid w:val="00991123"/>
    <w:rsid w:val="00991CAB"/>
    <w:rsid w:val="009A01B7"/>
    <w:rsid w:val="009A3A9C"/>
    <w:rsid w:val="009A6DB2"/>
    <w:rsid w:val="009A7552"/>
    <w:rsid w:val="009B046C"/>
    <w:rsid w:val="009B13FA"/>
    <w:rsid w:val="009B1E2D"/>
    <w:rsid w:val="009C59FB"/>
    <w:rsid w:val="009C6F3B"/>
    <w:rsid w:val="009D1467"/>
    <w:rsid w:val="009D6BE7"/>
    <w:rsid w:val="009E4FA6"/>
    <w:rsid w:val="009E7D93"/>
    <w:rsid w:val="009F19D3"/>
    <w:rsid w:val="009F3C34"/>
    <w:rsid w:val="009F462C"/>
    <w:rsid w:val="009F5C33"/>
    <w:rsid w:val="00A017FA"/>
    <w:rsid w:val="00A026F0"/>
    <w:rsid w:val="00A03EAC"/>
    <w:rsid w:val="00A04DBB"/>
    <w:rsid w:val="00A07EA0"/>
    <w:rsid w:val="00A11CA6"/>
    <w:rsid w:val="00A20C49"/>
    <w:rsid w:val="00A22932"/>
    <w:rsid w:val="00A269CA"/>
    <w:rsid w:val="00A336EE"/>
    <w:rsid w:val="00A33F46"/>
    <w:rsid w:val="00A3427E"/>
    <w:rsid w:val="00A358B3"/>
    <w:rsid w:val="00A359AC"/>
    <w:rsid w:val="00A40F83"/>
    <w:rsid w:val="00A410FB"/>
    <w:rsid w:val="00A41413"/>
    <w:rsid w:val="00A431E6"/>
    <w:rsid w:val="00A436E8"/>
    <w:rsid w:val="00A45FB1"/>
    <w:rsid w:val="00A46CCC"/>
    <w:rsid w:val="00A47996"/>
    <w:rsid w:val="00A51CFE"/>
    <w:rsid w:val="00A5204D"/>
    <w:rsid w:val="00A61605"/>
    <w:rsid w:val="00A65F97"/>
    <w:rsid w:val="00A76A16"/>
    <w:rsid w:val="00A76C13"/>
    <w:rsid w:val="00A84FD0"/>
    <w:rsid w:val="00A92E79"/>
    <w:rsid w:val="00A950B6"/>
    <w:rsid w:val="00A95D45"/>
    <w:rsid w:val="00AA5019"/>
    <w:rsid w:val="00AA6616"/>
    <w:rsid w:val="00AB41C1"/>
    <w:rsid w:val="00AB4CF2"/>
    <w:rsid w:val="00AB6CCA"/>
    <w:rsid w:val="00AC223F"/>
    <w:rsid w:val="00AC33B1"/>
    <w:rsid w:val="00AD12A8"/>
    <w:rsid w:val="00AE023F"/>
    <w:rsid w:val="00AF0074"/>
    <w:rsid w:val="00AF3577"/>
    <w:rsid w:val="00AF35F9"/>
    <w:rsid w:val="00B0424C"/>
    <w:rsid w:val="00B05C7D"/>
    <w:rsid w:val="00B146CD"/>
    <w:rsid w:val="00B15D57"/>
    <w:rsid w:val="00B16347"/>
    <w:rsid w:val="00B17D6E"/>
    <w:rsid w:val="00B21878"/>
    <w:rsid w:val="00B2435E"/>
    <w:rsid w:val="00B24D90"/>
    <w:rsid w:val="00B346C3"/>
    <w:rsid w:val="00B4005C"/>
    <w:rsid w:val="00B4227E"/>
    <w:rsid w:val="00B4471C"/>
    <w:rsid w:val="00B451A6"/>
    <w:rsid w:val="00B470F1"/>
    <w:rsid w:val="00B50DA7"/>
    <w:rsid w:val="00B52819"/>
    <w:rsid w:val="00B53CEF"/>
    <w:rsid w:val="00B565FA"/>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95E8B"/>
    <w:rsid w:val="00BA13A3"/>
    <w:rsid w:val="00BA2CA4"/>
    <w:rsid w:val="00BA2EFA"/>
    <w:rsid w:val="00BA3DBC"/>
    <w:rsid w:val="00BA707A"/>
    <w:rsid w:val="00BB1AFB"/>
    <w:rsid w:val="00BB27AE"/>
    <w:rsid w:val="00BB2DA2"/>
    <w:rsid w:val="00BB56DC"/>
    <w:rsid w:val="00BE183D"/>
    <w:rsid w:val="00BE1FDC"/>
    <w:rsid w:val="00BF5D7A"/>
    <w:rsid w:val="00C01C2E"/>
    <w:rsid w:val="00C02D33"/>
    <w:rsid w:val="00C04B53"/>
    <w:rsid w:val="00C1232C"/>
    <w:rsid w:val="00C232D8"/>
    <w:rsid w:val="00C27C6B"/>
    <w:rsid w:val="00C34F7C"/>
    <w:rsid w:val="00C3594D"/>
    <w:rsid w:val="00C36442"/>
    <w:rsid w:val="00C400CE"/>
    <w:rsid w:val="00C410FD"/>
    <w:rsid w:val="00C457DE"/>
    <w:rsid w:val="00C47DD3"/>
    <w:rsid w:val="00C53562"/>
    <w:rsid w:val="00C539FB"/>
    <w:rsid w:val="00C66E57"/>
    <w:rsid w:val="00C74150"/>
    <w:rsid w:val="00C75594"/>
    <w:rsid w:val="00C842B9"/>
    <w:rsid w:val="00C85982"/>
    <w:rsid w:val="00C9752E"/>
    <w:rsid w:val="00CA0466"/>
    <w:rsid w:val="00CA246D"/>
    <w:rsid w:val="00CA33F0"/>
    <w:rsid w:val="00CA50D9"/>
    <w:rsid w:val="00CB3054"/>
    <w:rsid w:val="00CB5636"/>
    <w:rsid w:val="00CC3EE5"/>
    <w:rsid w:val="00CE425C"/>
    <w:rsid w:val="00CE58AC"/>
    <w:rsid w:val="00CF5A80"/>
    <w:rsid w:val="00D045EE"/>
    <w:rsid w:val="00D05091"/>
    <w:rsid w:val="00D10CA6"/>
    <w:rsid w:val="00D10F21"/>
    <w:rsid w:val="00D134CF"/>
    <w:rsid w:val="00D1573B"/>
    <w:rsid w:val="00D24806"/>
    <w:rsid w:val="00D27D27"/>
    <w:rsid w:val="00D31EFA"/>
    <w:rsid w:val="00D32773"/>
    <w:rsid w:val="00D34040"/>
    <w:rsid w:val="00D34E69"/>
    <w:rsid w:val="00D36C78"/>
    <w:rsid w:val="00D375EE"/>
    <w:rsid w:val="00D41E98"/>
    <w:rsid w:val="00D5355E"/>
    <w:rsid w:val="00D55AE8"/>
    <w:rsid w:val="00D56056"/>
    <w:rsid w:val="00D56E76"/>
    <w:rsid w:val="00D6085F"/>
    <w:rsid w:val="00D62699"/>
    <w:rsid w:val="00D63E63"/>
    <w:rsid w:val="00D75CEF"/>
    <w:rsid w:val="00D778E9"/>
    <w:rsid w:val="00D812BF"/>
    <w:rsid w:val="00D82620"/>
    <w:rsid w:val="00D85707"/>
    <w:rsid w:val="00D9725F"/>
    <w:rsid w:val="00DA01B1"/>
    <w:rsid w:val="00DA11A2"/>
    <w:rsid w:val="00DA14ED"/>
    <w:rsid w:val="00DA26D6"/>
    <w:rsid w:val="00DA34E2"/>
    <w:rsid w:val="00DA5F76"/>
    <w:rsid w:val="00DB2EF1"/>
    <w:rsid w:val="00DB3DE1"/>
    <w:rsid w:val="00DB5DA0"/>
    <w:rsid w:val="00DB716C"/>
    <w:rsid w:val="00DC4E9B"/>
    <w:rsid w:val="00DC5C85"/>
    <w:rsid w:val="00DC7C5D"/>
    <w:rsid w:val="00DD05A5"/>
    <w:rsid w:val="00DD4236"/>
    <w:rsid w:val="00DD44F1"/>
    <w:rsid w:val="00DD6957"/>
    <w:rsid w:val="00DD6E7A"/>
    <w:rsid w:val="00DE0433"/>
    <w:rsid w:val="00DE3067"/>
    <w:rsid w:val="00DE6589"/>
    <w:rsid w:val="00DF2CF4"/>
    <w:rsid w:val="00DF3EEE"/>
    <w:rsid w:val="00DF75E1"/>
    <w:rsid w:val="00E027BC"/>
    <w:rsid w:val="00E10F0D"/>
    <w:rsid w:val="00E14EA5"/>
    <w:rsid w:val="00E2070E"/>
    <w:rsid w:val="00E21133"/>
    <w:rsid w:val="00E2327E"/>
    <w:rsid w:val="00E266EF"/>
    <w:rsid w:val="00E37AB2"/>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29D"/>
    <w:rsid w:val="00EC57A7"/>
    <w:rsid w:val="00ED0817"/>
    <w:rsid w:val="00ED76C2"/>
    <w:rsid w:val="00ED7DD9"/>
    <w:rsid w:val="00EE03F6"/>
    <w:rsid w:val="00EE445B"/>
    <w:rsid w:val="00EE520B"/>
    <w:rsid w:val="00EF3113"/>
    <w:rsid w:val="00EF3F84"/>
    <w:rsid w:val="00F176AC"/>
    <w:rsid w:val="00F178C8"/>
    <w:rsid w:val="00F26F28"/>
    <w:rsid w:val="00F27714"/>
    <w:rsid w:val="00F3276E"/>
    <w:rsid w:val="00F33D3C"/>
    <w:rsid w:val="00F37A91"/>
    <w:rsid w:val="00F408A0"/>
    <w:rsid w:val="00F45CF5"/>
    <w:rsid w:val="00F47DB0"/>
    <w:rsid w:val="00F50C3F"/>
    <w:rsid w:val="00F50E34"/>
    <w:rsid w:val="00F52B0C"/>
    <w:rsid w:val="00F53EF7"/>
    <w:rsid w:val="00F54BF2"/>
    <w:rsid w:val="00F775AC"/>
    <w:rsid w:val="00F92355"/>
    <w:rsid w:val="00F93963"/>
    <w:rsid w:val="00F94291"/>
    <w:rsid w:val="00FA298A"/>
    <w:rsid w:val="00FA5B66"/>
    <w:rsid w:val="00FB30EB"/>
    <w:rsid w:val="00FB7982"/>
    <w:rsid w:val="00FC0734"/>
    <w:rsid w:val="00FC0FC5"/>
    <w:rsid w:val="00FC588F"/>
    <w:rsid w:val="00FC6879"/>
    <w:rsid w:val="00FE1B30"/>
    <w:rsid w:val="00FE6B76"/>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1056F02C-FD0C-4D27-8425-1C57A8D6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customStyle="1" w:styleId="acthead5">
    <w:name w:val="acthead5"/>
    <w:basedOn w:val="Normal"/>
    <w:rsid w:val="001D2680"/>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1D2680"/>
  </w:style>
  <w:style w:type="paragraph" w:customStyle="1" w:styleId="subsection">
    <w:name w:val="subsection"/>
    <w:basedOn w:val="Normal"/>
    <w:rsid w:val="001D2680"/>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1D2680"/>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1D2680"/>
    <w:pPr>
      <w:spacing w:before="100" w:beforeAutospacing="1" w:after="100" w:afterAutospacing="1" w:line="240" w:lineRule="auto"/>
      <w:jc w:val="left"/>
    </w:pPr>
    <w:rPr>
      <w:rFonts w:eastAsia="Times New Roman"/>
      <w:szCs w:val="24"/>
      <w:lang w:eastAsia="en-AU"/>
    </w:rPr>
  </w:style>
  <w:style w:type="paragraph" w:customStyle="1" w:styleId="Default">
    <w:name w:val="Default"/>
    <w:rsid w:val="00AA501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40515">
      <w:bodyDiv w:val="1"/>
      <w:marLeft w:val="0"/>
      <w:marRight w:val="0"/>
      <w:marTop w:val="0"/>
      <w:marBottom w:val="0"/>
      <w:divBdr>
        <w:top w:val="none" w:sz="0" w:space="0" w:color="auto"/>
        <w:left w:val="none" w:sz="0" w:space="0" w:color="auto"/>
        <w:bottom w:val="none" w:sz="0" w:space="0" w:color="auto"/>
        <w:right w:val="none" w:sz="0" w:space="0" w:color="auto"/>
      </w:divBdr>
      <w:divsChild>
        <w:div w:id="942614785">
          <w:marLeft w:val="0"/>
          <w:marRight w:val="0"/>
          <w:marTop w:val="0"/>
          <w:marBottom w:val="0"/>
          <w:divBdr>
            <w:top w:val="none" w:sz="0" w:space="0" w:color="auto"/>
            <w:left w:val="none" w:sz="0" w:space="0" w:color="auto"/>
            <w:bottom w:val="none" w:sz="0" w:space="0" w:color="auto"/>
            <w:right w:val="none" w:sz="0" w:space="0" w:color="auto"/>
          </w:divBdr>
          <w:divsChild>
            <w:div w:id="665480975">
              <w:marLeft w:val="0"/>
              <w:marRight w:val="0"/>
              <w:marTop w:val="0"/>
              <w:marBottom w:val="0"/>
              <w:divBdr>
                <w:top w:val="none" w:sz="0" w:space="0" w:color="auto"/>
                <w:left w:val="none" w:sz="0" w:space="0" w:color="auto"/>
                <w:bottom w:val="none" w:sz="0" w:space="0" w:color="auto"/>
                <w:right w:val="none" w:sz="0" w:space="0" w:color="auto"/>
              </w:divBdr>
              <w:divsChild>
                <w:div w:id="1917864202">
                  <w:marLeft w:val="0"/>
                  <w:marRight w:val="0"/>
                  <w:marTop w:val="0"/>
                  <w:marBottom w:val="0"/>
                  <w:divBdr>
                    <w:top w:val="none" w:sz="0" w:space="0" w:color="auto"/>
                    <w:left w:val="none" w:sz="0" w:space="0" w:color="auto"/>
                    <w:bottom w:val="none" w:sz="0" w:space="0" w:color="auto"/>
                    <w:right w:val="none" w:sz="0" w:space="0" w:color="auto"/>
                  </w:divBdr>
                  <w:divsChild>
                    <w:div w:id="1102996079">
                      <w:marLeft w:val="0"/>
                      <w:marRight w:val="0"/>
                      <w:marTop w:val="0"/>
                      <w:marBottom w:val="0"/>
                      <w:divBdr>
                        <w:top w:val="none" w:sz="0" w:space="0" w:color="auto"/>
                        <w:left w:val="none" w:sz="0" w:space="0" w:color="auto"/>
                        <w:bottom w:val="none" w:sz="0" w:space="0" w:color="auto"/>
                        <w:right w:val="none" w:sz="0" w:space="0" w:color="auto"/>
                      </w:divBdr>
                      <w:divsChild>
                        <w:div w:id="2118864042">
                          <w:marLeft w:val="0"/>
                          <w:marRight w:val="0"/>
                          <w:marTop w:val="0"/>
                          <w:marBottom w:val="0"/>
                          <w:divBdr>
                            <w:top w:val="none" w:sz="0" w:space="0" w:color="auto"/>
                            <w:left w:val="none" w:sz="0" w:space="0" w:color="auto"/>
                            <w:bottom w:val="none" w:sz="0" w:space="0" w:color="auto"/>
                            <w:right w:val="none" w:sz="0" w:space="0" w:color="auto"/>
                          </w:divBdr>
                          <w:divsChild>
                            <w:div w:id="816144564">
                              <w:marLeft w:val="0"/>
                              <w:marRight w:val="0"/>
                              <w:marTop w:val="0"/>
                              <w:marBottom w:val="0"/>
                              <w:divBdr>
                                <w:top w:val="none" w:sz="0" w:space="0" w:color="auto"/>
                                <w:left w:val="none" w:sz="0" w:space="0" w:color="auto"/>
                                <w:bottom w:val="none" w:sz="0" w:space="0" w:color="auto"/>
                                <w:right w:val="none" w:sz="0" w:space="0" w:color="auto"/>
                              </w:divBdr>
                              <w:divsChild>
                                <w:div w:id="662897912">
                                  <w:marLeft w:val="0"/>
                                  <w:marRight w:val="0"/>
                                  <w:marTop w:val="0"/>
                                  <w:marBottom w:val="0"/>
                                  <w:divBdr>
                                    <w:top w:val="none" w:sz="0" w:space="0" w:color="auto"/>
                                    <w:left w:val="none" w:sz="0" w:space="0" w:color="auto"/>
                                    <w:bottom w:val="none" w:sz="0" w:space="0" w:color="auto"/>
                                    <w:right w:val="none" w:sz="0" w:space="0" w:color="auto"/>
                                  </w:divBdr>
                                  <w:divsChild>
                                    <w:div w:id="990645340">
                                      <w:marLeft w:val="0"/>
                                      <w:marRight w:val="0"/>
                                      <w:marTop w:val="0"/>
                                      <w:marBottom w:val="0"/>
                                      <w:divBdr>
                                        <w:top w:val="none" w:sz="0" w:space="0" w:color="auto"/>
                                        <w:left w:val="none" w:sz="0" w:space="0" w:color="auto"/>
                                        <w:bottom w:val="none" w:sz="0" w:space="0" w:color="auto"/>
                                        <w:right w:val="none" w:sz="0" w:space="0" w:color="auto"/>
                                      </w:divBdr>
                                      <w:divsChild>
                                        <w:div w:id="123502008">
                                          <w:marLeft w:val="0"/>
                                          <w:marRight w:val="0"/>
                                          <w:marTop w:val="0"/>
                                          <w:marBottom w:val="0"/>
                                          <w:divBdr>
                                            <w:top w:val="none" w:sz="0" w:space="0" w:color="auto"/>
                                            <w:left w:val="none" w:sz="0" w:space="0" w:color="auto"/>
                                            <w:bottom w:val="none" w:sz="0" w:space="0" w:color="auto"/>
                                            <w:right w:val="none" w:sz="0" w:space="0" w:color="auto"/>
                                          </w:divBdr>
                                          <w:divsChild>
                                            <w:div w:id="1456022474">
                                              <w:marLeft w:val="0"/>
                                              <w:marRight w:val="0"/>
                                              <w:marTop w:val="0"/>
                                              <w:marBottom w:val="0"/>
                                              <w:divBdr>
                                                <w:top w:val="none" w:sz="0" w:space="0" w:color="auto"/>
                                                <w:left w:val="none" w:sz="0" w:space="0" w:color="auto"/>
                                                <w:bottom w:val="none" w:sz="0" w:space="0" w:color="auto"/>
                                                <w:right w:val="none" w:sz="0" w:space="0" w:color="auto"/>
                                              </w:divBdr>
                                              <w:divsChild>
                                                <w:div w:id="472528325">
                                                  <w:marLeft w:val="0"/>
                                                  <w:marRight w:val="0"/>
                                                  <w:marTop w:val="0"/>
                                                  <w:marBottom w:val="0"/>
                                                  <w:divBdr>
                                                    <w:top w:val="none" w:sz="0" w:space="0" w:color="auto"/>
                                                    <w:left w:val="none" w:sz="0" w:space="0" w:color="auto"/>
                                                    <w:bottom w:val="none" w:sz="0" w:space="0" w:color="auto"/>
                                                    <w:right w:val="none" w:sz="0" w:space="0" w:color="auto"/>
                                                  </w:divBdr>
                                                  <w:divsChild>
                                                    <w:div w:id="861675139">
                                                      <w:marLeft w:val="0"/>
                                                      <w:marRight w:val="0"/>
                                                      <w:marTop w:val="0"/>
                                                      <w:marBottom w:val="0"/>
                                                      <w:divBdr>
                                                        <w:top w:val="none" w:sz="0" w:space="0" w:color="auto"/>
                                                        <w:left w:val="none" w:sz="0" w:space="0" w:color="auto"/>
                                                        <w:bottom w:val="none" w:sz="0" w:space="0" w:color="auto"/>
                                                        <w:right w:val="none" w:sz="0" w:space="0" w:color="auto"/>
                                                      </w:divBdr>
                                                      <w:divsChild>
                                                        <w:div w:id="15139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7662979">
      <w:bodyDiv w:val="1"/>
      <w:marLeft w:val="0"/>
      <w:marRight w:val="0"/>
      <w:marTop w:val="0"/>
      <w:marBottom w:val="0"/>
      <w:divBdr>
        <w:top w:val="none" w:sz="0" w:space="0" w:color="auto"/>
        <w:left w:val="none" w:sz="0" w:space="0" w:color="auto"/>
        <w:bottom w:val="none" w:sz="0" w:space="0" w:color="auto"/>
        <w:right w:val="none" w:sz="0" w:space="0" w:color="auto"/>
      </w:divBdr>
      <w:divsChild>
        <w:div w:id="876510745">
          <w:marLeft w:val="0"/>
          <w:marRight w:val="0"/>
          <w:marTop w:val="0"/>
          <w:marBottom w:val="0"/>
          <w:divBdr>
            <w:top w:val="none" w:sz="0" w:space="0" w:color="auto"/>
            <w:left w:val="none" w:sz="0" w:space="0" w:color="auto"/>
            <w:bottom w:val="none" w:sz="0" w:space="0" w:color="auto"/>
            <w:right w:val="none" w:sz="0" w:space="0" w:color="auto"/>
          </w:divBdr>
          <w:divsChild>
            <w:div w:id="1522468972">
              <w:marLeft w:val="0"/>
              <w:marRight w:val="0"/>
              <w:marTop w:val="0"/>
              <w:marBottom w:val="0"/>
              <w:divBdr>
                <w:top w:val="none" w:sz="0" w:space="0" w:color="auto"/>
                <w:left w:val="none" w:sz="0" w:space="0" w:color="auto"/>
                <w:bottom w:val="none" w:sz="0" w:space="0" w:color="auto"/>
                <w:right w:val="none" w:sz="0" w:space="0" w:color="auto"/>
              </w:divBdr>
              <w:divsChild>
                <w:div w:id="1226255926">
                  <w:marLeft w:val="0"/>
                  <w:marRight w:val="0"/>
                  <w:marTop w:val="0"/>
                  <w:marBottom w:val="0"/>
                  <w:divBdr>
                    <w:top w:val="none" w:sz="0" w:space="0" w:color="auto"/>
                    <w:left w:val="none" w:sz="0" w:space="0" w:color="auto"/>
                    <w:bottom w:val="none" w:sz="0" w:space="0" w:color="auto"/>
                    <w:right w:val="none" w:sz="0" w:space="0" w:color="auto"/>
                  </w:divBdr>
                  <w:divsChild>
                    <w:div w:id="2102144559">
                      <w:marLeft w:val="0"/>
                      <w:marRight w:val="0"/>
                      <w:marTop w:val="0"/>
                      <w:marBottom w:val="0"/>
                      <w:divBdr>
                        <w:top w:val="none" w:sz="0" w:space="0" w:color="auto"/>
                        <w:left w:val="none" w:sz="0" w:space="0" w:color="auto"/>
                        <w:bottom w:val="none" w:sz="0" w:space="0" w:color="auto"/>
                        <w:right w:val="none" w:sz="0" w:space="0" w:color="auto"/>
                      </w:divBdr>
                      <w:divsChild>
                        <w:div w:id="1768426777">
                          <w:marLeft w:val="0"/>
                          <w:marRight w:val="0"/>
                          <w:marTop w:val="0"/>
                          <w:marBottom w:val="0"/>
                          <w:divBdr>
                            <w:top w:val="none" w:sz="0" w:space="0" w:color="auto"/>
                            <w:left w:val="none" w:sz="0" w:space="0" w:color="auto"/>
                            <w:bottom w:val="none" w:sz="0" w:space="0" w:color="auto"/>
                            <w:right w:val="none" w:sz="0" w:space="0" w:color="auto"/>
                          </w:divBdr>
                          <w:divsChild>
                            <w:div w:id="615792517">
                              <w:marLeft w:val="0"/>
                              <w:marRight w:val="0"/>
                              <w:marTop w:val="0"/>
                              <w:marBottom w:val="0"/>
                              <w:divBdr>
                                <w:top w:val="none" w:sz="0" w:space="0" w:color="auto"/>
                                <w:left w:val="none" w:sz="0" w:space="0" w:color="auto"/>
                                <w:bottom w:val="none" w:sz="0" w:space="0" w:color="auto"/>
                                <w:right w:val="none" w:sz="0" w:space="0" w:color="auto"/>
                              </w:divBdr>
                              <w:divsChild>
                                <w:div w:id="233320516">
                                  <w:marLeft w:val="0"/>
                                  <w:marRight w:val="0"/>
                                  <w:marTop w:val="0"/>
                                  <w:marBottom w:val="0"/>
                                  <w:divBdr>
                                    <w:top w:val="none" w:sz="0" w:space="0" w:color="auto"/>
                                    <w:left w:val="none" w:sz="0" w:space="0" w:color="auto"/>
                                    <w:bottom w:val="none" w:sz="0" w:space="0" w:color="auto"/>
                                    <w:right w:val="none" w:sz="0" w:space="0" w:color="auto"/>
                                  </w:divBdr>
                                  <w:divsChild>
                                    <w:div w:id="1801462073">
                                      <w:marLeft w:val="0"/>
                                      <w:marRight w:val="0"/>
                                      <w:marTop w:val="0"/>
                                      <w:marBottom w:val="0"/>
                                      <w:divBdr>
                                        <w:top w:val="none" w:sz="0" w:space="0" w:color="auto"/>
                                        <w:left w:val="none" w:sz="0" w:space="0" w:color="auto"/>
                                        <w:bottom w:val="none" w:sz="0" w:space="0" w:color="auto"/>
                                        <w:right w:val="none" w:sz="0" w:space="0" w:color="auto"/>
                                      </w:divBdr>
                                      <w:divsChild>
                                        <w:div w:id="371197421">
                                          <w:marLeft w:val="0"/>
                                          <w:marRight w:val="0"/>
                                          <w:marTop w:val="0"/>
                                          <w:marBottom w:val="0"/>
                                          <w:divBdr>
                                            <w:top w:val="none" w:sz="0" w:space="0" w:color="auto"/>
                                            <w:left w:val="none" w:sz="0" w:space="0" w:color="auto"/>
                                            <w:bottom w:val="none" w:sz="0" w:space="0" w:color="auto"/>
                                            <w:right w:val="none" w:sz="0" w:space="0" w:color="auto"/>
                                          </w:divBdr>
                                          <w:divsChild>
                                            <w:div w:id="692658836">
                                              <w:marLeft w:val="0"/>
                                              <w:marRight w:val="0"/>
                                              <w:marTop w:val="0"/>
                                              <w:marBottom w:val="0"/>
                                              <w:divBdr>
                                                <w:top w:val="none" w:sz="0" w:space="0" w:color="auto"/>
                                                <w:left w:val="none" w:sz="0" w:space="0" w:color="auto"/>
                                                <w:bottom w:val="none" w:sz="0" w:space="0" w:color="auto"/>
                                                <w:right w:val="none" w:sz="0" w:space="0" w:color="auto"/>
                                              </w:divBdr>
                                              <w:divsChild>
                                                <w:div w:id="1400985090">
                                                  <w:marLeft w:val="0"/>
                                                  <w:marRight w:val="0"/>
                                                  <w:marTop w:val="0"/>
                                                  <w:marBottom w:val="0"/>
                                                  <w:divBdr>
                                                    <w:top w:val="none" w:sz="0" w:space="0" w:color="auto"/>
                                                    <w:left w:val="none" w:sz="0" w:space="0" w:color="auto"/>
                                                    <w:bottom w:val="none" w:sz="0" w:space="0" w:color="auto"/>
                                                    <w:right w:val="none" w:sz="0" w:space="0" w:color="auto"/>
                                                  </w:divBdr>
                                                  <w:divsChild>
                                                    <w:div w:id="1665550403">
                                                      <w:marLeft w:val="0"/>
                                                      <w:marRight w:val="0"/>
                                                      <w:marTop w:val="0"/>
                                                      <w:marBottom w:val="0"/>
                                                      <w:divBdr>
                                                        <w:top w:val="none" w:sz="0" w:space="0" w:color="auto"/>
                                                        <w:left w:val="none" w:sz="0" w:space="0" w:color="auto"/>
                                                        <w:bottom w:val="none" w:sz="0" w:space="0" w:color="auto"/>
                                                        <w:right w:val="none" w:sz="0" w:space="0" w:color="auto"/>
                                                      </w:divBdr>
                                                      <w:divsChild>
                                                        <w:div w:id="3728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42E6ED565A4AB0974EE88194EAF37B"/>
        <w:category>
          <w:name w:val="General"/>
          <w:gallery w:val="placeholder"/>
        </w:category>
        <w:types>
          <w:type w:val="bbPlcHdr"/>
        </w:types>
        <w:behaviors>
          <w:behavior w:val="content"/>
        </w:behaviors>
        <w:guid w:val="{5D0264A4-C3C9-4A43-8032-3A657F5BDB52}"/>
      </w:docPartPr>
      <w:docPartBody>
        <w:p w:rsidR="00D91634" w:rsidRDefault="00D91634">
          <w:pPr>
            <w:pStyle w:val="9C42E6ED565A4AB0974EE88194EAF37B"/>
          </w:pPr>
          <w:r>
            <w:rPr>
              <w:rStyle w:val="PlaceholderText"/>
            </w:rPr>
            <w:t>MNC Text</w:t>
          </w:r>
        </w:p>
      </w:docPartBody>
    </w:docPart>
    <w:docPart>
      <w:docPartPr>
        <w:name w:val="4BE38A1226B54944BCC82C78C55F1848"/>
        <w:category>
          <w:name w:val="General"/>
          <w:gallery w:val="placeholder"/>
        </w:category>
        <w:types>
          <w:type w:val="bbPlcHdr"/>
        </w:types>
        <w:behaviors>
          <w:behavior w:val="content"/>
        </w:behaviors>
        <w:guid w:val="{9F6145E0-3F8B-4F77-AD59-B6C52E2B6293}"/>
      </w:docPartPr>
      <w:docPartBody>
        <w:p w:rsidR="00D91634" w:rsidRDefault="00D91634">
          <w:pPr>
            <w:pStyle w:val="4BE38A1226B54944BCC82C78C55F1848"/>
          </w:pPr>
          <w:r w:rsidRPr="005C44BE">
            <w:rPr>
              <w:rStyle w:val="PlaceholderText"/>
            </w:rPr>
            <w:t>Click or tap here to enter text.</w:t>
          </w:r>
        </w:p>
      </w:docPartBody>
    </w:docPart>
    <w:docPart>
      <w:docPartPr>
        <w:name w:val="07D2F654EE98499B87D31B8C110E821A"/>
        <w:category>
          <w:name w:val="General"/>
          <w:gallery w:val="placeholder"/>
        </w:category>
        <w:types>
          <w:type w:val="bbPlcHdr"/>
        </w:types>
        <w:behaviors>
          <w:behavior w:val="content"/>
        </w:behaviors>
        <w:guid w:val="{2D294638-F9E3-41C1-BBBD-7767F91F06E9}"/>
      </w:docPartPr>
      <w:docPartBody>
        <w:p w:rsidR="00D91634" w:rsidRDefault="00D91634">
          <w:pPr>
            <w:pStyle w:val="07D2F654EE98499B87D31B8C110E821A"/>
          </w:pPr>
          <w:r w:rsidRPr="005C44BE">
            <w:rPr>
              <w:rStyle w:val="PlaceholderText"/>
            </w:rPr>
            <w:t>Click or tap here to enter text.</w:t>
          </w:r>
        </w:p>
      </w:docPartBody>
    </w:docPart>
    <w:docPart>
      <w:docPartPr>
        <w:name w:val="457635A5F84B4486A6485CFF6D199A6B"/>
        <w:category>
          <w:name w:val="General"/>
          <w:gallery w:val="placeholder"/>
        </w:category>
        <w:types>
          <w:type w:val="bbPlcHdr"/>
        </w:types>
        <w:behaviors>
          <w:behavior w:val="content"/>
        </w:behaviors>
        <w:guid w:val="{A54E7E14-D445-422E-8DB7-E4C9B131DA57}"/>
      </w:docPartPr>
      <w:docPartBody>
        <w:p w:rsidR="00D91634" w:rsidRDefault="00D91634">
          <w:pPr>
            <w:pStyle w:val="457635A5F84B4486A6485CFF6D199A6B"/>
          </w:pPr>
          <w:r w:rsidRPr="005C44BE">
            <w:rPr>
              <w:rStyle w:val="PlaceholderText"/>
            </w:rPr>
            <w:t>Click or tap here to enter text.</w:t>
          </w:r>
        </w:p>
      </w:docPartBody>
    </w:docPart>
    <w:docPart>
      <w:docPartPr>
        <w:name w:val="2DF99301D62948F5B206E423FF9E1495"/>
        <w:category>
          <w:name w:val="General"/>
          <w:gallery w:val="placeholder"/>
        </w:category>
        <w:types>
          <w:type w:val="bbPlcHdr"/>
        </w:types>
        <w:behaviors>
          <w:behavior w:val="content"/>
        </w:behaviors>
        <w:guid w:val="{E43F2279-0892-4E4E-A6FC-C9CE03491255}"/>
      </w:docPartPr>
      <w:docPartBody>
        <w:p w:rsidR="00D91634" w:rsidRDefault="00D91634">
          <w:pPr>
            <w:pStyle w:val="2DF99301D62948F5B206E423FF9E149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34"/>
    <w:rsid w:val="0038788D"/>
    <w:rsid w:val="00AF2F6A"/>
    <w:rsid w:val="00C13CC5"/>
    <w:rsid w:val="00D91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42E6ED565A4AB0974EE88194EAF37B">
    <w:name w:val="9C42E6ED565A4AB0974EE88194EAF37B"/>
  </w:style>
  <w:style w:type="paragraph" w:customStyle="1" w:styleId="4BE38A1226B54944BCC82C78C55F1848">
    <w:name w:val="4BE38A1226B54944BCC82C78C55F1848"/>
  </w:style>
  <w:style w:type="paragraph" w:customStyle="1" w:styleId="07D2F654EE98499B87D31B8C110E821A">
    <w:name w:val="07D2F654EE98499B87D31B8C110E821A"/>
  </w:style>
  <w:style w:type="paragraph" w:customStyle="1" w:styleId="457635A5F84B4486A6485CFF6D199A6B">
    <w:name w:val="457635A5F84B4486A6485CFF6D199A6B"/>
  </w:style>
  <w:style w:type="paragraph" w:customStyle="1" w:styleId="2DF99301D62948F5B206E423FF9E1495">
    <w:name w:val="2DF99301D62948F5B206E423FF9E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Australian Securities and Investments Commission v Dawson [2021] FCA 301</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A368E42A-523C-4861-ACD3-D4F7F2BB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8</Pages>
  <Words>2430</Words>
  <Characters>12562</Characters>
  <Application>Microsoft Office Word</Application>
  <DocSecurity>0</DocSecurity>
  <Lines>314</Lines>
  <Paragraphs>159</Paragraphs>
  <ScaleCrop>false</ScaleCrop>
  <HeadingPairs>
    <vt:vector size="2" baseType="variant">
      <vt:variant>
        <vt:lpstr>Title</vt:lpstr>
      </vt:variant>
      <vt:variant>
        <vt:i4>1</vt:i4>
      </vt:variant>
    </vt:vector>
  </HeadingPairs>
  <TitlesOfParts>
    <vt:vector size="1" baseType="lpstr">
      <vt:lpstr>Australian Securities and Investments Commission v Dawson [2021] FCA 301 </vt:lpstr>
    </vt:vector>
  </TitlesOfParts>
  <Company>Federal Court of Australia</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v Dawson [2021] FCA 301</dc:title>
  <dc:subject/>
  <dc:creator>Federal Court of Australia</dc:creator>
  <cp:keywords/>
  <dc:description/>
  <cp:lastModifiedBy>Federal Court of Australia</cp:lastModifiedBy>
  <cp:revision>4</cp:revision>
  <cp:lastPrinted>2021-04-01T05:08:00Z</cp:lastPrinted>
  <dcterms:created xsi:type="dcterms:W3CDTF">2021-04-01T05:46:00Z</dcterms:created>
  <dcterms:modified xsi:type="dcterms:W3CDTF">2021-04-01T05:47:00Z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