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2BA3C" w14:textId="77777777" w:rsidR="00395B24" w:rsidRDefault="00A73F1C" w:rsidP="00044973">
      <w:pPr>
        <w:pStyle w:val="CourtTitle"/>
        <w:spacing w:line="480" w:lineRule="auto"/>
      </w:pPr>
      <w:r>
        <w:fldChar w:fldCharType="begin"/>
      </w:r>
      <w:r>
        <w:instrText>DOCPROPERTY  Court  \* MERGEFORMAT</w:instrText>
      </w:r>
      <w:r>
        <w:fldChar w:fldCharType="separate"/>
      </w:r>
      <w:r w:rsidR="000D1303">
        <w:t>Federal Court of Australia</w:t>
      </w:r>
      <w:r>
        <w:fldChar w:fldCharType="end"/>
      </w:r>
    </w:p>
    <w:bookmarkStart w:id="0" w:name="MNC"/>
    <w:p w14:paraId="2792BA3E" w14:textId="6790B414" w:rsidR="00374CC4" w:rsidRDefault="005D30C5" w:rsidP="001A2B40">
      <w:pPr>
        <w:pStyle w:val="MNC"/>
      </w:pPr>
      <w:sdt>
        <w:sdtPr>
          <w:alias w:val="MNC"/>
          <w:tag w:val="MNC"/>
          <w:id w:val="343289786"/>
          <w:lock w:val="sdtLocked"/>
          <w:placeholder>
            <w:docPart w:val="02E21B09E49D419DAA0D273F575CE493"/>
          </w:placeholder>
          <w:dataBinding w:prefixMappings="xmlns:ns0='http://schemas.globalmacros.com/FCA'" w:xpath="/ns0:root[1]/ns0:Name[1]" w:storeItemID="{687E7CCB-4AA5-44E7-B148-17BA2B6F57C0}"/>
          <w:text w:multiLine="1"/>
        </w:sdtPr>
        <w:sdtEndPr/>
        <w:sdtContent>
          <w:r w:rsidR="00393BEA">
            <w:t>HRZN v Minister for Immigration, Citizenship, Migrant Services and Multicultural Affairs</w:t>
          </w:r>
          <w:r w:rsidR="00393BEA">
            <w:rPr>
              <w:i/>
            </w:rPr>
            <w:t xml:space="preserve"> </w:t>
          </w:r>
          <w:r w:rsidR="00393BEA">
            <w:t xml:space="preserve">[2022] FCAFC </w:t>
          </w:r>
          <w:r w:rsidR="00CC3959">
            <w:t>133</w:t>
          </w:r>
          <w:r w:rsidR="00393BEA">
            <w:t xml:space="preserve"> </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0D1303" w14:paraId="2792BA41" w14:textId="77777777" w:rsidTr="00056635">
        <w:tc>
          <w:tcPr>
            <w:tcW w:w="3083" w:type="dxa"/>
            <w:shd w:val="clear" w:color="auto" w:fill="auto"/>
          </w:tcPr>
          <w:p w14:paraId="2792BA3F" w14:textId="77777777" w:rsidR="000D1303" w:rsidRDefault="000D1303"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2792BA40" w14:textId="77777777" w:rsidR="000D1303" w:rsidRDefault="005D30C5" w:rsidP="002539B3">
            <w:pPr>
              <w:pStyle w:val="CasesLegislationAppealFrom"/>
              <w:spacing w:after="60"/>
            </w:pPr>
            <w:r>
              <w:fldChar w:fldCharType="begin"/>
            </w:r>
            <w:r>
              <w:instrText>DOCPROPERTY  AppealFrom  \* MERGEFORMAT</w:instrText>
            </w:r>
            <w:r>
              <w:fldChar w:fldCharType="separate"/>
            </w:r>
            <w:r w:rsidR="000D1303" w:rsidRPr="00480E78">
              <w:rPr>
                <w:i/>
              </w:rPr>
              <w:t>HRZN v Minister for Immigration, Citizenship, Migrant Services and Multicultural Affairs</w:t>
            </w:r>
            <w:r w:rsidR="000D1303">
              <w:t xml:space="preserve"> [2021] FCA 1431</w:t>
            </w:r>
            <w:r>
              <w:fldChar w:fldCharType="end"/>
            </w:r>
          </w:p>
        </w:tc>
      </w:tr>
      <w:tr w:rsidR="000D1303" w14:paraId="2792BA44" w14:textId="77777777" w:rsidTr="00056635">
        <w:tc>
          <w:tcPr>
            <w:tcW w:w="3083" w:type="dxa"/>
            <w:shd w:val="clear" w:color="auto" w:fill="auto"/>
          </w:tcPr>
          <w:p w14:paraId="2792BA42" w14:textId="77777777" w:rsidR="000D1303" w:rsidRDefault="000D1303" w:rsidP="00663878">
            <w:pPr>
              <w:pStyle w:val="Normal1linespace"/>
              <w:widowControl w:val="0"/>
              <w:jc w:val="left"/>
            </w:pPr>
          </w:p>
        </w:tc>
        <w:tc>
          <w:tcPr>
            <w:tcW w:w="5989" w:type="dxa"/>
            <w:shd w:val="clear" w:color="auto" w:fill="auto"/>
          </w:tcPr>
          <w:p w14:paraId="2792BA43" w14:textId="77777777" w:rsidR="000D1303" w:rsidRDefault="000D1303" w:rsidP="00663878">
            <w:pPr>
              <w:pStyle w:val="Normal1linespace"/>
              <w:widowControl w:val="0"/>
              <w:jc w:val="left"/>
            </w:pPr>
          </w:p>
        </w:tc>
      </w:tr>
      <w:bookmarkEnd w:id="1"/>
      <w:tr w:rsidR="00395B24" w14:paraId="2792BA47" w14:textId="77777777" w:rsidTr="00056635">
        <w:tc>
          <w:tcPr>
            <w:tcW w:w="3083" w:type="dxa"/>
            <w:shd w:val="clear" w:color="auto" w:fill="auto"/>
          </w:tcPr>
          <w:p w14:paraId="2792BA45" w14:textId="77777777" w:rsidR="00395B24" w:rsidRDefault="002C7385" w:rsidP="00663878">
            <w:pPr>
              <w:pStyle w:val="Normal1linespace"/>
              <w:widowControl w:val="0"/>
              <w:jc w:val="left"/>
            </w:pPr>
            <w:r>
              <w:t>File number(s):</w:t>
            </w:r>
          </w:p>
        </w:tc>
        <w:tc>
          <w:tcPr>
            <w:tcW w:w="5989" w:type="dxa"/>
            <w:shd w:val="clear" w:color="auto" w:fill="auto"/>
          </w:tcPr>
          <w:p w14:paraId="2792BA46" w14:textId="017F79EE" w:rsidR="00395B24" w:rsidRPr="000D1303" w:rsidRDefault="005D30C5" w:rsidP="000D1303">
            <w:pPr>
              <w:pStyle w:val="Normal1linespace"/>
              <w:jc w:val="left"/>
            </w:pPr>
            <w:r>
              <w:fldChar w:fldCharType="begin" w:fldLock="1"/>
            </w:r>
            <w:r>
              <w:instrText>REF  FileNo  \* MERGEFORMAT</w:instrText>
            </w:r>
            <w:r>
              <w:fldChar w:fldCharType="separate"/>
            </w:r>
            <w:r w:rsidR="000D1303" w:rsidRPr="000D1303">
              <w:t>VID</w:t>
            </w:r>
            <w:r w:rsidR="00480E78">
              <w:t xml:space="preserve"> </w:t>
            </w:r>
            <w:r w:rsidR="000D1303" w:rsidRPr="000D1303">
              <w:t>773 of 2021</w:t>
            </w:r>
            <w:r>
              <w:fldChar w:fldCharType="end"/>
            </w:r>
          </w:p>
        </w:tc>
      </w:tr>
      <w:tr w:rsidR="00395B24" w14:paraId="2792BA4A" w14:textId="77777777" w:rsidTr="00056635">
        <w:tc>
          <w:tcPr>
            <w:tcW w:w="3083" w:type="dxa"/>
            <w:shd w:val="clear" w:color="auto" w:fill="auto"/>
          </w:tcPr>
          <w:p w14:paraId="2792BA48" w14:textId="77777777" w:rsidR="00395B24" w:rsidRDefault="00395B24" w:rsidP="00663878">
            <w:pPr>
              <w:pStyle w:val="Normal1linespace"/>
              <w:widowControl w:val="0"/>
              <w:jc w:val="left"/>
            </w:pPr>
          </w:p>
        </w:tc>
        <w:tc>
          <w:tcPr>
            <w:tcW w:w="5989" w:type="dxa"/>
            <w:shd w:val="clear" w:color="auto" w:fill="auto"/>
          </w:tcPr>
          <w:p w14:paraId="2792BA49" w14:textId="77777777" w:rsidR="00395B24" w:rsidRDefault="00395B24" w:rsidP="00663878">
            <w:pPr>
              <w:pStyle w:val="Normal1linespace"/>
              <w:widowControl w:val="0"/>
              <w:jc w:val="left"/>
            </w:pPr>
          </w:p>
        </w:tc>
      </w:tr>
      <w:tr w:rsidR="00395B24" w14:paraId="2792BA4D" w14:textId="77777777" w:rsidTr="00056635">
        <w:tc>
          <w:tcPr>
            <w:tcW w:w="3083" w:type="dxa"/>
            <w:shd w:val="clear" w:color="auto" w:fill="auto"/>
          </w:tcPr>
          <w:p w14:paraId="2792BA4B"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792BA4C" w14:textId="77777777" w:rsidR="00395B24" w:rsidRDefault="002C7385" w:rsidP="00663878">
            <w:pPr>
              <w:pStyle w:val="Normal1linespace"/>
              <w:widowControl w:val="0"/>
              <w:jc w:val="left"/>
              <w:rPr>
                <w:b/>
              </w:rPr>
            </w:pPr>
            <w:r w:rsidRPr="000D1303">
              <w:rPr>
                <w:b/>
              </w:rPr>
              <w:fldChar w:fldCharType="begin" w:fldLock="1"/>
            </w:r>
            <w:r w:rsidRPr="000D1303">
              <w:rPr>
                <w:b/>
              </w:rPr>
              <w:instrText xml:space="preserve"> REF  Judge  \* MERGEFORMAT </w:instrText>
            </w:r>
            <w:r w:rsidRPr="000D1303">
              <w:rPr>
                <w:b/>
              </w:rPr>
              <w:fldChar w:fldCharType="separate"/>
            </w:r>
            <w:r w:rsidR="000D1303" w:rsidRPr="000D1303">
              <w:rPr>
                <w:b/>
                <w:caps/>
                <w:szCs w:val="24"/>
              </w:rPr>
              <w:t>YATES, ABRAHAM AND MCELWAINE J</w:t>
            </w:r>
            <w:r w:rsidRPr="000D1303">
              <w:rPr>
                <w:b/>
              </w:rPr>
              <w:fldChar w:fldCharType="end"/>
            </w:r>
            <w:r w:rsidR="000D1303">
              <w:rPr>
                <w:b/>
              </w:rPr>
              <w:t>J</w:t>
            </w:r>
          </w:p>
        </w:tc>
      </w:tr>
      <w:tr w:rsidR="00395B24" w14:paraId="2792BA50" w14:textId="77777777" w:rsidTr="00056635">
        <w:tc>
          <w:tcPr>
            <w:tcW w:w="3083" w:type="dxa"/>
            <w:shd w:val="clear" w:color="auto" w:fill="auto"/>
          </w:tcPr>
          <w:p w14:paraId="2792BA4E" w14:textId="77777777" w:rsidR="00395B24" w:rsidRDefault="00395B24" w:rsidP="00663878">
            <w:pPr>
              <w:pStyle w:val="Normal1linespace"/>
              <w:widowControl w:val="0"/>
              <w:jc w:val="left"/>
            </w:pPr>
          </w:p>
        </w:tc>
        <w:tc>
          <w:tcPr>
            <w:tcW w:w="5989" w:type="dxa"/>
            <w:shd w:val="clear" w:color="auto" w:fill="auto"/>
          </w:tcPr>
          <w:p w14:paraId="2792BA4F" w14:textId="77777777" w:rsidR="00395B24" w:rsidRDefault="00395B24" w:rsidP="00663878">
            <w:pPr>
              <w:pStyle w:val="Normal1linespace"/>
              <w:widowControl w:val="0"/>
              <w:jc w:val="left"/>
            </w:pPr>
          </w:p>
        </w:tc>
      </w:tr>
      <w:tr w:rsidR="00395B24" w14:paraId="2792BA53" w14:textId="77777777" w:rsidTr="00056635">
        <w:tc>
          <w:tcPr>
            <w:tcW w:w="3083" w:type="dxa"/>
            <w:shd w:val="clear" w:color="auto" w:fill="auto"/>
          </w:tcPr>
          <w:p w14:paraId="2792BA51" w14:textId="77777777" w:rsidR="00395B24" w:rsidRDefault="002C7385" w:rsidP="00663878">
            <w:pPr>
              <w:pStyle w:val="Normal1linespace"/>
              <w:widowControl w:val="0"/>
              <w:jc w:val="left"/>
            </w:pPr>
            <w:r>
              <w:t>Date of judgment:</w:t>
            </w:r>
          </w:p>
        </w:tc>
        <w:tc>
          <w:tcPr>
            <w:tcW w:w="5989" w:type="dxa"/>
            <w:shd w:val="clear" w:color="auto" w:fill="auto"/>
          </w:tcPr>
          <w:p w14:paraId="2792BA52" w14:textId="225C7DD2" w:rsidR="00395B24" w:rsidRDefault="005E5280" w:rsidP="005E5280">
            <w:pPr>
              <w:pStyle w:val="Normal1linespace"/>
              <w:widowControl w:val="0"/>
              <w:jc w:val="left"/>
            </w:pPr>
            <w:bookmarkStart w:id="2" w:name="JudgmentDate"/>
            <w:r>
              <w:t>9 August 2022</w:t>
            </w:r>
            <w:bookmarkEnd w:id="2"/>
          </w:p>
        </w:tc>
      </w:tr>
      <w:tr w:rsidR="00395B24" w14:paraId="2792BA56" w14:textId="77777777" w:rsidTr="00056635">
        <w:tc>
          <w:tcPr>
            <w:tcW w:w="3083" w:type="dxa"/>
            <w:shd w:val="clear" w:color="auto" w:fill="auto"/>
          </w:tcPr>
          <w:p w14:paraId="2792BA54" w14:textId="77777777" w:rsidR="00395B24" w:rsidRDefault="00395B24" w:rsidP="00663878">
            <w:pPr>
              <w:pStyle w:val="Normal1linespace"/>
              <w:widowControl w:val="0"/>
              <w:jc w:val="left"/>
            </w:pPr>
          </w:p>
        </w:tc>
        <w:tc>
          <w:tcPr>
            <w:tcW w:w="5989" w:type="dxa"/>
            <w:shd w:val="clear" w:color="auto" w:fill="auto"/>
          </w:tcPr>
          <w:p w14:paraId="2792BA55" w14:textId="77777777" w:rsidR="00395B24" w:rsidRDefault="00395B24" w:rsidP="00663878">
            <w:pPr>
              <w:pStyle w:val="Normal1linespace"/>
              <w:widowControl w:val="0"/>
              <w:jc w:val="left"/>
            </w:pPr>
          </w:p>
        </w:tc>
      </w:tr>
      <w:tr w:rsidR="00395B24" w14:paraId="2792BA59" w14:textId="77777777" w:rsidTr="00056635">
        <w:tc>
          <w:tcPr>
            <w:tcW w:w="3083" w:type="dxa"/>
            <w:shd w:val="clear" w:color="auto" w:fill="auto"/>
          </w:tcPr>
          <w:p w14:paraId="2792BA57" w14:textId="77777777" w:rsidR="00395B24" w:rsidRDefault="002C7385" w:rsidP="00663878">
            <w:pPr>
              <w:pStyle w:val="Normal1linespace"/>
              <w:widowControl w:val="0"/>
              <w:jc w:val="left"/>
            </w:pPr>
            <w:r>
              <w:t>Catchwords:</w:t>
            </w:r>
          </w:p>
        </w:tc>
        <w:tc>
          <w:tcPr>
            <w:tcW w:w="5989" w:type="dxa"/>
            <w:shd w:val="clear" w:color="auto" w:fill="auto"/>
          </w:tcPr>
          <w:p w14:paraId="2792BA58" w14:textId="77777777" w:rsidR="00395B24" w:rsidRDefault="0096088A" w:rsidP="00467406">
            <w:pPr>
              <w:pStyle w:val="Normal1linespace"/>
              <w:widowControl w:val="0"/>
              <w:jc w:val="left"/>
            </w:pPr>
            <w:bookmarkStart w:id="3" w:name="Catchwords"/>
            <w:r w:rsidRPr="00393BEA">
              <w:rPr>
                <w:b/>
              </w:rPr>
              <w:t>MIGRATION</w:t>
            </w:r>
            <w:r>
              <w:t xml:space="preserve"> –</w:t>
            </w:r>
            <w:r w:rsidR="004031F3">
              <w:t xml:space="preserve"> </w:t>
            </w:r>
            <w:r w:rsidR="00ED1526">
              <w:t xml:space="preserve">appeal from the decision of the Federal Court of Australia – where the Federal Court </w:t>
            </w:r>
            <w:r w:rsidR="008678A3">
              <w:t>dismissed the application for review of the decision of the Administrative Appeals Tribunal – where the Administrative Appeals Tribunal affirmed the delegate’s decision not to revoke cancellation of visa –</w:t>
            </w:r>
            <w:r w:rsidR="00BE0876">
              <w:t xml:space="preserve"> </w:t>
            </w:r>
            <w:r w:rsidR="00EC67A7" w:rsidRPr="0004032A">
              <w:t xml:space="preserve">whether representation was clearly articulated or clearly emerged </w:t>
            </w:r>
            <w:r w:rsidR="00515535" w:rsidRPr="0004032A">
              <w:t xml:space="preserve">from the materials – whether </w:t>
            </w:r>
            <w:r w:rsidR="00467406">
              <w:t xml:space="preserve"> Administrative Appeals Tribunal’s misunderstanding of</w:t>
            </w:r>
            <w:r w:rsidR="00351008" w:rsidRPr="0004032A">
              <w:t xml:space="preserve"> </w:t>
            </w:r>
            <w:r w:rsidR="00094597" w:rsidRPr="0004032A">
              <w:t xml:space="preserve">Australia’s </w:t>
            </w:r>
            <w:proofErr w:type="spellStart"/>
            <w:r w:rsidR="00351008" w:rsidRPr="0004032A">
              <w:t>unenacted</w:t>
            </w:r>
            <w:proofErr w:type="spellEnd"/>
            <w:r w:rsidR="00351008" w:rsidRPr="0004032A">
              <w:t xml:space="preserve"> international</w:t>
            </w:r>
            <w:r w:rsidR="000030B1" w:rsidRPr="0004032A">
              <w:t xml:space="preserve"> </w:t>
            </w:r>
            <w:proofErr w:type="spellStart"/>
            <w:r w:rsidR="000030B1" w:rsidRPr="0004032A">
              <w:t>refoulement</w:t>
            </w:r>
            <w:proofErr w:type="spellEnd"/>
            <w:r w:rsidR="000030B1" w:rsidRPr="0004032A">
              <w:t xml:space="preserve"> </w:t>
            </w:r>
            <w:r w:rsidR="00094597" w:rsidRPr="0004032A">
              <w:t xml:space="preserve">obligations </w:t>
            </w:r>
            <w:r w:rsidR="00467406">
              <w:t>amounted to</w:t>
            </w:r>
            <w:r w:rsidR="000030B1" w:rsidRPr="0004032A">
              <w:t xml:space="preserve"> jurisdictional error</w:t>
            </w:r>
            <w:r w:rsidR="000030B1">
              <w:t xml:space="preserve"> </w:t>
            </w:r>
            <w:r w:rsidR="008678A3">
              <w:t>– appeal dismissed</w:t>
            </w:r>
            <w:r w:rsidR="0012319D">
              <w:t xml:space="preserve"> </w:t>
            </w:r>
            <w:bookmarkEnd w:id="3"/>
          </w:p>
        </w:tc>
      </w:tr>
      <w:tr w:rsidR="00395B24" w14:paraId="2792BA5C" w14:textId="77777777" w:rsidTr="00056635">
        <w:tc>
          <w:tcPr>
            <w:tcW w:w="3083" w:type="dxa"/>
            <w:shd w:val="clear" w:color="auto" w:fill="auto"/>
          </w:tcPr>
          <w:p w14:paraId="2792BA5A" w14:textId="77777777" w:rsidR="00395B24" w:rsidRDefault="00395B24" w:rsidP="00663878">
            <w:pPr>
              <w:pStyle w:val="Normal1linespace"/>
              <w:widowControl w:val="0"/>
              <w:jc w:val="left"/>
            </w:pPr>
          </w:p>
        </w:tc>
        <w:tc>
          <w:tcPr>
            <w:tcW w:w="5989" w:type="dxa"/>
            <w:shd w:val="clear" w:color="auto" w:fill="auto"/>
          </w:tcPr>
          <w:p w14:paraId="2792BA5B" w14:textId="77777777" w:rsidR="00395B24" w:rsidRDefault="00395B24" w:rsidP="00663878">
            <w:pPr>
              <w:pStyle w:val="Normal1linespace"/>
              <w:widowControl w:val="0"/>
              <w:jc w:val="left"/>
            </w:pPr>
          </w:p>
        </w:tc>
      </w:tr>
      <w:tr w:rsidR="00395B24" w14:paraId="2792BA5F" w14:textId="77777777" w:rsidTr="00056635">
        <w:tc>
          <w:tcPr>
            <w:tcW w:w="3083" w:type="dxa"/>
            <w:shd w:val="clear" w:color="auto" w:fill="auto"/>
          </w:tcPr>
          <w:p w14:paraId="2792BA5D" w14:textId="77777777" w:rsidR="00395B24" w:rsidRDefault="002C7385" w:rsidP="00663878">
            <w:pPr>
              <w:pStyle w:val="Normal1linespace"/>
              <w:widowControl w:val="0"/>
              <w:jc w:val="left"/>
            </w:pPr>
            <w:r>
              <w:t>Legislation:</w:t>
            </w:r>
          </w:p>
        </w:tc>
        <w:tc>
          <w:tcPr>
            <w:tcW w:w="5989" w:type="dxa"/>
            <w:shd w:val="clear" w:color="auto" w:fill="auto"/>
          </w:tcPr>
          <w:p w14:paraId="2792BA5E" w14:textId="77777777" w:rsidR="00395B24" w:rsidRDefault="0096088A" w:rsidP="00790AED">
            <w:pPr>
              <w:pStyle w:val="CasesLegislationAppealFrom"/>
              <w:spacing w:after="60"/>
            </w:pPr>
            <w:bookmarkStart w:id="4" w:name="Legislation"/>
            <w:r>
              <w:rPr>
                <w:i/>
              </w:rPr>
              <w:t>Migration Act 1958</w:t>
            </w:r>
            <w:r>
              <w:t xml:space="preserve"> (</w:t>
            </w:r>
            <w:proofErr w:type="spellStart"/>
            <w:r>
              <w:t>Cth</w:t>
            </w:r>
            <w:proofErr w:type="spellEnd"/>
            <w:r>
              <w:t xml:space="preserve">) </w:t>
            </w:r>
            <w:proofErr w:type="spellStart"/>
            <w:r>
              <w:t>ss</w:t>
            </w:r>
            <w:proofErr w:type="spellEnd"/>
            <w:r>
              <w:t xml:space="preserve"> 499, 501, 501CA</w:t>
            </w:r>
            <w:r w:rsidR="002C7385">
              <w:t xml:space="preserve"> </w:t>
            </w:r>
            <w:bookmarkEnd w:id="4"/>
          </w:p>
        </w:tc>
      </w:tr>
      <w:tr w:rsidR="00395B24" w14:paraId="2792BA62" w14:textId="77777777" w:rsidTr="00056635">
        <w:tc>
          <w:tcPr>
            <w:tcW w:w="3083" w:type="dxa"/>
            <w:shd w:val="clear" w:color="auto" w:fill="auto"/>
          </w:tcPr>
          <w:p w14:paraId="2792BA60" w14:textId="77777777" w:rsidR="00395B24" w:rsidRDefault="00395B24" w:rsidP="00663878">
            <w:pPr>
              <w:pStyle w:val="Normal1linespace"/>
              <w:widowControl w:val="0"/>
              <w:jc w:val="left"/>
            </w:pPr>
          </w:p>
        </w:tc>
        <w:tc>
          <w:tcPr>
            <w:tcW w:w="5989" w:type="dxa"/>
            <w:shd w:val="clear" w:color="auto" w:fill="auto"/>
          </w:tcPr>
          <w:p w14:paraId="2792BA61" w14:textId="77777777" w:rsidR="00395B24" w:rsidRDefault="00395B24" w:rsidP="00663878">
            <w:pPr>
              <w:pStyle w:val="Normal1linespace"/>
              <w:widowControl w:val="0"/>
              <w:jc w:val="left"/>
            </w:pPr>
          </w:p>
        </w:tc>
      </w:tr>
      <w:tr w:rsidR="00395B24" w14:paraId="2792BA76" w14:textId="77777777" w:rsidTr="00056635">
        <w:tc>
          <w:tcPr>
            <w:tcW w:w="3083" w:type="dxa"/>
            <w:shd w:val="clear" w:color="auto" w:fill="auto"/>
          </w:tcPr>
          <w:p w14:paraId="2792BA63" w14:textId="77777777" w:rsidR="00395B24" w:rsidRDefault="002C7385" w:rsidP="00663878">
            <w:pPr>
              <w:pStyle w:val="Normal1linespace"/>
              <w:widowControl w:val="0"/>
              <w:jc w:val="left"/>
            </w:pPr>
            <w:r>
              <w:t>Cases cited:</w:t>
            </w:r>
          </w:p>
        </w:tc>
        <w:tc>
          <w:tcPr>
            <w:tcW w:w="5989" w:type="dxa"/>
            <w:shd w:val="clear" w:color="auto" w:fill="auto"/>
          </w:tcPr>
          <w:p w14:paraId="2792BA64" w14:textId="77777777" w:rsidR="0096088A" w:rsidRPr="0096088A" w:rsidRDefault="0096088A" w:rsidP="0096088A">
            <w:pPr>
              <w:pStyle w:val="CasesLegislationAppealFrom"/>
              <w:spacing w:after="60"/>
            </w:pPr>
            <w:bookmarkStart w:id="5" w:name="Cases_Cited"/>
            <w:r w:rsidRPr="00393BEA">
              <w:rPr>
                <w:i/>
              </w:rPr>
              <w:t xml:space="preserve">AB v Minister for Immigration and Citizenship </w:t>
            </w:r>
            <w:r w:rsidRPr="00393BEA">
              <w:t>(2007) 96 ALD 53; [2007] FCA 910</w:t>
            </w:r>
          </w:p>
          <w:p w14:paraId="2792BA65" w14:textId="77777777" w:rsidR="0096088A" w:rsidRPr="0096088A" w:rsidRDefault="0096088A" w:rsidP="0096088A">
            <w:pPr>
              <w:pStyle w:val="CasesLegislationAppealFrom"/>
              <w:spacing w:after="60"/>
            </w:pPr>
            <w:r w:rsidRPr="00393BEA">
              <w:rPr>
                <w:i/>
              </w:rPr>
              <w:t xml:space="preserve">Appellant S395/2002 v Minister for Immigration and Multicultural Affairs </w:t>
            </w:r>
            <w:r w:rsidRPr="00393BEA">
              <w:t>(2003) 216 CLR 473; [2003] HCA 71</w:t>
            </w:r>
          </w:p>
          <w:p w14:paraId="2792BA66" w14:textId="77777777" w:rsidR="0096088A" w:rsidRPr="0096088A" w:rsidRDefault="0096088A" w:rsidP="0096088A">
            <w:pPr>
              <w:pStyle w:val="CasesLegislationAppealFrom"/>
              <w:spacing w:after="60"/>
            </w:pPr>
            <w:r w:rsidRPr="00393BEA">
              <w:rPr>
                <w:i/>
              </w:rPr>
              <w:t xml:space="preserve">Applicant A v Minister for Immigration and Multicultural Affairs </w:t>
            </w:r>
            <w:r w:rsidRPr="00393BEA">
              <w:t>(1997) 190 CLR 225</w:t>
            </w:r>
            <w:r w:rsidR="009155B6">
              <w:t>; [1997] HCA 4</w:t>
            </w:r>
          </w:p>
          <w:p w14:paraId="2792BA67" w14:textId="77777777" w:rsidR="0096088A" w:rsidRPr="0096088A" w:rsidRDefault="0096088A" w:rsidP="0096088A">
            <w:pPr>
              <w:pStyle w:val="CasesLegislationAppealFrom"/>
              <w:spacing w:after="60"/>
            </w:pPr>
            <w:r w:rsidRPr="00393BEA">
              <w:rPr>
                <w:i/>
              </w:rPr>
              <w:t xml:space="preserve">Applicant S v Minister for Immigration and Multicultural Affairs </w:t>
            </w:r>
            <w:r w:rsidRPr="00393BEA">
              <w:t>(2004) 217 CLR 387; [2004] HCA 25</w:t>
            </w:r>
          </w:p>
          <w:p w14:paraId="2792BA68" w14:textId="77777777" w:rsidR="0096088A" w:rsidRPr="0096088A" w:rsidRDefault="0096088A" w:rsidP="0096088A">
            <w:pPr>
              <w:pStyle w:val="CasesLegislationAppealFrom"/>
              <w:spacing w:after="60"/>
            </w:pPr>
            <w:r w:rsidRPr="00393BEA">
              <w:rPr>
                <w:i/>
              </w:rPr>
              <w:t>Craig v South Australia</w:t>
            </w:r>
            <w:r w:rsidRPr="00393BEA">
              <w:t xml:space="preserve"> (1995) 184 CLR 163</w:t>
            </w:r>
            <w:r w:rsidR="00F16272">
              <w:t>; [1995] HCA 58</w:t>
            </w:r>
          </w:p>
          <w:p w14:paraId="2792BA69" w14:textId="77777777" w:rsidR="0096088A" w:rsidRPr="0096088A" w:rsidRDefault="0096088A" w:rsidP="0096088A">
            <w:pPr>
              <w:pStyle w:val="CasesLegislationAppealFrom"/>
              <w:spacing w:after="60"/>
            </w:pPr>
            <w:r w:rsidRPr="00393BEA">
              <w:rPr>
                <w:i/>
              </w:rPr>
              <w:t xml:space="preserve">Hossain v Minister for Immigration and Border Protection </w:t>
            </w:r>
            <w:r w:rsidRPr="00393BEA">
              <w:t>(2018) 264 CLR 123</w:t>
            </w:r>
            <w:r w:rsidR="009155B6">
              <w:t>; [2018] HCA 34</w:t>
            </w:r>
          </w:p>
          <w:p w14:paraId="2792BA6A" w14:textId="77777777" w:rsidR="0096088A" w:rsidRPr="0096088A" w:rsidRDefault="0096088A" w:rsidP="0096088A">
            <w:pPr>
              <w:pStyle w:val="CasesLegislationAppealFrom"/>
              <w:spacing w:after="60"/>
            </w:pPr>
            <w:r w:rsidRPr="00393BEA">
              <w:rPr>
                <w:i/>
              </w:rPr>
              <w:t xml:space="preserve">HRZN v Minister for Immigration, Citizenship, Migrant Services and Multicultural Affairs </w:t>
            </w:r>
            <w:r w:rsidRPr="00393BEA">
              <w:t>[2021] FCA 1431</w:t>
            </w:r>
            <w:r w:rsidRPr="0096088A" w:rsidDel="0096088A">
              <w:t xml:space="preserve">   </w:t>
            </w:r>
          </w:p>
          <w:p w14:paraId="2792BA6B" w14:textId="77777777" w:rsidR="0096088A" w:rsidRPr="0096088A" w:rsidRDefault="0096088A" w:rsidP="0096088A">
            <w:pPr>
              <w:pStyle w:val="CasesLegislationAppealFrom"/>
              <w:spacing w:after="60"/>
            </w:pPr>
            <w:r w:rsidRPr="00393BEA">
              <w:rPr>
                <w:i/>
              </w:rPr>
              <w:t xml:space="preserve">Minister for Home Affairs v Omar </w:t>
            </w:r>
            <w:r w:rsidRPr="00393BEA">
              <w:t>(2019) 272 FCR 589; [2019] FCAFC 188</w:t>
            </w:r>
          </w:p>
          <w:p w14:paraId="2792BA6C" w14:textId="77777777" w:rsidR="0096088A" w:rsidRPr="0096088A" w:rsidRDefault="0096088A" w:rsidP="0096088A">
            <w:pPr>
              <w:pStyle w:val="CasesLegislationAppealFrom"/>
              <w:spacing w:after="60"/>
            </w:pPr>
            <w:r w:rsidRPr="00393BEA">
              <w:rPr>
                <w:i/>
              </w:rPr>
              <w:t xml:space="preserve">Minister for Immigration and Multicultural Affairs v Ibrahim </w:t>
            </w:r>
            <w:r w:rsidRPr="00393BEA">
              <w:t>(2000) 204 CLR 1; [2002] HCA 55</w:t>
            </w:r>
          </w:p>
          <w:p w14:paraId="2792BA6D" w14:textId="77777777" w:rsidR="0096088A" w:rsidRPr="0096088A" w:rsidRDefault="0096088A" w:rsidP="0096088A">
            <w:pPr>
              <w:pStyle w:val="CasesLegislationAppealFrom"/>
              <w:spacing w:after="60"/>
            </w:pPr>
            <w:r w:rsidRPr="00393BEA">
              <w:rPr>
                <w:i/>
              </w:rPr>
              <w:t xml:space="preserve">MQGT v Minister for Immigration, Citizenship, Migrant </w:t>
            </w:r>
            <w:r w:rsidRPr="00393BEA">
              <w:rPr>
                <w:i/>
              </w:rPr>
              <w:lastRenderedPageBreak/>
              <w:t xml:space="preserve">services and Multicultural Affairs </w:t>
            </w:r>
            <w:r w:rsidRPr="00393BEA">
              <w:t>(2020) 282 FCR 285; [2020] FCAFC 215</w:t>
            </w:r>
          </w:p>
          <w:p w14:paraId="2792BA6E" w14:textId="77777777" w:rsidR="0096088A" w:rsidRPr="0096088A" w:rsidRDefault="0096088A" w:rsidP="0096088A">
            <w:pPr>
              <w:pStyle w:val="CasesLegislationAppealFrom"/>
              <w:spacing w:after="60"/>
            </w:pPr>
            <w:r w:rsidRPr="00393BEA">
              <w:rPr>
                <w:i/>
              </w:rPr>
              <w:t>NABE v Minister for Immigration and Multicultural and Indigenous Affairs (No 2)</w:t>
            </w:r>
            <w:r w:rsidRPr="00393BEA">
              <w:t xml:space="preserve"> (2004) 144 FCR 1; [2004] FCAFC 263</w:t>
            </w:r>
          </w:p>
          <w:p w14:paraId="2792BA6F" w14:textId="77777777" w:rsidR="0096088A" w:rsidRPr="0096088A" w:rsidRDefault="0096088A" w:rsidP="0096088A">
            <w:pPr>
              <w:pStyle w:val="CasesLegislationAppealFrom"/>
              <w:spacing w:after="60"/>
            </w:pPr>
            <w:r w:rsidRPr="00393BEA">
              <w:rPr>
                <w:i/>
              </w:rPr>
              <w:t>Plaintiff M1/2021 v Minister for Home Affairs</w:t>
            </w:r>
            <w:r w:rsidRPr="00393BEA">
              <w:t xml:space="preserve"> (2022) </w:t>
            </w:r>
            <w:r w:rsidR="002C0894">
              <w:t>400 ALR 417</w:t>
            </w:r>
            <w:r w:rsidRPr="00393BEA">
              <w:t>; [2022] HCA 17</w:t>
            </w:r>
          </w:p>
          <w:p w14:paraId="2792BA70" w14:textId="77777777" w:rsidR="0096088A" w:rsidRPr="0096088A" w:rsidRDefault="0096088A" w:rsidP="0096088A">
            <w:pPr>
              <w:pStyle w:val="CasesLegislationAppealFrom"/>
              <w:spacing w:after="60"/>
            </w:pPr>
            <w:proofErr w:type="spellStart"/>
            <w:r w:rsidRPr="00393BEA">
              <w:rPr>
                <w:i/>
              </w:rPr>
              <w:t>Probuild</w:t>
            </w:r>
            <w:proofErr w:type="spellEnd"/>
            <w:r w:rsidRPr="00393BEA">
              <w:rPr>
                <w:i/>
              </w:rPr>
              <w:t xml:space="preserve"> Constructions (</w:t>
            </w:r>
            <w:proofErr w:type="spellStart"/>
            <w:r w:rsidRPr="00393BEA">
              <w:rPr>
                <w:i/>
              </w:rPr>
              <w:t>Aust</w:t>
            </w:r>
            <w:proofErr w:type="spellEnd"/>
            <w:r w:rsidRPr="00393BEA">
              <w:rPr>
                <w:i/>
              </w:rPr>
              <w:t xml:space="preserve">) Pty Ltd v Shade Systems Pty Ltd </w:t>
            </w:r>
            <w:r w:rsidRPr="00393BEA">
              <w:t>(2018) 264 CLR 1; [2018] HCA 4</w:t>
            </w:r>
          </w:p>
          <w:p w14:paraId="2792BA71" w14:textId="77777777" w:rsidR="0096088A" w:rsidRDefault="0096088A" w:rsidP="0096088A">
            <w:pPr>
              <w:pStyle w:val="CasesLegislationAppealFrom"/>
              <w:spacing w:after="60"/>
            </w:pPr>
            <w:r w:rsidRPr="00393BEA">
              <w:rPr>
                <w:i/>
              </w:rPr>
              <w:t xml:space="preserve">R v Connell; Ex parte </w:t>
            </w:r>
            <w:proofErr w:type="spellStart"/>
            <w:r w:rsidRPr="00393BEA">
              <w:rPr>
                <w:i/>
              </w:rPr>
              <w:t>Hetton</w:t>
            </w:r>
            <w:proofErr w:type="spellEnd"/>
            <w:r w:rsidRPr="00393BEA">
              <w:rPr>
                <w:i/>
              </w:rPr>
              <w:t xml:space="preserve"> Bellbird Collieries Ltd </w:t>
            </w:r>
            <w:r w:rsidRPr="00393BEA">
              <w:t>(1944) 69 CLR 407</w:t>
            </w:r>
            <w:r w:rsidR="00F16272">
              <w:t>; [1944] HCA 2</w:t>
            </w:r>
          </w:p>
          <w:p w14:paraId="2792BA72" w14:textId="77777777" w:rsidR="009C3CF6" w:rsidRPr="0096088A" w:rsidRDefault="009C3CF6" w:rsidP="0096088A">
            <w:pPr>
              <w:pStyle w:val="CasesLegislationAppealFrom"/>
              <w:spacing w:after="60"/>
            </w:pPr>
            <w:r w:rsidRPr="00FC5FD3">
              <w:rPr>
                <w:i/>
              </w:rPr>
              <w:t>Re Minister for Immigration and Multicultural Affairs; ex parte Lam</w:t>
            </w:r>
            <w:r>
              <w:t xml:space="preserve"> (2003) 214 CLR 1</w:t>
            </w:r>
            <w:r w:rsidR="005960A2">
              <w:t>; [2003] HCA 6</w:t>
            </w:r>
          </w:p>
          <w:p w14:paraId="2792BA73" w14:textId="77777777" w:rsidR="0096088A" w:rsidRPr="0096088A" w:rsidRDefault="0096088A" w:rsidP="0096088A">
            <w:pPr>
              <w:pStyle w:val="CasesLegislationAppealFrom"/>
              <w:spacing w:after="60"/>
            </w:pPr>
            <w:r w:rsidRPr="00393BEA">
              <w:rPr>
                <w:i/>
              </w:rPr>
              <w:t xml:space="preserve">Re Minister for Immigration and Multicultural Affairs; Ex parte Miah </w:t>
            </w:r>
            <w:r w:rsidRPr="00393BEA">
              <w:t>(2001) 206 CLR 57; [2001] HCA 22</w:t>
            </w:r>
          </w:p>
          <w:p w14:paraId="2792BA74" w14:textId="77777777" w:rsidR="0096088A" w:rsidRPr="0096088A" w:rsidRDefault="0096088A" w:rsidP="0096088A">
            <w:pPr>
              <w:pStyle w:val="CasesLegislationAppealFrom"/>
              <w:spacing w:after="60"/>
            </w:pPr>
            <w:proofErr w:type="spellStart"/>
            <w:r w:rsidRPr="00393BEA">
              <w:rPr>
                <w:i/>
              </w:rPr>
              <w:t>Snedden</w:t>
            </w:r>
            <w:proofErr w:type="spellEnd"/>
            <w:r w:rsidRPr="00393BEA">
              <w:rPr>
                <w:i/>
              </w:rPr>
              <w:t xml:space="preserve"> v Minister for Justice </w:t>
            </w:r>
            <w:r w:rsidRPr="00393BEA">
              <w:t>(2014) 230 FCR 82</w:t>
            </w:r>
            <w:r w:rsidR="009155B6">
              <w:t>;</w:t>
            </w:r>
            <w:r w:rsidRPr="00393BEA">
              <w:t xml:space="preserve"> [2014] FCAFC 156</w:t>
            </w:r>
          </w:p>
          <w:p w14:paraId="2792BA75" w14:textId="77777777" w:rsidR="0096088A" w:rsidRPr="0096088A" w:rsidRDefault="00BE0876" w:rsidP="0096088A">
            <w:pPr>
              <w:pStyle w:val="CasesLegislationAppealFrom"/>
              <w:spacing w:after="60"/>
            </w:pPr>
            <w:r>
              <w:rPr>
                <w:i/>
              </w:rPr>
              <w:t>Wei v Minister for I</w:t>
            </w:r>
            <w:r w:rsidR="0096088A" w:rsidRPr="00393BEA">
              <w:rPr>
                <w:i/>
              </w:rPr>
              <w:t xml:space="preserve">mmigration and Border Protection </w:t>
            </w:r>
            <w:r w:rsidR="0096088A" w:rsidRPr="00393BEA">
              <w:t>(2015) 257 CLR 22; [2015] HCA 51</w:t>
            </w:r>
            <w:bookmarkEnd w:id="5"/>
          </w:p>
        </w:tc>
      </w:tr>
      <w:tr w:rsidR="000D1303" w14:paraId="2792BA79" w14:textId="77777777" w:rsidTr="00056635">
        <w:tc>
          <w:tcPr>
            <w:tcW w:w="3083" w:type="dxa"/>
            <w:shd w:val="clear" w:color="auto" w:fill="auto"/>
          </w:tcPr>
          <w:p w14:paraId="2792BA77" w14:textId="77777777" w:rsidR="000D1303" w:rsidRDefault="000D1303" w:rsidP="0022098A">
            <w:pPr>
              <w:pStyle w:val="Normal1linespace"/>
              <w:widowControl w:val="0"/>
            </w:pPr>
          </w:p>
        </w:tc>
        <w:tc>
          <w:tcPr>
            <w:tcW w:w="5989" w:type="dxa"/>
            <w:shd w:val="clear" w:color="auto" w:fill="auto"/>
          </w:tcPr>
          <w:p w14:paraId="2792BA78" w14:textId="77777777" w:rsidR="000D1303" w:rsidRDefault="000D1303" w:rsidP="0022098A">
            <w:pPr>
              <w:pStyle w:val="Normal1linespace"/>
              <w:widowControl w:val="0"/>
              <w:jc w:val="left"/>
            </w:pPr>
          </w:p>
        </w:tc>
      </w:tr>
      <w:tr w:rsidR="000D1303" w14:paraId="2792BA7C" w14:textId="77777777" w:rsidTr="00056635">
        <w:tc>
          <w:tcPr>
            <w:tcW w:w="3083" w:type="dxa"/>
            <w:shd w:val="clear" w:color="auto" w:fill="auto"/>
          </w:tcPr>
          <w:p w14:paraId="2792BA7A" w14:textId="77777777" w:rsidR="000D1303" w:rsidRDefault="000D1303" w:rsidP="00501A12">
            <w:pPr>
              <w:pStyle w:val="Normal1linespace"/>
              <w:widowControl w:val="0"/>
            </w:pPr>
            <w:r>
              <w:t>Division:</w:t>
            </w:r>
          </w:p>
        </w:tc>
        <w:tc>
          <w:tcPr>
            <w:tcW w:w="5989" w:type="dxa"/>
            <w:shd w:val="clear" w:color="auto" w:fill="auto"/>
          </w:tcPr>
          <w:p w14:paraId="2792BA7B" w14:textId="77777777" w:rsidR="000D1303" w:rsidRPr="00F17599" w:rsidRDefault="009225DF" w:rsidP="00501A12">
            <w:pPr>
              <w:pStyle w:val="Normal1linespace"/>
              <w:widowControl w:val="0"/>
              <w:jc w:val="left"/>
            </w:pPr>
            <w:r>
              <w:fldChar w:fldCharType="begin"/>
            </w:r>
            <w:r>
              <w:instrText>DOCPROPERTY  Division</w:instrText>
            </w:r>
            <w:r>
              <w:fldChar w:fldCharType="separate"/>
            </w:r>
            <w:r w:rsidR="000D1303">
              <w:t>General Division</w:t>
            </w:r>
            <w:r>
              <w:fldChar w:fldCharType="end"/>
            </w:r>
          </w:p>
        </w:tc>
      </w:tr>
      <w:tr w:rsidR="000D1303" w14:paraId="2792BA7F" w14:textId="77777777" w:rsidTr="00056635">
        <w:tc>
          <w:tcPr>
            <w:tcW w:w="3083" w:type="dxa"/>
            <w:shd w:val="clear" w:color="auto" w:fill="auto"/>
          </w:tcPr>
          <w:p w14:paraId="2792BA7D" w14:textId="77777777" w:rsidR="000D1303" w:rsidRDefault="000D1303" w:rsidP="00501A12">
            <w:pPr>
              <w:pStyle w:val="Normal1linespace"/>
              <w:widowControl w:val="0"/>
            </w:pPr>
            <w:bookmarkStart w:id="6" w:name="Registry_rows" w:colFirst="0" w:colLast="1"/>
          </w:p>
        </w:tc>
        <w:tc>
          <w:tcPr>
            <w:tcW w:w="5989" w:type="dxa"/>
            <w:shd w:val="clear" w:color="auto" w:fill="auto"/>
          </w:tcPr>
          <w:p w14:paraId="2792BA7E" w14:textId="77777777" w:rsidR="000D1303" w:rsidRDefault="000D1303" w:rsidP="00501A12">
            <w:pPr>
              <w:pStyle w:val="Normal1linespace"/>
              <w:widowControl w:val="0"/>
              <w:jc w:val="left"/>
            </w:pPr>
          </w:p>
        </w:tc>
      </w:tr>
      <w:tr w:rsidR="000D1303" w14:paraId="2792BA82" w14:textId="77777777" w:rsidTr="00056635">
        <w:tc>
          <w:tcPr>
            <w:tcW w:w="3083" w:type="dxa"/>
            <w:shd w:val="clear" w:color="auto" w:fill="auto"/>
          </w:tcPr>
          <w:p w14:paraId="2792BA80" w14:textId="77777777" w:rsidR="000D1303" w:rsidRDefault="000D1303" w:rsidP="00501A12">
            <w:pPr>
              <w:pStyle w:val="Normal1linespace"/>
              <w:widowControl w:val="0"/>
            </w:pPr>
            <w:r>
              <w:t>Registry:</w:t>
            </w:r>
          </w:p>
        </w:tc>
        <w:tc>
          <w:tcPr>
            <w:tcW w:w="5989" w:type="dxa"/>
            <w:shd w:val="clear" w:color="auto" w:fill="auto"/>
          </w:tcPr>
          <w:p w14:paraId="2792BA81" w14:textId="77777777" w:rsidR="000D1303" w:rsidRPr="00F17599" w:rsidRDefault="009225DF" w:rsidP="00501A12">
            <w:pPr>
              <w:pStyle w:val="Normal1linespace"/>
              <w:widowControl w:val="0"/>
              <w:jc w:val="left"/>
            </w:pPr>
            <w:r>
              <w:fldChar w:fldCharType="begin"/>
            </w:r>
            <w:r>
              <w:instrText>DOCPROPERTY  Registry</w:instrText>
            </w:r>
            <w:r>
              <w:fldChar w:fldCharType="separate"/>
            </w:r>
            <w:r w:rsidR="000D1303">
              <w:t>Victoria</w:t>
            </w:r>
            <w:r>
              <w:fldChar w:fldCharType="end"/>
            </w:r>
          </w:p>
        </w:tc>
      </w:tr>
      <w:tr w:rsidR="000D1303" w14:paraId="2792BA85" w14:textId="77777777" w:rsidTr="00056635">
        <w:tc>
          <w:tcPr>
            <w:tcW w:w="3083" w:type="dxa"/>
            <w:shd w:val="clear" w:color="auto" w:fill="auto"/>
          </w:tcPr>
          <w:p w14:paraId="2792BA83" w14:textId="77777777" w:rsidR="000D1303" w:rsidRDefault="000D1303" w:rsidP="00501A12">
            <w:pPr>
              <w:pStyle w:val="Normal1linespace"/>
              <w:widowControl w:val="0"/>
            </w:pPr>
            <w:bookmarkStart w:id="7" w:name="NPARow" w:colFirst="0" w:colLast="1"/>
            <w:bookmarkEnd w:id="6"/>
          </w:p>
        </w:tc>
        <w:tc>
          <w:tcPr>
            <w:tcW w:w="5989" w:type="dxa"/>
            <w:shd w:val="clear" w:color="auto" w:fill="auto"/>
          </w:tcPr>
          <w:p w14:paraId="2792BA84" w14:textId="77777777" w:rsidR="000D1303" w:rsidRPr="00F17599" w:rsidRDefault="000D1303" w:rsidP="00501A12">
            <w:pPr>
              <w:pStyle w:val="Normal1linespace"/>
              <w:widowControl w:val="0"/>
              <w:jc w:val="left"/>
              <w:rPr>
                <w:b/>
              </w:rPr>
            </w:pPr>
          </w:p>
        </w:tc>
      </w:tr>
      <w:tr w:rsidR="000D1303" w14:paraId="2792BA88" w14:textId="77777777" w:rsidTr="00056635">
        <w:tc>
          <w:tcPr>
            <w:tcW w:w="3083" w:type="dxa"/>
            <w:shd w:val="clear" w:color="auto" w:fill="auto"/>
          </w:tcPr>
          <w:p w14:paraId="2792BA86" w14:textId="77777777" w:rsidR="000D1303" w:rsidRDefault="000D1303" w:rsidP="00501A12">
            <w:pPr>
              <w:pStyle w:val="Normal1linespace"/>
              <w:widowControl w:val="0"/>
            </w:pPr>
            <w:r>
              <w:t>National Practice Area:</w:t>
            </w:r>
          </w:p>
        </w:tc>
        <w:tc>
          <w:tcPr>
            <w:tcW w:w="5989" w:type="dxa"/>
            <w:shd w:val="clear" w:color="auto" w:fill="auto"/>
          </w:tcPr>
          <w:p w14:paraId="2792BA87" w14:textId="77777777" w:rsidR="000D1303" w:rsidRPr="00F17599" w:rsidRDefault="005D30C5" w:rsidP="0022098A">
            <w:pPr>
              <w:pStyle w:val="Normal1linespace"/>
              <w:widowControl w:val="0"/>
              <w:jc w:val="left"/>
              <w:rPr>
                <w:b/>
              </w:rPr>
            </w:pPr>
            <w:r>
              <w:fldChar w:fldCharType="begin"/>
            </w:r>
            <w:r>
              <w:instrText>DOCPROPERTY  "Practice Area"  \* MERGEFORMAT</w:instrText>
            </w:r>
            <w:r>
              <w:fldChar w:fldCharType="separate"/>
            </w:r>
            <w:r w:rsidR="000D1303">
              <w:t>Administrative and Constitutional Law and Human Rights</w:t>
            </w:r>
            <w:r>
              <w:fldChar w:fldCharType="end"/>
            </w:r>
          </w:p>
        </w:tc>
      </w:tr>
      <w:bookmarkEnd w:id="7"/>
      <w:tr w:rsidR="000D1303" w14:paraId="2792BA8B" w14:textId="77777777" w:rsidTr="00056635">
        <w:tc>
          <w:tcPr>
            <w:tcW w:w="3083" w:type="dxa"/>
            <w:shd w:val="clear" w:color="auto" w:fill="auto"/>
          </w:tcPr>
          <w:p w14:paraId="2792BA89" w14:textId="77777777" w:rsidR="000D1303" w:rsidRDefault="000D1303" w:rsidP="00501A12">
            <w:pPr>
              <w:pStyle w:val="Normal1linespace"/>
              <w:widowControl w:val="0"/>
            </w:pPr>
          </w:p>
        </w:tc>
        <w:tc>
          <w:tcPr>
            <w:tcW w:w="5989" w:type="dxa"/>
            <w:shd w:val="clear" w:color="auto" w:fill="auto"/>
          </w:tcPr>
          <w:p w14:paraId="2792BA8A" w14:textId="77777777" w:rsidR="000D1303" w:rsidRDefault="000D1303" w:rsidP="00501A12">
            <w:pPr>
              <w:pStyle w:val="Normal1linespace"/>
              <w:widowControl w:val="0"/>
              <w:jc w:val="left"/>
            </w:pPr>
          </w:p>
        </w:tc>
      </w:tr>
      <w:tr w:rsidR="000D1303" w14:paraId="2792BA8E" w14:textId="77777777" w:rsidTr="00056635">
        <w:tc>
          <w:tcPr>
            <w:tcW w:w="3083" w:type="dxa"/>
            <w:shd w:val="clear" w:color="auto" w:fill="auto"/>
          </w:tcPr>
          <w:p w14:paraId="2792BA8C" w14:textId="77777777" w:rsidR="000D1303" w:rsidRDefault="000D1303" w:rsidP="00501A12">
            <w:pPr>
              <w:pStyle w:val="Normal1linespace"/>
              <w:widowControl w:val="0"/>
            </w:pPr>
            <w:r>
              <w:t>Number of paragraphs:</w:t>
            </w:r>
          </w:p>
        </w:tc>
        <w:tc>
          <w:tcPr>
            <w:tcW w:w="5989" w:type="dxa"/>
            <w:shd w:val="clear" w:color="auto" w:fill="auto"/>
          </w:tcPr>
          <w:p w14:paraId="2792BA8D" w14:textId="58CC4C1B" w:rsidR="000D1303" w:rsidRDefault="00056635" w:rsidP="00790AED">
            <w:pPr>
              <w:pStyle w:val="Normal1linespace"/>
              <w:widowControl w:val="0"/>
              <w:jc w:val="left"/>
            </w:pPr>
            <w:bookmarkStart w:id="8" w:name="PlaceCategoryParagraphs"/>
            <w:r>
              <w:t>75</w:t>
            </w:r>
            <w:bookmarkEnd w:id="8"/>
          </w:p>
        </w:tc>
      </w:tr>
      <w:tr w:rsidR="000D1303" w14:paraId="2792BA91" w14:textId="77777777" w:rsidTr="00056635">
        <w:tc>
          <w:tcPr>
            <w:tcW w:w="3083" w:type="dxa"/>
            <w:shd w:val="clear" w:color="auto" w:fill="auto"/>
          </w:tcPr>
          <w:p w14:paraId="2792BA8F" w14:textId="77777777" w:rsidR="000D1303" w:rsidRDefault="000D1303" w:rsidP="000D1303">
            <w:pPr>
              <w:pStyle w:val="Normal1linespace"/>
              <w:widowControl w:val="0"/>
              <w:jc w:val="left"/>
            </w:pPr>
          </w:p>
        </w:tc>
        <w:tc>
          <w:tcPr>
            <w:tcW w:w="5989" w:type="dxa"/>
            <w:shd w:val="clear" w:color="auto" w:fill="auto"/>
          </w:tcPr>
          <w:p w14:paraId="2792BA90" w14:textId="77777777" w:rsidR="000D1303" w:rsidRDefault="000D1303" w:rsidP="000D1303">
            <w:pPr>
              <w:pStyle w:val="Normal1linespace"/>
              <w:widowControl w:val="0"/>
              <w:jc w:val="left"/>
            </w:pPr>
          </w:p>
        </w:tc>
      </w:tr>
      <w:tr w:rsidR="000D1303" w14:paraId="2792BA94" w14:textId="77777777" w:rsidTr="00056635">
        <w:tc>
          <w:tcPr>
            <w:tcW w:w="3083" w:type="dxa"/>
            <w:shd w:val="clear" w:color="auto" w:fill="auto"/>
          </w:tcPr>
          <w:p w14:paraId="2792BA92" w14:textId="77777777" w:rsidR="000D1303" w:rsidRPr="00393BEA" w:rsidRDefault="000D1303" w:rsidP="000D1303">
            <w:pPr>
              <w:pStyle w:val="Normal1linespace"/>
              <w:widowControl w:val="0"/>
              <w:jc w:val="left"/>
            </w:pPr>
            <w:bookmarkStart w:id="9" w:name="CounselDate" w:colFirst="0" w:colLast="2"/>
            <w:r w:rsidRPr="00393BEA">
              <w:t>Date of hearing:</w:t>
            </w:r>
          </w:p>
        </w:tc>
        <w:tc>
          <w:tcPr>
            <w:tcW w:w="5989" w:type="dxa"/>
            <w:shd w:val="clear" w:color="auto" w:fill="auto"/>
          </w:tcPr>
          <w:p w14:paraId="2792BA93" w14:textId="77777777" w:rsidR="000D1303" w:rsidRPr="00393BEA" w:rsidRDefault="00DE72E7" w:rsidP="00DE72E7">
            <w:pPr>
              <w:pStyle w:val="Normal1linespace"/>
              <w:widowControl w:val="0"/>
              <w:jc w:val="left"/>
            </w:pPr>
            <w:bookmarkStart w:id="10" w:name="HearingDate"/>
            <w:r w:rsidRPr="00393BEA">
              <w:t>21 June 2022</w:t>
            </w:r>
            <w:bookmarkEnd w:id="10"/>
          </w:p>
        </w:tc>
      </w:tr>
      <w:tr w:rsidR="000D1303" w14:paraId="2792BA97" w14:textId="77777777" w:rsidTr="00056635">
        <w:tc>
          <w:tcPr>
            <w:tcW w:w="3083" w:type="dxa"/>
            <w:shd w:val="clear" w:color="auto" w:fill="auto"/>
          </w:tcPr>
          <w:p w14:paraId="2792BA95" w14:textId="77777777" w:rsidR="000D1303" w:rsidRDefault="000D1303" w:rsidP="000D1303">
            <w:pPr>
              <w:pStyle w:val="Normal1linespace"/>
              <w:widowControl w:val="0"/>
              <w:jc w:val="left"/>
            </w:pPr>
          </w:p>
        </w:tc>
        <w:tc>
          <w:tcPr>
            <w:tcW w:w="5989" w:type="dxa"/>
            <w:shd w:val="clear" w:color="auto" w:fill="auto"/>
          </w:tcPr>
          <w:p w14:paraId="2792BA96" w14:textId="77777777" w:rsidR="000D1303" w:rsidRDefault="000D1303" w:rsidP="000D1303">
            <w:pPr>
              <w:pStyle w:val="Normal1linespace"/>
              <w:widowControl w:val="0"/>
              <w:jc w:val="left"/>
            </w:pPr>
          </w:p>
        </w:tc>
      </w:tr>
      <w:tr w:rsidR="0096088A" w14:paraId="2792BA9A" w14:textId="77777777" w:rsidTr="00056635">
        <w:tc>
          <w:tcPr>
            <w:tcW w:w="3083" w:type="dxa"/>
            <w:shd w:val="clear" w:color="auto" w:fill="auto"/>
          </w:tcPr>
          <w:p w14:paraId="2792BA98" w14:textId="77777777" w:rsidR="0096088A" w:rsidRDefault="0096088A" w:rsidP="00393BEA">
            <w:pPr>
              <w:pStyle w:val="Normal1linespace"/>
              <w:widowControl w:val="0"/>
              <w:jc w:val="left"/>
            </w:pPr>
            <w:bookmarkStart w:id="11" w:name="Counsel" w:colFirst="0" w:colLast="2"/>
            <w:bookmarkStart w:id="12" w:name="CompletionTable"/>
            <w:bookmarkEnd w:id="9"/>
            <w:r>
              <w:t xml:space="preserve">Counsel for the </w:t>
            </w:r>
            <w:r w:rsidR="00DD6FC1">
              <w:t>Appellant</w:t>
            </w:r>
            <w:r>
              <w:t>:</w:t>
            </w:r>
          </w:p>
        </w:tc>
        <w:tc>
          <w:tcPr>
            <w:tcW w:w="5989" w:type="dxa"/>
            <w:shd w:val="clear" w:color="auto" w:fill="auto"/>
          </w:tcPr>
          <w:p w14:paraId="2792BA99" w14:textId="77777777" w:rsidR="0096088A" w:rsidRDefault="0096088A" w:rsidP="0096088A">
            <w:pPr>
              <w:pStyle w:val="Normal1linespace"/>
              <w:widowControl w:val="0"/>
              <w:jc w:val="left"/>
            </w:pPr>
            <w:bookmarkStart w:id="13" w:name="AppCounsel"/>
            <w:bookmarkEnd w:id="13"/>
            <w:r>
              <w:t>Mr J R Murphy</w:t>
            </w:r>
          </w:p>
        </w:tc>
      </w:tr>
      <w:tr w:rsidR="0096088A" w14:paraId="2792BA9D" w14:textId="77777777" w:rsidTr="00056635">
        <w:tc>
          <w:tcPr>
            <w:tcW w:w="3083" w:type="dxa"/>
            <w:shd w:val="clear" w:color="auto" w:fill="auto"/>
          </w:tcPr>
          <w:p w14:paraId="2792BA9B" w14:textId="77777777" w:rsidR="0096088A" w:rsidRDefault="0096088A" w:rsidP="0096088A">
            <w:pPr>
              <w:pStyle w:val="Normal1linespace"/>
              <w:widowControl w:val="0"/>
              <w:jc w:val="left"/>
            </w:pPr>
          </w:p>
        </w:tc>
        <w:tc>
          <w:tcPr>
            <w:tcW w:w="5989" w:type="dxa"/>
            <w:shd w:val="clear" w:color="auto" w:fill="auto"/>
          </w:tcPr>
          <w:p w14:paraId="2792BA9C" w14:textId="77777777" w:rsidR="0096088A" w:rsidRDefault="0096088A" w:rsidP="0096088A">
            <w:pPr>
              <w:pStyle w:val="Normal1linespace"/>
              <w:widowControl w:val="0"/>
              <w:jc w:val="left"/>
            </w:pPr>
          </w:p>
        </w:tc>
      </w:tr>
      <w:tr w:rsidR="0096088A" w14:paraId="2792BAA0" w14:textId="77777777" w:rsidTr="00056635">
        <w:tc>
          <w:tcPr>
            <w:tcW w:w="3083" w:type="dxa"/>
            <w:shd w:val="clear" w:color="auto" w:fill="auto"/>
          </w:tcPr>
          <w:p w14:paraId="2792BA9E" w14:textId="77777777" w:rsidR="0096088A" w:rsidRDefault="0096088A" w:rsidP="0096088A">
            <w:pPr>
              <w:pStyle w:val="Normal1linespace"/>
              <w:widowControl w:val="0"/>
              <w:jc w:val="left"/>
            </w:pPr>
            <w:r>
              <w:t xml:space="preserve">Counsel for the </w:t>
            </w:r>
            <w:r w:rsidR="00AD5284">
              <w:t xml:space="preserve">First </w:t>
            </w:r>
            <w:r>
              <w:t>Respondent:</w:t>
            </w:r>
          </w:p>
        </w:tc>
        <w:tc>
          <w:tcPr>
            <w:tcW w:w="5989" w:type="dxa"/>
            <w:shd w:val="clear" w:color="auto" w:fill="auto"/>
          </w:tcPr>
          <w:p w14:paraId="2792BA9F" w14:textId="77777777" w:rsidR="0096088A" w:rsidRDefault="0096088A" w:rsidP="0096088A">
            <w:pPr>
              <w:pStyle w:val="Normal1linespace"/>
              <w:widowControl w:val="0"/>
              <w:jc w:val="left"/>
            </w:pPr>
            <w:r>
              <w:t>Mr S Lloyd SC with Mr M Hosking</w:t>
            </w:r>
          </w:p>
        </w:tc>
      </w:tr>
      <w:tr w:rsidR="0096088A" w14:paraId="2792BAA3" w14:textId="77777777" w:rsidTr="00056635">
        <w:tc>
          <w:tcPr>
            <w:tcW w:w="3083" w:type="dxa"/>
            <w:shd w:val="clear" w:color="auto" w:fill="auto"/>
          </w:tcPr>
          <w:p w14:paraId="2792BAA1" w14:textId="77777777" w:rsidR="0096088A" w:rsidRDefault="0096088A" w:rsidP="0096088A">
            <w:pPr>
              <w:pStyle w:val="Normal1linespace"/>
              <w:widowControl w:val="0"/>
              <w:jc w:val="left"/>
            </w:pPr>
          </w:p>
        </w:tc>
        <w:tc>
          <w:tcPr>
            <w:tcW w:w="5989" w:type="dxa"/>
            <w:shd w:val="clear" w:color="auto" w:fill="auto"/>
          </w:tcPr>
          <w:p w14:paraId="2792BAA2" w14:textId="77777777" w:rsidR="0096088A" w:rsidRDefault="0096088A" w:rsidP="0096088A">
            <w:pPr>
              <w:pStyle w:val="Normal1linespace"/>
              <w:widowControl w:val="0"/>
              <w:jc w:val="left"/>
            </w:pPr>
          </w:p>
        </w:tc>
      </w:tr>
      <w:tr w:rsidR="0096088A" w14:paraId="2792BAA6" w14:textId="77777777" w:rsidTr="00056635">
        <w:tc>
          <w:tcPr>
            <w:tcW w:w="3083" w:type="dxa"/>
            <w:shd w:val="clear" w:color="auto" w:fill="auto"/>
          </w:tcPr>
          <w:p w14:paraId="2792BAA4" w14:textId="77777777" w:rsidR="0096088A" w:rsidRDefault="0096088A" w:rsidP="0096088A">
            <w:pPr>
              <w:pStyle w:val="Normal1linespace"/>
              <w:widowControl w:val="0"/>
              <w:jc w:val="left"/>
            </w:pPr>
            <w:r>
              <w:t xml:space="preserve">Solicitor for the </w:t>
            </w:r>
            <w:r w:rsidR="00AD5284">
              <w:t xml:space="preserve">First </w:t>
            </w:r>
            <w:r>
              <w:t>Respondent:</w:t>
            </w:r>
          </w:p>
        </w:tc>
        <w:tc>
          <w:tcPr>
            <w:tcW w:w="5989" w:type="dxa"/>
            <w:shd w:val="clear" w:color="auto" w:fill="auto"/>
          </w:tcPr>
          <w:p w14:paraId="2792BAA5" w14:textId="77777777" w:rsidR="0096088A" w:rsidRDefault="0096088A" w:rsidP="0096088A">
            <w:pPr>
              <w:pStyle w:val="Normal1linespace"/>
              <w:widowControl w:val="0"/>
              <w:jc w:val="left"/>
            </w:pPr>
            <w:r>
              <w:t xml:space="preserve">Sparke </w:t>
            </w:r>
            <w:proofErr w:type="spellStart"/>
            <w:r>
              <w:t>Helmore</w:t>
            </w:r>
            <w:proofErr w:type="spellEnd"/>
          </w:p>
        </w:tc>
      </w:tr>
      <w:bookmarkEnd w:id="11"/>
      <w:bookmarkEnd w:id="12"/>
    </w:tbl>
    <w:p w14:paraId="2792BAA7" w14:textId="77777777" w:rsidR="007470BD" w:rsidRDefault="007470BD">
      <w:pPr>
        <w:pStyle w:val="Normal1linespace"/>
      </w:pPr>
    </w:p>
    <w:p w14:paraId="2792BAA8" w14:textId="77777777" w:rsidR="00E94CBF" w:rsidRDefault="00E94CBF">
      <w:pPr>
        <w:pStyle w:val="Normal1linespace"/>
      </w:pPr>
    </w:p>
    <w:p w14:paraId="2792BAA9"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2792BAA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792BAAD" w14:textId="77777777" w:rsidTr="00E81DA6">
        <w:tc>
          <w:tcPr>
            <w:tcW w:w="6912" w:type="dxa"/>
            <w:gridSpan w:val="2"/>
          </w:tcPr>
          <w:p w14:paraId="2792BAAB" w14:textId="77777777" w:rsidR="00A46CCC" w:rsidRPr="001765E0" w:rsidRDefault="00A46CCC" w:rsidP="00525A49">
            <w:pPr>
              <w:pStyle w:val="NormalHeadings"/>
            </w:pPr>
          </w:p>
        </w:tc>
        <w:tc>
          <w:tcPr>
            <w:tcW w:w="2330" w:type="dxa"/>
          </w:tcPr>
          <w:p w14:paraId="2792BAAC" w14:textId="00102925" w:rsidR="00A46CCC" w:rsidRDefault="000D1303" w:rsidP="00F92355">
            <w:pPr>
              <w:pStyle w:val="NormalHeadings"/>
              <w:jc w:val="right"/>
            </w:pPr>
            <w:bookmarkStart w:id="14" w:name="FileNo"/>
            <w:r>
              <w:t>VID</w:t>
            </w:r>
            <w:r w:rsidR="00480E78">
              <w:t xml:space="preserve"> </w:t>
            </w:r>
            <w:r>
              <w:t>773 of 2021</w:t>
            </w:r>
            <w:bookmarkEnd w:id="14"/>
          </w:p>
        </w:tc>
      </w:tr>
      <w:tr w:rsidR="00A76C13" w14:paraId="2792BAAF" w14:textId="77777777" w:rsidTr="0022098A">
        <w:tc>
          <w:tcPr>
            <w:tcW w:w="9242" w:type="dxa"/>
            <w:gridSpan w:val="3"/>
          </w:tcPr>
          <w:p w14:paraId="2792BAAE" w14:textId="77777777" w:rsidR="00A76C13" w:rsidRPr="00A76C13" w:rsidRDefault="000D1303" w:rsidP="000D1303">
            <w:pPr>
              <w:pStyle w:val="NormalHeadings"/>
              <w:jc w:val="left"/>
            </w:pPr>
            <w:bookmarkStart w:id="15" w:name="InTheMatterOf"/>
            <w:r>
              <w:t xml:space="preserve"> </w:t>
            </w:r>
            <w:bookmarkEnd w:id="15"/>
          </w:p>
        </w:tc>
      </w:tr>
      <w:tr w:rsidR="00A46CCC" w14:paraId="2792BAB4" w14:textId="77777777" w:rsidTr="0022098A">
        <w:trPr>
          <w:trHeight w:val="386"/>
        </w:trPr>
        <w:tc>
          <w:tcPr>
            <w:tcW w:w="2376" w:type="dxa"/>
          </w:tcPr>
          <w:p w14:paraId="2792BAB0" w14:textId="77777777" w:rsidR="00A46CCC" w:rsidRDefault="00A46CCC" w:rsidP="0022098A">
            <w:pPr>
              <w:pStyle w:val="NormalHeadings"/>
              <w:jc w:val="left"/>
              <w:rPr>
                <w:caps/>
                <w:szCs w:val="24"/>
              </w:rPr>
            </w:pPr>
            <w:bookmarkStart w:id="16" w:name="Parties"/>
            <w:r>
              <w:rPr>
                <w:caps/>
                <w:szCs w:val="24"/>
              </w:rPr>
              <w:t>BETWEEN:</w:t>
            </w:r>
          </w:p>
        </w:tc>
        <w:tc>
          <w:tcPr>
            <w:tcW w:w="6866" w:type="dxa"/>
            <w:gridSpan w:val="2"/>
          </w:tcPr>
          <w:p w14:paraId="2792BAB1" w14:textId="77777777" w:rsidR="000D1303" w:rsidRDefault="000D1303" w:rsidP="000D1303">
            <w:pPr>
              <w:pStyle w:val="NormalHeadings"/>
              <w:jc w:val="left"/>
            </w:pPr>
            <w:bookmarkStart w:id="17" w:name="Applicant"/>
            <w:r>
              <w:t>HRZN</w:t>
            </w:r>
          </w:p>
          <w:p w14:paraId="2792BAB2" w14:textId="77777777" w:rsidR="000D1303" w:rsidRDefault="00DD6FC1" w:rsidP="000D1303">
            <w:pPr>
              <w:pStyle w:val="PartyType"/>
            </w:pPr>
            <w:r>
              <w:t>Appellant</w:t>
            </w:r>
          </w:p>
          <w:bookmarkEnd w:id="17"/>
          <w:p w14:paraId="2792BAB3" w14:textId="77777777" w:rsidR="00A46CCC" w:rsidRPr="006555B4" w:rsidRDefault="00A46CCC" w:rsidP="0022098A">
            <w:pPr>
              <w:pStyle w:val="NormalHeadings"/>
              <w:jc w:val="left"/>
            </w:pPr>
          </w:p>
        </w:tc>
      </w:tr>
      <w:tr w:rsidR="00A46CCC" w14:paraId="2792BABC" w14:textId="77777777" w:rsidTr="0022098A">
        <w:trPr>
          <w:trHeight w:val="386"/>
        </w:trPr>
        <w:tc>
          <w:tcPr>
            <w:tcW w:w="2376" w:type="dxa"/>
          </w:tcPr>
          <w:p w14:paraId="2792BAB5" w14:textId="77777777" w:rsidR="00A46CCC" w:rsidRDefault="00A46CCC" w:rsidP="0022098A">
            <w:pPr>
              <w:pStyle w:val="NormalHeadings"/>
              <w:jc w:val="left"/>
              <w:rPr>
                <w:caps/>
                <w:szCs w:val="24"/>
              </w:rPr>
            </w:pPr>
            <w:r>
              <w:rPr>
                <w:caps/>
                <w:szCs w:val="24"/>
              </w:rPr>
              <w:t>AND:</w:t>
            </w:r>
          </w:p>
        </w:tc>
        <w:tc>
          <w:tcPr>
            <w:tcW w:w="6866" w:type="dxa"/>
            <w:gridSpan w:val="2"/>
          </w:tcPr>
          <w:p w14:paraId="2792BAB6" w14:textId="77777777" w:rsidR="000D1303" w:rsidRDefault="000D1303" w:rsidP="000D1303">
            <w:pPr>
              <w:pStyle w:val="NormalHeadings"/>
              <w:jc w:val="left"/>
            </w:pPr>
            <w:bookmarkStart w:id="18" w:name="Respondent"/>
            <w:r>
              <w:t>MINISTER FOR IMMIGRATION, CITIZENSHIP, MIGRANT SERVICES AND MULTICULTURAL AFFAIRS</w:t>
            </w:r>
          </w:p>
          <w:p w14:paraId="2792BAB7" w14:textId="77777777" w:rsidR="000D1303" w:rsidRDefault="000D1303" w:rsidP="000D1303">
            <w:pPr>
              <w:pStyle w:val="PartyType"/>
            </w:pPr>
            <w:r>
              <w:t>First Respondent</w:t>
            </w:r>
          </w:p>
          <w:p w14:paraId="2792BAB8" w14:textId="77777777" w:rsidR="000D1303" w:rsidRDefault="000D1303" w:rsidP="0022098A">
            <w:pPr>
              <w:pStyle w:val="NormalHeadings"/>
              <w:jc w:val="left"/>
              <w:rPr>
                <w:szCs w:val="24"/>
              </w:rPr>
            </w:pPr>
          </w:p>
          <w:p w14:paraId="2792BAB9" w14:textId="77777777" w:rsidR="000D1303" w:rsidRDefault="000D1303" w:rsidP="000D1303">
            <w:pPr>
              <w:pStyle w:val="NormalHeadings"/>
              <w:jc w:val="left"/>
            </w:pPr>
            <w:r>
              <w:t>ADMINISTRATIVE APPEALS TRIBUNAL</w:t>
            </w:r>
          </w:p>
          <w:p w14:paraId="2792BABA" w14:textId="77777777" w:rsidR="000D1303" w:rsidRDefault="000D1303" w:rsidP="000D1303">
            <w:pPr>
              <w:pStyle w:val="PartyType"/>
            </w:pPr>
            <w:r>
              <w:t>Second Respondent</w:t>
            </w:r>
          </w:p>
          <w:bookmarkEnd w:id="18"/>
          <w:p w14:paraId="2792BABB" w14:textId="77777777" w:rsidR="00A46CCC" w:rsidRPr="006555B4" w:rsidRDefault="00A46CCC" w:rsidP="0022098A">
            <w:pPr>
              <w:pStyle w:val="NormalHeadings"/>
              <w:jc w:val="left"/>
            </w:pPr>
          </w:p>
        </w:tc>
      </w:tr>
    </w:tbl>
    <w:p w14:paraId="2792BABD"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2792BAC0" w14:textId="77777777">
        <w:tc>
          <w:tcPr>
            <w:tcW w:w="2376" w:type="dxa"/>
          </w:tcPr>
          <w:p w14:paraId="2792BABE"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2792BABF" w14:textId="77777777" w:rsidR="00395B24" w:rsidRDefault="000D1303">
            <w:pPr>
              <w:pStyle w:val="NormalHeadings"/>
              <w:jc w:val="left"/>
              <w:rPr>
                <w:caps/>
                <w:szCs w:val="24"/>
              </w:rPr>
            </w:pPr>
            <w:bookmarkStart w:id="21" w:name="Judge"/>
            <w:r>
              <w:rPr>
                <w:caps/>
                <w:szCs w:val="24"/>
              </w:rPr>
              <w:t xml:space="preserve">YATES, ABRAHAM AND MCELWAINE </w:t>
            </w:r>
            <w:r w:rsidR="004031F3">
              <w:rPr>
                <w:caps/>
                <w:szCs w:val="24"/>
              </w:rPr>
              <w:t>J</w:t>
            </w:r>
            <w:r>
              <w:rPr>
                <w:caps/>
                <w:szCs w:val="24"/>
              </w:rPr>
              <w:t>J</w:t>
            </w:r>
            <w:bookmarkEnd w:id="21"/>
          </w:p>
        </w:tc>
      </w:tr>
      <w:tr w:rsidR="00395B24" w14:paraId="2792BAC3" w14:textId="77777777">
        <w:tc>
          <w:tcPr>
            <w:tcW w:w="2376" w:type="dxa"/>
          </w:tcPr>
          <w:p w14:paraId="2792BAC1" w14:textId="77777777" w:rsidR="00395B24" w:rsidRDefault="002C7385">
            <w:pPr>
              <w:pStyle w:val="NormalHeadings"/>
              <w:spacing w:after="120"/>
              <w:jc w:val="left"/>
              <w:rPr>
                <w:caps/>
                <w:szCs w:val="24"/>
              </w:rPr>
            </w:pPr>
            <w:r>
              <w:rPr>
                <w:caps/>
                <w:szCs w:val="24"/>
              </w:rPr>
              <w:t>DATE OF ORDER:</w:t>
            </w:r>
          </w:p>
        </w:tc>
        <w:tc>
          <w:tcPr>
            <w:tcW w:w="6866" w:type="dxa"/>
          </w:tcPr>
          <w:p w14:paraId="2792BAC2" w14:textId="52193174" w:rsidR="00395B24" w:rsidRDefault="005E5280">
            <w:pPr>
              <w:pStyle w:val="NormalHeadings"/>
              <w:jc w:val="left"/>
              <w:rPr>
                <w:caps/>
                <w:szCs w:val="24"/>
              </w:rPr>
            </w:pPr>
            <w:bookmarkStart w:id="22" w:name="Judgment_Dated"/>
            <w:bookmarkEnd w:id="22"/>
            <w:r>
              <w:rPr>
                <w:caps/>
                <w:szCs w:val="24"/>
              </w:rPr>
              <w:t>9 August 2022</w:t>
            </w:r>
          </w:p>
        </w:tc>
      </w:tr>
    </w:tbl>
    <w:p w14:paraId="2792BAC4" w14:textId="77777777" w:rsidR="00395B24" w:rsidRDefault="00395B24">
      <w:pPr>
        <w:pStyle w:val="NormalHeadings"/>
        <w:rPr>
          <w:b w:val="0"/>
        </w:rPr>
      </w:pPr>
    </w:p>
    <w:p w14:paraId="2792BAC5" w14:textId="77777777" w:rsidR="008D1617" w:rsidRDefault="008D1617">
      <w:pPr>
        <w:pStyle w:val="NormalHeadings"/>
        <w:rPr>
          <w:b w:val="0"/>
        </w:rPr>
      </w:pPr>
    </w:p>
    <w:p w14:paraId="2792BAC6" w14:textId="77777777" w:rsidR="00395B24" w:rsidRDefault="002C7385">
      <w:pPr>
        <w:pStyle w:val="NormalHeadings"/>
      </w:pPr>
      <w:r>
        <w:t>THE COURT ORDERS THAT:</w:t>
      </w:r>
    </w:p>
    <w:p w14:paraId="2792BAC7" w14:textId="77777777" w:rsidR="007F60DF" w:rsidRDefault="007F60DF" w:rsidP="00243E5E">
      <w:pPr>
        <w:pStyle w:val="NormalHeadings"/>
      </w:pPr>
    </w:p>
    <w:p w14:paraId="2792BAC8" w14:textId="77777777" w:rsidR="0096088A" w:rsidRDefault="0096088A" w:rsidP="0096088A">
      <w:pPr>
        <w:pStyle w:val="Order1"/>
      </w:pPr>
      <w:r>
        <w:t>The appeal is dismissed</w:t>
      </w:r>
      <w:r w:rsidR="004031F3">
        <w:t>.</w:t>
      </w:r>
    </w:p>
    <w:p w14:paraId="2792BAC9" w14:textId="77777777" w:rsidR="001A6C52" w:rsidRDefault="0096088A" w:rsidP="0096088A">
      <w:pPr>
        <w:pStyle w:val="Order1"/>
      </w:pPr>
      <w:r>
        <w:t xml:space="preserve">The appellant is to pay the </w:t>
      </w:r>
      <w:r w:rsidR="004031F3">
        <w:t xml:space="preserve">first respondent’s </w:t>
      </w:r>
      <w:r>
        <w:t xml:space="preserve">costs to be </w:t>
      </w:r>
      <w:r w:rsidR="00DD516D">
        <w:t>agreed or</w:t>
      </w:r>
      <w:r w:rsidR="00525C29">
        <w:t xml:space="preserve"> </w:t>
      </w:r>
      <w:r w:rsidR="00DD516D">
        <w:t>assessed.</w:t>
      </w:r>
    </w:p>
    <w:p w14:paraId="2792BACA" w14:textId="77777777" w:rsidR="001A6C52" w:rsidRDefault="001A6C52" w:rsidP="001A6C52">
      <w:pPr>
        <w:pStyle w:val="BodyText"/>
      </w:pPr>
    </w:p>
    <w:p w14:paraId="2792BACB" w14:textId="77777777" w:rsidR="00A431E6" w:rsidRDefault="00A431E6" w:rsidP="001A6C52">
      <w:pPr>
        <w:pStyle w:val="BodyText"/>
      </w:pPr>
    </w:p>
    <w:p w14:paraId="2792BACC" w14:textId="77777777" w:rsidR="0050309C" w:rsidRDefault="000D1303"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2792BACD" w14:textId="77777777" w:rsidR="00E23577" w:rsidRDefault="00E23577" w:rsidP="002B0E91">
      <w:pPr>
        <w:pStyle w:val="BodyText"/>
      </w:pPr>
    </w:p>
    <w:p w14:paraId="2792BACE"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2792BACF"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2792BAD0" w14:textId="77777777" w:rsidR="00694BEB" w:rsidRDefault="001B08E6" w:rsidP="005E0510">
      <w:pPr>
        <w:pStyle w:val="NormalHeadings"/>
        <w:spacing w:line="360" w:lineRule="auto"/>
        <w:jc w:val="left"/>
        <w:rPr>
          <w:sz w:val="26"/>
          <w:szCs w:val="26"/>
        </w:rPr>
      </w:pPr>
      <w:r>
        <w:rPr>
          <w:sz w:val="26"/>
          <w:szCs w:val="26"/>
        </w:rPr>
        <w:t>THE COURT</w:t>
      </w:r>
      <w:r w:rsidR="005E46D2">
        <w:rPr>
          <w:sz w:val="26"/>
          <w:szCs w:val="26"/>
        </w:rPr>
        <w:t>:</w:t>
      </w:r>
    </w:p>
    <w:p w14:paraId="2792BAD1" w14:textId="77777777" w:rsidR="007D620A" w:rsidRDefault="007D620A" w:rsidP="008678A3">
      <w:pPr>
        <w:pStyle w:val="Heading1"/>
      </w:pPr>
      <w:r>
        <w:t>INTRODUCTION</w:t>
      </w:r>
    </w:p>
    <w:p w14:paraId="2792BAD2" w14:textId="77777777" w:rsidR="00CD1346" w:rsidRDefault="007D620A" w:rsidP="00CD1346">
      <w:pPr>
        <w:pStyle w:val="ParaNumbering"/>
      </w:pPr>
      <w:r>
        <w:t xml:space="preserve">This is an appeal </w:t>
      </w:r>
      <w:r w:rsidR="00F901C9">
        <w:t xml:space="preserve">from </w:t>
      </w:r>
      <w:r w:rsidR="001B08E6">
        <w:t xml:space="preserve">a decision of a </w:t>
      </w:r>
      <w:r w:rsidR="004031F3">
        <w:t xml:space="preserve">single </w:t>
      </w:r>
      <w:r w:rsidR="001B08E6">
        <w:t>judge of this Court</w:t>
      </w:r>
      <w:r w:rsidR="004031F3">
        <w:t xml:space="preserve">, dismissing the </w:t>
      </w:r>
      <w:r w:rsidR="00161D36">
        <w:t>a</w:t>
      </w:r>
      <w:r w:rsidR="00473B70">
        <w:t xml:space="preserve">ppellant’s application for judicial review of a decision of the Administrative Appeals Tribunal (the </w:t>
      </w:r>
      <w:r w:rsidR="00473B70">
        <w:rPr>
          <w:b/>
        </w:rPr>
        <w:t>Tribu</w:t>
      </w:r>
      <w:r w:rsidR="00473B70" w:rsidRPr="0096088A">
        <w:rPr>
          <w:b/>
        </w:rPr>
        <w:t>nal</w:t>
      </w:r>
      <w:r w:rsidR="00473B70" w:rsidRPr="0096088A">
        <w:t>)</w:t>
      </w:r>
      <w:r w:rsidR="004A7BA5">
        <w:t xml:space="preserve"> with costs</w:t>
      </w:r>
      <w:r w:rsidR="004031F3">
        <w:t>:</w:t>
      </w:r>
      <w:r w:rsidR="004031F3" w:rsidRPr="004031F3">
        <w:rPr>
          <w:i/>
        </w:rPr>
        <w:t xml:space="preserve"> </w:t>
      </w:r>
      <w:r w:rsidR="004031F3" w:rsidRPr="0096088A">
        <w:rPr>
          <w:i/>
        </w:rPr>
        <w:t xml:space="preserve">HRZN v Minister for Immigration, Citizenship, Migrant Services and Multicultural Affairs </w:t>
      </w:r>
      <w:r w:rsidR="004031F3" w:rsidRPr="0096088A">
        <w:t>[2021] FCA 1431</w:t>
      </w:r>
      <w:r w:rsidR="004031F3">
        <w:t xml:space="preserve"> (</w:t>
      </w:r>
      <w:r w:rsidR="004031F3" w:rsidRPr="00A75A5C">
        <w:rPr>
          <w:b/>
        </w:rPr>
        <w:t>PJ</w:t>
      </w:r>
      <w:r w:rsidR="004031F3">
        <w:t>). In its decision, the Tribunal</w:t>
      </w:r>
      <w:r w:rsidR="00473B70" w:rsidRPr="0096088A">
        <w:t xml:space="preserve"> affirm</w:t>
      </w:r>
      <w:r w:rsidR="004031F3">
        <w:t>ed</w:t>
      </w:r>
      <w:r w:rsidR="00473B70" w:rsidRPr="0096088A">
        <w:t xml:space="preserve"> </w:t>
      </w:r>
      <w:r w:rsidR="005F5BD8" w:rsidRPr="0096088A">
        <w:t xml:space="preserve">the </w:t>
      </w:r>
      <w:r w:rsidR="00473B70" w:rsidRPr="0096088A">
        <w:t xml:space="preserve">decision of a delegate of the </w:t>
      </w:r>
      <w:r w:rsidR="00161D36" w:rsidRPr="0096088A">
        <w:t>f</w:t>
      </w:r>
      <w:r w:rsidR="00473B70" w:rsidRPr="0096088A">
        <w:t xml:space="preserve">irst </w:t>
      </w:r>
      <w:r w:rsidR="00161D36" w:rsidRPr="0096088A">
        <w:t>r</w:t>
      </w:r>
      <w:r w:rsidR="00473B70" w:rsidRPr="0096088A">
        <w:t xml:space="preserve">espondent (the </w:t>
      </w:r>
      <w:r w:rsidR="00473B70" w:rsidRPr="0096088A">
        <w:rPr>
          <w:b/>
        </w:rPr>
        <w:t>Minister</w:t>
      </w:r>
      <w:r w:rsidR="00473B70" w:rsidRPr="0096088A">
        <w:t xml:space="preserve">) not to revoke the cancellation of the </w:t>
      </w:r>
      <w:r w:rsidR="00161D36" w:rsidRPr="0096088A">
        <w:t>a</w:t>
      </w:r>
      <w:r w:rsidR="00473B70" w:rsidRPr="0096088A">
        <w:t xml:space="preserve">ppellant’s Class BB Subclass 155 Five Year Resident Return (Permanent) visa </w:t>
      </w:r>
      <w:r w:rsidR="00473B70">
        <w:t xml:space="preserve"> under s 501(3A) of the </w:t>
      </w:r>
      <w:r w:rsidR="00473B70">
        <w:rPr>
          <w:i/>
        </w:rPr>
        <w:t>Migration Act 1958</w:t>
      </w:r>
      <w:r w:rsidR="003E56A7">
        <w:t xml:space="preserve"> (</w:t>
      </w:r>
      <w:proofErr w:type="spellStart"/>
      <w:r w:rsidR="003E56A7">
        <w:t>Cth</w:t>
      </w:r>
      <w:proofErr w:type="spellEnd"/>
      <w:r w:rsidR="003E56A7">
        <w:t>)</w:t>
      </w:r>
      <w:r w:rsidR="00274B88">
        <w:t xml:space="preserve"> (</w:t>
      </w:r>
      <w:r w:rsidR="00274B88" w:rsidRPr="00BE0876">
        <w:rPr>
          <w:b/>
        </w:rPr>
        <w:t>Migration Act</w:t>
      </w:r>
      <w:r w:rsidR="00274B88">
        <w:t>)</w:t>
      </w:r>
      <w:r w:rsidR="003E56A7">
        <w:t>.</w:t>
      </w:r>
      <w:r w:rsidR="00473B70">
        <w:t xml:space="preserve"> </w:t>
      </w:r>
    </w:p>
    <w:p w14:paraId="2792BAD3" w14:textId="77777777" w:rsidR="00473B70" w:rsidRDefault="00473B70" w:rsidP="00CD1346">
      <w:pPr>
        <w:pStyle w:val="ParaNumbering"/>
      </w:pPr>
      <w:r>
        <w:t xml:space="preserve">The appellant seeks orders that the decision of the primary judge be set aside and in lieu thereof, an order be made that the decision of the Tribunal be quashed and a writ of mandamus </w:t>
      </w:r>
      <w:r w:rsidR="004031F3">
        <w:t xml:space="preserve">be </w:t>
      </w:r>
      <w:r>
        <w:t>issue</w:t>
      </w:r>
      <w:r w:rsidR="004031F3">
        <w:t>d</w:t>
      </w:r>
      <w:r>
        <w:t xml:space="preserve"> requiring the Tribunal to determine his application accord</w:t>
      </w:r>
      <w:r w:rsidR="003E56A7">
        <w:t>ing to law.</w:t>
      </w:r>
    </w:p>
    <w:p w14:paraId="2792BAD4" w14:textId="77777777" w:rsidR="00473B70" w:rsidRDefault="00473B70" w:rsidP="00CD1346">
      <w:pPr>
        <w:pStyle w:val="ParaNumbering"/>
      </w:pPr>
      <w:r>
        <w:t xml:space="preserve">By an amended notice of </w:t>
      </w:r>
      <w:r w:rsidR="00BC58F6">
        <w:t>appeal</w:t>
      </w:r>
      <w:r w:rsidR="004031F3">
        <w:t xml:space="preserve"> filed 26 April 2022</w:t>
      </w:r>
      <w:r w:rsidR="00BC58F6">
        <w:t xml:space="preserve">, the </w:t>
      </w:r>
      <w:r w:rsidR="00DE72E7">
        <w:t xml:space="preserve">appellant </w:t>
      </w:r>
      <w:r w:rsidR="00BC58F6">
        <w:t>relies on the following grounds</w:t>
      </w:r>
      <w:r w:rsidR="004A7BA5">
        <w:t xml:space="preserve"> of appeal</w:t>
      </w:r>
      <w:r>
        <w:t>:</w:t>
      </w:r>
    </w:p>
    <w:p w14:paraId="2792BAD5" w14:textId="77777777" w:rsidR="00473B70" w:rsidRDefault="004A7BA5" w:rsidP="00BE0876">
      <w:pPr>
        <w:pStyle w:val="Quote1"/>
        <w:ind w:left="1440" w:hanging="703"/>
      </w:pPr>
      <w:r w:rsidRPr="004A7BA5">
        <w:t>1.</w:t>
      </w:r>
      <w:r>
        <w:tab/>
      </w:r>
      <w:r w:rsidR="00473B70">
        <w:t>The learned primary judge erred by failing to uphold ground 2 of the amended originating application on the basis that the Administrative Appeals Tribunal (Tribunal) erred jurisdictionally by failing to consider a substantial or significant and clearly articulated claim raised by the representations, or apparent on the face of the material before the Tribunal, that the Appellant may be owed non-</w:t>
      </w:r>
      <w:proofErr w:type="spellStart"/>
      <w:r w:rsidR="00473B70">
        <w:t>refoulement</w:t>
      </w:r>
      <w:proofErr w:type="spellEnd"/>
      <w:r w:rsidR="00473B70">
        <w:t xml:space="preserve"> obligations other than under the </w:t>
      </w:r>
      <w:r w:rsidR="00473B70" w:rsidRPr="00393BEA">
        <w:rPr>
          <w:i/>
        </w:rPr>
        <w:t>Convention Relating to the Status of Refugees</w:t>
      </w:r>
      <w:r w:rsidR="00473B70">
        <w:t xml:space="preserve"> by reason of his inability to access anti-viral medication or other treatment in Vietnam for his Hepatitis B and D conditions. </w:t>
      </w:r>
    </w:p>
    <w:p w14:paraId="2792BAD6" w14:textId="77777777" w:rsidR="00473B70" w:rsidRPr="005A39BC" w:rsidRDefault="00473B70" w:rsidP="00EC4673">
      <w:pPr>
        <w:pStyle w:val="Quote1"/>
        <w:ind w:firstLine="703"/>
        <w:rPr>
          <w:u w:val="single"/>
        </w:rPr>
      </w:pPr>
      <w:r w:rsidRPr="005A39BC">
        <w:rPr>
          <w:u w:val="single"/>
        </w:rPr>
        <w:t>Particulars</w:t>
      </w:r>
    </w:p>
    <w:p w14:paraId="2792BAD7" w14:textId="77777777" w:rsidR="00473B70" w:rsidRDefault="00473B70" w:rsidP="00480E78">
      <w:pPr>
        <w:pStyle w:val="Quote2"/>
        <w:ind w:left="2160" w:hanging="720"/>
      </w:pPr>
      <w:r>
        <w:t>(</w:t>
      </w:r>
      <w:proofErr w:type="spellStart"/>
      <w:r>
        <w:t>i</w:t>
      </w:r>
      <w:proofErr w:type="spellEnd"/>
      <w:r>
        <w:t>)</w:t>
      </w:r>
      <w:r w:rsidR="004A7BA5">
        <w:tab/>
      </w:r>
      <w:r>
        <w:t>Ground 2 of the amended originating application before the primary judge asserted that the Tribunal’s decision was vitiated by unreasonableness as a result of the Tribunal accepting, on the one hand, that because of his inability to access anti-viral medication or other treatment for Hepatitis in Vietnam the Appellant would face significant adverse consequences but finding, on the other hand, that the Appellant was not owed non-</w:t>
      </w:r>
      <w:proofErr w:type="spellStart"/>
      <w:r>
        <w:t>refoulement</w:t>
      </w:r>
      <w:proofErr w:type="spellEnd"/>
      <w:r>
        <w:t xml:space="preserve"> obligations.</w:t>
      </w:r>
    </w:p>
    <w:p w14:paraId="2792BAD8" w14:textId="77777777" w:rsidR="00473B70" w:rsidRDefault="00473B70" w:rsidP="00480E78">
      <w:pPr>
        <w:pStyle w:val="Quote2"/>
        <w:ind w:left="2160" w:hanging="720"/>
      </w:pPr>
      <w:r>
        <w:t>(ii)</w:t>
      </w:r>
      <w:r w:rsidR="004A7BA5">
        <w:tab/>
      </w:r>
      <w:r>
        <w:t>At the oral hearing before the primary judge, it became apparent that this ground ‘was to be (beneficially) understood as alleging that the Tribunal overlooked that complementary protection obligations … may have been owed to’ to the Appellant as a result of his inability to obtain Hepatitis medication or other treatm</w:t>
      </w:r>
      <w:r w:rsidR="00161D36">
        <w:t>ent in Vietnam.</w:t>
      </w:r>
    </w:p>
    <w:p w14:paraId="2792BAD9" w14:textId="77777777" w:rsidR="00473B70" w:rsidRDefault="00473B70" w:rsidP="00480E78">
      <w:pPr>
        <w:pStyle w:val="Quote2"/>
        <w:ind w:left="2160" w:hanging="720"/>
      </w:pPr>
      <w:r>
        <w:t>(iii)</w:t>
      </w:r>
      <w:r w:rsidR="004A7BA5">
        <w:tab/>
      </w:r>
      <w:r>
        <w:t xml:space="preserve">The primary judge rejected ground 2 of the amended application, as understood in the terms described above at (ii), on the basis that the </w:t>
      </w:r>
      <w:r>
        <w:lastRenderedPageBreak/>
        <w:t>claim said to have been overlooked was not sufficiently ‘advanced’, nor the facts of the case sufficiently ‘congruent’ with non-</w:t>
      </w:r>
      <w:proofErr w:type="spellStart"/>
      <w:r>
        <w:t>refoulement</w:t>
      </w:r>
      <w:proofErr w:type="spellEnd"/>
      <w:r>
        <w:t xml:space="preserve"> obligations, as to require the </w:t>
      </w:r>
      <w:r w:rsidR="00161D36">
        <w:t>Tribunal to consider the claim</w:t>
      </w:r>
      <w:r>
        <w:t>.</w:t>
      </w:r>
    </w:p>
    <w:p w14:paraId="2792BADA" w14:textId="77777777" w:rsidR="00473B70" w:rsidRDefault="00473B70" w:rsidP="00480E78">
      <w:pPr>
        <w:pStyle w:val="Quote2"/>
        <w:ind w:left="2160" w:hanging="720"/>
      </w:pPr>
      <w:proofErr w:type="gramStart"/>
      <w:r>
        <w:t>(iv)</w:t>
      </w:r>
      <w:r w:rsidR="004A7BA5">
        <w:tab/>
      </w:r>
      <w:r>
        <w:t>The</w:t>
      </w:r>
      <w:proofErr w:type="gramEnd"/>
      <w:r>
        <w:t xml:space="preserve"> primary judge erred in reaching the conclusions in (iii) because the claim said to have been overlooked was clearly articulated and/or was apparent on the face of the material before the Tribunal.  </w:t>
      </w:r>
    </w:p>
    <w:p w14:paraId="2792BADB" w14:textId="77777777" w:rsidR="00473B70" w:rsidRDefault="004A7BA5" w:rsidP="00BE0876">
      <w:pPr>
        <w:pStyle w:val="Quote1"/>
        <w:ind w:left="1440" w:hanging="703"/>
      </w:pPr>
      <w:r>
        <w:t>2.</w:t>
      </w:r>
      <w:r>
        <w:tab/>
      </w:r>
      <w:r w:rsidR="00473B70">
        <w:t>The learned primary judge erred by failing to find that the Tribunal erred jurisdictionally in asking itself the wrong question, and thereby constructively failing to exercise jurisdiction, in respect of the Appellant’s claim to be owed non-</w:t>
      </w:r>
      <w:proofErr w:type="spellStart"/>
      <w:r w:rsidR="00473B70">
        <w:t>refoulement</w:t>
      </w:r>
      <w:proofErr w:type="spellEnd"/>
      <w:r w:rsidR="00473B70">
        <w:t xml:space="preserve"> obligations by reason of his being a drug user or imputed drug user (i.e. being a lifelong drug addict at risk of relapse and associated mistreatment by Vietnamese authorities).</w:t>
      </w:r>
    </w:p>
    <w:p w14:paraId="2792BADC" w14:textId="77777777" w:rsidR="00473B70" w:rsidRPr="005A39BC" w:rsidRDefault="00473B70" w:rsidP="00EC4673">
      <w:pPr>
        <w:pStyle w:val="Quote1"/>
        <w:ind w:firstLine="703"/>
        <w:rPr>
          <w:u w:val="single"/>
        </w:rPr>
      </w:pPr>
      <w:r w:rsidRPr="005A39BC">
        <w:rPr>
          <w:u w:val="single"/>
        </w:rPr>
        <w:t>Particulars</w:t>
      </w:r>
    </w:p>
    <w:p w14:paraId="2792BADD" w14:textId="77777777" w:rsidR="00473B70" w:rsidRDefault="00473B70" w:rsidP="00480E78">
      <w:pPr>
        <w:pStyle w:val="Quote2"/>
        <w:ind w:left="2160" w:hanging="720"/>
      </w:pPr>
      <w:r>
        <w:t>(</w:t>
      </w:r>
      <w:proofErr w:type="spellStart"/>
      <w:r>
        <w:t>i</w:t>
      </w:r>
      <w:proofErr w:type="spellEnd"/>
      <w:r>
        <w:t>)</w:t>
      </w:r>
      <w:r w:rsidR="004A7BA5">
        <w:tab/>
      </w:r>
      <w:r>
        <w:t>Before the Tribunal, the Appellant claimed to be owed non-</w:t>
      </w:r>
      <w:proofErr w:type="spellStart"/>
      <w:r>
        <w:t>refoulement</w:t>
      </w:r>
      <w:proofErr w:type="spellEnd"/>
      <w:r>
        <w:t xml:space="preserve"> obligations by reason of his being a drug user or imputed drug user (i.e. being a lifelong drug addict at risk of relapse and associated mistreatment by Vietnamese authorities). In particular, the Appellant alleged that he was at risk of ‘beatings, forced labour … and prolonged arbitrary detention’ in a compulsory drug treatment centre.</w:t>
      </w:r>
    </w:p>
    <w:p w14:paraId="2792BADE" w14:textId="77777777" w:rsidR="00473B70" w:rsidRDefault="00473B70" w:rsidP="00480E78">
      <w:pPr>
        <w:pStyle w:val="Quote2"/>
        <w:ind w:left="2160" w:hanging="720"/>
      </w:pPr>
      <w:r>
        <w:t>(ii</w:t>
      </w:r>
      <w:r w:rsidR="004A7BA5">
        <w:t>)</w:t>
      </w:r>
      <w:r w:rsidR="004A7BA5">
        <w:tab/>
      </w:r>
      <w:r>
        <w:t>The Tribunal accepted that the conditions of compulsory drug treatment centres in Viet</w:t>
      </w:r>
      <w:r w:rsidR="005A39BC">
        <w:t xml:space="preserve">nam were ‘harsh and degrading’ </w:t>
      </w:r>
      <w:r>
        <w:t>and that they involved ‘forced labour’.</w:t>
      </w:r>
    </w:p>
    <w:p w14:paraId="2792BADF" w14:textId="77777777" w:rsidR="00473B70" w:rsidRDefault="00473B70" w:rsidP="00480E78">
      <w:pPr>
        <w:pStyle w:val="Quote2"/>
        <w:ind w:left="2160" w:hanging="720"/>
      </w:pPr>
      <w:r>
        <w:t>(iii)</w:t>
      </w:r>
      <w:r w:rsidR="004A7BA5">
        <w:tab/>
      </w:r>
      <w:r>
        <w:t>However, the Tribunal failed to determine whether there was a relevant risk of the Appellant being exposed to the conditions in (ii), instead concluding that non</w:t>
      </w:r>
      <w:r w:rsidR="005A39BC">
        <w:t>-</w:t>
      </w:r>
      <w:proofErr w:type="spellStart"/>
      <w:r>
        <w:t>refoulement</w:t>
      </w:r>
      <w:proofErr w:type="spellEnd"/>
      <w:r>
        <w:t xml:space="preserve"> obligations could not be ‘triggered due to a risk of the applicant choosing of </w:t>
      </w:r>
      <w:r w:rsidRPr="00161D36">
        <w:rPr>
          <w:i/>
        </w:rPr>
        <w:t xml:space="preserve">his own volition </w:t>
      </w:r>
      <w:r>
        <w:t xml:space="preserve">to engage in conduct which is </w:t>
      </w:r>
      <w:r w:rsidRPr="00161D36">
        <w:rPr>
          <w:i/>
        </w:rPr>
        <w:t>illegal’</w:t>
      </w:r>
      <w:r w:rsidR="005A39BC">
        <w:t>, (</w:t>
      </w:r>
      <w:r>
        <w:t>emphasis added).</w:t>
      </w:r>
    </w:p>
    <w:p w14:paraId="2792BAE0" w14:textId="77777777" w:rsidR="00473B70" w:rsidRDefault="00473B70" w:rsidP="00480E78">
      <w:pPr>
        <w:pStyle w:val="Quote2"/>
        <w:ind w:left="2160" w:hanging="720"/>
      </w:pPr>
      <w:proofErr w:type="gramStart"/>
      <w:r>
        <w:t>(iv)</w:t>
      </w:r>
      <w:r w:rsidR="004A7BA5">
        <w:tab/>
      </w:r>
      <w:r>
        <w:t>The</w:t>
      </w:r>
      <w:proofErr w:type="gramEnd"/>
      <w:r>
        <w:t xml:space="preserve"> Tribunal thus understood there to be two limits to the scope of Australia’s non-</w:t>
      </w:r>
      <w:proofErr w:type="spellStart"/>
      <w:r>
        <w:t>refoulement</w:t>
      </w:r>
      <w:proofErr w:type="spellEnd"/>
      <w:r>
        <w:t xml:space="preserve"> obligations, namely, that they could not be engaged by the consequences of a person’s </w:t>
      </w:r>
      <w:r w:rsidRPr="00393BEA">
        <w:rPr>
          <w:i/>
        </w:rPr>
        <w:t>voluntary</w:t>
      </w:r>
      <w:r>
        <w:t xml:space="preserve"> acts; nor by harm that results from potential future </w:t>
      </w:r>
      <w:r w:rsidRPr="00161D36">
        <w:rPr>
          <w:i/>
        </w:rPr>
        <w:t>illegal</w:t>
      </w:r>
      <w:r>
        <w:t xml:space="preserve"> conduct. Neither of those limits was a true reflection of the law.</w:t>
      </w:r>
    </w:p>
    <w:p w14:paraId="2792BAE1" w14:textId="77777777" w:rsidR="00473B70" w:rsidRDefault="005A39BC" w:rsidP="00480E78">
      <w:pPr>
        <w:pStyle w:val="Quote2"/>
        <w:ind w:left="2160" w:hanging="720"/>
      </w:pPr>
      <w:r>
        <w:t>(v)</w:t>
      </w:r>
      <w:r w:rsidR="004A7BA5">
        <w:tab/>
      </w:r>
      <w:r w:rsidR="00473B70">
        <w:t>By reasoning in the way described at (iii)–(</w:t>
      </w:r>
      <w:proofErr w:type="gramStart"/>
      <w:r w:rsidR="00473B70">
        <w:t>iv</w:t>
      </w:r>
      <w:proofErr w:type="gramEnd"/>
      <w:r w:rsidR="00473B70">
        <w:t>), the Tribunal thus asked itself the wrong question and thereby constructively failed to exercise jurisdiction.</w:t>
      </w:r>
    </w:p>
    <w:p w14:paraId="2792BAE2" w14:textId="77777777" w:rsidR="00473B70" w:rsidRDefault="00473B70" w:rsidP="00480E78">
      <w:pPr>
        <w:pStyle w:val="Quote2"/>
        <w:ind w:left="2160" w:hanging="720"/>
      </w:pPr>
      <w:proofErr w:type="gramStart"/>
      <w:r>
        <w:t>(vi)</w:t>
      </w:r>
      <w:r w:rsidR="004A7BA5">
        <w:tab/>
      </w:r>
      <w:r>
        <w:t>While</w:t>
      </w:r>
      <w:proofErr w:type="gramEnd"/>
      <w:r>
        <w:t xml:space="preserve"> the error asserted by this ground was not raised before the primary judge,</w:t>
      </w:r>
      <w:r w:rsidR="005A39BC">
        <w:t xml:space="preserve"> </w:t>
      </w:r>
      <w:r>
        <w:t xml:space="preserve">the Appellant seeks leave to raise it in this Court.   </w:t>
      </w:r>
    </w:p>
    <w:p w14:paraId="2792BAE3" w14:textId="75D7772C" w:rsidR="005A39BC" w:rsidRDefault="005A39BC">
      <w:pPr>
        <w:pStyle w:val="Quote1"/>
      </w:pPr>
      <w:r>
        <w:t>(</w:t>
      </w:r>
      <w:r w:rsidR="00DE72E7">
        <w:t>C</w:t>
      </w:r>
      <w:r>
        <w:t>itations omitted</w:t>
      </w:r>
      <w:r w:rsidR="00157947">
        <w:t>.</w:t>
      </w:r>
      <w:r w:rsidR="00EC4673">
        <w:t xml:space="preserve"> Original emphasis.</w:t>
      </w:r>
      <w:r>
        <w:t>)</w:t>
      </w:r>
    </w:p>
    <w:p w14:paraId="2792BAE4" w14:textId="77777777" w:rsidR="003E56A7" w:rsidRDefault="003E56A7" w:rsidP="003E56A7">
      <w:pPr>
        <w:pStyle w:val="ParaNumbering"/>
      </w:pPr>
      <w:r>
        <w:t xml:space="preserve">The appeal was first listed before </w:t>
      </w:r>
      <w:r w:rsidR="004A7BA5">
        <w:t>the Full Court</w:t>
      </w:r>
      <w:r>
        <w:t xml:space="preserve"> on 10 May 2022, but was adjourned to enable counsel to consider and provide supplementary submissions </w:t>
      </w:r>
      <w:r w:rsidR="004A7BA5">
        <w:t xml:space="preserve">regarding </w:t>
      </w:r>
      <w:r>
        <w:t xml:space="preserve">the </w:t>
      </w:r>
      <w:r w:rsidR="00456A8D">
        <w:t xml:space="preserve">implications of the </w:t>
      </w:r>
      <w:r>
        <w:t xml:space="preserve">High Court decision </w:t>
      </w:r>
      <w:r w:rsidR="00144A69">
        <w:t xml:space="preserve">in </w:t>
      </w:r>
      <w:r w:rsidR="00144A69" w:rsidRPr="00393BEA">
        <w:rPr>
          <w:i/>
        </w:rPr>
        <w:t>Plaintiff</w:t>
      </w:r>
      <w:r w:rsidR="00EF30A9" w:rsidRPr="00393BEA">
        <w:rPr>
          <w:i/>
        </w:rPr>
        <w:t xml:space="preserve"> M1</w:t>
      </w:r>
      <w:r w:rsidRPr="00393BEA">
        <w:rPr>
          <w:i/>
        </w:rPr>
        <w:t>/2021</w:t>
      </w:r>
      <w:r w:rsidR="00380850" w:rsidRPr="0096088A">
        <w:rPr>
          <w:i/>
        </w:rPr>
        <w:t xml:space="preserve"> v Minister for Home Affairs</w:t>
      </w:r>
      <w:r w:rsidR="00380850" w:rsidRPr="0096088A">
        <w:t xml:space="preserve"> (2022) </w:t>
      </w:r>
      <w:r w:rsidR="002C0894">
        <w:t>400 ALR 417</w:t>
      </w:r>
      <w:r w:rsidR="00380850" w:rsidRPr="0096088A">
        <w:t>;</w:t>
      </w:r>
      <w:r w:rsidRPr="0096088A">
        <w:t xml:space="preserve"> [2022] HCA 17</w:t>
      </w:r>
      <w:r w:rsidR="00456A8D" w:rsidRPr="0096088A">
        <w:t xml:space="preserve"> (</w:t>
      </w:r>
      <w:r w:rsidR="00144A69" w:rsidRPr="00393BEA">
        <w:rPr>
          <w:b/>
          <w:i/>
        </w:rPr>
        <w:t>Plaintiff M</w:t>
      </w:r>
      <w:r w:rsidR="00EF30A9" w:rsidRPr="00393BEA">
        <w:rPr>
          <w:b/>
          <w:i/>
        </w:rPr>
        <w:t>1</w:t>
      </w:r>
      <w:r w:rsidR="00456A8D" w:rsidRPr="0096088A">
        <w:t xml:space="preserve">), which was listed for judgment on 11 </w:t>
      </w:r>
      <w:r w:rsidR="00456A8D">
        <w:t>May 2022. Having received those submissions</w:t>
      </w:r>
      <w:r w:rsidR="00A26196">
        <w:t>,</w:t>
      </w:r>
      <w:r w:rsidR="00456A8D">
        <w:t xml:space="preserve"> the hearing of the appeal </w:t>
      </w:r>
      <w:r w:rsidR="004A7BA5">
        <w:t xml:space="preserve">resumed </w:t>
      </w:r>
      <w:r w:rsidR="00456A8D">
        <w:t>on 2</w:t>
      </w:r>
      <w:r w:rsidR="00DE72E7">
        <w:t>1</w:t>
      </w:r>
      <w:r w:rsidR="00456A8D">
        <w:t xml:space="preserve"> June 2022. We are indebted to counsel for their considered and helpful submissions. </w:t>
      </w:r>
    </w:p>
    <w:p w14:paraId="2792BAE5" w14:textId="77777777" w:rsidR="005A39BC" w:rsidRDefault="005A39BC" w:rsidP="008678A3">
      <w:pPr>
        <w:pStyle w:val="Heading1"/>
      </w:pPr>
      <w:r>
        <w:lastRenderedPageBreak/>
        <w:t>background</w:t>
      </w:r>
    </w:p>
    <w:p w14:paraId="2792BAE6" w14:textId="77777777" w:rsidR="005A39BC" w:rsidRDefault="005A39BC" w:rsidP="005A39BC">
      <w:pPr>
        <w:pStyle w:val="ParaNumbering"/>
      </w:pPr>
      <w:r>
        <w:t>The appellant is a</w:t>
      </w:r>
      <w:r w:rsidR="0030744F">
        <w:t xml:space="preserve"> citizen of</w:t>
      </w:r>
      <w:r>
        <w:t xml:space="preserve"> Vietnam</w:t>
      </w:r>
      <w:r w:rsidR="0030744F">
        <w:t>. He was born in 1973 and arrived in Australia in 1980 when he was 7 years old. He travelled to Australia with his uncle and</w:t>
      </w:r>
      <w:r w:rsidR="00A26196">
        <w:t xml:space="preserve"> brother as part of the</w:t>
      </w:r>
      <w:r w:rsidR="0030744F">
        <w:t xml:space="preserve"> large exodus of </w:t>
      </w:r>
      <w:r w:rsidR="00A26196">
        <w:t xml:space="preserve">people at the end of </w:t>
      </w:r>
      <w:r w:rsidR="003321BF">
        <w:t>the Vietnam War.</w:t>
      </w:r>
      <w:r w:rsidR="008267F7">
        <w:t xml:space="preserve"> His parents and sist</w:t>
      </w:r>
      <w:r w:rsidR="005F5BD8">
        <w:t xml:space="preserve">ers remained in Vietnam, although one sister has since relocated to Australia. </w:t>
      </w:r>
    </w:p>
    <w:p w14:paraId="2792BAE7" w14:textId="77777777" w:rsidR="003321BF" w:rsidRDefault="003321BF" w:rsidP="00A26196">
      <w:pPr>
        <w:pStyle w:val="ParaNumbering"/>
      </w:pPr>
      <w:r>
        <w:t>Shortly after</w:t>
      </w:r>
      <w:r w:rsidR="004A7BA5">
        <w:t xml:space="preserve"> his</w:t>
      </w:r>
      <w:r>
        <w:t xml:space="preserve"> arrival, the appellant was granted a visa allowing him to remain in </w:t>
      </w:r>
      <w:r w:rsidR="00144A69">
        <w:t>Australia. He</w:t>
      </w:r>
      <w:r>
        <w:t xml:space="preserve"> has remained in Australia since </w:t>
      </w:r>
      <w:r w:rsidR="00274B88">
        <w:t xml:space="preserve">then, leaving once for a family holiday in 2013. </w:t>
      </w:r>
      <w:r>
        <w:t xml:space="preserve">The appellant has two </w:t>
      </w:r>
      <w:r w:rsidR="00274B88">
        <w:t xml:space="preserve">adult </w:t>
      </w:r>
      <w:r>
        <w:t>children. Both hold Australian citizenship.</w:t>
      </w:r>
    </w:p>
    <w:p w14:paraId="2792BAE8" w14:textId="77777777" w:rsidR="00274B88" w:rsidRDefault="003321BF" w:rsidP="0022098A">
      <w:pPr>
        <w:pStyle w:val="ParaNumbering"/>
      </w:pPr>
      <w:r w:rsidRPr="00132BCB">
        <w:t>The appellant has a</w:t>
      </w:r>
      <w:r w:rsidR="00132BCB" w:rsidRPr="00132BCB">
        <w:t>n extensive criminal history dating back to 1994, with his</w:t>
      </w:r>
      <w:r w:rsidR="00684DA4">
        <w:t xml:space="preserve"> </w:t>
      </w:r>
      <w:r w:rsidR="00A26196">
        <w:t>most recent offen</w:t>
      </w:r>
      <w:r w:rsidR="00274B88">
        <w:t xml:space="preserve">ces committed </w:t>
      </w:r>
      <w:r w:rsidR="00144A69">
        <w:t xml:space="preserve">in </w:t>
      </w:r>
      <w:r w:rsidR="00144A69" w:rsidRPr="00132BCB">
        <w:t>2018</w:t>
      </w:r>
      <w:r w:rsidR="00132BCB" w:rsidRPr="00132BCB">
        <w:t>. At the Tribunal, t</w:t>
      </w:r>
      <w:r w:rsidR="00132BCB">
        <w:t>he appellant’s couns</w:t>
      </w:r>
      <w:r w:rsidR="00A26196">
        <w:t>el conceded that his</w:t>
      </w:r>
      <w:r w:rsidR="00132BCB">
        <w:t xml:space="preserve"> criminal history includes serious offending. The appellant contends that his criminal offending was substantially connecte</w:t>
      </w:r>
      <w:r w:rsidR="00A26196">
        <w:t>d to his drug abuse</w:t>
      </w:r>
      <w:r w:rsidR="00274B88">
        <w:t xml:space="preserve">. He </w:t>
      </w:r>
      <w:r w:rsidR="00144A69">
        <w:t>accepts that</w:t>
      </w:r>
      <w:r w:rsidR="00132BCB">
        <w:t xml:space="preserve"> he has been a substantial user of drugs for much of his adult life</w:t>
      </w:r>
      <w:r w:rsidR="00A26196">
        <w:t>,</w:t>
      </w:r>
      <w:r w:rsidR="00132BCB">
        <w:t xml:space="preserve"> including a very significant addi</w:t>
      </w:r>
      <w:r w:rsidR="00126632">
        <w:t>c</w:t>
      </w:r>
      <w:r w:rsidR="00132BCB">
        <w:t>tion to heroin</w:t>
      </w:r>
      <w:r w:rsidR="00684DA4">
        <w:t>.</w:t>
      </w:r>
      <w:r w:rsidR="00132BCB">
        <w:t xml:space="preserve"> </w:t>
      </w:r>
    </w:p>
    <w:p w14:paraId="2792BAE9" w14:textId="77777777" w:rsidR="003321BF" w:rsidRDefault="00132BCB" w:rsidP="0022098A">
      <w:pPr>
        <w:pStyle w:val="ParaNumbering"/>
      </w:pPr>
      <w:r>
        <w:t>The appellant is</w:t>
      </w:r>
      <w:r w:rsidR="003321BF">
        <w:t xml:space="preserve"> presently in immigration detention at Melbourne Immigration Transit Accommodation in Broadmeadows</w:t>
      </w:r>
      <w:r w:rsidR="00274B88">
        <w:t>, Victoria</w:t>
      </w:r>
      <w:r w:rsidR="003321BF">
        <w:t>.</w:t>
      </w:r>
    </w:p>
    <w:p w14:paraId="2792BAEA" w14:textId="77777777" w:rsidR="00E95D14" w:rsidRDefault="00E95D14" w:rsidP="005A39BC">
      <w:pPr>
        <w:pStyle w:val="ParaNumbering"/>
      </w:pPr>
      <w:r>
        <w:t xml:space="preserve">On 7 December 2017, the appellant’s visa was cancelled under s 501(3A) of the </w:t>
      </w:r>
      <w:r w:rsidRPr="00BE0876">
        <w:t>Migration Act</w:t>
      </w:r>
      <w:r w:rsidR="00684DA4">
        <w:t xml:space="preserve"> </w:t>
      </w:r>
      <w:r>
        <w:t>(</w:t>
      </w:r>
      <w:r w:rsidRPr="00E95D14">
        <w:rPr>
          <w:b/>
        </w:rPr>
        <w:t>cancellation decision</w:t>
      </w:r>
      <w:r>
        <w:t>). The Minister was satisfied that the appellant did not pass the character test because he had a substantial criminal record w</w:t>
      </w:r>
      <w:r w:rsidR="00684DA4">
        <w:t>ithin the meaning of s 501(6</w:t>
      </w:r>
      <w:proofErr w:type="gramStart"/>
      <w:r w:rsidR="00684DA4">
        <w:t>)(</w:t>
      </w:r>
      <w:proofErr w:type="gramEnd"/>
      <w:r w:rsidR="00684DA4">
        <w:t>a)</w:t>
      </w:r>
      <w:r w:rsidR="00274B88">
        <w:t>,</w:t>
      </w:r>
      <w:r>
        <w:t xml:space="preserve"> on the basis of s 501(7)(c) </w:t>
      </w:r>
      <w:r w:rsidR="00601389">
        <w:t>of the Migration Act</w:t>
      </w:r>
      <w:r w:rsidR="00274B88">
        <w:t>,</w:t>
      </w:r>
      <w:r w:rsidR="00601389">
        <w:t xml:space="preserve"> and was serving a term of imprisonment of 12 months or more.</w:t>
      </w:r>
    </w:p>
    <w:p w14:paraId="2792BAEB" w14:textId="0E8C9179" w:rsidR="003A4261" w:rsidRDefault="00DD2795" w:rsidP="005A39BC">
      <w:pPr>
        <w:pStyle w:val="ParaNumbering"/>
      </w:pPr>
      <w:r>
        <w:t xml:space="preserve">Upon </w:t>
      </w:r>
      <w:r w:rsidR="001D1387">
        <w:t>cancellation</w:t>
      </w:r>
      <w:r>
        <w:t>, t</w:t>
      </w:r>
      <w:r w:rsidR="00601389">
        <w:t xml:space="preserve">he appellant was invited to make representations to the </w:t>
      </w:r>
      <w:r w:rsidR="00AA4CEE">
        <w:t>Minister</w:t>
      </w:r>
      <w:r w:rsidR="00601389">
        <w:t xml:space="preserve"> </w:t>
      </w:r>
      <w:r>
        <w:t xml:space="preserve">regarding </w:t>
      </w:r>
      <w:r w:rsidR="00684DA4">
        <w:t>revocation of the cancellation decision</w:t>
      </w:r>
      <w:r w:rsidR="00601389">
        <w:t xml:space="preserve">. </w:t>
      </w:r>
      <w:r w:rsidR="00684DA4">
        <w:t>H</w:t>
      </w:r>
      <w:r w:rsidR="00601389">
        <w:t>owever</w:t>
      </w:r>
      <w:r w:rsidR="00684DA4">
        <w:t>,</w:t>
      </w:r>
      <w:r w:rsidR="00601389">
        <w:t xml:space="preserve"> by letter dated 15 November 2019, </w:t>
      </w:r>
      <w:r>
        <w:t>he</w:t>
      </w:r>
      <w:r w:rsidR="00601389">
        <w:t xml:space="preserve"> was n</w:t>
      </w:r>
      <w:r w:rsidR="00A26196">
        <w:t>otified that a delegate of the M</w:t>
      </w:r>
      <w:r w:rsidR="00601389">
        <w:t xml:space="preserve">inister had decided, </w:t>
      </w:r>
      <w:r>
        <w:t xml:space="preserve">pursuant to </w:t>
      </w:r>
      <w:r w:rsidR="00601389">
        <w:t xml:space="preserve">s </w:t>
      </w:r>
      <w:proofErr w:type="gramStart"/>
      <w:r w:rsidR="00601389">
        <w:t>501</w:t>
      </w:r>
      <w:r w:rsidR="00144A69">
        <w:t>CA(</w:t>
      </w:r>
      <w:proofErr w:type="gramEnd"/>
      <w:r w:rsidR="00601389">
        <w:t>4) of the Migration Act</w:t>
      </w:r>
      <w:r w:rsidR="00175232">
        <w:t>,</w:t>
      </w:r>
      <w:r w:rsidR="00601389">
        <w:t xml:space="preserve"> not to revoke the cancellation decision (</w:t>
      </w:r>
      <w:r w:rsidR="00601389" w:rsidRPr="00601389">
        <w:rPr>
          <w:b/>
        </w:rPr>
        <w:t>non-revocation decision</w:t>
      </w:r>
      <w:r w:rsidR="00684DA4">
        <w:t xml:space="preserve">). </w:t>
      </w:r>
    </w:p>
    <w:p w14:paraId="2792BAEC" w14:textId="77777777" w:rsidR="00DD2795" w:rsidRDefault="00DD2795" w:rsidP="00DD2795">
      <w:pPr>
        <w:pStyle w:val="ParaNumbering"/>
      </w:pPr>
      <w:r>
        <w:t>Section 501CA(4) of the Migration Act provides:</w:t>
      </w:r>
    </w:p>
    <w:p w14:paraId="2792BAED" w14:textId="77777777" w:rsidR="00DD2795" w:rsidRPr="00BE0876" w:rsidRDefault="00DD2795" w:rsidP="00DD2795">
      <w:pPr>
        <w:pStyle w:val="Quote1"/>
        <w:rPr>
          <w:b/>
        </w:rPr>
      </w:pPr>
      <w:r w:rsidRPr="00BE0876">
        <w:rPr>
          <w:b/>
        </w:rPr>
        <w:t>501CA Cancellation of visa—revocation of decision under subsection 501(3A) (person serving sentence of imprisonment)</w:t>
      </w:r>
    </w:p>
    <w:p w14:paraId="2792BAEE" w14:textId="77777777" w:rsidR="00DD2795" w:rsidRDefault="00DD2795" w:rsidP="00BE0876">
      <w:pPr>
        <w:pStyle w:val="Quote1"/>
        <w:ind w:left="1440" w:hanging="703"/>
      </w:pPr>
      <w:r>
        <w:t xml:space="preserve">(4) </w:t>
      </w:r>
      <w:r>
        <w:tab/>
        <w:t>The Minister may revoke the original decision if:</w:t>
      </w:r>
    </w:p>
    <w:p w14:paraId="2792BAEF" w14:textId="77777777" w:rsidR="00DD2795" w:rsidRDefault="00DD2795" w:rsidP="00480E78">
      <w:pPr>
        <w:pStyle w:val="Quote2"/>
        <w:ind w:left="2160" w:hanging="720"/>
      </w:pPr>
      <w:r>
        <w:t xml:space="preserve">(a) </w:t>
      </w:r>
      <w:r>
        <w:tab/>
      </w:r>
      <w:proofErr w:type="gramStart"/>
      <w:r>
        <w:t>the</w:t>
      </w:r>
      <w:proofErr w:type="gramEnd"/>
      <w:r>
        <w:t xml:space="preserve"> person makes representations in accordance with the invitation; and</w:t>
      </w:r>
    </w:p>
    <w:p w14:paraId="2792BAF0" w14:textId="77777777" w:rsidR="00DD2795" w:rsidRDefault="00DD2795" w:rsidP="00480E78">
      <w:pPr>
        <w:pStyle w:val="Quote2"/>
        <w:ind w:left="2160" w:hanging="720"/>
      </w:pPr>
      <w:r>
        <w:t xml:space="preserve">(b) </w:t>
      </w:r>
      <w:r>
        <w:tab/>
      </w:r>
      <w:proofErr w:type="gramStart"/>
      <w:r>
        <w:t>the</w:t>
      </w:r>
      <w:proofErr w:type="gramEnd"/>
      <w:r>
        <w:t xml:space="preserve"> Minister is satisfied:</w:t>
      </w:r>
    </w:p>
    <w:p w14:paraId="2792BAF1" w14:textId="77777777" w:rsidR="00DD2795" w:rsidRDefault="00DD2795" w:rsidP="00480E78">
      <w:pPr>
        <w:pStyle w:val="Quote3"/>
        <w:ind w:left="2880" w:hanging="720"/>
      </w:pPr>
      <w:r>
        <w:lastRenderedPageBreak/>
        <w:t>(</w:t>
      </w:r>
      <w:proofErr w:type="spellStart"/>
      <w:r>
        <w:t>i</w:t>
      </w:r>
      <w:proofErr w:type="spellEnd"/>
      <w:r>
        <w:t xml:space="preserve">) </w:t>
      </w:r>
      <w:r>
        <w:tab/>
      </w:r>
      <w:proofErr w:type="gramStart"/>
      <w:r>
        <w:t>that</w:t>
      </w:r>
      <w:proofErr w:type="gramEnd"/>
      <w:r>
        <w:t xml:space="preserve"> the person passes the character test (as defined by section 501); or </w:t>
      </w:r>
    </w:p>
    <w:p w14:paraId="2792BAF2" w14:textId="77777777" w:rsidR="00DD2795" w:rsidRDefault="00DD2795" w:rsidP="00480E78">
      <w:pPr>
        <w:pStyle w:val="Quote3"/>
        <w:ind w:left="2880" w:hanging="720"/>
      </w:pPr>
      <w:r>
        <w:t xml:space="preserve">(ii) </w:t>
      </w:r>
      <w:r>
        <w:tab/>
      </w:r>
      <w:proofErr w:type="gramStart"/>
      <w:r>
        <w:t>that</w:t>
      </w:r>
      <w:proofErr w:type="gramEnd"/>
      <w:r>
        <w:t xml:space="preserve"> there is another reason why the original decision should be revoked.</w:t>
      </w:r>
    </w:p>
    <w:p w14:paraId="2792BAF3" w14:textId="77777777" w:rsidR="00601389" w:rsidRDefault="00601389" w:rsidP="005A39BC">
      <w:pPr>
        <w:pStyle w:val="ParaNumbering"/>
      </w:pPr>
      <w:r>
        <w:t>The appel</w:t>
      </w:r>
      <w:r w:rsidR="00A26196">
        <w:t>lant applied to the Tribunal</w:t>
      </w:r>
      <w:r w:rsidR="00126632">
        <w:t>,</w:t>
      </w:r>
      <w:r w:rsidR="00A26196">
        <w:t xml:space="preserve"> which </w:t>
      </w:r>
      <w:r>
        <w:t>affirmed the non-revocation decision</w:t>
      </w:r>
      <w:r w:rsidR="003A323C">
        <w:t xml:space="preserve"> on 14 April 2021</w:t>
      </w:r>
      <w:r>
        <w:t>.</w:t>
      </w:r>
    </w:p>
    <w:p w14:paraId="2792BAF4" w14:textId="77777777" w:rsidR="00601389" w:rsidRDefault="00601389" w:rsidP="005A39BC">
      <w:pPr>
        <w:pStyle w:val="ParaNumbering"/>
      </w:pPr>
      <w:r>
        <w:t>The app</w:t>
      </w:r>
      <w:r w:rsidR="00A26196">
        <w:t xml:space="preserve">ellant’s application </w:t>
      </w:r>
      <w:r>
        <w:t xml:space="preserve">for judicial review was </w:t>
      </w:r>
      <w:r w:rsidR="003A323C">
        <w:t>filed</w:t>
      </w:r>
      <w:r>
        <w:t xml:space="preserve"> on 13 May 2021</w:t>
      </w:r>
      <w:r w:rsidR="003A323C">
        <w:t xml:space="preserve"> and heard</w:t>
      </w:r>
      <w:r>
        <w:t xml:space="preserve"> on 23 September 2021</w:t>
      </w:r>
      <w:r w:rsidR="00613D89">
        <w:t>. The applicat</w:t>
      </w:r>
      <w:r w:rsidR="00A26196">
        <w:t>ion was dismissed by the primary judge</w:t>
      </w:r>
      <w:r w:rsidR="00A75A5C">
        <w:t xml:space="preserve"> on 22 November 2021</w:t>
      </w:r>
      <w:r w:rsidR="00613D89">
        <w:t>.</w:t>
      </w:r>
    </w:p>
    <w:p w14:paraId="2792BAF5" w14:textId="71824172" w:rsidR="00613D89" w:rsidRDefault="00613D89" w:rsidP="005A39BC">
      <w:pPr>
        <w:pStyle w:val="ParaNumbering"/>
      </w:pPr>
      <w:r>
        <w:t>The appellant filed his notice of appeal from the decision of the primary judge on 20 December</w:t>
      </w:r>
      <w:r w:rsidR="00A26196">
        <w:t xml:space="preserve"> 2021.</w:t>
      </w:r>
      <w:r w:rsidR="00B86ECC">
        <w:t xml:space="preserve"> </w:t>
      </w:r>
      <w:r w:rsidR="00A26196">
        <w:t xml:space="preserve">He was </w:t>
      </w:r>
      <w:r w:rsidR="003A323C">
        <w:t xml:space="preserve">granted </w:t>
      </w:r>
      <w:r w:rsidR="00A26196">
        <w:t>leave to amend his appeal grounds on 22 April 2022</w:t>
      </w:r>
      <w:r w:rsidR="003A323C">
        <w:t xml:space="preserve"> and</w:t>
      </w:r>
      <w:r w:rsidR="00A26196">
        <w:t xml:space="preserve"> further leave to argue ground 2 on 10 May 2022.</w:t>
      </w:r>
      <w:r w:rsidR="003A323C">
        <w:t xml:space="preserve"> Leave was required to argue ground 2 because it was not advanced at first instance.</w:t>
      </w:r>
    </w:p>
    <w:p w14:paraId="2792BAF6" w14:textId="77777777" w:rsidR="00613D89" w:rsidRDefault="00613D89" w:rsidP="008678A3">
      <w:pPr>
        <w:pStyle w:val="Heading1"/>
      </w:pPr>
      <w:r>
        <w:t>the decision</w:t>
      </w:r>
      <w:r w:rsidR="00DD2795">
        <w:t xml:space="preserve"> OF THE TRIBUNAL</w:t>
      </w:r>
    </w:p>
    <w:p w14:paraId="2792BAF7" w14:textId="77777777" w:rsidR="00613D89" w:rsidRDefault="002260C7" w:rsidP="00613D89">
      <w:pPr>
        <w:pStyle w:val="ParaNumbering"/>
      </w:pPr>
      <w:r>
        <w:t xml:space="preserve"> T</w:t>
      </w:r>
      <w:r w:rsidR="00F50B02">
        <w:t>he central issu</w:t>
      </w:r>
      <w:r w:rsidR="00684DA4">
        <w:t>e</w:t>
      </w:r>
      <w:r>
        <w:t xml:space="preserve"> before the Tribunal </w:t>
      </w:r>
      <w:r w:rsidR="00684DA4">
        <w:t>was whether it was satisfied</w:t>
      </w:r>
      <w:r w:rsidR="003A323C">
        <w:t xml:space="preserve">, pursuant to </w:t>
      </w:r>
      <w:r w:rsidR="00F50B02">
        <w:t xml:space="preserve">s </w:t>
      </w:r>
      <w:proofErr w:type="gramStart"/>
      <w:r w:rsidR="00F50B02">
        <w:t>501CA(</w:t>
      </w:r>
      <w:proofErr w:type="gramEnd"/>
      <w:r w:rsidR="00F50B02">
        <w:t>4)(b)</w:t>
      </w:r>
      <w:r w:rsidR="003A323C">
        <w:t>(ii)</w:t>
      </w:r>
      <w:r w:rsidR="00F50B02">
        <w:t xml:space="preserve"> of the </w:t>
      </w:r>
      <w:r w:rsidR="00F50B02" w:rsidRPr="00BE0876">
        <w:t>Migration Act</w:t>
      </w:r>
      <w:r w:rsidR="003A323C">
        <w:t>, that</w:t>
      </w:r>
      <w:r w:rsidR="00F50B02">
        <w:t xml:space="preserve"> there </w:t>
      </w:r>
      <w:r w:rsidR="003A323C">
        <w:t>wa</w:t>
      </w:r>
      <w:r w:rsidR="00F50B02">
        <w:t>s another reason the decision to cancel the visa shou</w:t>
      </w:r>
      <w:r>
        <w:t>ld be revoked. The appellant</w:t>
      </w:r>
      <w:r w:rsidR="00BC58F6">
        <w:t xml:space="preserve"> accepted</w:t>
      </w:r>
      <w:r w:rsidR="00F50B02">
        <w:t xml:space="preserve"> that he d</w:t>
      </w:r>
      <w:r w:rsidR="00684DA4">
        <w:t>id not pass the character test</w:t>
      </w:r>
      <w:r w:rsidR="003A323C">
        <w:t xml:space="preserve"> referred to in s </w:t>
      </w:r>
      <w:proofErr w:type="gramStart"/>
      <w:r w:rsidR="003A323C">
        <w:t>501CA(</w:t>
      </w:r>
      <w:proofErr w:type="gramEnd"/>
      <w:r w:rsidR="003A323C">
        <w:t>4)(b)(</w:t>
      </w:r>
      <w:proofErr w:type="spellStart"/>
      <w:r w:rsidR="003A323C">
        <w:t>i</w:t>
      </w:r>
      <w:proofErr w:type="spellEnd"/>
      <w:r w:rsidR="003A323C">
        <w:t>)</w:t>
      </w:r>
      <w:r w:rsidR="00684DA4">
        <w:t>.</w:t>
      </w:r>
    </w:p>
    <w:p w14:paraId="2792BAF8" w14:textId="1C24D550" w:rsidR="00F50B02" w:rsidRDefault="00F50B02" w:rsidP="0022098A">
      <w:pPr>
        <w:pStyle w:val="ParaNumbering"/>
      </w:pPr>
      <w:r>
        <w:t xml:space="preserve">The Tribunal considered the criteria in </w:t>
      </w:r>
      <w:r w:rsidRPr="00F50B02">
        <w:rPr>
          <w:i/>
        </w:rPr>
        <w:t>Direction No. 79 - Visa refusal and cancellation under s501 and revocation of a mandatory cancellation of a visa under s501CA</w:t>
      </w:r>
      <w:r>
        <w:t xml:space="preserve"> as required by s 499 of the </w:t>
      </w:r>
      <w:r w:rsidRPr="00393BEA">
        <w:t>Migration Act</w:t>
      </w:r>
      <w:r>
        <w:t>. Having undertaken that exercise, the Tribunal affirmed the non-revocation</w:t>
      </w:r>
      <w:r w:rsidRPr="00F50B02">
        <w:rPr>
          <w:i/>
        </w:rPr>
        <w:t xml:space="preserve"> </w:t>
      </w:r>
      <w:r>
        <w:t>decision and concluded</w:t>
      </w:r>
      <w:r w:rsidR="00537718">
        <w:t xml:space="preserve"> at [140]-[145]</w:t>
      </w:r>
      <w:r>
        <w:t xml:space="preserve">: </w:t>
      </w:r>
    </w:p>
    <w:p w14:paraId="2792BAF9" w14:textId="77777777" w:rsidR="00F50B02" w:rsidRDefault="00F50B02" w:rsidP="003A323C">
      <w:pPr>
        <w:pStyle w:val="Quote1"/>
        <w:ind w:left="1440" w:hanging="703"/>
      </w:pPr>
      <w:r>
        <w:t>140.</w:t>
      </w:r>
      <w:r w:rsidR="003A323C">
        <w:tab/>
      </w:r>
      <w:r>
        <w:t xml:space="preserve">The Tribunal is also satisfied that in light of the extent and seriousness of the applicant’s offending, the expectations of the Australian community consideration weighs heavily against the applicant notwithstanding some mitigating considerations. </w:t>
      </w:r>
    </w:p>
    <w:p w14:paraId="2792BAFA" w14:textId="77777777" w:rsidR="00F50B02" w:rsidRDefault="00F50B02">
      <w:pPr>
        <w:pStyle w:val="Quote1"/>
        <w:ind w:left="1440" w:hanging="703"/>
      </w:pPr>
      <w:r>
        <w:t>141.</w:t>
      </w:r>
      <w:r w:rsidR="003A323C">
        <w:tab/>
      </w:r>
      <w:r>
        <w:t>For the reasons set out above, the Tribunal is satisfied that the expectations of minor children and international non-</w:t>
      </w:r>
      <w:proofErr w:type="spellStart"/>
      <w:r>
        <w:t>refoulement</w:t>
      </w:r>
      <w:proofErr w:type="spellEnd"/>
      <w:r>
        <w:t xml:space="preserve"> considerations weigh neutrally in this matter.</w:t>
      </w:r>
    </w:p>
    <w:p w14:paraId="2792BAFB" w14:textId="77777777" w:rsidR="00F50B02" w:rsidRDefault="00F50B02">
      <w:pPr>
        <w:pStyle w:val="Quote1"/>
        <w:ind w:left="1440" w:hanging="703"/>
      </w:pPr>
      <w:r>
        <w:t xml:space="preserve">142. </w:t>
      </w:r>
      <w:r w:rsidR="003A323C">
        <w:tab/>
      </w:r>
      <w:r>
        <w:t>The Tribunal recognises the significant ties the applicant has developed to Australia by virtue of the length of time he has lived in Australia and also through his family and broader social connections. The Tribunal recognises in particular the significant adverse impact a decision not to revoke the cancellation of the applicant’s visa would have for his two adult children. The effect of such a decision will be to deny them the opportunity to have their father’s presence in their lives in Australia. This consideration has been particularly significant in the Tribunal’s overall weighing of this matter.</w:t>
      </w:r>
    </w:p>
    <w:p w14:paraId="2792BAFC" w14:textId="77777777" w:rsidR="00F50B02" w:rsidRDefault="00F50B02">
      <w:pPr>
        <w:pStyle w:val="Quote1"/>
        <w:ind w:left="1440" w:hanging="703"/>
      </w:pPr>
      <w:r>
        <w:lastRenderedPageBreak/>
        <w:t xml:space="preserve">143. </w:t>
      </w:r>
      <w:r w:rsidR="003A323C">
        <w:tab/>
      </w:r>
      <w:r>
        <w:t>The Tribunal also recognises the significant impediments the applicant is likely to face on a return to Vietnam. The Tribunal accepts that the applicant’s family in Vietnam are not in a position to provide meaningful assistance to the applicant in any transition. He has been out of the country for a very significant period of time and, at least in the short term, will have some level of language barrier in Vietnam. The Tribunal accepts that he will find securing employment challenging in the short term although it considers his medium to long term employment prospects to be reasonable given his relative intelligence, English skills, other positive personal characteristics and the Tribunal’s view that the broader outlook for the Vietnamese economy remains positive. The Tribunal is satisfied that in the medium to longer term the applicant will be able to maintain basic living standards that are comparable to the general population of Vietnam. In the short term he will have the benefit of programs of support for the reintegration of</w:t>
      </w:r>
      <w:r w:rsidR="00684DA4">
        <w:t xml:space="preserve"> returnees. The Tribunal is sat</w:t>
      </w:r>
      <w:r>
        <w:t>isfied that the applicant is unlikely to be able to access the anti-viral and other medical treatment he currently has access to in Australia in the ongoing management of his hepatitis B and D conditions, nor is he likely to be able to undertake follow up treatment for his post carpal tunnel surgery complications, nor the counselling and mental health services he currently has access to in the ongoing management of his rehabilitation from drug use. The Tribunal acknowledges that as a consequence the applicant is at a real risk of suffering significant adverse consequences from his lack of access to such treatments in Vietnam as outlined earlier. These considerations have been very significant in the Tribunal’s overall weighing of this matter.</w:t>
      </w:r>
    </w:p>
    <w:p w14:paraId="2792BAFD" w14:textId="77777777" w:rsidR="00F50B02" w:rsidRDefault="00F50B02">
      <w:pPr>
        <w:pStyle w:val="Quote1"/>
        <w:ind w:left="1440" w:hanging="703"/>
      </w:pPr>
      <w:r>
        <w:t>144.</w:t>
      </w:r>
      <w:r w:rsidR="003A323C">
        <w:tab/>
      </w:r>
      <w:r>
        <w:t xml:space="preserve">Notwithstanding these considerations, in the Tribunal’s view, given the very serious consequences that could flow to members of the Australian community if the applicant were to reoffend again in the same or similar manner and the unacceptable risk of that occurring, the protection of the Australian community consideration is the determinative consideration in the circumstances of this case. </w:t>
      </w:r>
    </w:p>
    <w:p w14:paraId="2792BAFE" w14:textId="77777777" w:rsidR="00F50B02" w:rsidRDefault="00F50B02">
      <w:pPr>
        <w:pStyle w:val="Quote1"/>
        <w:ind w:left="1440" w:hanging="703"/>
      </w:pPr>
      <w:r>
        <w:t>145.</w:t>
      </w:r>
      <w:r w:rsidR="003A323C">
        <w:tab/>
      </w:r>
      <w:r>
        <w:t xml:space="preserve">For these reasons, the Tribunal is satisfied that the decision under review should be affirmed. </w:t>
      </w:r>
    </w:p>
    <w:p w14:paraId="2792BAFF" w14:textId="77777777" w:rsidR="002260C7" w:rsidRDefault="003A323C" w:rsidP="002260C7">
      <w:pPr>
        <w:pStyle w:val="ParaNumbering"/>
      </w:pPr>
      <w:bookmarkStart w:id="25" w:name="_Ref110322521"/>
      <w:r>
        <w:t>T</w:t>
      </w:r>
      <w:r w:rsidR="002C45CA">
        <w:t>he Tribunal</w:t>
      </w:r>
      <w:r>
        <w:t xml:space="preserve">’s </w:t>
      </w:r>
      <w:r w:rsidR="00537718">
        <w:t>consideration</w:t>
      </w:r>
      <w:r w:rsidR="002C45CA">
        <w:t xml:space="preserve"> </w:t>
      </w:r>
      <w:r w:rsidR="00537718">
        <w:t>of</w:t>
      </w:r>
      <w:r>
        <w:t xml:space="preserve"> </w:t>
      </w:r>
      <w:r w:rsidR="002C45CA">
        <w:t>the appellant’s representation that he is owed international non-</w:t>
      </w:r>
      <w:proofErr w:type="spellStart"/>
      <w:r w:rsidR="002C45CA">
        <w:t>re</w:t>
      </w:r>
      <w:r w:rsidR="00BC58F6">
        <w:t>foulement</w:t>
      </w:r>
      <w:proofErr w:type="spellEnd"/>
      <w:r w:rsidR="00BC58F6">
        <w:t xml:space="preserve"> obligations </w:t>
      </w:r>
      <w:r>
        <w:t xml:space="preserve">is significant in this appeal. </w:t>
      </w:r>
      <w:r w:rsidR="00537718">
        <w:t>Those representations were</w:t>
      </w:r>
      <w:r w:rsidR="00785CB7">
        <w:t xml:space="preserve"> summarised </w:t>
      </w:r>
      <w:r w:rsidR="00537718">
        <w:t xml:space="preserve">by the Tribunal </w:t>
      </w:r>
      <w:r w:rsidR="00144A69">
        <w:t>at</w:t>
      </w:r>
      <w:r w:rsidR="00785CB7">
        <w:t xml:space="preserve"> [78] and [97]:</w:t>
      </w:r>
      <w:bookmarkEnd w:id="25"/>
    </w:p>
    <w:p w14:paraId="2792BB00" w14:textId="77777777" w:rsidR="00785CB7" w:rsidRDefault="00A40435" w:rsidP="00537718">
      <w:pPr>
        <w:pStyle w:val="Quote1"/>
        <w:ind w:left="1440" w:hanging="703"/>
        <w:rPr>
          <w:lang w:eastAsia="en-AU"/>
        </w:rPr>
      </w:pPr>
      <w:r>
        <w:rPr>
          <w:lang w:eastAsia="en-AU"/>
        </w:rPr>
        <w:t>78</w:t>
      </w:r>
      <w:r w:rsidR="00393BEA">
        <w:rPr>
          <w:lang w:eastAsia="en-AU"/>
        </w:rPr>
        <w:t>.</w:t>
      </w:r>
      <w:r w:rsidR="00537718">
        <w:rPr>
          <w:lang w:eastAsia="en-AU"/>
        </w:rPr>
        <w:tab/>
      </w:r>
      <w:r w:rsidR="00785CB7" w:rsidRPr="00785CB7">
        <w:rPr>
          <w:lang w:eastAsia="en-AU"/>
        </w:rPr>
        <w:t>It was submitted on behalf of the applicant that the applicant is owed international non-</w:t>
      </w:r>
      <w:proofErr w:type="spellStart"/>
      <w:r w:rsidR="00785CB7" w:rsidRPr="00785CB7">
        <w:rPr>
          <w:lang w:eastAsia="en-AU"/>
        </w:rPr>
        <w:t>refoulement</w:t>
      </w:r>
      <w:proofErr w:type="spellEnd"/>
      <w:r w:rsidR="00785CB7" w:rsidRPr="00785CB7">
        <w:rPr>
          <w:lang w:eastAsia="en-AU"/>
        </w:rPr>
        <w:t xml:space="preserve"> obligations due to the risk the applicant would likely face on his return to Vietnam. The applicant has claimed a fear of persecution or other serious harm including arbitrary detention, torture or other cruel, inhuman or degrading treatment as a consequence of the applicant being an imputed drug user or person recovering from drug addiction. Non-</w:t>
      </w:r>
      <w:proofErr w:type="spellStart"/>
      <w:r w:rsidR="00785CB7" w:rsidRPr="00785CB7">
        <w:rPr>
          <w:lang w:eastAsia="en-AU"/>
        </w:rPr>
        <w:t>refoulement</w:t>
      </w:r>
      <w:proofErr w:type="spellEnd"/>
      <w:r w:rsidR="00785CB7" w:rsidRPr="00785CB7">
        <w:rPr>
          <w:lang w:eastAsia="en-AU"/>
        </w:rPr>
        <w:t xml:space="preserve"> obligations in respect of such fears may be owed under the </w:t>
      </w:r>
      <w:r w:rsidR="00785CB7" w:rsidRPr="00785CB7">
        <w:rPr>
          <w:i/>
          <w:iCs/>
          <w:lang w:eastAsia="en-AU"/>
        </w:rPr>
        <w:t>International Covenant on Civil and Political Rights and its Second Optional Protocol</w:t>
      </w:r>
      <w:r w:rsidR="00785CB7" w:rsidRPr="00785CB7">
        <w:rPr>
          <w:lang w:eastAsia="en-AU"/>
        </w:rPr>
        <w:t> (the “ICCPR”); the </w:t>
      </w:r>
      <w:r w:rsidR="00785CB7" w:rsidRPr="00785CB7">
        <w:rPr>
          <w:i/>
          <w:iCs/>
          <w:lang w:eastAsia="en-AU"/>
        </w:rPr>
        <w:t>1951 Convention relating to the Status of Refugees as amended by the 1967 Protocol</w:t>
      </w:r>
      <w:r w:rsidR="00785CB7" w:rsidRPr="00785CB7">
        <w:rPr>
          <w:lang w:eastAsia="en-AU"/>
        </w:rPr>
        <w:t> (the “Refugees Convention”); and the </w:t>
      </w:r>
      <w:r w:rsidR="00785CB7" w:rsidRPr="00785CB7">
        <w:rPr>
          <w:i/>
          <w:iCs/>
          <w:lang w:eastAsia="en-AU"/>
        </w:rPr>
        <w:t>Convention against Torture and Other Cruel, Inhumane Degrading Treatment or Punishment</w:t>
      </w:r>
      <w:r w:rsidR="00785CB7" w:rsidRPr="00785CB7">
        <w:rPr>
          <w:lang w:eastAsia="en-AU"/>
        </w:rPr>
        <w:t> (the “CAT”). Australia has also incorporated obligations of that kind into Australian domestic law through the provisions of the Act.</w:t>
      </w:r>
    </w:p>
    <w:p w14:paraId="2792BB01" w14:textId="77777777" w:rsidR="00537718" w:rsidRDefault="00537718" w:rsidP="00537718">
      <w:pPr>
        <w:pStyle w:val="Quote1"/>
        <w:ind w:left="1440" w:hanging="703"/>
        <w:rPr>
          <w:lang w:eastAsia="en-AU"/>
        </w:rPr>
      </w:pPr>
      <w:r>
        <w:rPr>
          <w:lang w:eastAsia="en-AU"/>
        </w:rPr>
        <w:lastRenderedPageBreak/>
        <w:t>…</w:t>
      </w:r>
    </w:p>
    <w:p w14:paraId="2792BB02" w14:textId="77777777" w:rsidR="00785CB7" w:rsidRPr="00785CB7" w:rsidRDefault="00A40435" w:rsidP="00537718">
      <w:pPr>
        <w:pStyle w:val="Quote1"/>
        <w:ind w:left="1440" w:hanging="703"/>
        <w:rPr>
          <w:lang w:eastAsia="en-AU"/>
        </w:rPr>
      </w:pPr>
      <w:r>
        <w:rPr>
          <w:lang w:eastAsia="en-AU"/>
        </w:rPr>
        <w:t>97</w:t>
      </w:r>
      <w:r w:rsidR="00393BEA">
        <w:rPr>
          <w:lang w:eastAsia="en-AU"/>
        </w:rPr>
        <w:t>.</w:t>
      </w:r>
      <w:r w:rsidR="00537718">
        <w:rPr>
          <w:lang w:eastAsia="en-AU"/>
        </w:rPr>
        <w:tab/>
      </w:r>
      <w:r w:rsidR="00785CB7" w:rsidRPr="00785CB7">
        <w:rPr>
          <w:lang w:eastAsia="en-AU"/>
        </w:rPr>
        <w:t>The applicant’s written submissions also made reference to the applicant fearing serious harm as a consequence of him being denied access to treatment for his Hepatitis B and D conditions. Again, these claims were not substantively pressed in the hearing on the basis of any convention-based harm but rather were more substantively dealt with by counsel for the applicant in impediments on return. Based on the evidence before it the Tribunal is satisfied that there is no convention-based harm in the form of denial of access to health care that the applicant is likely to suffer on his return to Vietnam. The Tribunal does however accept that the applicant is likely to face some difficulty in accessing treatment for his health conditions generally and including his Hepatitis B and D conditions. These issues have been considered in more detail in the section dealing with impediments on return.</w:t>
      </w:r>
    </w:p>
    <w:p w14:paraId="2792BB03" w14:textId="77777777" w:rsidR="002C45CA" w:rsidRDefault="002C45CA" w:rsidP="002C45CA">
      <w:pPr>
        <w:pStyle w:val="ParaNumbering"/>
      </w:pPr>
      <w:r>
        <w:t>The Tribunal correctly understood that non-</w:t>
      </w:r>
      <w:proofErr w:type="spellStart"/>
      <w:r>
        <w:t>refoulement</w:t>
      </w:r>
      <w:proofErr w:type="spellEnd"/>
      <w:r>
        <w:t xml:space="preserve"> obligations may b</w:t>
      </w:r>
      <w:r w:rsidR="00785CB7">
        <w:t xml:space="preserve">e owed under the </w:t>
      </w:r>
      <w:r w:rsidR="00785CB7" w:rsidRPr="00393BEA">
        <w:rPr>
          <w:i/>
        </w:rPr>
        <w:t xml:space="preserve">International Covenant on Civil and Political Rights </w:t>
      </w:r>
      <w:r w:rsidR="00785CB7" w:rsidRPr="00F12D16">
        <w:t>and its</w:t>
      </w:r>
      <w:r w:rsidR="00785CB7" w:rsidRPr="00393BEA">
        <w:rPr>
          <w:i/>
        </w:rPr>
        <w:t xml:space="preserve"> Second Operational Protocol</w:t>
      </w:r>
      <w:r w:rsidR="00785CB7">
        <w:t xml:space="preserve"> (the </w:t>
      </w:r>
      <w:r w:rsidR="00785CB7" w:rsidRPr="00393BEA">
        <w:rPr>
          <w:b/>
        </w:rPr>
        <w:t>ICCPPR</w:t>
      </w:r>
      <w:r w:rsidR="00785CB7">
        <w:t xml:space="preserve">), the </w:t>
      </w:r>
      <w:r w:rsidR="00785CB7" w:rsidRPr="00393BEA">
        <w:rPr>
          <w:i/>
        </w:rPr>
        <w:t>1951 Convention R</w:t>
      </w:r>
      <w:r w:rsidRPr="00393BEA">
        <w:rPr>
          <w:i/>
        </w:rPr>
        <w:t>el</w:t>
      </w:r>
      <w:r w:rsidR="00785CB7" w:rsidRPr="00393BEA">
        <w:rPr>
          <w:i/>
        </w:rPr>
        <w:t xml:space="preserve">ating to the Status of Refugees </w:t>
      </w:r>
      <w:r w:rsidR="00785CB7" w:rsidRPr="00F12D16">
        <w:t>as amended by the</w:t>
      </w:r>
      <w:r w:rsidR="00785CB7" w:rsidRPr="00393BEA">
        <w:rPr>
          <w:i/>
        </w:rPr>
        <w:t xml:space="preserve"> 1967 P</w:t>
      </w:r>
      <w:r w:rsidRPr="00393BEA">
        <w:rPr>
          <w:i/>
        </w:rPr>
        <w:t>rotocol</w:t>
      </w:r>
      <w:r w:rsidR="005D7B86">
        <w:t xml:space="preserve"> (the </w:t>
      </w:r>
      <w:r w:rsidR="005D7B86" w:rsidRPr="00393BEA">
        <w:rPr>
          <w:b/>
        </w:rPr>
        <w:t>Refugee C</w:t>
      </w:r>
      <w:r w:rsidR="00785CB7" w:rsidRPr="00393BEA">
        <w:rPr>
          <w:b/>
        </w:rPr>
        <w:t>onvention</w:t>
      </w:r>
      <w:r w:rsidR="00785CB7">
        <w:t xml:space="preserve">) and the </w:t>
      </w:r>
      <w:r w:rsidR="00785CB7" w:rsidRPr="00393BEA">
        <w:rPr>
          <w:i/>
        </w:rPr>
        <w:t>Convention Against Torture and Other Cruel, Inhumane Degrading Treatment or P</w:t>
      </w:r>
      <w:r w:rsidRPr="00393BEA">
        <w:rPr>
          <w:i/>
        </w:rPr>
        <w:t>unishment</w:t>
      </w:r>
      <w:r>
        <w:t xml:space="preserve"> (the </w:t>
      </w:r>
      <w:r w:rsidRPr="00393BEA">
        <w:rPr>
          <w:b/>
        </w:rPr>
        <w:t>CAT</w:t>
      </w:r>
      <w:r>
        <w:t>).</w:t>
      </w:r>
    </w:p>
    <w:p w14:paraId="2792BB04" w14:textId="2BA05B13" w:rsidR="002C45CA" w:rsidRDefault="00E16354" w:rsidP="002C45CA">
      <w:pPr>
        <w:pStyle w:val="ParaNumbering"/>
      </w:pPr>
      <w:r>
        <w:t>On the evidence before it, the T</w:t>
      </w:r>
      <w:r w:rsidR="002C45CA">
        <w:t xml:space="preserve">ribunal accepted that </w:t>
      </w:r>
      <w:r w:rsidR="002B32BF">
        <w:t>“</w:t>
      </w:r>
      <w:r w:rsidR="00FD1F11">
        <w:t xml:space="preserve">the conditions in some dedicated drug treatment centres in Vietnam are harsh and involve, at some level, forced labour for little or no </w:t>
      </w:r>
      <w:r w:rsidR="00157947">
        <w:t xml:space="preserve">monetary </w:t>
      </w:r>
      <w:r w:rsidR="00FD1F11">
        <w:t xml:space="preserve">compensation”: </w:t>
      </w:r>
      <w:r w:rsidR="002B32BF">
        <w:t xml:space="preserve">at </w:t>
      </w:r>
      <w:r w:rsidR="00FD1F11">
        <w:t xml:space="preserve">[81]. The </w:t>
      </w:r>
      <w:r w:rsidR="00785CB7">
        <w:t>Tribunal</w:t>
      </w:r>
      <w:r w:rsidR="00A75A5C">
        <w:t xml:space="preserve"> had regard</w:t>
      </w:r>
      <w:r w:rsidR="00FD1F11">
        <w:t xml:space="preserve"> to the </w:t>
      </w:r>
      <w:r w:rsidR="00FD1F11" w:rsidRPr="00393BEA">
        <w:rPr>
          <w:i/>
        </w:rPr>
        <w:t>DFAT Country Information Report for Vietnam</w:t>
      </w:r>
      <w:r w:rsidR="00FD1F11">
        <w:t xml:space="preserve"> dated 13 December 2019 and relevantly reasoned as follows</w:t>
      </w:r>
      <w:r w:rsidR="00157947">
        <w:t xml:space="preserve"> at [85]</w:t>
      </w:r>
      <w:r w:rsidR="002B32BF">
        <w:t xml:space="preserve"> and [92]</w:t>
      </w:r>
      <w:r w:rsidR="00FD1F11">
        <w:t>:</w:t>
      </w:r>
    </w:p>
    <w:p w14:paraId="2792BB05" w14:textId="77777777" w:rsidR="00FD1F11" w:rsidRDefault="00E1279B" w:rsidP="002B32BF">
      <w:pPr>
        <w:pStyle w:val="Quote1"/>
        <w:ind w:left="1440" w:hanging="703"/>
      </w:pPr>
      <w:r>
        <w:t>85.</w:t>
      </w:r>
      <w:r w:rsidR="002B32BF">
        <w:tab/>
      </w:r>
      <w:r w:rsidR="00FD1F11">
        <w:t xml:space="preserve">While the Tribunal accepts the compulsory drug centres continue to operate in Vietnam and in some instances involve harsh and degrading conditions, </w:t>
      </w:r>
      <w:r w:rsidR="00157947">
        <w:t xml:space="preserve">in </w:t>
      </w:r>
      <w:r w:rsidR="00FD1F11">
        <w:t xml:space="preserve">assessing the applicant’s claims in this respect the immediate question to be determined is whether the </w:t>
      </w:r>
      <w:r w:rsidR="00785CB7">
        <w:t>Tribunal</w:t>
      </w:r>
      <w:r w:rsidR="00FD1F11">
        <w:t xml:space="preserve"> is satisfied that there is a real chance or risk of the applicant personally being detained in such a centre and being subjected to such treatment.</w:t>
      </w:r>
    </w:p>
    <w:p w14:paraId="2792BB06" w14:textId="77777777" w:rsidR="006E6D6F" w:rsidRDefault="006E6D6F" w:rsidP="002B32BF">
      <w:pPr>
        <w:pStyle w:val="Quote1"/>
        <w:ind w:left="1440" w:hanging="703"/>
      </w:pPr>
      <w:r>
        <w:t>…</w:t>
      </w:r>
    </w:p>
    <w:p w14:paraId="2792BB07" w14:textId="77777777" w:rsidR="00FD1F11" w:rsidRDefault="00E1279B" w:rsidP="002B32BF">
      <w:pPr>
        <w:pStyle w:val="Quote1"/>
        <w:ind w:left="1440" w:hanging="703"/>
      </w:pPr>
      <w:r>
        <w:t>92.</w:t>
      </w:r>
      <w:r w:rsidR="002B32BF">
        <w:tab/>
      </w:r>
      <w:r w:rsidR="00FD1F11">
        <w:t xml:space="preserve">Further, while the Tribunal accepts that if the applicant were to engage in illegal drug use in Vietnam at some point in the future then he would be at some genuine risk of being detained in a drug treatment centre, they are not his present circumstances, and the </w:t>
      </w:r>
      <w:r w:rsidR="00785CB7">
        <w:t>Tribunal</w:t>
      </w:r>
      <w:r w:rsidR="00FD1F11">
        <w:t xml:space="preserve"> is not satisfied that Australia’s international non-</w:t>
      </w:r>
      <w:proofErr w:type="spellStart"/>
      <w:r w:rsidR="00FD1F11">
        <w:t>refoulement</w:t>
      </w:r>
      <w:proofErr w:type="spellEnd"/>
      <w:r w:rsidR="00FD1F11">
        <w:t xml:space="preserve"> obligations can be said to be presently triggered due to a risk of the applicant choosing of his own volition to engage in conduct which is illegal both in Vietnam and Australia at some point in the future.</w:t>
      </w:r>
    </w:p>
    <w:p w14:paraId="2792BB08" w14:textId="77777777" w:rsidR="00FD1F11" w:rsidRDefault="00FD1F11" w:rsidP="00FD1F11">
      <w:pPr>
        <w:pStyle w:val="ParaNumbering"/>
      </w:pPr>
      <w:r>
        <w:t>Before us</w:t>
      </w:r>
      <w:r w:rsidR="00157947">
        <w:t>,</w:t>
      </w:r>
      <w:r>
        <w:t xml:space="preserve"> it was common ground that the Tribunal misunderst</w:t>
      </w:r>
      <w:r w:rsidR="00785CB7">
        <w:t xml:space="preserve">ood the scope of Australia’s </w:t>
      </w:r>
      <w:proofErr w:type="spellStart"/>
      <w:r w:rsidR="00785CB7">
        <w:t>un</w:t>
      </w:r>
      <w:r>
        <w:t>enacted</w:t>
      </w:r>
      <w:proofErr w:type="spellEnd"/>
      <w:r>
        <w:t xml:space="preserve"> international non-</w:t>
      </w:r>
      <w:proofErr w:type="spellStart"/>
      <w:r>
        <w:t>refoulement</w:t>
      </w:r>
      <w:proofErr w:type="spellEnd"/>
      <w:r>
        <w:t xml:space="preserve"> obligations in each of these paragraphs</w:t>
      </w:r>
      <w:r w:rsidR="00C74815">
        <w:t xml:space="preserve">. Counsel for the appellant summarised the errors in his written </w:t>
      </w:r>
      <w:r w:rsidR="002B32BF">
        <w:t>submissions as follows</w:t>
      </w:r>
      <w:r w:rsidR="00C74815">
        <w:t>:</w:t>
      </w:r>
    </w:p>
    <w:p w14:paraId="2792BB09" w14:textId="77777777" w:rsidR="00A75A5C" w:rsidRDefault="000A0765" w:rsidP="00393BEA">
      <w:pPr>
        <w:pStyle w:val="Quote1"/>
      </w:pPr>
      <w:r>
        <w:t>T</w:t>
      </w:r>
      <w:r w:rsidR="00C74815">
        <w:t xml:space="preserve">he </w:t>
      </w:r>
      <w:r w:rsidR="00785CB7">
        <w:t>Tribunal</w:t>
      </w:r>
      <w:r w:rsidR="00C74815">
        <w:t xml:space="preserve"> thus understood there to be two limits to the scope of Australia’s </w:t>
      </w:r>
      <w:r w:rsidR="00906FF4">
        <w:t>non-</w:t>
      </w:r>
      <w:proofErr w:type="spellStart"/>
      <w:r w:rsidR="00906FF4">
        <w:lastRenderedPageBreak/>
        <w:t>refoulement</w:t>
      </w:r>
      <w:proofErr w:type="spellEnd"/>
      <w:r w:rsidR="00906FF4">
        <w:t xml:space="preserve"> obligations, namely, that they could not be engaged by the consequences of a person’s </w:t>
      </w:r>
      <w:r w:rsidR="00906FF4" w:rsidRPr="00393BEA">
        <w:rPr>
          <w:i/>
        </w:rPr>
        <w:t>voluntary</w:t>
      </w:r>
      <w:r w:rsidR="00906FF4">
        <w:t xml:space="preserve"> acts; nor by harm that results from potential future </w:t>
      </w:r>
      <w:r w:rsidR="00906FF4" w:rsidRPr="00393BEA">
        <w:rPr>
          <w:i/>
        </w:rPr>
        <w:t>illegal</w:t>
      </w:r>
      <w:r w:rsidR="00906FF4">
        <w:t xml:space="preserve"> conduct.  Neither of those limits was a true reflection of the law.</w:t>
      </w:r>
    </w:p>
    <w:p w14:paraId="2792BB0A" w14:textId="77777777" w:rsidR="00157947" w:rsidRDefault="00157947" w:rsidP="00393BEA">
      <w:pPr>
        <w:pStyle w:val="Quote1"/>
      </w:pPr>
      <w:r>
        <w:t>(Original emphasis.)</w:t>
      </w:r>
    </w:p>
    <w:p w14:paraId="2792BB0B" w14:textId="77777777" w:rsidR="00F50B02" w:rsidRDefault="00144A69" w:rsidP="008678A3">
      <w:pPr>
        <w:pStyle w:val="Heading1"/>
      </w:pPr>
      <w:r>
        <w:t>THE DECISION</w:t>
      </w:r>
      <w:r w:rsidR="00F60DD9">
        <w:t xml:space="preserve"> OF THE PRIMARY JUDGE</w:t>
      </w:r>
    </w:p>
    <w:p w14:paraId="2792BB0C" w14:textId="77777777" w:rsidR="00F50B02" w:rsidRDefault="006E6D6F" w:rsidP="00F50B02">
      <w:pPr>
        <w:pStyle w:val="ParaNumbering"/>
      </w:pPr>
      <w:r>
        <w:t>The appellant</w:t>
      </w:r>
      <w:r w:rsidR="00F50B02">
        <w:t xml:space="preserve"> sought judicial review of th</w:t>
      </w:r>
      <w:r w:rsidR="00B07D39">
        <w:t xml:space="preserve">e Tribunal’s </w:t>
      </w:r>
      <w:r w:rsidR="00144A69">
        <w:t>decision in</w:t>
      </w:r>
      <w:r w:rsidR="00906FF4">
        <w:t xml:space="preserve"> this Court.</w:t>
      </w:r>
      <w:r w:rsidR="00F50B02">
        <w:t xml:space="preserve"> He relied on an </w:t>
      </w:r>
      <w:r w:rsidR="000C6511">
        <w:t xml:space="preserve">amended originating application in which he raised four </w:t>
      </w:r>
      <w:r w:rsidR="00906FF4">
        <w:t>grounds of review concerned with</w:t>
      </w:r>
      <w:r w:rsidR="00FF3A9E">
        <w:t>:</w:t>
      </w:r>
      <w:r w:rsidR="00906FF4">
        <w:t xml:space="preserve"> illogical or irrational reasoning</w:t>
      </w:r>
      <w:r w:rsidR="00FF3A9E">
        <w:t>;</w:t>
      </w:r>
      <w:r w:rsidR="00906FF4">
        <w:t xml:space="preserve"> legal unreasonableness in outcome</w:t>
      </w:r>
      <w:r w:rsidR="00FF3A9E">
        <w:t>;</w:t>
      </w:r>
      <w:r w:rsidR="00906FF4">
        <w:t xml:space="preserve"> a failure to consider an integer of his claims</w:t>
      </w:r>
      <w:r w:rsidR="00FF3A9E">
        <w:t>;</w:t>
      </w:r>
      <w:r w:rsidR="00906FF4">
        <w:t xml:space="preserve"> and failure to take into account a mandatory consideration. The primary judge dismissed each ground. It </w:t>
      </w:r>
      <w:r w:rsidR="00CC7F2F">
        <w:t>is</w:t>
      </w:r>
      <w:r w:rsidR="00906FF4">
        <w:t xml:space="preserve"> not necessary to set those grounds out </w:t>
      </w:r>
      <w:r w:rsidR="00DD4559">
        <w:t>given</w:t>
      </w:r>
      <w:r w:rsidR="00906FF4">
        <w:t xml:space="preserve"> the manner in which the appeal </w:t>
      </w:r>
      <w:r w:rsidR="00CC7F2F">
        <w:t>was developed before us, save for ground 2 which provided:</w:t>
      </w:r>
    </w:p>
    <w:p w14:paraId="2792BB0D" w14:textId="77777777" w:rsidR="000C6511" w:rsidRDefault="00DD4559" w:rsidP="00BE0876">
      <w:pPr>
        <w:pStyle w:val="Quote1"/>
        <w:ind w:left="1440" w:hanging="703"/>
      </w:pPr>
      <w:r>
        <w:t>2.</w:t>
      </w:r>
      <w:r>
        <w:tab/>
      </w:r>
      <w:r w:rsidR="000C6511">
        <w:t>The Tribunal’s decision is affected by legal unreasonableness.</w:t>
      </w:r>
    </w:p>
    <w:p w14:paraId="2792BB0E" w14:textId="77777777" w:rsidR="000C6511" w:rsidRPr="000C6511" w:rsidRDefault="000C6511" w:rsidP="006577FC">
      <w:pPr>
        <w:pStyle w:val="Quote1"/>
        <w:ind w:firstLine="703"/>
        <w:rPr>
          <w:u w:val="single"/>
        </w:rPr>
      </w:pPr>
      <w:r w:rsidRPr="000C6511">
        <w:rPr>
          <w:u w:val="single"/>
        </w:rPr>
        <w:t>Particulars</w:t>
      </w:r>
    </w:p>
    <w:p w14:paraId="2792BB0F" w14:textId="77777777" w:rsidR="000C6511" w:rsidRDefault="000C6511" w:rsidP="00480E78">
      <w:pPr>
        <w:pStyle w:val="Quote2"/>
        <w:ind w:left="2160" w:hanging="720"/>
      </w:pPr>
      <w:r>
        <w:t>a)</w:t>
      </w:r>
      <w:r w:rsidR="00DD4559">
        <w:tab/>
      </w:r>
      <w:r>
        <w:t>At [98], the Tribunal concluded that the Applicant did not engage Australia’s non-</w:t>
      </w:r>
      <w:proofErr w:type="spellStart"/>
      <w:r>
        <w:t>refoulement</w:t>
      </w:r>
      <w:proofErr w:type="spellEnd"/>
      <w:r>
        <w:t xml:space="preserve"> obligations.</w:t>
      </w:r>
    </w:p>
    <w:p w14:paraId="2792BB10" w14:textId="77777777" w:rsidR="000C6511" w:rsidRDefault="000C6511" w:rsidP="00480E78">
      <w:pPr>
        <w:pStyle w:val="Quote2"/>
        <w:ind w:left="2160" w:hanging="720"/>
      </w:pPr>
      <w:r>
        <w:t>b)</w:t>
      </w:r>
      <w:r w:rsidR="00DD4559">
        <w:tab/>
      </w:r>
      <w:r>
        <w:t>At [137], the Tribunal found that the “extent of impediments if removed” consideration weighed “heavily in favour of revocation of the cancellation of the Applicant’s visa”.</w:t>
      </w:r>
    </w:p>
    <w:p w14:paraId="2792BB11" w14:textId="77777777" w:rsidR="000C6511" w:rsidRDefault="000C6511" w:rsidP="00480E78">
      <w:pPr>
        <w:pStyle w:val="Quote2"/>
        <w:ind w:left="2160" w:hanging="720"/>
      </w:pPr>
      <w:r>
        <w:t>c)</w:t>
      </w:r>
      <w:r w:rsidR="00DD4559">
        <w:tab/>
      </w:r>
      <w:r>
        <w:t>The Tribunal accepted at [132] that the Applicant would likely not have access to anti-viral medication or other treatment for his chronic hepatitis on his return to Vietnam, such that “there is a real risk of the Applicant suffering significant adverse consequences”.</w:t>
      </w:r>
    </w:p>
    <w:p w14:paraId="2792BB12" w14:textId="77777777" w:rsidR="000C6511" w:rsidRDefault="000C6511" w:rsidP="00480E78">
      <w:pPr>
        <w:pStyle w:val="Quote2"/>
        <w:ind w:left="2160" w:hanging="720"/>
      </w:pPr>
      <w:r>
        <w:t>d)</w:t>
      </w:r>
      <w:r w:rsidR="00DD4559">
        <w:tab/>
      </w:r>
      <w:r>
        <w:t>The Tribunal had evidence before it that the Applicant’s health condition would deteriorate if not treated, a contention accepted by the Tribunal. A consequence of such deterioration would include the Applicant’s death (at [116]).</w:t>
      </w:r>
    </w:p>
    <w:p w14:paraId="2792BB13" w14:textId="77777777" w:rsidR="000C6511" w:rsidRDefault="000C6511" w:rsidP="00480E78">
      <w:pPr>
        <w:pStyle w:val="Quote2"/>
        <w:ind w:left="2160" w:hanging="720"/>
      </w:pPr>
      <w:r>
        <w:t>e)</w:t>
      </w:r>
      <w:r w:rsidR="00DD4559">
        <w:tab/>
      </w:r>
      <w:r>
        <w:t>The findings by the Tribunal that:</w:t>
      </w:r>
    </w:p>
    <w:p w14:paraId="2792BB14" w14:textId="77777777" w:rsidR="000C6511" w:rsidRDefault="000C6511" w:rsidP="00480E78">
      <w:pPr>
        <w:pStyle w:val="Quote3"/>
        <w:ind w:left="2880" w:hanging="720"/>
      </w:pPr>
      <w:r>
        <w:t>(</w:t>
      </w:r>
      <w:proofErr w:type="spellStart"/>
      <w:r w:rsidR="00DD4559">
        <w:t>i</w:t>
      </w:r>
      <w:proofErr w:type="spellEnd"/>
      <w:r>
        <w:t>)</w:t>
      </w:r>
      <w:r w:rsidR="00DD4559">
        <w:tab/>
      </w:r>
      <w:proofErr w:type="gramStart"/>
      <w:r>
        <w:t>the</w:t>
      </w:r>
      <w:proofErr w:type="gramEnd"/>
      <w:r>
        <w:t xml:space="preserve"> Applicant was not owed non-</w:t>
      </w:r>
      <w:proofErr w:type="spellStart"/>
      <w:r>
        <w:t>refoulement</w:t>
      </w:r>
      <w:proofErr w:type="spellEnd"/>
      <w:r>
        <w:t xml:space="preserve"> obligations; and </w:t>
      </w:r>
    </w:p>
    <w:p w14:paraId="2792BB15" w14:textId="77777777" w:rsidR="000C6511" w:rsidRDefault="000C6511" w:rsidP="00480E78">
      <w:pPr>
        <w:pStyle w:val="Quote3"/>
        <w:ind w:left="2880" w:hanging="720"/>
      </w:pPr>
      <w:r>
        <w:t>(ii)</w:t>
      </w:r>
      <w:r w:rsidR="00DD4559">
        <w:tab/>
      </w:r>
      <w:proofErr w:type="gramStart"/>
      <w:r>
        <w:t>the</w:t>
      </w:r>
      <w:proofErr w:type="gramEnd"/>
      <w:r>
        <w:t xml:space="preserve"> decision of the Minister should nonetheless be affirmed (at [144] &amp; [145]),</w:t>
      </w:r>
      <w:r w:rsidR="00DD4559">
        <w:t xml:space="preserve"> </w:t>
      </w:r>
      <w:r>
        <w:t>when the Tribunal was on notice of (and indeed accepted) evidence that the Applicant would not have access to health care if returned to Vietnam, are therefore both unreasonable.</w:t>
      </w:r>
    </w:p>
    <w:p w14:paraId="2792BB16" w14:textId="77777777" w:rsidR="00C043E6" w:rsidRDefault="00CC7F2F" w:rsidP="00CC7F2F">
      <w:pPr>
        <w:pStyle w:val="ParaNumbering"/>
      </w:pPr>
      <w:r>
        <w:t xml:space="preserve">In dismissing this ground, the primary </w:t>
      </w:r>
      <w:r w:rsidR="00144A69">
        <w:t>judge summarised</w:t>
      </w:r>
      <w:r w:rsidR="00A53CEA">
        <w:t xml:space="preserve"> the </w:t>
      </w:r>
      <w:r w:rsidR="003F24B1">
        <w:t>a</w:t>
      </w:r>
      <w:r w:rsidR="00A53CEA">
        <w:t>ppellant’s core contention</w:t>
      </w:r>
      <w:r w:rsidR="00B62E2E">
        <w:t xml:space="preserve"> </w:t>
      </w:r>
      <w:r w:rsidR="003F24B1">
        <w:t xml:space="preserve">at </w:t>
      </w:r>
      <w:r w:rsidR="00157947">
        <w:t>PJ</w:t>
      </w:r>
      <w:r w:rsidR="003F24B1">
        <w:t>[46]</w:t>
      </w:r>
      <w:r w:rsidR="00B62E2E">
        <w:t>:</w:t>
      </w:r>
    </w:p>
    <w:p w14:paraId="2792BB17" w14:textId="77777777" w:rsidR="00674E5F" w:rsidRDefault="00674E5F" w:rsidP="003F24B1">
      <w:pPr>
        <w:pStyle w:val="Quote1"/>
      </w:pPr>
      <w:r>
        <w:t>…</w:t>
      </w:r>
      <w:r w:rsidR="00DD4559">
        <w:t xml:space="preserve"> </w:t>
      </w:r>
      <w:r>
        <w:t xml:space="preserve">Ground 2 was to be (beneficially) understood as alleging that the Tribunal had overlooked that complementary protection obligations which might give rise to non </w:t>
      </w:r>
      <w:proofErr w:type="spellStart"/>
      <w:r>
        <w:t>refoulement</w:t>
      </w:r>
      <w:proofErr w:type="spellEnd"/>
      <w:r>
        <w:t xml:space="preserve"> obligations may have been owed to the Applicant pursuant to other international instruments Australia was party to. </w:t>
      </w:r>
    </w:p>
    <w:p w14:paraId="2792BB18" w14:textId="77777777" w:rsidR="00DD4559" w:rsidRDefault="003F24B1" w:rsidP="00C2159F">
      <w:pPr>
        <w:pStyle w:val="ParaNumbering"/>
      </w:pPr>
      <w:r>
        <w:lastRenderedPageBreak/>
        <w:t>T</w:t>
      </w:r>
      <w:r w:rsidR="00AA69B8">
        <w:t xml:space="preserve">he primary </w:t>
      </w:r>
      <w:r w:rsidR="00144A69">
        <w:t>judge accepted</w:t>
      </w:r>
      <w:r w:rsidR="00AA69B8">
        <w:t xml:space="preserve"> the </w:t>
      </w:r>
      <w:r w:rsidR="00AD5284">
        <w:t xml:space="preserve">first </w:t>
      </w:r>
      <w:r w:rsidR="00AA69B8">
        <w:t>respondent’s submissions that the appellant’s claims were “expressed at a high level of abstraction” and “</w:t>
      </w:r>
      <w:r w:rsidR="00783CF3">
        <w:t xml:space="preserve">[n]o </w:t>
      </w:r>
      <w:r w:rsidR="00AA69B8">
        <w:t xml:space="preserve">substantial submissions were made explaining how the </w:t>
      </w:r>
      <w:r w:rsidR="00C2159F">
        <w:t>postulated</w:t>
      </w:r>
      <w:r w:rsidR="00AA69B8">
        <w:t xml:space="preserve"> ‘limited’ access to </w:t>
      </w:r>
      <w:r w:rsidR="00C2159F">
        <w:t>medical</w:t>
      </w:r>
      <w:r w:rsidR="00AA69B8">
        <w:t xml:space="preserve"> treatment for hepatitis meant that Australia owed non-</w:t>
      </w:r>
      <w:proofErr w:type="spellStart"/>
      <w:r w:rsidR="00AA69B8">
        <w:t>refoulement</w:t>
      </w:r>
      <w:proofErr w:type="spellEnd"/>
      <w:r w:rsidR="00AA69B8">
        <w:t xml:space="preserve"> obligations in relation to him, including under what treat</w:t>
      </w:r>
      <w:r w:rsidR="00785CB7">
        <w:t>y</w:t>
      </w:r>
      <w:r w:rsidR="00AA69B8">
        <w:t xml:space="preserve"> and on what basis</w:t>
      </w:r>
      <w:r w:rsidR="00C2159F">
        <w:t>”</w:t>
      </w:r>
      <w:r w:rsidR="00046C4C">
        <w:t xml:space="preserve">: at </w:t>
      </w:r>
      <w:r w:rsidR="006D2C3F">
        <w:t>PJ</w:t>
      </w:r>
      <w:r w:rsidR="00046C4C">
        <w:t>[50]-[51]</w:t>
      </w:r>
      <w:r w:rsidR="00DD4559">
        <w:t xml:space="preserve">. </w:t>
      </w:r>
    </w:p>
    <w:p w14:paraId="2792BB19" w14:textId="575E9A28" w:rsidR="00674E5F" w:rsidRDefault="00DD4559" w:rsidP="00C2159F">
      <w:pPr>
        <w:pStyle w:val="ParaNumbering"/>
      </w:pPr>
      <w:r>
        <w:t>His Honour stated</w:t>
      </w:r>
      <w:r w:rsidR="00AA69B8">
        <w:t xml:space="preserve"> </w:t>
      </w:r>
      <w:r w:rsidR="00C2159F">
        <w:t xml:space="preserve">at </w:t>
      </w:r>
      <w:r w:rsidR="00783CF3">
        <w:t>PJ</w:t>
      </w:r>
      <w:r w:rsidR="00305409">
        <w:t>[51]-</w:t>
      </w:r>
      <w:r w:rsidR="00144A69">
        <w:t>[</w:t>
      </w:r>
      <w:r w:rsidR="00C2159F">
        <w:t>52]</w:t>
      </w:r>
      <w:r w:rsidR="001D1387">
        <w:t>:</w:t>
      </w:r>
    </w:p>
    <w:p w14:paraId="2792BB1A" w14:textId="77777777" w:rsidR="00A53CEA" w:rsidRPr="00056635" w:rsidRDefault="00E1279B" w:rsidP="00DD4559">
      <w:pPr>
        <w:pStyle w:val="Quote1"/>
        <w:ind w:left="1440" w:hanging="703"/>
      </w:pPr>
      <w:r>
        <w:t>51</w:t>
      </w:r>
      <w:r w:rsidR="00DD4559">
        <w:t>.</w:t>
      </w:r>
      <w:r w:rsidR="00DD4559">
        <w:tab/>
      </w:r>
      <w:r w:rsidR="00A53CEA">
        <w:t xml:space="preserve">Not without some hesitation, I accept the Respondent’s submissions. </w:t>
      </w:r>
      <w:r w:rsidR="00A53CEA" w:rsidRPr="009F090F">
        <w:t xml:space="preserve">If arguably, the Applicant’s incapacity </w:t>
      </w:r>
      <w:r w:rsidR="00A53CEA">
        <w:t>to afford anti-viral drugs, attendant with</w:t>
      </w:r>
      <w:r w:rsidR="00A53CEA" w:rsidRPr="009F090F">
        <w:t xml:space="preserve"> the potential serious consequences</w:t>
      </w:r>
      <w:r w:rsidR="00A53CEA">
        <w:t xml:space="preserve"> that the Tribunal acknowledged</w:t>
      </w:r>
      <w:r w:rsidR="00A53CEA" w:rsidRPr="009F090F">
        <w:t>, might</w:t>
      </w:r>
      <w:r w:rsidR="00A53CEA">
        <w:t xml:space="preserve"> potentially</w:t>
      </w:r>
      <w:r w:rsidR="00A53CEA" w:rsidRPr="009F090F">
        <w:t xml:space="preserve"> have required the Tribunal to consider a complimentary</w:t>
      </w:r>
      <w:r>
        <w:t xml:space="preserve"> [sic]</w:t>
      </w:r>
      <w:r w:rsidR="00A53CEA" w:rsidRPr="009F090F">
        <w:t xml:space="preserve"> protection claim</w:t>
      </w:r>
      <w:r w:rsidR="00A53CEA">
        <w:t xml:space="preserve"> had it been</w:t>
      </w:r>
      <w:r w:rsidR="00A53CEA" w:rsidRPr="009F090F">
        <w:t xml:space="preserve"> advanced; such a claim</w:t>
      </w:r>
      <w:r w:rsidR="00A53CEA">
        <w:t xml:space="preserve"> was not advanced </w:t>
      </w:r>
      <w:r w:rsidR="00A53CEA" w:rsidRPr="009F090F">
        <w:t xml:space="preserve">either </w:t>
      </w:r>
      <w:r w:rsidR="00A53CEA" w:rsidRPr="00056635">
        <w:t>in writing or orally before the Tribunal.</w:t>
      </w:r>
    </w:p>
    <w:p w14:paraId="2792BB1B" w14:textId="77777777" w:rsidR="00A53CEA" w:rsidRPr="00056635" w:rsidRDefault="00E1279B" w:rsidP="00DD4559">
      <w:pPr>
        <w:pStyle w:val="Quote1"/>
        <w:ind w:left="1440" w:hanging="703"/>
      </w:pPr>
      <w:r w:rsidRPr="00056635">
        <w:t>52</w:t>
      </w:r>
      <w:r w:rsidR="00DD4559" w:rsidRPr="00056635">
        <w:t>.</w:t>
      </w:r>
      <w:r w:rsidR="00DD4559" w:rsidRPr="00056635">
        <w:tab/>
      </w:r>
      <w:r w:rsidR="00A53CEA" w:rsidRPr="00056635">
        <w:t>Moreover, in the specific facts before the Court a submission that the facts before the Tribunal should have been understood by it to be obviously congruent with Australia’s international obligations involves a strained reading of the conclusions of the Tribunal.</w:t>
      </w:r>
    </w:p>
    <w:p w14:paraId="2792BB1C" w14:textId="77777777" w:rsidR="00A53CEA" w:rsidRPr="00056635" w:rsidRDefault="003F24B1" w:rsidP="00056635">
      <w:pPr>
        <w:pStyle w:val="ParaNumbering"/>
      </w:pPr>
      <w:r w:rsidRPr="00056635">
        <w:t>Then concluded, a</w:t>
      </w:r>
      <w:r w:rsidR="00C2159F" w:rsidRPr="00056635">
        <w:t xml:space="preserve">t </w:t>
      </w:r>
      <w:r w:rsidR="00783CF3" w:rsidRPr="00056635">
        <w:t>PJ</w:t>
      </w:r>
      <w:r w:rsidR="00C2159F" w:rsidRPr="00056635">
        <w:t>[</w:t>
      </w:r>
      <w:r w:rsidR="00B62E2E" w:rsidRPr="00056635">
        <w:t>64]</w:t>
      </w:r>
      <w:r w:rsidR="00305409" w:rsidRPr="00056635">
        <w:t>-</w:t>
      </w:r>
      <w:r w:rsidR="00C2159F" w:rsidRPr="00056635">
        <w:t>[65]</w:t>
      </w:r>
      <w:r w:rsidR="00B62E2E" w:rsidRPr="00056635">
        <w:t>:</w:t>
      </w:r>
    </w:p>
    <w:p w14:paraId="2792BB1D" w14:textId="77777777" w:rsidR="00B62E2E" w:rsidRPr="00056635" w:rsidRDefault="00E1279B" w:rsidP="004031F3">
      <w:pPr>
        <w:pStyle w:val="Quote1"/>
        <w:ind w:left="1440" w:hanging="703"/>
      </w:pPr>
      <w:r w:rsidRPr="00056635">
        <w:t>64</w:t>
      </w:r>
      <w:r w:rsidR="00DD4559" w:rsidRPr="00056635">
        <w:t>.</w:t>
      </w:r>
      <w:r w:rsidR="00DD4559" w:rsidRPr="00056635">
        <w:tab/>
      </w:r>
      <w:r w:rsidR="00B62E2E" w:rsidRPr="00056635">
        <w:t>In the actual circumstances applying in which the applicant was represented by competent counsel, the Respondent’s submission that it does not bespeak legal error for the Tribunal not to have perceived a non-</w:t>
      </w:r>
      <w:proofErr w:type="spellStart"/>
      <w:r w:rsidR="00B62E2E" w:rsidRPr="00056635">
        <w:t>refoulement</w:t>
      </w:r>
      <w:proofErr w:type="spellEnd"/>
      <w:r w:rsidR="00B62E2E" w:rsidRPr="00056635">
        <w:t xml:space="preserve"> claim that was neither articulated nor on its face self-evidently congruent with Australia’s international obligations is compelling. </w:t>
      </w:r>
    </w:p>
    <w:p w14:paraId="2792BB1E" w14:textId="77777777" w:rsidR="002E4B23" w:rsidRDefault="00E1279B" w:rsidP="004031F3">
      <w:pPr>
        <w:pStyle w:val="Quote1"/>
        <w:ind w:left="1440" w:hanging="703"/>
      </w:pPr>
      <w:r w:rsidRPr="00056635">
        <w:t>65</w:t>
      </w:r>
      <w:r w:rsidR="00DD4559" w:rsidRPr="00056635">
        <w:t>.</w:t>
      </w:r>
      <w:r w:rsidR="00DD4559" w:rsidRPr="00056635">
        <w:tab/>
      </w:r>
      <w:r w:rsidR="00B62E2E" w:rsidRPr="00056635">
        <w:t>I reject that the Tr</w:t>
      </w:r>
      <w:r w:rsidR="00B62E2E">
        <w:t>ibunal’s decision is vitiated by legal unreasonableness. There was nothing legally unreasonable in the Tribunal not addressing a claim that</w:t>
      </w:r>
      <w:r w:rsidR="00B62E2E" w:rsidRPr="00806915">
        <w:t xml:space="preserve"> neither</w:t>
      </w:r>
      <w:r w:rsidR="00B62E2E">
        <w:t xml:space="preserve"> had been</w:t>
      </w:r>
      <w:r w:rsidR="00B62E2E" w:rsidRPr="00806915">
        <w:t xml:space="preserve"> articulated</w:t>
      </w:r>
      <w:r w:rsidR="00B62E2E">
        <w:t xml:space="preserve"> by the Applicant nor was obviously and self-evidently inherent in the facts it found to apply.</w:t>
      </w:r>
    </w:p>
    <w:p w14:paraId="2792BB1F" w14:textId="77777777" w:rsidR="00CC7F2F" w:rsidRPr="00E16354" w:rsidRDefault="00CC7F2F" w:rsidP="008678A3">
      <w:pPr>
        <w:pStyle w:val="Heading1"/>
      </w:pPr>
      <w:r w:rsidRPr="00E16354">
        <w:t>The Appeal to this Court</w:t>
      </w:r>
    </w:p>
    <w:p w14:paraId="2792BB20" w14:textId="77777777" w:rsidR="00CC7F2F" w:rsidRDefault="00CC7F2F" w:rsidP="00CC7F2F">
      <w:pPr>
        <w:pStyle w:val="ParaNumbering"/>
      </w:pPr>
      <w:r>
        <w:t>We commence by summarising the submissions of the parties.</w:t>
      </w:r>
    </w:p>
    <w:p w14:paraId="2792BB21" w14:textId="77777777" w:rsidR="00CC7F2F" w:rsidRPr="00DF3823" w:rsidRDefault="00CC7F2F" w:rsidP="008678A3">
      <w:pPr>
        <w:pStyle w:val="Heading2"/>
      </w:pPr>
      <w:r w:rsidRPr="00DF3823">
        <w:t>Ground 1</w:t>
      </w:r>
    </w:p>
    <w:p w14:paraId="2792BB22" w14:textId="77777777" w:rsidR="00314EC6" w:rsidRDefault="00CC7F2F" w:rsidP="00314EC6">
      <w:pPr>
        <w:pStyle w:val="ParaNumbering"/>
      </w:pPr>
      <w:r>
        <w:t xml:space="preserve">The </w:t>
      </w:r>
      <w:r w:rsidR="00A11AF0">
        <w:t xml:space="preserve">appellant submitted that </w:t>
      </w:r>
      <w:r w:rsidR="00831E68">
        <w:t>the T</w:t>
      </w:r>
      <w:r w:rsidR="00314EC6">
        <w:t xml:space="preserve">ribunal </w:t>
      </w:r>
      <w:r w:rsidR="0006420F">
        <w:t xml:space="preserve">was required </w:t>
      </w:r>
      <w:r w:rsidR="00314EC6">
        <w:t>to consider al</w:t>
      </w:r>
      <w:r w:rsidR="00831E68">
        <w:t>l “</w:t>
      </w:r>
      <w:r w:rsidR="0006420F">
        <w:t>‘</w:t>
      </w:r>
      <w:r w:rsidR="00831E68">
        <w:t xml:space="preserve">substantial </w:t>
      </w:r>
      <w:r w:rsidR="00314EC6">
        <w:t>or significant and clearly articulated claim[s</w:t>
      </w:r>
      <w:r w:rsidR="00785CB7">
        <w:t>] raised by the representations</w:t>
      </w:r>
      <w:r w:rsidR="0006420F">
        <w:t>’</w:t>
      </w:r>
      <w:r w:rsidR="00314EC6">
        <w:t xml:space="preserve"> that were capable of providing ‘another reason’ to revoke</w:t>
      </w:r>
      <w:r w:rsidR="00314EC6" w:rsidRPr="00314EC6">
        <w:t xml:space="preserve"> the mandatory cancellation decision</w:t>
      </w:r>
      <w:r w:rsidR="00314EC6">
        <w:t>”</w:t>
      </w:r>
      <w:r w:rsidR="0006420F">
        <w:t xml:space="preserve">: </w:t>
      </w:r>
      <w:r w:rsidR="0006420F" w:rsidRPr="00393BEA">
        <w:rPr>
          <w:i/>
        </w:rPr>
        <w:t xml:space="preserve">Minister for Home Affairs v Omar </w:t>
      </w:r>
      <w:r w:rsidR="0006420F" w:rsidRPr="0096088A">
        <w:t>(2019) 272 FCR 589; [2019] FCAFC 188</w:t>
      </w:r>
      <w:r w:rsidR="0006420F">
        <w:t xml:space="preserve"> (</w:t>
      </w:r>
      <w:r w:rsidR="0006420F" w:rsidRPr="00FC030B">
        <w:rPr>
          <w:b/>
          <w:i/>
        </w:rPr>
        <w:t>Omar</w:t>
      </w:r>
      <w:r w:rsidR="0006420F">
        <w:t>), Allsop CJ, Bromberg, Robertson, Griffiths and Perry JJ at [41], [45].</w:t>
      </w:r>
      <w:r w:rsidR="00314EC6">
        <w:t xml:space="preserve"> </w:t>
      </w:r>
      <w:r w:rsidR="0024436A">
        <w:t xml:space="preserve">It was </w:t>
      </w:r>
      <w:r w:rsidR="0006420F">
        <w:t xml:space="preserve">submitted that obligation </w:t>
      </w:r>
      <w:r w:rsidR="00314EC6">
        <w:t>includ</w:t>
      </w:r>
      <w:r w:rsidR="0006420F">
        <w:t>ed</w:t>
      </w:r>
      <w:r w:rsidR="00314EC6">
        <w:t xml:space="preserve"> material that was “apparent on the face of th</w:t>
      </w:r>
      <w:r w:rsidR="00831E68">
        <w:t>e material before</w:t>
      </w:r>
      <w:r w:rsidR="000C670C">
        <w:t xml:space="preserve"> the </w:t>
      </w:r>
      <w:r w:rsidR="00785CB7">
        <w:t>Tribunal</w:t>
      </w:r>
      <w:r w:rsidR="000C670C">
        <w:t>”</w:t>
      </w:r>
      <w:r w:rsidR="0006420F">
        <w:t xml:space="preserve">: </w:t>
      </w:r>
      <w:r w:rsidR="000C670C">
        <w:t xml:space="preserve"> </w:t>
      </w:r>
      <w:r w:rsidR="00831E68" w:rsidRPr="00393BEA">
        <w:rPr>
          <w:i/>
        </w:rPr>
        <w:t>NABE v Minister for Immigration and Multicultural and Indigenous Affairs (</w:t>
      </w:r>
      <w:r w:rsidR="001A07C4" w:rsidRPr="0096088A">
        <w:rPr>
          <w:i/>
        </w:rPr>
        <w:t>N</w:t>
      </w:r>
      <w:r w:rsidR="001A07C4" w:rsidRPr="00393BEA">
        <w:rPr>
          <w:i/>
        </w:rPr>
        <w:t xml:space="preserve">o </w:t>
      </w:r>
      <w:r w:rsidR="000C670C" w:rsidRPr="00393BEA">
        <w:rPr>
          <w:i/>
        </w:rPr>
        <w:t>2)</w:t>
      </w:r>
      <w:r w:rsidR="000C670C" w:rsidRPr="0096088A">
        <w:t xml:space="preserve"> (2004) 144 FCR 1</w:t>
      </w:r>
      <w:r w:rsidR="001A07C4" w:rsidRPr="0096088A">
        <w:t xml:space="preserve">; [2004] FCAFC 263 </w:t>
      </w:r>
      <w:r w:rsidR="001A07C4">
        <w:t>(</w:t>
      </w:r>
      <w:r w:rsidR="001A07C4" w:rsidRPr="00393BEA">
        <w:rPr>
          <w:b/>
          <w:i/>
        </w:rPr>
        <w:t>NABE</w:t>
      </w:r>
      <w:r w:rsidR="001A07C4">
        <w:t>),</w:t>
      </w:r>
      <w:r w:rsidR="000C670C">
        <w:t xml:space="preserve"> at [58], Black CJ, French and </w:t>
      </w:r>
      <w:proofErr w:type="spellStart"/>
      <w:r w:rsidR="000C670C">
        <w:t>Selway</w:t>
      </w:r>
      <w:proofErr w:type="spellEnd"/>
      <w:r w:rsidR="000C670C">
        <w:t xml:space="preserve"> JJ.</w:t>
      </w:r>
    </w:p>
    <w:p w14:paraId="2792BB23" w14:textId="77777777" w:rsidR="00D45DEA" w:rsidRDefault="0024436A" w:rsidP="00314EC6">
      <w:pPr>
        <w:pStyle w:val="ParaNumbering"/>
      </w:pPr>
      <w:r>
        <w:lastRenderedPageBreak/>
        <w:t>Based on these principles, the appellant</w:t>
      </w:r>
      <w:r w:rsidR="00314EC6">
        <w:t xml:space="preserve"> submitted that</w:t>
      </w:r>
      <w:r w:rsidR="00B07D39">
        <w:t xml:space="preserve"> the primary judge erred in failing to discern error in the Tribunal’s assessment of the claimed non-</w:t>
      </w:r>
      <w:proofErr w:type="spellStart"/>
      <w:r w:rsidR="00B07D39">
        <w:t>refoulement</w:t>
      </w:r>
      <w:proofErr w:type="spellEnd"/>
      <w:r w:rsidR="00B07D39">
        <w:t xml:space="preserve"> obligations arising by reason of his </w:t>
      </w:r>
      <w:r w:rsidR="001A07C4">
        <w:t xml:space="preserve">Hepatitis </w:t>
      </w:r>
      <w:r w:rsidR="00B07D39">
        <w:t xml:space="preserve">B and D </w:t>
      </w:r>
      <w:r w:rsidR="00E1279B">
        <w:t>because, according to the appellant:</w:t>
      </w:r>
      <w:r w:rsidR="00314EC6">
        <w:t xml:space="preserve"> (1) the claim </w:t>
      </w:r>
      <w:r w:rsidR="00175232">
        <w:t xml:space="preserve">was </w:t>
      </w:r>
      <w:r w:rsidR="00D45DEA">
        <w:t xml:space="preserve">either clearly articulated </w:t>
      </w:r>
      <w:r w:rsidR="00314EC6">
        <w:t xml:space="preserve">or </w:t>
      </w:r>
      <w:r w:rsidR="00D20448">
        <w:t xml:space="preserve">clearly emerged (or </w:t>
      </w:r>
      <w:r w:rsidR="005A7B4F">
        <w:t>w</w:t>
      </w:r>
      <w:r w:rsidR="00D45DEA">
        <w:t>as squarely raised</w:t>
      </w:r>
      <w:r w:rsidR="00D20448">
        <w:t>)</w:t>
      </w:r>
      <w:r w:rsidR="00D45DEA">
        <w:t xml:space="preserve"> on th</w:t>
      </w:r>
      <w:r w:rsidR="00785CB7">
        <w:t>e materials</w:t>
      </w:r>
      <w:r>
        <w:t>;</w:t>
      </w:r>
      <w:r w:rsidR="00785CB7">
        <w:t xml:space="preserve"> and (2) the claim</w:t>
      </w:r>
      <w:r w:rsidR="00D45DEA">
        <w:t xml:space="preserve"> was not considered.</w:t>
      </w:r>
    </w:p>
    <w:p w14:paraId="2792BB24" w14:textId="77777777" w:rsidR="00314EC6" w:rsidRDefault="00E060C6" w:rsidP="000C06C6">
      <w:pPr>
        <w:pStyle w:val="ParaNumbering"/>
      </w:pPr>
      <w:r>
        <w:rPr>
          <w:i/>
        </w:rPr>
        <w:t>First</w:t>
      </w:r>
      <w:r w:rsidR="0024436A">
        <w:t>, i</w:t>
      </w:r>
      <w:r w:rsidR="00A75A5C" w:rsidRPr="0024436A">
        <w:t>n</w:t>
      </w:r>
      <w:r w:rsidR="00A75A5C">
        <w:t xml:space="preserve"> relation to the</w:t>
      </w:r>
      <w:r w:rsidR="00175232">
        <w:t xml:space="preserve"> </w:t>
      </w:r>
      <w:r w:rsidR="006029E9">
        <w:t xml:space="preserve">submission that </w:t>
      </w:r>
      <w:r w:rsidR="00D20448">
        <w:t xml:space="preserve">the claim was clearly articulated, </w:t>
      </w:r>
      <w:r w:rsidR="00A75A5C">
        <w:t xml:space="preserve">counsel for </w:t>
      </w:r>
      <w:r w:rsidR="00A11AF0">
        <w:t>the appellant</w:t>
      </w:r>
      <w:r w:rsidR="00831E68">
        <w:t xml:space="preserve"> </w:t>
      </w:r>
      <w:r w:rsidR="0024436A">
        <w:t xml:space="preserve">referred to </w:t>
      </w:r>
      <w:r w:rsidR="00314EC6">
        <w:t xml:space="preserve">the </w:t>
      </w:r>
      <w:r w:rsidR="00314EC6" w:rsidRPr="00314EC6">
        <w:rPr>
          <w:i/>
        </w:rPr>
        <w:t>Statement of Facts, Issues and Contentions</w:t>
      </w:r>
      <w:r w:rsidR="00600D0F">
        <w:rPr>
          <w:i/>
        </w:rPr>
        <w:t xml:space="preserve"> </w:t>
      </w:r>
      <w:r w:rsidR="00600D0F">
        <w:t>(</w:t>
      </w:r>
      <w:r w:rsidR="00600D0F" w:rsidRPr="00600D0F">
        <w:rPr>
          <w:b/>
        </w:rPr>
        <w:t>SOFIC</w:t>
      </w:r>
      <w:r w:rsidR="00600D0F">
        <w:t>)</w:t>
      </w:r>
      <w:r w:rsidR="00B07D39">
        <w:t xml:space="preserve"> f</w:t>
      </w:r>
      <w:r w:rsidR="00A75A5C">
        <w:t>iled with the Tribunal</w:t>
      </w:r>
      <w:r w:rsidR="0024436A">
        <w:t>.</w:t>
      </w:r>
      <w:r w:rsidR="00A75A5C">
        <w:t xml:space="preserve"> </w:t>
      </w:r>
      <w:r w:rsidR="0024436A">
        <w:t>I</w:t>
      </w:r>
      <w:r w:rsidR="00A75A5C">
        <w:t>t was</w:t>
      </w:r>
      <w:r w:rsidR="00B07D39">
        <w:t xml:space="preserve"> submitted </w:t>
      </w:r>
      <w:r w:rsidR="0024436A">
        <w:t xml:space="preserve">in the SOFIC </w:t>
      </w:r>
      <w:r w:rsidR="008071B2">
        <w:t xml:space="preserve">under the heading: </w:t>
      </w:r>
      <w:r w:rsidR="008C3F97">
        <w:t>“</w:t>
      </w:r>
      <w:r w:rsidR="008071B2">
        <w:t>International non-</w:t>
      </w:r>
      <w:proofErr w:type="spellStart"/>
      <w:r w:rsidR="008071B2">
        <w:t>refoulement</w:t>
      </w:r>
      <w:proofErr w:type="spellEnd"/>
      <w:r w:rsidR="008071B2">
        <w:t xml:space="preserve"> obligations</w:t>
      </w:r>
      <w:r w:rsidR="008C3F97">
        <w:t>”</w:t>
      </w:r>
      <w:r w:rsidR="008071B2">
        <w:t xml:space="preserve">, that the appellant feared return to Vietnam for several reasons, including his status as a sufferer of </w:t>
      </w:r>
      <w:r w:rsidR="0070080A">
        <w:t>H</w:t>
      </w:r>
      <w:r w:rsidR="00144A69">
        <w:t>epatitis</w:t>
      </w:r>
      <w:r w:rsidR="008071B2">
        <w:t xml:space="preserve"> B and D and access to treatment. </w:t>
      </w:r>
      <w:r w:rsidR="00314EC6">
        <w:t xml:space="preserve">The appellant acknowledged that he did not explicitly nominate </w:t>
      </w:r>
      <w:r w:rsidR="00314EC6" w:rsidRPr="000C06C6">
        <w:rPr>
          <w:i/>
        </w:rPr>
        <w:t>which</w:t>
      </w:r>
      <w:r w:rsidR="00314EC6">
        <w:t xml:space="preserve"> international obligation he relied upon, </w:t>
      </w:r>
      <w:r w:rsidR="00175232">
        <w:t xml:space="preserve">but argued in his </w:t>
      </w:r>
      <w:r w:rsidR="00B07D39">
        <w:t>written case</w:t>
      </w:r>
      <w:r w:rsidR="00175232">
        <w:t xml:space="preserve"> that </w:t>
      </w:r>
      <w:r w:rsidR="00314EC6">
        <w:t xml:space="preserve">“he could not reasonably be understood to have limited himself to the </w:t>
      </w:r>
      <w:r w:rsidR="0070080A" w:rsidRPr="00393BEA">
        <w:t>[</w:t>
      </w:r>
      <w:r w:rsidR="0070080A">
        <w:rPr>
          <w:i/>
        </w:rPr>
        <w:t>Refugee Convention</w:t>
      </w:r>
      <w:r w:rsidR="0070080A" w:rsidRPr="00393BEA">
        <w:t>]</w:t>
      </w:r>
      <w:r w:rsidR="00314EC6">
        <w:t>”</w:t>
      </w:r>
      <w:r w:rsidR="00812847">
        <w:t>.</w:t>
      </w:r>
      <w:r w:rsidR="00314EC6">
        <w:t xml:space="preserve">  </w:t>
      </w:r>
    </w:p>
    <w:p w14:paraId="2792BB25" w14:textId="77777777" w:rsidR="009D6432" w:rsidRDefault="00B07D39" w:rsidP="00A11AF0">
      <w:pPr>
        <w:pStyle w:val="ParaNumbering"/>
      </w:pPr>
      <w:r>
        <w:t>Further, it was submitted that</w:t>
      </w:r>
      <w:r w:rsidR="00175232">
        <w:t>, d</w:t>
      </w:r>
      <w:r w:rsidR="000C06C6">
        <w:t>uring oral submi</w:t>
      </w:r>
      <w:r w:rsidR="00175232">
        <w:t xml:space="preserve">ssions before the Tribunal, </w:t>
      </w:r>
      <w:r w:rsidR="0024436A">
        <w:t>the appellant</w:t>
      </w:r>
      <w:r w:rsidR="00175232">
        <w:t xml:space="preserve"> </w:t>
      </w:r>
      <w:r w:rsidR="000C06C6">
        <w:t>fra</w:t>
      </w:r>
      <w:r>
        <w:t xml:space="preserve">med his </w:t>
      </w:r>
      <w:r w:rsidR="00144A69">
        <w:t>case relating</w:t>
      </w:r>
      <w:r w:rsidR="00A11AF0">
        <w:t xml:space="preserve"> to</w:t>
      </w:r>
      <w:r w:rsidR="008071B2">
        <w:t xml:space="preserve"> h</w:t>
      </w:r>
      <w:r w:rsidR="000C06C6">
        <w:t xml:space="preserve">epatitis </w:t>
      </w:r>
      <w:r w:rsidR="000C06C6" w:rsidRPr="000C06C6">
        <w:t xml:space="preserve">through the prism of the </w:t>
      </w:r>
      <w:r w:rsidR="000C06C6">
        <w:t>“</w:t>
      </w:r>
      <w:r w:rsidR="000C06C6" w:rsidRPr="000C06C6">
        <w:t>extent of impediments if removed</w:t>
      </w:r>
      <w:r w:rsidR="000C06C6">
        <w:t>”</w:t>
      </w:r>
      <w:r w:rsidR="006029E9">
        <w:t>. It was also submitted that the appellant did not make</w:t>
      </w:r>
      <w:r w:rsidR="000C06C6">
        <w:t xml:space="preserve"> any positive concession before the Tribunal that the </w:t>
      </w:r>
      <w:r w:rsidR="008071B2">
        <w:t xml:space="preserve">likely inability to </w:t>
      </w:r>
      <w:r w:rsidR="00144A69">
        <w:t>access medical</w:t>
      </w:r>
      <w:r w:rsidR="000C06C6">
        <w:t xml:space="preserve"> treatment in Vietnam was incapable of engaging non-</w:t>
      </w:r>
      <w:proofErr w:type="spellStart"/>
      <w:r w:rsidR="000C06C6">
        <w:t>refoulement</w:t>
      </w:r>
      <w:proofErr w:type="spellEnd"/>
      <w:r w:rsidR="000C06C6">
        <w:t xml:space="preserve"> obligations outside of </w:t>
      </w:r>
      <w:r w:rsidR="00144A69">
        <w:t>the Refugee</w:t>
      </w:r>
      <w:r w:rsidR="00785CB7">
        <w:t xml:space="preserve"> </w:t>
      </w:r>
      <w:r w:rsidR="000C06C6">
        <w:t xml:space="preserve">Convention. </w:t>
      </w:r>
      <w:r w:rsidR="009D6432">
        <w:t>Further,</w:t>
      </w:r>
      <w:r w:rsidR="006E3490">
        <w:t xml:space="preserve"> and in any event, </w:t>
      </w:r>
      <w:r w:rsidR="006029E9">
        <w:t xml:space="preserve">it was submitted that </w:t>
      </w:r>
      <w:r w:rsidR="009D6432">
        <w:t>any concession by</w:t>
      </w:r>
      <w:r>
        <w:t xml:space="preserve"> the appellant ought not be</w:t>
      </w:r>
      <w:r w:rsidR="009D6432">
        <w:t xml:space="preserve"> c</w:t>
      </w:r>
      <w:r>
        <w:t>onsidered to have absolved the T</w:t>
      </w:r>
      <w:r w:rsidR="009D6432">
        <w:t>ribunal</w:t>
      </w:r>
      <w:r w:rsidR="006E3490">
        <w:t xml:space="preserve"> of considering this claim</w:t>
      </w:r>
      <w:r w:rsidR="006029E9">
        <w:t xml:space="preserve"> because</w:t>
      </w:r>
      <w:r w:rsidR="008071B2">
        <w:t xml:space="preserve"> it </w:t>
      </w:r>
      <w:r w:rsidR="006E3490">
        <w:t xml:space="preserve">related to the correct </w:t>
      </w:r>
      <w:r w:rsidR="006E3490" w:rsidRPr="005A7B4F">
        <w:rPr>
          <w:i/>
        </w:rPr>
        <w:t>legal</w:t>
      </w:r>
      <w:r w:rsidR="006E3490">
        <w:t xml:space="preserve"> characterisation of the potential harm, rather than being a concession </w:t>
      </w:r>
      <w:r w:rsidR="005A7B4F">
        <w:t>that</w:t>
      </w:r>
      <w:r w:rsidR="006E3490">
        <w:t xml:space="preserve"> the underlying </w:t>
      </w:r>
      <w:r w:rsidR="005A7B4F">
        <w:t xml:space="preserve">  </w:t>
      </w:r>
      <w:r w:rsidR="006E3490" w:rsidRPr="005A7B4F">
        <w:rPr>
          <w:i/>
        </w:rPr>
        <w:t>factual</w:t>
      </w:r>
      <w:r w:rsidR="006E3490">
        <w:t xml:space="preserve"> basis for the claim was not made out. </w:t>
      </w:r>
    </w:p>
    <w:p w14:paraId="2792BB26" w14:textId="77777777" w:rsidR="005C6D3A" w:rsidRDefault="003D505E" w:rsidP="005C6D3A">
      <w:pPr>
        <w:pStyle w:val="ParaNumbering"/>
      </w:pPr>
      <w:r>
        <w:t>I</w:t>
      </w:r>
      <w:r w:rsidR="0024436A">
        <w:t xml:space="preserve">n relation to </w:t>
      </w:r>
      <w:r w:rsidR="00785CB7">
        <w:t xml:space="preserve">the </w:t>
      </w:r>
      <w:r w:rsidR="00BB355D">
        <w:t>submission</w:t>
      </w:r>
      <w:r w:rsidR="006029E9">
        <w:t xml:space="preserve"> that</w:t>
      </w:r>
      <w:r w:rsidR="006E3490">
        <w:t xml:space="preserve"> </w:t>
      </w:r>
      <w:r w:rsidR="006029E9">
        <w:t>the claim</w:t>
      </w:r>
      <w:r w:rsidR="00BB355D">
        <w:t xml:space="preserve"> clearly emerged on the materials</w:t>
      </w:r>
      <w:r w:rsidR="006029E9">
        <w:t xml:space="preserve">, </w:t>
      </w:r>
      <w:r w:rsidR="006E3490">
        <w:t>the facts were</w:t>
      </w:r>
      <w:r w:rsidR="006029E9">
        <w:t xml:space="preserve"> said to be</w:t>
      </w:r>
      <w:r w:rsidR="006E3490">
        <w:t xml:space="preserve"> “sufficiently congruent” with Australia’s</w:t>
      </w:r>
      <w:r w:rsidR="008071B2">
        <w:t xml:space="preserve"> non-</w:t>
      </w:r>
      <w:proofErr w:type="spellStart"/>
      <w:r w:rsidR="008071B2">
        <w:t>refoulement</w:t>
      </w:r>
      <w:proofErr w:type="spellEnd"/>
      <w:r w:rsidR="008071B2">
        <w:t xml:space="preserve"> obligations</w:t>
      </w:r>
      <w:r w:rsidR="006029E9">
        <w:t xml:space="preserve"> such that the claim should have been considered even if it was not expressly advanced.</w:t>
      </w:r>
      <w:r w:rsidR="008071B2">
        <w:t xml:space="preserve"> </w:t>
      </w:r>
      <w:r w:rsidR="006029E9">
        <w:t xml:space="preserve">It was therefore submitted </w:t>
      </w:r>
      <w:r w:rsidR="006E3490">
        <w:t>that the primary judge was wrong to conclude</w:t>
      </w:r>
      <w:r w:rsidR="006E3490" w:rsidRPr="006E3490">
        <w:t xml:space="preserve"> that </w:t>
      </w:r>
      <w:r w:rsidR="006029E9">
        <w:t>“</w:t>
      </w:r>
      <w:r w:rsidR="006E3490" w:rsidRPr="006E3490">
        <w:t>no non-</w:t>
      </w:r>
      <w:proofErr w:type="spellStart"/>
      <w:r w:rsidR="006E3490" w:rsidRPr="006E3490">
        <w:t>refoulement</w:t>
      </w:r>
      <w:proofErr w:type="spellEnd"/>
      <w:r w:rsidR="006E3490" w:rsidRPr="006E3490">
        <w:t xml:space="preserve"> obligations were capable of being</w:t>
      </w:r>
      <w:r w:rsidR="00175232">
        <w:t xml:space="preserve"> engaged</w:t>
      </w:r>
      <w:r w:rsidR="006029E9">
        <w:t>” because</w:t>
      </w:r>
      <w:r w:rsidR="005C6D3A">
        <w:t xml:space="preserve"> </w:t>
      </w:r>
      <w:r w:rsidR="00175232">
        <w:t>“</w:t>
      </w:r>
      <w:r w:rsidR="00175232" w:rsidRPr="00175232">
        <w:t>a claim to be unable to access medical treatment can engage non-</w:t>
      </w:r>
      <w:proofErr w:type="spellStart"/>
      <w:r w:rsidR="00175232" w:rsidRPr="00175232">
        <w:t>refoulement</w:t>
      </w:r>
      <w:proofErr w:type="spellEnd"/>
      <w:r w:rsidR="00175232" w:rsidRPr="00175232">
        <w:t xml:space="preserve"> obligations under Arts 6 and 7 of the </w:t>
      </w:r>
      <w:r w:rsidR="000133D0">
        <w:t>[</w:t>
      </w:r>
      <w:r w:rsidR="00175232" w:rsidRPr="00175232">
        <w:t>ICCPR</w:t>
      </w:r>
      <w:r w:rsidR="000133D0">
        <w:t>]</w:t>
      </w:r>
      <w:r w:rsidR="00175232" w:rsidRPr="00175232">
        <w:t xml:space="preserve"> if the deprivation of medical treatment might cause the arbitrary deprivation of life; torture; or cruel, inhuman or deg</w:t>
      </w:r>
      <w:r w:rsidR="00175232">
        <w:t xml:space="preserve">rading treatment or punishment”. </w:t>
      </w:r>
    </w:p>
    <w:p w14:paraId="2792BB27" w14:textId="3DE7D8FC" w:rsidR="003D505E" w:rsidRDefault="003D505E" w:rsidP="004E618E">
      <w:pPr>
        <w:pStyle w:val="ParaNumbering"/>
      </w:pPr>
      <w:r w:rsidRPr="003D505E">
        <w:rPr>
          <w:i/>
        </w:rPr>
        <w:t>Second</w:t>
      </w:r>
      <w:r w:rsidR="00AD5B85">
        <w:rPr>
          <w:i/>
        </w:rPr>
        <w:t>ly</w:t>
      </w:r>
      <w:r w:rsidRPr="003D505E">
        <w:rPr>
          <w:i/>
        </w:rPr>
        <w:t xml:space="preserve">, </w:t>
      </w:r>
      <w:r>
        <w:t>in relation to the submission that the claim was not considered, the Tribunal was said to have proceeded on the basis that</w:t>
      </w:r>
      <w:r w:rsidR="001D1387">
        <w:t xml:space="preserve"> the appellant’s </w:t>
      </w:r>
      <w:r>
        <w:t xml:space="preserve">hepatitis was not “substantively pressed” as </w:t>
      </w:r>
      <w:r>
        <w:lastRenderedPageBreak/>
        <w:t>relevant to non-</w:t>
      </w:r>
      <w:proofErr w:type="spellStart"/>
      <w:r>
        <w:t>refoulement</w:t>
      </w:r>
      <w:proofErr w:type="spellEnd"/>
      <w:r>
        <w:t xml:space="preserve"> obligations in oral submissions, but was “more substantively dealt with by counsel for the applicant in impediments on return”.  </w:t>
      </w:r>
    </w:p>
    <w:p w14:paraId="2792BB28" w14:textId="77777777" w:rsidR="000C670C" w:rsidRDefault="00B07D39" w:rsidP="003F24B1">
      <w:pPr>
        <w:pStyle w:val="ParaNumbering"/>
      </w:pPr>
      <w:r>
        <w:t>In response, c</w:t>
      </w:r>
      <w:r w:rsidR="00600D0F">
        <w:t xml:space="preserve">ounsel for the </w:t>
      </w:r>
      <w:r>
        <w:t>Minister</w:t>
      </w:r>
      <w:r w:rsidR="000C670C">
        <w:t xml:space="preserve"> emphasised the principles relevant to the making of a decision under s </w:t>
      </w:r>
      <w:proofErr w:type="gramStart"/>
      <w:r w:rsidR="000C670C">
        <w:t>501CA(</w:t>
      </w:r>
      <w:proofErr w:type="gramEnd"/>
      <w:r w:rsidR="000C670C">
        <w:t>4)</w:t>
      </w:r>
      <w:r w:rsidR="005752CC">
        <w:t xml:space="preserve"> of the Migration Act</w:t>
      </w:r>
      <w:r w:rsidR="005C6D3A">
        <w:t>,</w:t>
      </w:r>
      <w:r w:rsidR="000C670C">
        <w:t xml:space="preserve"> as set out in the plurality reasons in </w:t>
      </w:r>
      <w:r w:rsidR="000C670C" w:rsidRPr="00393BEA">
        <w:rPr>
          <w:i/>
        </w:rPr>
        <w:t>Plainti</w:t>
      </w:r>
      <w:r w:rsidR="005752CC" w:rsidRPr="00393BEA">
        <w:rPr>
          <w:i/>
        </w:rPr>
        <w:t xml:space="preserve">ff M1 </w:t>
      </w:r>
      <w:r w:rsidR="005752CC">
        <w:t>at [24]</w:t>
      </w:r>
      <w:r w:rsidR="00144A69">
        <w:t>-[</w:t>
      </w:r>
      <w:r w:rsidR="005752CC">
        <w:t>27]</w:t>
      </w:r>
      <w:r w:rsidR="005C6D3A">
        <w:t xml:space="preserve">. </w:t>
      </w:r>
      <w:r w:rsidR="00305409">
        <w:t xml:space="preserve">The Minister </w:t>
      </w:r>
      <w:r w:rsidR="005752CC">
        <w:t xml:space="preserve">submitted that the primary judge was correct </w:t>
      </w:r>
      <w:r w:rsidR="003D505E">
        <w:t>in finding</w:t>
      </w:r>
      <w:r w:rsidR="005752CC">
        <w:t xml:space="preserve"> that the Tribunal did not fail to consider a claim to the effect that the appellant was owed non-</w:t>
      </w:r>
      <w:proofErr w:type="spellStart"/>
      <w:r w:rsidR="005752CC">
        <w:t>refoulement</w:t>
      </w:r>
      <w:proofErr w:type="spellEnd"/>
      <w:r w:rsidR="005752CC">
        <w:t xml:space="preserve"> obligations under the ICCPR or the CAT </w:t>
      </w:r>
      <w:r w:rsidR="005C6D3A">
        <w:t>because of</w:t>
      </w:r>
      <w:r w:rsidR="005752CC">
        <w:t xml:space="preserve"> his medical conditions and</w:t>
      </w:r>
      <w:r w:rsidR="008071B2">
        <w:t xml:space="preserve"> claimed</w:t>
      </w:r>
      <w:r w:rsidR="005752CC">
        <w:t xml:space="preserve"> limited access to treatment in Vietnam.</w:t>
      </w:r>
    </w:p>
    <w:p w14:paraId="2792BB29" w14:textId="77777777" w:rsidR="003F24B1" w:rsidRDefault="005752CC" w:rsidP="00790AED">
      <w:pPr>
        <w:pStyle w:val="ParaNumbering"/>
      </w:pPr>
      <w:bookmarkStart w:id="26" w:name="_Ref110323010"/>
      <w:r w:rsidRPr="008C3F97">
        <w:t>In d</w:t>
      </w:r>
      <w:r>
        <w:t xml:space="preserve">oing so, </w:t>
      </w:r>
      <w:r w:rsidR="00144A69">
        <w:t xml:space="preserve">counsel </w:t>
      </w:r>
      <w:r w:rsidR="003D505E">
        <w:t xml:space="preserve">for the </w:t>
      </w:r>
      <w:r w:rsidR="0083039C">
        <w:t xml:space="preserve">Minister </w:t>
      </w:r>
      <w:r w:rsidR="00144A69">
        <w:t>drew</w:t>
      </w:r>
      <w:r w:rsidR="00B07D39">
        <w:t xml:space="preserve"> our attention to </w:t>
      </w:r>
      <w:r w:rsidR="00A54715">
        <w:t>[62]</w:t>
      </w:r>
      <w:r w:rsidR="00144A69">
        <w:t>-[</w:t>
      </w:r>
      <w:r w:rsidR="00A54715">
        <w:t>70] of the SOFIC</w:t>
      </w:r>
      <w:r w:rsidR="008071B2">
        <w:t>,</w:t>
      </w:r>
      <w:r w:rsidR="00A54715">
        <w:t xml:space="preserve"> which expressed the </w:t>
      </w:r>
      <w:r w:rsidR="00DD6FC1">
        <w:t xml:space="preserve">appellant’s </w:t>
      </w:r>
      <w:r w:rsidR="00A54715">
        <w:t>fear that if returned to Vietnam</w:t>
      </w:r>
      <w:r w:rsidR="003D505E">
        <w:t xml:space="preserve"> </w:t>
      </w:r>
      <w:r w:rsidR="00AD5284">
        <w:t xml:space="preserve">he </w:t>
      </w:r>
      <w:r w:rsidR="00393BEA">
        <w:t xml:space="preserve">was unlikely </w:t>
      </w:r>
      <w:r w:rsidR="00AD5284">
        <w:t>to</w:t>
      </w:r>
      <w:r w:rsidR="00393BEA">
        <w:t xml:space="preserve"> have ready access to anti-viral medication</w:t>
      </w:r>
      <w:r w:rsidR="00AD5284">
        <w:t>. It was</w:t>
      </w:r>
      <w:r w:rsidR="003D505E">
        <w:t xml:space="preserve"> </w:t>
      </w:r>
      <w:r w:rsidR="00393BEA">
        <w:t>then submitted:</w:t>
      </w:r>
      <w:bookmarkEnd w:id="26"/>
    </w:p>
    <w:p w14:paraId="2792BB2A" w14:textId="77777777" w:rsidR="003F24B1" w:rsidRDefault="003F24B1" w:rsidP="00AD5284">
      <w:pPr>
        <w:pStyle w:val="Quote1"/>
      </w:pPr>
      <w:r w:rsidRPr="009D6432">
        <w:t>To the extent that the appellant claimed to be a person in respect of whom Australia owed non-</w:t>
      </w:r>
      <w:proofErr w:type="spellStart"/>
      <w:r w:rsidRPr="009D6432">
        <w:t>refoulement</w:t>
      </w:r>
      <w:proofErr w:type="spellEnd"/>
      <w:r w:rsidRPr="009D6432">
        <w:t xml:space="preserve"> obligations by reason of the limited medical treatment he may be able to access in Vietnam, that claim was expressed at a high level of abstraction. No representations were made explaining how limited access to medical treatment might engage Australia’s non-</w:t>
      </w:r>
      <w:proofErr w:type="spellStart"/>
      <w:r w:rsidRPr="009D6432">
        <w:t>refoulement</w:t>
      </w:r>
      <w:proofErr w:type="spellEnd"/>
      <w:r w:rsidRPr="009D6432">
        <w:t xml:space="preserve"> obligations under the ICCPR or the CAT.</w:t>
      </w:r>
      <w:r>
        <w:t xml:space="preserve"> </w:t>
      </w:r>
    </w:p>
    <w:p w14:paraId="2792BB2B" w14:textId="77777777" w:rsidR="006D0893" w:rsidRDefault="00AD5284" w:rsidP="006D0893">
      <w:pPr>
        <w:pStyle w:val="ParaNumbering"/>
      </w:pPr>
      <w:r>
        <w:t xml:space="preserve">The </w:t>
      </w:r>
      <w:r w:rsidR="0083039C">
        <w:t>Minister</w:t>
      </w:r>
      <w:r>
        <w:t xml:space="preserve"> also relied on the</w:t>
      </w:r>
      <w:r w:rsidR="006D0893">
        <w:t xml:space="preserve"> Tribunal’s finding that the claims “</w:t>
      </w:r>
      <w:r w:rsidR="006D0893" w:rsidRPr="006D0893">
        <w:t>were more substantively dealt with</w:t>
      </w:r>
      <w:r w:rsidR="000C670C">
        <w:t xml:space="preserve"> by counsel for the applicant as</w:t>
      </w:r>
      <w:r w:rsidR="006D0893" w:rsidRPr="006D0893">
        <w:t xml:space="preserve"> impediments on retu</w:t>
      </w:r>
      <w:r w:rsidR="006D0893">
        <w:t>rn”</w:t>
      </w:r>
      <w:r>
        <w:t xml:space="preserve"> to submit </w:t>
      </w:r>
      <w:r w:rsidR="006D0893">
        <w:t xml:space="preserve">that the primary judge was correct </w:t>
      </w:r>
      <w:r>
        <w:t>finding</w:t>
      </w:r>
      <w:r w:rsidR="006D0893">
        <w:t xml:space="preserve"> that the appellant had not clearly </w:t>
      </w:r>
      <w:r w:rsidR="006D0893" w:rsidRPr="006D0893">
        <w:t>articulated a substantial or significant claim that Australia had non-</w:t>
      </w:r>
      <w:proofErr w:type="spellStart"/>
      <w:r w:rsidR="006D0893" w:rsidRPr="006D0893">
        <w:t>refoulement</w:t>
      </w:r>
      <w:proofErr w:type="spellEnd"/>
      <w:r w:rsidR="006D0893" w:rsidRPr="006D0893">
        <w:t xml:space="preserve"> obligations</w:t>
      </w:r>
      <w:r w:rsidR="006D0893">
        <w:t xml:space="preserve"> to him</w:t>
      </w:r>
      <w:r>
        <w:t>.</w:t>
      </w:r>
    </w:p>
    <w:p w14:paraId="2792BB2C" w14:textId="77777777" w:rsidR="006D0893" w:rsidRDefault="006D0893" w:rsidP="003F24B1">
      <w:pPr>
        <w:pStyle w:val="ParaNumbering"/>
      </w:pPr>
      <w:r>
        <w:t xml:space="preserve">The Minister further submitted that such a claim did not emerge clearly from the materials, noting that: </w:t>
      </w:r>
    </w:p>
    <w:p w14:paraId="2792BB2D" w14:textId="77777777" w:rsidR="003F24B1" w:rsidRDefault="003F24B1" w:rsidP="00AD5284">
      <w:pPr>
        <w:pStyle w:val="Quote1"/>
      </w:pPr>
      <w:r>
        <w:t>….</w:t>
      </w:r>
      <w:r w:rsidRPr="008474B8">
        <w:t>in order for an unarticulated claim to emerge clearly from the materials, it must be based on “established facts”. In determining whether a claim clearly emerged from the materials, it is therefore necessary to have regard — as the primary judge did — to the relevant findings of fact made by the Tribunal.</w:t>
      </w:r>
      <w:r>
        <w:t xml:space="preserve"> </w:t>
      </w:r>
    </w:p>
    <w:p w14:paraId="2792BB2E" w14:textId="77777777" w:rsidR="003F24B1" w:rsidRDefault="006D0893" w:rsidP="00A11AF0">
      <w:pPr>
        <w:pStyle w:val="ParaNumbering"/>
      </w:pPr>
      <w:r>
        <w:t xml:space="preserve">In this regard, the Minister </w:t>
      </w:r>
      <w:r w:rsidR="009969E5">
        <w:t xml:space="preserve">relied on the </w:t>
      </w:r>
      <w:r>
        <w:t>Tribunal</w:t>
      </w:r>
      <w:r w:rsidR="009969E5">
        <w:t>’s finding</w:t>
      </w:r>
      <w:r w:rsidR="00D85F86">
        <w:t>, at [124] of its reasons,</w:t>
      </w:r>
      <w:r w:rsidR="009969E5">
        <w:t xml:space="preserve"> that</w:t>
      </w:r>
      <w:r>
        <w:t xml:space="preserve"> the </w:t>
      </w:r>
      <w:r w:rsidR="003F24B1">
        <w:t>appellant was no</w:t>
      </w:r>
      <w:r w:rsidR="00785CB7">
        <w:t xml:space="preserve">t likely to have access to </w:t>
      </w:r>
      <w:r w:rsidR="00E75FE7">
        <w:t>anti-viral</w:t>
      </w:r>
      <w:r w:rsidR="003F24B1">
        <w:t xml:space="preserve"> medi</w:t>
      </w:r>
      <w:r w:rsidR="00B04290">
        <w:t>c</w:t>
      </w:r>
      <w:r w:rsidR="003F24B1">
        <w:t xml:space="preserve">ation because </w:t>
      </w:r>
      <w:r>
        <w:t xml:space="preserve">he would be unable to afford it. </w:t>
      </w:r>
      <w:r w:rsidR="00B04290">
        <w:t>It was therefore submitted that this finding was</w:t>
      </w:r>
      <w:r>
        <w:t xml:space="preserve"> </w:t>
      </w:r>
      <w:r w:rsidR="003F24B1">
        <w:t xml:space="preserve">not “directly congruent” </w:t>
      </w:r>
      <w:r w:rsidR="003F24B1" w:rsidRPr="008474B8">
        <w:t xml:space="preserve">with the </w:t>
      </w:r>
      <w:r w:rsidR="003F24B1">
        <w:t>“</w:t>
      </w:r>
      <w:r w:rsidR="003F24B1" w:rsidRPr="008474B8">
        <w:t>integers that appear in Art 3 of the CAT or Arts 6 or 7 of the ICCPR, which refer to arbitrary deprivation of life, torture, and cruel, inhuman or degrading treatment or punishment</w:t>
      </w:r>
      <w:r w:rsidR="003F24B1">
        <w:t>”</w:t>
      </w:r>
      <w:r w:rsidR="003F24B1" w:rsidRPr="008474B8">
        <w:t>.</w:t>
      </w:r>
    </w:p>
    <w:p w14:paraId="2792BB2F" w14:textId="77777777" w:rsidR="00DF3823" w:rsidRDefault="005752CC" w:rsidP="00A11AF0">
      <w:pPr>
        <w:pStyle w:val="ParaNumbering"/>
      </w:pPr>
      <w:r>
        <w:t>In short</w:t>
      </w:r>
      <w:r w:rsidR="008071B2">
        <w:t>,</w:t>
      </w:r>
      <w:r>
        <w:t xml:space="preserve"> and by application of the principles in </w:t>
      </w:r>
      <w:r w:rsidR="00144A69" w:rsidRPr="004031F3">
        <w:rPr>
          <w:i/>
        </w:rPr>
        <w:t>Plaintiff M</w:t>
      </w:r>
      <w:r w:rsidR="00EF30A9" w:rsidRPr="004031F3">
        <w:rPr>
          <w:i/>
        </w:rPr>
        <w:t>1</w:t>
      </w:r>
      <w:r w:rsidR="00DF3823">
        <w:t>, the Minister submitted that the Tribunal sufficiently engag</w:t>
      </w:r>
      <w:r>
        <w:t xml:space="preserve">ed with the representations. </w:t>
      </w:r>
      <w:r w:rsidR="00B04290">
        <w:t>It was</w:t>
      </w:r>
      <w:r w:rsidR="00D85F86">
        <w:t xml:space="preserve"> also</w:t>
      </w:r>
      <w:r w:rsidR="00B04290">
        <w:t xml:space="preserve"> submitted that, w</w:t>
      </w:r>
      <w:r>
        <w:t xml:space="preserve">hen </w:t>
      </w:r>
      <w:r>
        <w:lastRenderedPageBreak/>
        <w:t>considered as a whole, the representations were read, identified, understood and evaluated</w:t>
      </w:r>
      <w:r w:rsidR="00DF3823">
        <w:t xml:space="preserve"> </w:t>
      </w:r>
      <w:r>
        <w:t xml:space="preserve">as required: </w:t>
      </w:r>
      <w:r w:rsidRPr="00790AED">
        <w:rPr>
          <w:i/>
        </w:rPr>
        <w:t xml:space="preserve">Plaintiff M1 </w:t>
      </w:r>
      <w:r>
        <w:t>at [9].</w:t>
      </w:r>
    </w:p>
    <w:p w14:paraId="2792BB30" w14:textId="77777777" w:rsidR="00DF3823" w:rsidRPr="00DF3823" w:rsidRDefault="00DF3823" w:rsidP="00BE0876">
      <w:pPr>
        <w:pStyle w:val="Heading2"/>
      </w:pPr>
      <w:r w:rsidRPr="00DF3823">
        <w:t>Ground 2</w:t>
      </w:r>
    </w:p>
    <w:p w14:paraId="2792BB31" w14:textId="77777777" w:rsidR="003F24B1" w:rsidRDefault="00980DE5" w:rsidP="003F24B1">
      <w:pPr>
        <w:pStyle w:val="ParaNumbering"/>
      </w:pPr>
      <w:r>
        <w:t>The crux of the appellant’s argument</w:t>
      </w:r>
      <w:r w:rsidR="00D85F86">
        <w:t>,</w:t>
      </w:r>
      <w:r>
        <w:t xml:space="preserve"> as summarised in his written case</w:t>
      </w:r>
      <w:r w:rsidR="00D85F86">
        <w:t>,</w:t>
      </w:r>
      <w:r>
        <w:t xml:space="preserve"> is:</w:t>
      </w:r>
    </w:p>
    <w:p w14:paraId="2792BB32" w14:textId="77777777" w:rsidR="003F24B1" w:rsidRDefault="003F24B1" w:rsidP="00D85F86">
      <w:pPr>
        <w:pStyle w:val="Quote1"/>
      </w:pPr>
      <w:r>
        <w:t>…the primary judge erred in failing to identify the Tribunal’s erroneous treatment of non-</w:t>
      </w:r>
      <w:proofErr w:type="spellStart"/>
      <w:r>
        <w:t>refoulement</w:t>
      </w:r>
      <w:proofErr w:type="spellEnd"/>
      <w:r>
        <w:t xml:space="preserve"> obligations arising by reason of the Appellant being a lifelong drug addict at risk of relapse and associated mistreatment by Vietnamese authorities.</w:t>
      </w:r>
    </w:p>
    <w:p w14:paraId="2792BB33" w14:textId="77777777" w:rsidR="000133D0" w:rsidRDefault="00980DE5" w:rsidP="007546D5">
      <w:pPr>
        <w:pStyle w:val="ParaNumbering"/>
      </w:pPr>
      <w:r>
        <w:t xml:space="preserve">In the </w:t>
      </w:r>
      <w:r w:rsidR="007546D5">
        <w:t>Tribunal, the appellant claimed that he was owed non-</w:t>
      </w:r>
      <w:proofErr w:type="spellStart"/>
      <w:r w:rsidR="007546D5">
        <w:t>refoulement</w:t>
      </w:r>
      <w:proofErr w:type="spellEnd"/>
      <w:r w:rsidR="007546D5">
        <w:t xml:space="preserve"> obligations on the basis that, as a drug</w:t>
      </w:r>
      <w:r w:rsidR="008071B2">
        <w:t xml:space="preserve"> user he risked</w:t>
      </w:r>
      <w:r w:rsidR="00876B35">
        <w:t>:</w:t>
      </w:r>
      <w:r w:rsidR="008071B2">
        <w:t xml:space="preserve"> punishment</w:t>
      </w:r>
      <w:r w:rsidR="00876B35">
        <w:t>;</w:t>
      </w:r>
      <w:r w:rsidR="00790AED">
        <w:t xml:space="preserve"> “mistreatment, </w:t>
      </w:r>
      <w:proofErr w:type="spellStart"/>
      <w:r w:rsidR="00790AED">
        <w:t>ostracis</w:t>
      </w:r>
      <w:r w:rsidR="00790AED" w:rsidRPr="007546D5">
        <w:t>ation</w:t>
      </w:r>
      <w:proofErr w:type="spellEnd"/>
      <w:r w:rsidR="00790AED" w:rsidRPr="007546D5">
        <w:t xml:space="preserve"> and harm from the authorities in Vietnam</w:t>
      </w:r>
      <w:r w:rsidR="00790AED">
        <w:t>”</w:t>
      </w:r>
      <w:r w:rsidR="00876B35">
        <w:t>;</w:t>
      </w:r>
      <w:r w:rsidR="00790AED">
        <w:t xml:space="preserve"> and</w:t>
      </w:r>
      <w:r w:rsidR="00E1279B">
        <w:t>,</w:t>
      </w:r>
      <w:r w:rsidR="00790AED">
        <w:t xml:space="preserve"> in particular, “beatings, forced labour … and prolonged arbitrary detention in a compulsory drug treatment centre”.</w:t>
      </w:r>
    </w:p>
    <w:p w14:paraId="2792BB34" w14:textId="77777777" w:rsidR="0030434C" w:rsidRDefault="007546D5" w:rsidP="00292999">
      <w:pPr>
        <w:pStyle w:val="ParaNumbering"/>
      </w:pPr>
      <w:r>
        <w:t xml:space="preserve">The Tribunal accepted </w:t>
      </w:r>
      <w:r w:rsidR="00292999">
        <w:t xml:space="preserve">that </w:t>
      </w:r>
      <w:r w:rsidR="00785CB7">
        <w:t xml:space="preserve">conditions </w:t>
      </w:r>
      <w:r w:rsidR="00144A69">
        <w:t>in compulsory</w:t>
      </w:r>
      <w:r>
        <w:t xml:space="preserve"> drug treatment centres were “harsh and degrading” and that they involved “forced labour”</w:t>
      </w:r>
      <w:r w:rsidR="00C84646">
        <w:t>: at [81] and [85]</w:t>
      </w:r>
      <w:r>
        <w:t xml:space="preserve">. </w:t>
      </w:r>
      <w:r w:rsidR="00292999">
        <w:t xml:space="preserve"> </w:t>
      </w:r>
      <w:r w:rsidR="00175232">
        <w:t>T</w:t>
      </w:r>
      <w:r w:rsidR="00980DE5">
        <w:t xml:space="preserve">he appellant </w:t>
      </w:r>
      <w:r w:rsidR="00E1279B">
        <w:t xml:space="preserve">submitted </w:t>
      </w:r>
      <w:r w:rsidR="00980DE5">
        <w:t>in his written case</w:t>
      </w:r>
      <w:r>
        <w:t xml:space="preserve"> that the Tribunal correctly </w:t>
      </w:r>
      <w:r w:rsidR="00980DE5">
        <w:t>understood this claim</w:t>
      </w:r>
      <w:r>
        <w:t xml:space="preserve"> as an attempt to engage Australia’s non-</w:t>
      </w:r>
      <w:proofErr w:type="spellStart"/>
      <w:r>
        <w:t>refou</w:t>
      </w:r>
      <w:r w:rsidR="00980DE5">
        <w:t>lement</w:t>
      </w:r>
      <w:proofErr w:type="spellEnd"/>
      <w:r w:rsidR="00980DE5">
        <w:t xml:space="preserve"> obligations relating to </w:t>
      </w:r>
      <w:r>
        <w:t>physical violence or oth</w:t>
      </w:r>
      <w:r w:rsidR="00980DE5">
        <w:t>er cruel or degrading treatment</w:t>
      </w:r>
      <w:r w:rsidR="0030434C">
        <w:t>. T</w:t>
      </w:r>
      <w:r w:rsidR="00292999">
        <w:t>he “immediate questi</w:t>
      </w:r>
      <w:r w:rsidR="00785CB7">
        <w:t>on” was</w:t>
      </w:r>
      <w:r w:rsidR="0030434C">
        <w:t xml:space="preserve"> said to be</w:t>
      </w:r>
      <w:r w:rsidR="00B47729">
        <w:t xml:space="preserve"> </w:t>
      </w:r>
      <w:r w:rsidR="00785CB7">
        <w:t xml:space="preserve">whether the Tribunal </w:t>
      </w:r>
      <w:r w:rsidR="00B47729">
        <w:t>wa</w:t>
      </w:r>
      <w:r w:rsidR="009E7CFF">
        <w:t>s</w:t>
      </w:r>
      <w:r w:rsidR="00B47729">
        <w:t xml:space="preserve"> satisfied that there wa</w:t>
      </w:r>
      <w:r w:rsidR="00292999">
        <w:t xml:space="preserve">s </w:t>
      </w:r>
      <w:r w:rsidR="00B47729">
        <w:t>“</w:t>
      </w:r>
      <w:r w:rsidR="00292999">
        <w:t>a real chance or risk of the applicant personally being detained in such a centre and being subjected to such treatment”</w:t>
      </w:r>
      <w:r w:rsidR="00CE0ED2">
        <w:t xml:space="preserve">: at </w:t>
      </w:r>
      <w:r w:rsidR="009E7CFF">
        <w:t>[85]</w:t>
      </w:r>
      <w:r w:rsidR="00292999">
        <w:t>.</w:t>
      </w:r>
      <w:r w:rsidR="00980DE5">
        <w:t xml:space="preserve"> </w:t>
      </w:r>
    </w:p>
    <w:p w14:paraId="2792BB35" w14:textId="77777777" w:rsidR="007546D5" w:rsidRDefault="00980DE5" w:rsidP="00292999">
      <w:pPr>
        <w:pStyle w:val="ParaNumbering"/>
      </w:pPr>
      <w:r>
        <w:t>However,</w:t>
      </w:r>
      <w:r w:rsidR="00785CB7">
        <w:t xml:space="preserve"> </w:t>
      </w:r>
      <w:r w:rsidR="0030434C">
        <w:t>it was also submitted that</w:t>
      </w:r>
      <w:r>
        <w:t xml:space="preserve"> the Tribunal erred at [85] and [92] of its decision</w:t>
      </w:r>
      <w:r w:rsidR="003763A0">
        <w:t xml:space="preserve"> </w:t>
      </w:r>
      <w:r w:rsidR="0030434C">
        <w:t>by</w:t>
      </w:r>
      <w:r w:rsidR="003763A0">
        <w:t xml:space="preserve"> misunderstanding that Australia may owe non-</w:t>
      </w:r>
      <w:proofErr w:type="spellStart"/>
      <w:r w:rsidR="003763A0">
        <w:t>refoulement</w:t>
      </w:r>
      <w:proofErr w:type="spellEnd"/>
      <w:r w:rsidR="003763A0">
        <w:t xml:space="preserve"> obligations arising from </w:t>
      </w:r>
      <w:proofErr w:type="spellStart"/>
      <w:r w:rsidR="00785CB7">
        <w:t>unenacted</w:t>
      </w:r>
      <w:proofErr w:type="spellEnd"/>
      <w:r w:rsidR="003763A0">
        <w:t xml:space="preserve"> treaties if there is a real risk or chance that a person will engage in conduct in the receiving country of his or her own choosing</w:t>
      </w:r>
      <w:r w:rsidR="00CE37E4">
        <w:t>,</w:t>
      </w:r>
      <w:r w:rsidR="003763A0">
        <w:t xml:space="preserve"> even where such conduct is unlawful under th</w:t>
      </w:r>
      <w:r w:rsidR="006A30D0">
        <w:t>e laws of th</w:t>
      </w:r>
      <w:r w:rsidR="000133D0">
        <w:t>at</w:t>
      </w:r>
      <w:r w:rsidR="00E1279B">
        <w:t xml:space="preserve"> country</w:t>
      </w:r>
      <w:r w:rsidR="006A30D0">
        <w:t>:</w:t>
      </w:r>
      <w:r w:rsidR="003763A0">
        <w:t xml:space="preserve"> </w:t>
      </w:r>
      <w:r w:rsidR="006A30D0">
        <w:t xml:space="preserve">see generally </w:t>
      </w:r>
      <w:r w:rsidR="003763A0" w:rsidRPr="00790AED">
        <w:rPr>
          <w:i/>
        </w:rPr>
        <w:t xml:space="preserve">Appellant S395/2002 v Minister for Immigration and Multicultural Affairs </w:t>
      </w:r>
      <w:r w:rsidR="003763A0" w:rsidRPr="0096088A">
        <w:t>(2003) 216 CLR 473</w:t>
      </w:r>
      <w:r w:rsidR="009D37D9" w:rsidRPr="0096088A">
        <w:t>; [2003] HCA 71</w:t>
      </w:r>
      <w:r w:rsidR="003763A0">
        <w:t xml:space="preserve"> at [83], </w:t>
      </w:r>
      <w:proofErr w:type="spellStart"/>
      <w:r w:rsidR="003763A0">
        <w:t>Gummow</w:t>
      </w:r>
      <w:proofErr w:type="spellEnd"/>
      <w:r w:rsidR="003763A0">
        <w:t xml:space="preserve"> and Hayne JJ</w:t>
      </w:r>
      <w:r w:rsidR="00CE37E4">
        <w:t>;</w:t>
      </w:r>
      <w:r w:rsidR="003763A0">
        <w:t xml:space="preserve"> </w:t>
      </w:r>
      <w:r w:rsidR="00785CB7" w:rsidRPr="00790AED">
        <w:rPr>
          <w:i/>
        </w:rPr>
        <w:t>M</w:t>
      </w:r>
      <w:r w:rsidR="003763A0" w:rsidRPr="00790AED">
        <w:rPr>
          <w:i/>
        </w:rPr>
        <w:t xml:space="preserve">inister for Immigration and Multicultural Affairs v Ibrahim </w:t>
      </w:r>
      <w:r w:rsidR="003763A0" w:rsidRPr="0096088A">
        <w:t>(2000) 204 CLR 1</w:t>
      </w:r>
      <w:r w:rsidR="009D37D9" w:rsidRPr="0096088A">
        <w:t>; [2002] HCA 55</w:t>
      </w:r>
      <w:r w:rsidR="003763A0">
        <w:t xml:space="preserve"> at</w:t>
      </w:r>
      <w:r w:rsidR="00785CB7">
        <w:t xml:space="preserve"> [29], </w:t>
      </w:r>
      <w:proofErr w:type="spellStart"/>
      <w:r w:rsidR="00785CB7">
        <w:t>Gaudron</w:t>
      </w:r>
      <w:proofErr w:type="spellEnd"/>
      <w:r w:rsidR="00785CB7">
        <w:t xml:space="preserve"> J</w:t>
      </w:r>
      <w:r w:rsidR="00CE37E4">
        <w:t xml:space="preserve">; </w:t>
      </w:r>
      <w:r w:rsidR="00785CB7" w:rsidRPr="00790AED">
        <w:rPr>
          <w:i/>
        </w:rPr>
        <w:t>Applicant A v</w:t>
      </w:r>
      <w:r w:rsidR="003763A0" w:rsidRPr="00790AED">
        <w:rPr>
          <w:i/>
        </w:rPr>
        <w:t xml:space="preserve"> Minister for Immigra</w:t>
      </w:r>
      <w:r w:rsidR="00785CB7" w:rsidRPr="00790AED">
        <w:rPr>
          <w:i/>
        </w:rPr>
        <w:t xml:space="preserve">tion and Multicultural Affairs </w:t>
      </w:r>
      <w:r w:rsidR="00785CB7" w:rsidRPr="0096088A">
        <w:t>(</w:t>
      </w:r>
      <w:r w:rsidR="003763A0" w:rsidRPr="0096088A">
        <w:t>1997) 190 CLR 225</w:t>
      </w:r>
      <w:r w:rsidR="009155B6">
        <w:t>; [1997] HCA 4</w:t>
      </w:r>
      <w:r w:rsidR="00785CB7">
        <w:t xml:space="preserve"> at </w:t>
      </w:r>
      <w:r w:rsidR="006846C0">
        <w:t>258</w:t>
      </w:r>
      <w:r w:rsidR="00785CB7">
        <w:t xml:space="preserve">, McHugh J; </w:t>
      </w:r>
      <w:r w:rsidR="00785CB7" w:rsidRPr="00790AED">
        <w:rPr>
          <w:i/>
        </w:rPr>
        <w:t>Applicant S v</w:t>
      </w:r>
      <w:r w:rsidR="003763A0" w:rsidRPr="00790AED">
        <w:rPr>
          <w:i/>
        </w:rPr>
        <w:t xml:space="preserve"> Minister for Immigration and Multicultural Affairs </w:t>
      </w:r>
      <w:r w:rsidR="006A30D0" w:rsidRPr="0096088A">
        <w:t>(2004) 217 CLR 387</w:t>
      </w:r>
      <w:r w:rsidR="006846C0" w:rsidRPr="0096088A">
        <w:t>; [2004] HCA 25</w:t>
      </w:r>
      <w:r w:rsidR="006A30D0">
        <w:t xml:space="preserve"> at [43], Gleeson CJ, </w:t>
      </w:r>
      <w:proofErr w:type="spellStart"/>
      <w:r w:rsidR="006A30D0">
        <w:t>Gummow</w:t>
      </w:r>
      <w:proofErr w:type="spellEnd"/>
      <w:r w:rsidR="006A30D0">
        <w:t xml:space="preserve"> and Kirby JJ.</w:t>
      </w:r>
    </w:p>
    <w:p w14:paraId="2792BB36" w14:textId="1E041149" w:rsidR="00C956AB" w:rsidRDefault="002552AC" w:rsidP="002552AC">
      <w:pPr>
        <w:pStyle w:val="ParaNumbering"/>
      </w:pPr>
      <w:r>
        <w:t>In supplementary submissions, the appellant contended that</w:t>
      </w:r>
      <w:r w:rsidR="00C956AB">
        <w:t xml:space="preserve"> the present case is distinguishable from</w:t>
      </w:r>
      <w:r>
        <w:t xml:space="preserve"> </w:t>
      </w:r>
      <w:r w:rsidRPr="00790AED">
        <w:rPr>
          <w:i/>
        </w:rPr>
        <w:t xml:space="preserve">Plaintiff M1 </w:t>
      </w:r>
      <w:r w:rsidR="00C956AB">
        <w:t xml:space="preserve">because </w:t>
      </w:r>
      <w:r>
        <w:t>the Tribunal positively considered and made findings about the non-</w:t>
      </w:r>
      <w:proofErr w:type="spellStart"/>
      <w:r>
        <w:t>refoulement</w:t>
      </w:r>
      <w:proofErr w:type="spellEnd"/>
      <w:r>
        <w:t xml:space="preserve"> claims, a course it was not required to take. The appellant submitted that </w:t>
      </w:r>
      <w:r w:rsidR="00C956AB">
        <w:t xml:space="preserve">once the </w:t>
      </w:r>
      <w:r w:rsidR="00C956AB">
        <w:lastRenderedPageBreak/>
        <w:t>Tribunal had done so, it</w:t>
      </w:r>
      <w:r>
        <w:t xml:space="preserve"> </w:t>
      </w:r>
      <w:r w:rsidR="00C956AB">
        <w:t>“</w:t>
      </w:r>
      <w:r>
        <w:t>could not misunderstand the law of non-</w:t>
      </w:r>
      <w:proofErr w:type="spellStart"/>
      <w:r>
        <w:t>refoulement</w:t>
      </w:r>
      <w:proofErr w:type="spellEnd"/>
      <w:r>
        <w:t>”</w:t>
      </w:r>
      <w:r w:rsidR="00C956AB">
        <w:t xml:space="preserve">. It was submitted that the </w:t>
      </w:r>
      <w:r>
        <w:t xml:space="preserve">Tribunal committed </w:t>
      </w:r>
      <w:r w:rsidR="00297F81">
        <w:t xml:space="preserve">a </w:t>
      </w:r>
      <w:r>
        <w:t>jurisdictional error</w:t>
      </w:r>
      <w:r w:rsidR="00C956AB">
        <w:t xml:space="preserve"> on this basis</w:t>
      </w:r>
      <w:r>
        <w:t xml:space="preserve">. </w:t>
      </w:r>
      <w:r w:rsidR="00C956AB">
        <w:t>T</w:t>
      </w:r>
      <w:r>
        <w:t xml:space="preserve">he appellant placed primary reliance on </w:t>
      </w:r>
      <w:r w:rsidRPr="00790AED">
        <w:rPr>
          <w:i/>
        </w:rPr>
        <w:t xml:space="preserve">MQGT v Minister for Immigration, Citizenship, Migrant </w:t>
      </w:r>
      <w:r>
        <w:rPr>
          <w:i/>
        </w:rPr>
        <w:t>S</w:t>
      </w:r>
      <w:r w:rsidRPr="00790AED">
        <w:rPr>
          <w:i/>
        </w:rPr>
        <w:t xml:space="preserve">ervices and Multicultural Affairs </w:t>
      </w:r>
      <w:r w:rsidRPr="0096088A">
        <w:t>(2020) 282 FCR 285; [2020] FCAFC 215</w:t>
      </w:r>
      <w:r>
        <w:t xml:space="preserve"> </w:t>
      </w:r>
      <w:r w:rsidR="00A66249">
        <w:t>(</w:t>
      </w:r>
      <w:r w:rsidR="00A66249" w:rsidRPr="00790AED">
        <w:rPr>
          <w:b/>
          <w:i/>
        </w:rPr>
        <w:t>MQGT</w:t>
      </w:r>
      <w:r w:rsidR="00A66249">
        <w:t xml:space="preserve">) </w:t>
      </w:r>
      <w:r>
        <w:t xml:space="preserve">at [21]- [28], </w:t>
      </w:r>
      <w:proofErr w:type="spellStart"/>
      <w:r>
        <w:t>Jagot</w:t>
      </w:r>
      <w:proofErr w:type="spellEnd"/>
      <w:r>
        <w:t xml:space="preserve">, Kerr and Anastassiou JJ </w:t>
      </w:r>
      <w:r w:rsidR="00C956AB">
        <w:t>for this proposition</w:t>
      </w:r>
      <w:r>
        <w:t>.</w:t>
      </w:r>
    </w:p>
    <w:p w14:paraId="2792BB37" w14:textId="77777777" w:rsidR="002552AC" w:rsidRDefault="002552AC" w:rsidP="00D6352F">
      <w:pPr>
        <w:pStyle w:val="ParaNumbering"/>
      </w:pPr>
      <w:r>
        <w:t xml:space="preserve">The appellant also submitted that the Tribunal committed a jurisdictional error </w:t>
      </w:r>
      <w:r w:rsidR="00C956AB">
        <w:t>by limiting</w:t>
      </w:r>
      <w:r>
        <w:t xml:space="preserve"> its consideration to the Refugee Convention</w:t>
      </w:r>
      <w:r w:rsidR="00C956AB">
        <w:t xml:space="preserve"> and</w:t>
      </w:r>
      <w:r>
        <w:t xml:space="preserve"> fail</w:t>
      </w:r>
      <w:r w:rsidR="00C956AB">
        <w:t>ing</w:t>
      </w:r>
      <w:r>
        <w:t xml:space="preserve"> to consider claims under the ICCPR and the CAT</w:t>
      </w:r>
      <w:r w:rsidR="00C956AB">
        <w:t>, therefore</w:t>
      </w:r>
      <w:r>
        <w:t xml:space="preserve"> fail</w:t>
      </w:r>
      <w:r w:rsidR="00C956AB">
        <w:t>ing</w:t>
      </w:r>
      <w:r>
        <w:t xml:space="preserve"> to consider a clearly articulated claim that was raised in the representations.</w:t>
      </w:r>
    </w:p>
    <w:p w14:paraId="2792BB38" w14:textId="77777777" w:rsidR="00EF30A9" w:rsidRDefault="006A041E" w:rsidP="003603AC">
      <w:pPr>
        <w:pStyle w:val="ParaNumbering"/>
      </w:pPr>
      <w:r>
        <w:t xml:space="preserve">The Minister </w:t>
      </w:r>
      <w:r w:rsidR="00026CC8">
        <w:t xml:space="preserve">accepted </w:t>
      </w:r>
      <w:r w:rsidR="006A30D0">
        <w:t xml:space="preserve">that the Tribunal misunderstood the scope of Australia’s </w:t>
      </w:r>
      <w:proofErr w:type="spellStart"/>
      <w:r w:rsidR="00785CB7">
        <w:t>unenacted</w:t>
      </w:r>
      <w:proofErr w:type="spellEnd"/>
      <w:r w:rsidR="006A30D0">
        <w:t xml:space="preserve"> international non-</w:t>
      </w:r>
      <w:proofErr w:type="spellStart"/>
      <w:r w:rsidR="006A30D0">
        <w:t>refoulement</w:t>
      </w:r>
      <w:proofErr w:type="spellEnd"/>
      <w:r w:rsidR="006A30D0">
        <w:t xml:space="preserve"> obligations</w:t>
      </w:r>
      <w:r w:rsidR="00026CC8">
        <w:t xml:space="preserve">. </w:t>
      </w:r>
      <w:r w:rsidR="006A30D0">
        <w:t xml:space="preserve">In developing that submission, </w:t>
      </w:r>
      <w:r w:rsidR="00EF30A9">
        <w:t>the Minister emphasise</w:t>
      </w:r>
      <w:r w:rsidR="00026CC8">
        <w:t>d</w:t>
      </w:r>
      <w:r w:rsidR="00EF30A9">
        <w:t xml:space="preserve"> [29] of the </w:t>
      </w:r>
      <w:r w:rsidR="006A30D0">
        <w:t xml:space="preserve">plurality reasons </w:t>
      </w:r>
      <w:r w:rsidR="00144A69">
        <w:t xml:space="preserve">of </w:t>
      </w:r>
      <w:proofErr w:type="spellStart"/>
      <w:r w:rsidR="00144A69">
        <w:t>Kiefel</w:t>
      </w:r>
      <w:proofErr w:type="spellEnd"/>
      <w:r w:rsidR="006A30D0">
        <w:t xml:space="preserve"> CJ, Keane, Gordon and Steward JJ </w:t>
      </w:r>
      <w:r w:rsidR="00144A69">
        <w:t xml:space="preserve">in </w:t>
      </w:r>
      <w:r w:rsidR="00144A69" w:rsidRPr="003603AC">
        <w:rPr>
          <w:i/>
        </w:rPr>
        <w:t>Plaintiff</w:t>
      </w:r>
      <w:r w:rsidR="00785CB7" w:rsidRPr="003603AC">
        <w:rPr>
          <w:i/>
        </w:rPr>
        <w:t xml:space="preserve"> M1</w:t>
      </w:r>
      <w:r w:rsidR="00026CC8">
        <w:t>:</w:t>
      </w:r>
      <w:r w:rsidR="00785CB7">
        <w:t xml:space="preserve"> </w:t>
      </w:r>
      <w:proofErr w:type="spellStart"/>
      <w:r w:rsidR="00785CB7">
        <w:t>unenacted</w:t>
      </w:r>
      <w:proofErr w:type="spellEnd"/>
      <w:r w:rsidR="00785CB7">
        <w:t xml:space="preserve"> international non-</w:t>
      </w:r>
      <w:proofErr w:type="spellStart"/>
      <w:r w:rsidR="00785CB7">
        <w:t>refoulement</w:t>
      </w:r>
      <w:proofErr w:type="spellEnd"/>
      <w:r w:rsidR="00785CB7">
        <w:t xml:space="preserve"> obligations </w:t>
      </w:r>
      <w:r w:rsidR="00026CC8">
        <w:t xml:space="preserve">“cannot be, and </w:t>
      </w:r>
      <w:r w:rsidR="00785CB7">
        <w:t>are not</w:t>
      </w:r>
      <w:r w:rsidR="00026CC8">
        <w:t>,</w:t>
      </w:r>
      <w:r w:rsidR="00785CB7">
        <w:t xml:space="preserve"> mandatory </w:t>
      </w:r>
      <w:r w:rsidR="00026CC8">
        <w:t xml:space="preserve">relevant </w:t>
      </w:r>
      <w:r w:rsidR="00785CB7">
        <w:t xml:space="preserve">considerations </w:t>
      </w:r>
      <w:r w:rsidR="00026CC8">
        <w:t xml:space="preserve">under s </w:t>
      </w:r>
      <w:proofErr w:type="gramStart"/>
      <w:r w:rsidR="00026CC8">
        <w:t>501CA(</w:t>
      </w:r>
      <w:proofErr w:type="gramEnd"/>
      <w:r w:rsidR="00026CC8">
        <w:t>4) attracting</w:t>
      </w:r>
      <w:r w:rsidR="00785CB7">
        <w:t xml:space="preserve"> </w:t>
      </w:r>
      <w:r w:rsidR="00144A69">
        <w:t>judicial</w:t>
      </w:r>
      <w:r w:rsidR="00785CB7">
        <w:t xml:space="preserve"> review for jurisdictional error</w:t>
      </w:r>
      <w:r w:rsidR="00026CC8">
        <w:t xml:space="preserve"> — </w:t>
      </w:r>
      <w:r w:rsidR="00785CB7">
        <w:t>they are not part of Australia’s domestic law.”</w:t>
      </w:r>
    </w:p>
    <w:p w14:paraId="2792BB39" w14:textId="77777777" w:rsidR="008A0D07" w:rsidRDefault="007A4E39" w:rsidP="00785CB7">
      <w:pPr>
        <w:pStyle w:val="ParaNumbering"/>
      </w:pPr>
      <w:r>
        <w:t xml:space="preserve">Accordingly, the Minister </w:t>
      </w:r>
      <w:r w:rsidR="00026CC8">
        <w:t xml:space="preserve">submitted that </w:t>
      </w:r>
      <w:r>
        <w:t>the reasons of the Tribunal demonstrate that it had read, understood and evaluated the</w:t>
      </w:r>
      <w:r w:rsidR="001D09A4">
        <w:t xml:space="preserve"> non-</w:t>
      </w:r>
      <w:proofErr w:type="spellStart"/>
      <w:r w:rsidR="001D09A4">
        <w:t>refoulement</w:t>
      </w:r>
      <w:proofErr w:type="spellEnd"/>
      <w:r w:rsidR="001D09A4">
        <w:t xml:space="preserve"> claims</w:t>
      </w:r>
      <w:r>
        <w:t xml:space="preserve"> but</w:t>
      </w:r>
      <w:r w:rsidR="00026CC8">
        <w:t>,</w:t>
      </w:r>
      <w:r>
        <w:t xml:space="preserve"> in proceeding in that way</w:t>
      </w:r>
      <w:r w:rsidR="00026CC8">
        <w:t>,</w:t>
      </w:r>
      <w:r>
        <w:t xml:space="preserve"> those obligations did not become mandatory </w:t>
      </w:r>
      <w:r w:rsidR="00026CC8">
        <w:t xml:space="preserve">relevant </w:t>
      </w:r>
      <w:r>
        <w:t>considerations</w:t>
      </w:r>
      <w:r w:rsidR="00026CC8">
        <w:t>.  The Tribunal’s</w:t>
      </w:r>
      <w:r>
        <w:t xml:space="preserve"> erroneous understanding of the content or effect of </w:t>
      </w:r>
      <w:r w:rsidR="00026CC8">
        <w:t xml:space="preserve">those </w:t>
      </w:r>
      <w:r>
        <w:t>obligations was</w:t>
      </w:r>
      <w:r w:rsidR="00910491">
        <w:t xml:space="preserve"> therefore submitted </w:t>
      </w:r>
      <w:r>
        <w:t xml:space="preserve">not </w:t>
      </w:r>
      <w:r w:rsidR="00910491">
        <w:t xml:space="preserve">to be </w:t>
      </w:r>
      <w:r w:rsidR="00026CC8">
        <w:t xml:space="preserve">a </w:t>
      </w:r>
      <w:r>
        <w:t>juris</w:t>
      </w:r>
      <w:r w:rsidR="00785CB7">
        <w:t>dictional</w:t>
      </w:r>
      <w:r w:rsidR="00026CC8">
        <w:t xml:space="preserve"> error</w:t>
      </w:r>
      <w:r w:rsidR="00785CB7">
        <w:t>.</w:t>
      </w:r>
    </w:p>
    <w:p w14:paraId="2792BB3A" w14:textId="77777777" w:rsidR="002E4B23" w:rsidRDefault="00380D91" w:rsidP="008678A3">
      <w:pPr>
        <w:pStyle w:val="Heading1"/>
      </w:pPr>
      <w:r>
        <w:t>consideration</w:t>
      </w:r>
    </w:p>
    <w:p w14:paraId="2792BB3B" w14:textId="77777777" w:rsidR="002E4B23" w:rsidRPr="00E16354" w:rsidRDefault="00380D91" w:rsidP="008678A3">
      <w:pPr>
        <w:pStyle w:val="Heading2"/>
      </w:pPr>
      <w:r w:rsidRPr="00E16354">
        <w:t>Ground 1</w:t>
      </w:r>
    </w:p>
    <w:p w14:paraId="2792BB3C" w14:textId="77777777" w:rsidR="00A11AF0" w:rsidRDefault="008678A3" w:rsidP="00A11AF0">
      <w:pPr>
        <w:pStyle w:val="ParaNumbering"/>
        <w:rPr>
          <w:lang w:eastAsia="en-AU"/>
        </w:rPr>
      </w:pPr>
      <w:bookmarkStart w:id="27" w:name="subsection"/>
      <w:bookmarkEnd w:id="27"/>
      <w:r>
        <w:rPr>
          <w:lang w:eastAsia="en-AU"/>
        </w:rPr>
        <w:t>W</w:t>
      </w:r>
      <w:r w:rsidR="00572383">
        <w:rPr>
          <w:lang w:eastAsia="en-AU"/>
        </w:rPr>
        <w:t>hether</w:t>
      </w:r>
      <w:r w:rsidR="00E16354">
        <w:rPr>
          <w:lang w:eastAsia="en-AU"/>
        </w:rPr>
        <w:t xml:space="preserve"> there is “another reason” to revoke the cancellation decision pursuant to s 501CA(4)(b)(ii) must be analysed in accordance with the plurality reasons of </w:t>
      </w:r>
      <w:proofErr w:type="spellStart"/>
      <w:r w:rsidR="00E16354">
        <w:rPr>
          <w:lang w:eastAsia="en-AU"/>
        </w:rPr>
        <w:t>Kiefel</w:t>
      </w:r>
      <w:proofErr w:type="spellEnd"/>
      <w:r w:rsidR="00E16354">
        <w:rPr>
          <w:lang w:eastAsia="en-AU"/>
        </w:rPr>
        <w:t xml:space="preserve"> CJ, Keane, Gordon and Stewar</w:t>
      </w:r>
      <w:r w:rsidR="001D09A4">
        <w:rPr>
          <w:lang w:eastAsia="en-AU"/>
        </w:rPr>
        <w:t xml:space="preserve">d </w:t>
      </w:r>
      <w:r w:rsidR="00144A69">
        <w:rPr>
          <w:lang w:eastAsia="en-AU"/>
        </w:rPr>
        <w:t>JJ in</w:t>
      </w:r>
      <w:r w:rsidR="0002049A">
        <w:rPr>
          <w:lang w:eastAsia="en-AU"/>
        </w:rPr>
        <w:t xml:space="preserve"> </w:t>
      </w:r>
      <w:r w:rsidR="0002049A" w:rsidRPr="00790AED">
        <w:rPr>
          <w:i/>
          <w:lang w:eastAsia="en-AU"/>
        </w:rPr>
        <w:t>Plaintiff M1</w:t>
      </w:r>
      <w:r w:rsidR="0002049A">
        <w:rPr>
          <w:lang w:eastAsia="en-AU"/>
        </w:rPr>
        <w:t>. Although lengthy, we set out the relevant paragraphs (omitting footnotes)</w:t>
      </w:r>
      <w:r w:rsidR="00572383">
        <w:rPr>
          <w:lang w:eastAsia="en-AU"/>
        </w:rPr>
        <w:t xml:space="preserve"> at [24]-[29]</w:t>
      </w:r>
      <w:r w:rsidR="0002049A">
        <w:rPr>
          <w:lang w:eastAsia="en-AU"/>
        </w:rPr>
        <w:t>:</w:t>
      </w:r>
    </w:p>
    <w:p w14:paraId="2792BB3D" w14:textId="77777777" w:rsidR="008C3F97" w:rsidRDefault="008C3F97" w:rsidP="00572383">
      <w:pPr>
        <w:pStyle w:val="Quote1"/>
        <w:ind w:left="1440" w:hanging="703"/>
        <w:rPr>
          <w:lang w:eastAsia="en-AU"/>
        </w:rPr>
      </w:pPr>
      <w:r>
        <w:rPr>
          <w:lang w:eastAsia="en-AU"/>
        </w:rPr>
        <w:t>24</w:t>
      </w:r>
      <w:r w:rsidR="006846C0">
        <w:rPr>
          <w:lang w:eastAsia="en-AU"/>
        </w:rPr>
        <w:t>.</w:t>
      </w:r>
      <w:r w:rsidR="00572383">
        <w:rPr>
          <w:lang w:eastAsia="en-AU"/>
        </w:rPr>
        <w:tab/>
      </w:r>
      <w:r>
        <w:rPr>
          <w:lang w:eastAsia="en-AU"/>
        </w:rPr>
        <w:t xml:space="preserve">Consistently with well-established authority in different statutory contexts, there can be no doubt that a decision-maker must read, identify, understand and evaluate the representations. Adopting and adapting what </w:t>
      </w:r>
      <w:proofErr w:type="spellStart"/>
      <w:r>
        <w:rPr>
          <w:lang w:eastAsia="en-AU"/>
        </w:rPr>
        <w:t>Kiefel</w:t>
      </w:r>
      <w:proofErr w:type="spellEnd"/>
      <w:r>
        <w:rPr>
          <w:lang w:eastAsia="en-AU"/>
        </w:rPr>
        <w:t xml:space="preserve"> J (as her Honour then was) said in </w:t>
      </w:r>
      <w:proofErr w:type="spellStart"/>
      <w:r w:rsidRPr="00790AED">
        <w:rPr>
          <w:i/>
          <w:lang w:eastAsia="en-AU"/>
        </w:rPr>
        <w:t>Tickner</w:t>
      </w:r>
      <w:proofErr w:type="spellEnd"/>
      <w:r w:rsidRPr="00790AED">
        <w:rPr>
          <w:i/>
          <w:lang w:eastAsia="en-AU"/>
        </w:rPr>
        <w:t xml:space="preserve"> v Chapman</w:t>
      </w:r>
      <w:r>
        <w:rPr>
          <w:lang w:eastAsia="en-AU"/>
        </w:rPr>
        <w:t xml:space="preserve">, the decision-maker must have regard to what is said in the representations, bring their mind to bear upon the facts stated in them and the arguments or opinions put forward, and appreciate who is making them. From that point, the decision maker might sift them, attributing whatever weight or persuasive quality is thought appropriate. The </w:t>
      </w:r>
      <w:r>
        <w:rPr>
          <w:lang w:eastAsia="en-AU"/>
        </w:rPr>
        <w:lastRenderedPageBreak/>
        <w:t>weight to be afforded to the representations is a matter for the decision-maker. And the decision-maker is not obliged "to make actual findings of fact as an adjudication of all material claims" made by a former visa holder.</w:t>
      </w:r>
    </w:p>
    <w:p w14:paraId="2792BB3E" w14:textId="77777777" w:rsidR="008C3F97" w:rsidRDefault="008C3F97" w:rsidP="005E7B20">
      <w:pPr>
        <w:pStyle w:val="Quote1"/>
        <w:ind w:left="1440" w:hanging="703"/>
        <w:rPr>
          <w:lang w:eastAsia="en-AU"/>
        </w:rPr>
      </w:pPr>
      <w:r>
        <w:rPr>
          <w:lang w:eastAsia="en-AU"/>
        </w:rPr>
        <w:t>25</w:t>
      </w:r>
      <w:r w:rsidR="006846C0">
        <w:rPr>
          <w:lang w:eastAsia="en-AU"/>
        </w:rPr>
        <w:t>.</w:t>
      </w:r>
      <w:r w:rsidR="00572383">
        <w:rPr>
          <w:lang w:eastAsia="en-AU"/>
        </w:rPr>
        <w:tab/>
      </w:r>
      <w:r>
        <w:rPr>
          <w:lang w:eastAsia="en-AU"/>
        </w:rPr>
        <w:t xml:space="preserve">It is also well-established that the requisite level of engagement by the decision-maker with the representations must occur within the bounds of rationality and reasonableness. What is necessary to comply with the statutory requirement for a valid exercise of power will necessarily depend on the nature, form and content of the </w:t>
      </w:r>
      <w:proofErr w:type="gramStart"/>
      <w:r>
        <w:rPr>
          <w:lang w:eastAsia="en-AU"/>
        </w:rPr>
        <w:t>representations.</w:t>
      </w:r>
      <w:proofErr w:type="gramEnd"/>
      <w:r>
        <w:rPr>
          <w:lang w:eastAsia="en-AU"/>
        </w:rPr>
        <w:t xml:space="preserve"> The requisite level of engagement – the degree of effort needed by the decision-maker – will vary, among other things, according to the length, clarity and degree of relevance of the representations. The decision-maker is not required to consider claims that are not clearly articulated or which do not clearly arise on the materials before them.</w:t>
      </w:r>
    </w:p>
    <w:p w14:paraId="2792BB3F" w14:textId="77777777" w:rsidR="008C3F97" w:rsidRDefault="008C3F97">
      <w:pPr>
        <w:pStyle w:val="Quote1"/>
        <w:ind w:left="1440" w:hanging="703"/>
        <w:rPr>
          <w:lang w:eastAsia="en-AU"/>
        </w:rPr>
      </w:pPr>
      <w:r>
        <w:rPr>
          <w:lang w:eastAsia="en-AU"/>
        </w:rPr>
        <w:t>26</w:t>
      </w:r>
      <w:r w:rsidR="006846C0">
        <w:rPr>
          <w:lang w:eastAsia="en-AU"/>
        </w:rPr>
        <w:t>.</w:t>
      </w:r>
      <w:r w:rsidR="00572383">
        <w:rPr>
          <w:lang w:eastAsia="en-AU"/>
        </w:rPr>
        <w:tab/>
      </w:r>
      <w:r>
        <w:rPr>
          <w:lang w:eastAsia="en-AU"/>
        </w:rPr>
        <w:t xml:space="preserve">Labels like "active intellectual process" and "proper, genuine and realistic consideration" must be understood in their proper context. These formulas have the danger of creating "a kind of general warrant, invoking language of indefinite and subjective application, in which the procedural and substantive merits of any [decision maker's] decision can be scrutinised". That is not the correct approach. As Mason J stated in </w:t>
      </w:r>
      <w:r w:rsidRPr="00790AED">
        <w:rPr>
          <w:i/>
          <w:lang w:eastAsia="en-AU"/>
        </w:rPr>
        <w:t>Minister for Aboriginal Affairs v Peko-Wallsend Ltd</w:t>
      </w:r>
      <w:r>
        <w:rPr>
          <w:lang w:eastAsia="en-AU"/>
        </w:rPr>
        <w:t>, "[t]he limited role of a court reviewing the exercise of an administrative discretion must constantly be borne in mind". The court does not substitute its decision for that of an administrative decision-maker.</w:t>
      </w:r>
    </w:p>
    <w:p w14:paraId="2792BB40" w14:textId="77777777" w:rsidR="008C3F97" w:rsidRDefault="008C3F97">
      <w:pPr>
        <w:pStyle w:val="Quote1"/>
        <w:ind w:left="1440" w:hanging="703"/>
        <w:rPr>
          <w:lang w:eastAsia="en-AU"/>
        </w:rPr>
      </w:pPr>
      <w:r>
        <w:rPr>
          <w:lang w:eastAsia="en-AU"/>
        </w:rPr>
        <w:t>27</w:t>
      </w:r>
      <w:r w:rsidR="006846C0">
        <w:rPr>
          <w:lang w:eastAsia="en-AU"/>
        </w:rPr>
        <w:t>.</w:t>
      </w:r>
      <w:r w:rsidR="00572383">
        <w:rPr>
          <w:lang w:eastAsia="en-AU"/>
        </w:rPr>
        <w:tab/>
      </w:r>
      <w:r>
        <w:rPr>
          <w:lang w:eastAsia="en-AU"/>
        </w:rPr>
        <w:t>None of the preceding analysis detracts from, or is inconsistent with, established principle that, for example, if review of a decision maker's reasons discloses that the decision maker ignored, overlooked or misunderstood relevant facts or materials or a substantial and clearly articulated argument; misunderstood the applicable law; or misunderstood the case being made by the former visa holder, that may give rise to jurisdictional error.</w:t>
      </w:r>
    </w:p>
    <w:p w14:paraId="2792BB41" w14:textId="77777777" w:rsidR="001C1E4A" w:rsidRDefault="001C1E4A">
      <w:pPr>
        <w:pStyle w:val="Quote1"/>
        <w:ind w:left="1440" w:hanging="703"/>
        <w:rPr>
          <w:lang w:eastAsia="en-AU"/>
        </w:rPr>
      </w:pPr>
      <w:r>
        <w:rPr>
          <w:lang w:eastAsia="en-AU"/>
        </w:rPr>
        <w:t>28.</w:t>
      </w:r>
      <w:r w:rsidR="00572383">
        <w:rPr>
          <w:lang w:eastAsia="en-AU"/>
        </w:rPr>
        <w:tab/>
      </w:r>
      <w:r>
        <w:rPr>
          <w:lang w:eastAsia="en-AU"/>
        </w:rPr>
        <w:t xml:space="preserve">Where the representations do </w:t>
      </w:r>
      <w:r w:rsidRPr="00790AED">
        <w:rPr>
          <w:i/>
          <w:lang w:eastAsia="en-AU"/>
        </w:rPr>
        <w:t>not</w:t>
      </w:r>
      <w:r>
        <w:rPr>
          <w:lang w:eastAsia="en-AU"/>
        </w:rPr>
        <w:t xml:space="preserve"> include, or the circumstances do </w:t>
      </w:r>
      <w:r w:rsidRPr="00790AED">
        <w:rPr>
          <w:i/>
          <w:lang w:eastAsia="en-AU"/>
        </w:rPr>
        <w:t>not</w:t>
      </w:r>
      <w:r>
        <w:rPr>
          <w:lang w:eastAsia="en-AU"/>
        </w:rPr>
        <w:t xml:space="preserve"> suggest, a non-</w:t>
      </w:r>
      <w:proofErr w:type="spellStart"/>
      <w:r>
        <w:rPr>
          <w:lang w:eastAsia="en-AU"/>
        </w:rPr>
        <w:t>refoulement</w:t>
      </w:r>
      <w:proofErr w:type="spellEnd"/>
      <w:r>
        <w:rPr>
          <w:lang w:eastAsia="en-AU"/>
        </w:rPr>
        <w:t xml:space="preserve"> claim, there is nothing in the text of s 501CA, or its subject matter, scope and purpose, that requires the Minister to take account of any non-</w:t>
      </w:r>
      <w:proofErr w:type="spellStart"/>
      <w:r>
        <w:rPr>
          <w:lang w:eastAsia="en-AU"/>
        </w:rPr>
        <w:t>refoulement</w:t>
      </w:r>
      <w:proofErr w:type="spellEnd"/>
      <w:r>
        <w:rPr>
          <w:lang w:eastAsia="en-AU"/>
        </w:rPr>
        <w:t xml:space="preserve"> obligations when deciding whether to revoke the cancellation of any visa that is not a protection visa. </w:t>
      </w:r>
    </w:p>
    <w:p w14:paraId="2792BB42" w14:textId="77777777" w:rsidR="008C3F97" w:rsidRDefault="008C3F97">
      <w:pPr>
        <w:pStyle w:val="Quote1"/>
        <w:ind w:left="1440" w:hanging="703"/>
        <w:rPr>
          <w:lang w:eastAsia="en-AU"/>
        </w:rPr>
      </w:pPr>
      <w:r>
        <w:rPr>
          <w:lang w:eastAsia="en-AU"/>
        </w:rPr>
        <w:t>29</w:t>
      </w:r>
      <w:r w:rsidR="006846C0">
        <w:rPr>
          <w:lang w:eastAsia="en-AU"/>
        </w:rPr>
        <w:t>.</w:t>
      </w:r>
      <w:r w:rsidR="00572383">
        <w:rPr>
          <w:lang w:eastAsia="en-AU"/>
        </w:rPr>
        <w:tab/>
      </w:r>
      <w:r>
        <w:rPr>
          <w:lang w:eastAsia="en-AU"/>
        </w:rPr>
        <w:t xml:space="preserve">Where the representations </w:t>
      </w:r>
      <w:r w:rsidRPr="00790AED">
        <w:rPr>
          <w:i/>
          <w:lang w:eastAsia="en-AU"/>
        </w:rPr>
        <w:t>do</w:t>
      </w:r>
      <w:r>
        <w:rPr>
          <w:lang w:eastAsia="en-AU"/>
        </w:rPr>
        <w:t xml:space="preserve"> include, or the circumstances </w:t>
      </w:r>
      <w:r w:rsidRPr="00790AED">
        <w:rPr>
          <w:i/>
          <w:lang w:eastAsia="en-AU"/>
        </w:rPr>
        <w:t>do</w:t>
      </w:r>
      <w:r>
        <w:rPr>
          <w:lang w:eastAsia="en-AU"/>
        </w:rPr>
        <w:t xml:space="preserve"> suggest, a non </w:t>
      </w:r>
      <w:proofErr w:type="spellStart"/>
      <w:r>
        <w:rPr>
          <w:lang w:eastAsia="en-AU"/>
        </w:rPr>
        <w:t>refoulement</w:t>
      </w:r>
      <w:proofErr w:type="spellEnd"/>
      <w:r>
        <w:rPr>
          <w:lang w:eastAsia="en-AU"/>
        </w:rPr>
        <w:t xml:space="preserve"> claim by reference to </w:t>
      </w:r>
      <w:proofErr w:type="spellStart"/>
      <w:r w:rsidRPr="00790AED">
        <w:rPr>
          <w:i/>
          <w:lang w:eastAsia="en-AU"/>
        </w:rPr>
        <w:t>unenacted</w:t>
      </w:r>
      <w:proofErr w:type="spellEnd"/>
      <w:r w:rsidRPr="00790AED">
        <w:rPr>
          <w:i/>
          <w:lang w:eastAsia="en-AU"/>
        </w:rPr>
        <w:t xml:space="preserve"> international non </w:t>
      </w:r>
      <w:proofErr w:type="spellStart"/>
      <w:r w:rsidRPr="00790AED">
        <w:rPr>
          <w:i/>
          <w:lang w:eastAsia="en-AU"/>
        </w:rPr>
        <w:t>refoulement</w:t>
      </w:r>
      <w:proofErr w:type="spellEnd"/>
      <w:r w:rsidRPr="00790AED">
        <w:rPr>
          <w:i/>
          <w:lang w:eastAsia="en-AU"/>
        </w:rPr>
        <w:t xml:space="preserve"> obligations</w:t>
      </w:r>
      <w:r>
        <w:rPr>
          <w:lang w:eastAsia="en-AU"/>
        </w:rPr>
        <w:t xml:space="preserve">, that claim may be considered by the decision-maker under s </w:t>
      </w:r>
      <w:proofErr w:type="gramStart"/>
      <w:r>
        <w:rPr>
          <w:lang w:eastAsia="en-AU"/>
        </w:rPr>
        <w:t>501CA(</w:t>
      </w:r>
      <w:proofErr w:type="gramEnd"/>
      <w:r>
        <w:rPr>
          <w:lang w:eastAsia="en-AU"/>
        </w:rPr>
        <w:t xml:space="preserve">4). But those obligations cannot be, and are not, mandatory relevant considerations under s </w:t>
      </w:r>
      <w:proofErr w:type="gramStart"/>
      <w:r>
        <w:rPr>
          <w:lang w:eastAsia="en-AU"/>
        </w:rPr>
        <w:t>501CA(</w:t>
      </w:r>
      <w:proofErr w:type="gramEnd"/>
      <w:r>
        <w:rPr>
          <w:lang w:eastAsia="en-AU"/>
        </w:rPr>
        <w:t xml:space="preserve">4) attracting judicial review for jurisdictional error – they are not part of Australia's domestic law. </w:t>
      </w:r>
    </w:p>
    <w:p w14:paraId="2792BB43" w14:textId="77777777" w:rsidR="001C1E4A" w:rsidRDefault="001C1E4A">
      <w:pPr>
        <w:pStyle w:val="Quote1"/>
        <w:ind w:left="1440" w:hanging="703"/>
        <w:rPr>
          <w:lang w:eastAsia="en-AU"/>
        </w:rPr>
      </w:pPr>
      <w:r>
        <w:rPr>
          <w:lang w:eastAsia="en-AU"/>
        </w:rPr>
        <w:t>(Original Emphasis.)</w:t>
      </w:r>
    </w:p>
    <w:p w14:paraId="2792BB44" w14:textId="77777777" w:rsidR="00C85527" w:rsidRDefault="00E011B0" w:rsidP="00CC38EE">
      <w:pPr>
        <w:pStyle w:val="ParaNumbering"/>
        <w:rPr>
          <w:lang w:eastAsia="en-AU"/>
        </w:rPr>
      </w:pPr>
      <w:r>
        <w:rPr>
          <w:lang w:eastAsia="en-AU"/>
        </w:rPr>
        <w:t>As set out above at [</w:t>
      </w:r>
      <w:r>
        <w:rPr>
          <w:lang w:eastAsia="en-AU"/>
        </w:rPr>
        <w:fldChar w:fldCharType="begin"/>
      </w:r>
      <w:r>
        <w:rPr>
          <w:lang w:eastAsia="en-AU"/>
        </w:rPr>
        <w:instrText xml:space="preserve"> REF _Ref110323010 \r \h </w:instrText>
      </w:r>
      <w:r>
        <w:rPr>
          <w:lang w:eastAsia="en-AU"/>
        </w:rPr>
      </w:r>
      <w:r>
        <w:rPr>
          <w:lang w:eastAsia="en-AU"/>
        </w:rPr>
        <w:fldChar w:fldCharType="separate"/>
      </w:r>
      <w:r w:rsidR="00D657A9">
        <w:rPr>
          <w:lang w:eastAsia="en-AU"/>
        </w:rPr>
        <w:t>33</w:t>
      </w:r>
      <w:r>
        <w:rPr>
          <w:lang w:eastAsia="en-AU"/>
        </w:rPr>
        <w:fldChar w:fldCharType="end"/>
      </w:r>
      <w:r>
        <w:rPr>
          <w:lang w:eastAsia="en-AU"/>
        </w:rPr>
        <w:t xml:space="preserve">], </w:t>
      </w:r>
      <w:r w:rsidR="00B47729">
        <w:rPr>
          <w:lang w:eastAsia="en-AU"/>
        </w:rPr>
        <w:t>t</w:t>
      </w:r>
      <w:r w:rsidR="00F46462">
        <w:rPr>
          <w:lang w:eastAsia="en-AU"/>
        </w:rPr>
        <w:t xml:space="preserve">he Minister </w:t>
      </w:r>
      <w:r w:rsidR="00DD56F2">
        <w:rPr>
          <w:lang w:eastAsia="en-AU"/>
        </w:rPr>
        <w:t xml:space="preserve">submitted </w:t>
      </w:r>
      <w:r w:rsidR="00F46462">
        <w:rPr>
          <w:lang w:eastAsia="en-AU"/>
        </w:rPr>
        <w:t>that</w:t>
      </w:r>
      <w:r w:rsidR="00DD56F2">
        <w:rPr>
          <w:lang w:eastAsia="en-AU"/>
        </w:rPr>
        <w:t>, to the extent that</w:t>
      </w:r>
      <w:r w:rsidR="00F46462">
        <w:rPr>
          <w:lang w:eastAsia="en-AU"/>
        </w:rPr>
        <w:t xml:space="preserve"> the appellant’s representations in this case did articulate a claim that Australia owed non-</w:t>
      </w:r>
      <w:proofErr w:type="spellStart"/>
      <w:r w:rsidR="00F46462">
        <w:rPr>
          <w:lang w:eastAsia="en-AU"/>
        </w:rPr>
        <w:t>refoulement</w:t>
      </w:r>
      <w:proofErr w:type="spellEnd"/>
      <w:r w:rsidR="00F46462">
        <w:rPr>
          <w:lang w:eastAsia="en-AU"/>
        </w:rPr>
        <w:t xml:space="preserve"> obligations</w:t>
      </w:r>
      <w:r w:rsidR="001D09A4">
        <w:rPr>
          <w:lang w:eastAsia="en-AU"/>
        </w:rPr>
        <w:t xml:space="preserve"> to him</w:t>
      </w:r>
      <w:r w:rsidR="00F46462">
        <w:rPr>
          <w:lang w:eastAsia="en-AU"/>
        </w:rPr>
        <w:t xml:space="preserve"> by reason of </w:t>
      </w:r>
      <w:r w:rsidR="00DD56F2">
        <w:rPr>
          <w:lang w:eastAsia="en-AU"/>
        </w:rPr>
        <w:t xml:space="preserve">the </w:t>
      </w:r>
      <w:r w:rsidR="00F46462">
        <w:rPr>
          <w:lang w:eastAsia="en-AU"/>
        </w:rPr>
        <w:t xml:space="preserve">limited </w:t>
      </w:r>
      <w:r w:rsidR="00DD56F2">
        <w:rPr>
          <w:lang w:eastAsia="en-AU"/>
        </w:rPr>
        <w:t>medical</w:t>
      </w:r>
      <w:r w:rsidR="00F46462">
        <w:rPr>
          <w:lang w:eastAsia="en-AU"/>
        </w:rPr>
        <w:t xml:space="preserve"> treatment</w:t>
      </w:r>
      <w:r w:rsidR="00DD56F2">
        <w:rPr>
          <w:lang w:eastAsia="en-AU"/>
        </w:rPr>
        <w:t xml:space="preserve"> he may be able to access</w:t>
      </w:r>
      <w:r w:rsidR="00F46462">
        <w:rPr>
          <w:lang w:eastAsia="en-AU"/>
        </w:rPr>
        <w:t xml:space="preserve"> in Vietnam</w:t>
      </w:r>
      <w:r w:rsidR="00BA4EE0">
        <w:rPr>
          <w:lang w:eastAsia="en-AU"/>
        </w:rPr>
        <w:t xml:space="preserve">, </w:t>
      </w:r>
      <w:r w:rsidR="00DD56F2">
        <w:rPr>
          <w:lang w:eastAsia="en-AU"/>
        </w:rPr>
        <w:t>the claim was</w:t>
      </w:r>
      <w:r w:rsidR="0069132D">
        <w:rPr>
          <w:lang w:eastAsia="en-AU"/>
        </w:rPr>
        <w:t xml:space="preserve"> expressed “at a high level of abstraction”</w:t>
      </w:r>
      <w:r w:rsidR="0002049A">
        <w:rPr>
          <w:lang w:eastAsia="en-AU"/>
        </w:rPr>
        <w:t>.</w:t>
      </w:r>
      <w:r w:rsidR="00F46462">
        <w:rPr>
          <w:lang w:eastAsia="en-AU"/>
        </w:rPr>
        <w:t xml:space="preserve"> </w:t>
      </w:r>
      <w:r w:rsidR="00E060C6">
        <w:rPr>
          <w:lang w:eastAsia="en-AU"/>
        </w:rPr>
        <w:t>The division between</w:t>
      </w:r>
      <w:r w:rsidR="00F46462">
        <w:rPr>
          <w:lang w:eastAsia="en-AU"/>
        </w:rPr>
        <w:t xml:space="preserve"> the parties is whether </w:t>
      </w:r>
      <w:r w:rsidR="00DD56F2">
        <w:rPr>
          <w:lang w:eastAsia="en-AU"/>
        </w:rPr>
        <w:t xml:space="preserve">that </w:t>
      </w:r>
      <w:r w:rsidR="00F46462">
        <w:rPr>
          <w:lang w:eastAsia="en-AU"/>
        </w:rPr>
        <w:t xml:space="preserve">claim </w:t>
      </w:r>
      <w:r w:rsidR="00DD56F2">
        <w:rPr>
          <w:lang w:eastAsia="en-AU"/>
        </w:rPr>
        <w:t xml:space="preserve">was </w:t>
      </w:r>
      <w:r w:rsidR="00F46462">
        <w:rPr>
          <w:lang w:eastAsia="en-AU"/>
        </w:rPr>
        <w:t xml:space="preserve">clearly </w:t>
      </w:r>
      <w:r w:rsidR="00CC38EE">
        <w:rPr>
          <w:lang w:eastAsia="en-AU"/>
        </w:rPr>
        <w:t>articulated</w:t>
      </w:r>
      <w:r w:rsidR="00F46462">
        <w:rPr>
          <w:lang w:eastAsia="en-AU"/>
        </w:rPr>
        <w:t xml:space="preserve"> </w:t>
      </w:r>
      <w:r w:rsidR="0072433B">
        <w:rPr>
          <w:lang w:eastAsia="en-AU"/>
        </w:rPr>
        <w:t xml:space="preserve">or clearly </w:t>
      </w:r>
      <w:r w:rsidR="00DD56F2">
        <w:rPr>
          <w:lang w:eastAsia="en-AU"/>
        </w:rPr>
        <w:t xml:space="preserve">arose </w:t>
      </w:r>
      <w:r w:rsidR="00E13927">
        <w:rPr>
          <w:lang w:eastAsia="en-AU"/>
        </w:rPr>
        <w:t>on the material</w:t>
      </w:r>
      <w:r w:rsidR="00DD56F2">
        <w:rPr>
          <w:lang w:eastAsia="en-AU"/>
        </w:rPr>
        <w:t>s before the Tribunal</w:t>
      </w:r>
      <w:r w:rsidR="00CC38EE">
        <w:rPr>
          <w:lang w:eastAsia="en-AU"/>
        </w:rPr>
        <w:t xml:space="preserve">: </w:t>
      </w:r>
      <w:r w:rsidR="00CC38EE" w:rsidRPr="00B32FBE">
        <w:rPr>
          <w:i/>
          <w:lang w:eastAsia="en-AU"/>
        </w:rPr>
        <w:t xml:space="preserve">Plaintiff M1 </w:t>
      </w:r>
      <w:r w:rsidR="00CC38EE">
        <w:rPr>
          <w:lang w:eastAsia="en-AU"/>
        </w:rPr>
        <w:t xml:space="preserve">at [25]. </w:t>
      </w:r>
      <w:r w:rsidR="00E13927">
        <w:rPr>
          <w:lang w:eastAsia="en-AU"/>
        </w:rPr>
        <w:t xml:space="preserve"> </w:t>
      </w:r>
    </w:p>
    <w:p w14:paraId="2792BB45" w14:textId="77777777" w:rsidR="00561088" w:rsidRDefault="00F03C78" w:rsidP="00C85527">
      <w:pPr>
        <w:pStyle w:val="ParaNumbering"/>
        <w:rPr>
          <w:lang w:eastAsia="en-AU"/>
        </w:rPr>
      </w:pPr>
      <w:r>
        <w:rPr>
          <w:lang w:eastAsia="en-AU"/>
        </w:rPr>
        <w:lastRenderedPageBreak/>
        <w:t>Counsel for the appellant carefully took us to the following</w:t>
      </w:r>
      <w:r w:rsidR="007811A8">
        <w:rPr>
          <w:lang w:eastAsia="en-AU"/>
        </w:rPr>
        <w:t xml:space="preserve"> material</w:t>
      </w:r>
      <w:r>
        <w:rPr>
          <w:lang w:eastAsia="en-AU"/>
        </w:rPr>
        <w:t xml:space="preserve"> in order to make good his submission that the representations either clearly articulated or raised squarely</w:t>
      </w:r>
      <w:r w:rsidR="00E060C6">
        <w:rPr>
          <w:lang w:eastAsia="en-AU"/>
        </w:rPr>
        <w:t>:</w:t>
      </w:r>
      <w:r>
        <w:rPr>
          <w:lang w:eastAsia="en-AU"/>
        </w:rPr>
        <w:t xml:space="preserve"> the appellant’s</w:t>
      </w:r>
      <w:r w:rsidR="001D09A4">
        <w:rPr>
          <w:lang w:eastAsia="en-AU"/>
        </w:rPr>
        <w:t xml:space="preserve"> h</w:t>
      </w:r>
      <w:r>
        <w:rPr>
          <w:lang w:eastAsia="en-AU"/>
        </w:rPr>
        <w:t xml:space="preserve">epatitis </w:t>
      </w:r>
      <w:r w:rsidR="00144A69">
        <w:rPr>
          <w:lang w:eastAsia="en-AU"/>
        </w:rPr>
        <w:t>conditions</w:t>
      </w:r>
      <w:r w:rsidR="00E060C6">
        <w:rPr>
          <w:lang w:eastAsia="en-AU"/>
        </w:rPr>
        <w:t>;</w:t>
      </w:r>
      <w:r w:rsidR="00144A69">
        <w:rPr>
          <w:lang w:eastAsia="en-AU"/>
        </w:rPr>
        <w:t xml:space="preserve"> his</w:t>
      </w:r>
      <w:r>
        <w:rPr>
          <w:lang w:eastAsia="en-AU"/>
        </w:rPr>
        <w:t xml:space="preserve"> claimed inability to access </w:t>
      </w:r>
      <w:r w:rsidR="00E75FE7">
        <w:rPr>
          <w:lang w:eastAsia="en-AU"/>
        </w:rPr>
        <w:t>anti-viral</w:t>
      </w:r>
      <w:r w:rsidR="007811A8">
        <w:rPr>
          <w:lang w:eastAsia="en-AU"/>
        </w:rPr>
        <w:t xml:space="preserve"> medication in Vietnam</w:t>
      </w:r>
      <w:r w:rsidR="00E060C6">
        <w:rPr>
          <w:lang w:eastAsia="en-AU"/>
        </w:rPr>
        <w:t>;</w:t>
      </w:r>
      <w:r w:rsidR="007811A8">
        <w:rPr>
          <w:lang w:eastAsia="en-AU"/>
        </w:rPr>
        <w:t xml:space="preserve"> and the Tribunal’s failure to consider these matters.</w:t>
      </w:r>
      <w:r w:rsidR="00785CB7">
        <w:rPr>
          <w:lang w:eastAsia="en-AU"/>
        </w:rPr>
        <w:t xml:space="preserve"> </w:t>
      </w:r>
      <w:r w:rsidR="00785CB7" w:rsidRPr="00BE0876">
        <w:rPr>
          <w:i/>
          <w:lang w:eastAsia="en-AU"/>
        </w:rPr>
        <w:t>First</w:t>
      </w:r>
      <w:r w:rsidR="00DD56F2" w:rsidRPr="00BE0876">
        <w:rPr>
          <w:i/>
          <w:lang w:eastAsia="en-AU"/>
        </w:rPr>
        <w:t>,</w:t>
      </w:r>
      <w:r w:rsidR="00785CB7" w:rsidRPr="00BE0876">
        <w:rPr>
          <w:i/>
          <w:lang w:eastAsia="en-AU"/>
        </w:rPr>
        <w:t xml:space="preserve"> </w:t>
      </w:r>
      <w:r w:rsidR="00406B1B">
        <w:rPr>
          <w:lang w:eastAsia="en-AU"/>
        </w:rPr>
        <w:t xml:space="preserve">the appellant took us to </w:t>
      </w:r>
      <w:r w:rsidR="00785CB7">
        <w:rPr>
          <w:lang w:eastAsia="en-AU"/>
        </w:rPr>
        <w:t xml:space="preserve">the </w:t>
      </w:r>
      <w:r w:rsidR="00785CB7" w:rsidRPr="004031F3">
        <w:rPr>
          <w:lang w:eastAsia="en-AU"/>
        </w:rPr>
        <w:t>SOFI</w:t>
      </w:r>
      <w:r w:rsidR="00C85527" w:rsidRPr="004031F3">
        <w:rPr>
          <w:lang w:eastAsia="en-AU"/>
        </w:rPr>
        <w:t>C</w:t>
      </w:r>
      <w:r w:rsidR="00C85527">
        <w:rPr>
          <w:lang w:eastAsia="en-AU"/>
        </w:rPr>
        <w:t xml:space="preserve"> from  </w:t>
      </w:r>
      <w:r w:rsidR="00DD56F2">
        <w:rPr>
          <w:lang w:eastAsia="en-AU"/>
        </w:rPr>
        <w:t>[</w:t>
      </w:r>
      <w:r w:rsidR="00C85527">
        <w:rPr>
          <w:lang w:eastAsia="en-AU"/>
        </w:rPr>
        <w:t>62</w:t>
      </w:r>
      <w:r w:rsidR="00DD56F2">
        <w:rPr>
          <w:lang w:eastAsia="en-AU"/>
        </w:rPr>
        <w:t>]</w:t>
      </w:r>
      <w:r w:rsidR="00C85527">
        <w:rPr>
          <w:lang w:eastAsia="en-AU"/>
        </w:rPr>
        <w:t xml:space="preserve"> under the heading “International non-</w:t>
      </w:r>
      <w:proofErr w:type="spellStart"/>
      <w:r w:rsidR="00C85527">
        <w:rPr>
          <w:lang w:eastAsia="en-AU"/>
        </w:rPr>
        <w:t>refoulement</w:t>
      </w:r>
      <w:proofErr w:type="spellEnd"/>
      <w:r w:rsidR="00C85527">
        <w:rPr>
          <w:lang w:eastAsia="en-AU"/>
        </w:rPr>
        <w:t xml:space="preserve"> obligations”</w:t>
      </w:r>
      <w:r w:rsidR="00DD56F2">
        <w:rPr>
          <w:lang w:eastAsia="en-AU"/>
        </w:rPr>
        <w:t>,</w:t>
      </w:r>
      <w:r w:rsidR="00C85527">
        <w:rPr>
          <w:lang w:eastAsia="en-AU"/>
        </w:rPr>
        <w:t xml:space="preserve"> where it was said that the ap</w:t>
      </w:r>
      <w:r w:rsidR="00561088">
        <w:rPr>
          <w:lang w:eastAsia="en-AU"/>
        </w:rPr>
        <w:t>pellant fear</w:t>
      </w:r>
      <w:r w:rsidR="00D17032">
        <w:rPr>
          <w:lang w:eastAsia="en-AU"/>
        </w:rPr>
        <w:t>ed</w:t>
      </w:r>
      <w:r w:rsidR="00561088">
        <w:rPr>
          <w:lang w:eastAsia="en-AU"/>
        </w:rPr>
        <w:t xml:space="preserve"> return to Vietnam due to, inter alia, </w:t>
      </w:r>
      <w:r w:rsidR="00144A69">
        <w:rPr>
          <w:lang w:eastAsia="en-AU"/>
        </w:rPr>
        <w:t>“his</w:t>
      </w:r>
      <w:r w:rsidR="00561088">
        <w:rPr>
          <w:lang w:eastAsia="en-AU"/>
        </w:rPr>
        <w:t xml:space="preserve"> status as a sufferer of </w:t>
      </w:r>
      <w:r w:rsidR="009C4EB9">
        <w:rPr>
          <w:lang w:eastAsia="en-AU"/>
        </w:rPr>
        <w:t>H</w:t>
      </w:r>
      <w:r w:rsidR="00561088">
        <w:rPr>
          <w:lang w:eastAsia="en-AU"/>
        </w:rPr>
        <w:t>epatitis B and D and his access to treatment for this condition”. By way of elaboration</w:t>
      </w:r>
      <w:r w:rsidR="00DD56F2">
        <w:rPr>
          <w:lang w:eastAsia="en-AU"/>
        </w:rPr>
        <w:t>,</w:t>
      </w:r>
      <w:r w:rsidR="00561088">
        <w:rPr>
          <w:lang w:eastAsia="en-AU"/>
        </w:rPr>
        <w:t xml:space="preserve"> at </w:t>
      </w:r>
      <w:r w:rsidR="00B86ECC">
        <w:rPr>
          <w:lang w:eastAsia="en-AU"/>
        </w:rPr>
        <w:t>[67]</w:t>
      </w:r>
      <w:r w:rsidR="00D17032">
        <w:rPr>
          <w:lang w:eastAsia="en-AU"/>
        </w:rPr>
        <w:t>-</w:t>
      </w:r>
      <w:r w:rsidR="00B86ECC">
        <w:rPr>
          <w:lang w:eastAsia="en-AU"/>
        </w:rPr>
        <w:t xml:space="preserve">[70] </w:t>
      </w:r>
      <w:r w:rsidR="00DD56F2">
        <w:rPr>
          <w:lang w:eastAsia="en-AU"/>
        </w:rPr>
        <w:t xml:space="preserve">of the </w:t>
      </w:r>
      <w:r w:rsidR="00DD56F2" w:rsidRPr="00AC7DA6">
        <w:rPr>
          <w:lang w:eastAsia="en-AU"/>
        </w:rPr>
        <w:t>SOFIC</w:t>
      </w:r>
      <w:r w:rsidR="00561088">
        <w:rPr>
          <w:lang w:eastAsia="en-AU"/>
        </w:rPr>
        <w:t xml:space="preserve"> the appellant contended that access to effective treatment in Vietnam for his condition was limited</w:t>
      </w:r>
      <w:r w:rsidR="00785CB7">
        <w:rPr>
          <w:lang w:eastAsia="en-AU"/>
        </w:rPr>
        <w:t xml:space="preserve"> and that it </w:t>
      </w:r>
      <w:r w:rsidR="00144A69">
        <w:rPr>
          <w:lang w:eastAsia="en-AU"/>
        </w:rPr>
        <w:t>was “</w:t>
      </w:r>
      <w:r w:rsidR="00561088">
        <w:rPr>
          <w:lang w:eastAsia="en-AU"/>
        </w:rPr>
        <w:t>unlikely” that he w</w:t>
      </w:r>
      <w:r w:rsidR="00785CB7">
        <w:rPr>
          <w:lang w:eastAsia="en-AU"/>
        </w:rPr>
        <w:t xml:space="preserve">ould be able to access the </w:t>
      </w:r>
      <w:r w:rsidR="00E75FE7">
        <w:rPr>
          <w:lang w:eastAsia="en-AU"/>
        </w:rPr>
        <w:t>anti-viral</w:t>
      </w:r>
      <w:r w:rsidR="00561088">
        <w:rPr>
          <w:lang w:eastAsia="en-AU"/>
        </w:rPr>
        <w:t xml:space="preserve"> medication he requires</w:t>
      </w:r>
      <w:r w:rsidR="00B86ECC">
        <w:rPr>
          <w:lang w:eastAsia="en-AU"/>
        </w:rPr>
        <w:t>,</w:t>
      </w:r>
      <w:r w:rsidR="00561088">
        <w:rPr>
          <w:lang w:eastAsia="en-AU"/>
        </w:rPr>
        <w:t xml:space="preserve"> with the consequence that his health would</w:t>
      </w:r>
      <w:r w:rsidR="00785CB7">
        <w:rPr>
          <w:lang w:eastAsia="en-AU"/>
        </w:rPr>
        <w:t xml:space="preserve"> likely</w:t>
      </w:r>
      <w:r w:rsidR="00561088">
        <w:rPr>
          <w:lang w:eastAsia="en-AU"/>
        </w:rPr>
        <w:t xml:space="preserve"> be adversely affected.</w:t>
      </w:r>
    </w:p>
    <w:p w14:paraId="2792BB46" w14:textId="77777777" w:rsidR="00561088" w:rsidRDefault="00810AAD" w:rsidP="00C85527">
      <w:pPr>
        <w:pStyle w:val="ParaNumbering"/>
        <w:rPr>
          <w:lang w:eastAsia="en-AU"/>
        </w:rPr>
      </w:pPr>
      <w:r>
        <w:rPr>
          <w:i/>
          <w:lang w:eastAsia="en-AU"/>
        </w:rPr>
        <w:t>Second</w:t>
      </w:r>
      <w:r w:rsidR="00AD5B85">
        <w:rPr>
          <w:i/>
          <w:lang w:eastAsia="en-AU"/>
        </w:rPr>
        <w:t>ly</w:t>
      </w:r>
      <w:r w:rsidR="00561088" w:rsidRPr="00FF4001">
        <w:rPr>
          <w:lang w:eastAsia="en-AU"/>
        </w:rPr>
        <w:t>,</w:t>
      </w:r>
      <w:r w:rsidR="00561088">
        <w:rPr>
          <w:lang w:eastAsia="en-AU"/>
        </w:rPr>
        <w:t xml:space="preserve"> the </w:t>
      </w:r>
      <w:r w:rsidR="00406B1B">
        <w:rPr>
          <w:lang w:eastAsia="en-AU"/>
        </w:rPr>
        <w:t>appellant took us to [36]</w:t>
      </w:r>
      <w:r w:rsidR="00D17032">
        <w:rPr>
          <w:lang w:eastAsia="en-AU"/>
        </w:rPr>
        <w:t>-</w:t>
      </w:r>
      <w:r w:rsidR="00406B1B">
        <w:rPr>
          <w:lang w:eastAsia="en-AU"/>
        </w:rPr>
        <w:t xml:space="preserve">[37] of his </w:t>
      </w:r>
      <w:r w:rsidR="00561088">
        <w:rPr>
          <w:lang w:eastAsia="en-AU"/>
        </w:rPr>
        <w:t xml:space="preserve">personal statement addressed to the </w:t>
      </w:r>
      <w:r w:rsidR="00785CB7">
        <w:rPr>
          <w:lang w:eastAsia="en-AU"/>
        </w:rPr>
        <w:t>Tribunal</w:t>
      </w:r>
      <w:r w:rsidR="00406B1B">
        <w:rPr>
          <w:lang w:eastAsia="en-AU"/>
        </w:rPr>
        <w:t>,</w:t>
      </w:r>
      <w:r w:rsidR="00561088">
        <w:rPr>
          <w:lang w:eastAsia="en-AU"/>
        </w:rPr>
        <w:t xml:space="preserve"> where</w:t>
      </w:r>
      <w:r w:rsidR="00785CB7">
        <w:rPr>
          <w:lang w:eastAsia="en-AU"/>
        </w:rPr>
        <w:t xml:space="preserve"> </w:t>
      </w:r>
      <w:r w:rsidR="00144A69">
        <w:rPr>
          <w:lang w:eastAsia="en-AU"/>
        </w:rPr>
        <w:t>he described</w:t>
      </w:r>
      <w:r w:rsidR="00561088">
        <w:rPr>
          <w:lang w:eastAsia="en-AU"/>
        </w:rPr>
        <w:t xml:space="preserve"> his condition as “chronic hepatitis”, </w:t>
      </w:r>
      <w:r w:rsidR="00B86ECC">
        <w:rPr>
          <w:lang w:eastAsia="en-AU"/>
        </w:rPr>
        <w:t xml:space="preserve">and </w:t>
      </w:r>
      <w:r w:rsidR="00561088">
        <w:rPr>
          <w:lang w:eastAsia="en-AU"/>
        </w:rPr>
        <w:t xml:space="preserve">stated that if he </w:t>
      </w:r>
      <w:r w:rsidR="00D17032">
        <w:rPr>
          <w:lang w:eastAsia="en-AU"/>
        </w:rPr>
        <w:t xml:space="preserve">did </w:t>
      </w:r>
      <w:r w:rsidR="00AD5B85">
        <w:rPr>
          <w:lang w:eastAsia="en-AU"/>
        </w:rPr>
        <w:t xml:space="preserve">not </w:t>
      </w:r>
      <w:r w:rsidR="00561088">
        <w:rPr>
          <w:lang w:eastAsia="en-AU"/>
        </w:rPr>
        <w:t xml:space="preserve">receive his medication then his </w:t>
      </w:r>
      <w:r w:rsidR="009C4EB9">
        <w:rPr>
          <w:lang w:eastAsia="en-AU"/>
        </w:rPr>
        <w:t>h</w:t>
      </w:r>
      <w:r w:rsidR="00561088">
        <w:rPr>
          <w:lang w:eastAsia="en-AU"/>
        </w:rPr>
        <w:t xml:space="preserve">epatitis would rapidly spread with “dire consequences for </w:t>
      </w:r>
      <w:r w:rsidR="00D17032">
        <w:rPr>
          <w:lang w:eastAsia="en-AU"/>
        </w:rPr>
        <w:t>[his]</w:t>
      </w:r>
      <w:r w:rsidR="00561088">
        <w:rPr>
          <w:lang w:eastAsia="en-AU"/>
        </w:rPr>
        <w:t xml:space="preserve"> liver”</w:t>
      </w:r>
      <w:r w:rsidR="00B86ECC">
        <w:rPr>
          <w:lang w:eastAsia="en-AU"/>
        </w:rPr>
        <w:t>.  The appellant also</w:t>
      </w:r>
      <w:r w:rsidR="00561088">
        <w:rPr>
          <w:lang w:eastAsia="en-AU"/>
        </w:rPr>
        <w:t xml:space="preserve"> stated that medication for his condition “is very hard to find” in Vietnam.</w:t>
      </w:r>
    </w:p>
    <w:p w14:paraId="2792BB47" w14:textId="77777777" w:rsidR="00190F68" w:rsidRDefault="00810AAD" w:rsidP="00190F68">
      <w:pPr>
        <w:pStyle w:val="ParaNumbering"/>
        <w:rPr>
          <w:lang w:eastAsia="en-AU"/>
        </w:rPr>
      </w:pPr>
      <w:r>
        <w:rPr>
          <w:i/>
          <w:lang w:eastAsia="en-AU"/>
        </w:rPr>
        <w:t>Third</w:t>
      </w:r>
      <w:r w:rsidR="00AD5B85">
        <w:rPr>
          <w:i/>
          <w:lang w:eastAsia="en-AU"/>
        </w:rPr>
        <w:t>ly</w:t>
      </w:r>
      <w:r w:rsidR="00144A69" w:rsidRPr="00BE0876">
        <w:rPr>
          <w:i/>
          <w:lang w:eastAsia="en-AU"/>
        </w:rPr>
        <w:t xml:space="preserve">, </w:t>
      </w:r>
      <w:r w:rsidR="00190F68">
        <w:rPr>
          <w:lang w:eastAsia="en-AU"/>
        </w:rPr>
        <w:t>and despite [97] of the Tribunal’s reasons (set out above</w:t>
      </w:r>
      <w:r w:rsidR="00D17032">
        <w:rPr>
          <w:lang w:eastAsia="en-AU"/>
        </w:rPr>
        <w:t xml:space="preserve"> at [</w:t>
      </w:r>
      <w:r w:rsidR="009C4EB9">
        <w:rPr>
          <w:lang w:eastAsia="en-AU"/>
        </w:rPr>
        <w:fldChar w:fldCharType="begin"/>
      </w:r>
      <w:r w:rsidR="009C4EB9">
        <w:rPr>
          <w:lang w:eastAsia="en-AU"/>
        </w:rPr>
        <w:instrText xml:space="preserve"> REF _Ref110322521 \r \h </w:instrText>
      </w:r>
      <w:r w:rsidR="009C4EB9">
        <w:rPr>
          <w:lang w:eastAsia="en-AU"/>
        </w:rPr>
      </w:r>
      <w:r w:rsidR="009C4EB9">
        <w:rPr>
          <w:lang w:eastAsia="en-AU"/>
        </w:rPr>
        <w:fldChar w:fldCharType="separate"/>
      </w:r>
      <w:r w:rsidR="00D657A9">
        <w:rPr>
          <w:lang w:eastAsia="en-AU"/>
        </w:rPr>
        <w:t>17</w:t>
      </w:r>
      <w:r w:rsidR="009C4EB9">
        <w:rPr>
          <w:lang w:eastAsia="en-AU"/>
        </w:rPr>
        <w:fldChar w:fldCharType="end"/>
      </w:r>
      <w:r w:rsidR="00D17032">
        <w:rPr>
          <w:lang w:eastAsia="en-AU"/>
        </w:rPr>
        <w:t>]</w:t>
      </w:r>
      <w:r w:rsidR="00AD5B85">
        <w:rPr>
          <w:lang w:eastAsia="en-AU"/>
        </w:rPr>
        <w:t xml:space="preserve">), </w:t>
      </w:r>
      <w:r w:rsidR="009C4EB9">
        <w:rPr>
          <w:lang w:eastAsia="en-AU"/>
        </w:rPr>
        <w:t>the appellant submitted that he</w:t>
      </w:r>
      <w:r w:rsidR="00190F68">
        <w:rPr>
          <w:lang w:eastAsia="en-AU"/>
        </w:rPr>
        <w:t xml:space="preserve"> had not abandoned his non-</w:t>
      </w:r>
      <w:proofErr w:type="spellStart"/>
      <w:r w:rsidR="00190F68">
        <w:rPr>
          <w:lang w:eastAsia="en-AU"/>
        </w:rPr>
        <w:t>refoulement</w:t>
      </w:r>
      <w:proofErr w:type="spellEnd"/>
      <w:r w:rsidR="00190F68">
        <w:rPr>
          <w:lang w:eastAsia="en-AU"/>
        </w:rPr>
        <w:t xml:space="preserve"> claim before the Tribunal</w:t>
      </w:r>
      <w:r w:rsidR="009C4EB9">
        <w:rPr>
          <w:lang w:eastAsia="en-AU"/>
        </w:rPr>
        <w:t>. This</w:t>
      </w:r>
      <w:r w:rsidR="00190F68">
        <w:rPr>
          <w:lang w:eastAsia="en-AU"/>
        </w:rPr>
        <w:t xml:space="preserve"> submission was also put to the primary judge in written supplementary submissions.</w:t>
      </w:r>
    </w:p>
    <w:p w14:paraId="2792BB48" w14:textId="77777777" w:rsidR="00293747" w:rsidRPr="009C3CF6" w:rsidRDefault="00293747" w:rsidP="0002049A">
      <w:pPr>
        <w:pStyle w:val="ParaNumbering"/>
        <w:rPr>
          <w:lang w:eastAsia="en-AU"/>
        </w:rPr>
      </w:pPr>
      <w:r>
        <w:rPr>
          <w:lang w:eastAsia="en-AU"/>
        </w:rPr>
        <w:t xml:space="preserve">The primary judge addressed this issue in some detail at </w:t>
      </w:r>
      <w:proofErr w:type="gramStart"/>
      <w:r>
        <w:rPr>
          <w:lang w:eastAsia="en-AU"/>
        </w:rPr>
        <w:t>PJ[</w:t>
      </w:r>
      <w:proofErr w:type="gramEnd"/>
      <w:r w:rsidR="00B86ECC">
        <w:rPr>
          <w:lang w:eastAsia="en-AU"/>
        </w:rPr>
        <w:t>51</w:t>
      </w:r>
      <w:r>
        <w:rPr>
          <w:lang w:eastAsia="en-AU"/>
        </w:rPr>
        <w:t>]</w:t>
      </w:r>
      <w:r w:rsidR="00144A69">
        <w:rPr>
          <w:lang w:eastAsia="en-AU"/>
        </w:rPr>
        <w:t>-[</w:t>
      </w:r>
      <w:r w:rsidR="00B86ECC">
        <w:rPr>
          <w:lang w:eastAsia="en-AU"/>
        </w:rPr>
        <w:t>66</w:t>
      </w:r>
      <w:r>
        <w:rPr>
          <w:lang w:eastAsia="en-AU"/>
        </w:rPr>
        <w:t>]</w:t>
      </w:r>
      <w:r w:rsidR="00B86ECC">
        <w:rPr>
          <w:lang w:eastAsia="en-AU"/>
        </w:rPr>
        <w:t>.  We</w:t>
      </w:r>
      <w:r w:rsidR="0001744E">
        <w:rPr>
          <w:lang w:eastAsia="en-AU"/>
        </w:rPr>
        <w:t xml:space="preserve"> have already </w:t>
      </w:r>
      <w:r w:rsidR="00406B1B">
        <w:rPr>
          <w:lang w:eastAsia="en-AU"/>
        </w:rPr>
        <w:t>referred to some paragraphs</w:t>
      </w:r>
      <w:r w:rsidR="0001744E" w:rsidRPr="009C3CF6">
        <w:rPr>
          <w:lang w:eastAsia="en-AU"/>
        </w:rPr>
        <w:t xml:space="preserve"> of his Honour</w:t>
      </w:r>
      <w:r w:rsidR="0060473A" w:rsidRPr="009C3CF6">
        <w:rPr>
          <w:lang w:eastAsia="en-AU"/>
        </w:rPr>
        <w:t>’</w:t>
      </w:r>
      <w:r w:rsidR="0001744E" w:rsidRPr="009C3CF6">
        <w:rPr>
          <w:lang w:eastAsia="en-AU"/>
        </w:rPr>
        <w:t>s reasons. We discern</w:t>
      </w:r>
      <w:r w:rsidR="0060473A" w:rsidRPr="009C3CF6">
        <w:rPr>
          <w:lang w:eastAsia="en-AU"/>
        </w:rPr>
        <w:t xml:space="preserve"> no error in those reasons</w:t>
      </w:r>
      <w:r w:rsidR="0001744E" w:rsidRPr="009C3CF6">
        <w:rPr>
          <w:lang w:eastAsia="en-AU"/>
        </w:rPr>
        <w:t xml:space="preserve"> or the conclusion that </w:t>
      </w:r>
      <w:r w:rsidR="00406B1B">
        <w:rPr>
          <w:lang w:eastAsia="en-AU"/>
        </w:rPr>
        <w:t>the primary judge</w:t>
      </w:r>
      <w:r w:rsidR="00406B1B" w:rsidRPr="009C3CF6">
        <w:rPr>
          <w:lang w:eastAsia="en-AU"/>
        </w:rPr>
        <w:t xml:space="preserve"> </w:t>
      </w:r>
      <w:r w:rsidR="0001744E" w:rsidRPr="009C3CF6">
        <w:rPr>
          <w:lang w:eastAsia="en-AU"/>
        </w:rPr>
        <w:t>reached. In particular</w:t>
      </w:r>
      <w:r w:rsidR="007802EE" w:rsidRPr="009C3CF6">
        <w:rPr>
          <w:lang w:eastAsia="en-AU"/>
        </w:rPr>
        <w:t>,</w:t>
      </w:r>
      <w:r w:rsidR="0001744E" w:rsidRPr="009C3CF6">
        <w:rPr>
          <w:lang w:eastAsia="en-AU"/>
        </w:rPr>
        <w:t xml:space="preserve"> we endorse and adopt what his Honour said at </w:t>
      </w:r>
      <w:r w:rsidR="008600F3" w:rsidRPr="009C3CF6">
        <w:rPr>
          <w:lang w:eastAsia="en-AU"/>
        </w:rPr>
        <w:t>PJ</w:t>
      </w:r>
      <w:r w:rsidR="0001744E" w:rsidRPr="009C3CF6">
        <w:rPr>
          <w:lang w:eastAsia="en-AU"/>
        </w:rPr>
        <w:t>[60]</w:t>
      </w:r>
      <w:r w:rsidR="008600F3" w:rsidRPr="009C3CF6">
        <w:rPr>
          <w:lang w:eastAsia="en-AU"/>
        </w:rPr>
        <w:t>:</w:t>
      </w:r>
      <w:r w:rsidR="00E8378B" w:rsidRPr="009C3CF6">
        <w:rPr>
          <w:lang w:eastAsia="en-AU"/>
        </w:rPr>
        <w:t xml:space="preserve"> </w:t>
      </w:r>
      <w:r w:rsidR="0001744E" w:rsidRPr="009C3CF6">
        <w:rPr>
          <w:lang w:eastAsia="en-AU"/>
        </w:rPr>
        <w:t>:</w:t>
      </w:r>
    </w:p>
    <w:p w14:paraId="2792BB49" w14:textId="77777777" w:rsidR="0001744E" w:rsidRPr="009C3CF6" w:rsidRDefault="00B86ECC" w:rsidP="00D17032">
      <w:pPr>
        <w:pStyle w:val="Quote1"/>
        <w:ind w:left="1440" w:hanging="703"/>
        <w:rPr>
          <w:lang w:eastAsia="en-AU"/>
        </w:rPr>
      </w:pPr>
      <w:r>
        <w:rPr>
          <w:lang w:eastAsia="en-AU"/>
        </w:rPr>
        <w:t>60</w:t>
      </w:r>
      <w:r w:rsidR="009155B6">
        <w:rPr>
          <w:lang w:eastAsia="en-AU"/>
        </w:rPr>
        <w:t>.</w:t>
      </w:r>
      <w:r w:rsidR="00D17032">
        <w:rPr>
          <w:lang w:eastAsia="en-AU"/>
        </w:rPr>
        <w:tab/>
      </w:r>
      <w:r w:rsidR="0001744E" w:rsidRPr="009C3CF6">
        <w:rPr>
          <w:lang w:eastAsia="en-AU"/>
        </w:rPr>
        <w:t>Non-</w:t>
      </w:r>
      <w:proofErr w:type="spellStart"/>
      <w:r w:rsidR="0001744E" w:rsidRPr="009C3CF6">
        <w:rPr>
          <w:lang w:eastAsia="en-AU"/>
        </w:rPr>
        <w:t>refoulement</w:t>
      </w:r>
      <w:proofErr w:type="spellEnd"/>
      <w:r w:rsidR="0001744E" w:rsidRPr="009C3CF6">
        <w:rPr>
          <w:lang w:eastAsia="en-AU"/>
        </w:rPr>
        <w:t xml:space="preserve"> obligations are not things in the abstract.  They do not arise simply because a person will suffer hardship.  They arise having regard to the precise terms of the obligations which are engaged by the ratification of a particular convention.  I make that observation because even in the supplementary submissions that have been filed on the applicant’s behalf</w:t>
      </w:r>
      <w:r w:rsidR="0001744E">
        <w:rPr>
          <w:lang w:eastAsia="en-AU"/>
        </w:rPr>
        <w:t xml:space="preserve"> there is no identification of the terms of any complementary </w:t>
      </w:r>
      <w:r w:rsidR="0001744E" w:rsidRPr="009C3CF6">
        <w:rPr>
          <w:lang w:eastAsia="en-AU"/>
        </w:rPr>
        <w:t xml:space="preserve">protection </w:t>
      </w:r>
      <w:r w:rsidR="0060473A" w:rsidRPr="009C3CF6">
        <w:rPr>
          <w:lang w:eastAsia="en-AU"/>
        </w:rPr>
        <w:t>obligations so entered into</w:t>
      </w:r>
      <w:r w:rsidR="0001744E" w:rsidRPr="009C3CF6">
        <w:rPr>
          <w:lang w:eastAsia="en-AU"/>
        </w:rPr>
        <w:t xml:space="preserve"> Australia</w:t>
      </w:r>
      <w:r w:rsidR="0060473A" w:rsidRPr="009C3CF6">
        <w:rPr>
          <w:lang w:eastAsia="en-AU"/>
        </w:rPr>
        <w:t xml:space="preserve"> </w:t>
      </w:r>
      <w:r w:rsidR="008600F3" w:rsidRPr="009C3CF6">
        <w:rPr>
          <w:lang w:eastAsia="en-AU"/>
        </w:rPr>
        <w:t>[</w:t>
      </w:r>
      <w:r w:rsidR="0060473A" w:rsidRPr="009C3CF6">
        <w:rPr>
          <w:i/>
          <w:lang w:eastAsia="en-AU"/>
        </w:rPr>
        <w:t>sic</w:t>
      </w:r>
      <w:r w:rsidR="008600F3" w:rsidRPr="009C3CF6">
        <w:rPr>
          <w:lang w:eastAsia="en-AU"/>
        </w:rPr>
        <w:t>]</w:t>
      </w:r>
      <w:r w:rsidR="0001744E" w:rsidRPr="009C3CF6">
        <w:rPr>
          <w:lang w:eastAsia="en-AU"/>
        </w:rPr>
        <w:t xml:space="preserve">, which the </w:t>
      </w:r>
      <w:r w:rsidR="00785CB7" w:rsidRPr="009C3CF6">
        <w:rPr>
          <w:lang w:eastAsia="en-AU"/>
        </w:rPr>
        <w:t>Tribunal</w:t>
      </w:r>
      <w:r w:rsidR="0001744E" w:rsidRPr="009C3CF6">
        <w:rPr>
          <w:lang w:eastAsia="en-AU"/>
        </w:rPr>
        <w:t xml:space="preserve"> should have, having regard to the findings it made, recognised.</w:t>
      </w:r>
    </w:p>
    <w:p w14:paraId="2792BB4A" w14:textId="77777777" w:rsidR="008600F3" w:rsidRPr="009C3CF6" w:rsidRDefault="00E011B0">
      <w:pPr>
        <w:pStyle w:val="NoNum"/>
        <w:rPr>
          <w:lang w:eastAsia="en-AU"/>
        </w:rPr>
      </w:pPr>
      <w:r>
        <w:rPr>
          <w:lang w:eastAsia="en-AU"/>
        </w:rPr>
        <w:t>We also endorse and adopt his Honour’s observation</w:t>
      </w:r>
      <w:r w:rsidR="008600F3" w:rsidRPr="009C3CF6">
        <w:rPr>
          <w:lang w:eastAsia="en-AU"/>
        </w:rPr>
        <w:t xml:space="preserve"> at </w:t>
      </w:r>
      <w:proofErr w:type="gramStart"/>
      <w:r w:rsidR="008600F3" w:rsidRPr="009C3CF6">
        <w:rPr>
          <w:lang w:eastAsia="en-AU"/>
        </w:rPr>
        <w:t>PJ[</w:t>
      </w:r>
      <w:proofErr w:type="gramEnd"/>
      <w:r w:rsidR="008600F3" w:rsidRPr="009C3CF6">
        <w:rPr>
          <w:lang w:eastAsia="en-AU"/>
        </w:rPr>
        <w:t>64]</w:t>
      </w:r>
      <w:r w:rsidR="00B86ECC">
        <w:rPr>
          <w:lang w:eastAsia="en-AU"/>
        </w:rPr>
        <w:t>,</w:t>
      </w:r>
      <w:r w:rsidR="00133C98" w:rsidRPr="009C3CF6">
        <w:rPr>
          <w:lang w:eastAsia="en-AU"/>
        </w:rPr>
        <w:t xml:space="preserve"> that it does not “bespeak of legal error” for the Tribunal not to have addressed this claim.</w:t>
      </w:r>
    </w:p>
    <w:p w14:paraId="2792BB4B" w14:textId="77777777" w:rsidR="00E011B0" w:rsidRDefault="0001744E" w:rsidP="00A809DA">
      <w:pPr>
        <w:pStyle w:val="ParaNumbering"/>
      </w:pPr>
      <w:r w:rsidRPr="009C3CF6">
        <w:rPr>
          <w:lang w:eastAsia="en-AU"/>
        </w:rPr>
        <w:t xml:space="preserve">As counsel for the Minister correctly </w:t>
      </w:r>
      <w:r w:rsidR="00A86ADB">
        <w:rPr>
          <w:lang w:eastAsia="en-AU"/>
        </w:rPr>
        <w:t>submitted,</w:t>
      </w:r>
      <w:r w:rsidR="00A86ADB" w:rsidRPr="009C3CF6">
        <w:rPr>
          <w:lang w:eastAsia="en-AU"/>
        </w:rPr>
        <w:t xml:space="preserve"> </w:t>
      </w:r>
      <w:r w:rsidR="00A86ADB">
        <w:rPr>
          <w:lang w:eastAsia="en-AU"/>
        </w:rPr>
        <w:t xml:space="preserve">to the extent that </w:t>
      </w:r>
      <w:r w:rsidRPr="009C3CF6">
        <w:rPr>
          <w:lang w:eastAsia="en-AU"/>
        </w:rPr>
        <w:t>the appellant claim</w:t>
      </w:r>
      <w:r w:rsidR="00A86ADB">
        <w:rPr>
          <w:lang w:eastAsia="en-AU"/>
        </w:rPr>
        <w:t>ed</w:t>
      </w:r>
      <w:r w:rsidRPr="009C3CF6">
        <w:rPr>
          <w:lang w:eastAsia="en-AU"/>
        </w:rPr>
        <w:t xml:space="preserve"> he was owed non-</w:t>
      </w:r>
      <w:proofErr w:type="spellStart"/>
      <w:r w:rsidRPr="009C3CF6">
        <w:rPr>
          <w:lang w:eastAsia="en-AU"/>
        </w:rPr>
        <w:t>refoulement</w:t>
      </w:r>
      <w:proofErr w:type="spellEnd"/>
      <w:r w:rsidRPr="009C3CF6">
        <w:rPr>
          <w:lang w:eastAsia="en-AU"/>
        </w:rPr>
        <w:t xml:space="preserve"> obligations </w:t>
      </w:r>
      <w:r w:rsidR="00A86ADB">
        <w:rPr>
          <w:lang w:eastAsia="en-AU"/>
        </w:rPr>
        <w:t>by reason of the limited medical treatment he may be able to access</w:t>
      </w:r>
      <w:r w:rsidRPr="009C3CF6">
        <w:rPr>
          <w:lang w:eastAsia="en-AU"/>
        </w:rPr>
        <w:t xml:space="preserve"> in Vietnam</w:t>
      </w:r>
      <w:r w:rsidR="00A86ADB">
        <w:rPr>
          <w:lang w:eastAsia="en-AU"/>
        </w:rPr>
        <w:t>, his</w:t>
      </w:r>
      <w:r w:rsidR="007802EE" w:rsidRPr="009C3CF6">
        <w:rPr>
          <w:lang w:eastAsia="en-AU"/>
        </w:rPr>
        <w:t xml:space="preserve"> </w:t>
      </w:r>
      <w:r w:rsidR="00A86ADB">
        <w:rPr>
          <w:lang w:eastAsia="en-AU"/>
        </w:rPr>
        <w:t xml:space="preserve">claim </w:t>
      </w:r>
      <w:r w:rsidR="007802EE" w:rsidRPr="009C3CF6">
        <w:rPr>
          <w:lang w:eastAsia="en-AU"/>
        </w:rPr>
        <w:t>was expressed “at a very high level of abstraction”</w:t>
      </w:r>
      <w:r w:rsidR="00A86ADB">
        <w:rPr>
          <w:lang w:eastAsia="en-AU"/>
        </w:rPr>
        <w:t>. Nowhere</w:t>
      </w:r>
      <w:r w:rsidR="007802EE" w:rsidRPr="009C3CF6">
        <w:rPr>
          <w:lang w:eastAsia="en-AU"/>
        </w:rPr>
        <w:t xml:space="preserve"> </w:t>
      </w:r>
      <w:r w:rsidR="007802EE" w:rsidRPr="009C3CF6">
        <w:rPr>
          <w:lang w:eastAsia="en-AU"/>
        </w:rPr>
        <w:lastRenderedPageBreak/>
        <w:t xml:space="preserve">in the material before the Tribunal did the appellant identify any specific obligation pursuant to the CAT or the ICCPR engaged </w:t>
      </w:r>
      <w:r w:rsidR="00E011B0">
        <w:rPr>
          <w:lang w:eastAsia="en-AU"/>
        </w:rPr>
        <w:t>by</w:t>
      </w:r>
      <w:r w:rsidR="007802EE" w:rsidRPr="009C3CF6">
        <w:rPr>
          <w:lang w:eastAsia="en-AU"/>
        </w:rPr>
        <w:t xml:space="preserve"> that inability. </w:t>
      </w:r>
    </w:p>
    <w:p w14:paraId="2792BB4C" w14:textId="77777777" w:rsidR="00A11AF0" w:rsidRPr="009C3CF6" w:rsidRDefault="002115CF" w:rsidP="00A809DA">
      <w:pPr>
        <w:pStyle w:val="ParaNumbering"/>
      </w:pPr>
      <w:r w:rsidRPr="009C3CF6">
        <w:rPr>
          <w:lang w:eastAsia="en-AU"/>
        </w:rPr>
        <w:t xml:space="preserve">An examination of the material </w:t>
      </w:r>
      <w:r w:rsidR="00E011B0">
        <w:rPr>
          <w:lang w:eastAsia="en-AU"/>
        </w:rPr>
        <w:t xml:space="preserve">before us </w:t>
      </w:r>
      <w:r w:rsidRPr="009C3CF6">
        <w:rPr>
          <w:lang w:eastAsia="en-AU"/>
        </w:rPr>
        <w:t>reflects that no error has been established in the primary judge’s conclusion</w:t>
      </w:r>
      <w:r w:rsidR="00D260A0">
        <w:rPr>
          <w:lang w:eastAsia="en-AU"/>
        </w:rPr>
        <w:t xml:space="preserve"> at </w:t>
      </w:r>
      <w:proofErr w:type="gramStart"/>
      <w:r w:rsidR="00D260A0">
        <w:rPr>
          <w:lang w:eastAsia="en-AU"/>
        </w:rPr>
        <w:t>PJ[</w:t>
      </w:r>
      <w:proofErr w:type="gramEnd"/>
      <w:r w:rsidR="00D260A0">
        <w:rPr>
          <w:lang w:eastAsia="en-AU"/>
        </w:rPr>
        <w:t>65]</w:t>
      </w:r>
      <w:r w:rsidRPr="009C3CF6">
        <w:rPr>
          <w:lang w:eastAsia="en-AU"/>
        </w:rPr>
        <w:t xml:space="preserve"> </w:t>
      </w:r>
      <w:r w:rsidR="006634D2" w:rsidRPr="009C3CF6">
        <w:rPr>
          <w:lang w:eastAsia="en-AU"/>
        </w:rPr>
        <w:t>that</w:t>
      </w:r>
      <w:r w:rsidR="00D260A0">
        <w:rPr>
          <w:lang w:eastAsia="en-AU"/>
        </w:rPr>
        <w:t xml:space="preserve"> “(t)here was nothing legally unreasonable in the Tribunal not addressing a claim that neither had been articulated by the [appellant] nor was obviously and self-evidently inhere</w:t>
      </w:r>
      <w:r w:rsidR="00A01D20">
        <w:rPr>
          <w:lang w:eastAsia="en-AU"/>
        </w:rPr>
        <w:t>nt</w:t>
      </w:r>
      <w:r w:rsidR="00D260A0">
        <w:rPr>
          <w:lang w:eastAsia="en-AU"/>
        </w:rPr>
        <w:t xml:space="preserve"> in the facts it found to apply”. We are not persuaded that, before the Tribunal,</w:t>
      </w:r>
      <w:r w:rsidR="006634D2" w:rsidRPr="009C3CF6">
        <w:rPr>
          <w:lang w:eastAsia="en-AU"/>
        </w:rPr>
        <w:t xml:space="preserve"> the appellant clearly articulated a substantial or significant claim </w:t>
      </w:r>
      <w:r w:rsidR="008366D6" w:rsidRPr="009C3CF6">
        <w:rPr>
          <w:lang w:eastAsia="en-AU"/>
        </w:rPr>
        <w:t>that Australia had non-</w:t>
      </w:r>
      <w:proofErr w:type="spellStart"/>
      <w:r w:rsidR="008366D6" w:rsidRPr="009C3CF6">
        <w:rPr>
          <w:lang w:eastAsia="en-AU"/>
        </w:rPr>
        <w:t>refoulement</w:t>
      </w:r>
      <w:proofErr w:type="spellEnd"/>
      <w:r w:rsidR="008366D6" w:rsidRPr="009C3CF6">
        <w:rPr>
          <w:lang w:eastAsia="en-AU"/>
        </w:rPr>
        <w:t xml:space="preserve"> obligations under the ICCPR or CAT</w:t>
      </w:r>
      <w:r w:rsidR="00257E77" w:rsidRPr="009C3CF6">
        <w:rPr>
          <w:lang w:eastAsia="en-AU"/>
        </w:rPr>
        <w:t xml:space="preserve"> by reason of</w:t>
      </w:r>
      <w:r w:rsidR="00A86ADB">
        <w:rPr>
          <w:lang w:eastAsia="en-AU"/>
        </w:rPr>
        <w:t xml:space="preserve"> the</w:t>
      </w:r>
      <w:r w:rsidR="00257E77" w:rsidRPr="009C3CF6">
        <w:rPr>
          <w:lang w:eastAsia="en-AU"/>
        </w:rPr>
        <w:t xml:space="preserve"> limited medical treatment that </w:t>
      </w:r>
      <w:r w:rsidR="00A01D20">
        <w:rPr>
          <w:lang w:eastAsia="en-AU"/>
        </w:rPr>
        <w:t>he</w:t>
      </w:r>
      <w:r w:rsidR="00257E77" w:rsidRPr="009C3CF6">
        <w:rPr>
          <w:lang w:eastAsia="en-AU"/>
        </w:rPr>
        <w:t xml:space="preserve"> might be able to access in Vietnam</w:t>
      </w:r>
      <w:r w:rsidR="00A86ADB">
        <w:rPr>
          <w:lang w:eastAsia="en-AU"/>
        </w:rPr>
        <w:t>,</w:t>
      </w:r>
      <w:r w:rsidR="00257E77" w:rsidRPr="009C3CF6">
        <w:rPr>
          <w:lang w:eastAsia="en-AU"/>
        </w:rPr>
        <w:t xml:space="preserve"> or that such a claim </w:t>
      </w:r>
      <w:r w:rsidR="00705CFA" w:rsidRPr="009C3CF6">
        <w:rPr>
          <w:lang w:eastAsia="en-AU"/>
        </w:rPr>
        <w:t xml:space="preserve">clearly emerged </w:t>
      </w:r>
      <w:r w:rsidR="00862697">
        <w:rPr>
          <w:lang w:eastAsia="en-AU"/>
        </w:rPr>
        <w:t>(or was squarely raised) on</w:t>
      </w:r>
      <w:r w:rsidR="00862697" w:rsidRPr="009C3CF6">
        <w:rPr>
          <w:lang w:eastAsia="en-AU"/>
        </w:rPr>
        <w:t xml:space="preserve"> </w:t>
      </w:r>
      <w:r w:rsidR="00705CFA" w:rsidRPr="009C3CF6">
        <w:rPr>
          <w:lang w:eastAsia="en-AU"/>
        </w:rPr>
        <w:t>the materials</w:t>
      </w:r>
      <w:r w:rsidR="00D260A0">
        <w:rPr>
          <w:lang w:eastAsia="en-AU"/>
        </w:rPr>
        <w:t xml:space="preserve"> before the Tribunal</w:t>
      </w:r>
      <w:r w:rsidR="00705CFA" w:rsidRPr="009C3CF6">
        <w:rPr>
          <w:lang w:eastAsia="en-AU"/>
        </w:rPr>
        <w:t xml:space="preserve">. </w:t>
      </w:r>
      <w:r w:rsidR="007802EE" w:rsidRPr="009C3CF6">
        <w:rPr>
          <w:lang w:eastAsia="en-AU"/>
        </w:rPr>
        <w:t xml:space="preserve">The </w:t>
      </w:r>
      <w:r w:rsidR="00E8378B" w:rsidRPr="009C3CF6">
        <w:rPr>
          <w:lang w:eastAsia="en-AU"/>
        </w:rPr>
        <w:t xml:space="preserve">reasoning of the </w:t>
      </w:r>
      <w:r w:rsidR="008A0246" w:rsidRPr="009C3CF6">
        <w:rPr>
          <w:lang w:eastAsia="en-AU"/>
        </w:rPr>
        <w:t>Tribunal</w:t>
      </w:r>
      <w:r w:rsidR="00D91864">
        <w:rPr>
          <w:lang w:eastAsia="en-AU"/>
        </w:rPr>
        <w:t xml:space="preserve"> </w:t>
      </w:r>
      <w:r w:rsidR="00D260A0">
        <w:rPr>
          <w:lang w:eastAsia="en-AU"/>
        </w:rPr>
        <w:t>accorded</w:t>
      </w:r>
      <w:r w:rsidR="00D260A0" w:rsidRPr="009C3CF6">
        <w:rPr>
          <w:lang w:eastAsia="en-AU"/>
        </w:rPr>
        <w:t xml:space="preserve"> </w:t>
      </w:r>
      <w:r w:rsidR="00E8378B" w:rsidRPr="009C3CF6">
        <w:rPr>
          <w:lang w:eastAsia="en-AU"/>
        </w:rPr>
        <w:t>with the level of engagement that was required in this case</w:t>
      </w:r>
      <w:r w:rsidR="00D260A0">
        <w:rPr>
          <w:lang w:eastAsia="en-AU"/>
        </w:rPr>
        <w:t>,</w:t>
      </w:r>
      <w:r w:rsidR="00E8378B" w:rsidRPr="009C3CF6">
        <w:rPr>
          <w:lang w:eastAsia="en-AU"/>
        </w:rPr>
        <w:t xml:space="preserve"> as stated by the plurality in </w:t>
      </w:r>
      <w:r w:rsidR="00E8378B" w:rsidRPr="009C3CF6">
        <w:rPr>
          <w:i/>
          <w:lang w:eastAsia="en-AU"/>
        </w:rPr>
        <w:t xml:space="preserve">Plaintiff M1 </w:t>
      </w:r>
      <w:r w:rsidR="00E8378B" w:rsidRPr="009C3CF6">
        <w:rPr>
          <w:lang w:eastAsia="en-AU"/>
        </w:rPr>
        <w:t>at [25]</w:t>
      </w:r>
      <w:r w:rsidR="00DD516D" w:rsidRPr="009C3CF6">
        <w:rPr>
          <w:lang w:eastAsia="en-AU"/>
        </w:rPr>
        <w:t>.</w:t>
      </w:r>
    </w:p>
    <w:p w14:paraId="2792BB4D" w14:textId="77777777" w:rsidR="00A809DA" w:rsidRPr="009C3CF6" w:rsidRDefault="00A809DA" w:rsidP="00785CB7">
      <w:pPr>
        <w:pStyle w:val="ParaNumbering"/>
      </w:pPr>
      <w:r w:rsidRPr="009C3CF6">
        <w:rPr>
          <w:lang w:eastAsia="en-AU"/>
        </w:rPr>
        <w:t>For these reasons we dismiss ground 1.</w:t>
      </w:r>
      <w:r w:rsidR="00862697">
        <w:rPr>
          <w:lang w:eastAsia="en-AU"/>
        </w:rPr>
        <w:t xml:space="preserve"> </w:t>
      </w:r>
    </w:p>
    <w:p w14:paraId="2792BB4E" w14:textId="77777777" w:rsidR="002E4B23" w:rsidRPr="00A809DA" w:rsidRDefault="00A809DA" w:rsidP="008678A3">
      <w:pPr>
        <w:pStyle w:val="Heading2"/>
      </w:pPr>
      <w:r w:rsidRPr="00A809DA">
        <w:t>Ground 2</w:t>
      </w:r>
    </w:p>
    <w:p w14:paraId="2792BB4F" w14:textId="77777777" w:rsidR="00A809DA" w:rsidRDefault="005D606D" w:rsidP="002E4B23">
      <w:pPr>
        <w:pStyle w:val="ParaNumbering"/>
      </w:pPr>
      <w:r>
        <w:t>In relation to this ground of appeal, t</w:t>
      </w:r>
      <w:r w:rsidR="00A809DA">
        <w:t xml:space="preserve">he issue is whether the error which the Minister accepts the </w:t>
      </w:r>
      <w:r w:rsidR="00785CB7">
        <w:t>Tribunal</w:t>
      </w:r>
      <w:r w:rsidR="0060473A">
        <w:t xml:space="preserve"> made</w:t>
      </w:r>
      <w:r w:rsidR="00A809DA">
        <w:t xml:space="preserve"> at [92] </w:t>
      </w:r>
      <w:r w:rsidR="00831BFB">
        <w:t xml:space="preserve">of its reasons, </w:t>
      </w:r>
      <w:r w:rsidR="00A809DA">
        <w:t xml:space="preserve">in misunderstanding the scope of Australia’s </w:t>
      </w:r>
      <w:proofErr w:type="spellStart"/>
      <w:r w:rsidR="00785CB7">
        <w:t>unenacted</w:t>
      </w:r>
      <w:proofErr w:type="spellEnd"/>
      <w:r w:rsidR="00A809DA">
        <w:t xml:space="preserve"> international non-</w:t>
      </w:r>
      <w:proofErr w:type="spellStart"/>
      <w:r w:rsidR="00A809DA">
        <w:t>refoulement</w:t>
      </w:r>
      <w:proofErr w:type="spellEnd"/>
      <w:r w:rsidR="00A809DA">
        <w:t xml:space="preserve"> obligations</w:t>
      </w:r>
      <w:r w:rsidR="00831BFB">
        <w:t>,</w:t>
      </w:r>
      <w:r w:rsidR="00A809DA">
        <w:t xml:space="preserve"> </w:t>
      </w:r>
      <w:r w:rsidR="00831BFB">
        <w:t xml:space="preserve">is a </w:t>
      </w:r>
      <w:r w:rsidR="00A809DA">
        <w:t>jurisdictional</w:t>
      </w:r>
      <w:r w:rsidR="00831BFB">
        <w:t xml:space="preserve"> error</w:t>
      </w:r>
      <w:r w:rsidR="00A809DA">
        <w:t>.</w:t>
      </w:r>
    </w:p>
    <w:p w14:paraId="2792BB50" w14:textId="77777777" w:rsidR="00F71DA6" w:rsidRDefault="00F71DA6" w:rsidP="002E4B23">
      <w:pPr>
        <w:pStyle w:val="ParaNumbering"/>
      </w:pPr>
      <w:r>
        <w:t xml:space="preserve">As the </w:t>
      </w:r>
      <w:r w:rsidR="0069545B">
        <w:t xml:space="preserve">Minister </w:t>
      </w:r>
      <w:r>
        <w:t>submitted, in considering whe</w:t>
      </w:r>
      <w:r w:rsidR="008F67E0">
        <w:t xml:space="preserve">ther Australia </w:t>
      </w:r>
      <w:r w:rsidR="00831BFB">
        <w:t xml:space="preserve">has </w:t>
      </w:r>
      <w:proofErr w:type="spellStart"/>
      <w:r w:rsidR="008F67E0">
        <w:t>unenacted</w:t>
      </w:r>
      <w:proofErr w:type="spellEnd"/>
      <w:r w:rsidR="008F67E0">
        <w:t xml:space="preserve"> international non-</w:t>
      </w:r>
      <w:proofErr w:type="spellStart"/>
      <w:r w:rsidR="008F67E0">
        <w:t>refoulement</w:t>
      </w:r>
      <w:proofErr w:type="spellEnd"/>
      <w:r w:rsidR="008F67E0">
        <w:t xml:space="preserve"> obligations in respect </w:t>
      </w:r>
      <w:r w:rsidR="00831BFB">
        <w:t xml:space="preserve">of </w:t>
      </w:r>
      <w:r w:rsidR="008F67E0">
        <w:t xml:space="preserve">the appellant, the Tribunal was not considering a mandatory </w:t>
      </w:r>
      <w:r w:rsidR="009960C8">
        <w:t xml:space="preserve">relevant consideration under s </w:t>
      </w:r>
      <w:proofErr w:type="gramStart"/>
      <w:r w:rsidR="009960C8">
        <w:t>501CA(</w:t>
      </w:r>
      <w:proofErr w:type="gramEnd"/>
      <w:r w:rsidR="009960C8">
        <w:t>4)</w:t>
      </w:r>
      <w:r w:rsidR="005D606D">
        <w:t>. The consideration therefore did not attract</w:t>
      </w:r>
      <w:r w:rsidR="00805F16">
        <w:t xml:space="preserve"> judicial review for jurisdictional error, because such obligations cannot be</w:t>
      </w:r>
      <w:r w:rsidR="00831BFB">
        <w:t>,</w:t>
      </w:r>
      <w:r w:rsidR="00805F16">
        <w:t xml:space="preserve"> and are not, considerations of that kind: </w:t>
      </w:r>
      <w:r w:rsidR="00831BFB" w:rsidRPr="004031F3">
        <w:rPr>
          <w:i/>
        </w:rPr>
        <w:t>Plaintiff M1</w:t>
      </w:r>
      <w:r w:rsidR="00831BFB">
        <w:t xml:space="preserve"> </w:t>
      </w:r>
      <w:r w:rsidR="00805F16">
        <w:t>at [29]</w:t>
      </w:r>
      <w:r w:rsidR="00041A77">
        <w:t>.</w:t>
      </w:r>
      <w:r w:rsidR="002A134E">
        <w:t xml:space="preserve"> </w:t>
      </w:r>
    </w:p>
    <w:p w14:paraId="2792BB51" w14:textId="77777777" w:rsidR="002E4B23" w:rsidRDefault="0072102E" w:rsidP="002E4B23">
      <w:pPr>
        <w:pStyle w:val="ParaNumbering"/>
      </w:pPr>
      <w:r>
        <w:t xml:space="preserve">However, </w:t>
      </w:r>
      <w:r w:rsidR="00A809DA">
        <w:t xml:space="preserve">the appellant </w:t>
      </w:r>
      <w:r w:rsidR="00831BFB">
        <w:t xml:space="preserve">submitted </w:t>
      </w:r>
      <w:r w:rsidR="00A809DA">
        <w:t xml:space="preserve">that this ground does not entail any contention that </w:t>
      </w:r>
      <w:r w:rsidR="00831BFB">
        <w:t xml:space="preserve">these </w:t>
      </w:r>
      <w:r w:rsidR="00A809DA">
        <w:t>non-</w:t>
      </w:r>
      <w:proofErr w:type="spellStart"/>
      <w:r w:rsidR="00A809DA">
        <w:t>refoulement</w:t>
      </w:r>
      <w:proofErr w:type="spellEnd"/>
      <w:r w:rsidR="00A809DA">
        <w:t xml:space="preserve"> obligations were a mandatory</w:t>
      </w:r>
      <w:r w:rsidR="00831BFB">
        <w:t xml:space="preserve"> relevant</w:t>
      </w:r>
      <w:r w:rsidR="00A809DA">
        <w:t xml:space="preserve"> consideration</w:t>
      </w:r>
      <w:r w:rsidR="00831BFB">
        <w:t xml:space="preserve">. </w:t>
      </w:r>
      <w:r w:rsidR="005E7B20">
        <w:t>On that basis, t</w:t>
      </w:r>
      <w:r w:rsidR="00831BFB">
        <w:t>he appellant submitted that</w:t>
      </w:r>
      <w:r w:rsidR="00A809DA">
        <w:t xml:space="preserve"> </w:t>
      </w:r>
      <w:r w:rsidR="00A809DA" w:rsidRPr="00790AED">
        <w:rPr>
          <w:i/>
        </w:rPr>
        <w:t xml:space="preserve">Plaintiff M1 </w:t>
      </w:r>
      <w:r w:rsidR="00A809DA">
        <w:t>is distinguishable.</w:t>
      </w:r>
      <w:r w:rsidR="0026394C">
        <w:t xml:space="preserve"> In developing that submission, counsel emphasise</w:t>
      </w:r>
      <w:r w:rsidR="00AC7DA6">
        <w:t>d</w:t>
      </w:r>
      <w:r w:rsidR="0026394C">
        <w:t xml:space="preserve"> [27] of the plurality reasons</w:t>
      </w:r>
      <w:r w:rsidR="004E618E">
        <w:t>,</w:t>
      </w:r>
      <w:r w:rsidR="005E7B20">
        <w:t xml:space="preserve"> in which their Honours stated</w:t>
      </w:r>
      <w:r w:rsidR="004E618E">
        <w:t xml:space="preserve"> that</w:t>
      </w:r>
      <w:r w:rsidR="0026394C">
        <w:t xml:space="preserve"> if </w:t>
      </w:r>
      <w:r w:rsidR="005E7B20">
        <w:t xml:space="preserve">a </w:t>
      </w:r>
      <w:r w:rsidR="0026394C">
        <w:t xml:space="preserve">Tribunal </w:t>
      </w:r>
      <w:r w:rsidR="005E7B20">
        <w:t xml:space="preserve">were to </w:t>
      </w:r>
      <w:r w:rsidR="0026394C">
        <w:t>misunderst</w:t>
      </w:r>
      <w:r w:rsidR="005E7B20">
        <w:t>and</w:t>
      </w:r>
      <w:r w:rsidR="0026394C">
        <w:t xml:space="preserve"> relevant facts or materials or misunderst</w:t>
      </w:r>
      <w:r w:rsidR="005E7B20">
        <w:t>and</w:t>
      </w:r>
      <w:r w:rsidR="0026394C">
        <w:t xml:space="preserve"> the applicable law</w:t>
      </w:r>
      <w:r w:rsidR="005E7B20">
        <w:t>,</w:t>
      </w:r>
      <w:r w:rsidR="0026394C">
        <w:t xml:space="preserve"> </w:t>
      </w:r>
      <w:r w:rsidR="005E7B20">
        <w:t>“that may give rise to jurisdictional error”</w:t>
      </w:r>
      <w:r w:rsidR="0026394C">
        <w:t>.</w:t>
      </w:r>
      <w:r w:rsidR="00D860ED">
        <w:t xml:space="preserve"> </w:t>
      </w:r>
      <w:r w:rsidR="00831BFB">
        <w:t>The appellant</w:t>
      </w:r>
      <w:r w:rsidR="00D860ED">
        <w:t xml:space="preserve"> placed</w:t>
      </w:r>
      <w:r w:rsidR="00831BFB">
        <w:t xml:space="preserve"> particular reliance</w:t>
      </w:r>
      <w:r w:rsidR="00D860ED">
        <w:t xml:space="preserve"> on </w:t>
      </w:r>
      <w:r w:rsidR="00D860ED" w:rsidRPr="00790AED">
        <w:rPr>
          <w:i/>
        </w:rPr>
        <w:t>MQGT</w:t>
      </w:r>
      <w:r w:rsidR="00D860ED">
        <w:t xml:space="preserve"> at [22]</w:t>
      </w:r>
      <w:r w:rsidR="005E7B20">
        <w:t>-</w:t>
      </w:r>
      <w:r w:rsidR="00144A69">
        <w:t>[</w:t>
      </w:r>
      <w:r w:rsidR="00D860ED">
        <w:t xml:space="preserve">28] in support of </w:t>
      </w:r>
      <w:r w:rsidR="003524EE">
        <w:t>his</w:t>
      </w:r>
      <w:r w:rsidR="005E7B20">
        <w:t xml:space="preserve"> </w:t>
      </w:r>
      <w:r w:rsidR="00D860ED">
        <w:t>submission that because the Tribunal considered and made findings on the claimed non-</w:t>
      </w:r>
      <w:proofErr w:type="spellStart"/>
      <w:r w:rsidR="00D860ED">
        <w:t>refoulement</w:t>
      </w:r>
      <w:proofErr w:type="spellEnd"/>
      <w:r w:rsidR="00D860ED">
        <w:t xml:space="preserve"> obligations, its misunderstanding of the law of non-</w:t>
      </w:r>
      <w:proofErr w:type="spellStart"/>
      <w:r w:rsidR="00D860ED">
        <w:t>refoulement</w:t>
      </w:r>
      <w:proofErr w:type="spellEnd"/>
      <w:r w:rsidR="00D860ED">
        <w:t xml:space="preserve"> amounted to jurisdictional error.</w:t>
      </w:r>
    </w:p>
    <w:p w14:paraId="2792BB52" w14:textId="77777777" w:rsidR="009158B3" w:rsidRDefault="009158B3" w:rsidP="002E4B23">
      <w:pPr>
        <w:pStyle w:val="ParaNumbering"/>
      </w:pPr>
      <w:r>
        <w:lastRenderedPageBreak/>
        <w:t xml:space="preserve">In </w:t>
      </w:r>
      <w:r w:rsidRPr="00790AED">
        <w:rPr>
          <w:i/>
        </w:rPr>
        <w:t>MQGT</w:t>
      </w:r>
      <w:r>
        <w:t xml:space="preserve"> the appellant claimed that he would be killed if returned to South Sudan becau</w:t>
      </w:r>
      <w:r w:rsidR="0060473A">
        <w:t xml:space="preserve">se of the war in that country </w:t>
      </w:r>
      <w:r w:rsidR="00144A69">
        <w:t>and the</w:t>
      </w:r>
      <w:r>
        <w:t xml:space="preserve"> circums</w:t>
      </w:r>
      <w:r w:rsidR="00CC44EC">
        <w:t>tances which led to him seeking refuge</w:t>
      </w:r>
      <w:r>
        <w:t xml:space="preserve"> in Australia.</w:t>
      </w:r>
      <w:r w:rsidR="00706112">
        <w:t xml:space="preserve"> The M</w:t>
      </w:r>
      <w:r>
        <w:t>inister</w:t>
      </w:r>
      <w:r w:rsidR="0060473A">
        <w:t>’</w:t>
      </w:r>
      <w:r>
        <w:t>s delegate did not disbelieve that claim</w:t>
      </w:r>
      <w:r w:rsidR="00393FD5">
        <w:t>,</w:t>
      </w:r>
      <w:r>
        <w:t xml:space="preserve"> nor did the Minister expressly contest it</w:t>
      </w:r>
      <w:r w:rsidR="00706112">
        <w:t xml:space="preserve"> before the T</w:t>
      </w:r>
      <w:r>
        <w:t xml:space="preserve">ribunal. </w:t>
      </w:r>
      <w:r w:rsidR="00393FD5">
        <w:t>T</w:t>
      </w:r>
      <w:r>
        <w:t xml:space="preserve">he </w:t>
      </w:r>
      <w:r w:rsidR="00785CB7">
        <w:t>Tribunal</w:t>
      </w:r>
      <w:r>
        <w:t xml:space="preserve"> </w:t>
      </w:r>
      <w:r w:rsidR="00406B1B">
        <w:t>considered</w:t>
      </w:r>
      <w:r>
        <w:t xml:space="preserve"> international non-</w:t>
      </w:r>
      <w:proofErr w:type="spellStart"/>
      <w:r>
        <w:t>refoulement</w:t>
      </w:r>
      <w:proofErr w:type="spellEnd"/>
      <w:r>
        <w:t xml:space="preserve"> obligations by reference to the appellant</w:t>
      </w:r>
      <w:r w:rsidR="0060473A">
        <w:t>’</w:t>
      </w:r>
      <w:r>
        <w:t xml:space="preserve">s </w:t>
      </w:r>
      <w:r w:rsidR="00CC44EC">
        <w:t>claim</w:t>
      </w:r>
      <w:r w:rsidR="00393FD5">
        <w:t xml:space="preserve"> and </w:t>
      </w:r>
      <w:r>
        <w:t xml:space="preserve">determined that it would only give slight weight to the claim </w:t>
      </w:r>
      <w:r w:rsidR="00393FD5">
        <w:t>because</w:t>
      </w:r>
      <w:r>
        <w:t xml:space="preserve"> it found it unconvincing. In this </w:t>
      </w:r>
      <w:r w:rsidR="00144A69">
        <w:t>Court</w:t>
      </w:r>
      <w:r w:rsidR="00406B1B">
        <w:t>,</w:t>
      </w:r>
      <w:r w:rsidR="00144A69">
        <w:t xml:space="preserve"> leave</w:t>
      </w:r>
      <w:r w:rsidR="00706112">
        <w:t xml:space="preserve"> was </w:t>
      </w:r>
      <w:r w:rsidR="00144A69">
        <w:t>granted to</w:t>
      </w:r>
      <w:r>
        <w:t xml:space="preserve"> advance a ground of appeal that was not put to the primary judge</w:t>
      </w:r>
      <w:r w:rsidR="00393FD5">
        <w:t xml:space="preserve">. That ground of appeal was </w:t>
      </w:r>
      <w:r>
        <w:t xml:space="preserve">to the effect that the </w:t>
      </w:r>
      <w:r w:rsidR="00785CB7">
        <w:t>Tribunal</w:t>
      </w:r>
      <w:r>
        <w:t xml:space="preserve"> </w:t>
      </w:r>
      <w:r w:rsidR="00297F81">
        <w:t>committed a jurisdictional error</w:t>
      </w:r>
      <w:r>
        <w:t xml:space="preserve"> by denying the appella</w:t>
      </w:r>
      <w:r w:rsidR="0060473A">
        <w:t xml:space="preserve">nt procedural fairness </w:t>
      </w:r>
      <w:r w:rsidR="00297F81">
        <w:t>in its failure to ask him about the</w:t>
      </w:r>
      <w:r w:rsidR="00706112">
        <w:t xml:space="preserve"> claim</w:t>
      </w:r>
      <w:r w:rsidR="00CC44EC">
        <w:t>,</w:t>
      </w:r>
      <w:r w:rsidR="00706112">
        <w:t xml:space="preserve"> or</w:t>
      </w:r>
      <w:r w:rsidR="00CC44EC">
        <w:t xml:space="preserve"> to</w:t>
      </w:r>
      <w:r w:rsidR="00706112">
        <w:t xml:space="preserve"> put him on notice that </w:t>
      </w:r>
      <w:r w:rsidR="00144A69">
        <w:t>it was</w:t>
      </w:r>
      <w:r w:rsidR="00706112">
        <w:t xml:space="preserve"> open to doubt</w:t>
      </w:r>
      <w:r w:rsidR="00CC44EC">
        <w:t>,</w:t>
      </w:r>
      <w:r w:rsidR="00706112">
        <w:t xml:space="preserve"> before </w:t>
      </w:r>
      <w:r w:rsidR="00297F81">
        <w:t>finding</w:t>
      </w:r>
      <w:r w:rsidR="00706112">
        <w:t xml:space="preserve"> </w:t>
      </w:r>
      <w:r w:rsidR="00406B1B">
        <w:t xml:space="preserve">the claim </w:t>
      </w:r>
      <w:r w:rsidR="00706112">
        <w:t xml:space="preserve">to be unconvincing. </w:t>
      </w:r>
      <w:r w:rsidR="0060473A">
        <w:t>That contention was upheld.</w:t>
      </w:r>
    </w:p>
    <w:p w14:paraId="2792BB53" w14:textId="77777777" w:rsidR="00706112" w:rsidRDefault="00706112" w:rsidP="002E4B23">
      <w:pPr>
        <w:pStyle w:val="ParaNumbering"/>
      </w:pPr>
      <w:r>
        <w:t>It is on this basis that the Court reasoned at [27]</w:t>
      </w:r>
      <w:r w:rsidR="00144A69">
        <w:t>-[</w:t>
      </w:r>
      <w:r>
        <w:t>28]</w:t>
      </w:r>
      <w:r w:rsidR="001E6CA9">
        <w:t xml:space="preserve"> and [37]</w:t>
      </w:r>
      <w:r>
        <w:t xml:space="preserve"> </w:t>
      </w:r>
      <w:r w:rsidR="00A629C8">
        <w:t xml:space="preserve">of </w:t>
      </w:r>
      <w:r w:rsidR="00A629C8">
        <w:rPr>
          <w:i/>
        </w:rPr>
        <w:t xml:space="preserve">MQGT </w:t>
      </w:r>
      <w:r>
        <w:t xml:space="preserve">that the Tribunal </w:t>
      </w:r>
      <w:r w:rsidR="00A629C8">
        <w:t xml:space="preserve">had </w:t>
      </w:r>
      <w:r>
        <w:t xml:space="preserve">also erred because, </w:t>
      </w:r>
      <w:r w:rsidR="00C436F5">
        <w:t>al</w:t>
      </w:r>
      <w:r>
        <w:t>though not bound to make findings on the non-</w:t>
      </w:r>
      <w:proofErr w:type="spellStart"/>
      <w:r>
        <w:t>refoulement</w:t>
      </w:r>
      <w:proofErr w:type="spellEnd"/>
      <w:r>
        <w:t xml:space="preserve"> claims, </w:t>
      </w:r>
      <w:r w:rsidR="001E6CA9">
        <w:t>it did so on the erroneous premise it would only give “some or slig</w:t>
      </w:r>
      <w:r w:rsidR="0060473A">
        <w:t xml:space="preserve">ht weight” to </w:t>
      </w:r>
      <w:r w:rsidR="00C436F5">
        <w:t>them.</w:t>
      </w:r>
      <w:r w:rsidR="0060473A">
        <w:t xml:space="preserve"> </w:t>
      </w:r>
      <w:r w:rsidR="00C436F5">
        <w:t>These findings were based on the</w:t>
      </w:r>
      <w:r w:rsidR="001E6CA9">
        <w:t xml:space="preserve"> representations </w:t>
      </w:r>
      <w:r w:rsidR="00C436F5">
        <w:t>being “</w:t>
      </w:r>
      <w:r w:rsidR="001E6CA9">
        <w:t>unconvincing</w:t>
      </w:r>
      <w:r w:rsidR="00C436F5">
        <w:t>”</w:t>
      </w:r>
      <w:r w:rsidR="001E6CA9">
        <w:t xml:space="preserve"> when</w:t>
      </w:r>
      <w:r w:rsidR="0060473A">
        <w:t>,</w:t>
      </w:r>
      <w:r w:rsidR="001E6CA9">
        <w:t xml:space="preserve"> correctly understood</w:t>
      </w:r>
      <w:r w:rsidR="00C436F5">
        <w:t>,</w:t>
      </w:r>
      <w:r w:rsidR="001E6CA9">
        <w:t xml:space="preserve"> </w:t>
      </w:r>
      <w:r w:rsidR="00144A69">
        <w:t>“[</w:t>
      </w:r>
      <w:r w:rsidR="001E6CA9">
        <w:t>h]ad it found the representations convincing it is possible that i</w:t>
      </w:r>
      <w:r w:rsidR="0060473A">
        <w:t>nternational non-</w:t>
      </w:r>
      <w:proofErr w:type="spellStart"/>
      <w:r w:rsidR="00144A69">
        <w:t>refoulement</w:t>
      </w:r>
      <w:proofErr w:type="spellEnd"/>
      <w:r w:rsidR="00144A69">
        <w:t xml:space="preserve"> obligations</w:t>
      </w:r>
      <w:r w:rsidR="001E6CA9">
        <w:t xml:space="preserve"> could have been determinative’</w:t>
      </w:r>
      <w:r w:rsidR="00CC44EC">
        <w:t>:</w:t>
      </w:r>
      <w:r w:rsidR="001E6CA9">
        <w:t xml:space="preserve"> </w:t>
      </w:r>
      <w:r w:rsidR="00406B1B">
        <w:t xml:space="preserve">at </w:t>
      </w:r>
      <w:r w:rsidR="001E6CA9">
        <w:t>[37].</w:t>
      </w:r>
      <w:r w:rsidR="002753F0">
        <w:t xml:space="preserve"> </w:t>
      </w:r>
      <w:r w:rsidR="00F158F0">
        <w:t xml:space="preserve">We note that the appellant accepted there was a tension between </w:t>
      </w:r>
      <w:r w:rsidR="00F158F0" w:rsidRPr="00D91864">
        <w:rPr>
          <w:i/>
        </w:rPr>
        <w:t xml:space="preserve">MQGT </w:t>
      </w:r>
      <w:r w:rsidR="00F158F0" w:rsidRPr="004031F3">
        <w:t>and</w:t>
      </w:r>
      <w:r w:rsidR="00F158F0" w:rsidRPr="00D91864">
        <w:rPr>
          <w:i/>
        </w:rPr>
        <w:t xml:space="preserve"> </w:t>
      </w:r>
      <w:proofErr w:type="spellStart"/>
      <w:r w:rsidR="00F158F0" w:rsidRPr="00D91864">
        <w:rPr>
          <w:i/>
        </w:rPr>
        <w:t>Snedden</w:t>
      </w:r>
      <w:proofErr w:type="spellEnd"/>
      <w:r w:rsidR="00F158F0" w:rsidRPr="00D91864">
        <w:rPr>
          <w:i/>
        </w:rPr>
        <w:t xml:space="preserve"> </w:t>
      </w:r>
      <w:r w:rsidR="003B1C32" w:rsidRPr="00D91864">
        <w:rPr>
          <w:i/>
        </w:rPr>
        <w:t>v Minister for Justice</w:t>
      </w:r>
      <w:r w:rsidR="003B1C32">
        <w:t xml:space="preserve"> (2014) 230 FCR </w:t>
      </w:r>
      <w:r w:rsidR="003537D3">
        <w:t>8</w:t>
      </w:r>
      <w:r w:rsidR="003B1C32">
        <w:t>2; [2014] FCAFC 156</w:t>
      </w:r>
      <w:r w:rsidR="00DD516D">
        <w:t xml:space="preserve"> (</w:t>
      </w:r>
      <w:proofErr w:type="spellStart"/>
      <w:r w:rsidR="00DD516D" w:rsidRPr="00D91864">
        <w:rPr>
          <w:b/>
          <w:i/>
        </w:rPr>
        <w:t>Snedden</w:t>
      </w:r>
      <w:proofErr w:type="spellEnd"/>
      <w:r w:rsidR="00DD516D">
        <w:t>)</w:t>
      </w:r>
      <w:r w:rsidR="004F7946">
        <w:t xml:space="preserve"> (which cites</w:t>
      </w:r>
      <w:r w:rsidR="004F7946" w:rsidRPr="00D91864">
        <w:rPr>
          <w:i/>
        </w:rPr>
        <w:t xml:space="preserve"> AB v Minister for Immigration and Citizenship</w:t>
      </w:r>
      <w:r w:rsidR="004F7946">
        <w:t xml:space="preserve"> (2007</w:t>
      </w:r>
      <w:r w:rsidR="00BE473B">
        <w:t>) 96 ALD 53; [2007] FCA 910</w:t>
      </w:r>
      <w:r w:rsidR="00AD5B85">
        <w:t xml:space="preserve"> </w:t>
      </w:r>
      <w:r w:rsidR="00394973">
        <w:t>(</w:t>
      </w:r>
      <w:r w:rsidR="00394973" w:rsidRPr="00D91864">
        <w:rPr>
          <w:b/>
          <w:i/>
        </w:rPr>
        <w:t>AB v Minister</w:t>
      </w:r>
      <w:r w:rsidR="00394973">
        <w:t>)</w:t>
      </w:r>
      <w:r w:rsidR="00C436F5">
        <w:t>)</w:t>
      </w:r>
      <w:r w:rsidR="003B1C32">
        <w:t xml:space="preserve">, a decision which does not appear to have been referred to the Court in </w:t>
      </w:r>
      <w:r w:rsidR="003B1C32" w:rsidRPr="00D91864">
        <w:rPr>
          <w:i/>
        </w:rPr>
        <w:t>MQGT</w:t>
      </w:r>
      <w:r w:rsidR="00E52CEC">
        <w:t xml:space="preserve">. The appellant submitted that </w:t>
      </w:r>
      <w:r w:rsidR="00E52CEC" w:rsidRPr="00D91864">
        <w:rPr>
          <w:i/>
        </w:rPr>
        <w:t>M</w:t>
      </w:r>
      <w:r w:rsidR="00394973" w:rsidRPr="00D91864">
        <w:rPr>
          <w:i/>
        </w:rPr>
        <w:t>QG</w:t>
      </w:r>
      <w:r w:rsidR="00E52CEC" w:rsidRPr="00D91864">
        <w:rPr>
          <w:i/>
        </w:rPr>
        <w:t>T</w:t>
      </w:r>
      <w:r w:rsidR="00E52CEC">
        <w:t xml:space="preserve"> is to be preferred. </w:t>
      </w:r>
      <w:r w:rsidR="00902E71">
        <w:t>Those authorities reflect, consistent</w:t>
      </w:r>
      <w:r w:rsidR="009B79E6">
        <w:t>ly</w:t>
      </w:r>
      <w:r w:rsidR="00902E71">
        <w:t xml:space="preserve"> with</w:t>
      </w:r>
      <w:r w:rsidR="009C3CF6">
        <w:t xml:space="preserve"> </w:t>
      </w:r>
      <w:r w:rsidR="009C3CF6" w:rsidRPr="00D91864">
        <w:rPr>
          <w:i/>
        </w:rPr>
        <w:t>Plaintiff</w:t>
      </w:r>
      <w:r w:rsidR="00902E71" w:rsidRPr="00D91864">
        <w:rPr>
          <w:i/>
        </w:rPr>
        <w:t xml:space="preserve"> M1</w:t>
      </w:r>
      <w:r w:rsidR="00902E71">
        <w:t xml:space="preserve">, that </w:t>
      </w:r>
      <w:proofErr w:type="spellStart"/>
      <w:r w:rsidR="006F23A8">
        <w:t>unenacted</w:t>
      </w:r>
      <w:proofErr w:type="spellEnd"/>
      <w:r w:rsidR="006F23A8">
        <w:t xml:space="preserve"> international obligations are not mandatory relevant considerations in making the relevant decision.</w:t>
      </w:r>
      <w:r w:rsidR="00541E50">
        <w:t xml:space="preserve"> See also </w:t>
      </w:r>
      <w:r w:rsidR="00541E50" w:rsidRPr="00D91864">
        <w:rPr>
          <w:i/>
        </w:rPr>
        <w:t>Re Minister for Immigration and Multicultural Affairs; ex parte Lam</w:t>
      </w:r>
      <w:r w:rsidR="00541E50">
        <w:t xml:space="preserve"> </w:t>
      </w:r>
      <w:r w:rsidR="00983D54">
        <w:t>(2003) 214 CLR 1</w:t>
      </w:r>
      <w:r w:rsidR="00C436F5">
        <w:t>; [2003] HCA 6</w:t>
      </w:r>
      <w:r w:rsidR="00983D54">
        <w:t xml:space="preserve"> at [101]. </w:t>
      </w:r>
    </w:p>
    <w:p w14:paraId="2792BB54" w14:textId="728D47E5" w:rsidR="001E6CA9" w:rsidRDefault="000953FA" w:rsidP="002E4B23">
      <w:pPr>
        <w:pStyle w:val="ParaNumbering"/>
      </w:pPr>
      <w:r>
        <w:t xml:space="preserve">We do not find </w:t>
      </w:r>
      <w:r w:rsidR="009B79E6">
        <w:t xml:space="preserve">the </w:t>
      </w:r>
      <w:r>
        <w:t xml:space="preserve">analysis </w:t>
      </w:r>
      <w:r w:rsidR="00983D54">
        <w:t xml:space="preserve">in </w:t>
      </w:r>
      <w:r w:rsidR="00983D54" w:rsidRPr="00D91864">
        <w:rPr>
          <w:i/>
        </w:rPr>
        <w:t>MQGT</w:t>
      </w:r>
      <w:r w:rsidR="00983D54">
        <w:t xml:space="preserve"> </w:t>
      </w:r>
      <w:r>
        <w:t xml:space="preserve">to be of assistance in resolving this appeal. The appellant does not contend that the </w:t>
      </w:r>
      <w:r w:rsidR="00785CB7">
        <w:t>Tribunal</w:t>
      </w:r>
      <w:r>
        <w:t xml:space="preserve"> committed jurisdictional error </w:t>
      </w:r>
      <w:r w:rsidR="009B79E6">
        <w:t xml:space="preserve">by </w:t>
      </w:r>
      <w:r>
        <w:t xml:space="preserve">denying him procedural fairness </w:t>
      </w:r>
      <w:r w:rsidR="0060473A">
        <w:t xml:space="preserve">in the </w:t>
      </w:r>
      <w:r w:rsidR="00144A69">
        <w:t>way it</w:t>
      </w:r>
      <w:r>
        <w:t xml:space="preserve"> considered the non-</w:t>
      </w:r>
      <w:proofErr w:type="spellStart"/>
      <w:r>
        <w:t>refoulement</w:t>
      </w:r>
      <w:proofErr w:type="spellEnd"/>
      <w:r>
        <w:t xml:space="preserve"> claim</w:t>
      </w:r>
      <w:r w:rsidR="009B79E6">
        <w:t>. In any event,</w:t>
      </w:r>
      <w:r>
        <w:t xml:space="preserve"> this ground of appeal must be resolved in accordance with the </w:t>
      </w:r>
      <w:r w:rsidR="00F339B3">
        <w:t xml:space="preserve">plurality </w:t>
      </w:r>
      <w:r>
        <w:t xml:space="preserve">reasoning in </w:t>
      </w:r>
      <w:r w:rsidRPr="00790AED">
        <w:rPr>
          <w:i/>
        </w:rPr>
        <w:t>Plaintiff M1</w:t>
      </w:r>
      <w:r>
        <w:t>.</w:t>
      </w:r>
    </w:p>
    <w:p w14:paraId="2792BB55" w14:textId="77777777" w:rsidR="00FF2ADA" w:rsidRDefault="00FB7CB7" w:rsidP="00FB7CB7">
      <w:pPr>
        <w:pStyle w:val="ParaNumbering"/>
      </w:pPr>
      <w:r>
        <w:t>It should also be noted that each of the cases footnoted</w:t>
      </w:r>
      <w:r w:rsidR="00DE0024">
        <w:t xml:space="preserve"> to the relevant aspect of</w:t>
      </w:r>
      <w:r w:rsidR="009C3CF6">
        <w:t xml:space="preserve"> </w:t>
      </w:r>
      <w:r w:rsidR="009B79E6">
        <w:t xml:space="preserve">[27] in </w:t>
      </w:r>
      <w:r w:rsidR="009B79E6" w:rsidRPr="004031F3">
        <w:rPr>
          <w:i/>
        </w:rPr>
        <w:t>Plaintiff M1</w:t>
      </w:r>
      <w:r>
        <w:t xml:space="preserve"> </w:t>
      </w:r>
      <w:r w:rsidR="00C436F5">
        <w:t xml:space="preserve">that were </w:t>
      </w:r>
      <w:r>
        <w:t>emphasised by counsel for</w:t>
      </w:r>
      <w:r w:rsidR="00CC44EC">
        <w:t xml:space="preserve"> the appellant</w:t>
      </w:r>
      <w:r w:rsidR="00394973">
        <w:t>,</w:t>
      </w:r>
      <w:r>
        <w:t xml:space="preserve"> are examples of various failures to comply with a precondition to the lawful exercise of statutory power</w:t>
      </w:r>
      <w:r w:rsidR="00CC44EC">
        <w:t>,</w:t>
      </w:r>
      <w:r>
        <w:t xml:space="preserve"> or a failure to observe prescriptive controls upon its exercise. </w:t>
      </w:r>
    </w:p>
    <w:p w14:paraId="2792BB56" w14:textId="77777777" w:rsidR="00CC44EC" w:rsidRDefault="00FB7CB7" w:rsidP="00FB7CB7">
      <w:pPr>
        <w:pStyle w:val="ParaNumbering"/>
      </w:pPr>
      <w:r w:rsidRPr="00790AED">
        <w:rPr>
          <w:i/>
        </w:rPr>
        <w:lastRenderedPageBreak/>
        <w:t xml:space="preserve">R v Connell; Ex parte </w:t>
      </w:r>
      <w:proofErr w:type="spellStart"/>
      <w:r w:rsidRPr="00790AED">
        <w:rPr>
          <w:i/>
        </w:rPr>
        <w:t>Hetton</w:t>
      </w:r>
      <w:proofErr w:type="spellEnd"/>
      <w:r w:rsidRPr="00790AED">
        <w:rPr>
          <w:i/>
        </w:rPr>
        <w:t xml:space="preserve"> Bellbird </w:t>
      </w:r>
      <w:r w:rsidR="00144A69" w:rsidRPr="00790AED">
        <w:rPr>
          <w:i/>
        </w:rPr>
        <w:t>Collieries Ltd</w:t>
      </w:r>
      <w:r w:rsidRPr="00790AED">
        <w:rPr>
          <w:i/>
        </w:rPr>
        <w:t xml:space="preserve"> </w:t>
      </w:r>
      <w:r w:rsidRPr="0096088A">
        <w:t>(1944) 69 CLR 4</w:t>
      </w:r>
      <w:r w:rsidR="003460E6" w:rsidRPr="0096088A">
        <w:t>0</w:t>
      </w:r>
      <w:r w:rsidRPr="0096088A">
        <w:t>7</w:t>
      </w:r>
      <w:r w:rsidR="00F16272">
        <w:t>; [1944] HCA 2</w:t>
      </w:r>
      <w:r>
        <w:t xml:space="preserve"> concerned whether a Local Industrial Authority was satisfied in accordance with a particular regulation as to a state of affairs, which satisfaction could only be reached upon a correct understandi</w:t>
      </w:r>
      <w:r w:rsidR="00CC44EC">
        <w:t>ng of the provision in question.</w:t>
      </w:r>
      <w:r w:rsidR="00133C98">
        <w:t xml:space="preserve"> Where that is so</w:t>
      </w:r>
      <w:r w:rsidR="009B79E6">
        <w:t>,</w:t>
      </w:r>
      <w:r w:rsidR="00133C98">
        <w:t xml:space="preserve"> t</w:t>
      </w:r>
      <w:r w:rsidR="00CC44EC">
        <w:t xml:space="preserve">he decision-maker must “correctly </w:t>
      </w:r>
      <w:r w:rsidR="003460E6">
        <w:t>[</w:t>
      </w:r>
      <w:r w:rsidR="00CC44EC">
        <w:t>understand</w:t>
      </w:r>
      <w:r w:rsidR="003460E6">
        <w:t>] the meaning of</w:t>
      </w:r>
      <w:r w:rsidR="00CC44EC">
        <w:t xml:space="preserve"> the law under which he acts” </w:t>
      </w:r>
      <w:r w:rsidR="00144A69">
        <w:t>per Latham</w:t>
      </w:r>
      <w:r>
        <w:t xml:space="preserve"> CJ at 430.</w:t>
      </w:r>
    </w:p>
    <w:p w14:paraId="2792BB57" w14:textId="77777777" w:rsidR="00FB7CB7" w:rsidRDefault="00FB7CB7" w:rsidP="00FB7CB7">
      <w:pPr>
        <w:pStyle w:val="ParaNumbering"/>
      </w:pPr>
      <w:r w:rsidRPr="00790AED">
        <w:rPr>
          <w:i/>
        </w:rPr>
        <w:t>Re Minister for Immigration and Multicultural Affairs; Ex part</w:t>
      </w:r>
      <w:r w:rsidR="00CC44EC" w:rsidRPr="00790AED">
        <w:rPr>
          <w:i/>
        </w:rPr>
        <w:t xml:space="preserve">e Miah </w:t>
      </w:r>
      <w:r w:rsidR="00CC44EC" w:rsidRPr="0096088A">
        <w:t xml:space="preserve">(2001) 206 CLR </w:t>
      </w:r>
      <w:r w:rsidR="00144A69" w:rsidRPr="0096088A">
        <w:t>57</w:t>
      </w:r>
      <w:r w:rsidR="003460E6" w:rsidRPr="0096088A">
        <w:t>; [2001] HCA 22</w:t>
      </w:r>
      <w:r w:rsidR="00144A69">
        <w:t xml:space="preserve"> was</w:t>
      </w:r>
      <w:r>
        <w:t xml:space="preserve"> concerned</w:t>
      </w:r>
      <w:r w:rsidR="009B79E6">
        <w:t>,</w:t>
      </w:r>
      <w:r w:rsidR="00CC44EC">
        <w:t xml:space="preserve"> in part</w:t>
      </w:r>
      <w:r w:rsidR="009B79E6">
        <w:t>,</w:t>
      </w:r>
      <w:r>
        <w:t xml:space="preserve"> with a </w:t>
      </w:r>
      <w:r w:rsidR="00B848DF">
        <w:t xml:space="preserve">contended </w:t>
      </w:r>
      <w:r>
        <w:t>constructive failure to exercise jurisdiction</w:t>
      </w:r>
      <w:r w:rsidR="00CC44EC">
        <w:t xml:space="preserve"> in </w:t>
      </w:r>
      <w:r w:rsidR="00144A69">
        <w:t>circumstances where</w:t>
      </w:r>
      <w:r>
        <w:t xml:space="preserve"> </w:t>
      </w:r>
      <w:r w:rsidR="00B848DF">
        <w:t xml:space="preserve">it was said </w:t>
      </w:r>
      <w:r>
        <w:t>the delegate misunderstood what was involved in the definition of refugee under the Refugee Convention</w:t>
      </w:r>
      <w:r w:rsidR="004170A2">
        <w:t>. The consequence of that misunderstanding was said to be</w:t>
      </w:r>
      <w:r w:rsidR="00B848DF">
        <w:t xml:space="preserve"> that the delegate failed</w:t>
      </w:r>
      <w:r>
        <w:t xml:space="preserve"> to consider the substance of the application for </w:t>
      </w:r>
      <w:r w:rsidR="00B848DF">
        <w:t>the</w:t>
      </w:r>
      <w:r>
        <w:t xml:space="preserve"> protection visa</w:t>
      </w:r>
      <w:r w:rsidR="00B848DF">
        <w:t>.</w:t>
      </w:r>
      <w:r w:rsidR="00133C98">
        <w:t xml:space="preserve"> The delegate was required to consider whether the appellant </w:t>
      </w:r>
      <w:r w:rsidR="00B848DF">
        <w:t>had a well-founded fear of persecution</w:t>
      </w:r>
      <w:r w:rsidR="004170A2">
        <w:t>. T</w:t>
      </w:r>
      <w:r w:rsidR="009B79E6">
        <w:t xml:space="preserve">he </w:t>
      </w:r>
      <w:r w:rsidR="00B848DF">
        <w:t xml:space="preserve">application of a wrong test in determining whether protection obligations were owed was capable of amounting to </w:t>
      </w:r>
      <w:r w:rsidR="00E27895">
        <w:t xml:space="preserve">jurisdictional error. However, on the facts, and by majority, that contention failed: Gleeson CJ, Kirby and Hayne JJ; </w:t>
      </w:r>
      <w:proofErr w:type="spellStart"/>
      <w:r w:rsidR="00E27895">
        <w:t>Gaudron</w:t>
      </w:r>
      <w:proofErr w:type="spellEnd"/>
      <w:r w:rsidR="00E27895">
        <w:t xml:space="preserve"> dissenting.</w:t>
      </w:r>
    </w:p>
    <w:p w14:paraId="2792BB58" w14:textId="77777777" w:rsidR="00FB7CB7" w:rsidRDefault="00FB7CB7" w:rsidP="00FB7CB7">
      <w:pPr>
        <w:pStyle w:val="ParaNumbering"/>
      </w:pPr>
      <w:r>
        <w:t xml:space="preserve">In </w:t>
      </w:r>
      <w:r w:rsidRPr="00790AED">
        <w:rPr>
          <w:i/>
        </w:rPr>
        <w:t xml:space="preserve">Wei v Minister for </w:t>
      </w:r>
      <w:r w:rsidR="009B79E6">
        <w:rPr>
          <w:i/>
        </w:rPr>
        <w:t>I</w:t>
      </w:r>
      <w:r w:rsidRPr="00790AED">
        <w:rPr>
          <w:i/>
        </w:rPr>
        <w:t xml:space="preserve">mmigration and Border Protection </w:t>
      </w:r>
      <w:r w:rsidRPr="0096088A">
        <w:t>(2015) 257 CLR 22</w:t>
      </w:r>
      <w:r w:rsidR="003460E6" w:rsidRPr="0096088A">
        <w:t>; [2015] HCA 51</w:t>
      </w:r>
      <w:r w:rsidR="009B79E6">
        <w:t>,</w:t>
      </w:r>
      <w:r>
        <w:t xml:space="preserve"> the delegate cancelled a student visa on the ground that a condition of it, enrolment as a student at a university, had not been met</w:t>
      </w:r>
      <w:r w:rsidR="004170A2">
        <w:t>. That finding</w:t>
      </w:r>
      <w:r>
        <w:t xml:space="preserve"> was incorrect in that the university had </w:t>
      </w:r>
      <w:r w:rsidR="00144A69">
        <w:t>failed to</w:t>
      </w:r>
      <w:r>
        <w:t xml:space="preserve"> record the fact of </w:t>
      </w:r>
      <w:r w:rsidR="00144A69">
        <w:t>enrolment as</w:t>
      </w:r>
      <w:r>
        <w:t xml:space="preserve"> required by the </w:t>
      </w:r>
      <w:r w:rsidRPr="00790AED">
        <w:rPr>
          <w:i/>
        </w:rPr>
        <w:t>Education Services for Overseas Students Act 2000</w:t>
      </w:r>
      <w:r w:rsidR="0005131E">
        <w:t xml:space="preserve"> (</w:t>
      </w:r>
      <w:proofErr w:type="spellStart"/>
      <w:r w:rsidR="0005131E">
        <w:t>Cth</w:t>
      </w:r>
      <w:proofErr w:type="spellEnd"/>
      <w:r w:rsidR="0005131E">
        <w:t>)</w:t>
      </w:r>
      <w:r>
        <w:t>. It was held that the delegate’s decision was tainted by that failure. The error was jurisdictional in that the state of satisfaction required by s 116(1)(b) of the Migration Act was purportedly formed u</w:t>
      </w:r>
      <w:r w:rsidR="00CC44EC">
        <w:t>pon the material breach of the u</w:t>
      </w:r>
      <w:r>
        <w:t xml:space="preserve">niversity’s obligation which was </w:t>
      </w:r>
      <w:r w:rsidR="00144A69">
        <w:t>“an</w:t>
      </w:r>
      <w:r>
        <w:t xml:space="preserve"> express or implied condition of the valid exercise</w:t>
      </w:r>
      <w:r w:rsidR="001302B0">
        <w:t>”</w:t>
      </w:r>
      <w:r>
        <w:t xml:space="preserve"> of the power: </w:t>
      </w:r>
      <w:r w:rsidR="00CC44EC">
        <w:t>per</w:t>
      </w:r>
      <w:r>
        <w:t xml:space="preserve"> </w:t>
      </w:r>
      <w:proofErr w:type="spellStart"/>
      <w:r>
        <w:t>Gageler</w:t>
      </w:r>
      <w:proofErr w:type="spellEnd"/>
      <w:r>
        <w:t xml:space="preserve"> and Keane JJ</w:t>
      </w:r>
      <w:r w:rsidR="004170A2">
        <w:t xml:space="preserve"> at [33]</w:t>
      </w:r>
      <w:r>
        <w:t>.</w:t>
      </w:r>
    </w:p>
    <w:p w14:paraId="2792BB59" w14:textId="77777777" w:rsidR="00FB7CB7" w:rsidRDefault="00FB7CB7" w:rsidP="00FB7CB7">
      <w:pPr>
        <w:pStyle w:val="ParaNumbering"/>
      </w:pPr>
      <w:r>
        <w:t xml:space="preserve">Finally, the primary case that is footnoted as an example of error where a decision-maker misunderstands relevant facts or materials is </w:t>
      </w:r>
      <w:r w:rsidRPr="00790AED">
        <w:rPr>
          <w:i/>
        </w:rPr>
        <w:t>Craig v South Australia</w:t>
      </w:r>
      <w:r w:rsidRPr="0096088A">
        <w:t xml:space="preserve"> (1995) 184 CLR 163</w:t>
      </w:r>
      <w:r w:rsidR="00F16272">
        <w:t>; [1995] HCA 58</w:t>
      </w:r>
      <w:r w:rsidR="002C4F2A">
        <w:t xml:space="preserve"> (</w:t>
      </w:r>
      <w:r w:rsidR="002C4F2A">
        <w:rPr>
          <w:b/>
          <w:i/>
        </w:rPr>
        <w:t>Craig</w:t>
      </w:r>
      <w:r w:rsidR="002C4F2A">
        <w:t>)</w:t>
      </w:r>
      <w:r>
        <w:t xml:space="preserve"> at 179</w:t>
      </w:r>
      <w:r w:rsidR="00101D41">
        <w:t>. This</w:t>
      </w:r>
      <w:r>
        <w:t xml:space="preserve"> reference </w:t>
      </w:r>
      <w:r w:rsidR="00101D41">
        <w:t xml:space="preserve">is </w:t>
      </w:r>
      <w:r>
        <w:t>to the well-known passage in the judgment of the Court</w:t>
      </w:r>
      <w:r w:rsidR="00101D41">
        <w:t xml:space="preserve"> (</w:t>
      </w:r>
      <w:r>
        <w:t xml:space="preserve">Brennan, Deane, </w:t>
      </w:r>
      <w:proofErr w:type="spellStart"/>
      <w:r>
        <w:t>Toohey</w:t>
      </w:r>
      <w:proofErr w:type="spellEnd"/>
      <w:r>
        <w:t xml:space="preserve">, </w:t>
      </w:r>
      <w:proofErr w:type="spellStart"/>
      <w:r>
        <w:t>Gaudron</w:t>
      </w:r>
      <w:proofErr w:type="spellEnd"/>
      <w:r>
        <w:t xml:space="preserve"> and McHugh JJ</w:t>
      </w:r>
      <w:r w:rsidR="00101D41">
        <w:t>)</w:t>
      </w:r>
      <w:r>
        <w:t xml:space="preserve"> that:</w:t>
      </w:r>
    </w:p>
    <w:p w14:paraId="2792BB5A" w14:textId="77777777" w:rsidR="00FB7CB7" w:rsidRDefault="00E27895" w:rsidP="00101D41">
      <w:pPr>
        <w:pStyle w:val="Quote1"/>
      </w:pPr>
      <w:r>
        <w:t xml:space="preserve">If such an </w:t>
      </w:r>
      <w:r w:rsidR="00144A69">
        <w:rPr>
          <w:shd w:val="clear" w:color="auto" w:fill="FFFFFF"/>
        </w:rPr>
        <w:t>administrative</w:t>
      </w:r>
      <w:r w:rsidR="00FB7CB7">
        <w:rPr>
          <w:shd w:val="clear" w:color="auto" w:fill="FFFFFF"/>
        </w:rPr>
        <w:t xml:space="preserve"> </w:t>
      </w:r>
      <w:r w:rsidR="00E75FE7">
        <w:rPr>
          <w:shd w:val="clear" w:color="auto" w:fill="FFFFFF"/>
        </w:rPr>
        <w:t>Tribunal</w:t>
      </w:r>
      <w:r w:rsidR="00FB7CB7">
        <w:rPr>
          <w:shd w:val="clear" w:color="auto" w:fill="FFFFFF"/>
        </w:rPr>
        <w:t xml:space="preserve"> falls into an error of law which causes it to identify a wrong issue, to ask itself a wrong question, to ignore relevant material, to rely on irrelevant material or, at least in some circumstances, to make an erroneous finding or to reach a mistaken conclusion, and the </w:t>
      </w:r>
      <w:r w:rsidR="00E75FE7">
        <w:rPr>
          <w:shd w:val="clear" w:color="auto" w:fill="FFFFFF"/>
        </w:rPr>
        <w:t>Tribunal</w:t>
      </w:r>
      <w:r w:rsidR="00FB7CB7">
        <w:rPr>
          <w:shd w:val="clear" w:color="auto" w:fill="FFFFFF"/>
        </w:rPr>
        <w:t xml:space="preserve">'s exercise or purported exercise of power is thereby affected, it exceeds its authority or powers. Such an error of law is jurisdictional error which will invalidate any order or decision of the </w:t>
      </w:r>
      <w:r w:rsidR="00E75FE7">
        <w:rPr>
          <w:shd w:val="clear" w:color="auto" w:fill="FFFFFF"/>
        </w:rPr>
        <w:t>Tribunal</w:t>
      </w:r>
      <w:r w:rsidR="00FB7CB7">
        <w:rPr>
          <w:shd w:val="clear" w:color="auto" w:fill="FFFFFF"/>
        </w:rPr>
        <w:t xml:space="preserve"> which </w:t>
      </w:r>
      <w:r w:rsidR="00FB7CB7">
        <w:rPr>
          <w:shd w:val="clear" w:color="auto" w:fill="FFFFFF"/>
        </w:rPr>
        <w:lastRenderedPageBreak/>
        <w:t>reflects it.</w:t>
      </w:r>
    </w:p>
    <w:p w14:paraId="2792BB5B" w14:textId="77777777" w:rsidR="00DD0377" w:rsidRDefault="000953FA" w:rsidP="002E4B23">
      <w:pPr>
        <w:pStyle w:val="ParaNumbering"/>
      </w:pPr>
      <w:r>
        <w:t>In our view</w:t>
      </w:r>
      <w:r w:rsidR="00790AED">
        <w:t>,</w:t>
      </w:r>
      <w:r w:rsidR="00E27895">
        <w:t xml:space="preserve"> </w:t>
      </w:r>
      <w:r w:rsidR="002C7249">
        <w:t xml:space="preserve">the </w:t>
      </w:r>
      <w:r w:rsidR="00E27895">
        <w:t xml:space="preserve">general statement of principle </w:t>
      </w:r>
      <w:r w:rsidR="009B79E6">
        <w:t xml:space="preserve">in </w:t>
      </w:r>
      <w:r w:rsidR="009B79E6" w:rsidRPr="004031F3">
        <w:rPr>
          <w:i/>
        </w:rPr>
        <w:t>Plaintiff M1</w:t>
      </w:r>
      <w:r w:rsidR="009B79E6">
        <w:t xml:space="preserve"> at [27] </w:t>
      </w:r>
      <w:r w:rsidR="00E27895">
        <w:t>does not require the conclusion that the Tribunal committed jurisdictional error in this case</w:t>
      </w:r>
      <w:r w:rsidR="003B7955">
        <w:t>. It</w:t>
      </w:r>
      <w:r w:rsidR="00E27895">
        <w:t xml:space="preserve"> </w:t>
      </w:r>
      <w:r w:rsidR="00DE790A">
        <w:t xml:space="preserve">is </w:t>
      </w:r>
      <w:r>
        <w:t xml:space="preserve">clear from the plurality reasons in </w:t>
      </w:r>
      <w:r w:rsidRPr="00790AED">
        <w:rPr>
          <w:i/>
        </w:rPr>
        <w:t xml:space="preserve">Plaintiff M1 </w:t>
      </w:r>
      <w:r>
        <w:t>that the consideration by the Tribunal of the non-</w:t>
      </w:r>
      <w:proofErr w:type="spellStart"/>
      <w:r>
        <w:t>refoulement</w:t>
      </w:r>
      <w:proofErr w:type="spellEnd"/>
      <w:r>
        <w:t xml:space="preserve"> claim</w:t>
      </w:r>
      <w:r w:rsidR="003B7955">
        <w:t>,</w:t>
      </w:r>
      <w:r>
        <w:t xml:space="preserve"> based on </w:t>
      </w:r>
      <w:proofErr w:type="spellStart"/>
      <w:r>
        <w:t>unenacted</w:t>
      </w:r>
      <w:proofErr w:type="spellEnd"/>
      <w:r>
        <w:t xml:space="preserve"> international</w:t>
      </w:r>
      <w:r w:rsidR="00151904">
        <w:t xml:space="preserve"> obligations</w:t>
      </w:r>
      <w:r w:rsidR="00BE6211">
        <w:t xml:space="preserve"> (which was not a mandatory consideration) </w:t>
      </w:r>
      <w:r w:rsidR="003B7955">
        <w:t>cannot</w:t>
      </w:r>
      <w:r w:rsidR="0060473A">
        <w:t xml:space="preserve"> give rise </w:t>
      </w:r>
      <w:r w:rsidR="00144A69">
        <w:t>to jurisdictional</w:t>
      </w:r>
      <w:r w:rsidR="00151904">
        <w:t xml:space="preserve"> error</w:t>
      </w:r>
      <w:r w:rsidR="00BE6211">
        <w:t>,</w:t>
      </w:r>
      <w:r w:rsidR="00151904">
        <w:t xml:space="preserve"> even though the Tribunal misunderstood the legal content of those obligations. That </w:t>
      </w:r>
      <w:r w:rsidR="00F766FD">
        <w:t xml:space="preserve">conclusion follows from the </w:t>
      </w:r>
      <w:r w:rsidR="00BE6211">
        <w:t xml:space="preserve">plurality </w:t>
      </w:r>
      <w:r w:rsidR="00F766FD">
        <w:t xml:space="preserve">reasons at [20] and [29]: </w:t>
      </w:r>
      <w:r w:rsidR="00144A69">
        <w:t>“such</w:t>
      </w:r>
      <w:r w:rsidR="00F766FD">
        <w:t xml:space="preserve"> obligations are not mandatory relevant considerations attracting judicial review for jurisdictional error” with the necessary consequence that the misunderstanding of the Tribunal in this case, whilst an error</w:t>
      </w:r>
      <w:r w:rsidR="00EF32C3">
        <w:t xml:space="preserve"> of law, was not</w:t>
      </w:r>
      <w:r w:rsidR="003B7955">
        <w:t xml:space="preserve"> a</w:t>
      </w:r>
      <w:r w:rsidR="00EF32C3">
        <w:t xml:space="preserve"> jurisdictional</w:t>
      </w:r>
      <w:r w:rsidR="003B7955">
        <w:t xml:space="preserve"> error</w:t>
      </w:r>
      <w:r w:rsidR="00EF32C3">
        <w:t>. R</w:t>
      </w:r>
      <w:r w:rsidR="00F766FD">
        <w:t>ather</w:t>
      </w:r>
      <w:r w:rsidR="00BE6211">
        <w:t>,</w:t>
      </w:r>
      <w:r w:rsidR="00F766FD">
        <w:t xml:space="preserve"> it was an error within jurisdiction. </w:t>
      </w:r>
    </w:p>
    <w:p w14:paraId="2792BB5C" w14:textId="77777777" w:rsidR="000953FA" w:rsidRDefault="00BE6211" w:rsidP="002E4B23">
      <w:pPr>
        <w:pStyle w:val="ParaNumbering"/>
      </w:pPr>
      <w:r>
        <w:t>That conclusion is clarified by an</w:t>
      </w:r>
      <w:r w:rsidR="00F766FD">
        <w:t xml:space="preserve"> understanding </w:t>
      </w:r>
      <w:r>
        <w:t xml:space="preserve">of </w:t>
      </w:r>
      <w:r w:rsidR="00DD0377">
        <w:t>what is meant by jurisdictional error in the context of statuto</w:t>
      </w:r>
      <w:r w:rsidR="00EF32C3">
        <w:t xml:space="preserve">ry decision-making. Jurisdictional error was </w:t>
      </w:r>
      <w:r w:rsidR="00144A69">
        <w:t>analysed in</w:t>
      </w:r>
      <w:r w:rsidR="00DD0377">
        <w:t xml:space="preserve"> </w:t>
      </w:r>
      <w:r w:rsidR="00DD0377" w:rsidRPr="00790AED">
        <w:rPr>
          <w:i/>
        </w:rPr>
        <w:t>Hossain v Minis</w:t>
      </w:r>
      <w:r w:rsidR="00EF32C3" w:rsidRPr="00790AED">
        <w:rPr>
          <w:i/>
        </w:rPr>
        <w:t>ter for Immigration and Border P</w:t>
      </w:r>
      <w:r w:rsidR="00DD0377" w:rsidRPr="00790AED">
        <w:rPr>
          <w:i/>
        </w:rPr>
        <w:t xml:space="preserve">rotection </w:t>
      </w:r>
      <w:r w:rsidR="00DD0377" w:rsidRPr="0096088A">
        <w:t>(2018) 264 CLR 123</w:t>
      </w:r>
      <w:r w:rsidR="009155B6">
        <w:t>; [2018] HCA 34</w:t>
      </w:r>
      <w:r w:rsidR="00DD0377">
        <w:t xml:space="preserve"> at [23] and [24] where</w:t>
      </w:r>
      <w:r w:rsidR="00E27895">
        <w:t>,</w:t>
      </w:r>
      <w:r w:rsidR="00DD0377">
        <w:t xml:space="preserve"> in part, </w:t>
      </w:r>
      <w:proofErr w:type="spellStart"/>
      <w:r w:rsidR="00DD0377">
        <w:t>Kiefel</w:t>
      </w:r>
      <w:proofErr w:type="spellEnd"/>
      <w:r w:rsidR="00DD0377">
        <w:t xml:space="preserve"> CJ, </w:t>
      </w:r>
      <w:proofErr w:type="spellStart"/>
      <w:r w:rsidR="00DD0377">
        <w:t>Gageler</w:t>
      </w:r>
      <w:proofErr w:type="spellEnd"/>
      <w:r w:rsidR="00DD0377">
        <w:t xml:space="preserve"> and Keane JJ said:</w:t>
      </w:r>
    </w:p>
    <w:p w14:paraId="2792BB5D" w14:textId="77777777" w:rsidR="00505AB2" w:rsidRDefault="003B7955" w:rsidP="009155B6">
      <w:pPr>
        <w:pStyle w:val="Quote1"/>
        <w:ind w:left="1440" w:hanging="703"/>
      </w:pPr>
      <w:r>
        <w:t>23</w:t>
      </w:r>
      <w:r w:rsidR="009155B6">
        <w:t>.</w:t>
      </w:r>
      <w:r w:rsidR="009155B6">
        <w:tab/>
      </w:r>
      <w:r w:rsidR="00505AB2">
        <w:t>Jurisdiction, in the most generic sense in which it has come to be used in this field of discourse, refers to the scope of the authority that is conferred on a repository. In its application to judicial review of administrative action the taking of which is authorised by statute, it refers to the scope of the authority which a statute confers on a decision-maker to make a decision of a kind to which the statute then attaches legal consequences. It encompasses in that application all of the preconditions which the statute requires to exist in order for the decision-maker to embark on the decision-making process. It also encompasses all of the conditions which the statute expressly or impliedly requires to be observed in or in relation to the decision-making process in order for the decision-maker to make a decision of that kind. A decision made within jurisdiction is a decision which sufficiently complies with those statutory preconditions and conditions to have "such force and effect as is given to it by the law pursuant to which it was made".</w:t>
      </w:r>
    </w:p>
    <w:p w14:paraId="2792BB5E" w14:textId="77777777" w:rsidR="00505AB2" w:rsidRDefault="003B7955" w:rsidP="009155B6">
      <w:pPr>
        <w:pStyle w:val="Quote1"/>
        <w:ind w:left="1440" w:hanging="703"/>
      </w:pPr>
      <w:r>
        <w:t>24</w:t>
      </w:r>
      <w:r w:rsidR="009155B6">
        <w:t>.</w:t>
      </w:r>
      <w:r w:rsidR="009155B6">
        <w:tab/>
      </w:r>
      <w:r w:rsidR="00505AB2">
        <w:t xml:space="preserve">Jurisdictional error, in the most generic sense in which it has come to be used to describe an error in a statutory decision-making process, correspondingly refers to a failure to comply with one or more statutory preconditions or conditions to an extent which results in a decision which has been made in fact lacking characteristics necessary for it to be given force and effect by the statute pursuant to which the decision-maker purported to make it.  </w:t>
      </w:r>
    </w:p>
    <w:p w14:paraId="2792BB5F" w14:textId="77777777" w:rsidR="00DD0377" w:rsidRDefault="00505AB2" w:rsidP="009155B6">
      <w:pPr>
        <w:pStyle w:val="Quote1"/>
      </w:pPr>
      <w:r>
        <w:t>(</w:t>
      </w:r>
      <w:r w:rsidR="00DD0377">
        <w:t>Citations omitted</w:t>
      </w:r>
      <w:r w:rsidR="001302B0">
        <w:t>.</w:t>
      </w:r>
      <w:r>
        <w:t>)</w:t>
      </w:r>
    </w:p>
    <w:p w14:paraId="2792BB60" w14:textId="77777777" w:rsidR="00DD0377" w:rsidRDefault="00DD0377" w:rsidP="00DD0377">
      <w:pPr>
        <w:pStyle w:val="ParaNumbering"/>
      </w:pPr>
      <w:r>
        <w:t>In this case</w:t>
      </w:r>
      <w:r w:rsidR="001302B0">
        <w:t>,</w:t>
      </w:r>
      <w:r>
        <w:t xml:space="preserve"> the Tribunal did not fail to comply with a statutory precondition to the conduct of its review function, nor did it fail to notice or comply with a condition </w:t>
      </w:r>
      <w:r w:rsidR="009155B6">
        <w:t>regulating</w:t>
      </w:r>
      <w:r>
        <w:t xml:space="preserve"> the manner of the review. </w:t>
      </w:r>
      <w:r w:rsidR="00EF32C3">
        <w:t xml:space="preserve">Tracey J </w:t>
      </w:r>
      <w:r w:rsidR="009155B6">
        <w:t xml:space="preserve">adopted similar reasoning in </w:t>
      </w:r>
      <w:r w:rsidR="009155B6">
        <w:rPr>
          <w:i/>
        </w:rPr>
        <w:t xml:space="preserve">AB v Minister. </w:t>
      </w:r>
      <w:r w:rsidR="009155B6">
        <w:t>In that</w:t>
      </w:r>
      <w:r w:rsidR="00762486">
        <w:t xml:space="preserve"> case the Minister</w:t>
      </w:r>
      <w:r w:rsidR="009155B6">
        <w:t xml:space="preserve"> had</w:t>
      </w:r>
      <w:r w:rsidR="00762486">
        <w:t xml:space="preserve"> refused an application for a visa under the Migration Act</w:t>
      </w:r>
      <w:r w:rsidR="003524EE">
        <w:t xml:space="preserve">. </w:t>
      </w:r>
      <w:r w:rsidR="003B7955">
        <w:t>In</w:t>
      </w:r>
      <w:r w:rsidR="00762486">
        <w:t xml:space="preserve"> doing so</w:t>
      </w:r>
      <w:r w:rsidR="003B7955">
        <w:t>, the Minister</w:t>
      </w:r>
      <w:r w:rsidR="00762486">
        <w:t xml:space="preserve"> had </w:t>
      </w:r>
      <w:r w:rsidR="00762486">
        <w:lastRenderedPageBreak/>
        <w:t xml:space="preserve">regard to the </w:t>
      </w:r>
      <w:r w:rsidR="001302B0">
        <w:t xml:space="preserve">CAT </w:t>
      </w:r>
      <w:r w:rsidR="00762486">
        <w:t>and the ICCPR</w:t>
      </w:r>
      <w:r w:rsidR="00EF32C3">
        <w:t>,</w:t>
      </w:r>
      <w:r w:rsidR="00762486">
        <w:t xml:space="preserve"> but </w:t>
      </w:r>
      <w:r w:rsidR="003B7955">
        <w:t xml:space="preserve">it </w:t>
      </w:r>
      <w:r w:rsidR="00762486">
        <w:t xml:space="preserve">was said </w:t>
      </w:r>
      <w:r w:rsidR="003B7955">
        <w:t>that he had</w:t>
      </w:r>
      <w:r w:rsidR="00762486">
        <w:t xml:space="preserve"> misunderstood the relevant content of each. In rejecting the cha</w:t>
      </w:r>
      <w:r w:rsidR="006D6B80">
        <w:t xml:space="preserve">llenge on jurisdictional error </w:t>
      </w:r>
      <w:r w:rsidR="00144A69">
        <w:t>grounds,</w:t>
      </w:r>
      <w:r w:rsidR="006D6B80">
        <w:t xml:space="preserve"> his Honour said at [27]:</w:t>
      </w:r>
    </w:p>
    <w:p w14:paraId="2792BB61" w14:textId="3647D503" w:rsidR="002C4F2A" w:rsidRPr="00790AED" w:rsidRDefault="002C4F2A" w:rsidP="00056635">
      <w:pPr>
        <w:pStyle w:val="Quote1"/>
      </w:pPr>
      <w:r w:rsidRPr="002C4F2A">
        <w:rPr>
          <w:shd w:val="clear" w:color="auto" w:fill="FFFFFF"/>
        </w:rPr>
        <w:t xml:space="preserve">Australia’s </w:t>
      </w:r>
      <w:proofErr w:type="spellStart"/>
      <w:r w:rsidRPr="002C4F2A">
        <w:rPr>
          <w:shd w:val="clear" w:color="auto" w:fill="FFFFFF"/>
        </w:rPr>
        <w:t>unenacted</w:t>
      </w:r>
      <w:proofErr w:type="spellEnd"/>
      <w:r w:rsidRPr="002C4F2A">
        <w:rPr>
          <w:shd w:val="clear" w:color="auto" w:fill="FFFFFF"/>
        </w:rPr>
        <w:t xml:space="preserve"> international treaty obligations relating to</w:t>
      </w:r>
      <w:r>
        <w:rPr>
          <w:shd w:val="clear" w:color="auto" w:fill="FFFFFF"/>
        </w:rPr>
        <w:t xml:space="preserve"> </w:t>
      </w:r>
      <w:proofErr w:type="spellStart"/>
      <w:r w:rsidRPr="002C4F2A">
        <w:rPr>
          <w:shd w:val="clear" w:color="auto" w:fill="FFFFFF"/>
        </w:rPr>
        <w:t>refoulment</w:t>
      </w:r>
      <w:proofErr w:type="spellEnd"/>
      <w:r w:rsidRPr="002C4F2A">
        <w:rPr>
          <w:shd w:val="clear" w:color="auto" w:fill="FFFFFF"/>
        </w:rPr>
        <w:t xml:space="preserve"> of persons within the jurisdiction are matters to which</w:t>
      </w:r>
      <w:r>
        <w:rPr>
          <w:shd w:val="clear" w:color="auto" w:fill="FFFFFF"/>
        </w:rPr>
        <w:t xml:space="preserve"> </w:t>
      </w:r>
      <w:r w:rsidRPr="002C4F2A">
        <w:rPr>
          <w:shd w:val="clear" w:color="auto" w:fill="FFFFFF"/>
        </w:rPr>
        <w:t>decision-makers are entitled to have regard when exercising powers under s 501</w:t>
      </w:r>
      <w:r>
        <w:rPr>
          <w:shd w:val="clear" w:color="auto" w:fill="FFFFFF"/>
        </w:rPr>
        <w:t xml:space="preserve"> </w:t>
      </w:r>
      <w:r w:rsidRPr="002C4F2A">
        <w:rPr>
          <w:shd w:val="clear" w:color="auto" w:fill="FFFFFF"/>
        </w:rPr>
        <w:t>of the Act. In the absence of legislative requirement they are not, however, bound</w:t>
      </w:r>
      <w:r>
        <w:rPr>
          <w:shd w:val="clear" w:color="auto" w:fill="FFFFFF"/>
        </w:rPr>
        <w:t xml:space="preserve"> </w:t>
      </w:r>
      <w:r w:rsidRPr="002C4F2A">
        <w:rPr>
          <w:shd w:val="clear" w:color="auto" w:fill="FFFFFF"/>
        </w:rPr>
        <w:t>to do so. If they do not bring them into account as part of the decision-making</w:t>
      </w:r>
      <w:r>
        <w:rPr>
          <w:shd w:val="clear" w:color="auto" w:fill="FFFFFF"/>
        </w:rPr>
        <w:t xml:space="preserve"> </w:t>
      </w:r>
      <w:r w:rsidRPr="002C4F2A">
        <w:rPr>
          <w:shd w:val="clear" w:color="auto" w:fill="FFFFFF"/>
        </w:rPr>
        <w:t>process no jurisdictional error will occur. If they choose to have regard to treaty</w:t>
      </w:r>
      <w:r>
        <w:rPr>
          <w:shd w:val="clear" w:color="auto" w:fill="FFFFFF"/>
        </w:rPr>
        <w:t xml:space="preserve"> </w:t>
      </w:r>
      <w:r w:rsidRPr="002C4F2A">
        <w:rPr>
          <w:shd w:val="clear" w:color="auto" w:fill="FFFFFF"/>
        </w:rPr>
        <w:t>obligations but, in some way, misunderstand the full extent or purport of the</w:t>
      </w:r>
      <w:r>
        <w:rPr>
          <w:shd w:val="clear" w:color="auto" w:fill="FFFFFF"/>
        </w:rPr>
        <w:t xml:space="preserve"> </w:t>
      </w:r>
      <w:r w:rsidRPr="002C4F2A">
        <w:rPr>
          <w:shd w:val="clear" w:color="auto" w:fill="FFFFFF"/>
        </w:rPr>
        <w:t>obligations, this will not constitute jurisdictional error. It has been held that</w:t>
      </w:r>
      <w:r>
        <w:rPr>
          <w:shd w:val="clear" w:color="auto" w:fill="FFFFFF"/>
        </w:rPr>
        <w:t xml:space="preserve"> </w:t>
      </w:r>
      <w:r w:rsidRPr="002C4F2A">
        <w:rPr>
          <w:shd w:val="clear" w:color="auto" w:fill="FFFFFF"/>
        </w:rPr>
        <w:t>misconstruction of a ministerial policy, by a minister who is free to depart from</w:t>
      </w:r>
      <w:r>
        <w:rPr>
          <w:shd w:val="clear" w:color="auto" w:fill="FFFFFF"/>
        </w:rPr>
        <w:t xml:space="preserve"> </w:t>
      </w:r>
      <w:r w:rsidRPr="002C4F2A">
        <w:rPr>
          <w:shd w:val="clear" w:color="auto" w:fill="FFFFFF"/>
        </w:rPr>
        <w:t xml:space="preserve">it, cannot amount to reviewable error: see </w:t>
      </w:r>
      <w:proofErr w:type="spellStart"/>
      <w:r w:rsidRPr="00790AED">
        <w:rPr>
          <w:i/>
          <w:shd w:val="clear" w:color="auto" w:fill="FFFFFF"/>
        </w:rPr>
        <w:t>Nikac</w:t>
      </w:r>
      <w:proofErr w:type="spellEnd"/>
      <w:r w:rsidRPr="00790AED">
        <w:rPr>
          <w:i/>
          <w:shd w:val="clear" w:color="auto" w:fill="FFFFFF"/>
        </w:rPr>
        <w:t xml:space="preserve"> v Minister for Immigration, Local Government and Ethnic Affairs </w:t>
      </w:r>
      <w:r w:rsidRPr="002C4F2A">
        <w:rPr>
          <w:shd w:val="clear" w:color="auto" w:fill="FFFFFF"/>
        </w:rPr>
        <w:t>(1988) 20 FCR 65 at 77–8; 92 ALR 167</w:t>
      </w:r>
      <w:r>
        <w:rPr>
          <w:shd w:val="clear" w:color="auto" w:fill="FFFFFF"/>
        </w:rPr>
        <w:t xml:space="preserve"> </w:t>
      </w:r>
      <w:r w:rsidRPr="002C4F2A">
        <w:rPr>
          <w:shd w:val="clear" w:color="auto" w:fill="FFFFFF"/>
        </w:rPr>
        <w:t>at 178–80; 16 ALD 611 at 620–2. Where the instrument concerned is an</w:t>
      </w:r>
      <w:r>
        <w:rPr>
          <w:shd w:val="clear" w:color="auto" w:fill="FFFFFF"/>
        </w:rPr>
        <w:t xml:space="preserve"> </w:t>
      </w:r>
      <w:r w:rsidRPr="002C4F2A">
        <w:rPr>
          <w:shd w:val="clear" w:color="auto" w:fill="FFFFFF"/>
        </w:rPr>
        <w:t>unincorporated international treaty which is subject to interpretation by a</w:t>
      </w:r>
      <w:r>
        <w:rPr>
          <w:shd w:val="clear" w:color="auto" w:fill="FFFFFF"/>
        </w:rPr>
        <w:t xml:space="preserve"> </w:t>
      </w:r>
      <w:r w:rsidRPr="002C4F2A">
        <w:rPr>
          <w:shd w:val="clear" w:color="auto" w:fill="FFFFFF"/>
        </w:rPr>
        <w:t>potentially wide range of international bodies it will be harder to make good an</w:t>
      </w:r>
      <w:r>
        <w:rPr>
          <w:shd w:val="clear" w:color="auto" w:fill="FFFFFF"/>
        </w:rPr>
        <w:t xml:space="preserve"> </w:t>
      </w:r>
      <w:r w:rsidRPr="002C4F2A">
        <w:rPr>
          <w:shd w:val="clear" w:color="auto" w:fill="FFFFFF"/>
        </w:rPr>
        <w:t>allegation of error much less jurisdictional error.</w:t>
      </w:r>
      <w:r>
        <w:rPr>
          <w:shd w:val="clear" w:color="auto" w:fill="FFFFFF"/>
        </w:rPr>
        <w:t xml:space="preserve"> </w:t>
      </w:r>
    </w:p>
    <w:p w14:paraId="2792BB62" w14:textId="77777777" w:rsidR="00D32F40" w:rsidRDefault="006D6B80" w:rsidP="0070230B">
      <w:pPr>
        <w:pStyle w:val="ParaNumbering"/>
      </w:pPr>
      <w:r>
        <w:t xml:space="preserve">Counsel for the appellant invited us to find that </w:t>
      </w:r>
      <w:r w:rsidRPr="00790AED">
        <w:rPr>
          <w:i/>
        </w:rPr>
        <w:t>AB</w:t>
      </w:r>
      <w:r w:rsidR="00394973">
        <w:rPr>
          <w:i/>
        </w:rPr>
        <w:t xml:space="preserve"> v Minister</w:t>
      </w:r>
      <w:r>
        <w:t xml:space="preserve"> was wrongly deci</w:t>
      </w:r>
      <w:r w:rsidR="00EF32C3">
        <w:t xml:space="preserve">ded, but did not </w:t>
      </w:r>
      <w:r w:rsidR="00144A69">
        <w:t>elaborate</w:t>
      </w:r>
      <w:r w:rsidR="00D32F40">
        <w:t xml:space="preserve"> as to </w:t>
      </w:r>
      <w:r w:rsidR="00144A69">
        <w:t>why</w:t>
      </w:r>
      <w:r w:rsidR="0070230B">
        <w:t>.</w:t>
      </w:r>
      <w:r w:rsidR="00EF32C3">
        <w:t xml:space="preserve"> We reject the</w:t>
      </w:r>
      <w:r w:rsidR="003524EE">
        <w:t xml:space="preserve"> invitation.</w:t>
      </w:r>
      <w:r>
        <w:t xml:space="preserve"> In our view</w:t>
      </w:r>
      <w:r w:rsidR="003C74BA">
        <w:t>,</w:t>
      </w:r>
      <w:r>
        <w:t xml:space="preserve"> Trac</w:t>
      </w:r>
      <w:r w:rsidR="00D32F40">
        <w:t>e</w:t>
      </w:r>
      <w:r>
        <w:t>y J was plainly correct</w:t>
      </w:r>
      <w:r w:rsidR="00D32F40">
        <w:t xml:space="preserve">. </w:t>
      </w:r>
      <w:r>
        <w:t xml:space="preserve">Middleton and </w:t>
      </w:r>
      <w:proofErr w:type="spellStart"/>
      <w:r>
        <w:t>Wigney</w:t>
      </w:r>
      <w:proofErr w:type="spellEnd"/>
      <w:r>
        <w:t xml:space="preserve"> JJ (with whom </w:t>
      </w:r>
      <w:proofErr w:type="spellStart"/>
      <w:r>
        <w:t>Pagone</w:t>
      </w:r>
      <w:proofErr w:type="spellEnd"/>
      <w:r>
        <w:t xml:space="preserve"> J </w:t>
      </w:r>
      <w:r w:rsidR="00144A69">
        <w:t>agreed)</w:t>
      </w:r>
      <w:r w:rsidR="00D32F40">
        <w:t xml:space="preserve"> also endorsed Tracey J’s decision</w:t>
      </w:r>
      <w:r>
        <w:t xml:space="preserve"> in </w:t>
      </w:r>
      <w:proofErr w:type="spellStart"/>
      <w:r w:rsidRPr="00790AED">
        <w:rPr>
          <w:i/>
        </w:rPr>
        <w:t>Snedden</w:t>
      </w:r>
      <w:proofErr w:type="spellEnd"/>
      <w:r w:rsidRPr="00790AED">
        <w:rPr>
          <w:i/>
        </w:rPr>
        <w:t xml:space="preserve"> </w:t>
      </w:r>
      <w:r>
        <w:t>at [154]</w:t>
      </w:r>
      <w:r w:rsidR="00144A69">
        <w:t>-[</w:t>
      </w:r>
      <w:r>
        <w:t>156]</w:t>
      </w:r>
      <w:r w:rsidR="003C74BA">
        <w:t>,</w:t>
      </w:r>
      <w:r>
        <w:t xml:space="preserve"> w</w:t>
      </w:r>
      <w:r w:rsidR="00EF32C3">
        <w:t>here the Court rejected the like</w:t>
      </w:r>
      <w:r>
        <w:t xml:space="preserve"> invitation. </w:t>
      </w:r>
      <w:r w:rsidR="0070230B">
        <w:t xml:space="preserve"> </w:t>
      </w:r>
    </w:p>
    <w:p w14:paraId="2792BB63" w14:textId="77777777" w:rsidR="0018234B" w:rsidRPr="0018234B" w:rsidRDefault="00D32F40" w:rsidP="0070230B">
      <w:pPr>
        <w:pStyle w:val="ParaNumbering"/>
      </w:pPr>
      <w:r>
        <w:t>A</w:t>
      </w:r>
      <w:r w:rsidR="006D6B80">
        <w:t>cceptance of the appellant’s submissio</w:t>
      </w:r>
      <w:r w:rsidR="00BC58F6">
        <w:t xml:space="preserve">n would </w:t>
      </w:r>
      <w:r>
        <w:t xml:space="preserve">also </w:t>
      </w:r>
      <w:r w:rsidR="00BC58F6">
        <w:t>be contrary to</w:t>
      </w:r>
      <w:r w:rsidR="006D6B80">
        <w:t xml:space="preserve"> the distinction that must be maintained in Australia between jurisdictional and non-jurisdictional errors of law:</w:t>
      </w:r>
      <w:r w:rsidR="00800A27">
        <w:t xml:space="preserve"> </w:t>
      </w:r>
      <w:r w:rsidR="00800A27" w:rsidRPr="00790AED">
        <w:rPr>
          <w:i/>
        </w:rPr>
        <w:t>Craig</w:t>
      </w:r>
      <w:r w:rsidR="00394973">
        <w:rPr>
          <w:i/>
        </w:rPr>
        <w:t xml:space="preserve"> </w:t>
      </w:r>
      <w:r w:rsidR="00394973" w:rsidRPr="00BE0876">
        <w:t>at 178-179</w:t>
      </w:r>
      <w:r w:rsidR="00800A27" w:rsidRPr="00D32F40">
        <w:t>;</w:t>
      </w:r>
      <w:r w:rsidR="00800A27">
        <w:t xml:space="preserve"> </w:t>
      </w:r>
      <w:proofErr w:type="spellStart"/>
      <w:r w:rsidR="00800A27" w:rsidRPr="00790AED">
        <w:rPr>
          <w:i/>
        </w:rPr>
        <w:t>Probuild</w:t>
      </w:r>
      <w:proofErr w:type="spellEnd"/>
      <w:r w:rsidR="00800A27" w:rsidRPr="00790AED">
        <w:rPr>
          <w:i/>
        </w:rPr>
        <w:t xml:space="preserve"> </w:t>
      </w:r>
      <w:r w:rsidR="00EF32C3" w:rsidRPr="00790AED">
        <w:rPr>
          <w:i/>
        </w:rPr>
        <w:t>Constructions (</w:t>
      </w:r>
      <w:proofErr w:type="spellStart"/>
      <w:r w:rsidR="00EF32C3" w:rsidRPr="00790AED">
        <w:rPr>
          <w:i/>
        </w:rPr>
        <w:t>Aust</w:t>
      </w:r>
      <w:proofErr w:type="spellEnd"/>
      <w:r w:rsidR="00EF32C3" w:rsidRPr="00790AED">
        <w:rPr>
          <w:i/>
        </w:rPr>
        <w:t>) Pty Ltd v S</w:t>
      </w:r>
      <w:r w:rsidR="00800A27" w:rsidRPr="00790AED">
        <w:rPr>
          <w:i/>
        </w:rPr>
        <w:t xml:space="preserve">hade Systems Pty Ltd </w:t>
      </w:r>
      <w:r w:rsidR="00800A27" w:rsidRPr="0096088A">
        <w:t>(2018) 264 CLR 1</w:t>
      </w:r>
      <w:r w:rsidR="002C4F2A" w:rsidRPr="0096088A">
        <w:t>; [2018] HCA 4</w:t>
      </w:r>
      <w:r w:rsidR="00800A27">
        <w:t xml:space="preserve"> at </w:t>
      </w:r>
      <w:r w:rsidR="00973B65">
        <w:t>[81]</w:t>
      </w:r>
      <w:r w:rsidR="00144A69">
        <w:t>-[</w:t>
      </w:r>
      <w:r w:rsidR="00973B65">
        <w:t>83]</w:t>
      </w:r>
      <w:r w:rsidR="003524EE">
        <w:t xml:space="preserve">, </w:t>
      </w:r>
      <w:proofErr w:type="spellStart"/>
      <w:r w:rsidR="00973B65">
        <w:t>Gageler</w:t>
      </w:r>
      <w:proofErr w:type="spellEnd"/>
      <w:r w:rsidR="00973B65">
        <w:t xml:space="preserve"> J.</w:t>
      </w:r>
    </w:p>
    <w:p w14:paraId="2792BB64" w14:textId="77777777" w:rsidR="007F6E0C" w:rsidRDefault="00B54991" w:rsidP="00D93F7D">
      <w:pPr>
        <w:pStyle w:val="ParaNumbering"/>
      </w:pPr>
      <w:r>
        <w:t xml:space="preserve">The Tribunal did consider whether Australia had </w:t>
      </w:r>
      <w:proofErr w:type="spellStart"/>
      <w:r>
        <w:t>unenacted</w:t>
      </w:r>
      <w:proofErr w:type="spellEnd"/>
      <w:r>
        <w:t xml:space="preserve"> international </w:t>
      </w:r>
      <w:r w:rsidR="00394973">
        <w:t>non-</w:t>
      </w:r>
      <w:proofErr w:type="spellStart"/>
      <w:r>
        <w:t>refoulement</w:t>
      </w:r>
      <w:proofErr w:type="spellEnd"/>
      <w:r>
        <w:t xml:space="preserve"> obligations in respect </w:t>
      </w:r>
      <w:r w:rsidR="003C74BA">
        <w:t xml:space="preserve">of </w:t>
      </w:r>
      <w:r>
        <w:t xml:space="preserve">the appellant by reason of the real and significant risk that he would relapse into serious drug use in Vietnam and be subject to “harsh and degrading conditions” in a drug rehabilitation centre: at [67] and [92]. The reasons reflect that the Tribunal read, understood, identified and evaluated the representations by the appellant: see </w:t>
      </w:r>
      <w:r w:rsidR="009C3CF6" w:rsidRPr="00D91864">
        <w:rPr>
          <w:i/>
        </w:rPr>
        <w:t xml:space="preserve">Plaintiff </w:t>
      </w:r>
      <w:r w:rsidRPr="00D91864">
        <w:rPr>
          <w:i/>
        </w:rPr>
        <w:t>M1</w:t>
      </w:r>
      <w:r>
        <w:t xml:space="preserve"> at [</w:t>
      </w:r>
      <w:r w:rsidR="003C74BA">
        <w:t>24</w:t>
      </w:r>
      <w:r>
        <w:t xml:space="preserve">]. In doing so, </w:t>
      </w:r>
      <w:r w:rsidR="00D32F40">
        <w:t>the Tribunal</w:t>
      </w:r>
      <w:r>
        <w:t xml:space="preserve"> was not considering a mandatory relevant consideration: </w:t>
      </w:r>
      <w:r w:rsidR="009C3CF6">
        <w:rPr>
          <w:i/>
        </w:rPr>
        <w:t xml:space="preserve">Plaintiff </w:t>
      </w:r>
      <w:r w:rsidRPr="00D91864">
        <w:rPr>
          <w:i/>
        </w:rPr>
        <w:t>M1</w:t>
      </w:r>
      <w:r>
        <w:t xml:space="preserve"> at [29]</w:t>
      </w:r>
      <w:r w:rsidR="00D93F7D">
        <w:t xml:space="preserve">, and as such </w:t>
      </w:r>
      <w:r w:rsidR="00D32F40">
        <w:t>its</w:t>
      </w:r>
      <w:r w:rsidR="007F6E0C">
        <w:t xml:space="preserve"> misunderstanding of Australia’s </w:t>
      </w:r>
      <w:proofErr w:type="spellStart"/>
      <w:r w:rsidR="007F6E0C">
        <w:t>unenacted</w:t>
      </w:r>
      <w:proofErr w:type="spellEnd"/>
      <w:r w:rsidR="007F6E0C">
        <w:t xml:space="preserve"> international non-</w:t>
      </w:r>
      <w:proofErr w:type="spellStart"/>
      <w:r w:rsidR="007F6E0C">
        <w:t>refoulement</w:t>
      </w:r>
      <w:proofErr w:type="spellEnd"/>
      <w:r w:rsidR="007F6E0C">
        <w:t xml:space="preserve"> obligations was not a jurisdictional error, but one within jurisdiction</w:t>
      </w:r>
      <w:r w:rsidR="00D93F7D">
        <w:t xml:space="preserve">: </w:t>
      </w:r>
      <w:r w:rsidR="00D93F7D" w:rsidRPr="00D93F7D">
        <w:rPr>
          <w:i/>
        </w:rPr>
        <w:t>AB</w:t>
      </w:r>
      <w:r w:rsidR="009C3CF6">
        <w:rPr>
          <w:i/>
        </w:rPr>
        <w:t xml:space="preserve"> v Minister</w:t>
      </w:r>
      <w:r w:rsidR="00D93F7D" w:rsidRPr="00D93F7D">
        <w:rPr>
          <w:i/>
        </w:rPr>
        <w:t xml:space="preserve"> </w:t>
      </w:r>
      <w:r w:rsidR="00D93F7D">
        <w:t xml:space="preserve">at [27]; </w:t>
      </w:r>
      <w:proofErr w:type="spellStart"/>
      <w:r w:rsidR="00D93F7D" w:rsidRPr="00D93F7D">
        <w:rPr>
          <w:i/>
        </w:rPr>
        <w:t>Snedden</w:t>
      </w:r>
      <w:proofErr w:type="spellEnd"/>
      <w:r w:rsidR="00D93F7D">
        <w:t xml:space="preserve"> at [164].</w:t>
      </w:r>
    </w:p>
    <w:p w14:paraId="2792BB65" w14:textId="77777777" w:rsidR="00973B65" w:rsidRDefault="00973B65" w:rsidP="00D47BBA">
      <w:pPr>
        <w:pStyle w:val="ParaNumbering"/>
      </w:pPr>
      <w:r>
        <w:t>For these reasons we dismiss ground 2.</w:t>
      </w:r>
    </w:p>
    <w:p w14:paraId="2792BB66" w14:textId="77777777" w:rsidR="00973B65" w:rsidRDefault="00973B65" w:rsidP="00BE0876">
      <w:pPr>
        <w:pStyle w:val="Heading1"/>
      </w:pPr>
      <w:r w:rsidRPr="00973B65">
        <w:lastRenderedPageBreak/>
        <w:t>Conclusion</w:t>
      </w:r>
    </w:p>
    <w:p w14:paraId="2792BB67" w14:textId="77777777" w:rsidR="00C956AB" w:rsidRDefault="00973B65" w:rsidP="00973B65">
      <w:pPr>
        <w:pStyle w:val="ParaNumbering"/>
      </w:pPr>
      <w:r>
        <w:t>The appeal must be dismissed</w:t>
      </w:r>
      <w:r w:rsidR="00D47BBA">
        <w:t xml:space="preserve">. </w:t>
      </w:r>
      <w:r w:rsidR="00D32F40">
        <w:t>It was not submitted</w:t>
      </w:r>
      <w:r>
        <w:t xml:space="preserve"> that costs should not follow the event. </w:t>
      </w:r>
    </w:p>
    <w:p w14:paraId="2792BB68" w14:textId="77777777" w:rsidR="00973B65" w:rsidRDefault="00973B65" w:rsidP="00973B65">
      <w:pPr>
        <w:pStyle w:val="ParaNumbering"/>
      </w:pPr>
      <w:r>
        <w:t>We make the following orders:</w:t>
      </w:r>
    </w:p>
    <w:p w14:paraId="2792BB69" w14:textId="77777777" w:rsidR="00973B65" w:rsidRDefault="00973B65" w:rsidP="00790AED">
      <w:pPr>
        <w:pStyle w:val="Order1"/>
        <w:numPr>
          <w:ilvl w:val="0"/>
          <w:numId w:val="39"/>
        </w:numPr>
      </w:pPr>
      <w:r>
        <w:t>The appeal is dismissed</w:t>
      </w:r>
      <w:r w:rsidR="0046474C">
        <w:t>.</w:t>
      </w:r>
    </w:p>
    <w:p w14:paraId="2792BB6A" w14:textId="796981B8" w:rsidR="00973B65" w:rsidRDefault="00973B65" w:rsidP="00480E78">
      <w:pPr>
        <w:pStyle w:val="Order1"/>
        <w:numPr>
          <w:ilvl w:val="0"/>
          <w:numId w:val="39"/>
        </w:numPr>
      </w:pPr>
      <w:r>
        <w:t xml:space="preserve">The appellant is to pay the </w:t>
      </w:r>
      <w:r w:rsidR="00DD2795">
        <w:t xml:space="preserve">first respondent’s </w:t>
      </w:r>
      <w:r>
        <w:t>costs to be</w:t>
      </w:r>
      <w:r w:rsidR="00394973">
        <w:t xml:space="preserve"> agreed or </w:t>
      </w:r>
      <w:r>
        <w:t>assesse</w:t>
      </w:r>
      <w:r w:rsidR="00394973">
        <w:t>d.</w:t>
      </w:r>
    </w:p>
    <w:p w14:paraId="3BC02C59" w14:textId="77777777" w:rsidR="00056635" w:rsidRDefault="00056635" w:rsidP="00815065">
      <w:pPr>
        <w:pStyle w:val="BodyText"/>
      </w:pPr>
      <w:bookmarkStart w:id="28" w:name="Certification"/>
    </w:p>
    <w:tbl>
      <w:tblPr>
        <w:tblW w:w="0" w:type="auto"/>
        <w:tblLook w:val="04A0" w:firstRow="1" w:lastRow="0" w:firstColumn="1" w:lastColumn="0" w:noHBand="0" w:noVBand="1"/>
      </w:tblPr>
      <w:tblGrid>
        <w:gridCol w:w="3794"/>
      </w:tblGrid>
      <w:tr w:rsidR="00056635" w:rsidRPr="00056635" w14:paraId="742C9021" w14:textId="77777777">
        <w:tc>
          <w:tcPr>
            <w:tcW w:w="3794" w:type="dxa"/>
            <w:shd w:val="clear" w:color="auto" w:fill="auto"/>
          </w:tcPr>
          <w:p w14:paraId="5672261A" w14:textId="7DD80DB3" w:rsidR="00056635" w:rsidRPr="00056635" w:rsidRDefault="00056635" w:rsidP="00056635">
            <w:pPr>
              <w:pStyle w:val="Normal1linespace"/>
            </w:pPr>
            <w:r w:rsidRPr="00056635">
              <w:t xml:space="preserve">I certify that the preceding </w:t>
            </w:r>
            <w:bookmarkStart w:id="29" w:name="NumberWord"/>
            <w:r>
              <w:t>seventy-five</w:t>
            </w:r>
            <w:bookmarkEnd w:id="29"/>
            <w:r w:rsidRPr="00056635">
              <w:t xml:space="preserve"> (</w:t>
            </w:r>
            <w:bookmarkStart w:id="30" w:name="NumberNumeral"/>
            <w:r>
              <w:t>75</w:t>
            </w:r>
            <w:bookmarkEnd w:id="30"/>
            <w:r w:rsidRPr="00056635">
              <w:t xml:space="preserve">) numbered </w:t>
            </w:r>
            <w:bookmarkStart w:id="31" w:name="CertPara"/>
            <w:r>
              <w:t>paragraphs are</w:t>
            </w:r>
            <w:bookmarkEnd w:id="31"/>
            <w:r w:rsidRPr="00056635">
              <w:t xml:space="preserve"> a true copy of the Reasons for Judgment of </w:t>
            </w:r>
            <w:bookmarkStart w:id="32" w:name="bkHonourable"/>
            <w:r w:rsidRPr="00056635">
              <w:t xml:space="preserve">the Honourable </w:t>
            </w:r>
            <w:bookmarkStart w:id="33" w:name="Justice"/>
            <w:bookmarkEnd w:id="32"/>
            <w:r>
              <w:t>Justice</w:t>
            </w:r>
            <w:r w:rsidR="00480E78">
              <w:t>s</w:t>
            </w:r>
            <w:r>
              <w:t xml:space="preserve"> Yates, Abraham and McElwaine</w:t>
            </w:r>
            <w:bookmarkEnd w:id="33"/>
            <w:r w:rsidRPr="00056635">
              <w:t>.</w:t>
            </w:r>
          </w:p>
        </w:tc>
      </w:tr>
    </w:tbl>
    <w:p w14:paraId="6CA23646" w14:textId="77777777" w:rsidR="00056635" w:rsidRDefault="00056635" w:rsidP="00815065">
      <w:pPr>
        <w:pStyle w:val="BodyText"/>
      </w:pPr>
    </w:p>
    <w:p w14:paraId="45EBEDCE" w14:textId="77777777" w:rsidR="00056635" w:rsidRDefault="00056635" w:rsidP="00815065">
      <w:pPr>
        <w:pStyle w:val="BodyText"/>
      </w:pPr>
      <w:bookmarkStart w:id="34" w:name="_GoBack"/>
      <w:bookmarkEnd w:id="34"/>
    </w:p>
    <w:p w14:paraId="070EDE31" w14:textId="305AB59A" w:rsidR="00056635" w:rsidRDefault="00056635" w:rsidP="00A73F1C">
      <w:pPr>
        <w:pStyle w:val="BodyText"/>
        <w:tabs>
          <w:tab w:val="left" w:pos="2115"/>
        </w:tabs>
      </w:pPr>
      <w:r>
        <w:t>Associate:</w:t>
      </w:r>
      <w:r w:rsidR="00A73F1C">
        <w:t xml:space="preserve"> </w:t>
      </w:r>
    </w:p>
    <w:p w14:paraId="606EB5EC" w14:textId="77777777" w:rsidR="00056635" w:rsidRDefault="00056635" w:rsidP="00815065">
      <w:pPr>
        <w:pStyle w:val="BodyText"/>
      </w:pPr>
    </w:p>
    <w:p w14:paraId="1245FA73" w14:textId="49314B8D" w:rsidR="00056635" w:rsidRDefault="00056635" w:rsidP="00815065">
      <w:pPr>
        <w:pStyle w:val="BodyText"/>
        <w:tabs>
          <w:tab w:val="left" w:pos="1134"/>
        </w:tabs>
      </w:pPr>
      <w:r>
        <w:t>Dated:</w:t>
      </w:r>
      <w:r>
        <w:tab/>
      </w:r>
      <w:bookmarkStart w:id="35" w:name="CertifyDated"/>
      <w:r>
        <w:t>9 August</w:t>
      </w:r>
      <w:r w:rsidR="00A73F1C">
        <w:t xml:space="preserve"> 2022</w:t>
      </w:r>
      <w:r>
        <w:t xml:space="preserve"> </w:t>
      </w:r>
      <w:bookmarkEnd w:id="35"/>
    </w:p>
    <w:p w14:paraId="21A5CDD8" w14:textId="77777777" w:rsidR="00056635" w:rsidRDefault="00056635" w:rsidP="00815065">
      <w:pPr>
        <w:pStyle w:val="BodyText"/>
      </w:pPr>
    </w:p>
    <w:bookmarkEnd w:id="28"/>
    <w:p w14:paraId="5FA255AB" w14:textId="77777777" w:rsidR="00056635" w:rsidRPr="00973B65" w:rsidRDefault="00056635" w:rsidP="00056635">
      <w:pPr>
        <w:pStyle w:val="BodyText"/>
      </w:pPr>
    </w:p>
    <w:sectPr w:rsidR="00056635" w:rsidRPr="00973B65"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2BB6F" w14:textId="77777777" w:rsidR="00BE0876" w:rsidRDefault="00BE0876">
      <w:pPr>
        <w:spacing w:line="20" w:lineRule="exact"/>
      </w:pPr>
    </w:p>
    <w:p w14:paraId="2792BB70" w14:textId="77777777" w:rsidR="00BE0876" w:rsidRDefault="00BE0876"/>
    <w:p w14:paraId="2792BB71" w14:textId="77777777" w:rsidR="00BE0876" w:rsidRDefault="00BE0876"/>
  </w:endnote>
  <w:endnote w:type="continuationSeparator" w:id="0">
    <w:p w14:paraId="2792BB72" w14:textId="77777777" w:rsidR="00BE0876" w:rsidRDefault="00BE0876">
      <w:r>
        <w:t xml:space="preserve"> </w:t>
      </w:r>
    </w:p>
    <w:p w14:paraId="2792BB73" w14:textId="77777777" w:rsidR="00BE0876" w:rsidRDefault="00BE0876"/>
    <w:p w14:paraId="2792BB74" w14:textId="77777777" w:rsidR="00BE0876" w:rsidRDefault="00BE0876"/>
  </w:endnote>
  <w:endnote w:type="continuationNotice" w:id="1">
    <w:p w14:paraId="2792BB75" w14:textId="77777777" w:rsidR="00BE0876" w:rsidRDefault="00BE0876">
      <w:r>
        <w:t xml:space="preserve"> </w:t>
      </w:r>
    </w:p>
    <w:p w14:paraId="2792BB76" w14:textId="77777777" w:rsidR="00BE0876" w:rsidRDefault="00BE0876"/>
    <w:p w14:paraId="2792BB77" w14:textId="77777777" w:rsidR="00BE0876" w:rsidRDefault="00BE0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78" w14:textId="3E63AAAB" w:rsidR="00BE0876" w:rsidRPr="00C47B9D" w:rsidRDefault="00BE087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792BB88" wp14:editId="2792BB8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49523CE">
            <v:line id="Straight Connector 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05pt" to="229.5pt,-.05pt" w14:anchorId="0A667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CC3959">
          <w:rPr>
            <w:bCs/>
            <w:sz w:val="18"/>
            <w:szCs w:val="18"/>
          </w:rPr>
          <w:t xml:space="preserve">HRZN v Minister for Immigration, Citizenship, Migrant Services and Multicultural Affairs [2022] FCAFC 133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7C" w14:textId="03A5FB14" w:rsidR="00BE0876" w:rsidRPr="00C47B9D" w:rsidRDefault="00BE0876"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792BB8A" wp14:editId="2792BB8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995B62F">
            <v:line id="Straight Connector 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7B44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w:pict>
        </mc:Fallback>
      </mc:AlternateContent>
    </w:r>
    <w:sdt>
      <w:sdtPr>
        <w:rPr>
          <w:bCs/>
          <w:sz w:val="18"/>
          <w:szCs w:val="18"/>
        </w:rPr>
        <w:tag w:val="MNC"/>
        <w:id w:val="-831216538"/>
        <w:placeholder>
          <w:docPart w:val="61541A207C784E5F9B69864E71DD8422"/>
        </w:placeholder>
        <w:dataBinding w:prefixMappings="xmlns:ns0='http://schemas.globalmacros.com/FCA'" w:xpath="/ns0:root[1]/ns0:Name[1]" w:storeItemID="{687E7CCB-4AA5-44E7-B148-17BA2B6F57C0}"/>
        <w:text w:multiLine="1"/>
      </w:sdtPr>
      <w:sdtEndPr/>
      <w:sdtContent>
        <w:r w:rsidR="00CC3959">
          <w:rPr>
            <w:bCs/>
            <w:sz w:val="18"/>
            <w:szCs w:val="18"/>
          </w:rPr>
          <w:t xml:space="preserve">HRZN v Minister for Immigration, Citizenship, Migrant Services and Multicultural Affairs [2022] FCAFC 133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7F" w14:textId="02DA0BDD" w:rsidR="00BE0876" w:rsidRPr="00C47B9D" w:rsidRDefault="00BE087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2792BB8C" wp14:editId="2792BB8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4790628">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69F9D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w:pict>
        </mc:Fallback>
      </mc:AlternateContent>
    </w:r>
    <w:sdt>
      <w:sdtPr>
        <w:rPr>
          <w:bCs/>
          <w:sz w:val="18"/>
          <w:szCs w:val="18"/>
        </w:rPr>
        <w:tag w:val="MNC"/>
        <w:id w:val="510263260"/>
        <w:placeholder>
          <w:docPart w:val="0DC44EED20FF4197BECBFD9E16F6A893"/>
        </w:placeholder>
        <w:dataBinding w:prefixMappings="xmlns:ns0='http://schemas.globalmacros.com/FCA'" w:xpath="/ns0:root[1]/ns0:Name[1]" w:storeItemID="{687E7CCB-4AA5-44E7-B148-17BA2B6F57C0}"/>
        <w:text w:multiLine="1"/>
      </w:sdtPr>
      <w:sdtEndPr/>
      <w:sdtContent>
        <w:r w:rsidR="00CC3959">
          <w:rPr>
            <w:bCs/>
            <w:sz w:val="18"/>
            <w:szCs w:val="18"/>
          </w:rPr>
          <w:t xml:space="preserve">HRZN v Minister for Immigration, Citizenship, Migrant Services and Multicultural Affairs [2022] FCAFC 133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30C5">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83" w14:textId="5A2D0CE1" w:rsidR="00BE0876" w:rsidRPr="00C47B9D" w:rsidRDefault="00BE087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792BB8E" wp14:editId="2792BB8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2C8D9C6">
            <v:line id="Straight Connector 7"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4951A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w:pict>
        </mc:Fallback>
      </mc:AlternateContent>
    </w:r>
    <w:sdt>
      <w:sdtPr>
        <w:rPr>
          <w:bCs/>
          <w:sz w:val="18"/>
          <w:szCs w:val="18"/>
        </w:rPr>
        <w:tag w:val="MNC"/>
        <w:id w:val="1095746746"/>
        <w:placeholder>
          <w:docPart w:val="1E87AE2CED1B46058E80B1FEB93B3481"/>
        </w:placeholder>
        <w:dataBinding w:prefixMappings="xmlns:ns0='http://schemas.globalmacros.com/FCA'" w:xpath="/ns0:root[1]/ns0:Name[1]" w:storeItemID="{687E7CCB-4AA5-44E7-B148-17BA2B6F57C0}"/>
        <w:text w:multiLine="1"/>
      </w:sdtPr>
      <w:sdtEndPr/>
      <w:sdtContent>
        <w:r w:rsidR="00CC3959">
          <w:rPr>
            <w:bCs/>
            <w:sz w:val="18"/>
            <w:szCs w:val="18"/>
          </w:rPr>
          <w:t xml:space="preserve">HRZN v Minister for Immigration, Citizenship, Migrant Services and Multicultural Affairs [2022] FCAFC 133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30C5">
      <w:rPr>
        <w:bCs/>
        <w:noProof/>
        <w:sz w:val="20"/>
      </w:rPr>
      <w:t>19</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86" w14:textId="794B6E0A" w:rsidR="00BE0876" w:rsidRPr="00C47B9D" w:rsidRDefault="00BE087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2792BB90" wp14:editId="2792BB9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A88E584">
            <v:line id="Straight Connector 3"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078D8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w:pict>
        </mc:Fallback>
      </mc:AlternateContent>
    </w:r>
    <w:sdt>
      <w:sdtPr>
        <w:rPr>
          <w:bCs/>
          <w:sz w:val="18"/>
          <w:szCs w:val="18"/>
        </w:rPr>
        <w:tag w:val="MNC"/>
        <w:id w:val="-1532949365"/>
        <w:placeholder>
          <w:docPart w:val="C318A8552FB74AF382F0B88035B86E51"/>
        </w:placeholder>
        <w:dataBinding w:prefixMappings="xmlns:ns0='http://schemas.globalmacros.com/FCA'" w:xpath="/ns0:root[1]/ns0:Name[1]" w:storeItemID="{687E7CCB-4AA5-44E7-B148-17BA2B6F57C0}"/>
        <w:text w:multiLine="1"/>
      </w:sdtPr>
      <w:sdtEndPr/>
      <w:sdtContent>
        <w:r w:rsidR="00CC3959">
          <w:rPr>
            <w:bCs/>
            <w:sz w:val="18"/>
            <w:szCs w:val="18"/>
          </w:rPr>
          <w:t xml:space="preserve">HRZN v Minister for Immigration, Citizenship, Migrant Services and Multicultural Affairs [2022] FCAFC 133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D30C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2BB6B" w14:textId="77777777" w:rsidR="00BE0876" w:rsidRDefault="00BE0876"/>
  </w:footnote>
  <w:footnote w:type="continuationSeparator" w:id="0">
    <w:p w14:paraId="2792BB6C" w14:textId="77777777" w:rsidR="00BE0876" w:rsidRDefault="00BE0876">
      <w:r>
        <w:continuationSeparator/>
      </w:r>
    </w:p>
    <w:p w14:paraId="2792BB6D" w14:textId="77777777" w:rsidR="00BE0876" w:rsidRDefault="00BE0876"/>
    <w:p w14:paraId="2792BB6E" w14:textId="77777777" w:rsidR="00BE0876" w:rsidRDefault="00BE08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7B" w14:textId="77777777" w:rsidR="00BE0876" w:rsidRDefault="00BE0876">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7E" w14:textId="77777777" w:rsidR="00BE0876" w:rsidRDefault="00BE0876">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81" w14:textId="77777777" w:rsidR="00BE0876" w:rsidRDefault="00BE087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82" w14:textId="77777777" w:rsidR="00BE0876" w:rsidRDefault="00BE0876">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BB85" w14:textId="77777777" w:rsidR="00BE0876" w:rsidRDefault="00BE0876"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2B0A68FF"/>
    <w:multiLevelType w:val="multilevel"/>
    <w:tmpl w:val="94A2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14F15"/>
    <w:multiLevelType w:val="hybridMultilevel"/>
    <w:tmpl w:val="91D2C4AC"/>
    <w:lvl w:ilvl="0" w:tplc="7A9E8F64">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B3765E6"/>
    <w:multiLevelType w:val="hybridMultilevel"/>
    <w:tmpl w:val="8042C546"/>
    <w:lvl w:ilvl="0" w:tplc="CD56F0A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BE20B23"/>
    <w:multiLevelType w:val="hybridMultilevel"/>
    <w:tmpl w:val="5EB81E96"/>
    <w:lvl w:ilvl="0" w:tplc="75BE904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3D727366"/>
    <w:multiLevelType w:val="multilevel"/>
    <w:tmpl w:val="AA1A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8A49B9"/>
    <w:multiLevelType w:val="hybridMultilevel"/>
    <w:tmpl w:val="D6ECA464"/>
    <w:lvl w:ilvl="0" w:tplc="C986989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494817A7"/>
    <w:multiLevelType w:val="multilevel"/>
    <w:tmpl w:val="0F0EC90E"/>
    <w:numStyleLink w:val="FCListNo"/>
  </w:abstractNum>
  <w:abstractNum w:abstractNumId="26"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06453FA"/>
    <w:multiLevelType w:val="hybridMultilevel"/>
    <w:tmpl w:val="A3BA9194"/>
    <w:lvl w:ilvl="0" w:tplc="0C09000F">
      <w:start w:val="5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BB6992"/>
    <w:multiLevelType w:val="multilevel"/>
    <w:tmpl w:val="94A2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1B52CE"/>
    <w:multiLevelType w:val="multilevel"/>
    <w:tmpl w:val="BDEC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15:restartNumberingAfterBreak="0">
    <w:nsid w:val="72E1603B"/>
    <w:multiLevelType w:val="multilevel"/>
    <w:tmpl w:val="94A2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6"/>
  </w:num>
  <w:num w:numId="14">
    <w:abstractNumId w:val="27"/>
  </w:num>
  <w:num w:numId="15">
    <w:abstractNumId w:val="34"/>
  </w:num>
  <w:num w:numId="16">
    <w:abstractNumId w:val="13"/>
  </w:num>
  <w:num w:numId="17">
    <w:abstractNumId w:val="32"/>
  </w:num>
  <w:num w:numId="18">
    <w:abstractNumId w:val="11"/>
  </w:num>
  <w:num w:numId="19">
    <w:abstractNumId w:val="19"/>
  </w:num>
  <w:num w:numId="20">
    <w:abstractNumId w:val="15"/>
  </w:num>
  <w:num w:numId="21">
    <w:abstractNumId w:val="16"/>
  </w:num>
  <w:num w:numId="22">
    <w:abstractNumId w:val="25"/>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22"/>
  </w:num>
  <w:num w:numId="30">
    <w:abstractNumId w:val="20"/>
  </w:num>
  <w:num w:numId="31">
    <w:abstractNumId w:val="21"/>
  </w:num>
  <w:num w:numId="32">
    <w:abstractNumId w:val="28"/>
  </w:num>
  <w:num w:numId="33">
    <w:abstractNumId w:val="23"/>
    <w:lvlOverride w:ilvl="0">
      <w:startOverride w:val="23"/>
    </w:lvlOverride>
  </w:num>
  <w:num w:numId="34">
    <w:abstractNumId w:val="23"/>
    <w:lvlOverride w:ilvl="0">
      <w:startOverride w:val="24"/>
    </w:lvlOverride>
  </w:num>
  <w:num w:numId="35">
    <w:abstractNumId w:val="30"/>
    <w:lvlOverride w:ilvl="0">
      <w:startOverride w:val="78"/>
    </w:lvlOverride>
  </w:num>
  <w:num w:numId="36">
    <w:abstractNumId w:val="29"/>
    <w:lvlOverride w:ilvl="0">
      <w:startOverride w:val="97"/>
    </w:lvlOverride>
  </w:num>
  <w:num w:numId="37">
    <w:abstractNumId w:val="17"/>
  </w:num>
  <w:num w:numId="38">
    <w:abstractNumId w:val="33"/>
    <w:lvlOverride w:ilvl="0">
      <w:startOverride w:val="97"/>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HRZN v Minister for Immigration, Citizenship, Migrant Services and Multicultural Affairs [2021] FCA 1431"/>
    <w:docVar w:name="Applicant" w:val="HRZN"/>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B2140A4C-F8E6-4C5A-A399-906268DA1BBE}"/>
    <w:docVar w:name="dgnword-eventsink" w:val="292180456"/>
    <w:docVar w:name="Division" w:val="FCA General Division"/>
    <w:docVar w:name="DocCreated" w:val="True"/>
    <w:docVar w:name="FileNumbers" w:val="VID773 of 2021"/>
    <w:docVar w:name="Initiators" w:val="(and another named in the Schedule)"/>
    <w:docVar w:name="Judgdate" w:val="9 August 0222"/>
    <w:docVar w:name="Judge" w:val="Yates, Abraham and McElwaine "/>
    <w:docVar w:name="JudgeType" w:val="Justice"/>
    <w:docVar w:name="lstEntryList" w:val="-1"/>
    <w:docVar w:name="myEntryList" w:val="Counsel for the Applicant=Mr J R Murphy|Counsel for the Respondents=Mr S Lloyd SC|Solicitor for the Respondents=Sparke Helmore"/>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ADMINISTRATIVE APPEALS TRIBUNAL"/>
    <w:docVar w:name="ResState" w:val="Victoria"/>
    <w:docVar w:name="SubArea" w:val="(none)"/>
  </w:docVars>
  <w:rsids>
    <w:rsidRoot w:val="000D1303"/>
    <w:rsid w:val="00000747"/>
    <w:rsid w:val="00002597"/>
    <w:rsid w:val="000030B1"/>
    <w:rsid w:val="000115C5"/>
    <w:rsid w:val="000133D0"/>
    <w:rsid w:val="0001469E"/>
    <w:rsid w:val="00015993"/>
    <w:rsid w:val="0001744E"/>
    <w:rsid w:val="00017950"/>
    <w:rsid w:val="0002049A"/>
    <w:rsid w:val="00021CCB"/>
    <w:rsid w:val="00022289"/>
    <w:rsid w:val="000237E9"/>
    <w:rsid w:val="00026CC8"/>
    <w:rsid w:val="00027398"/>
    <w:rsid w:val="0003201A"/>
    <w:rsid w:val="0003207A"/>
    <w:rsid w:val="00032F9F"/>
    <w:rsid w:val="0004032A"/>
    <w:rsid w:val="00041A77"/>
    <w:rsid w:val="00041C07"/>
    <w:rsid w:val="00044973"/>
    <w:rsid w:val="00045BB7"/>
    <w:rsid w:val="00046C4C"/>
    <w:rsid w:val="0005131E"/>
    <w:rsid w:val="00055719"/>
    <w:rsid w:val="00056075"/>
    <w:rsid w:val="0005641B"/>
    <w:rsid w:val="00056635"/>
    <w:rsid w:val="0006196A"/>
    <w:rsid w:val="0006420F"/>
    <w:rsid w:val="000650F0"/>
    <w:rsid w:val="00066D19"/>
    <w:rsid w:val="00071FB3"/>
    <w:rsid w:val="00077768"/>
    <w:rsid w:val="00081497"/>
    <w:rsid w:val="000831EC"/>
    <w:rsid w:val="00084126"/>
    <w:rsid w:val="00085255"/>
    <w:rsid w:val="0009236C"/>
    <w:rsid w:val="000943C7"/>
    <w:rsid w:val="00094597"/>
    <w:rsid w:val="000953FA"/>
    <w:rsid w:val="000A0765"/>
    <w:rsid w:val="000A2E76"/>
    <w:rsid w:val="000A4807"/>
    <w:rsid w:val="000A4BE4"/>
    <w:rsid w:val="000A622C"/>
    <w:rsid w:val="000C023E"/>
    <w:rsid w:val="000C06C6"/>
    <w:rsid w:val="000C405D"/>
    <w:rsid w:val="000C5195"/>
    <w:rsid w:val="000C62EF"/>
    <w:rsid w:val="000C6511"/>
    <w:rsid w:val="000C670C"/>
    <w:rsid w:val="000C79C1"/>
    <w:rsid w:val="000D1303"/>
    <w:rsid w:val="000D2137"/>
    <w:rsid w:val="000D3FD2"/>
    <w:rsid w:val="000D4B2E"/>
    <w:rsid w:val="000E3FC8"/>
    <w:rsid w:val="000E7BAE"/>
    <w:rsid w:val="000F133D"/>
    <w:rsid w:val="00101D41"/>
    <w:rsid w:val="0010536B"/>
    <w:rsid w:val="0011145C"/>
    <w:rsid w:val="001128BD"/>
    <w:rsid w:val="0011419D"/>
    <w:rsid w:val="00114B02"/>
    <w:rsid w:val="001226C0"/>
    <w:rsid w:val="0012319D"/>
    <w:rsid w:val="00126632"/>
    <w:rsid w:val="00126EC8"/>
    <w:rsid w:val="0012731C"/>
    <w:rsid w:val="001302B0"/>
    <w:rsid w:val="00132054"/>
    <w:rsid w:val="00132BCB"/>
    <w:rsid w:val="00133C98"/>
    <w:rsid w:val="00134964"/>
    <w:rsid w:val="001351B9"/>
    <w:rsid w:val="00142D2B"/>
    <w:rsid w:val="00143293"/>
    <w:rsid w:val="00144A69"/>
    <w:rsid w:val="00151904"/>
    <w:rsid w:val="001552C8"/>
    <w:rsid w:val="00155CD2"/>
    <w:rsid w:val="00157947"/>
    <w:rsid w:val="00161D36"/>
    <w:rsid w:val="001727A4"/>
    <w:rsid w:val="0017376C"/>
    <w:rsid w:val="001738AB"/>
    <w:rsid w:val="00173C4C"/>
    <w:rsid w:val="00175232"/>
    <w:rsid w:val="001765DF"/>
    <w:rsid w:val="001765E0"/>
    <w:rsid w:val="00177759"/>
    <w:rsid w:val="00180BB3"/>
    <w:rsid w:val="00181B4B"/>
    <w:rsid w:val="0018234B"/>
    <w:rsid w:val="00185DD6"/>
    <w:rsid w:val="00185E6B"/>
    <w:rsid w:val="00187BBC"/>
    <w:rsid w:val="00190F68"/>
    <w:rsid w:val="001932F3"/>
    <w:rsid w:val="001A07C4"/>
    <w:rsid w:val="001A2B40"/>
    <w:rsid w:val="001A4309"/>
    <w:rsid w:val="001A46AE"/>
    <w:rsid w:val="001A6C52"/>
    <w:rsid w:val="001B08E6"/>
    <w:rsid w:val="001B1053"/>
    <w:rsid w:val="001B14AC"/>
    <w:rsid w:val="001B7940"/>
    <w:rsid w:val="001C025B"/>
    <w:rsid w:val="001C171A"/>
    <w:rsid w:val="001C1E4A"/>
    <w:rsid w:val="001C2FE0"/>
    <w:rsid w:val="001C37CA"/>
    <w:rsid w:val="001C4085"/>
    <w:rsid w:val="001D09A4"/>
    <w:rsid w:val="001D1387"/>
    <w:rsid w:val="001D4303"/>
    <w:rsid w:val="001D6746"/>
    <w:rsid w:val="001E0C61"/>
    <w:rsid w:val="001E3B49"/>
    <w:rsid w:val="001E4A05"/>
    <w:rsid w:val="001E6A19"/>
    <w:rsid w:val="001E6CA9"/>
    <w:rsid w:val="001E7388"/>
    <w:rsid w:val="001F13DD"/>
    <w:rsid w:val="001F2473"/>
    <w:rsid w:val="001F2DBC"/>
    <w:rsid w:val="001F73E8"/>
    <w:rsid w:val="0020262C"/>
    <w:rsid w:val="00202723"/>
    <w:rsid w:val="002115CF"/>
    <w:rsid w:val="00211A3E"/>
    <w:rsid w:val="00213F20"/>
    <w:rsid w:val="00214055"/>
    <w:rsid w:val="00215BCA"/>
    <w:rsid w:val="002160F5"/>
    <w:rsid w:val="00217AC4"/>
    <w:rsid w:val="0022098A"/>
    <w:rsid w:val="00221461"/>
    <w:rsid w:val="00224537"/>
    <w:rsid w:val="002260C7"/>
    <w:rsid w:val="00235956"/>
    <w:rsid w:val="00243E5E"/>
    <w:rsid w:val="0024436A"/>
    <w:rsid w:val="002467A6"/>
    <w:rsid w:val="00247C9A"/>
    <w:rsid w:val="0025160C"/>
    <w:rsid w:val="002535D0"/>
    <w:rsid w:val="002539B3"/>
    <w:rsid w:val="002552AC"/>
    <w:rsid w:val="00256336"/>
    <w:rsid w:val="00257C3E"/>
    <w:rsid w:val="00257E77"/>
    <w:rsid w:val="002602C2"/>
    <w:rsid w:val="00261CAA"/>
    <w:rsid w:val="0026394C"/>
    <w:rsid w:val="002666C9"/>
    <w:rsid w:val="00270136"/>
    <w:rsid w:val="00270FD7"/>
    <w:rsid w:val="00274B88"/>
    <w:rsid w:val="00274F5B"/>
    <w:rsid w:val="002753F0"/>
    <w:rsid w:val="00280836"/>
    <w:rsid w:val="00282E1A"/>
    <w:rsid w:val="002840F1"/>
    <w:rsid w:val="00285922"/>
    <w:rsid w:val="0029113B"/>
    <w:rsid w:val="00292999"/>
    <w:rsid w:val="002934C0"/>
    <w:rsid w:val="00293747"/>
    <w:rsid w:val="00293E1F"/>
    <w:rsid w:val="0029764C"/>
    <w:rsid w:val="00297F81"/>
    <w:rsid w:val="002A134E"/>
    <w:rsid w:val="002A1B50"/>
    <w:rsid w:val="002A754D"/>
    <w:rsid w:val="002B0E91"/>
    <w:rsid w:val="002B132C"/>
    <w:rsid w:val="002B32BF"/>
    <w:rsid w:val="002B3F23"/>
    <w:rsid w:val="002B4EB5"/>
    <w:rsid w:val="002B5AF5"/>
    <w:rsid w:val="002B6779"/>
    <w:rsid w:val="002B71C0"/>
    <w:rsid w:val="002B7A34"/>
    <w:rsid w:val="002C0894"/>
    <w:rsid w:val="002C31AD"/>
    <w:rsid w:val="002C45CA"/>
    <w:rsid w:val="002C4F2A"/>
    <w:rsid w:val="002C7249"/>
    <w:rsid w:val="002C7385"/>
    <w:rsid w:val="002D2DBB"/>
    <w:rsid w:val="002D37D8"/>
    <w:rsid w:val="002D54A6"/>
    <w:rsid w:val="002D7511"/>
    <w:rsid w:val="002E3779"/>
    <w:rsid w:val="002E4B23"/>
    <w:rsid w:val="002E5BF9"/>
    <w:rsid w:val="002E6A7A"/>
    <w:rsid w:val="002F1E49"/>
    <w:rsid w:val="002F4E9C"/>
    <w:rsid w:val="002F6E15"/>
    <w:rsid w:val="00302F4E"/>
    <w:rsid w:val="0030434C"/>
    <w:rsid w:val="00305409"/>
    <w:rsid w:val="0030744F"/>
    <w:rsid w:val="0031256C"/>
    <w:rsid w:val="00314D6C"/>
    <w:rsid w:val="00314EC6"/>
    <w:rsid w:val="00316D2A"/>
    <w:rsid w:val="00322A7C"/>
    <w:rsid w:val="00322EEC"/>
    <w:rsid w:val="00323061"/>
    <w:rsid w:val="003321BF"/>
    <w:rsid w:val="00336743"/>
    <w:rsid w:val="003402D3"/>
    <w:rsid w:val="0034068E"/>
    <w:rsid w:val="00343ABC"/>
    <w:rsid w:val="003460E6"/>
    <w:rsid w:val="003463FE"/>
    <w:rsid w:val="003472FC"/>
    <w:rsid w:val="00347D41"/>
    <w:rsid w:val="00351008"/>
    <w:rsid w:val="003524EE"/>
    <w:rsid w:val="003537D3"/>
    <w:rsid w:val="003554B3"/>
    <w:rsid w:val="00356632"/>
    <w:rsid w:val="00357C7E"/>
    <w:rsid w:val="003603AC"/>
    <w:rsid w:val="003653B6"/>
    <w:rsid w:val="003660D7"/>
    <w:rsid w:val="00370327"/>
    <w:rsid w:val="00372F32"/>
    <w:rsid w:val="00374CC4"/>
    <w:rsid w:val="003763A0"/>
    <w:rsid w:val="003774B2"/>
    <w:rsid w:val="00380850"/>
    <w:rsid w:val="00380D91"/>
    <w:rsid w:val="00380F2D"/>
    <w:rsid w:val="0038112B"/>
    <w:rsid w:val="003845A9"/>
    <w:rsid w:val="003850C9"/>
    <w:rsid w:val="00390883"/>
    <w:rsid w:val="003922F8"/>
    <w:rsid w:val="00393BEA"/>
    <w:rsid w:val="00393FD5"/>
    <w:rsid w:val="00394973"/>
    <w:rsid w:val="00395B24"/>
    <w:rsid w:val="003A2D38"/>
    <w:rsid w:val="003A323C"/>
    <w:rsid w:val="003A4261"/>
    <w:rsid w:val="003A51AE"/>
    <w:rsid w:val="003A7ECC"/>
    <w:rsid w:val="003B1C32"/>
    <w:rsid w:val="003B2C72"/>
    <w:rsid w:val="003B58B4"/>
    <w:rsid w:val="003B7955"/>
    <w:rsid w:val="003C1333"/>
    <w:rsid w:val="003C20FF"/>
    <w:rsid w:val="003C550A"/>
    <w:rsid w:val="003C6055"/>
    <w:rsid w:val="003C74BA"/>
    <w:rsid w:val="003D2650"/>
    <w:rsid w:val="003D505E"/>
    <w:rsid w:val="003D560C"/>
    <w:rsid w:val="003D5C00"/>
    <w:rsid w:val="003E3154"/>
    <w:rsid w:val="003E56A7"/>
    <w:rsid w:val="003E5874"/>
    <w:rsid w:val="003E72D3"/>
    <w:rsid w:val="003F193E"/>
    <w:rsid w:val="003F242C"/>
    <w:rsid w:val="003F24B1"/>
    <w:rsid w:val="003F34F1"/>
    <w:rsid w:val="004031D8"/>
    <w:rsid w:val="004031F3"/>
    <w:rsid w:val="00403640"/>
    <w:rsid w:val="00406B1B"/>
    <w:rsid w:val="004104B6"/>
    <w:rsid w:val="00411AE8"/>
    <w:rsid w:val="00413B74"/>
    <w:rsid w:val="004170A2"/>
    <w:rsid w:val="00431C94"/>
    <w:rsid w:val="004329B2"/>
    <w:rsid w:val="004342F3"/>
    <w:rsid w:val="00435C5F"/>
    <w:rsid w:val="00436155"/>
    <w:rsid w:val="00436460"/>
    <w:rsid w:val="00441E98"/>
    <w:rsid w:val="00446CD9"/>
    <w:rsid w:val="00450F3A"/>
    <w:rsid w:val="004532F7"/>
    <w:rsid w:val="00456A8D"/>
    <w:rsid w:val="0046474C"/>
    <w:rsid w:val="00464D51"/>
    <w:rsid w:val="00467406"/>
    <w:rsid w:val="00472027"/>
    <w:rsid w:val="00473B70"/>
    <w:rsid w:val="004804CF"/>
    <w:rsid w:val="00480E78"/>
    <w:rsid w:val="00483314"/>
    <w:rsid w:val="00484962"/>
    <w:rsid w:val="00484F6D"/>
    <w:rsid w:val="00484FB7"/>
    <w:rsid w:val="0048554D"/>
    <w:rsid w:val="0049338A"/>
    <w:rsid w:val="0049417F"/>
    <w:rsid w:val="00496D41"/>
    <w:rsid w:val="004A6602"/>
    <w:rsid w:val="004A713D"/>
    <w:rsid w:val="004A7BA5"/>
    <w:rsid w:val="004B3EFA"/>
    <w:rsid w:val="004C2A87"/>
    <w:rsid w:val="004C4D7B"/>
    <w:rsid w:val="004C4ED3"/>
    <w:rsid w:val="004C667B"/>
    <w:rsid w:val="004C7ECD"/>
    <w:rsid w:val="004D2EA5"/>
    <w:rsid w:val="004D32A6"/>
    <w:rsid w:val="004D53E5"/>
    <w:rsid w:val="004D7950"/>
    <w:rsid w:val="004E618E"/>
    <w:rsid w:val="004E6DC4"/>
    <w:rsid w:val="004F21C1"/>
    <w:rsid w:val="004F7946"/>
    <w:rsid w:val="00501A12"/>
    <w:rsid w:val="0050309C"/>
    <w:rsid w:val="00505AB2"/>
    <w:rsid w:val="0051327C"/>
    <w:rsid w:val="0051346D"/>
    <w:rsid w:val="00513EAE"/>
    <w:rsid w:val="0051434F"/>
    <w:rsid w:val="00515535"/>
    <w:rsid w:val="00516806"/>
    <w:rsid w:val="0052098C"/>
    <w:rsid w:val="00525A49"/>
    <w:rsid w:val="00525C29"/>
    <w:rsid w:val="005262D1"/>
    <w:rsid w:val="00530876"/>
    <w:rsid w:val="00535613"/>
    <w:rsid w:val="005359EB"/>
    <w:rsid w:val="00537718"/>
    <w:rsid w:val="00541E50"/>
    <w:rsid w:val="0054254A"/>
    <w:rsid w:val="0054500B"/>
    <w:rsid w:val="005466B5"/>
    <w:rsid w:val="00554314"/>
    <w:rsid w:val="00561088"/>
    <w:rsid w:val="005621AD"/>
    <w:rsid w:val="00562829"/>
    <w:rsid w:val="005629B3"/>
    <w:rsid w:val="00570D5F"/>
    <w:rsid w:val="0057128A"/>
    <w:rsid w:val="00572383"/>
    <w:rsid w:val="005724F6"/>
    <w:rsid w:val="0057274B"/>
    <w:rsid w:val="00573AC4"/>
    <w:rsid w:val="005752CC"/>
    <w:rsid w:val="005801FC"/>
    <w:rsid w:val="00585BA9"/>
    <w:rsid w:val="00587359"/>
    <w:rsid w:val="005946CE"/>
    <w:rsid w:val="00595016"/>
    <w:rsid w:val="005960A2"/>
    <w:rsid w:val="00597AAE"/>
    <w:rsid w:val="005A222C"/>
    <w:rsid w:val="005A2AF0"/>
    <w:rsid w:val="005A39BC"/>
    <w:rsid w:val="005A4DF8"/>
    <w:rsid w:val="005A78C8"/>
    <w:rsid w:val="005A7B4F"/>
    <w:rsid w:val="005B1426"/>
    <w:rsid w:val="005C0A8E"/>
    <w:rsid w:val="005C1767"/>
    <w:rsid w:val="005C185C"/>
    <w:rsid w:val="005C42EF"/>
    <w:rsid w:val="005C6D3A"/>
    <w:rsid w:val="005D30C5"/>
    <w:rsid w:val="005D606D"/>
    <w:rsid w:val="005D7B86"/>
    <w:rsid w:val="005E02F5"/>
    <w:rsid w:val="005E0510"/>
    <w:rsid w:val="005E176E"/>
    <w:rsid w:val="005E218E"/>
    <w:rsid w:val="005E35A0"/>
    <w:rsid w:val="005E46D2"/>
    <w:rsid w:val="005E5280"/>
    <w:rsid w:val="005E7B20"/>
    <w:rsid w:val="005E7CBD"/>
    <w:rsid w:val="005F0D1B"/>
    <w:rsid w:val="005F1865"/>
    <w:rsid w:val="005F5BD8"/>
    <w:rsid w:val="006007BD"/>
    <w:rsid w:val="00600D0F"/>
    <w:rsid w:val="00601389"/>
    <w:rsid w:val="006013C8"/>
    <w:rsid w:val="0060270D"/>
    <w:rsid w:val="006029E9"/>
    <w:rsid w:val="00604342"/>
    <w:rsid w:val="00604611"/>
    <w:rsid w:val="0060473A"/>
    <w:rsid w:val="00610FA0"/>
    <w:rsid w:val="00611586"/>
    <w:rsid w:val="00612D26"/>
    <w:rsid w:val="00613D89"/>
    <w:rsid w:val="00615855"/>
    <w:rsid w:val="00620DA8"/>
    <w:rsid w:val="00621887"/>
    <w:rsid w:val="00624520"/>
    <w:rsid w:val="006271F5"/>
    <w:rsid w:val="00632300"/>
    <w:rsid w:val="00632BB7"/>
    <w:rsid w:val="00635B36"/>
    <w:rsid w:val="00636871"/>
    <w:rsid w:val="00640EE1"/>
    <w:rsid w:val="00640F4E"/>
    <w:rsid w:val="00641136"/>
    <w:rsid w:val="00643DE0"/>
    <w:rsid w:val="0064437D"/>
    <w:rsid w:val="00644E85"/>
    <w:rsid w:val="00647801"/>
    <w:rsid w:val="006516D8"/>
    <w:rsid w:val="00652C52"/>
    <w:rsid w:val="006577FC"/>
    <w:rsid w:val="0066063F"/>
    <w:rsid w:val="00662BB0"/>
    <w:rsid w:val="006634D2"/>
    <w:rsid w:val="00663878"/>
    <w:rsid w:val="00667680"/>
    <w:rsid w:val="00667773"/>
    <w:rsid w:val="00670743"/>
    <w:rsid w:val="00674E5F"/>
    <w:rsid w:val="00680A85"/>
    <w:rsid w:val="00681ADF"/>
    <w:rsid w:val="006846C0"/>
    <w:rsid w:val="00684DA4"/>
    <w:rsid w:val="00690EE2"/>
    <w:rsid w:val="0069132D"/>
    <w:rsid w:val="00693854"/>
    <w:rsid w:val="00694BEB"/>
    <w:rsid w:val="0069545B"/>
    <w:rsid w:val="0069777B"/>
    <w:rsid w:val="006A041E"/>
    <w:rsid w:val="006A0E20"/>
    <w:rsid w:val="006A24E3"/>
    <w:rsid w:val="006A30D0"/>
    <w:rsid w:val="006A5695"/>
    <w:rsid w:val="006B0439"/>
    <w:rsid w:val="006B0DC1"/>
    <w:rsid w:val="006B3904"/>
    <w:rsid w:val="006B5B7D"/>
    <w:rsid w:val="006C58A7"/>
    <w:rsid w:val="006C5B46"/>
    <w:rsid w:val="006C6E39"/>
    <w:rsid w:val="006D0893"/>
    <w:rsid w:val="006D0ECF"/>
    <w:rsid w:val="006D2C3F"/>
    <w:rsid w:val="006D3D5B"/>
    <w:rsid w:val="006D4C92"/>
    <w:rsid w:val="006D4EB6"/>
    <w:rsid w:val="006D6B80"/>
    <w:rsid w:val="006D7FBC"/>
    <w:rsid w:val="006E3490"/>
    <w:rsid w:val="006E35BF"/>
    <w:rsid w:val="006E37E8"/>
    <w:rsid w:val="006E6D6F"/>
    <w:rsid w:val="006E7850"/>
    <w:rsid w:val="006F19D8"/>
    <w:rsid w:val="006F23A8"/>
    <w:rsid w:val="006F46D6"/>
    <w:rsid w:val="006F4BBB"/>
    <w:rsid w:val="0070080A"/>
    <w:rsid w:val="0070230B"/>
    <w:rsid w:val="007028D9"/>
    <w:rsid w:val="00705CFA"/>
    <w:rsid w:val="00706112"/>
    <w:rsid w:val="00707218"/>
    <w:rsid w:val="00710D04"/>
    <w:rsid w:val="00712B1D"/>
    <w:rsid w:val="00715751"/>
    <w:rsid w:val="007171BA"/>
    <w:rsid w:val="00717616"/>
    <w:rsid w:val="0072102E"/>
    <w:rsid w:val="0072433B"/>
    <w:rsid w:val="007248FF"/>
    <w:rsid w:val="007325D9"/>
    <w:rsid w:val="0073413F"/>
    <w:rsid w:val="0073583B"/>
    <w:rsid w:val="007360CA"/>
    <w:rsid w:val="0074667B"/>
    <w:rsid w:val="007470BD"/>
    <w:rsid w:val="00751FBF"/>
    <w:rsid w:val="007546D5"/>
    <w:rsid w:val="00760EC0"/>
    <w:rsid w:val="00762486"/>
    <w:rsid w:val="007664F5"/>
    <w:rsid w:val="007711BD"/>
    <w:rsid w:val="0078003A"/>
    <w:rsid w:val="007802EE"/>
    <w:rsid w:val="00780771"/>
    <w:rsid w:val="007811A8"/>
    <w:rsid w:val="00783CF3"/>
    <w:rsid w:val="00785CB7"/>
    <w:rsid w:val="00790AED"/>
    <w:rsid w:val="00790B8F"/>
    <w:rsid w:val="007929CF"/>
    <w:rsid w:val="00797BA8"/>
    <w:rsid w:val="007A081D"/>
    <w:rsid w:val="007A2001"/>
    <w:rsid w:val="007A49E7"/>
    <w:rsid w:val="007A4E39"/>
    <w:rsid w:val="007A6F28"/>
    <w:rsid w:val="007B03C6"/>
    <w:rsid w:val="007B0DB1"/>
    <w:rsid w:val="007B5673"/>
    <w:rsid w:val="007B7238"/>
    <w:rsid w:val="007B76FF"/>
    <w:rsid w:val="007C3BF6"/>
    <w:rsid w:val="007C67B3"/>
    <w:rsid w:val="007D0FD2"/>
    <w:rsid w:val="007D2EF8"/>
    <w:rsid w:val="007D561F"/>
    <w:rsid w:val="007D620A"/>
    <w:rsid w:val="007D7FD2"/>
    <w:rsid w:val="007E13D9"/>
    <w:rsid w:val="007E2AEC"/>
    <w:rsid w:val="007E41BE"/>
    <w:rsid w:val="007E4DB6"/>
    <w:rsid w:val="007E6733"/>
    <w:rsid w:val="007E7CD4"/>
    <w:rsid w:val="007F12AC"/>
    <w:rsid w:val="007F3917"/>
    <w:rsid w:val="007F3CD4"/>
    <w:rsid w:val="007F4501"/>
    <w:rsid w:val="007F60DF"/>
    <w:rsid w:val="007F6E0C"/>
    <w:rsid w:val="00800A27"/>
    <w:rsid w:val="00801800"/>
    <w:rsid w:val="00801861"/>
    <w:rsid w:val="00801B5B"/>
    <w:rsid w:val="00805A30"/>
    <w:rsid w:val="00805F16"/>
    <w:rsid w:val="008071B2"/>
    <w:rsid w:val="00810AAD"/>
    <w:rsid w:val="008116A1"/>
    <w:rsid w:val="00812847"/>
    <w:rsid w:val="008216E7"/>
    <w:rsid w:val="00825BE6"/>
    <w:rsid w:val="008267F7"/>
    <w:rsid w:val="008276B4"/>
    <w:rsid w:val="0083039C"/>
    <w:rsid w:val="00831927"/>
    <w:rsid w:val="00831BFB"/>
    <w:rsid w:val="00831E68"/>
    <w:rsid w:val="008366D6"/>
    <w:rsid w:val="00837288"/>
    <w:rsid w:val="00841BD3"/>
    <w:rsid w:val="0084273D"/>
    <w:rsid w:val="00844E3F"/>
    <w:rsid w:val="00845A83"/>
    <w:rsid w:val="00846BB9"/>
    <w:rsid w:val="008474B8"/>
    <w:rsid w:val="008600F3"/>
    <w:rsid w:val="00862697"/>
    <w:rsid w:val="008649D5"/>
    <w:rsid w:val="008678A3"/>
    <w:rsid w:val="008712BB"/>
    <w:rsid w:val="00876B35"/>
    <w:rsid w:val="008830E7"/>
    <w:rsid w:val="00886767"/>
    <w:rsid w:val="00890EDE"/>
    <w:rsid w:val="00892B38"/>
    <w:rsid w:val="008A0246"/>
    <w:rsid w:val="008A0D07"/>
    <w:rsid w:val="008A1741"/>
    <w:rsid w:val="008A2484"/>
    <w:rsid w:val="008A52F3"/>
    <w:rsid w:val="008C26D9"/>
    <w:rsid w:val="008C3F97"/>
    <w:rsid w:val="008C6D50"/>
    <w:rsid w:val="008C7167"/>
    <w:rsid w:val="008C7503"/>
    <w:rsid w:val="008D1617"/>
    <w:rsid w:val="008D330F"/>
    <w:rsid w:val="008D48C1"/>
    <w:rsid w:val="008E30A2"/>
    <w:rsid w:val="008E6315"/>
    <w:rsid w:val="008E7735"/>
    <w:rsid w:val="008F0480"/>
    <w:rsid w:val="008F07FC"/>
    <w:rsid w:val="008F11E0"/>
    <w:rsid w:val="008F3EA7"/>
    <w:rsid w:val="008F67E0"/>
    <w:rsid w:val="008F78BC"/>
    <w:rsid w:val="008F7B63"/>
    <w:rsid w:val="008F7D6A"/>
    <w:rsid w:val="00901C86"/>
    <w:rsid w:val="00902E71"/>
    <w:rsid w:val="00903603"/>
    <w:rsid w:val="009054CB"/>
    <w:rsid w:val="00906FF4"/>
    <w:rsid w:val="00910491"/>
    <w:rsid w:val="00911F8D"/>
    <w:rsid w:val="00912F94"/>
    <w:rsid w:val="009155B6"/>
    <w:rsid w:val="009158B3"/>
    <w:rsid w:val="009171BC"/>
    <w:rsid w:val="009225DF"/>
    <w:rsid w:val="0092497E"/>
    <w:rsid w:val="0092590B"/>
    <w:rsid w:val="00925BF3"/>
    <w:rsid w:val="00925E60"/>
    <w:rsid w:val="009264B3"/>
    <w:rsid w:val="00931E4C"/>
    <w:rsid w:val="009364BF"/>
    <w:rsid w:val="009365E0"/>
    <w:rsid w:val="0093775D"/>
    <w:rsid w:val="00942BA2"/>
    <w:rsid w:val="009432B7"/>
    <w:rsid w:val="00944C86"/>
    <w:rsid w:val="00947C02"/>
    <w:rsid w:val="00950BE6"/>
    <w:rsid w:val="00957DE8"/>
    <w:rsid w:val="0096088A"/>
    <w:rsid w:val="00960ECB"/>
    <w:rsid w:val="009615D6"/>
    <w:rsid w:val="00967855"/>
    <w:rsid w:val="00971CD1"/>
    <w:rsid w:val="00973B65"/>
    <w:rsid w:val="00974709"/>
    <w:rsid w:val="009801AE"/>
    <w:rsid w:val="00980736"/>
    <w:rsid w:val="00980DE5"/>
    <w:rsid w:val="00981A39"/>
    <w:rsid w:val="00982D56"/>
    <w:rsid w:val="00983D54"/>
    <w:rsid w:val="00983DBF"/>
    <w:rsid w:val="00984C3F"/>
    <w:rsid w:val="009853B8"/>
    <w:rsid w:val="00987097"/>
    <w:rsid w:val="00991123"/>
    <w:rsid w:val="00991CAB"/>
    <w:rsid w:val="009960C8"/>
    <w:rsid w:val="009969E5"/>
    <w:rsid w:val="009A3A9C"/>
    <w:rsid w:val="009A634E"/>
    <w:rsid w:val="009B046C"/>
    <w:rsid w:val="009B13FA"/>
    <w:rsid w:val="009B1E2D"/>
    <w:rsid w:val="009B79E6"/>
    <w:rsid w:val="009C3CF6"/>
    <w:rsid w:val="009C4EB9"/>
    <w:rsid w:val="009C59FB"/>
    <w:rsid w:val="009C6F3B"/>
    <w:rsid w:val="009D09FC"/>
    <w:rsid w:val="009D1467"/>
    <w:rsid w:val="009D328D"/>
    <w:rsid w:val="009D37D9"/>
    <w:rsid w:val="009D6432"/>
    <w:rsid w:val="009E4FA6"/>
    <w:rsid w:val="009E7CFF"/>
    <w:rsid w:val="009E7D93"/>
    <w:rsid w:val="009F3C34"/>
    <w:rsid w:val="009F462C"/>
    <w:rsid w:val="009F470D"/>
    <w:rsid w:val="009F5C33"/>
    <w:rsid w:val="00A01D20"/>
    <w:rsid w:val="00A026F0"/>
    <w:rsid w:val="00A03EAC"/>
    <w:rsid w:val="00A04DBB"/>
    <w:rsid w:val="00A07EA0"/>
    <w:rsid w:val="00A11AF0"/>
    <w:rsid w:val="00A11CA6"/>
    <w:rsid w:val="00A14E55"/>
    <w:rsid w:val="00A17860"/>
    <w:rsid w:val="00A20C49"/>
    <w:rsid w:val="00A22932"/>
    <w:rsid w:val="00A26196"/>
    <w:rsid w:val="00A269CA"/>
    <w:rsid w:val="00A322F4"/>
    <w:rsid w:val="00A336EE"/>
    <w:rsid w:val="00A33F46"/>
    <w:rsid w:val="00A3427E"/>
    <w:rsid w:val="00A359AC"/>
    <w:rsid w:val="00A40435"/>
    <w:rsid w:val="00A40F83"/>
    <w:rsid w:val="00A410FB"/>
    <w:rsid w:val="00A41413"/>
    <w:rsid w:val="00A419E3"/>
    <w:rsid w:val="00A431E6"/>
    <w:rsid w:val="00A436E8"/>
    <w:rsid w:val="00A45FB1"/>
    <w:rsid w:val="00A46A0F"/>
    <w:rsid w:val="00A46CCC"/>
    <w:rsid w:val="00A47996"/>
    <w:rsid w:val="00A51CFE"/>
    <w:rsid w:val="00A5204D"/>
    <w:rsid w:val="00A53CEA"/>
    <w:rsid w:val="00A54715"/>
    <w:rsid w:val="00A56E77"/>
    <w:rsid w:val="00A61605"/>
    <w:rsid w:val="00A629C8"/>
    <w:rsid w:val="00A65F97"/>
    <w:rsid w:val="00A66249"/>
    <w:rsid w:val="00A73B04"/>
    <w:rsid w:val="00A73F1C"/>
    <w:rsid w:val="00A75A5C"/>
    <w:rsid w:val="00A76C13"/>
    <w:rsid w:val="00A809DA"/>
    <w:rsid w:val="00A84FD0"/>
    <w:rsid w:val="00A86ADB"/>
    <w:rsid w:val="00A92E79"/>
    <w:rsid w:val="00A950B6"/>
    <w:rsid w:val="00A95D45"/>
    <w:rsid w:val="00AA3EA8"/>
    <w:rsid w:val="00AA4CEE"/>
    <w:rsid w:val="00AA69B8"/>
    <w:rsid w:val="00AB41C1"/>
    <w:rsid w:val="00AB4CF2"/>
    <w:rsid w:val="00AB6CCA"/>
    <w:rsid w:val="00AC223F"/>
    <w:rsid w:val="00AC33B1"/>
    <w:rsid w:val="00AC7DA6"/>
    <w:rsid w:val="00AD12A8"/>
    <w:rsid w:val="00AD4E0E"/>
    <w:rsid w:val="00AD5284"/>
    <w:rsid w:val="00AD5B85"/>
    <w:rsid w:val="00AE023F"/>
    <w:rsid w:val="00AE1BF5"/>
    <w:rsid w:val="00AE2FD7"/>
    <w:rsid w:val="00AF3577"/>
    <w:rsid w:val="00AF35F9"/>
    <w:rsid w:val="00B0424C"/>
    <w:rsid w:val="00B04290"/>
    <w:rsid w:val="00B05C7D"/>
    <w:rsid w:val="00B07D39"/>
    <w:rsid w:val="00B15D57"/>
    <w:rsid w:val="00B16347"/>
    <w:rsid w:val="00B17D6E"/>
    <w:rsid w:val="00B2435E"/>
    <w:rsid w:val="00B30EC7"/>
    <w:rsid w:val="00B32FBE"/>
    <w:rsid w:val="00B346C3"/>
    <w:rsid w:val="00B4005C"/>
    <w:rsid w:val="00B4227E"/>
    <w:rsid w:val="00B4471C"/>
    <w:rsid w:val="00B451A6"/>
    <w:rsid w:val="00B45B7E"/>
    <w:rsid w:val="00B47729"/>
    <w:rsid w:val="00B54991"/>
    <w:rsid w:val="00B552CC"/>
    <w:rsid w:val="00B56D6E"/>
    <w:rsid w:val="00B6203E"/>
    <w:rsid w:val="00B62E2E"/>
    <w:rsid w:val="00B64347"/>
    <w:rsid w:val="00B65DC6"/>
    <w:rsid w:val="00B67AC2"/>
    <w:rsid w:val="00B722DE"/>
    <w:rsid w:val="00B751E3"/>
    <w:rsid w:val="00B75BA6"/>
    <w:rsid w:val="00B76C44"/>
    <w:rsid w:val="00B8184A"/>
    <w:rsid w:val="00B82283"/>
    <w:rsid w:val="00B828D8"/>
    <w:rsid w:val="00B83F87"/>
    <w:rsid w:val="00B848DF"/>
    <w:rsid w:val="00B86ECC"/>
    <w:rsid w:val="00B87CDC"/>
    <w:rsid w:val="00B910C1"/>
    <w:rsid w:val="00B933AE"/>
    <w:rsid w:val="00B959E9"/>
    <w:rsid w:val="00BA2CA4"/>
    <w:rsid w:val="00BA2DF9"/>
    <w:rsid w:val="00BA2EFA"/>
    <w:rsid w:val="00BA3DBC"/>
    <w:rsid w:val="00BA4EE0"/>
    <w:rsid w:val="00BA707A"/>
    <w:rsid w:val="00BB1AFB"/>
    <w:rsid w:val="00BB27AE"/>
    <w:rsid w:val="00BB2DA2"/>
    <w:rsid w:val="00BB355D"/>
    <w:rsid w:val="00BB56DC"/>
    <w:rsid w:val="00BC58F6"/>
    <w:rsid w:val="00BC741A"/>
    <w:rsid w:val="00BE0876"/>
    <w:rsid w:val="00BE183D"/>
    <w:rsid w:val="00BE473B"/>
    <w:rsid w:val="00BE6211"/>
    <w:rsid w:val="00BF24C2"/>
    <w:rsid w:val="00BF2922"/>
    <w:rsid w:val="00BF5D7A"/>
    <w:rsid w:val="00C01C2E"/>
    <w:rsid w:val="00C02D33"/>
    <w:rsid w:val="00C043E6"/>
    <w:rsid w:val="00C04B53"/>
    <w:rsid w:val="00C1232C"/>
    <w:rsid w:val="00C2159F"/>
    <w:rsid w:val="00C2260B"/>
    <w:rsid w:val="00C2741E"/>
    <w:rsid w:val="00C27C6B"/>
    <w:rsid w:val="00C3594D"/>
    <w:rsid w:val="00C36442"/>
    <w:rsid w:val="00C400CE"/>
    <w:rsid w:val="00C410FD"/>
    <w:rsid w:val="00C436F5"/>
    <w:rsid w:val="00C457DE"/>
    <w:rsid w:val="00C47738"/>
    <w:rsid w:val="00C47DD3"/>
    <w:rsid w:val="00C5316F"/>
    <w:rsid w:val="00C53562"/>
    <w:rsid w:val="00C539FB"/>
    <w:rsid w:val="00C66AA3"/>
    <w:rsid w:val="00C66E57"/>
    <w:rsid w:val="00C724D7"/>
    <w:rsid w:val="00C72BE2"/>
    <w:rsid w:val="00C74150"/>
    <w:rsid w:val="00C74815"/>
    <w:rsid w:val="00C75594"/>
    <w:rsid w:val="00C84646"/>
    <w:rsid w:val="00C85527"/>
    <w:rsid w:val="00C85982"/>
    <w:rsid w:val="00C956AB"/>
    <w:rsid w:val="00CA0466"/>
    <w:rsid w:val="00CA18B6"/>
    <w:rsid w:val="00CA246D"/>
    <w:rsid w:val="00CA50D9"/>
    <w:rsid w:val="00CB3054"/>
    <w:rsid w:val="00CB5636"/>
    <w:rsid w:val="00CB5F30"/>
    <w:rsid w:val="00CC38EE"/>
    <w:rsid w:val="00CC3959"/>
    <w:rsid w:val="00CC3EE5"/>
    <w:rsid w:val="00CC44EC"/>
    <w:rsid w:val="00CC6E47"/>
    <w:rsid w:val="00CC7F2F"/>
    <w:rsid w:val="00CD1346"/>
    <w:rsid w:val="00CE0ED2"/>
    <w:rsid w:val="00CE37E4"/>
    <w:rsid w:val="00CE425C"/>
    <w:rsid w:val="00CE58AC"/>
    <w:rsid w:val="00CF5A80"/>
    <w:rsid w:val="00CF7CC3"/>
    <w:rsid w:val="00D045EE"/>
    <w:rsid w:val="00D05091"/>
    <w:rsid w:val="00D10CA6"/>
    <w:rsid w:val="00D10F21"/>
    <w:rsid w:val="00D134CF"/>
    <w:rsid w:val="00D1573B"/>
    <w:rsid w:val="00D17032"/>
    <w:rsid w:val="00D20448"/>
    <w:rsid w:val="00D24806"/>
    <w:rsid w:val="00D260A0"/>
    <w:rsid w:val="00D32F40"/>
    <w:rsid w:val="00D34040"/>
    <w:rsid w:val="00D34E69"/>
    <w:rsid w:val="00D36C78"/>
    <w:rsid w:val="00D375EE"/>
    <w:rsid w:val="00D45DEA"/>
    <w:rsid w:val="00D47BBA"/>
    <w:rsid w:val="00D55AE8"/>
    <w:rsid w:val="00D56056"/>
    <w:rsid w:val="00D6085F"/>
    <w:rsid w:val="00D62699"/>
    <w:rsid w:val="00D6352F"/>
    <w:rsid w:val="00D657A9"/>
    <w:rsid w:val="00D778E9"/>
    <w:rsid w:val="00D812BF"/>
    <w:rsid w:val="00D82620"/>
    <w:rsid w:val="00D85707"/>
    <w:rsid w:val="00D85F86"/>
    <w:rsid w:val="00D860ED"/>
    <w:rsid w:val="00D91864"/>
    <w:rsid w:val="00D93F7D"/>
    <w:rsid w:val="00D9725F"/>
    <w:rsid w:val="00DA01B1"/>
    <w:rsid w:val="00DA11A2"/>
    <w:rsid w:val="00DA14ED"/>
    <w:rsid w:val="00DA26D6"/>
    <w:rsid w:val="00DB2EF1"/>
    <w:rsid w:val="00DB3DE1"/>
    <w:rsid w:val="00DB5DA0"/>
    <w:rsid w:val="00DB716C"/>
    <w:rsid w:val="00DC5C85"/>
    <w:rsid w:val="00DC7C5D"/>
    <w:rsid w:val="00DD0377"/>
    <w:rsid w:val="00DD2795"/>
    <w:rsid w:val="00DD4236"/>
    <w:rsid w:val="00DD44F1"/>
    <w:rsid w:val="00DD4559"/>
    <w:rsid w:val="00DD516D"/>
    <w:rsid w:val="00DD56F2"/>
    <w:rsid w:val="00DD6957"/>
    <w:rsid w:val="00DD6E7A"/>
    <w:rsid w:val="00DD6FC1"/>
    <w:rsid w:val="00DE0024"/>
    <w:rsid w:val="00DE3067"/>
    <w:rsid w:val="00DE3CAA"/>
    <w:rsid w:val="00DE72E7"/>
    <w:rsid w:val="00DE790A"/>
    <w:rsid w:val="00DF3823"/>
    <w:rsid w:val="00DF3EEE"/>
    <w:rsid w:val="00DF75E1"/>
    <w:rsid w:val="00E011B0"/>
    <w:rsid w:val="00E027BC"/>
    <w:rsid w:val="00E045BE"/>
    <w:rsid w:val="00E060C6"/>
    <w:rsid w:val="00E10F0D"/>
    <w:rsid w:val="00E1279B"/>
    <w:rsid w:val="00E13927"/>
    <w:rsid w:val="00E14EA5"/>
    <w:rsid w:val="00E16354"/>
    <w:rsid w:val="00E2070E"/>
    <w:rsid w:val="00E20A20"/>
    <w:rsid w:val="00E21133"/>
    <w:rsid w:val="00E2327E"/>
    <w:rsid w:val="00E23577"/>
    <w:rsid w:val="00E266EF"/>
    <w:rsid w:val="00E27895"/>
    <w:rsid w:val="00E326A8"/>
    <w:rsid w:val="00E41BF0"/>
    <w:rsid w:val="00E47428"/>
    <w:rsid w:val="00E52CEC"/>
    <w:rsid w:val="00E56C8E"/>
    <w:rsid w:val="00E5716B"/>
    <w:rsid w:val="00E57F1F"/>
    <w:rsid w:val="00E66B9F"/>
    <w:rsid w:val="00E70A6A"/>
    <w:rsid w:val="00E710D6"/>
    <w:rsid w:val="00E73DA4"/>
    <w:rsid w:val="00E75FE7"/>
    <w:rsid w:val="00E76E45"/>
    <w:rsid w:val="00E777C9"/>
    <w:rsid w:val="00E81DA6"/>
    <w:rsid w:val="00E8378B"/>
    <w:rsid w:val="00E84212"/>
    <w:rsid w:val="00E9086C"/>
    <w:rsid w:val="00E90AAA"/>
    <w:rsid w:val="00E91A0F"/>
    <w:rsid w:val="00E94A71"/>
    <w:rsid w:val="00E94CBF"/>
    <w:rsid w:val="00E95D14"/>
    <w:rsid w:val="00EA03CE"/>
    <w:rsid w:val="00EA23E5"/>
    <w:rsid w:val="00EA3C2A"/>
    <w:rsid w:val="00EA4E2E"/>
    <w:rsid w:val="00EB2417"/>
    <w:rsid w:val="00EB2CCB"/>
    <w:rsid w:val="00EB7A25"/>
    <w:rsid w:val="00EC0F3E"/>
    <w:rsid w:val="00EC4673"/>
    <w:rsid w:val="00EC57A7"/>
    <w:rsid w:val="00EC5FDC"/>
    <w:rsid w:val="00EC67A7"/>
    <w:rsid w:val="00ED0817"/>
    <w:rsid w:val="00ED1526"/>
    <w:rsid w:val="00ED7DD9"/>
    <w:rsid w:val="00EE445B"/>
    <w:rsid w:val="00EE64A7"/>
    <w:rsid w:val="00EF017B"/>
    <w:rsid w:val="00EF30A9"/>
    <w:rsid w:val="00EF3113"/>
    <w:rsid w:val="00EF32C3"/>
    <w:rsid w:val="00EF3F84"/>
    <w:rsid w:val="00F03C78"/>
    <w:rsid w:val="00F12D16"/>
    <w:rsid w:val="00F14FD2"/>
    <w:rsid w:val="00F158F0"/>
    <w:rsid w:val="00F16272"/>
    <w:rsid w:val="00F176AC"/>
    <w:rsid w:val="00F26F28"/>
    <w:rsid w:val="00F27714"/>
    <w:rsid w:val="00F31C05"/>
    <w:rsid w:val="00F3276E"/>
    <w:rsid w:val="00F339B3"/>
    <w:rsid w:val="00F33D3C"/>
    <w:rsid w:val="00F34AD9"/>
    <w:rsid w:val="00F37A91"/>
    <w:rsid w:val="00F408A0"/>
    <w:rsid w:val="00F45CF5"/>
    <w:rsid w:val="00F46462"/>
    <w:rsid w:val="00F47DB0"/>
    <w:rsid w:val="00F50B02"/>
    <w:rsid w:val="00F50C3F"/>
    <w:rsid w:val="00F50E34"/>
    <w:rsid w:val="00F51465"/>
    <w:rsid w:val="00F51AFB"/>
    <w:rsid w:val="00F53EF7"/>
    <w:rsid w:val="00F54BF2"/>
    <w:rsid w:val="00F60A8E"/>
    <w:rsid w:val="00F60DD9"/>
    <w:rsid w:val="00F71DA6"/>
    <w:rsid w:val="00F766FD"/>
    <w:rsid w:val="00F775AC"/>
    <w:rsid w:val="00F8792F"/>
    <w:rsid w:val="00F901C9"/>
    <w:rsid w:val="00F9214D"/>
    <w:rsid w:val="00F92355"/>
    <w:rsid w:val="00F93963"/>
    <w:rsid w:val="00F94291"/>
    <w:rsid w:val="00FA298A"/>
    <w:rsid w:val="00FA5B66"/>
    <w:rsid w:val="00FB0B9C"/>
    <w:rsid w:val="00FB30EB"/>
    <w:rsid w:val="00FB650D"/>
    <w:rsid w:val="00FB7982"/>
    <w:rsid w:val="00FB7CB7"/>
    <w:rsid w:val="00FC0734"/>
    <w:rsid w:val="00FC0FC5"/>
    <w:rsid w:val="00FC588F"/>
    <w:rsid w:val="00FC6879"/>
    <w:rsid w:val="00FD1F11"/>
    <w:rsid w:val="00FD43C2"/>
    <w:rsid w:val="00FD57CC"/>
    <w:rsid w:val="00FE1B30"/>
    <w:rsid w:val="00FE5617"/>
    <w:rsid w:val="00FE7B44"/>
    <w:rsid w:val="00FF2ADA"/>
    <w:rsid w:val="00FF3A9E"/>
    <w:rsid w:val="00FF4001"/>
    <w:rsid w:val="18EC4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92BA3C"/>
  <w15:docId w15:val="{51771793-5ECF-44AA-978E-1D5B1691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qFormat/>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BA2DF9"/>
    <w:pPr>
      <w:autoSpaceDE w:val="0"/>
      <w:autoSpaceDN w:val="0"/>
      <w:adjustRightInd w:val="0"/>
    </w:pPr>
    <w:rPr>
      <w:color w:val="000000"/>
      <w:sz w:val="24"/>
      <w:szCs w:val="24"/>
    </w:rPr>
  </w:style>
  <w:style w:type="paragraph" w:customStyle="1" w:styleId="subsection">
    <w:name w:val="subsection"/>
    <w:basedOn w:val="Normal"/>
    <w:rsid w:val="00A11AF0"/>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A11AF0"/>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A11AF0"/>
    <w:pPr>
      <w:spacing w:before="100" w:beforeAutospacing="1" w:after="100" w:afterAutospacing="1" w:line="240" w:lineRule="auto"/>
      <w:jc w:val="left"/>
    </w:pPr>
    <w:rPr>
      <w:rFonts w:eastAsia="Times New Roman"/>
      <w:szCs w:val="24"/>
      <w:lang w:eastAsia="en-AU"/>
    </w:rPr>
  </w:style>
  <w:style w:type="character" w:customStyle="1" w:styleId="sup">
    <w:name w:val="sup"/>
    <w:basedOn w:val="DefaultParagraphFont"/>
    <w:rsid w:val="00DD0377"/>
  </w:style>
  <w:style w:type="paragraph" w:styleId="Revision">
    <w:name w:val="Revision"/>
    <w:hidden/>
    <w:uiPriority w:val="99"/>
    <w:semiHidden/>
    <w:rsid w:val="00790AE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6474">
      <w:bodyDiv w:val="1"/>
      <w:marLeft w:val="0"/>
      <w:marRight w:val="0"/>
      <w:marTop w:val="0"/>
      <w:marBottom w:val="0"/>
      <w:divBdr>
        <w:top w:val="none" w:sz="0" w:space="0" w:color="auto"/>
        <w:left w:val="none" w:sz="0" w:space="0" w:color="auto"/>
        <w:bottom w:val="none" w:sz="0" w:space="0" w:color="auto"/>
        <w:right w:val="none" w:sz="0" w:space="0" w:color="auto"/>
      </w:divBdr>
    </w:div>
    <w:div w:id="197084263">
      <w:bodyDiv w:val="1"/>
      <w:marLeft w:val="0"/>
      <w:marRight w:val="0"/>
      <w:marTop w:val="0"/>
      <w:marBottom w:val="0"/>
      <w:divBdr>
        <w:top w:val="none" w:sz="0" w:space="0" w:color="auto"/>
        <w:left w:val="none" w:sz="0" w:space="0" w:color="auto"/>
        <w:bottom w:val="none" w:sz="0" w:space="0" w:color="auto"/>
        <w:right w:val="none" w:sz="0" w:space="0" w:color="auto"/>
      </w:divBdr>
    </w:div>
    <w:div w:id="274019770">
      <w:bodyDiv w:val="1"/>
      <w:marLeft w:val="0"/>
      <w:marRight w:val="0"/>
      <w:marTop w:val="0"/>
      <w:marBottom w:val="0"/>
      <w:divBdr>
        <w:top w:val="none" w:sz="0" w:space="0" w:color="auto"/>
        <w:left w:val="none" w:sz="0" w:space="0" w:color="auto"/>
        <w:bottom w:val="none" w:sz="0" w:space="0" w:color="auto"/>
        <w:right w:val="none" w:sz="0" w:space="0" w:color="auto"/>
      </w:divBdr>
    </w:div>
    <w:div w:id="1090396327">
      <w:bodyDiv w:val="1"/>
      <w:marLeft w:val="0"/>
      <w:marRight w:val="0"/>
      <w:marTop w:val="0"/>
      <w:marBottom w:val="0"/>
      <w:divBdr>
        <w:top w:val="none" w:sz="0" w:space="0" w:color="auto"/>
        <w:left w:val="none" w:sz="0" w:space="0" w:color="auto"/>
        <w:bottom w:val="none" w:sz="0" w:space="0" w:color="auto"/>
        <w:right w:val="none" w:sz="0" w:space="0" w:color="auto"/>
      </w:divBdr>
    </w:div>
    <w:div w:id="1603682087">
      <w:bodyDiv w:val="1"/>
      <w:marLeft w:val="0"/>
      <w:marRight w:val="0"/>
      <w:marTop w:val="0"/>
      <w:marBottom w:val="0"/>
      <w:divBdr>
        <w:top w:val="none" w:sz="0" w:space="0" w:color="auto"/>
        <w:left w:val="none" w:sz="0" w:space="0" w:color="auto"/>
        <w:bottom w:val="none" w:sz="0" w:space="0" w:color="auto"/>
        <w:right w:val="none" w:sz="0" w:space="0" w:color="auto"/>
      </w:divBdr>
    </w:div>
    <w:div w:id="16895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E21B09E49D419DAA0D273F575CE493"/>
        <w:category>
          <w:name w:val="General"/>
          <w:gallery w:val="placeholder"/>
        </w:category>
        <w:types>
          <w:type w:val="bbPlcHdr"/>
        </w:types>
        <w:behaviors>
          <w:behavior w:val="content"/>
        </w:behaviors>
        <w:guid w:val="{1E681D5D-AEA6-43F8-BB76-5DBDB4C504E6}"/>
      </w:docPartPr>
      <w:docPartBody>
        <w:p w:rsidR="00EF017B" w:rsidRDefault="00EF017B">
          <w:pPr>
            <w:pStyle w:val="02E21B09E49D419DAA0D273F575CE493"/>
          </w:pPr>
          <w:r>
            <w:rPr>
              <w:rStyle w:val="PlaceholderText"/>
            </w:rPr>
            <w:t>MNC Text</w:t>
          </w:r>
        </w:p>
      </w:docPartBody>
    </w:docPart>
    <w:docPart>
      <w:docPartPr>
        <w:name w:val="61541A207C784E5F9B69864E71DD8422"/>
        <w:category>
          <w:name w:val="General"/>
          <w:gallery w:val="placeholder"/>
        </w:category>
        <w:types>
          <w:type w:val="bbPlcHdr"/>
        </w:types>
        <w:behaviors>
          <w:behavior w:val="content"/>
        </w:behaviors>
        <w:guid w:val="{D6A2B493-90A4-4BA8-BABB-7001734D03C2}"/>
      </w:docPartPr>
      <w:docPartBody>
        <w:p w:rsidR="00EF017B" w:rsidRDefault="00EF017B">
          <w:pPr>
            <w:pStyle w:val="61541A207C784E5F9B69864E71DD8422"/>
          </w:pPr>
          <w:r w:rsidRPr="005C44BE">
            <w:rPr>
              <w:rStyle w:val="PlaceholderText"/>
            </w:rPr>
            <w:t>Click or tap here to enter text.</w:t>
          </w:r>
        </w:p>
      </w:docPartBody>
    </w:docPart>
    <w:docPart>
      <w:docPartPr>
        <w:name w:val="0DC44EED20FF4197BECBFD9E16F6A893"/>
        <w:category>
          <w:name w:val="General"/>
          <w:gallery w:val="placeholder"/>
        </w:category>
        <w:types>
          <w:type w:val="bbPlcHdr"/>
        </w:types>
        <w:behaviors>
          <w:behavior w:val="content"/>
        </w:behaviors>
        <w:guid w:val="{FDA14DB4-4B1C-4A9C-BB69-B938D4F48038}"/>
      </w:docPartPr>
      <w:docPartBody>
        <w:p w:rsidR="00EF017B" w:rsidRDefault="00EF017B">
          <w:pPr>
            <w:pStyle w:val="0DC44EED20FF4197BECBFD9E16F6A893"/>
          </w:pPr>
          <w:r w:rsidRPr="005C44BE">
            <w:rPr>
              <w:rStyle w:val="PlaceholderText"/>
            </w:rPr>
            <w:t>Click or tap here to enter text.</w:t>
          </w:r>
        </w:p>
      </w:docPartBody>
    </w:docPart>
    <w:docPart>
      <w:docPartPr>
        <w:name w:val="1E87AE2CED1B46058E80B1FEB93B3481"/>
        <w:category>
          <w:name w:val="General"/>
          <w:gallery w:val="placeholder"/>
        </w:category>
        <w:types>
          <w:type w:val="bbPlcHdr"/>
        </w:types>
        <w:behaviors>
          <w:behavior w:val="content"/>
        </w:behaviors>
        <w:guid w:val="{91B351ED-3041-452E-B607-BA7BB0F9787D}"/>
      </w:docPartPr>
      <w:docPartBody>
        <w:p w:rsidR="00EF017B" w:rsidRDefault="00EF017B">
          <w:pPr>
            <w:pStyle w:val="1E87AE2CED1B46058E80B1FEB93B3481"/>
          </w:pPr>
          <w:r w:rsidRPr="005C44BE">
            <w:rPr>
              <w:rStyle w:val="PlaceholderText"/>
            </w:rPr>
            <w:t>Click or tap here to enter text.</w:t>
          </w:r>
        </w:p>
      </w:docPartBody>
    </w:docPart>
    <w:docPart>
      <w:docPartPr>
        <w:name w:val="C318A8552FB74AF382F0B88035B86E51"/>
        <w:category>
          <w:name w:val="General"/>
          <w:gallery w:val="placeholder"/>
        </w:category>
        <w:types>
          <w:type w:val="bbPlcHdr"/>
        </w:types>
        <w:behaviors>
          <w:behavior w:val="content"/>
        </w:behaviors>
        <w:guid w:val="{9556D16C-4CFC-4AB0-A212-6DAEAC5725FE}"/>
      </w:docPartPr>
      <w:docPartBody>
        <w:p w:rsidR="00EF017B" w:rsidRDefault="00EF017B">
          <w:pPr>
            <w:pStyle w:val="C318A8552FB74AF382F0B88035B86E5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7B"/>
    <w:rsid w:val="000B10A2"/>
    <w:rsid w:val="001E63FE"/>
    <w:rsid w:val="002A7DB5"/>
    <w:rsid w:val="002E582B"/>
    <w:rsid w:val="005F6EC7"/>
    <w:rsid w:val="0072489B"/>
    <w:rsid w:val="00925C8C"/>
    <w:rsid w:val="00BB3A25"/>
    <w:rsid w:val="00C312DB"/>
    <w:rsid w:val="00D255C4"/>
    <w:rsid w:val="00D916D9"/>
    <w:rsid w:val="00EE629D"/>
    <w:rsid w:val="00EF017B"/>
    <w:rsid w:val="00FA0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E21B09E49D419DAA0D273F575CE493">
    <w:name w:val="02E21B09E49D419DAA0D273F575CE493"/>
  </w:style>
  <w:style w:type="paragraph" w:customStyle="1" w:styleId="61541A207C784E5F9B69864E71DD8422">
    <w:name w:val="61541A207C784E5F9B69864E71DD8422"/>
  </w:style>
  <w:style w:type="paragraph" w:customStyle="1" w:styleId="0DC44EED20FF4197BECBFD9E16F6A893">
    <w:name w:val="0DC44EED20FF4197BECBFD9E16F6A893"/>
  </w:style>
  <w:style w:type="paragraph" w:customStyle="1" w:styleId="1E87AE2CED1B46058E80B1FEB93B3481">
    <w:name w:val="1E87AE2CED1B46058E80B1FEB93B3481"/>
  </w:style>
  <w:style w:type="paragraph" w:customStyle="1" w:styleId="C318A8552FB74AF382F0B88035B86E51">
    <w:name w:val="C318A8552FB74AF382F0B88035B8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HRZN v Minister for Immigration, Citizenship, Migrant Services and Multicultural Affairs [2022] FCAFC 133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CDF4188-2430-44F5-9D2C-43495AC3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23</Pages>
  <Words>9011</Words>
  <Characters>48227</Characters>
  <Application>Microsoft Office Word</Application>
  <DocSecurity>0</DocSecurity>
  <Lines>876</Lines>
  <Paragraphs>268</Paragraphs>
  <ScaleCrop>false</ScaleCrop>
  <HeadingPairs>
    <vt:vector size="2" baseType="variant">
      <vt:variant>
        <vt:lpstr>Title</vt:lpstr>
      </vt:variant>
      <vt:variant>
        <vt:i4>1</vt:i4>
      </vt:variant>
    </vt:vector>
  </HeadingPairs>
  <TitlesOfParts>
    <vt:vector size="1" baseType="lpstr">
      <vt:lpstr>HRZN v Minister for Immigration, Citizenship, Migrant Services and Multicultural Affairs [2022] FCAFC 133 </vt:lpstr>
    </vt:vector>
  </TitlesOfParts>
  <Company>Federal Court of Australia</Company>
  <LinksUpToDate>false</LinksUpToDate>
  <CharactersWithSpaces>56970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HRZN v Minister for Immigration, Citizenship, Migrant Services and Multicultural Affairs [2022] FCAFC 133</dc:title>
  <dc:creator>Eloise Callinan</dc:creator>
  <dc:description>v1.3</dc:description>
  <cp:lastModifiedBy>Federal Court of Australia</cp:lastModifiedBy>
  <cp:revision>3</cp:revision>
  <cp:lastPrinted>2022-08-02T01:52:00Z</cp:lastPrinted>
  <dcterms:created xsi:type="dcterms:W3CDTF">2022-08-08T23:42:00Z</dcterms:created>
  <dcterms:modified xsi:type="dcterms:W3CDTF">2022-08-08T23:45:00Z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HRZN v Minister for Immigration, Citizenship, Migrant Services and Multicultural Affairs [2021] FCA 1431</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