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122387" w14:textId="77777777" w:rsidR="00395B24" w:rsidRDefault="00E54669" w:rsidP="00A22932">
      <w:pPr>
        <w:pStyle w:val="CourtTitle"/>
      </w:pPr>
      <w:r>
        <w:fldChar w:fldCharType="begin"/>
      </w:r>
      <w:r>
        <w:instrText xml:space="preserve"> DOCPROPERTY  Court  \* MERGEFORMAT </w:instrText>
      </w:r>
      <w:r>
        <w:fldChar w:fldCharType="separate"/>
      </w:r>
      <w:r w:rsidR="001C7A8C">
        <w:t>Federal Court of Australia</w:t>
      </w:r>
      <w:r>
        <w:fldChar w:fldCharType="end"/>
      </w:r>
    </w:p>
    <w:p w14:paraId="1BE9E057" w14:textId="77777777" w:rsidR="004D7950" w:rsidRDefault="004D7950">
      <w:pPr>
        <w:pStyle w:val="NormalHeadings"/>
        <w:jc w:val="center"/>
        <w:rPr>
          <w:sz w:val="32"/>
        </w:rPr>
      </w:pPr>
    </w:p>
    <w:bookmarkStart w:id="0" w:name="MNC"/>
    <w:p w14:paraId="76502B77" w14:textId="3DBCBB88" w:rsidR="00374CC4" w:rsidRDefault="00E54669" w:rsidP="001A2B40">
      <w:pPr>
        <w:pStyle w:val="MNC"/>
      </w:pPr>
      <w:sdt>
        <w:sdtPr>
          <w:alias w:val="MNC"/>
          <w:tag w:val="MNC"/>
          <w:id w:val="343289786"/>
          <w:lock w:val="sdtLocked"/>
          <w:placeholder>
            <w:docPart w:val="A190DD71AB104A2D9390B4B2246083E9"/>
          </w:placeholder>
          <w:dataBinding w:prefixMappings="xmlns:ns0='http://schemas.globalmacros.com/FCA'" w:xpath="/ns0:root[1]/ns0:Name[1]" w:storeItemID="{687E7CCB-4AA5-44E7-B148-17BA2B6F57C0}"/>
          <w:text w:multiLine="1"/>
        </w:sdtPr>
        <w:sdtEndPr/>
        <w:sdtContent>
          <w:proofErr w:type="spellStart"/>
          <w:r w:rsidR="00497A74">
            <w:t>Swancom</w:t>
          </w:r>
          <w:proofErr w:type="spellEnd"/>
          <w:r w:rsidR="00497A74">
            <w:t xml:space="preserve"> Pty Ltd v The Jazz Corner Hotel Pty Ltd</w:t>
          </w:r>
          <w:r w:rsidR="00F0440D">
            <w:t xml:space="preserve"> [2022] FCAFC</w:t>
          </w:r>
          <w:r w:rsidR="00246FC5">
            <w:t xml:space="preserve"> 157</w:t>
          </w:r>
          <w:r w:rsidR="00F60763">
            <w:t xml:space="preserve"> </w:t>
          </w:r>
        </w:sdtContent>
      </w:sdt>
      <w:bookmarkEnd w:id="0"/>
      <w:r w:rsidR="005C185C">
        <w:t xml:space="preserve"> </w:t>
      </w:r>
    </w:p>
    <w:tbl>
      <w:tblPr>
        <w:tblW w:w="9072" w:type="dxa"/>
        <w:tblLayout w:type="fixed"/>
        <w:tblLook w:val="01E0" w:firstRow="1" w:lastRow="1" w:firstColumn="1" w:lastColumn="1" w:noHBand="0" w:noVBand="0"/>
        <w:tblCaption w:val="Cover Table"/>
        <w:tblDescription w:val="Cover Table"/>
      </w:tblPr>
      <w:tblGrid>
        <w:gridCol w:w="3083"/>
        <w:gridCol w:w="5989"/>
      </w:tblGrid>
      <w:tr w:rsidR="001C7A8C" w14:paraId="2A071BC2" w14:textId="77777777" w:rsidTr="003F2038">
        <w:tc>
          <w:tcPr>
            <w:tcW w:w="3083" w:type="dxa"/>
            <w:shd w:val="clear" w:color="auto" w:fill="auto"/>
          </w:tcPr>
          <w:p w14:paraId="7CA06778" w14:textId="77777777" w:rsidR="001C7A8C" w:rsidRDefault="001C7A8C" w:rsidP="002539B3">
            <w:pPr>
              <w:pStyle w:val="Normal1linespace"/>
              <w:widowControl w:val="0"/>
              <w:spacing w:after="60"/>
              <w:jc w:val="left"/>
            </w:pPr>
            <w:bookmarkStart w:id="1" w:name="AppealFrom_row" w:colFirst="0" w:colLast="1"/>
            <w:r>
              <w:t>Appeal from:</w:t>
            </w:r>
          </w:p>
        </w:tc>
        <w:tc>
          <w:tcPr>
            <w:tcW w:w="5989" w:type="dxa"/>
            <w:shd w:val="clear" w:color="auto" w:fill="auto"/>
          </w:tcPr>
          <w:p w14:paraId="30AE4E85" w14:textId="56F1862C" w:rsidR="001C7A8C" w:rsidRDefault="00CD6461" w:rsidP="002539B3">
            <w:pPr>
              <w:pStyle w:val="CasesLegislationAppealFrom"/>
              <w:spacing w:after="60"/>
            </w:pPr>
            <w:proofErr w:type="spellStart"/>
            <w:r w:rsidRPr="0042785A">
              <w:rPr>
                <w:i/>
              </w:rPr>
              <w:t>Swancom</w:t>
            </w:r>
            <w:proofErr w:type="spellEnd"/>
            <w:r w:rsidRPr="0042785A">
              <w:rPr>
                <w:i/>
              </w:rPr>
              <w:t xml:space="preserve"> Pty Ltd v The Jazz Corner Hotel Pty Ltd (No 2)</w:t>
            </w:r>
            <w:r w:rsidRPr="0042785A">
              <w:t xml:space="preserve"> [2021] FCA 328</w:t>
            </w:r>
            <w:r>
              <w:t xml:space="preserve"> and </w:t>
            </w:r>
            <w:proofErr w:type="spellStart"/>
            <w:r w:rsidRPr="0042785A">
              <w:rPr>
                <w:i/>
              </w:rPr>
              <w:t>Swancom</w:t>
            </w:r>
            <w:proofErr w:type="spellEnd"/>
            <w:r w:rsidRPr="0042785A">
              <w:rPr>
                <w:i/>
              </w:rPr>
              <w:t xml:space="preserve"> Pty Ltd v The Jazz Corner Hotel Pty Ltd (No 3)</w:t>
            </w:r>
            <w:r w:rsidRPr="0042785A">
              <w:t xml:space="preserve"> [2021] FCA 729</w:t>
            </w:r>
          </w:p>
        </w:tc>
      </w:tr>
      <w:tr w:rsidR="001C7A8C" w14:paraId="094E0BF9" w14:textId="77777777" w:rsidTr="003F2038">
        <w:tc>
          <w:tcPr>
            <w:tcW w:w="3083" w:type="dxa"/>
            <w:shd w:val="clear" w:color="auto" w:fill="auto"/>
          </w:tcPr>
          <w:p w14:paraId="6DC0BA57" w14:textId="77777777" w:rsidR="001C7A8C" w:rsidRDefault="001C7A8C" w:rsidP="00663878">
            <w:pPr>
              <w:pStyle w:val="Normal1linespace"/>
              <w:widowControl w:val="0"/>
              <w:jc w:val="left"/>
            </w:pPr>
          </w:p>
        </w:tc>
        <w:tc>
          <w:tcPr>
            <w:tcW w:w="5989" w:type="dxa"/>
            <w:shd w:val="clear" w:color="auto" w:fill="auto"/>
          </w:tcPr>
          <w:p w14:paraId="15B985C8" w14:textId="77777777" w:rsidR="001C7A8C" w:rsidRDefault="001C7A8C" w:rsidP="00663878">
            <w:pPr>
              <w:pStyle w:val="Normal1linespace"/>
              <w:widowControl w:val="0"/>
              <w:jc w:val="left"/>
            </w:pPr>
          </w:p>
        </w:tc>
      </w:tr>
      <w:bookmarkEnd w:id="1"/>
      <w:tr w:rsidR="00395B24" w14:paraId="1F7F3885" w14:textId="77777777" w:rsidTr="003F2038">
        <w:tc>
          <w:tcPr>
            <w:tcW w:w="3083" w:type="dxa"/>
            <w:shd w:val="clear" w:color="auto" w:fill="auto"/>
          </w:tcPr>
          <w:p w14:paraId="122DF96C" w14:textId="77777777" w:rsidR="00395B24" w:rsidRDefault="002C7385" w:rsidP="00663878">
            <w:pPr>
              <w:pStyle w:val="Normal1linespace"/>
              <w:widowControl w:val="0"/>
              <w:jc w:val="left"/>
            </w:pPr>
            <w:r>
              <w:t>File number(s):</w:t>
            </w:r>
          </w:p>
        </w:tc>
        <w:tc>
          <w:tcPr>
            <w:tcW w:w="5989" w:type="dxa"/>
            <w:shd w:val="clear" w:color="auto" w:fill="auto"/>
          </w:tcPr>
          <w:p w14:paraId="08C64CED" w14:textId="77777777" w:rsidR="001C7A8C" w:rsidRPr="001C7A8C" w:rsidRDefault="00A56E77" w:rsidP="001C7A8C">
            <w:pPr>
              <w:pStyle w:val="Normal1linespace"/>
              <w:jc w:val="left"/>
            </w:pPr>
            <w:r w:rsidRPr="001C7A8C">
              <w:fldChar w:fldCharType="begin" w:fldLock="1"/>
            </w:r>
            <w:r w:rsidRPr="001C7A8C">
              <w:instrText xml:space="preserve"> REF  FileNo  \* MERGEFORMAT </w:instrText>
            </w:r>
            <w:r w:rsidRPr="001C7A8C">
              <w:fldChar w:fldCharType="separate"/>
            </w:r>
            <w:r w:rsidR="001C7A8C" w:rsidRPr="001C7A8C">
              <w:t>VID 228 of 2021</w:t>
            </w:r>
          </w:p>
          <w:p w14:paraId="3A81C56A" w14:textId="77777777" w:rsidR="00395B24" w:rsidRPr="00830B14" w:rsidRDefault="001C7A8C" w:rsidP="001C7A8C">
            <w:pPr>
              <w:pStyle w:val="Normal1linespace"/>
              <w:jc w:val="left"/>
            </w:pPr>
            <w:r w:rsidRPr="001C7A8C">
              <w:t>VID 408 of 2021</w:t>
            </w:r>
            <w:r w:rsidR="00A56E77" w:rsidRPr="001C7A8C">
              <w:fldChar w:fldCharType="end"/>
            </w:r>
          </w:p>
        </w:tc>
      </w:tr>
      <w:tr w:rsidR="00395B24" w14:paraId="3F932E0B" w14:textId="77777777" w:rsidTr="003F2038">
        <w:tc>
          <w:tcPr>
            <w:tcW w:w="3083" w:type="dxa"/>
            <w:shd w:val="clear" w:color="auto" w:fill="auto"/>
          </w:tcPr>
          <w:p w14:paraId="6EA804F4" w14:textId="77777777" w:rsidR="00395B24" w:rsidRDefault="00395B24" w:rsidP="00663878">
            <w:pPr>
              <w:pStyle w:val="Normal1linespace"/>
              <w:widowControl w:val="0"/>
              <w:jc w:val="left"/>
            </w:pPr>
          </w:p>
        </w:tc>
        <w:tc>
          <w:tcPr>
            <w:tcW w:w="5989" w:type="dxa"/>
            <w:shd w:val="clear" w:color="auto" w:fill="auto"/>
          </w:tcPr>
          <w:p w14:paraId="3ED2FF26" w14:textId="77777777" w:rsidR="00395B24" w:rsidRDefault="00395B24" w:rsidP="00663878">
            <w:pPr>
              <w:pStyle w:val="Normal1linespace"/>
              <w:widowControl w:val="0"/>
              <w:jc w:val="left"/>
            </w:pPr>
          </w:p>
        </w:tc>
      </w:tr>
      <w:tr w:rsidR="00395B24" w14:paraId="241A8B34" w14:textId="77777777" w:rsidTr="003F2038">
        <w:tc>
          <w:tcPr>
            <w:tcW w:w="3083" w:type="dxa"/>
            <w:shd w:val="clear" w:color="auto" w:fill="auto"/>
          </w:tcPr>
          <w:p w14:paraId="0C5A42A7" w14:textId="77777777" w:rsidR="00395B24" w:rsidRDefault="002C7385" w:rsidP="00663878">
            <w:pPr>
              <w:pStyle w:val="Normal1linespace"/>
              <w:widowControl w:val="0"/>
              <w:jc w:val="left"/>
            </w:pPr>
            <w:r>
              <w:t>Judg</w:t>
            </w:r>
            <w:r w:rsidR="005724F6">
              <w:t>ment of</w:t>
            </w:r>
            <w:r>
              <w:t>:</w:t>
            </w:r>
          </w:p>
        </w:tc>
        <w:tc>
          <w:tcPr>
            <w:tcW w:w="5989" w:type="dxa"/>
            <w:shd w:val="clear" w:color="auto" w:fill="auto"/>
          </w:tcPr>
          <w:p w14:paraId="7DBBAE4C" w14:textId="77777777" w:rsidR="00395B24" w:rsidRDefault="002C7385" w:rsidP="00663878">
            <w:pPr>
              <w:pStyle w:val="Normal1linespace"/>
              <w:widowControl w:val="0"/>
              <w:jc w:val="left"/>
              <w:rPr>
                <w:b/>
              </w:rPr>
            </w:pPr>
            <w:r w:rsidRPr="001C7A8C">
              <w:rPr>
                <w:b/>
              </w:rPr>
              <w:fldChar w:fldCharType="begin" w:fldLock="1"/>
            </w:r>
            <w:r w:rsidRPr="001C7A8C">
              <w:rPr>
                <w:b/>
              </w:rPr>
              <w:instrText xml:space="preserve"> REF  Judge  \* MERGEFORMAT </w:instrText>
            </w:r>
            <w:r w:rsidRPr="001C7A8C">
              <w:rPr>
                <w:b/>
              </w:rPr>
              <w:fldChar w:fldCharType="separate"/>
            </w:r>
            <w:r w:rsidR="001C7A8C" w:rsidRPr="001C7A8C">
              <w:rPr>
                <w:b/>
                <w:caps/>
                <w:szCs w:val="24"/>
              </w:rPr>
              <w:t>YATES, ABRAHAM AND ROFE JJ</w:t>
            </w:r>
            <w:r w:rsidRPr="001C7A8C">
              <w:rPr>
                <w:b/>
              </w:rPr>
              <w:fldChar w:fldCharType="end"/>
            </w:r>
          </w:p>
        </w:tc>
      </w:tr>
      <w:tr w:rsidR="00395B24" w14:paraId="562BA51F" w14:textId="77777777" w:rsidTr="003F2038">
        <w:tc>
          <w:tcPr>
            <w:tcW w:w="3083" w:type="dxa"/>
            <w:shd w:val="clear" w:color="auto" w:fill="auto"/>
          </w:tcPr>
          <w:p w14:paraId="295B0B74" w14:textId="77777777" w:rsidR="00395B24" w:rsidRDefault="00395B24" w:rsidP="00663878">
            <w:pPr>
              <w:pStyle w:val="Normal1linespace"/>
              <w:widowControl w:val="0"/>
              <w:jc w:val="left"/>
            </w:pPr>
          </w:p>
        </w:tc>
        <w:tc>
          <w:tcPr>
            <w:tcW w:w="5989" w:type="dxa"/>
            <w:shd w:val="clear" w:color="auto" w:fill="auto"/>
          </w:tcPr>
          <w:p w14:paraId="24D33882" w14:textId="77777777" w:rsidR="00395B24" w:rsidRDefault="00395B24" w:rsidP="00663878">
            <w:pPr>
              <w:pStyle w:val="Normal1linespace"/>
              <w:widowControl w:val="0"/>
              <w:jc w:val="left"/>
            </w:pPr>
          </w:p>
        </w:tc>
      </w:tr>
      <w:tr w:rsidR="00395B24" w14:paraId="37A6AF71" w14:textId="77777777" w:rsidTr="003F2038">
        <w:tc>
          <w:tcPr>
            <w:tcW w:w="3083" w:type="dxa"/>
            <w:shd w:val="clear" w:color="auto" w:fill="auto"/>
          </w:tcPr>
          <w:p w14:paraId="636A848E" w14:textId="77777777" w:rsidR="00395B24" w:rsidRDefault="002C7385" w:rsidP="00663878">
            <w:pPr>
              <w:pStyle w:val="Normal1linespace"/>
              <w:widowControl w:val="0"/>
              <w:jc w:val="left"/>
            </w:pPr>
            <w:r>
              <w:t>Date of judgment:</w:t>
            </w:r>
          </w:p>
        </w:tc>
        <w:tc>
          <w:tcPr>
            <w:tcW w:w="5989" w:type="dxa"/>
            <w:shd w:val="clear" w:color="auto" w:fill="auto"/>
          </w:tcPr>
          <w:p w14:paraId="086C23D1" w14:textId="1034F8BD" w:rsidR="00395B24" w:rsidRDefault="00AE6E27" w:rsidP="00663878">
            <w:pPr>
              <w:pStyle w:val="Normal1linespace"/>
              <w:widowControl w:val="0"/>
              <w:jc w:val="left"/>
            </w:pPr>
            <w:bookmarkStart w:id="2" w:name="JudgmentDate"/>
            <w:bookmarkEnd w:id="2"/>
            <w:r w:rsidRPr="00AE6E27">
              <w:t>13 September 2022</w:t>
            </w:r>
          </w:p>
        </w:tc>
      </w:tr>
      <w:tr w:rsidR="00395B24" w14:paraId="11F22E89" w14:textId="77777777" w:rsidTr="003F2038">
        <w:tc>
          <w:tcPr>
            <w:tcW w:w="3083" w:type="dxa"/>
            <w:shd w:val="clear" w:color="auto" w:fill="auto"/>
          </w:tcPr>
          <w:p w14:paraId="10A54377" w14:textId="77777777" w:rsidR="00395B24" w:rsidRDefault="00395B24" w:rsidP="00663878">
            <w:pPr>
              <w:pStyle w:val="Normal1linespace"/>
              <w:widowControl w:val="0"/>
              <w:jc w:val="left"/>
            </w:pPr>
          </w:p>
        </w:tc>
        <w:tc>
          <w:tcPr>
            <w:tcW w:w="5989" w:type="dxa"/>
            <w:shd w:val="clear" w:color="auto" w:fill="auto"/>
          </w:tcPr>
          <w:p w14:paraId="2F19F5A9" w14:textId="77777777" w:rsidR="00395B24" w:rsidRDefault="00395B24" w:rsidP="00663878">
            <w:pPr>
              <w:pStyle w:val="Normal1linespace"/>
              <w:widowControl w:val="0"/>
              <w:jc w:val="left"/>
            </w:pPr>
          </w:p>
        </w:tc>
      </w:tr>
      <w:tr w:rsidR="00395B24" w14:paraId="5CAC4395" w14:textId="77777777" w:rsidTr="003F2038">
        <w:tc>
          <w:tcPr>
            <w:tcW w:w="3083" w:type="dxa"/>
            <w:shd w:val="clear" w:color="auto" w:fill="auto"/>
          </w:tcPr>
          <w:p w14:paraId="12F004F4" w14:textId="77777777" w:rsidR="00395B24" w:rsidRDefault="002C7385" w:rsidP="00663878">
            <w:pPr>
              <w:pStyle w:val="Normal1linespace"/>
              <w:widowControl w:val="0"/>
              <w:jc w:val="left"/>
            </w:pPr>
            <w:r>
              <w:t>Catchwords:</w:t>
            </w:r>
          </w:p>
        </w:tc>
        <w:tc>
          <w:tcPr>
            <w:tcW w:w="5989" w:type="dxa"/>
            <w:shd w:val="clear" w:color="auto" w:fill="auto"/>
          </w:tcPr>
          <w:p w14:paraId="31AEA0C2" w14:textId="4062242F" w:rsidR="00397DA7" w:rsidRDefault="00715751" w:rsidP="00397DA7">
            <w:pPr>
              <w:pStyle w:val="Normal1linespace"/>
              <w:widowControl w:val="0"/>
            </w:pPr>
            <w:bookmarkStart w:id="3" w:name="Catchwords"/>
            <w:r>
              <w:t xml:space="preserve"> </w:t>
            </w:r>
            <w:r w:rsidR="00397DA7" w:rsidRPr="00AE0CE0">
              <w:rPr>
                <w:b/>
              </w:rPr>
              <w:t>TRADE MARKS</w:t>
            </w:r>
            <w:r w:rsidR="00397DA7">
              <w:t xml:space="preserve"> – appeal – </w:t>
            </w:r>
            <w:r w:rsidR="00F0713E">
              <w:t xml:space="preserve">infringement – </w:t>
            </w:r>
            <w:r w:rsidR="00397DA7">
              <w:t>deceptive similarity – whether</w:t>
            </w:r>
            <w:r w:rsidR="00F0713E">
              <w:t>, in determining deceptive similarity, the</w:t>
            </w:r>
            <w:r w:rsidR="00397DA7">
              <w:t xml:space="preserve"> primary judge erred in </w:t>
            </w:r>
            <w:r w:rsidR="00F0713E">
              <w:t>not taking</w:t>
            </w:r>
            <w:r w:rsidR="00397DA7">
              <w:t xml:space="preserve"> into account the </w:t>
            </w:r>
            <w:r w:rsidR="00F0713E">
              <w:t xml:space="preserve">factual </w:t>
            </w:r>
            <w:r w:rsidR="00397DA7">
              <w:t xml:space="preserve">distinctiveness of the appellant’s marks at their respective filing dates – whether primary judge erred in finding the respondents had not used JAZZ CORNER OF THE WORLD and JAZZ CORNER HOTEL as </w:t>
            </w:r>
            <w:proofErr w:type="spellStart"/>
            <w:r w:rsidR="00397DA7">
              <w:t>trade marks</w:t>
            </w:r>
            <w:proofErr w:type="spellEnd"/>
            <w:r w:rsidR="00397DA7">
              <w:t xml:space="preserve"> – notice of contention </w:t>
            </w:r>
            <w:r w:rsidR="005B5088">
              <w:t xml:space="preserve">not required to be considered </w:t>
            </w:r>
            <w:r w:rsidR="003B044A">
              <w:t xml:space="preserve">– </w:t>
            </w:r>
            <w:r w:rsidR="00FC355F">
              <w:t xml:space="preserve">no error in </w:t>
            </w:r>
            <w:r w:rsidR="00420DFB">
              <w:t xml:space="preserve">the </w:t>
            </w:r>
            <w:r w:rsidR="00FC355F">
              <w:t>primary judgment found</w:t>
            </w:r>
          </w:p>
          <w:p w14:paraId="390D6DA9" w14:textId="5DE3953C" w:rsidR="00397DA7" w:rsidRDefault="00397DA7" w:rsidP="00663878">
            <w:pPr>
              <w:pStyle w:val="Normal1linespace"/>
              <w:widowControl w:val="0"/>
              <w:jc w:val="left"/>
            </w:pPr>
          </w:p>
          <w:p w14:paraId="1CFACD8C" w14:textId="51405637" w:rsidR="00395B24" w:rsidRDefault="00397DA7" w:rsidP="00420DFB">
            <w:pPr>
              <w:pStyle w:val="Normal1linespace"/>
              <w:widowControl w:val="0"/>
              <w:jc w:val="left"/>
            </w:pPr>
            <w:r w:rsidRPr="0077028F">
              <w:rPr>
                <w:b/>
              </w:rPr>
              <w:t>COSTS</w:t>
            </w:r>
            <w:r w:rsidR="006C0BBA">
              <w:t xml:space="preserve"> –</w:t>
            </w:r>
            <w:r w:rsidR="00CB7616">
              <w:t xml:space="preserve"> whether </w:t>
            </w:r>
            <w:r w:rsidR="00420DFB">
              <w:t xml:space="preserve">the </w:t>
            </w:r>
            <w:r w:rsidR="00CB7616">
              <w:t xml:space="preserve">primary judge erred in treating the costs of </w:t>
            </w:r>
            <w:r w:rsidR="00420DFB">
              <w:t xml:space="preserve">the </w:t>
            </w:r>
            <w:r w:rsidR="00CB7616">
              <w:t xml:space="preserve">cross-claim in a different </w:t>
            </w:r>
            <w:r w:rsidR="00420DFB">
              <w:t xml:space="preserve">manner </w:t>
            </w:r>
            <w:r w:rsidR="00CB7616">
              <w:t xml:space="preserve">to other defences raised by </w:t>
            </w:r>
            <w:r w:rsidR="00420DFB">
              <w:t xml:space="preserve">the </w:t>
            </w:r>
            <w:r w:rsidR="00CB7616">
              <w:t xml:space="preserve">respondent – whether primary judge erred in </w:t>
            </w:r>
            <w:r w:rsidR="00420DFB">
              <w:t>not taking</w:t>
            </w:r>
            <w:r w:rsidR="00CB7616">
              <w:t xml:space="preserve"> into account </w:t>
            </w:r>
            <w:r w:rsidR="00420DFB">
              <w:t xml:space="preserve">the </w:t>
            </w:r>
            <w:r w:rsidR="00CB7616">
              <w:t xml:space="preserve">partial result obtained by </w:t>
            </w:r>
            <w:r w:rsidR="00420DFB">
              <w:t xml:space="preserve">the </w:t>
            </w:r>
            <w:r w:rsidR="00CB7616">
              <w:t xml:space="preserve">respondent in </w:t>
            </w:r>
            <w:r w:rsidR="00420DFB">
              <w:t xml:space="preserve">the </w:t>
            </w:r>
            <w:r w:rsidR="00CB7616">
              <w:t xml:space="preserve">cross-claim – whether </w:t>
            </w:r>
            <w:r w:rsidR="00420DFB">
              <w:t xml:space="preserve">the </w:t>
            </w:r>
            <w:r w:rsidR="00CB7616">
              <w:t xml:space="preserve">primary judge erred in finding </w:t>
            </w:r>
            <w:r w:rsidR="00420DFB">
              <w:t xml:space="preserve">the </w:t>
            </w:r>
            <w:r w:rsidR="00CB7616">
              <w:t xml:space="preserve">scope of costs dispute to be narrow –  </w:t>
            </w:r>
            <w:r w:rsidR="006E05B4">
              <w:t>no error established</w:t>
            </w:r>
            <w:r w:rsidR="002C7385">
              <w:t xml:space="preserve"> </w:t>
            </w:r>
            <w:bookmarkEnd w:id="3"/>
          </w:p>
        </w:tc>
      </w:tr>
      <w:tr w:rsidR="00395B24" w14:paraId="73894CB8" w14:textId="77777777" w:rsidTr="003F2038">
        <w:tc>
          <w:tcPr>
            <w:tcW w:w="3083" w:type="dxa"/>
            <w:shd w:val="clear" w:color="auto" w:fill="auto"/>
          </w:tcPr>
          <w:p w14:paraId="57A98F28" w14:textId="77777777" w:rsidR="00395B24" w:rsidRDefault="00395B24" w:rsidP="00663878">
            <w:pPr>
              <w:pStyle w:val="Normal1linespace"/>
              <w:widowControl w:val="0"/>
              <w:jc w:val="left"/>
            </w:pPr>
          </w:p>
        </w:tc>
        <w:tc>
          <w:tcPr>
            <w:tcW w:w="5989" w:type="dxa"/>
            <w:shd w:val="clear" w:color="auto" w:fill="auto"/>
          </w:tcPr>
          <w:p w14:paraId="1EE5DE2E" w14:textId="77777777" w:rsidR="00395B24" w:rsidRDefault="00395B24" w:rsidP="00663878">
            <w:pPr>
              <w:pStyle w:val="Normal1linespace"/>
              <w:widowControl w:val="0"/>
              <w:jc w:val="left"/>
            </w:pPr>
          </w:p>
        </w:tc>
      </w:tr>
      <w:tr w:rsidR="00395B24" w14:paraId="5D7AE52E" w14:textId="77777777" w:rsidTr="003F2038">
        <w:tc>
          <w:tcPr>
            <w:tcW w:w="3083" w:type="dxa"/>
            <w:shd w:val="clear" w:color="auto" w:fill="auto"/>
          </w:tcPr>
          <w:p w14:paraId="75513004" w14:textId="77777777" w:rsidR="00395B24" w:rsidRDefault="002C7385" w:rsidP="00663878">
            <w:pPr>
              <w:pStyle w:val="Normal1linespace"/>
              <w:widowControl w:val="0"/>
              <w:jc w:val="left"/>
            </w:pPr>
            <w:r>
              <w:t>Legislation:</w:t>
            </w:r>
          </w:p>
        </w:tc>
        <w:tc>
          <w:tcPr>
            <w:tcW w:w="5989" w:type="dxa"/>
            <w:shd w:val="clear" w:color="auto" w:fill="auto"/>
          </w:tcPr>
          <w:p w14:paraId="2F73F986" w14:textId="26D35C2C" w:rsidR="0042785A" w:rsidRDefault="0042785A" w:rsidP="0042785A">
            <w:pPr>
              <w:pStyle w:val="CasesLegislationAppealFrom"/>
              <w:spacing w:after="60"/>
            </w:pPr>
            <w:bookmarkStart w:id="4" w:name="Legislation"/>
            <w:r w:rsidRPr="0042785A">
              <w:rPr>
                <w:i/>
              </w:rPr>
              <w:t>Federal Court of Australia Act 1976</w:t>
            </w:r>
            <w:r w:rsidRPr="0042785A">
              <w:t xml:space="preserve"> (</w:t>
            </w:r>
            <w:proofErr w:type="spellStart"/>
            <w:r w:rsidRPr="0042785A">
              <w:t>Cth</w:t>
            </w:r>
            <w:proofErr w:type="spellEnd"/>
            <w:r w:rsidRPr="0042785A">
              <w:t>)</w:t>
            </w:r>
          </w:p>
          <w:p w14:paraId="4336287B" w14:textId="77777777" w:rsidR="00A44EE1" w:rsidRPr="0042785A" w:rsidRDefault="00A44EE1" w:rsidP="00A44EE1">
            <w:pPr>
              <w:pStyle w:val="CasesLegislationAppealFrom"/>
              <w:spacing w:after="60"/>
            </w:pPr>
            <w:r w:rsidRPr="0042785A">
              <w:rPr>
                <w:i/>
              </w:rPr>
              <w:t xml:space="preserve">Trade Marks Act 1955 </w:t>
            </w:r>
            <w:r w:rsidRPr="0042785A">
              <w:t>(</w:t>
            </w:r>
            <w:proofErr w:type="spellStart"/>
            <w:r w:rsidRPr="0042785A">
              <w:t>Cth</w:t>
            </w:r>
            <w:proofErr w:type="spellEnd"/>
            <w:r w:rsidRPr="0042785A">
              <w:t>)</w:t>
            </w:r>
          </w:p>
          <w:p w14:paraId="1583D1FD" w14:textId="306FF6E4" w:rsidR="00A44EE1" w:rsidRPr="0042785A" w:rsidRDefault="00A44EE1" w:rsidP="00A44EE1">
            <w:pPr>
              <w:pStyle w:val="CasesLegislationAppealFrom"/>
              <w:spacing w:after="60"/>
            </w:pPr>
            <w:r w:rsidRPr="0042785A">
              <w:rPr>
                <w:i/>
              </w:rPr>
              <w:t>Trade Marks Act 1995</w:t>
            </w:r>
            <w:r w:rsidRPr="0042785A">
              <w:t xml:space="preserve"> (</w:t>
            </w:r>
            <w:proofErr w:type="spellStart"/>
            <w:r w:rsidRPr="0042785A">
              <w:t>Cth</w:t>
            </w:r>
            <w:proofErr w:type="spellEnd"/>
            <w:r w:rsidRPr="0042785A">
              <w:t>)</w:t>
            </w:r>
            <w:r>
              <w:t xml:space="preserve"> </w:t>
            </w:r>
            <w:r w:rsidRPr="00A44EE1">
              <w:t>(repealed)</w:t>
            </w:r>
          </w:p>
          <w:p w14:paraId="0F4B7958" w14:textId="4381F3E8" w:rsidR="0042785A" w:rsidRPr="00A44EE1" w:rsidRDefault="0042785A" w:rsidP="0042785A">
            <w:pPr>
              <w:pStyle w:val="CasesLegislationAppealFrom"/>
              <w:spacing w:after="60"/>
              <w:rPr>
                <w:i/>
              </w:rPr>
            </w:pPr>
            <w:r w:rsidRPr="0042785A">
              <w:rPr>
                <w:i/>
              </w:rPr>
              <w:t>Intellectual Property Laws Amend</w:t>
            </w:r>
            <w:r w:rsidR="00A44EE1">
              <w:rPr>
                <w:i/>
              </w:rPr>
              <w:t>ment (Raising the Bar) Act 2012</w:t>
            </w:r>
            <w:bookmarkEnd w:id="4"/>
          </w:p>
        </w:tc>
      </w:tr>
      <w:tr w:rsidR="0086681C" w14:paraId="2198464E" w14:textId="77777777" w:rsidTr="003F2038">
        <w:tc>
          <w:tcPr>
            <w:tcW w:w="3083" w:type="dxa"/>
            <w:shd w:val="clear" w:color="auto" w:fill="auto"/>
          </w:tcPr>
          <w:p w14:paraId="12CBC71C" w14:textId="77777777" w:rsidR="0086681C" w:rsidRDefault="0086681C" w:rsidP="00501A12">
            <w:pPr>
              <w:pStyle w:val="Normal1linespace"/>
              <w:widowControl w:val="0"/>
            </w:pPr>
            <w:bookmarkStart w:id="5" w:name="SubAreaRow" w:colFirst="0" w:colLast="1"/>
          </w:p>
        </w:tc>
        <w:tc>
          <w:tcPr>
            <w:tcW w:w="5989" w:type="dxa"/>
            <w:shd w:val="clear" w:color="auto" w:fill="auto"/>
          </w:tcPr>
          <w:p w14:paraId="2EA240AF" w14:textId="77777777" w:rsidR="0086681C" w:rsidRDefault="0086681C" w:rsidP="005451BC">
            <w:pPr>
              <w:pStyle w:val="Normal1linespace"/>
              <w:widowControl w:val="0"/>
              <w:jc w:val="left"/>
            </w:pPr>
          </w:p>
        </w:tc>
      </w:tr>
      <w:bookmarkEnd w:id="5"/>
      <w:tr w:rsidR="00395B24" w14:paraId="3B4B297C" w14:textId="77777777" w:rsidTr="003F2038">
        <w:tc>
          <w:tcPr>
            <w:tcW w:w="3083" w:type="dxa"/>
            <w:shd w:val="clear" w:color="auto" w:fill="auto"/>
          </w:tcPr>
          <w:p w14:paraId="3C9D5793" w14:textId="77777777" w:rsidR="00395B24" w:rsidRDefault="002C7385" w:rsidP="00663878">
            <w:pPr>
              <w:pStyle w:val="Normal1linespace"/>
              <w:widowControl w:val="0"/>
              <w:jc w:val="left"/>
            </w:pPr>
            <w:r>
              <w:t>Cases cited:</w:t>
            </w:r>
          </w:p>
        </w:tc>
        <w:tc>
          <w:tcPr>
            <w:tcW w:w="5989" w:type="dxa"/>
            <w:shd w:val="clear" w:color="auto" w:fill="auto"/>
          </w:tcPr>
          <w:p w14:paraId="6FA663BB" w14:textId="1299B52B" w:rsidR="0042785A" w:rsidRPr="0042785A" w:rsidRDefault="0042785A" w:rsidP="0042785A">
            <w:pPr>
              <w:pStyle w:val="CasesLegislationAppealFrom"/>
              <w:spacing w:after="60"/>
            </w:pPr>
            <w:bookmarkStart w:id="6" w:name="Cases_Cited"/>
            <w:r w:rsidRPr="0042785A">
              <w:rPr>
                <w:i/>
              </w:rPr>
              <w:t xml:space="preserve">Australian Meat Group v JBS Australia Pty Ltd </w:t>
            </w:r>
            <w:r w:rsidRPr="0042785A">
              <w:t>(2018) 268 FCR 623</w:t>
            </w:r>
          </w:p>
          <w:p w14:paraId="5D4CDF63" w14:textId="77777777" w:rsidR="0042785A" w:rsidRPr="0042785A" w:rsidRDefault="0042785A" w:rsidP="0042785A">
            <w:pPr>
              <w:pStyle w:val="CasesLegislationAppealFrom"/>
              <w:spacing w:after="60"/>
            </w:pPr>
            <w:r w:rsidRPr="0042785A">
              <w:rPr>
                <w:i/>
              </w:rPr>
              <w:t xml:space="preserve">Australian Woollen Mills v F.S. Walton &amp; Co Ltd </w:t>
            </w:r>
            <w:r w:rsidRPr="0042785A">
              <w:t>(1937) 58 CLR 641</w:t>
            </w:r>
          </w:p>
          <w:p w14:paraId="771AAD80" w14:textId="3B359228" w:rsidR="0042785A" w:rsidRPr="0042785A" w:rsidRDefault="0042785A" w:rsidP="0042785A">
            <w:pPr>
              <w:pStyle w:val="CasesLegislationAppealFrom"/>
              <w:spacing w:after="60"/>
            </w:pPr>
            <w:r w:rsidRPr="0042785A">
              <w:rPr>
                <w:i/>
              </w:rPr>
              <w:t xml:space="preserve">Blount </w:t>
            </w:r>
            <w:proofErr w:type="spellStart"/>
            <w:r w:rsidRPr="0042785A">
              <w:rPr>
                <w:i/>
              </w:rPr>
              <w:t>Inc</w:t>
            </w:r>
            <w:proofErr w:type="spellEnd"/>
            <w:r w:rsidRPr="0042785A">
              <w:rPr>
                <w:i/>
              </w:rPr>
              <w:t xml:space="preserve"> v Registrar of Trade Marks </w:t>
            </w:r>
            <w:r w:rsidR="00D8758A">
              <w:t>(1998) 83 FCR 50</w:t>
            </w:r>
          </w:p>
          <w:p w14:paraId="557EF891" w14:textId="77777777" w:rsidR="0042785A" w:rsidRPr="0042785A" w:rsidRDefault="0042785A" w:rsidP="0042785A">
            <w:pPr>
              <w:pStyle w:val="CasesLegislationAppealFrom"/>
              <w:spacing w:after="60"/>
            </w:pPr>
            <w:proofErr w:type="spellStart"/>
            <w:r w:rsidRPr="0042785A">
              <w:rPr>
                <w:i/>
              </w:rPr>
              <w:t>Branir</w:t>
            </w:r>
            <w:proofErr w:type="spellEnd"/>
            <w:r w:rsidRPr="0042785A">
              <w:rPr>
                <w:i/>
              </w:rPr>
              <w:t xml:space="preserve"> Pty Ltd v </w:t>
            </w:r>
            <w:proofErr w:type="spellStart"/>
            <w:r w:rsidRPr="0042785A">
              <w:rPr>
                <w:i/>
              </w:rPr>
              <w:t>Owston</w:t>
            </w:r>
            <w:proofErr w:type="spellEnd"/>
            <w:r w:rsidRPr="0042785A">
              <w:rPr>
                <w:i/>
              </w:rPr>
              <w:t xml:space="preserve"> Nominees (No 2)</w:t>
            </w:r>
            <w:r w:rsidRPr="0042785A">
              <w:t xml:space="preserve"> [2001] FCA 1833</w:t>
            </w:r>
          </w:p>
          <w:p w14:paraId="0312B044" w14:textId="77777777" w:rsidR="0042785A" w:rsidRPr="0042785A" w:rsidRDefault="0042785A" w:rsidP="0042785A">
            <w:pPr>
              <w:pStyle w:val="CasesLegislationAppealFrom"/>
              <w:spacing w:after="60"/>
            </w:pPr>
            <w:r w:rsidRPr="0042785A">
              <w:rPr>
                <w:i/>
              </w:rPr>
              <w:t>CA</w:t>
            </w:r>
            <w:r w:rsidRPr="0042785A">
              <w:t xml:space="preserve"> </w:t>
            </w:r>
            <w:proofErr w:type="spellStart"/>
            <w:r w:rsidRPr="0042785A">
              <w:rPr>
                <w:i/>
              </w:rPr>
              <w:t>Henschke</w:t>
            </w:r>
            <w:proofErr w:type="spellEnd"/>
            <w:r w:rsidRPr="0042785A">
              <w:rPr>
                <w:i/>
              </w:rPr>
              <w:t xml:space="preserve"> v Rosemount Estates Pty Ltd </w:t>
            </w:r>
            <w:r w:rsidRPr="0042785A">
              <w:t xml:space="preserve">[2000] FCA </w:t>
            </w:r>
            <w:r w:rsidRPr="0042785A">
              <w:lastRenderedPageBreak/>
              <w:t>1539</w:t>
            </w:r>
          </w:p>
          <w:p w14:paraId="7F00CF28" w14:textId="77777777" w:rsidR="0042785A" w:rsidRPr="0042785A" w:rsidRDefault="0042785A" w:rsidP="0042785A">
            <w:pPr>
              <w:pStyle w:val="CasesLegislationAppealFrom"/>
              <w:spacing w:after="60"/>
            </w:pPr>
            <w:r w:rsidRPr="0042785A">
              <w:rPr>
                <w:i/>
              </w:rPr>
              <w:t xml:space="preserve">Christian v </w:t>
            </w:r>
            <w:proofErr w:type="spellStart"/>
            <w:r w:rsidRPr="0042785A">
              <w:rPr>
                <w:i/>
              </w:rPr>
              <w:t>Société</w:t>
            </w:r>
            <w:proofErr w:type="spellEnd"/>
            <w:r w:rsidRPr="0042785A">
              <w:rPr>
                <w:i/>
              </w:rPr>
              <w:t xml:space="preserve"> Des </w:t>
            </w:r>
            <w:proofErr w:type="spellStart"/>
            <w:r w:rsidRPr="0042785A">
              <w:rPr>
                <w:i/>
              </w:rPr>
              <w:t>Produits</w:t>
            </w:r>
            <w:proofErr w:type="spellEnd"/>
            <w:r w:rsidRPr="0042785A">
              <w:rPr>
                <w:i/>
              </w:rPr>
              <w:t xml:space="preserve"> Nestlé SA (No 2) </w:t>
            </w:r>
            <w:r w:rsidRPr="0042785A">
              <w:t>(2015) 115 IPR 421</w:t>
            </w:r>
          </w:p>
          <w:p w14:paraId="5D18230C" w14:textId="77777777" w:rsidR="0042785A" w:rsidRPr="0042785A" w:rsidRDefault="0042785A" w:rsidP="0042785A">
            <w:pPr>
              <w:pStyle w:val="CasesLegislationAppealFrom"/>
              <w:spacing w:after="60"/>
            </w:pPr>
            <w:r w:rsidRPr="0042785A">
              <w:rPr>
                <w:i/>
              </w:rPr>
              <w:t xml:space="preserve">Clark Equipment Company v Registrar of Trade Marks  </w:t>
            </w:r>
            <w:r w:rsidRPr="0042785A">
              <w:t>(1964) 111 CLR 511</w:t>
            </w:r>
          </w:p>
          <w:p w14:paraId="02057B53" w14:textId="77777777" w:rsidR="0042785A" w:rsidRPr="0042785A" w:rsidRDefault="0042785A" w:rsidP="0042785A">
            <w:pPr>
              <w:pStyle w:val="CasesLegislationAppealFrom"/>
              <w:spacing w:after="60"/>
            </w:pPr>
            <w:r w:rsidRPr="0042785A">
              <w:rPr>
                <w:i/>
              </w:rPr>
              <w:t>Coca-Cola Co</w:t>
            </w:r>
            <w:r w:rsidRPr="0042785A">
              <w:t xml:space="preserve"> </w:t>
            </w:r>
            <w:r w:rsidRPr="0042785A">
              <w:rPr>
                <w:i/>
              </w:rPr>
              <w:t>of Canada Ltd v Pepsi Cola Co of Canada</w:t>
            </w:r>
            <w:r w:rsidRPr="0042785A">
              <w:t xml:space="preserve"> (1942) 59 RPC 127</w:t>
            </w:r>
          </w:p>
          <w:p w14:paraId="2758CB36" w14:textId="77777777" w:rsidR="0042785A" w:rsidRPr="0042785A" w:rsidRDefault="0042785A" w:rsidP="0042785A">
            <w:pPr>
              <w:pStyle w:val="CasesLegislationAppealFrom"/>
              <w:spacing w:after="60"/>
            </w:pPr>
            <w:r w:rsidRPr="0042785A">
              <w:rPr>
                <w:i/>
              </w:rPr>
              <w:t xml:space="preserve">Combe International Ltd v Dr August Wolff GmbH &amp; Co KG </w:t>
            </w:r>
            <w:proofErr w:type="spellStart"/>
            <w:r w:rsidRPr="0042785A">
              <w:rPr>
                <w:i/>
              </w:rPr>
              <w:t>Arzneimittel</w:t>
            </w:r>
            <w:proofErr w:type="spellEnd"/>
            <w:r w:rsidRPr="0042785A">
              <w:t xml:space="preserve"> (2021) 157 IPR 230</w:t>
            </w:r>
          </w:p>
          <w:p w14:paraId="1478A8F8" w14:textId="77777777" w:rsidR="0042785A" w:rsidRPr="0042785A" w:rsidRDefault="0042785A" w:rsidP="0042785A">
            <w:pPr>
              <w:pStyle w:val="CasesLegislationAppealFrom"/>
              <w:spacing w:after="60"/>
            </w:pPr>
            <w:r w:rsidRPr="0042785A">
              <w:rPr>
                <w:i/>
              </w:rPr>
              <w:t xml:space="preserve">Cooper Engineering Co Pty Ltd v Sigmund Pumps Ltd </w:t>
            </w:r>
            <w:r w:rsidRPr="0042785A">
              <w:t>(1952) 86 CLR 546</w:t>
            </w:r>
          </w:p>
          <w:p w14:paraId="73F6EE1C" w14:textId="77777777" w:rsidR="0042785A" w:rsidRPr="0042785A" w:rsidRDefault="0042785A" w:rsidP="0042785A">
            <w:pPr>
              <w:pStyle w:val="CasesLegislationAppealFrom"/>
              <w:spacing w:after="60"/>
            </w:pPr>
            <w:r w:rsidRPr="0042785A">
              <w:rPr>
                <w:i/>
              </w:rPr>
              <w:t xml:space="preserve">Crazy Ron’s Communications Pty Ltd v </w:t>
            </w:r>
            <w:proofErr w:type="spellStart"/>
            <w:r w:rsidRPr="0042785A">
              <w:rPr>
                <w:i/>
              </w:rPr>
              <w:t>Mobileworld</w:t>
            </w:r>
            <w:proofErr w:type="spellEnd"/>
            <w:r w:rsidRPr="0042785A">
              <w:rPr>
                <w:i/>
              </w:rPr>
              <w:t xml:space="preserve"> Communications Pty Ltd </w:t>
            </w:r>
            <w:r w:rsidRPr="0042785A">
              <w:t>(2004) 61 IPR 212</w:t>
            </w:r>
          </w:p>
          <w:p w14:paraId="631994F7" w14:textId="77777777" w:rsidR="0042785A" w:rsidRPr="0042785A" w:rsidRDefault="0042785A" w:rsidP="0042785A">
            <w:pPr>
              <w:pStyle w:val="CasesLegislationAppealFrom"/>
              <w:spacing w:after="60"/>
              <w:rPr>
                <w:szCs w:val="24"/>
              </w:rPr>
            </w:pPr>
            <w:r w:rsidRPr="0042785A">
              <w:rPr>
                <w:i/>
                <w:szCs w:val="24"/>
              </w:rPr>
              <w:t xml:space="preserve">Food Channel Network Pty Ltd v Television Food Network GP </w:t>
            </w:r>
            <w:r w:rsidRPr="0042785A">
              <w:rPr>
                <w:szCs w:val="24"/>
              </w:rPr>
              <w:t>(2010) 86 IPR 437</w:t>
            </w:r>
          </w:p>
          <w:p w14:paraId="6774BE0A" w14:textId="77777777" w:rsidR="0042785A" w:rsidRPr="0042785A" w:rsidRDefault="0042785A" w:rsidP="0042785A">
            <w:pPr>
              <w:pStyle w:val="CasesLegislationAppealFrom"/>
              <w:spacing w:after="60"/>
            </w:pPr>
            <w:r w:rsidRPr="0042785A">
              <w:rPr>
                <w:i/>
              </w:rPr>
              <w:t xml:space="preserve">Foots v Southern Cross Mine Management Pty Ltd </w:t>
            </w:r>
            <w:r w:rsidRPr="0042785A">
              <w:t>[2007] HCA 56; (2007) 234 CLR 52</w:t>
            </w:r>
          </w:p>
          <w:p w14:paraId="04AB7E92" w14:textId="77777777" w:rsidR="0042785A" w:rsidRPr="0042785A" w:rsidRDefault="0042785A" w:rsidP="0042785A">
            <w:pPr>
              <w:pStyle w:val="CasesLegislationAppealFrom"/>
              <w:spacing w:after="60"/>
            </w:pPr>
            <w:proofErr w:type="spellStart"/>
            <w:r w:rsidRPr="0042785A">
              <w:rPr>
                <w:i/>
              </w:rPr>
              <w:t>Gray</w:t>
            </w:r>
            <w:proofErr w:type="spellEnd"/>
            <w:r w:rsidRPr="0042785A">
              <w:rPr>
                <w:i/>
              </w:rPr>
              <w:t xml:space="preserve"> v Richards (No 2)</w:t>
            </w:r>
            <w:r w:rsidRPr="0042785A">
              <w:t xml:space="preserve"> [2014] HCA 47;</w:t>
            </w:r>
            <w:r w:rsidRPr="0042785A">
              <w:rPr>
                <w:i/>
              </w:rPr>
              <w:t xml:space="preserve"> </w:t>
            </w:r>
            <w:r w:rsidRPr="0042785A">
              <w:t>(2014) 89 ALJR 113</w:t>
            </w:r>
          </w:p>
          <w:p w14:paraId="422360F5" w14:textId="77777777" w:rsidR="0042785A" w:rsidRPr="0042785A" w:rsidRDefault="0042785A" w:rsidP="0042785A">
            <w:pPr>
              <w:pStyle w:val="CasesLegislationAppealFrom"/>
              <w:spacing w:after="60"/>
            </w:pPr>
            <w:r w:rsidRPr="0042785A">
              <w:rPr>
                <w:i/>
              </w:rPr>
              <w:t>Hansen</w:t>
            </w:r>
            <w:r w:rsidRPr="0042785A">
              <w:t xml:space="preserve"> </w:t>
            </w:r>
            <w:r w:rsidRPr="0042785A">
              <w:rPr>
                <w:i/>
              </w:rPr>
              <w:t xml:space="preserve">Beverage Company v </w:t>
            </w:r>
            <w:proofErr w:type="spellStart"/>
            <w:r w:rsidRPr="0042785A">
              <w:rPr>
                <w:i/>
              </w:rPr>
              <w:t>Bickfords</w:t>
            </w:r>
            <w:proofErr w:type="spellEnd"/>
            <w:r w:rsidRPr="0042785A">
              <w:rPr>
                <w:i/>
              </w:rPr>
              <w:t xml:space="preserve"> (Australia) Pty Ltd (No 2) </w:t>
            </w:r>
            <w:r w:rsidRPr="0042785A">
              <w:t>[2008] FCA 601</w:t>
            </w:r>
          </w:p>
          <w:p w14:paraId="624B8080" w14:textId="77777777" w:rsidR="0042785A" w:rsidRPr="0042785A" w:rsidRDefault="0042785A" w:rsidP="0042785A">
            <w:pPr>
              <w:pStyle w:val="CasesLegislationAppealFrom"/>
              <w:spacing w:after="60"/>
            </w:pPr>
            <w:r w:rsidRPr="0042785A">
              <w:rPr>
                <w:i/>
              </w:rPr>
              <w:t xml:space="preserve">Hashtag Burgers Pty Ltd &amp; </w:t>
            </w:r>
            <w:proofErr w:type="spellStart"/>
            <w:r w:rsidRPr="0042785A">
              <w:rPr>
                <w:i/>
              </w:rPr>
              <w:t>Ors</w:t>
            </w:r>
            <w:proofErr w:type="spellEnd"/>
            <w:r w:rsidRPr="0042785A">
              <w:rPr>
                <w:i/>
              </w:rPr>
              <w:t xml:space="preserve"> v In-N-Out Burgers, </w:t>
            </w:r>
            <w:proofErr w:type="spellStart"/>
            <w:r w:rsidRPr="0042785A">
              <w:rPr>
                <w:i/>
              </w:rPr>
              <w:t>Inc</w:t>
            </w:r>
            <w:proofErr w:type="spellEnd"/>
            <w:r w:rsidRPr="0042785A">
              <w:rPr>
                <w:i/>
              </w:rPr>
              <w:t xml:space="preserve"> </w:t>
            </w:r>
            <w:r w:rsidRPr="0042785A">
              <w:t>[2020] FCAFC 235</w:t>
            </w:r>
          </w:p>
          <w:p w14:paraId="058DA51E" w14:textId="77777777" w:rsidR="0042785A" w:rsidRPr="0042785A" w:rsidRDefault="0042785A" w:rsidP="0042785A">
            <w:pPr>
              <w:pStyle w:val="CasesLegislationAppealFrom"/>
              <w:spacing w:after="60"/>
            </w:pPr>
            <w:proofErr w:type="spellStart"/>
            <w:r w:rsidRPr="0042785A">
              <w:rPr>
                <w:i/>
              </w:rPr>
              <w:t>Homart</w:t>
            </w:r>
            <w:proofErr w:type="spellEnd"/>
            <w:r w:rsidRPr="0042785A">
              <w:rPr>
                <w:i/>
              </w:rPr>
              <w:t xml:space="preserve"> Pharmaceuticals Pty Ltd v </w:t>
            </w:r>
            <w:proofErr w:type="spellStart"/>
            <w:r w:rsidRPr="0042785A">
              <w:rPr>
                <w:i/>
              </w:rPr>
              <w:t>Careline</w:t>
            </w:r>
            <w:proofErr w:type="spellEnd"/>
            <w:r w:rsidRPr="0042785A">
              <w:rPr>
                <w:i/>
              </w:rPr>
              <w:t xml:space="preserve"> Australia Pty Ltd</w:t>
            </w:r>
            <w:r w:rsidRPr="0042785A">
              <w:t xml:space="preserve"> (2018) 264 FCR 422</w:t>
            </w:r>
          </w:p>
          <w:p w14:paraId="2604119E" w14:textId="77777777" w:rsidR="0042785A" w:rsidRPr="0042785A" w:rsidRDefault="0042785A" w:rsidP="0042785A">
            <w:pPr>
              <w:pStyle w:val="CasesLegislationAppealFrom"/>
              <w:spacing w:after="60"/>
              <w:rPr>
                <w:szCs w:val="24"/>
              </w:rPr>
            </w:pPr>
            <w:r w:rsidRPr="0042785A">
              <w:rPr>
                <w:i/>
                <w:szCs w:val="24"/>
              </w:rPr>
              <w:t>House v The King</w:t>
            </w:r>
            <w:r w:rsidRPr="0042785A">
              <w:rPr>
                <w:szCs w:val="24"/>
              </w:rPr>
              <w:t xml:space="preserve"> (1936) 55</w:t>
            </w:r>
            <w:r w:rsidRPr="0042785A">
              <w:rPr>
                <w:spacing w:val="-1"/>
                <w:szCs w:val="24"/>
              </w:rPr>
              <w:t xml:space="preserve"> </w:t>
            </w:r>
            <w:r w:rsidRPr="0042785A">
              <w:rPr>
                <w:szCs w:val="24"/>
              </w:rPr>
              <w:t>CLR</w:t>
            </w:r>
            <w:r w:rsidRPr="0042785A">
              <w:rPr>
                <w:spacing w:val="-5"/>
                <w:szCs w:val="24"/>
              </w:rPr>
              <w:t xml:space="preserve"> </w:t>
            </w:r>
            <w:r w:rsidRPr="0042785A">
              <w:rPr>
                <w:szCs w:val="24"/>
              </w:rPr>
              <w:t>499</w:t>
            </w:r>
          </w:p>
          <w:p w14:paraId="0524AA33" w14:textId="77777777" w:rsidR="0042785A" w:rsidRPr="0042785A" w:rsidRDefault="0042785A" w:rsidP="0042785A">
            <w:pPr>
              <w:pStyle w:val="CasesLegislationAppealFrom"/>
              <w:spacing w:after="60"/>
            </w:pPr>
            <w:proofErr w:type="spellStart"/>
            <w:r w:rsidRPr="0042785A">
              <w:rPr>
                <w:i/>
              </w:rPr>
              <w:t>Idameneo</w:t>
            </w:r>
            <w:proofErr w:type="spellEnd"/>
            <w:r w:rsidRPr="0042785A">
              <w:rPr>
                <w:i/>
              </w:rPr>
              <w:t xml:space="preserve"> (No 789) Ltd v </w:t>
            </w:r>
            <w:proofErr w:type="spellStart"/>
            <w:r w:rsidRPr="0042785A">
              <w:rPr>
                <w:i/>
              </w:rPr>
              <w:t>Symbion</w:t>
            </w:r>
            <w:proofErr w:type="spellEnd"/>
            <w:r w:rsidRPr="0042785A">
              <w:rPr>
                <w:i/>
              </w:rPr>
              <w:t xml:space="preserve"> Pharmacy Services Pty Ltd</w:t>
            </w:r>
            <w:r w:rsidRPr="0042785A">
              <w:t xml:space="preserve"> [2011] FCAFC 164</w:t>
            </w:r>
          </w:p>
          <w:p w14:paraId="6AA22B29" w14:textId="77777777" w:rsidR="0042785A" w:rsidRPr="0042785A" w:rsidRDefault="0042785A" w:rsidP="0042785A">
            <w:pPr>
              <w:pStyle w:val="CasesLegislationAppealFrom"/>
              <w:spacing w:after="60"/>
            </w:pPr>
            <w:r w:rsidRPr="0042785A">
              <w:rPr>
                <w:i/>
              </w:rPr>
              <w:t xml:space="preserve">Mantra Group Pty Ltd v </w:t>
            </w:r>
            <w:proofErr w:type="spellStart"/>
            <w:r w:rsidRPr="0042785A">
              <w:rPr>
                <w:i/>
              </w:rPr>
              <w:t>Tailly</w:t>
            </w:r>
            <w:proofErr w:type="spellEnd"/>
            <w:r w:rsidRPr="0042785A">
              <w:rPr>
                <w:i/>
              </w:rPr>
              <w:t xml:space="preserve"> Pty Ltd (No 2) </w:t>
            </w:r>
            <w:r w:rsidRPr="0042785A">
              <w:t>(2010) 183 FCR 450</w:t>
            </w:r>
          </w:p>
          <w:p w14:paraId="6A5EAC6B" w14:textId="77777777" w:rsidR="0042785A" w:rsidRPr="0042785A" w:rsidRDefault="0042785A" w:rsidP="0042785A">
            <w:pPr>
              <w:pStyle w:val="CasesLegislationAppealFrom"/>
              <w:spacing w:after="60"/>
            </w:pPr>
            <w:r w:rsidRPr="0042785A">
              <w:rPr>
                <w:i/>
              </w:rPr>
              <w:t xml:space="preserve">Melbourne Chinese Press Pty Ltd v Australian Chinese Newspapers Pty Ltd </w:t>
            </w:r>
            <w:r w:rsidRPr="0042785A">
              <w:t>(2004) 63 IPR 38</w:t>
            </w:r>
          </w:p>
          <w:p w14:paraId="4D096D9F" w14:textId="77777777" w:rsidR="0042785A" w:rsidRPr="0042785A" w:rsidRDefault="0042785A" w:rsidP="0042785A">
            <w:pPr>
              <w:pStyle w:val="CasesLegislationAppealFrom"/>
              <w:spacing w:after="60"/>
            </w:pPr>
            <w:r w:rsidRPr="0042785A">
              <w:rPr>
                <w:i/>
              </w:rPr>
              <w:t xml:space="preserve">MID Sydney Pty Ltd v Australian Tourism Co Ltd </w:t>
            </w:r>
            <w:r w:rsidRPr="0042785A">
              <w:t>(1998) 42 IPR 561</w:t>
            </w:r>
          </w:p>
          <w:p w14:paraId="7DBF440D" w14:textId="77777777" w:rsidR="0042785A" w:rsidRPr="0042785A" w:rsidRDefault="0042785A" w:rsidP="0042785A">
            <w:pPr>
              <w:pStyle w:val="CasesLegislationAppealFrom"/>
              <w:spacing w:after="60"/>
            </w:pPr>
            <w:r w:rsidRPr="0042785A">
              <w:rPr>
                <w:i/>
              </w:rPr>
              <w:t>New South Wales Dairy Corporation v Murray-Goulburn Co-operative Company Ltd (No 1)</w:t>
            </w:r>
            <w:r w:rsidRPr="0042785A">
              <w:t xml:space="preserve"> (1989) 14 IPR 26</w:t>
            </w:r>
          </w:p>
          <w:p w14:paraId="2DA29804" w14:textId="77777777" w:rsidR="0042785A" w:rsidRPr="0042785A" w:rsidRDefault="0042785A" w:rsidP="0042785A">
            <w:pPr>
              <w:pStyle w:val="CasesLegislationAppealFrom"/>
              <w:spacing w:after="60"/>
            </w:pPr>
            <w:r w:rsidRPr="0042785A">
              <w:rPr>
                <w:i/>
              </w:rPr>
              <w:t>Optical</w:t>
            </w:r>
            <w:r w:rsidRPr="0042785A">
              <w:t xml:space="preserve"> </w:t>
            </w:r>
            <w:r w:rsidRPr="0042785A">
              <w:rPr>
                <w:i/>
              </w:rPr>
              <w:t>88</w:t>
            </w:r>
            <w:r w:rsidRPr="0042785A">
              <w:t xml:space="preserve"> </w:t>
            </w:r>
            <w:r w:rsidRPr="0042785A">
              <w:rPr>
                <w:i/>
              </w:rPr>
              <w:t>Ltd v Optical 88 Pty Ltd (No 2)</w:t>
            </w:r>
            <w:r w:rsidRPr="0042785A">
              <w:t xml:space="preserve"> [2010] FCA 1380</w:t>
            </w:r>
          </w:p>
          <w:p w14:paraId="51AE9D81" w14:textId="77777777" w:rsidR="0042785A" w:rsidRPr="0042785A" w:rsidRDefault="0042785A" w:rsidP="0042785A">
            <w:pPr>
              <w:pStyle w:val="CasesLegislationAppealFrom"/>
              <w:spacing w:after="60"/>
            </w:pPr>
            <w:proofErr w:type="spellStart"/>
            <w:r w:rsidRPr="0042785A">
              <w:rPr>
                <w:i/>
              </w:rPr>
              <w:t>Oshlack</w:t>
            </w:r>
            <w:proofErr w:type="spellEnd"/>
            <w:r w:rsidRPr="0042785A">
              <w:rPr>
                <w:i/>
                <w:spacing w:val="20"/>
              </w:rPr>
              <w:t xml:space="preserve"> </w:t>
            </w:r>
            <w:r w:rsidRPr="0042785A">
              <w:rPr>
                <w:i/>
              </w:rPr>
              <w:t>v</w:t>
            </w:r>
            <w:r w:rsidRPr="0042785A">
              <w:rPr>
                <w:i/>
                <w:spacing w:val="20"/>
              </w:rPr>
              <w:t xml:space="preserve"> </w:t>
            </w:r>
            <w:r w:rsidRPr="0042785A">
              <w:rPr>
                <w:i/>
              </w:rPr>
              <w:t>Richmond</w:t>
            </w:r>
            <w:r w:rsidRPr="0042785A">
              <w:rPr>
                <w:i/>
                <w:spacing w:val="21"/>
              </w:rPr>
              <w:t xml:space="preserve"> </w:t>
            </w:r>
            <w:r w:rsidRPr="0042785A">
              <w:rPr>
                <w:i/>
              </w:rPr>
              <w:t>River</w:t>
            </w:r>
            <w:r w:rsidRPr="0042785A">
              <w:rPr>
                <w:i/>
                <w:spacing w:val="21"/>
              </w:rPr>
              <w:t xml:space="preserve"> </w:t>
            </w:r>
            <w:r w:rsidRPr="0042785A">
              <w:rPr>
                <w:i/>
              </w:rPr>
              <w:t>Council</w:t>
            </w:r>
            <w:r w:rsidRPr="0042785A">
              <w:rPr>
                <w:i/>
                <w:spacing w:val="21"/>
              </w:rPr>
              <w:t xml:space="preserve"> </w:t>
            </w:r>
            <w:r w:rsidRPr="0042785A">
              <w:t>[1998] HCA 11</w:t>
            </w:r>
            <w:r w:rsidRPr="0042785A">
              <w:rPr>
                <w:spacing w:val="21"/>
              </w:rPr>
              <w:t xml:space="preserve">; </w:t>
            </w:r>
            <w:r w:rsidRPr="0042785A">
              <w:t>(1998)</w:t>
            </w:r>
            <w:r w:rsidRPr="0042785A">
              <w:rPr>
                <w:spacing w:val="20"/>
              </w:rPr>
              <w:t xml:space="preserve"> </w:t>
            </w:r>
            <w:r w:rsidRPr="0042785A">
              <w:t>193</w:t>
            </w:r>
            <w:r w:rsidRPr="0042785A">
              <w:rPr>
                <w:spacing w:val="21"/>
              </w:rPr>
              <w:t xml:space="preserve"> </w:t>
            </w:r>
            <w:r w:rsidRPr="0042785A">
              <w:t>CLR</w:t>
            </w:r>
            <w:r w:rsidRPr="0042785A">
              <w:rPr>
                <w:spacing w:val="21"/>
              </w:rPr>
              <w:t xml:space="preserve"> </w:t>
            </w:r>
            <w:r w:rsidRPr="0042785A">
              <w:t>72</w:t>
            </w:r>
          </w:p>
          <w:p w14:paraId="32DD45B7" w14:textId="77777777" w:rsidR="0042785A" w:rsidRPr="0042785A" w:rsidRDefault="0042785A" w:rsidP="0042785A">
            <w:pPr>
              <w:pStyle w:val="CasesLegislationAppealFrom"/>
              <w:spacing w:after="60"/>
            </w:pPr>
            <w:r w:rsidRPr="0042785A">
              <w:rPr>
                <w:i/>
              </w:rPr>
              <w:t xml:space="preserve">Oxford University Press v Register of Trade Marks </w:t>
            </w:r>
            <w:r w:rsidRPr="0042785A">
              <w:t>[1990] 24 FCR 1</w:t>
            </w:r>
          </w:p>
          <w:p w14:paraId="6DC84DE0" w14:textId="77777777" w:rsidR="0042785A" w:rsidRPr="0042785A" w:rsidRDefault="0042785A" w:rsidP="0042785A">
            <w:pPr>
              <w:pStyle w:val="CasesLegislationAppealFrom"/>
              <w:spacing w:after="60"/>
            </w:pPr>
            <w:r w:rsidRPr="0042785A">
              <w:rPr>
                <w:i/>
              </w:rPr>
              <w:t xml:space="preserve">Pacific Publications Pty Ltd v IPC Media Pty Ltd </w:t>
            </w:r>
            <w:r w:rsidRPr="0042785A">
              <w:t>(2003) 57 IPR 28</w:t>
            </w:r>
          </w:p>
          <w:p w14:paraId="386086C2" w14:textId="77777777" w:rsidR="0042785A" w:rsidRPr="0042785A" w:rsidRDefault="0042785A" w:rsidP="0042785A">
            <w:pPr>
              <w:pStyle w:val="CasesLegislationAppealFrom"/>
              <w:spacing w:after="60"/>
            </w:pPr>
            <w:r w:rsidRPr="0042785A">
              <w:rPr>
                <w:i/>
              </w:rPr>
              <w:t xml:space="preserve">PDP Capital Pty Ltd v Grasshopper Ventures Pty Ltd </w:t>
            </w:r>
            <w:r w:rsidRPr="0042785A">
              <w:lastRenderedPageBreak/>
              <w:t>(2021) 160 IPR 174</w:t>
            </w:r>
          </w:p>
          <w:p w14:paraId="6A1E8808" w14:textId="77777777" w:rsidR="0042785A" w:rsidRPr="0042785A" w:rsidRDefault="0042785A" w:rsidP="0042785A">
            <w:pPr>
              <w:pStyle w:val="CasesLegislationAppealFrom"/>
              <w:spacing w:after="60"/>
            </w:pPr>
            <w:r w:rsidRPr="0042785A">
              <w:rPr>
                <w:i/>
              </w:rPr>
              <w:t>Pham Global Pty Ltd v Insight Clinical Imaging Pty Ltd</w:t>
            </w:r>
            <w:r w:rsidRPr="0042785A">
              <w:t xml:space="preserve"> (2017) 141 IPR 1</w:t>
            </w:r>
          </w:p>
          <w:p w14:paraId="305586A8" w14:textId="77777777" w:rsidR="0042785A" w:rsidRPr="0042785A" w:rsidRDefault="0042785A" w:rsidP="0042785A">
            <w:pPr>
              <w:pStyle w:val="CasesLegislationAppealFrom"/>
              <w:spacing w:after="60"/>
            </w:pPr>
            <w:r w:rsidRPr="0042785A">
              <w:rPr>
                <w:i/>
              </w:rPr>
              <w:t>Ruddock</w:t>
            </w:r>
            <w:r w:rsidRPr="0042785A">
              <w:rPr>
                <w:i/>
                <w:spacing w:val="-10"/>
              </w:rPr>
              <w:t xml:space="preserve"> </w:t>
            </w:r>
            <w:r w:rsidRPr="0042785A">
              <w:rPr>
                <w:i/>
              </w:rPr>
              <w:t>v</w:t>
            </w:r>
            <w:r w:rsidRPr="0042785A">
              <w:rPr>
                <w:i/>
                <w:spacing w:val="-10"/>
              </w:rPr>
              <w:t xml:space="preserve"> </w:t>
            </w:r>
            <w:proofErr w:type="spellStart"/>
            <w:r w:rsidRPr="0042785A">
              <w:rPr>
                <w:i/>
              </w:rPr>
              <w:t>Vadarlis</w:t>
            </w:r>
            <w:proofErr w:type="spellEnd"/>
            <w:r w:rsidRPr="0042785A">
              <w:rPr>
                <w:i/>
                <w:spacing w:val="-6"/>
              </w:rPr>
              <w:t xml:space="preserve"> </w:t>
            </w:r>
            <w:r w:rsidRPr="0042785A">
              <w:rPr>
                <w:i/>
              </w:rPr>
              <w:t>(No</w:t>
            </w:r>
            <w:r w:rsidRPr="0042785A">
              <w:rPr>
                <w:i/>
                <w:spacing w:val="-1"/>
              </w:rPr>
              <w:t xml:space="preserve"> </w:t>
            </w:r>
            <w:r w:rsidRPr="0042785A">
              <w:rPr>
                <w:i/>
              </w:rPr>
              <w:t>2)</w:t>
            </w:r>
            <w:r w:rsidRPr="0042785A">
              <w:rPr>
                <w:i/>
                <w:spacing w:val="-12"/>
              </w:rPr>
              <w:t xml:space="preserve"> </w:t>
            </w:r>
            <w:r w:rsidRPr="0042785A">
              <w:t>[2001] FCA 1865; (2001) 115 FCR 229</w:t>
            </w:r>
          </w:p>
          <w:p w14:paraId="5C1B9626" w14:textId="77777777" w:rsidR="0042785A" w:rsidRPr="0042785A" w:rsidRDefault="0042785A" w:rsidP="0042785A">
            <w:pPr>
              <w:pStyle w:val="CasesLegislationAppealFrom"/>
              <w:spacing w:after="60"/>
            </w:pPr>
            <w:r w:rsidRPr="0042785A">
              <w:rPr>
                <w:i/>
              </w:rPr>
              <w:t>S &amp; I Publishing Pty Ltd v Australian Surf Life Saver Pty Ltd</w:t>
            </w:r>
            <w:r w:rsidRPr="0042785A">
              <w:t xml:space="preserve"> (1998) 43 IPR 581</w:t>
            </w:r>
          </w:p>
          <w:p w14:paraId="295C15B5" w14:textId="77777777" w:rsidR="0042785A" w:rsidRPr="0042785A" w:rsidRDefault="0042785A" w:rsidP="0042785A">
            <w:pPr>
              <w:pStyle w:val="CasesLegislationAppealFrom"/>
              <w:spacing w:after="60"/>
            </w:pPr>
            <w:r w:rsidRPr="0042785A">
              <w:rPr>
                <w:i/>
              </w:rPr>
              <w:t>Shell Co of Australia Ltd v Esso Standard Oil (</w:t>
            </w:r>
            <w:proofErr w:type="spellStart"/>
            <w:r w:rsidRPr="0042785A">
              <w:rPr>
                <w:i/>
              </w:rPr>
              <w:t>Aust</w:t>
            </w:r>
            <w:proofErr w:type="spellEnd"/>
            <w:r w:rsidRPr="0042785A">
              <w:rPr>
                <w:i/>
              </w:rPr>
              <w:t xml:space="preserve">) Ltd </w:t>
            </w:r>
            <w:r w:rsidRPr="0042785A">
              <w:t>(1963) 109 CLR 407</w:t>
            </w:r>
          </w:p>
          <w:p w14:paraId="4CB99BCB" w14:textId="77777777" w:rsidR="0042785A" w:rsidRPr="0042785A" w:rsidRDefault="0042785A" w:rsidP="0042785A">
            <w:pPr>
              <w:pStyle w:val="CasesLegislationAppealFrom"/>
              <w:spacing w:after="60"/>
            </w:pPr>
            <w:proofErr w:type="spellStart"/>
            <w:r w:rsidRPr="0042785A">
              <w:rPr>
                <w:i/>
              </w:rPr>
              <w:t>Swancom</w:t>
            </w:r>
            <w:proofErr w:type="spellEnd"/>
            <w:r w:rsidRPr="0042785A">
              <w:rPr>
                <w:i/>
              </w:rPr>
              <w:t xml:space="preserve"> Pty Ltd v The Jazz Corner Hotel Pty Ltd (No 2)</w:t>
            </w:r>
            <w:r w:rsidRPr="0042785A">
              <w:t xml:space="preserve"> [2021] FCA 328</w:t>
            </w:r>
          </w:p>
          <w:p w14:paraId="079A88D3" w14:textId="77777777" w:rsidR="0042785A" w:rsidRPr="0042785A" w:rsidRDefault="0042785A" w:rsidP="0042785A">
            <w:pPr>
              <w:pStyle w:val="CasesLegislationAppealFrom"/>
              <w:spacing w:after="60"/>
            </w:pPr>
            <w:proofErr w:type="spellStart"/>
            <w:r w:rsidRPr="0042785A">
              <w:rPr>
                <w:i/>
              </w:rPr>
              <w:t>Swancom</w:t>
            </w:r>
            <w:proofErr w:type="spellEnd"/>
            <w:r w:rsidRPr="0042785A">
              <w:rPr>
                <w:i/>
              </w:rPr>
              <w:t xml:space="preserve"> Pty Ltd v The Jazz Corner Hotel Pty Ltd (No 3)</w:t>
            </w:r>
            <w:r w:rsidRPr="0042785A">
              <w:t xml:space="preserve"> [2021] FCA 729</w:t>
            </w:r>
          </w:p>
          <w:p w14:paraId="4E7FC478" w14:textId="77777777" w:rsidR="0042785A" w:rsidRPr="0042785A" w:rsidRDefault="0042785A" w:rsidP="0042785A">
            <w:pPr>
              <w:pStyle w:val="CasesLegislationAppealFrom"/>
              <w:spacing w:after="60"/>
            </w:pPr>
            <w:proofErr w:type="spellStart"/>
            <w:r w:rsidRPr="0042785A">
              <w:rPr>
                <w:i/>
              </w:rPr>
              <w:t>Verrocchi</w:t>
            </w:r>
            <w:proofErr w:type="spellEnd"/>
            <w:r w:rsidRPr="0042785A">
              <w:rPr>
                <w:i/>
              </w:rPr>
              <w:t xml:space="preserve"> v Direct Chemist Outlet Pty Ltd</w:t>
            </w:r>
            <w:r w:rsidRPr="0042785A">
              <w:t xml:space="preserve"> (2016) 247 FCR 570</w:t>
            </w:r>
          </w:p>
          <w:p w14:paraId="31CA5C7E" w14:textId="16A103D1" w:rsidR="0042785A" w:rsidRPr="0042785A" w:rsidRDefault="0042785A" w:rsidP="0042785A">
            <w:pPr>
              <w:pStyle w:val="CasesLegislationAppealFrom"/>
              <w:spacing w:after="60"/>
            </w:pPr>
            <w:r w:rsidRPr="0042785A">
              <w:rPr>
                <w:i/>
              </w:rPr>
              <w:t xml:space="preserve">Victoria v </w:t>
            </w:r>
            <w:proofErr w:type="spellStart"/>
            <w:r w:rsidRPr="0042785A">
              <w:rPr>
                <w:i/>
              </w:rPr>
              <w:t>Sportsbet</w:t>
            </w:r>
            <w:proofErr w:type="spellEnd"/>
            <w:r w:rsidRPr="0042785A">
              <w:rPr>
                <w:i/>
              </w:rPr>
              <w:t xml:space="preserve"> Pty Ltd (No 2) </w:t>
            </w:r>
            <w:r w:rsidRPr="0042785A">
              <w:t>[2012] FCAFC 174</w:t>
            </w:r>
            <w:bookmarkEnd w:id="6"/>
          </w:p>
        </w:tc>
      </w:tr>
      <w:tr w:rsidR="00BC033D" w14:paraId="0A727EBD" w14:textId="77777777" w:rsidTr="003F2038">
        <w:tc>
          <w:tcPr>
            <w:tcW w:w="3083" w:type="dxa"/>
            <w:shd w:val="clear" w:color="auto" w:fill="auto"/>
          </w:tcPr>
          <w:p w14:paraId="4D836079" w14:textId="77777777" w:rsidR="00BC033D" w:rsidRDefault="00BC033D" w:rsidP="00ED286B">
            <w:pPr>
              <w:pStyle w:val="Normal1linespace"/>
              <w:widowControl w:val="0"/>
            </w:pPr>
          </w:p>
        </w:tc>
        <w:tc>
          <w:tcPr>
            <w:tcW w:w="5989" w:type="dxa"/>
            <w:shd w:val="clear" w:color="auto" w:fill="auto"/>
          </w:tcPr>
          <w:p w14:paraId="4418E769" w14:textId="77777777" w:rsidR="00BC033D" w:rsidRDefault="00BC033D" w:rsidP="00ED286B">
            <w:pPr>
              <w:pStyle w:val="Normal1linespace"/>
              <w:widowControl w:val="0"/>
              <w:jc w:val="left"/>
            </w:pPr>
          </w:p>
        </w:tc>
      </w:tr>
      <w:tr w:rsidR="00BC033D" w14:paraId="3BF13A71" w14:textId="77777777" w:rsidTr="003F2038">
        <w:tc>
          <w:tcPr>
            <w:tcW w:w="3083" w:type="dxa"/>
            <w:shd w:val="clear" w:color="auto" w:fill="auto"/>
          </w:tcPr>
          <w:p w14:paraId="6574D919" w14:textId="77777777" w:rsidR="00BC033D" w:rsidRDefault="00BC033D" w:rsidP="00501A12">
            <w:pPr>
              <w:pStyle w:val="Normal1linespace"/>
              <w:widowControl w:val="0"/>
            </w:pPr>
            <w:r>
              <w:t>Division:</w:t>
            </w:r>
          </w:p>
        </w:tc>
        <w:tc>
          <w:tcPr>
            <w:tcW w:w="5989" w:type="dxa"/>
            <w:shd w:val="clear" w:color="auto" w:fill="auto"/>
          </w:tcPr>
          <w:p w14:paraId="4EB97603" w14:textId="77777777" w:rsidR="00BC033D" w:rsidRPr="00F17599" w:rsidRDefault="00E54669" w:rsidP="00501A12">
            <w:pPr>
              <w:pStyle w:val="Normal1linespace"/>
              <w:widowControl w:val="0"/>
              <w:jc w:val="left"/>
            </w:pPr>
            <w:r>
              <w:fldChar w:fldCharType="begin"/>
            </w:r>
            <w:r>
              <w:instrText xml:space="preserve"> DOCPROPERTY  Division </w:instrText>
            </w:r>
            <w:r>
              <w:fldChar w:fldCharType="separate"/>
            </w:r>
            <w:r w:rsidR="001C7A8C">
              <w:t>General Division</w:t>
            </w:r>
            <w:r>
              <w:fldChar w:fldCharType="end"/>
            </w:r>
          </w:p>
        </w:tc>
      </w:tr>
      <w:tr w:rsidR="00BC033D" w14:paraId="204BDC39" w14:textId="77777777" w:rsidTr="003F2038">
        <w:tc>
          <w:tcPr>
            <w:tcW w:w="3083" w:type="dxa"/>
            <w:shd w:val="clear" w:color="auto" w:fill="auto"/>
          </w:tcPr>
          <w:p w14:paraId="305BC35D" w14:textId="77777777" w:rsidR="00BC033D" w:rsidRDefault="00BC033D" w:rsidP="00501A12">
            <w:pPr>
              <w:pStyle w:val="Normal1linespace"/>
              <w:widowControl w:val="0"/>
            </w:pPr>
          </w:p>
        </w:tc>
        <w:tc>
          <w:tcPr>
            <w:tcW w:w="5989" w:type="dxa"/>
            <w:shd w:val="clear" w:color="auto" w:fill="auto"/>
          </w:tcPr>
          <w:p w14:paraId="4B62971C" w14:textId="77777777" w:rsidR="00BC033D" w:rsidRDefault="00BC033D" w:rsidP="00501A12">
            <w:pPr>
              <w:pStyle w:val="Normal1linespace"/>
              <w:widowControl w:val="0"/>
              <w:jc w:val="left"/>
            </w:pPr>
          </w:p>
        </w:tc>
      </w:tr>
      <w:tr w:rsidR="00BC033D" w14:paraId="74AEF975" w14:textId="77777777" w:rsidTr="003F2038">
        <w:tc>
          <w:tcPr>
            <w:tcW w:w="3083" w:type="dxa"/>
            <w:shd w:val="clear" w:color="auto" w:fill="auto"/>
          </w:tcPr>
          <w:p w14:paraId="194C4263" w14:textId="77777777" w:rsidR="00BC033D" w:rsidRDefault="00BC033D" w:rsidP="00501A12">
            <w:pPr>
              <w:pStyle w:val="Normal1linespace"/>
              <w:widowControl w:val="0"/>
            </w:pPr>
            <w:r>
              <w:t>Registry:</w:t>
            </w:r>
          </w:p>
        </w:tc>
        <w:tc>
          <w:tcPr>
            <w:tcW w:w="5989" w:type="dxa"/>
            <w:shd w:val="clear" w:color="auto" w:fill="auto"/>
          </w:tcPr>
          <w:p w14:paraId="1D9B94FA" w14:textId="77777777" w:rsidR="00BC033D" w:rsidRPr="00F17599" w:rsidRDefault="00E54669" w:rsidP="00501A12">
            <w:pPr>
              <w:pStyle w:val="Normal1linespace"/>
              <w:widowControl w:val="0"/>
              <w:jc w:val="left"/>
            </w:pPr>
            <w:r>
              <w:fldChar w:fldCharType="begin"/>
            </w:r>
            <w:r>
              <w:instrText xml:space="preserve"> DOCPROPERTY  Registry </w:instrText>
            </w:r>
            <w:r>
              <w:fldChar w:fldCharType="separate"/>
            </w:r>
            <w:r w:rsidR="001C7A8C">
              <w:t>Victoria</w:t>
            </w:r>
            <w:r>
              <w:fldChar w:fldCharType="end"/>
            </w:r>
          </w:p>
        </w:tc>
      </w:tr>
      <w:tr w:rsidR="00BC033D" w14:paraId="2BD4D13E" w14:textId="77777777" w:rsidTr="003F2038">
        <w:tc>
          <w:tcPr>
            <w:tcW w:w="3083" w:type="dxa"/>
            <w:shd w:val="clear" w:color="auto" w:fill="auto"/>
          </w:tcPr>
          <w:p w14:paraId="77A4F802" w14:textId="77777777" w:rsidR="00BC033D" w:rsidRDefault="00BC033D" w:rsidP="00501A12">
            <w:pPr>
              <w:pStyle w:val="Normal1linespace"/>
              <w:widowControl w:val="0"/>
            </w:pPr>
          </w:p>
        </w:tc>
        <w:tc>
          <w:tcPr>
            <w:tcW w:w="5989" w:type="dxa"/>
            <w:shd w:val="clear" w:color="auto" w:fill="auto"/>
          </w:tcPr>
          <w:p w14:paraId="0ECB6455" w14:textId="77777777" w:rsidR="00BC033D" w:rsidRPr="00F17599" w:rsidRDefault="00BC033D" w:rsidP="00501A12">
            <w:pPr>
              <w:pStyle w:val="Normal1linespace"/>
              <w:widowControl w:val="0"/>
              <w:jc w:val="left"/>
              <w:rPr>
                <w:b/>
              </w:rPr>
            </w:pPr>
          </w:p>
        </w:tc>
      </w:tr>
      <w:tr w:rsidR="00BC033D" w14:paraId="3D030C41" w14:textId="77777777" w:rsidTr="003F2038">
        <w:tc>
          <w:tcPr>
            <w:tcW w:w="3083" w:type="dxa"/>
            <w:shd w:val="clear" w:color="auto" w:fill="auto"/>
          </w:tcPr>
          <w:p w14:paraId="1E6C127D" w14:textId="77777777" w:rsidR="00BC033D" w:rsidRDefault="00BC033D" w:rsidP="00501A12">
            <w:pPr>
              <w:pStyle w:val="Normal1linespace"/>
              <w:widowControl w:val="0"/>
            </w:pPr>
            <w:r>
              <w:t>National Practice Area:</w:t>
            </w:r>
          </w:p>
        </w:tc>
        <w:tc>
          <w:tcPr>
            <w:tcW w:w="5989" w:type="dxa"/>
            <w:shd w:val="clear" w:color="auto" w:fill="auto"/>
          </w:tcPr>
          <w:p w14:paraId="330E0C85" w14:textId="77777777" w:rsidR="00BC033D" w:rsidRPr="00F17599" w:rsidRDefault="00E54669" w:rsidP="00ED286B">
            <w:pPr>
              <w:pStyle w:val="Normal1linespace"/>
              <w:widowControl w:val="0"/>
              <w:jc w:val="left"/>
              <w:rPr>
                <w:b/>
              </w:rPr>
            </w:pPr>
            <w:r>
              <w:fldChar w:fldCharType="begin"/>
            </w:r>
            <w:r>
              <w:instrText xml:space="preserve"> DOCPROPERTY  "Practice Area"  \* MERGEFORMAT </w:instrText>
            </w:r>
            <w:r>
              <w:fldChar w:fldCharType="separate"/>
            </w:r>
            <w:r w:rsidR="001C7A8C">
              <w:t>Intellectual Property</w:t>
            </w:r>
            <w:r>
              <w:fldChar w:fldCharType="end"/>
            </w:r>
          </w:p>
        </w:tc>
      </w:tr>
      <w:tr w:rsidR="00BC033D" w14:paraId="0C5C3FB4" w14:textId="77777777" w:rsidTr="003F2038">
        <w:tc>
          <w:tcPr>
            <w:tcW w:w="3083" w:type="dxa"/>
            <w:shd w:val="clear" w:color="auto" w:fill="auto"/>
          </w:tcPr>
          <w:p w14:paraId="38F9ED75" w14:textId="77777777" w:rsidR="00BC033D" w:rsidRDefault="00BC033D" w:rsidP="00501A12">
            <w:pPr>
              <w:pStyle w:val="Normal1linespace"/>
              <w:widowControl w:val="0"/>
            </w:pPr>
          </w:p>
        </w:tc>
        <w:tc>
          <w:tcPr>
            <w:tcW w:w="5989" w:type="dxa"/>
            <w:shd w:val="clear" w:color="auto" w:fill="auto"/>
          </w:tcPr>
          <w:p w14:paraId="67178528" w14:textId="77777777" w:rsidR="00BC033D" w:rsidRDefault="00BC033D" w:rsidP="00ED286B">
            <w:pPr>
              <w:pStyle w:val="Normal1linespace"/>
              <w:widowControl w:val="0"/>
              <w:jc w:val="left"/>
            </w:pPr>
          </w:p>
        </w:tc>
      </w:tr>
      <w:tr w:rsidR="00BC033D" w14:paraId="786E9EE0" w14:textId="77777777" w:rsidTr="003F2038">
        <w:tc>
          <w:tcPr>
            <w:tcW w:w="3083" w:type="dxa"/>
            <w:shd w:val="clear" w:color="auto" w:fill="auto"/>
          </w:tcPr>
          <w:p w14:paraId="4A048CA5" w14:textId="77777777" w:rsidR="00BC033D" w:rsidRDefault="00BC033D" w:rsidP="00501A12">
            <w:pPr>
              <w:pStyle w:val="Normal1linespace"/>
              <w:widowControl w:val="0"/>
            </w:pPr>
            <w:r>
              <w:t>Sub-area:</w:t>
            </w:r>
          </w:p>
        </w:tc>
        <w:tc>
          <w:tcPr>
            <w:tcW w:w="5989" w:type="dxa"/>
            <w:shd w:val="clear" w:color="auto" w:fill="auto"/>
          </w:tcPr>
          <w:p w14:paraId="2B946EE2" w14:textId="77777777" w:rsidR="00BC033D" w:rsidRPr="00837288" w:rsidRDefault="00E54669" w:rsidP="00ED286B">
            <w:pPr>
              <w:pStyle w:val="Normal1linespace"/>
              <w:widowControl w:val="0"/>
              <w:jc w:val="left"/>
            </w:pPr>
            <w:r>
              <w:fldChar w:fldCharType="begin"/>
            </w:r>
            <w:r>
              <w:instrText xml:space="preserve"> DOCPROPERTY  "Sub Area"  \* MERGEFORMAT </w:instrText>
            </w:r>
            <w:r>
              <w:fldChar w:fldCharType="separate"/>
            </w:r>
            <w:r w:rsidR="001C7A8C" w:rsidRPr="001C7A8C">
              <w:rPr>
                <w:lang w:val="en-US"/>
              </w:rPr>
              <w:t>Trade Marks</w:t>
            </w:r>
            <w:r>
              <w:rPr>
                <w:lang w:val="en-US"/>
              </w:rPr>
              <w:fldChar w:fldCharType="end"/>
            </w:r>
          </w:p>
        </w:tc>
      </w:tr>
      <w:tr w:rsidR="00D226C4" w14:paraId="3AF5D06C" w14:textId="77777777" w:rsidTr="003F2038">
        <w:tc>
          <w:tcPr>
            <w:tcW w:w="3083" w:type="dxa"/>
            <w:shd w:val="clear" w:color="auto" w:fill="auto"/>
          </w:tcPr>
          <w:p w14:paraId="46D20238" w14:textId="77777777" w:rsidR="00D226C4" w:rsidRDefault="00D226C4" w:rsidP="00ED286B">
            <w:pPr>
              <w:pStyle w:val="Normal1linespace"/>
              <w:widowControl w:val="0"/>
            </w:pPr>
          </w:p>
        </w:tc>
        <w:tc>
          <w:tcPr>
            <w:tcW w:w="5989" w:type="dxa"/>
            <w:shd w:val="clear" w:color="auto" w:fill="auto"/>
          </w:tcPr>
          <w:p w14:paraId="01ABE827" w14:textId="77777777" w:rsidR="00D226C4" w:rsidRDefault="00D226C4" w:rsidP="00ED286B">
            <w:pPr>
              <w:pStyle w:val="Normal1linespace"/>
              <w:widowControl w:val="0"/>
              <w:jc w:val="left"/>
            </w:pPr>
          </w:p>
        </w:tc>
      </w:tr>
      <w:tr w:rsidR="00830B14" w14:paraId="2CF34568" w14:textId="77777777" w:rsidTr="003F2038">
        <w:tc>
          <w:tcPr>
            <w:tcW w:w="3083" w:type="dxa"/>
            <w:shd w:val="clear" w:color="auto" w:fill="auto"/>
          </w:tcPr>
          <w:p w14:paraId="0349982E" w14:textId="77777777" w:rsidR="00830B14" w:rsidRDefault="00830B14" w:rsidP="00501A12">
            <w:pPr>
              <w:pStyle w:val="Normal1linespace"/>
              <w:widowControl w:val="0"/>
            </w:pPr>
            <w:r>
              <w:t>Number of paragraphs:</w:t>
            </w:r>
          </w:p>
        </w:tc>
        <w:tc>
          <w:tcPr>
            <w:tcW w:w="5989" w:type="dxa"/>
            <w:shd w:val="clear" w:color="auto" w:fill="auto"/>
          </w:tcPr>
          <w:p w14:paraId="395FD821" w14:textId="31C4A384" w:rsidR="00830B14" w:rsidRDefault="000266AD" w:rsidP="00501A12">
            <w:pPr>
              <w:pStyle w:val="Normal1linespace"/>
              <w:widowControl w:val="0"/>
              <w:jc w:val="left"/>
            </w:pPr>
            <w:bookmarkStart w:id="7" w:name="PlaceCategoryParagraphs"/>
            <w:r>
              <w:t>145</w:t>
            </w:r>
            <w:bookmarkEnd w:id="7"/>
          </w:p>
        </w:tc>
      </w:tr>
      <w:tr w:rsidR="00830B14" w14:paraId="1F5ABF6F" w14:textId="77777777" w:rsidTr="003F2038">
        <w:tc>
          <w:tcPr>
            <w:tcW w:w="3083" w:type="dxa"/>
            <w:shd w:val="clear" w:color="auto" w:fill="auto"/>
          </w:tcPr>
          <w:p w14:paraId="0BBA61FA" w14:textId="77777777" w:rsidR="00830B14" w:rsidRDefault="00830B14" w:rsidP="00830B14">
            <w:pPr>
              <w:pStyle w:val="Normal1linespace"/>
              <w:widowControl w:val="0"/>
              <w:jc w:val="left"/>
            </w:pPr>
          </w:p>
        </w:tc>
        <w:tc>
          <w:tcPr>
            <w:tcW w:w="5989" w:type="dxa"/>
            <w:shd w:val="clear" w:color="auto" w:fill="auto"/>
          </w:tcPr>
          <w:p w14:paraId="084D7A55" w14:textId="77777777" w:rsidR="00830B14" w:rsidRDefault="00830B14" w:rsidP="00830B14">
            <w:pPr>
              <w:pStyle w:val="Normal1linespace"/>
              <w:widowControl w:val="0"/>
              <w:jc w:val="left"/>
            </w:pPr>
          </w:p>
        </w:tc>
      </w:tr>
      <w:tr w:rsidR="00830B14" w14:paraId="4F2AE79E" w14:textId="77777777" w:rsidTr="003F2038">
        <w:tc>
          <w:tcPr>
            <w:tcW w:w="3083" w:type="dxa"/>
            <w:shd w:val="clear" w:color="auto" w:fill="auto"/>
          </w:tcPr>
          <w:p w14:paraId="776ED3C5" w14:textId="77777777" w:rsidR="00830B14" w:rsidRDefault="00830B14" w:rsidP="00830B14">
            <w:pPr>
              <w:pStyle w:val="Normal1linespace"/>
              <w:widowControl w:val="0"/>
              <w:jc w:val="left"/>
            </w:pPr>
            <w:bookmarkStart w:id="8" w:name="CounselDate" w:colFirst="0" w:colLast="2"/>
            <w:r w:rsidRPr="006A24E3">
              <w:t>Date of hearing:</w:t>
            </w:r>
          </w:p>
        </w:tc>
        <w:tc>
          <w:tcPr>
            <w:tcW w:w="5989" w:type="dxa"/>
            <w:shd w:val="clear" w:color="auto" w:fill="auto"/>
          </w:tcPr>
          <w:p w14:paraId="71BF3396" w14:textId="77777777" w:rsidR="00830B14" w:rsidRDefault="00BC033D" w:rsidP="00830B14">
            <w:pPr>
              <w:pStyle w:val="Normal1linespace"/>
              <w:widowControl w:val="0"/>
              <w:jc w:val="left"/>
            </w:pPr>
            <w:bookmarkStart w:id="9" w:name="HearingDate"/>
            <w:r>
              <w:t>12 November 2021</w:t>
            </w:r>
            <w:r w:rsidR="00830B14">
              <w:t xml:space="preserve"> </w:t>
            </w:r>
            <w:bookmarkEnd w:id="9"/>
          </w:p>
        </w:tc>
      </w:tr>
      <w:tr w:rsidR="00830B14" w14:paraId="2B96B768" w14:textId="77777777" w:rsidTr="003F2038">
        <w:tc>
          <w:tcPr>
            <w:tcW w:w="3083" w:type="dxa"/>
            <w:shd w:val="clear" w:color="auto" w:fill="auto"/>
          </w:tcPr>
          <w:p w14:paraId="3C04886B" w14:textId="77777777" w:rsidR="00830B14" w:rsidRDefault="00830B14" w:rsidP="00830B14">
            <w:pPr>
              <w:pStyle w:val="Normal1linespace"/>
              <w:widowControl w:val="0"/>
              <w:jc w:val="left"/>
            </w:pPr>
          </w:p>
        </w:tc>
        <w:tc>
          <w:tcPr>
            <w:tcW w:w="5989" w:type="dxa"/>
            <w:shd w:val="clear" w:color="auto" w:fill="auto"/>
          </w:tcPr>
          <w:p w14:paraId="14F2398E" w14:textId="77777777" w:rsidR="00830B14" w:rsidRDefault="00830B14" w:rsidP="00830B14">
            <w:pPr>
              <w:pStyle w:val="Normal1linespace"/>
              <w:widowControl w:val="0"/>
              <w:jc w:val="left"/>
            </w:pPr>
          </w:p>
        </w:tc>
      </w:tr>
      <w:tr w:rsidR="004A17FD" w14:paraId="0B1B64B8" w14:textId="77777777" w:rsidTr="003F2038">
        <w:tc>
          <w:tcPr>
            <w:tcW w:w="3083" w:type="dxa"/>
            <w:shd w:val="clear" w:color="auto" w:fill="auto"/>
          </w:tcPr>
          <w:p w14:paraId="09F7033A" w14:textId="7A224639" w:rsidR="004A17FD" w:rsidRDefault="003F2038" w:rsidP="004A17FD">
            <w:pPr>
              <w:pStyle w:val="Normal1linespace"/>
              <w:widowControl w:val="0"/>
              <w:jc w:val="left"/>
            </w:pPr>
            <w:bookmarkStart w:id="10" w:name="Counsel" w:colFirst="0" w:colLast="2"/>
            <w:bookmarkEnd w:id="8"/>
            <w:r>
              <w:t>Counsel for the Appellant</w:t>
            </w:r>
            <w:r w:rsidR="00F062FE">
              <w:t xml:space="preserve"> in VID</w:t>
            </w:r>
            <w:r w:rsidR="004B4FE9">
              <w:t xml:space="preserve"> </w:t>
            </w:r>
            <w:r w:rsidR="00F062FE">
              <w:t>228</w:t>
            </w:r>
            <w:r w:rsidR="004B4FE9">
              <w:t xml:space="preserve"> of </w:t>
            </w:r>
            <w:r w:rsidR="00F062FE">
              <w:t xml:space="preserve">2021 and the Respondent </w:t>
            </w:r>
            <w:r w:rsidR="00E373EC">
              <w:t>in VID</w:t>
            </w:r>
            <w:r w:rsidR="004B4FE9">
              <w:t xml:space="preserve"> </w:t>
            </w:r>
            <w:r w:rsidR="00E373EC">
              <w:t>40</w:t>
            </w:r>
            <w:r w:rsidR="00A318F5">
              <w:t>8</w:t>
            </w:r>
            <w:r w:rsidR="004B4FE9">
              <w:t xml:space="preserve"> of </w:t>
            </w:r>
            <w:r w:rsidR="00E373EC">
              <w:t>2021</w:t>
            </w:r>
            <w:r>
              <w:t>:</w:t>
            </w:r>
          </w:p>
        </w:tc>
        <w:tc>
          <w:tcPr>
            <w:tcW w:w="5989" w:type="dxa"/>
            <w:shd w:val="clear" w:color="auto" w:fill="auto"/>
          </w:tcPr>
          <w:p w14:paraId="64437639" w14:textId="42C043C5" w:rsidR="004A17FD" w:rsidRDefault="003F2038" w:rsidP="004A17FD">
            <w:pPr>
              <w:pStyle w:val="Normal1linespace"/>
              <w:widowControl w:val="0"/>
              <w:jc w:val="left"/>
            </w:pPr>
            <w:bookmarkStart w:id="11" w:name="AppCounsel"/>
            <w:bookmarkEnd w:id="11"/>
            <w:r>
              <w:t xml:space="preserve">Mr E </w:t>
            </w:r>
            <w:proofErr w:type="spellStart"/>
            <w:r>
              <w:t>Heerey</w:t>
            </w:r>
            <w:proofErr w:type="spellEnd"/>
            <w:r>
              <w:t xml:space="preserve"> QC</w:t>
            </w:r>
            <w:r w:rsidR="00F062FE">
              <w:t xml:space="preserve"> with Mr S </w:t>
            </w:r>
            <w:proofErr w:type="spellStart"/>
            <w:r w:rsidR="00F062FE">
              <w:t>Rebikoff</w:t>
            </w:r>
            <w:proofErr w:type="spellEnd"/>
          </w:p>
        </w:tc>
      </w:tr>
      <w:tr w:rsidR="004A17FD" w14:paraId="0F94D4C9" w14:textId="77777777" w:rsidTr="003F2038">
        <w:tc>
          <w:tcPr>
            <w:tcW w:w="3083" w:type="dxa"/>
            <w:shd w:val="clear" w:color="auto" w:fill="auto"/>
          </w:tcPr>
          <w:p w14:paraId="55D6F230" w14:textId="77777777" w:rsidR="004A17FD" w:rsidRDefault="004A17FD" w:rsidP="004A17FD">
            <w:pPr>
              <w:pStyle w:val="Normal1linespace"/>
              <w:widowControl w:val="0"/>
              <w:jc w:val="left"/>
            </w:pPr>
          </w:p>
        </w:tc>
        <w:tc>
          <w:tcPr>
            <w:tcW w:w="5989" w:type="dxa"/>
            <w:shd w:val="clear" w:color="auto" w:fill="auto"/>
          </w:tcPr>
          <w:p w14:paraId="3215F640" w14:textId="77777777" w:rsidR="004A17FD" w:rsidRDefault="004A17FD" w:rsidP="004A17FD">
            <w:pPr>
              <w:pStyle w:val="Normal1linespace"/>
              <w:widowControl w:val="0"/>
              <w:jc w:val="left"/>
            </w:pPr>
          </w:p>
        </w:tc>
      </w:tr>
      <w:tr w:rsidR="004A17FD" w14:paraId="54D955F1" w14:textId="77777777" w:rsidTr="003F2038">
        <w:tc>
          <w:tcPr>
            <w:tcW w:w="3083" w:type="dxa"/>
            <w:shd w:val="clear" w:color="auto" w:fill="auto"/>
          </w:tcPr>
          <w:p w14:paraId="4F5787EE" w14:textId="3466C0D4" w:rsidR="004A17FD" w:rsidRDefault="003F2038" w:rsidP="004A17FD">
            <w:pPr>
              <w:pStyle w:val="Normal1linespace"/>
              <w:widowControl w:val="0"/>
              <w:jc w:val="left"/>
            </w:pPr>
            <w:r>
              <w:t>Solicitor for the Appellant</w:t>
            </w:r>
            <w:r w:rsidR="00E373EC">
              <w:t xml:space="preserve"> in VID</w:t>
            </w:r>
            <w:r w:rsidR="00C81B77">
              <w:t xml:space="preserve"> </w:t>
            </w:r>
            <w:r w:rsidR="00E373EC">
              <w:t>228</w:t>
            </w:r>
            <w:r w:rsidR="00C81B77">
              <w:t xml:space="preserve"> of </w:t>
            </w:r>
            <w:r w:rsidR="00E373EC">
              <w:t>2021 and the Respondent in VID</w:t>
            </w:r>
            <w:r w:rsidR="004B4FE9">
              <w:t xml:space="preserve"> </w:t>
            </w:r>
            <w:r w:rsidR="00E373EC">
              <w:t>40</w:t>
            </w:r>
            <w:r w:rsidR="00A318F5">
              <w:t>8</w:t>
            </w:r>
            <w:r w:rsidR="004B4FE9">
              <w:t xml:space="preserve"> of </w:t>
            </w:r>
            <w:r w:rsidR="00E373EC">
              <w:t>2021</w:t>
            </w:r>
            <w:r>
              <w:t>:</w:t>
            </w:r>
          </w:p>
        </w:tc>
        <w:tc>
          <w:tcPr>
            <w:tcW w:w="5989" w:type="dxa"/>
            <w:shd w:val="clear" w:color="auto" w:fill="auto"/>
          </w:tcPr>
          <w:p w14:paraId="6C069D9C" w14:textId="4818E4B4" w:rsidR="004A17FD" w:rsidRDefault="003F2038" w:rsidP="004A17FD">
            <w:pPr>
              <w:pStyle w:val="Normal1linespace"/>
              <w:widowControl w:val="0"/>
              <w:jc w:val="left"/>
            </w:pPr>
            <w:r>
              <w:t>K&amp;L Gates</w:t>
            </w:r>
          </w:p>
        </w:tc>
      </w:tr>
      <w:tr w:rsidR="004A17FD" w14:paraId="48EEFFB1" w14:textId="77777777" w:rsidTr="003F2038">
        <w:tc>
          <w:tcPr>
            <w:tcW w:w="3083" w:type="dxa"/>
            <w:shd w:val="clear" w:color="auto" w:fill="auto"/>
          </w:tcPr>
          <w:p w14:paraId="53593E69" w14:textId="77777777" w:rsidR="004A17FD" w:rsidRDefault="004A17FD" w:rsidP="004A17FD">
            <w:pPr>
              <w:pStyle w:val="Normal1linespace"/>
              <w:widowControl w:val="0"/>
              <w:jc w:val="left"/>
            </w:pPr>
          </w:p>
        </w:tc>
        <w:tc>
          <w:tcPr>
            <w:tcW w:w="5989" w:type="dxa"/>
            <w:shd w:val="clear" w:color="auto" w:fill="auto"/>
          </w:tcPr>
          <w:p w14:paraId="21BC1E9C" w14:textId="77777777" w:rsidR="004A17FD" w:rsidRDefault="004A17FD" w:rsidP="004A17FD">
            <w:pPr>
              <w:pStyle w:val="Normal1linespace"/>
              <w:widowControl w:val="0"/>
              <w:jc w:val="left"/>
            </w:pPr>
          </w:p>
        </w:tc>
      </w:tr>
      <w:tr w:rsidR="004A17FD" w14:paraId="26905231" w14:textId="77777777" w:rsidTr="003F2038">
        <w:tc>
          <w:tcPr>
            <w:tcW w:w="3083" w:type="dxa"/>
            <w:shd w:val="clear" w:color="auto" w:fill="auto"/>
          </w:tcPr>
          <w:p w14:paraId="25448A6F" w14:textId="5D11A39F" w:rsidR="004A17FD" w:rsidRDefault="003F2038" w:rsidP="004A17FD">
            <w:pPr>
              <w:pStyle w:val="Normal1linespace"/>
              <w:widowControl w:val="0"/>
              <w:jc w:val="left"/>
            </w:pPr>
            <w:r>
              <w:t>Counsel for the Respondents</w:t>
            </w:r>
            <w:r w:rsidR="00E373EC">
              <w:t xml:space="preserve"> in VID</w:t>
            </w:r>
            <w:r w:rsidR="00C81B77">
              <w:t xml:space="preserve"> </w:t>
            </w:r>
            <w:r w:rsidR="00E373EC">
              <w:t>228</w:t>
            </w:r>
            <w:r w:rsidR="00C81B77">
              <w:t xml:space="preserve"> of </w:t>
            </w:r>
            <w:r w:rsidR="00E373EC">
              <w:t>2021 and the Appellants in VID</w:t>
            </w:r>
            <w:r w:rsidR="004B4FE9">
              <w:t xml:space="preserve"> </w:t>
            </w:r>
            <w:r w:rsidR="00E373EC">
              <w:t>408</w:t>
            </w:r>
            <w:r w:rsidR="004B4FE9">
              <w:t xml:space="preserve"> of </w:t>
            </w:r>
            <w:r w:rsidR="00E373EC">
              <w:t>2021</w:t>
            </w:r>
            <w:r>
              <w:t>:</w:t>
            </w:r>
          </w:p>
        </w:tc>
        <w:tc>
          <w:tcPr>
            <w:tcW w:w="5989" w:type="dxa"/>
            <w:shd w:val="clear" w:color="auto" w:fill="auto"/>
          </w:tcPr>
          <w:p w14:paraId="517F9552" w14:textId="190965A3" w:rsidR="004A17FD" w:rsidRDefault="003F2038" w:rsidP="004A17FD">
            <w:pPr>
              <w:pStyle w:val="Normal1linespace"/>
              <w:widowControl w:val="0"/>
              <w:jc w:val="left"/>
            </w:pPr>
            <w:r>
              <w:t xml:space="preserve">Mr C </w:t>
            </w:r>
            <w:proofErr w:type="spellStart"/>
            <w:r>
              <w:t>Golvan</w:t>
            </w:r>
            <w:proofErr w:type="spellEnd"/>
            <w:r>
              <w:t xml:space="preserve"> AM QC</w:t>
            </w:r>
            <w:r w:rsidR="00F062FE">
              <w:t xml:space="preserve"> with Ms M Marcus</w:t>
            </w:r>
          </w:p>
        </w:tc>
      </w:tr>
      <w:tr w:rsidR="003F2038" w14:paraId="17F538E1" w14:textId="77777777" w:rsidTr="003F2038">
        <w:tc>
          <w:tcPr>
            <w:tcW w:w="3083" w:type="dxa"/>
            <w:shd w:val="clear" w:color="auto" w:fill="auto"/>
          </w:tcPr>
          <w:p w14:paraId="160F1B33" w14:textId="77777777" w:rsidR="003F2038" w:rsidRDefault="003F2038" w:rsidP="004A17FD">
            <w:pPr>
              <w:pStyle w:val="Normal1linespace"/>
              <w:widowControl w:val="0"/>
              <w:jc w:val="left"/>
            </w:pPr>
          </w:p>
        </w:tc>
        <w:tc>
          <w:tcPr>
            <w:tcW w:w="5989" w:type="dxa"/>
            <w:shd w:val="clear" w:color="auto" w:fill="auto"/>
          </w:tcPr>
          <w:p w14:paraId="5C933F6E" w14:textId="77777777" w:rsidR="003F2038" w:rsidRDefault="003F2038" w:rsidP="004A17FD">
            <w:pPr>
              <w:pStyle w:val="Normal1linespace"/>
              <w:widowControl w:val="0"/>
              <w:jc w:val="left"/>
            </w:pPr>
          </w:p>
        </w:tc>
      </w:tr>
      <w:tr w:rsidR="003F2038" w14:paraId="32E446CE" w14:textId="77777777" w:rsidTr="003F2038">
        <w:tc>
          <w:tcPr>
            <w:tcW w:w="3083" w:type="dxa"/>
            <w:shd w:val="clear" w:color="auto" w:fill="auto"/>
          </w:tcPr>
          <w:p w14:paraId="4C582321" w14:textId="292F993D" w:rsidR="003F2038" w:rsidRDefault="003F2038" w:rsidP="004A17FD">
            <w:pPr>
              <w:pStyle w:val="Normal1linespace"/>
              <w:widowControl w:val="0"/>
              <w:jc w:val="left"/>
            </w:pPr>
            <w:r>
              <w:t>Solicitor for the Respondents</w:t>
            </w:r>
            <w:r w:rsidR="00E373EC">
              <w:t xml:space="preserve"> in VID</w:t>
            </w:r>
            <w:r w:rsidR="00845BDA">
              <w:t xml:space="preserve"> </w:t>
            </w:r>
            <w:r w:rsidR="00E373EC">
              <w:t>228</w:t>
            </w:r>
            <w:r w:rsidR="00845BDA">
              <w:t xml:space="preserve"> of </w:t>
            </w:r>
            <w:r w:rsidR="00E373EC">
              <w:t>2021 and the Appellants in VID</w:t>
            </w:r>
            <w:r w:rsidR="00845BDA">
              <w:t xml:space="preserve"> </w:t>
            </w:r>
            <w:r w:rsidR="00E373EC">
              <w:t>408</w:t>
            </w:r>
            <w:r w:rsidR="00845BDA">
              <w:t xml:space="preserve"> of </w:t>
            </w:r>
            <w:r w:rsidR="00E373EC">
              <w:t>2021</w:t>
            </w:r>
            <w:r>
              <w:t>:</w:t>
            </w:r>
          </w:p>
        </w:tc>
        <w:tc>
          <w:tcPr>
            <w:tcW w:w="5989" w:type="dxa"/>
            <w:shd w:val="clear" w:color="auto" w:fill="auto"/>
          </w:tcPr>
          <w:p w14:paraId="6C487603" w14:textId="43AC2237" w:rsidR="003F2038" w:rsidRDefault="003F2038" w:rsidP="004A17FD">
            <w:pPr>
              <w:pStyle w:val="Normal1linespace"/>
              <w:widowControl w:val="0"/>
              <w:jc w:val="left"/>
            </w:pPr>
            <w:r>
              <w:t>Brand Partners Commercial Lawyers</w:t>
            </w:r>
          </w:p>
        </w:tc>
      </w:tr>
      <w:bookmarkEnd w:id="10"/>
    </w:tbl>
    <w:p w14:paraId="6AC2EDEB" w14:textId="77777777" w:rsidR="00395B24" w:rsidRDefault="00395B24">
      <w:pPr>
        <w:pStyle w:val="Normal1linespace"/>
        <w:sectPr w:rsidR="00395B24" w:rsidSect="001F2473">
          <w:headerReference w:type="even" r:id="rId12"/>
          <w:headerReference w:type="default" r:id="rId13"/>
          <w:footerReference w:type="even" r:id="rId14"/>
          <w:footerReference w:type="default" r:id="rId15"/>
          <w:headerReference w:type="first" r:id="rId16"/>
          <w:footerReference w:type="first" r:id="rId17"/>
          <w:endnotePr>
            <w:numFmt w:val="decimal"/>
          </w:endnotePr>
          <w:type w:val="continuous"/>
          <w:pgSz w:w="11907" w:h="16840" w:code="9"/>
          <w:pgMar w:top="1440" w:right="1440" w:bottom="1440" w:left="1440" w:header="851" w:footer="768" w:gutter="0"/>
          <w:pgNumType w:start="1"/>
          <w:cols w:space="720"/>
          <w:noEndnote/>
          <w:titlePg/>
        </w:sectPr>
      </w:pPr>
    </w:p>
    <w:p w14:paraId="532E50A6" w14:textId="77777777"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14:paraId="56101314" w14:textId="77777777" w:rsidTr="00E81DA6">
        <w:tc>
          <w:tcPr>
            <w:tcW w:w="6912" w:type="dxa"/>
            <w:gridSpan w:val="2"/>
          </w:tcPr>
          <w:p w14:paraId="32D8C8F2" w14:textId="77777777" w:rsidR="00A46CCC" w:rsidRPr="001765E0" w:rsidRDefault="00A46CCC" w:rsidP="00525A49">
            <w:pPr>
              <w:pStyle w:val="NormalHeadings"/>
            </w:pPr>
          </w:p>
        </w:tc>
        <w:tc>
          <w:tcPr>
            <w:tcW w:w="2330" w:type="dxa"/>
          </w:tcPr>
          <w:p w14:paraId="41A1C12F" w14:textId="77777777" w:rsidR="001C7A8C" w:rsidRDefault="001C7A8C" w:rsidP="00F92355">
            <w:pPr>
              <w:pStyle w:val="NormalHeadings"/>
              <w:jc w:val="right"/>
            </w:pPr>
            <w:bookmarkStart w:id="12" w:name="FileNo"/>
            <w:r>
              <w:t>VID 228 of 2021</w:t>
            </w:r>
          </w:p>
          <w:bookmarkEnd w:id="12"/>
          <w:p w14:paraId="757CF6AC" w14:textId="77777777" w:rsidR="00A46CCC" w:rsidRDefault="00A46CCC" w:rsidP="00F92355">
            <w:pPr>
              <w:pStyle w:val="NormalHeadings"/>
              <w:jc w:val="right"/>
            </w:pPr>
          </w:p>
        </w:tc>
      </w:tr>
      <w:tr w:rsidR="00A76C13" w14:paraId="684416C1" w14:textId="77777777" w:rsidTr="005F36AC">
        <w:tc>
          <w:tcPr>
            <w:tcW w:w="9242" w:type="dxa"/>
            <w:gridSpan w:val="3"/>
          </w:tcPr>
          <w:p w14:paraId="41B8C400" w14:textId="77777777" w:rsidR="00A76C13" w:rsidRPr="00A76C13" w:rsidRDefault="001C7A8C" w:rsidP="001C7A8C">
            <w:pPr>
              <w:pStyle w:val="NormalHeadings"/>
              <w:jc w:val="left"/>
            </w:pPr>
            <w:bookmarkStart w:id="13" w:name="InTheMatterOf"/>
            <w:r>
              <w:t xml:space="preserve"> </w:t>
            </w:r>
            <w:bookmarkEnd w:id="13"/>
          </w:p>
        </w:tc>
      </w:tr>
      <w:tr w:rsidR="00A46CCC" w14:paraId="0531C2EB" w14:textId="77777777" w:rsidTr="005F36AC">
        <w:trPr>
          <w:trHeight w:val="386"/>
        </w:trPr>
        <w:tc>
          <w:tcPr>
            <w:tcW w:w="2376" w:type="dxa"/>
          </w:tcPr>
          <w:p w14:paraId="1729D364" w14:textId="77777777" w:rsidR="00A46CCC" w:rsidRDefault="00A46CCC" w:rsidP="005F36AC">
            <w:pPr>
              <w:pStyle w:val="NormalHeadings"/>
              <w:jc w:val="left"/>
              <w:rPr>
                <w:caps/>
                <w:szCs w:val="24"/>
              </w:rPr>
            </w:pPr>
            <w:bookmarkStart w:id="14" w:name="Parties"/>
            <w:r>
              <w:rPr>
                <w:caps/>
                <w:szCs w:val="24"/>
              </w:rPr>
              <w:t>BETWEEN:</w:t>
            </w:r>
          </w:p>
        </w:tc>
        <w:tc>
          <w:tcPr>
            <w:tcW w:w="6866" w:type="dxa"/>
            <w:gridSpan w:val="2"/>
          </w:tcPr>
          <w:p w14:paraId="3A9F5EAC" w14:textId="77777777" w:rsidR="001C7A8C" w:rsidRDefault="001C7A8C" w:rsidP="001C7A8C">
            <w:pPr>
              <w:pStyle w:val="NormalHeadings"/>
              <w:jc w:val="left"/>
            </w:pPr>
            <w:bookmarkStart w:id="15" w:name="Applicant"/>
            <w:r>
              <w:t>SWANCOM PTY LTD (ACN 161 447 605)</w:t>
            </w:r>
          </w:p>
          <w:p w14:paraId="0EFFC0EF" w14:textId="77777777" w:rsidR="001C7A8C" w:rsidRDefault="001C7A8C" w:rsidP="001C7A8C">
            <w:pPr>
              <w:pStyle w:val="PartyType"/>
            </w:pPr>
            <w:r>
              <w:t>Appellant</w:t>
            </w:r>
          </w:p>
          <w:bookmarkEnd w:id="15"/>
          <w:p w14:paraId="04993924" w14:textId="77777777" w:rsidR="00A46CCC" w:rsidRPr="006555B4" w:rsidRDefault="00A46CCC" w:rsidP="00BC033D">
            <w:pPr>
              <w:pStyle w:val="NormalHeadings"/>
              <w:jc w:val="left"/>
            </w:pPr>
          </w:p>
        </w:tc>
      </w:tr>
      <w:tr w:rsidR="00A46CCC" w14:paraId="6015DBBC" w14:textId="77777777" w:rsidTr="005F36AC">
        <w:trPr>
          <w:trHeight w:val="386"/>
        </w:trPr>
        <w:tc>
          <w:tcPr>
            <w:tcW w:w="2376" w:type="dxa"/>
          </w:tcPr>
          <w:p w14:paraId="610F649F" w14:textId="77777777" w:rsidR="00A46CCC" w:rsidRDefault="00A46CCC" w:rsidP="005F36AC">
            <w:pPr>
              <w:pStyle w:val="NormalHeadings"/>
              <w:jc w:val="left"/>
              <w:rPr>
                <w:caps/>
                <w:szCs w:val="24"/>
              </w:rPr>
            </w:pPr>
            <w:r>
              <w:rPr>
                <w:caps/>
                <w:szCs w:val="24"/>
              </w:rPr>
              <w:t>AND:</w:t>
            </w:r>
          </w:p>
        </w:tc>
        <w:tc>
          <w:tcPr>
            <w:tcW w:w="6866" w:type="dxa"/>
            <w:gridSpan w:val="2"/>
          </w:tcPr>
          <w:p w14:paraId="26940AE5" w14:textId="77777777" w:rsidR="001C7A8C" w:rsidRDefault="001C7A8C" w:rsidP="001C7A8C">
            <w:pPr>
              <w:pStyle w:val="NormalHeadings"/>
              <w:jc w:val="left"/>
            </w:pPr>
            <w:bookmarkStart w:id="16" w:name="Respondent"/>
            <w:r>
              <w:t>THE JAZZ CORNER HOTEL PTY LTD (ACN 615 168 968)</w:t>
            </w:r>
          </w:p>
          <w:p w14:paraId="1872B295" w14:textId="77777777" w:rsidR="001C7A8C" w:rsidRDefault="001C7A8C" w:rsidP="001C7A8C">
            <w:pPr>
              <w:pStyle w:val="PartyType"/>
            </w:pPr>
            <w:r>
              <w:t>First Respondent</w:t>
            </w:r>
          </w:p>
          <w:p w14:paraId="0339CB3C" w14:textId="77777777" w:rsidR="001C7A8C" w:rsidRDefault="001C7A8C" w:rsidP="00BC033D">
            <w:pPr>
              <w:pStyle w:val="NormalHeadings"/>
              <w:jc w:val="left"/>
            </w:pPr>
          </w:p>
          <w:p w14:paraId="5B366CC0" w14:textId="17A87BF1" w:rsidR="001C7A8C" w:rsidRDefault="001C7A8C" w:rsidP="001C7A8C">
            <w:pPr>
              <w:pStyle w:val="NormalHeadings"/>
              <w:jc w:val="left"/>
            </w:pPr>
            <w:r>
              <w:t>BIRD</w:t>
            </w:r>
            <w:r w:rsidR="00901606">
              <w:t>’</w:t>
            </w:r>
            <w:r>
              <w:t>S BASEMENT PTY LTD (ACN 607 922 609)</w:t>
            </w:r>
          </w:p>
          <w:p w14:paraId="51F6E52E" w14:textId="77777777" w:rsidR="001C7A8C" w:rsidRDefault="001C7A8C" w:rsidP="001C7A8C">
            <w:pPr>
              <w:pStyle w:val="PartyType"/>
            </w:pPr>
            <w:r>
              <w:t>Second Respondent</w:t>
            </w:r>
          </w:p>
          <w:bookmarkEnd w:id="16"/>
          <w:p w14:paraId="07C307FB" w14:textId="77777777" w:rsidR="00A46CCC" w:rsidRPr="006555B4" w:rsidRDefault="00A46CCC" w:rsidP="00BC033D">
            <w:pPr>
              <w:pStyle w:val="NormalHeadings"/>
              <w:jc w:val="left"/>
            </w:pPr>
          </w:p>
        </w:tc>
      </w:tr>
    </w:tbl>
    <w:p w14:paraId="419B93F0" w14:textId="77777777" w:rsidR="00395B24" w:rsidRDefault="00395B24">
      <w:pPr>
        <w:pStyle w:val="NormalHeadings"/>
      </w:pPr>
      <w:bookmarkStart w:id="17" w:name="CrossClaimPosition"/>
      <w:bookmarkEnd w:id="14"/>
      <w:bookmarkEnd w:id="17"/>
    </w:p>
    <w:tbl>
      <w:tblPr>
        <w:tblW w:w="0" w:type="auto"/>
        <w:tblLayout w:type="fixed"/>
        <w:tblLook w:val="0000" w:firstRow="0" w:lastRow="0" w:firstColumn="0" w:lastColumn="0" w:noHBand="0" w:noVBand="0"/>
        <w:tblCaption w:val="Judge"/>
        <w:tblDescription w:val="Judge"/>
      </w:tblPr>
      <w:tblGrid>
        <w:gridCol w:w="2376"/>
        <w:gridCol w:w="6866"/>
      </w:tblGrid>
      <w:tr w:rsidR="00395B24" w14:paraId="05CE7A0B" w14:textId="77777777">
        <w:tc>
          <w:tcPr>
            <w:tcW w:w="2376" w:type="dxa"/>
          </w:tcPr>
          <w:p w14:paraId="08873376" w14:textId="77777777" w:rsidR="00395B24" w:rsidRDefault="00974709">
            <w:pPr>
              <w:pStyle w:val="NormalHeadings"/>
              <w:spacing w:after="120"/>
              <w:jc w:val="left"/>
              <w:rPr>
                <w:caps/>
                <w:szCs w:val="24"/>
              </w:rPr>
            </w:pPr>
            <w:bookmarkStart w:id="18" w:name="JudgeText"/>
            <w:r>
              <w:rPr>
                <w:caps/>
                <w:szCs w:val="24"/>
              </w:rPr>
              <w:t>order made by</w:t>
            </w:r>
            <w:bookmarkEnd w:id="18"/>
            <w:r w:rsidR="002C7385">
              <w:rPr>
                <w:caps/>
                <w:szCs w:val="24"/>
              </w:rPr>
              <w:t>:</w:t>
            </w:r>
          </w:p>
        </w:tc>
        <w:tc>
          <w:tcPr>
            <w:tcW w:w="6866" w:type="dxa"/>
          </w:tcPr>
          <w:p w14:paraId="45CDDE1B" w14:textId="77777777" w:rsidR="00395B24" w:rsidRDefault="001C7A8C">
            <w:pPr>
              <w:pStyle w:val="NormalHeadings"/>
              <w:jc w:val="left"/>
              <w:rPr>
                <w:caps/>
                <w:szCs w:val="24"/>
              </w:rPr>
            </w:pPr>
            <w:bookmarkStart w:id="19" w:name="Judge"/>
            <w:r>
              <w:rPr>
                <w:caps/>
                <w:szCs w:val="24"/>
              </w:rPr>
              <w:t>YATES, ABRAHAM AND ROFE JJ</w:t>
            </w:r>
            <w:bookmarkEnd w:id="19"/>
          </w:p>
        </w:tc>
      </w:tr>
      <w:tr w:rsidR="00395B24" w14:paraId="2B140632" w14:textId="77777777">
        <w:tc>
          <w:tcPr>
            <w:tcW w:w="2376" w:type="dxa"/>
          </w:tcPr>
          <w:p w14:paraId="5D2CAF5E" w14:textId="77777777" w:rsidR="00395B24" w:rsidRDefault="002C7385">
            <w:pPr>
              <w:pStyle w:val="NormalHeadings"/>
              <w:spacing w:after="120"/>
              <w:jc w:val="left"/>
              <w:rPr>
                <w:caps/>
                <w:szCs w:val="24"/>
              </w:rPr>
            </w:pPr>
            <w:r>
              <w:rPr>
                <w:caps/>
                <w:szCs w:val="24"/>
              </w:rPr>
              <w:t>DATE OF ORDER:</w:t>
            </w:r>
          </w:p>
        </w:tc>
        <w:tc>
          <w:tcPr>
            <w:tcW w:w="6866" w:type="dxa"/>
          </w:tcPr>
          <w:p w14:paraId="16508BE8" w14:textId="3EDC0A85" w:rsidR="00395B24" w:rsidRDefault="00AE6E27" w:rsidP="00E90057">
            <w:pPr>
              <w:pStyle w:val="NormalHeadings"/>
              <w:jc w:val="left"/>
              <w:rPr>
                <w:caps/>
                <w:szCs w:val="24"/>
              </w:rPr>
            </w:pPr>
            <w:bookmarkStart w:id="20" w:name="Judgment_Dated"/>
            <w:r>
              <w:rPr>
                <w:caps/>
                <w:szCs w:val="24"/>
              </w:rPr>
              <w:t>13 September</w:t>
            </w:r>
            <w:r w:rsidR="00E90057">
              <w:rPr>
                <w:caps/>
                <w:szCs w:val="24"/>
              </w:rPr>
              <w:t xml:space="preserve"> 2022</w:t>
            </w:r>
            <w:bookmarkEnd w:id="20"/>
            <w:r w:rsidR="00E90057">
              <w:rPr>
                <w:caps/>
                <w:szCs w:val="24"/>
              </w:rPr>
              <w:t xml:space="preserve">  </w:t>
            </w:r>
          </w:p>
        </w:tc>
      </w:tr>
    </w:tbl>
    <w:p w14:paraId="3A3E6782" w14:textId="77777777" w:rsidR="00395B24" w:rsidRDefault="00395B24">
      <w:pPr>
        <w:pStyle w:val="NormalHeadings"/>
        <w:rPr>
          <w:b w:val="0"/>
        </w:rPr>
      </w:pPr>
    </w:p>
    <w:p w14:paraId="0715BAAD" w14:textId="77777777" w:rsidR="008D1617" w:rsidRDefault="008D1617">
      <w:pPr>
        <w:pStyle w:val="NormalHeadings"/>
        <w:rPr>
          <w:b w:val="0"/>
        </w:rPr>
      </w:pPr>
    </w:p>
    <w:p w14:paraId="67A72728" w14:textId="77777777" w:rsidR="00395B24" w:rsidRDefault="002C7385">
      <w:pPr>
        <w:pStyle w:val="NormalHeadings"/>
      </w:pPr>
      <w:r>
        <w:t>THE COURT ORDERS THAT:</w:t>
      </w:r>
    </w:p>
    <w:p w14:paraId="12961F19" w14:textId="77777777" w:rsidR="007F60DF" w:rsidRDefault="007F60DF" w:rsidP="00243E5E">
      <w:pPr>
        <w:pStyle w:val="NormalHeadings"/>
      </w:pPr>
    </w:p>
    <w:p w14:paraId="5FF97ACA" w14:textId="4AE13837" w:rsidR="00097B2F" w:rsidRDefault="00097B2F" w:rsidP="00F25134">
      <w:pPr>
        <w:pStyle w:val="Order1"/>
      </w:pPr>
      <w:r>
        <w:t>The appeal be dismissed.</w:t>
      </w:r>
    </w:p>
    <w:p w14:paraId="2692376C" w14:textId="37E39CE6" w:rsidR="00097B2F" w:rsidRDefault="00097B2F" w:rsidP="00097B2F">
      <w:pPr>
        <w:pStyle w:val="Order1"/>
      </w:pPr>
      <w:r>
        <w:t>T</w:t>
      </w:r>
      <w:r w:rsidR="00A318F5">
        <w:t>he appellant pay the respondent</w:t>
      </w:r>
      <w:r>
        <w:t>s</w:t>
      </w:r>
      <w:r w:rsidR="00A318F5">
        <w:t>’</w:t>
      </w:r>
      <w:r>
        <w:t xml:space="preserve"> costs of the appeal, to be assessed in </w:t>
      </w:r>
      <w:r w:rsidR="00AE6E27">
        <w:t xml:space="preserve">the </w:t>
      </w:r>
      <w:r>
        <w:t xml:space="preserve">absence of agreement. </w:t>
      </w:r>
    </w:p>
    <w:p w14:paraId="6EC06102" w14:textId="77777777" w:rsidR="001A6C52" w:rsidRDefault="001A6C52" w:rsidP="001A6C52">
      <w:pPr>
        <w:pStyle w:val="BodyText"/>
      </w:pPr>
    </w:p>
    <w:p w14:paraId="65566F7A" w14:textId="77777777" w:rsidR="00A431E6" w:rsidRDefault="00A431E6" w:rsidP="001A6C52">
      <w:pPr>
        <w:pStyle w:val="BodyText"/>
      </w:pPr>
    </w:p>
    <w:p w14:paraId="3FFF8EEF" w14:textId="77777777" w:rsidR="0050309C" w:rsidRDefault="001C7A8C" w:rsidP="004D53E5">
      <w:pPr>
        <w:pStyle w:val="SingleSpace"/>
      </w:pPr>
      <w:bookmarkStart w:id="21" w:name="OrdersStatement"/>
      <w:r>
        <w:t>Note:</w:t>
      </w:r>
      <w:r>
        <w:tab/>
        <w:t xml:space="preserve">Entry of orders is dealt with in Rule 39.32 of the </w:t>
      </w:r>
      <w:r>
        <w:rPr>
          <w:i/>
        </w:rPr>
        <w:t>Federal Court Rules 2011</w:t>
      </w:r>
      <w:r>
        <w:t>.</w:t>
      </w:r>
      <w:bookmarkEnd w:id="21"/>
    </w:p>
    <w:p w14:paraId="4A1B4B14" w14:textId="77777777" w:rsidR="00E23577" w:rsidRDefault="00E23577" w:rsidP="002B0E91">
      <w:pPr>
        <w:pStyle w:val="BodyText"/>
      </w:pPr>
    </w:p>
    <w:p w14:paraId="141C1975" w14:textId="77777777" w:rsidR="00395B24" w:rsidRDefault="00395B24">
      <w:pPr>
        <w:pStyle w:val="NormalHeadings"/>
        <w:spacing w:before="240" w:after="120"/>
        <w:rPr>
          <w:b w:val="0"/>
        </w:rPr>
        <w:sectPr w:rsidR="00395B24" w:rsidSect="0092590B">
          <w:headerReference w:type="default" r:id="rId18"/>
          <w:footerReference w:type="default" r:id="rId19"/>
          <w:headerReference w:type="first" r:id="rId20"/>
          <w:footerReference w:type="first" r:id="rId21"/>
          <w:endnotePr>
            <w:numFmt w:val="decimal"/>
          </w:endnotePr>
          <w:pgSz w:w="11907" w:h="16840" w:code="9"/>
          <w:pgMar w:top="1440" w:right="1440" w:bottom="1440" w:left="1440" w:header="851" w:footer="851" w:gutter="0"/>
          <w:pgNumType w:fmt="lowerRoman" w:start="1"/>
          <w:cols w:space="720"/>
          <w:noEndnote/>
          <w:titlePg/>
        </w:sectPr>
      </w:pPr>
    </w:p>
    <w:p w14:paraId="15095328" w14:textId="77777777" w:rsidR="001C7A8C" w:rsidRPr="00045BB7" w:rsidRDefault="001C7A8C"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1C7A8C" w14:paraId="6925FE61" w14:textId="77777777" w:rsidTr="00E81DA6">
        <w:tc>
          <w:tcPr>
            <w:tcW w:w="6912" w:type="dxa"/>
            <w:gridSpan w:val="2"/>
          </w:tcPr>
          <w:p w14:paraId="21C7DB1B" w14:textId="77777777" w:rsidR="001C7A8C" w:rsidRPr="001765E0" w:rsidRDefault="001C7A8C" w:rsidP="005451BC">
            <w:pPr>
              <w:pStyle w:val="NormalHeadings"/>
            </w:pPr>
          </w:p>
        </w:tc>
        <w:tc>
          <w:tcPr>
            <w:tcW w:w="2330" w:type="dxa"/>
          </w:tcPr>
          <w:p w14:paraId="0B2D6FC8" w14:textId="77777777" w:rsidR="001C7A8C" w:rsidRDefault="001C7A8C" w:rsidP="005451BC">
            <w:pPr>
              <w:pStyle w:val="NormalHeadings"/>
              <w:jc w:val="right"/>
            </w:pPr>
            <w:r>
              <w:t>VID 408 of 2021</w:t>
            </w:r>
          </w:p>
        </w:tc>
      </w:tr>
      <w:tr w:rsidR="001C7A8C" w14:paraId="27A3D5AA" w14:textId="77777777" w:rsidTr="005451BC">
        <w:tc>
          <w:tcPr>
            <w:tcW w:w="9242" w:type="dxa"/>
            <w:gridSpan w:val="3"/>
          </w:tcPr>
          <w:p w14:paraId="719CCE50" w14:textId="77777777" w:rsidR="001C7A8C" w:rsidRPr="00A76C13" w:rsidRDefault="001C7A8C" w:rsidP="005451BC">
            <w:pPr>
              <w:pStyle w:val="NormalHeadings"/>
              <w:jc w:val="left"/>
            </w:pPr>
            <w:bookmarkStart w:id="22" w:name="InTheMatterOf2"/>
            <w:bookmarkEnd w:id="22"/>
          </w:p>
        </w:tc>
      </w:tr>
      <w:tr w:rsidR="001C7A8C" w14:paraId="4ECDAF55" w14:textId="77777777" w:rsidTr="005451BC">
        <w:trPr>
          <w:trHeight w:val="386"/>
        </w:trPr>
        <w:tc>
          <w:tcPr>
            <w:tcW w:w="2376" w:type="dxa"/>
          </w:tcPr>
          <w:p w14:paraId="5348A550" w14:textId="77777777" w:rsidR="001C7A8C" w:rsidRDefault="001C7A8C" w:rsidP="005451BC">
            <w:pPr>
              <w:pStyle w:val="NormalHeadings"/>
              <w:jc w:val="left"/>
              <w:rPr>
                <w:caps/>
                <w:szCs w:val="24"/>
              </w:rPr>
            </w:pPr>
            <w:r>
              <w:rPr>
                <w:caps/>
                <w:szCs w:val="24"/>
              </w:rPr>
              <w:t>BETWEEN:</w:t>
            </w:r>
          </w:p>
        </w:tc>
        <w:tc>
          <w:tcPr>
            <w:tcW w:w="6866" w:type="dxa"/>
            <w:gridSpan w:val="2"/>
          </w:tcPr>
          <w:p w14:paraId="24FABDA3" w14:textId="77777777" w:rsidR="001C7A8C" w:rsidRDefault="001C7A8C" w:rsidP="001C7A8C">
            <w:pPr>
              <w:pStyle w:val="NormalHeadings"/>
              <w:jc w:val="left"/>
            </w:pPr>
            <w:r>
              <w:t>THE JAZZ CORNER HOTEL PTY LTD (ACN 615 168 968)</w:t>
            </w:r>
          </w:p>
          <w:p w14:paraId="4249EC4F" w14:textId="77777777" w:rsidR="001C7A8C" w:rsidRDefault="00E90057" w:rsidP="005451BC">
            <w:pPr>
              <w:pStyle w:val="PartyType"/>
            </w:pPr>
            <w:r>
              <w:t>Appellant</w:t>
            </w:r>
          </w:p>
          <w:p w14:paraId="28FB613A" w14:textId="77777777" w:rsidR="001C7A8C" w:rsidRPr="006555B4" w:rsidRDefault="001C7A8C" w:rsidP="005451BC">
            <w:pPr>
              <w:pStyle w:val="NormalHeadings"/>
            </w:pPr>
          </w:p>
        </w:tc>
      </w:tr>
      <w:tr w:rsidR="001C7A8C" w14:paraId="37056A66" w14:textId="77777777" w:rsidTr="005451BC">
        <w:trPr>
          <w:trHeight w:val="386"/>
        </w:trPr>
        <w:tc>
          <w:tcPr>
            <w:tcW w:w="2376" w:type="dxa"/>
          </w:tcPr>
          <w:p w14:paraId="43CC31BC" w14:textId="77777777" w:rsidR="001C7A8C" w:rsidRDefault="001C7A8C" w:rsidP="005451BC">
            <w:pPr>
              <w:pStyle w:val="NormalHeadings"/>
              <w:jc w:val="left"/>
              <w:rPr>
                <w:caps/>
                <w:szCs w:val="24"/>
              </w:rPr>
            </w:pPr>
            <w:r>
              <w:rPr>
                <w:caps/>
                <w:szCs w:val="24"/>
              </w:rPr>
              <w:t>AND:</w:t>
            </w:r>
          </w:p>
        </w:tc>
        <w:tc>
          <w:tcPr>
            <w:tcW w:w="6866" w:type="dxa"/>
            <w:gridSpan w:val="2"/>
          </w:tcPr>
          <w:p w14:paraId="0B9CDBAE" w14:textId="77777777" w:rsidR="00E90057" w:rsidRDefault="00E90057" w:rsidP="00E90057">
            <w:pPr>
              <w:pStyle w:val="NormalHeadings"/>
              <w:jc w:val="left"/>
            </w:pPr>
            <w:r>
              <w:t>SWANCOM PTY LTD (ACN 161 447 605)</w:t>
            </w:r>
          </w:p>
          <w:p w14:paraId="1BA468A5" w14:textId="77777777" w:rsidR="001C7A8C" w:rsidRDefault="00E90057" w:rsidP="005451BC">
            <w:pPr>
              <w:pStyle w:val="PartyType"/>
            </w:pPr>
            <w:r>
              <w:t>Respondent</w:t>
            </w:r>
          </w:p>
          <w:p w14:paraId="0D4F51E5" w14:textId="77777777" w:rsidR="001C7A8C" w:rsidRPr="006555B4" w:rsidRDefault="001C7A8C" w:rsidP="005451BC">
            <w:pPr>
              <w:pStyle w:val="NormalHeadings"/>
            </w:pPr>
          </w:p>
        </w:tc>
      </w:tr>
    </w:tbl>
    <w:p w14:paraId="65CFAB56" w14:textId="77777777" w:rsidR="001C7A8C" w:rsidRDefault="001C7A8C">
      <w:pPr>
        <w:pStyle w:val="NormalHeadings"/>
      </w:pPr>
    </w:p>
    <w:tbl>
      <w:tblPr>
        <w:tblW w:w="0" w:type="auto"/>
        <w:tblLayout w:type="fixed"/>
        <w:tblLook w:val="0000" w:firstRow="0" w:lastRow="0" w:firstColumn="0" w:lastColumn="0" w:noHBand="0" w:noVBand="0"/>
        <w:tblCaption w:val="Judge"/>
        <w:tblDescription w:val="Judge"/>
      </w:tblPr>
      <w:tblGrid>
        <w:gridCol w:w="2376"/>
        <w:gridCol w:w="6866"/>
      </w:tblGrid>
      <w:tr w:rsidR="001C7A8C" w14:paraId="4C704D96" w14:textId="77777777">
        <w:tc>
          <w:tcPr>
            <w:tcW w:w="2376" w:type="dxa"/>
          </w:tcPr>
          <w:p w14:paraId="6AECEBBD" w14:textId="77777777" w:rsidR="001C7A8C" w:rsidRDefault="001C7A8C">
            <w:pPr>
              <w:pStyle w:val="NormalHeadings"/>
              <w:spacing w:after="120"/>
              <w:jc w:val="left"/>
              <w:rPr>
                <w:caps/>
                <w:szCs w:val="24"/>
              </w:rPr>
            </w:pPr>
            <w:r>
              <w:rPr>
                <w:caps/>
                <w:szCs w:val="24"/>
              </w:rPr>
              <w:t>order made by:</w:t>
            </w:r>
          </w:p>
        </w:tc>
        <w:tc>
          <w:tcPr>
            <w:tcW w:w="6866" w:type="dxa"/>
          </w:tcPr>
          <w:p w14:paraId="1E1CA846" w14:textId="77777777" w:rsidR="001C7A8C" w:rsidRDefault="00E90057">
            <w:pPr>
              <w:pStyle w:val="NormalHeadings"/>
              <w:jc w:val="left"/>
              <w:rPr>
                <w:caps/>
                <w:szCs w:val="24"/>
              </w:rPr>
            </w:pPr>
            <w:r>
              <w:rPr>
                <w:caps/>
                <w:szCs w:val="24"/>
              </w:rPr>
              <w:t>YATES, ABRAHAM AND ROFE JJ</w:t>
            </w:r>
          </w:p>
        </w:tc>
      </w:tr>
      <w:tr w:rsidR="001C7A8C" w14:paraId="56521018" w14:textId="77777777">
        <w:tc>
          <w:tcPr>
            <w:tcW w:w="2376" w:type="dxa"/>
          </w:tcPr>
          <w:p w14:paraId="0B5D4A43" w14:textId="77777777" w:rsidR="001C7A8C" w:rsidRDefault="001C7A8C">
            <w:pPr>
              <w:pStyle w:val="NormalHeadings"/>
              <w:spacing w:after="120"/>
              <w:jc w:val="left"/>
              <w:rPr>
                <w:caps/>
                <w:szCs w:val="24"/>
              </w:rPr>
            </w:pPr>
            <w:r>
              <w:rPr>
                <w:caps/>
                <w:szCs w:val="24"/>
              </w:rPr>
              <w:t>DATE OF ORDER:</w:t>
            </w:r>
          </w:p>
        </w:tc>
        <w:tc>
          <w:tcPr>
            <w:tcW w:w="6866" w:type="dxa"/>
          </w:tcPr>
          <w:p w14:paraId="14F6ACDB" w14:textId="48A5882B" w:rsidR="001C7A8C" w:rsidRDefault="00AE6E27">
            <w:pPr>
              <w:pStyle w:val="NormalHeadings"/>
              <w:jc w:val="left"/>
              <w:rPr>
                <w:caps/>
                <w:szCs w:val="24"/>
              </w:rPr>
            </w:pPr>
            <w:r>
              <w:rPr>
                <w:caps/>
                <w:szCs w:val="24"/>
              </w:rPr>
              <w:t>13 september</w:t>
            </w:r>
            <w:r w:rsidR="00E90057">
              <w:rPr>
                <w:caps/>
                <w:szCs w:val="24"/>
              </w:rPr>
              <w:t xml:space="preserve"> 2022</w:t>
            </w:r>
          </w:p>
        </w:tc>
      </w:tr>
    </w:tbl>
    <w:p w14:paraId="25404DF3" w14:textId="77777777" w:rsidR="001C7A8C" w:rsidRDefault="001C7A8C">
      <w:pPr>
        <w:pStyle w:val="NormalHeadings"/>
        <w:rPr>
          <w:b w:val="0"/>
        </w:rPr>
      </w:pPr>
    </w:p>
    <w:p w14:paraId="2EFB25F7" w14:textId="77777777" w:rsidR="001C7A8C" w:rsidRDefault="001C7A8C">
      <w:pPr>
        <w:pStyle w:val="NormalHeadings"/>
        <w:rPr>
          <w:b w:val="0"/>
        </w:rPr>
      </w:pPr>
    </w:p>
    <w:p w14:paraId="73EC4187" w14:textId="77777777" w:rsidR="001C7A8C" w:rsidRDefault="001C7A8C">
      <w:pPr>
        <w:pStyle w:val="NormalHeadings"/>
      </w:pPr>
      <w:r>
        <w:t>THE COURT ORDERS THAT:</w:t>
      </w:r>
    </w:p>
    <w:p w14:paraId="499ADF37" w14:textId="77777777" w:rsidR="001C7A8C" w:rsidRDefault="001C7A8C">
      <w:pPr>
        <w:pStyle w:val="NormalHeadings"/>
      </w:pPr>
    </w:p>
    <w:p w14:paraId="15612C96" w14:textId="2E810D56" w:rsidR="00097B2F" w:rsidRDefault="00097B2F" w:rsidP="00097B2F">
      <w:pPr>
        <w:pStyle w:val="Order1"/>
        <w:numPr>
          <w:ilvl w:val="0"/>
          <w:numId w:val="32"/>
        </w:numPr>
      </w:pPr>
      <w:bookmarkStart w:id="23" w:name="Order_Start_Text"/>
      <w:bookmarkEnd w:id="23"/>
      <w:r>
        <w:t>The appeal be dismissed.</w:t>
      </w:r>
    </w:p>
    <w:p w14:paraId="27E95B8F" w14:textId="3468DCDF" w:rsidR="00097B2F" w:rsidRDefault="00097B2F" w:rsidP="00097B2F">
      <w:pPr>
        <w:pStyle w:val="Order1"/>
        <w:numPr>
          <w:ilvl w:val="0"/>
          <w:numId w:val="32"/>
        </w:numPr>
      </w:pPr>
      <w:r>
        <w:t xml:space="preserve">The appellant pay the respondent’s costs of the appeal, to be assessed in </w:t>
      </w:r>
      <w:r w:rsidR="00F25134">
        <w:t xml:space="preserve">the </w:t>
      </w:r>
      <w:r>
        <w:t>absence of agreement.</w:t>
      </w:r>
    </w:p>
    <w:p w14:paraId="13A4512C" w14:textId="77777777" w:rsidR="001C7A8C" w:rsidRDefault="001C7A8C" w:rsidP="002B0E91">
      <w:pPr>
        <w:pStyle w:val="BodyText"/>
      </w:pPr>
    </w:p>
    <w:p w14:paraId="21CACFB1" w14:textId="77777777" w:rsidR="001C7A8C" w:rsidRDefault="001C7A8C" w:rsidP="002B0E91">
      <w:pPr>
        <w:pStyle w:val="BodyText"/>
      </w:pPr>
    </w:p>
    <w:p w14:paraId="7C8E7072" w14:textId="77777777" w:rsidR="001C7A8C" w:rsidRPr="00073D7C" w:rsidRDefault="001C7A8C" w:rsidP="005451BC">
      <w:pPr>
        <w:pStyle w:val="BodyText"/>
        <w:rPr>
          <w:highlight w:val="yellow"/>
        </w:rPr>
      </w:pPr>
      <w:bookmarkStart w:id="24" w:name="OrdersStatementN"/>
      <w:bookmarkEnd w:id="24"/>
      <w:r w:rsidRPr="007F2CAA">
        <w:t>[</w:t>
      </w:r>
      <w:r w:rsidR="00E90057">
        <w:t>Note:</w:t>
      </w:r>
      <w:r w:rsidR="00E90057">
        <w:tab/>
        <w:t xml:space="preserve">Entry of orders is dealt with in Rule 39.32 of the </w:t>
      </w:r>
      <w:r w:rsidR="00E90057">
        <w:rPr>
          <w:i/>
        </w:rPr>
        <w:t>Federal Court Rules 2011.</w:t>
      </w:r>
      <w:r w:rsidRPr="007F2CAA">
        <w:t>]</w:t>
      </w:r>
    </w:p>
    <w:p w14:paraId="7F7CB9A0" w14:textId="77777777" w:rsidR="001C7A8C" w:rsidRDefault="001C7A8C" w:rsidP="002B0E91">
      <w:pPr>
        <w:pStyle w:val="BodyText"/>
      </w:pPr>
    </w:p>
    <w:p w14:paraId="6EEA24D6" w14:textId="77777777" w:rsidR="001C7A8C" w:rsidRDefault="001C7A8C">
      <w:pPr>
        <w:pStyle w:val="NormalHeadings"/>
        <w:spacing w:before="240" w:after="120"/>
        <w:rPr>
          <w:b w:val="0"/>
        </w:rPr>
        <w:sectPr w:rsidR="001C7A8C" w:rsidSect="005451BC">
          <w:headerReference w:type="default" r:id="rId22"/>
          <w:headerReference w:type="first" r:id="rId23"/>
          <w:endnotePr>
            <w:numFmt w:val="decimal"/>
          </w:endnotePr>
          <w:pgSz w:w="11907" w:h="16840" w:code="9"/>
          <w:pgMar w:top="1440" w:right="1440" w:bottom="1440" w:left="1440" w:header="851" w:footer="851" w:gutter="0"/>
          <w:pgNumType w:fmt="lowerRoman"/>
          <w:cols w:space="720"/>
          <w:noEndnote/>
          <w:titlePg/>
        </w:sectPr>
      </w:pPr>
    </w:p>
    <w:p w14:paraId="27940D5F" w14:textId="77777777" w:rsidR="00484F6D" w:rsidRPr="00045BB7" w:rsidRDefault="00484F6D" w:rsidP="00045BB7">
      <w:pPr>
        <w:pStyle w:val="NormalHeadings"/>
        <w:spacing w:line="480" w:lineRule="auto"/>
        <w:jc w:val="center"/>
        <w:rPr>
          <w:sz w:val="28"/>
          <w:szCs w:val="28"/>
        </w:rPr>
      </w:pPr>
      <w:bookmarkStart w:id="25" w:name="ReasonsPage"/>
      <w:bookmarkEnd w:id="25"/>
      <w:r w:rsidRPr="00045BB7">
        <w:rPr>
          <w:sz w:val="28"/>
          <w:szCs w:val="28"/>
        </w:rPr>
        <w:lastRenderedPageBreak/>
        <w:t>REASONS FOR JUDGMENT</w:t>
      </w:r>
    </w:p>
    <w:p w14:paraId="75D1B114" w14:textId="5B58EC82" w:rsidR="00694BEB" w:rsidRDefault="009C7A6B" w:rsidP="005E0510">
      <w:pPr>
        <w:pStyle w:val="NormalHeadings"/>
        <w:spacing w:line="360" w:lineRule="auto"/>
        <w:jc w:val="left"/>
        <w:rPr>
          <w:sz w:val="26"/>
          <w:szCs w:val="26"/>
        </w:rPr>
      </w:pPr>
      <w:r>
        <w:rPr>
          <w:sz w:val="26"/>
          <w:szCs w:val="26"/>
        </w:rPr>
        <w:t>THE COURT</w:t>
      </w:r>
      <w:r w:rsidR="005D686F">
        <w:rPr>
          <w:sz w:val="26"/>
          <w:szCs w:val="26"/>
        </w:rPr>
        <w:t>:</w:t>
      </w:r>
    </w:p>
    <w:p w14:paraId="0883359E" w14:textId="77777777" w:rsidR="00D0687E" w:rsidRPr="00D0687E" w:rsidRDefault="00D0687E" w:rsidP="00B96D18">
      <w:pPr>
        <w:pStyle w:val="Heading1"/>
      </w:pPr>
      <w:r w:rsidRPr="00D0687E">
        <w:t>Introduction</w:t>
      </w:r>
      <w:r w:rsidR="00350840">
        <w:t xml:space="preserve"> </w:t>
      </w:r>
      <w:r w:rsidR="00C71194">
        <w:t xml:space="preserve"> </w:t>
      </w:r>
      <w:r w:rsidR="00482821">
        <w:t xml:space="preserve"> </w:t>
      </w:r>
    </w:p>
    <w:p w14:paraId="2CACB0DD" w14:textId="77777777" w:rsidR="00CD1346" w:rsidRDefault="00830B14" w:rsidP="00CD1346">
      <w:pPr>
        <w:pStyle w:val="ParaNumbering"/>
      </w:pPr>
      <w:r>
        <w:t>This matter involves an appeal from the primary judge’s orders dismissing claims for trade mark infringement</w:t>
      </w:r>
      <w:r w:rsidR="0017283C">
        <w:t xml:space="preserve">: </w:t>
      </w:r>
      <w:proofErr w:type="spellStart"/>
      <w:r w:rsidR="0017283C" w:rsidRPr="0042785A">
        <w:rPr>
          <w:i/>
        </w:rPr>
        <w:t>Swancom</w:t>
      </w:r>
      <w:proofErr w:type="spellEnd"/>
      <w:r w:rsidR="0017283C" w:rsidRPr="0042785A">
        <w:rPr>
          <w:i/>
        </w:rPr>
        <w:t xml:space="preserve"> Pty Ltd v The Jazz Corner Hotel Pty Ltd (No 2)</w:t>
      </w:r>
      <w:r w:rsidR="0017283C" w:rsidRPr="0042785A">
        <w:t xml:space="preserve"> [2021] FCA 328</w:t>
      </w:r>
      <w:r w:rsidR="0017283C">
        <w:t xml:space="preserve"> </w:t>
      </w:r>
      <w:r>
        <w:t>(</w:t>
      </w:r>
      <w:r w:rsidR="00CC0311" w:rsidRPr="00CC0311">
        <w:rPr>
          <w:b/>
        </w:rPr>
        <w:t>P</w:t>
      </w:r>
      <w:r w:rsidRPr="00CC0311">
        <w:rPr>
          <w:b/>
        </w:rPr>
        <w:t xml:space="preserve">rimary </w:t>
      </w:r>
      <w:r w:rsidR="00CC0311" w:rsidRPr="00CC0311">
        <w:rPr>
          <w:b/>
        </w:rPr>
        <w:t>J</w:t>
      </w:r>
      <w:r w:rsidRPr="00CC0311">
        <w:rPr>
          <w:b/>
        </w:rPr>
        <w:t>udgment</w:t>
      </w:r>
      <w:r w:rsidR="00255065">
        <w:rPr>
          <w:b/>
        </w:rPr>
        <w:t xml:space="preserve"> </w:t>
      </w:r>
      <w:r w:rsidR="00255065" w:rsidRPr="00753E3D">
        <w:t>or</w:t>
      </w:r>
      <w:r w:rsidR="00255065">
        <w:rPr>
          <w:b/>
        </w:rPr>
        <w:t xml:space="preserve"> J</w:t>
      </w:r>
      <w:r>
        <w:t>)</w:t>
      </w:r>
      <w:r w:rsidR="00900E5B">
        <w:t xml:space="preserve"> (the </w:t>
      </w:r>
      <w:r w:rsidR="00900E5B" w:rsidRPr="00753E3D">
        <w:rPr>
          <w:b/>
        </w:rPr>
        <w:t>first appeal</w:t>
      </w:r>
      <w:r w:rsidR="00900E5B">
        <w:t>)</w:t>
      </w:r>
      <w:r w:rsidR="00CC0311">
        <w:t xml:space="preserve">, and an appeal from the </w:t>
      </w:r>
      <w:r w:rsidR="0017283C">
        <w:t xml:space="preserve">primary judge’s orders as to costs: </w:t>
      </w:r>
      <w:proofErr w:type="spellStart"/>
      <w:r w:rsidR="0017283C" w:rsidRPr="0042785A">
        <w:rPr>
          <w:i/>
        </w:rPr>
        <w:t>Swancom</w:t>
      </w:r>
      <w:proofErr w:type="spellEnd"/>
      <w:r w:rsidR="0017283C" w:rsidRPr="0042785A">
        <w:rPr>
          <w:i/>
        </w:rPr>
        <w:t xml:space="preserve"> Pty Ltd v The Jazz Corner Hotel Pty Ltd (No 3)</w:t>
      </w:r>
      <w:r w:rsidR="0017283C" w:rsidRPr="0042785A">
        <w:t xml:space="preserve"> [2021] FCA 729</w:t>
      </w:r>
      <w:r w:rsidR="0017283C">
        <w:t xml:space="preserve"> (the </w:t>
      </w:r>
      <w:r w:rsidR="00CC0311">
        <w:rPr>
          <w:b/>
        </w:rPr>
        <w:t>C</w:t>
      </w:r>
      <w:r w:rsidR="0017283C" w:rsidRPr="004519AB">
        <w:rPr>
          <w:b/>
        </w:rPr>
        <w:t xml:space="preserve">osts </w:t>
      </w:r>
      <w:r w:rsidR="00CC0311">
        <w:rPr>
          <w:b/>
        </w:rPr>
        <w:t>D</w:t>
      </w:r>
      <w:r w:rsidR="0017283C" w:rsidRPr="004519AB">
        <w:rPr>
          <w:b/>
        </w:rPr>
        <w:t>ecision</w:t>
      </w:r>
      <w:r w:rsidR="00255065">
        <w:rPr>
          <w:b/>
        </w:rPr>
        <w:t xml:space="preserve"> </w:t>
      </w:r>
      <w:r w:rsidR="00255065" w:rsidRPr="00753E3D">
        <w:t>or</w:t>
      </w:r>
      <w:r w:rsidR="00255065">
        <w:rPr>
          <w:b/>
        </w:rPr>
        <w:t xml:space="preserve"> CD</w:t>
      </w:r>
      <w:r w:rsidR="00576548">
        <w:t>)</w:t>
      </w:r>
      <w:r w:rsidR="00900E5B">
        <w:t xml:space="preserve"> (the </w:t>
      </w:r>
      <w:r w:rsidR="00900E5B" w:rsidRPr="00753E3D">
        <w:rPr>
          <w:b/>
        </w:rPr>
        <w:t>second appeal</w:t>
      </w:r>
      <w:r w:rsidR="00900E5B">
        <w:t>)</w:t>
      </w:r>
      <w:r>
        <w:t>.</w:t>
      </w:r>
    </w:p>
    <w:p w14:paraId="7809C62E" w14:textId="77777777" w:rsidR="0017283C" w:rsidRDefault="00DB408D" w:rsidP="005F36AC">
      <w:pPr>
        <w:pStyle w:val="ParaNumbering"/>
      </w:pPr>
      <w:r>
        <w:t>Th</w:t>
      </w:r>
      <w:r w:rsidR="00576548">
        <w:t>e</w:t>
      </w:r>
      <w:r>
        <w:t xml:space="preserve"> proceeding </w:t>
      </w:r>
      <w:r w:rsidR="00900E5B">
        <w:t xml:space="preserve">below </w:t>
      </w:r>
      <w:r>
        <w:t>concerned</w:t>
      </w:r>
      <w:r w:rsidR="0017283C">
        <w:t xml:space="preserve"> two live music venues located in Melbourne, one in the inner city suburb of Richmond and the other in the central business district of Melbourne, and the right to use </w:t>
      </w:r>
      <w:proofErr w:type="spellStart"/>
      <w:r w:rsidR="00027966">
        <w:t>trade</w:t>
      </w:r>
      <w:r w:rsidR="002A0669">
        <w:t xml:space="preserve"> </w:t>
      </w:r>
      <w:r w:rsidR="00027966">
        <w:t>marks</w:t>
      </w:r>
      <w:proofErr w:type="spellEnd"/>
      <w:r w:rsidR="002D1783">
        <w:t xml:space="preserve"> which include the words “c</w:t>
      </w:r>
      <w:r w:rsidR="0017283C">
        <w:t xml:space="preserve">orner” and “corner hotel”.  </w:t>
      </w:r>
    </w:p>
    <w:p w14:paraId="2A04BFE2" w14:textId="77777777" w:rsidR="00DB408D" w:rsidRDefault="00DB408D" w:rsidP="00DB408D">
      <w:pPr>
        <w:pStyle w:val="ParaNumbering"/>
      </w:pPr>
      <w:r>
        <w:t xml:space="preserve">Since 1995, </w:t>
      </w:r>
      <w:r w:rsidR="0017283C">
        <w:t xml:space="preserve">the </w:t>
      </w:r>
      <w:r w:rsidR="00830B14">
        <w:t xml:space="preserve">appellant </w:t>
      </w:r>
      <w:r w:rsidR="0017283C">
        <w:t xml:space="preserve">in the first appeal, </w:t>
      </w:r>
      <w:proofErr w:type="spellStart"/>
      <w:r w:rsidR="000A6934">
        <w:t>Swancom</w:t>
      </w:r>
      <w:proofErr w:type="spellEnd"/>
      <w:r w:rsidR="000A6934">
        <w:t xml:space="preserve"> Pty Ltd </w:t>
      </w:r>
      <w:r w:rsidR="00830B14">
        <w:t>(</w:t>
      </w:r>
      <w:proofErr w:type="spellStart"/>
      <w:r w:rsidR="00830B14" w:rsidRPr="00DB408D">
        <w:rPr>
          <w:b/>
        </w:rPr>
        <w:t>Swancom</w:t>
      </w:r>
      <w:proofErr w:type="spellEnd"/>
      <w:r w:rsidR="00830B14">
        <w:t>)</w:t>
      </w:r>
      <w:r w:rsidR="000A6934">
        <w:t>,</w:t>
      </w:r>
      <w:r w:rsidR="00830B14">
        <w:t xml:space="preserve"> </w:t>
      </w:r>
      <w:r>
        <w:t xml:space="preserve">has been the owner and operator of a live music and hospitality venue located at 57 Swan Street, Richmond, Victoria. The venue occupies a block that fronts (on three sides) each of Swan Street, Stewart Street and </w:t>
      </w:r>
      <w:proofErr w:type="spellStart"/>
      <w:r>
        <w:t>Botherambo</w:t>
      </w:r>
      <w:proofErr w:type="spellEnd"/>
      <w:r>
        <w:t xml:space="preserve"> Street</w:t>
      </w:r>
      <w:r w:rsidR="005451BC">
        <w:t>,</w:t>
      </w:r>
      <w:r>
        <w:t xml:space="preserve"> and thus sits at the junction of two street corners. The venue has been called the Corner Hotel for a long time (and prior to its ownership by </w:t>
      </w:r>
      <w:proofErr w:type="spellStart"/>
      <w:r>
        <w:t>Swancom</w:t>
      </w:r>
      <w:proofErr w:type="spellEnd"/>
      <w:r>
        <w:t xml:space="preserve">). </w:t>
      </w:r>
    </w:p>
    <w:p w14:paraId="13420D9B" w14:textId="77777777" w:rsidR="0017283C" w:rsidRDefault="00DB408D" w:rsidP="00DB408D">
      <w:pPr>
        <w:pStyle w:val="ParaNumbering"/>
      </w:pPr>
      <w:proofErr w:type="spellStart"/>
      <w:r>
        <w:t>Swancom</w:t>
      </w:r>
      <w:proofErr w:type="spellEnd"/>
      <w:r>
        <w:t xml:space="preserve"> </w:t>
      </w:r>
      <w:r w:rsidR="000C02C4">
        <w:t>is the registered owner of</w:t>
      </w:r>
      <w:r w:rsidR="00E90057">
        <w:t xml:space="preserve"> four registered </w:t>
      </w:r>
      <w:proofErr w:type="spellStart"/>
      <w:r w:rsidR="00E90057">
        <w:t xml:space="preserve">trade </w:t>
      </w:r>
      <w:r w:rsidR="00830B14">
        <w:t>marks</w:t>
      </w:r>
      <w:proofErr w:type="spellEnd"/>
      <w:r w:rsidR="0054347F">
        <w:t xml:space="preserve"> which were the marks in suit in the infringement action</w:t>
      </w:r>
      <w:r w:rsidR="0017283C">
        <w:t>:</w:t>
      </w:r>
    </w:p>
    <w:p w14:paraId="6810B83E" w14:textId="77777777" w:rsidR="00DB408D" w:rsidRDefault="005451BC" w:rsidP="00E90057">
      <w:pPr>
        <w:pStyle w:val="ListNo2"/>
      </w:pPr>
      <w:r>
        <w:t>Trade M</w:t>
      </w:r>
      <w:r w:rsidR="00DB408D">
        <w:t xml:space="preserve">ark </w:t>
      </w:r>
      <w:r>
        <w:t>No</w:t>
      </w:r>
      <w:r w:rsidR="00DB408D">
        <w:t xml:space="preserve"> 1388154 for CORNER </w:t>
      </w:r>
      <w:r w:rsidR="00E90057">
        <w:t>HOTEL (with a filing date of 11 </w:t>
      </w:r>
      <w:r w:rsidR="00DB408D">
        <w:t>October 2010) registered in respect of services in classes 41 and 43;</w:t>
      </w:r>
    </w:p>
    <w:p w14:paraId="6479008E" w14:textId="28792AA6" w:rsidR="00DB408D" w:rsidRDefault="005451BC" w:rsidP="00E90057">
      <w:pPr>
        <w:pStyle w:val="ListNo2"/>
      </w:pPr>
      <w:r>
        <w:t>Trade M</w:t>
      </w:r>
      <w:r w:rsidR="00DB408D">
        <w:t xml:space="preserve">ark </w:t>
      </w:r>
      <w:r>
        <w:t>No</w:t>
      </w:r>
      <w:r w:rsidR="00DB408D">
        <w:t xml:space="preserve"> 1442211 for CORNER (with a filing date of 10 August 2011) registered in respect of services in class</w:t>
      </w:r>
      <w:r w:rsidR="006D2837">
        <w:t>es</w:t>
      </w:r>
      <w:r w:rsidR="00DB408D">
        <w:t xml:space="preserve"> 41</w:t>
      </w:r>
      <w:r w:rsidR="007B008F">
        <w:t xml:space="preserve"> and 43</w:t>
      </w:r>
      <w:r w:rsidR="00DB408D">
        <w:t>;</w:t>
      </w:r>
    </w:p>
    <w:p w14:paraId="11174638" w14:textId="77777777" w:rsidR="00DB408D" w:rsidRDefault="005451BC" w:rsidP="00E90057">
      <w:pPr>
        <w:pStyle w:val="ListNo2"/>
      </w:pPr>
      <w:r>
        <w:t>Trade M</w:t>
      </w:r>
      <w:r w:rsidR="00E90057">
        <w:t xml:space="preserve">ark </w:t>
      </w:r>
      <w:r>
        <w:t>No</w:t>
      </w:r>
      <w:r w:rsidR="00E90057">
        <w:t xml:space="preserve"> 1669900 for </w:t>
      </w:r>
      <w:r w:rsidR="00DB408D">
        <w:t>THE CORNER (with a filing date of 20 January 2015) registered in respect of services in classes 41 and 43; and</w:t>
      </w:r>
    </w:p>
    <w:p w14:paraId="44ED84C5" w14:textId="77777777" w:rsidR="00830B14" w:rsidRDefault="005451BC" w:rsidP="00E90057">
      <w:pPr>
        <w:pStyle w:val="ListNo2"/>
      </w:pPr>
      <w:r>
        <w:t>Trade M</w:t>
      </w:r>
      <w:r w:rsidR="00DB408D">
        <w:t xml:space="preserve">ark </w:t>
      </w:r>
      <w:r>
        <w:t>No</w:t>
      </w:r>
      <w:r w:rsidR="00DB408D">
        <w:t xml:space="preserve"> 1623364 for CORNER PRE</w:t>
      </w:r>
      <w:r>
        <w:t>SENTS (with a filing date of 16 </w:t>
      </w:r>
      <w:r w:rsidR="00DB408D">
        <w:t>May 2014) registered in respect of services in class 41</w:t>
      </w:r>
      <w:r w:rsidR="00830B14">
        <w:t xml:space="preserve">. </w:t>
      </w:r>
    </w:p>
    <w:p w14:paraId="670B5CC5" w14:textId="77777777" w:rsidR="005C1B71" w:rsidRDefault="005C1B71" w:rsidP="005C1B71">
      <w:pPr>
        <w:pStyle w:val="ParaNumbering"/>
      </w:pPr>
      <w:r>
        <w:t xml:space="preserve">At the outset of the appeal hearing, </w:t>
      </w:r>
      <w:proofErr w:type="spellStart"/>
      <w:r>
        <w:t>Swancom’s</w:t>
      </w:r>
      <w:proofErr w:type="spellEnd"/>
      <w:r>
        <w:t xml:space="preserve"> senior counsel noted that </w:t>
      </w:r>
      <w:proofErr w:type="spellStart"/>
      <w:r>
        <w:t>Swancom</w:t>
      </w:r>
      <w:proofErr w:type="spellEnd"/>
      <w:r>
        <w:t xml:space="preserve"> no longer pressed an infringement case on the basis of the CORNER PRESENTS mark. </w:t>
      </w:r>
      <w:r w:rsidR="001C6477">
        <w:t>The appeal was limited to m</w:t>
      </w:r>
      <w:r>
        <w:t>arks (a) to (c)</w:t>
      </w:r>
      <w:r w:rsidR="005451BC">
        <w:t>,</w:t>
      </w:r>
      <w:r>
        <w:t xml:space="preserve"> </w:t>
      </w:r>
      <w:r w:rsidR="001C6477">
        <w:t>which we will refer to</w:t>
      </w:r>
      <w:r>
        <w:t xml:space="preserve"> as the </w:t>
      </w:r>
      <w:proofErr w:type="spellStart"/>
      <w:r w:rsidRPr="0054347F">
        <w:rPr>
          <w:b/>
        </w:rPr>
        <w:t>Swancom</w:t>
      </w:r>
      <w:proofErr w:type="spellEnd"/>
      <w:r w:rsidRPr="0054347F">
        <w:rPr>
          <w:b/>
        </w:rPr>
        <w:t xml:space="preserve"> marks</w:t>
      </w:r>
      <w:r>
        <w:t>.</w:t>
      </w:r>
    </w:p>
    <w:p w14:paraId="39F2DE4A" w14:textId="77777777" w:rsidR="005C1B71" w:rsidRPr="004A17FD" w:rsidRDefault="005C1B71" w:rsidP="005C1B71">
      <w:pPr>
        <w:pStyle w:val="ParaNumbering"/>
        <w:numPr>
          <w:ilvl w:val="0"/>
          <w:numId w:val="0"/>
        </w:numPr>
        <w:rPr>
          <w:highlight w:val="yellow"/>
        </w:rPr>
      </w:pPr>
    </w:p>
    <w:p w14:paraId="354685DD" w14:textId="77777777" w:rsidR="00DB408D" w:rsidRDefault="00C14412" w:rsidP="00DB408D">
      <w:pPr>
        <w:pStyle w:val="ParaNumbering"/>
      </w:pPr>
      <w:r>
        <w:t>The</w:t>
      </w:r>
      <w:r w:rsidR="00DB408D">
        <w:t xml:space="preserve"> </w:t>
      </w:r>
      <w:r w:rsidR="000C02C4">
        <w:t>first respondent in the proceeding</w:t>
      </w:r>
      <w:r w:rsidR="00102D22">
        <w:t xml:space="preserve"> below</w:t>
      </w:r>
      <w:r w:rsidR="007A01C0">
        <w:t>, The Jazz Corner Hotel Pty Ltd</w:t>
      </w:r>
      <w:r w:rsidR="000C02C4">
        <w:t xml:space="preserve"> (</w:t>
      </w:r>
      <w:r w:rsidR="000C02C4" w:rsidRPr="0054347F">
        <w:rPr>
          <w:b/>
        </w:rPr>
        <w:t>JCHPL</w:t>
      </w:r>
      <w:r w:rsidR="000C02C4">
        <w:t>)</w:t>
      </w:r>
      <w:r w:rsidR="00DB408D">
        <w:t>, the second respondent, Bird’s Basement Pty Ltd (</w:t>
      </w:r>
      <w:r w:rsidR="00DB408D" w:rsidRPr="0054347F">
        <w:rPr>
          <w:b/>
        </w:rPr>
        <w:t>BBPL</w:t>
      </w:r>
      <w:r w:rsidR="00DB408D">
        <w:t>), and the third respondent, Saint Thomas Pty Ltd (</w:t>
      </w:r>
      <w:r w:rsidR="00DB408D" w:rsidRPr="0054347F">
        <w:rPr>
          <w:b/>
        </w:rPr>
        <w:t>STPL</w:t>
      </w:r>
      <w:r w:rsidR="00DB408D">
        <w:t xml:space="preserve">), conduct business from premises that </w:t>
      </w:r>
      <w:r>
        <w:t xml:space="preserve">occupy </w:t>
      </w:r>
      <w:r w:rsidR="00DB408D">
        <w:t xml:space="preserve">the block at 330-360 William Street, Melbourne. That building is next door to a smaller building that is on the north-east corner of the intersection of William and La Trobe Streets. Thus, the building at 330-360 William Street (which the primary judge referred to as the </w:t>
      </w:r>
      <w:r w:rsidR="00DB408D" w:rsidRPr="005451BC">
        <w:rPr>
          <w:b/>
        </w:rPr>
        <w:t>William Street building</w:t>
      </w:r>
      <w:r w:rsidR="00DB408D">
        <w:t>) is close to the corner of William and La Trobe Streets, but not actually on the corner. There are other business occupants of the William Street building, including Oaks Apartments</w:t>
      </w:r>
      <w:r w:rsidR="006604F8">
        <w:t xml:space="preserve"> which provides accommodation services</w:t>
      </w:r>
      <w:r w:rsidR="00DB408D">
        <w:t xml:space="preserve">. </w:t>
      </w:r>
    </w:p>
    <w:p w14:paraId="6D8A45FA" w14:textId="77777777" w:rsidR="00DB408D" w:rsidRDefault="0099106D" w:rsidP="005F36AC">
      <w:pPr>
        <w:pStyle w:val="ParaNumbering"/>
      </w:pPr>
      <w:r>
        <w:t>JCHPL, BBPL and STPL</w:t>
      </w:r>
      <w:r w:rsidR="00DB408D">
        <w:t xml:space="preserve"> conduct three distinct but related businesses within the William Street building:</w:t>
      </w:r>
      <w:r w:rsidR="00EA5106">
        <w:t xml:space="preserve"> </w:t>
      </w:r>
    </w:p>
    <w:p w14:paraId="16AD1676" w14:textId="77777777" w:rsidR="00E54669" w:rsidRDefault="00DB408D" w:rsidP="00A60764">
      <w:pPr>
        <w:pStyle w:val="ListNo2"/>
        <w:numPr>
          <w:ilvl w:val="1"/>
          <w:numId w:val="33"/>
        </w:numPr>
      </w:pPr>
      <w:r>
        <w:t>JCHPL conducts a hotel business called “The Jazz Corner Hotel”, which has the street address 352 William Street, Melbourne;</w:t>
      </w:r>
    </w:p>
    <w:p w14:paraId="5D0DFBE9" w14:textId="77777777" w:rsidR="00E54669" w:rsidRDefault="00DB408D" w:rsidP="00F26E42">
      <w:pPr>
        <w:pStyle w:val="ListNo2"/>
        <w:numPr>
          <w:ilvl w:val="1"/>
          <w:numId w:val="33"/>
        </w:numPr>
      </w:pPr>
      <w:r>
        <w:t>BBPL operates a jazz music venue called “Bird’s Basement” which is located in the basement of the building and which has its primary street entrance at 1</w:t>
      </w:r>
      <w:r w:rsidR="00EA5106">
        <w:t>1 </w:t>
      </w:r>
      <w:r>
        <w:t>Singers Lane,</w:t>
      </w:r>
      <w:r w:rsidR="000C02C4">
        <w:t xml:space="preserve"> </w:t>
      </w:r>
      <w:r>
        <w:t>Melbourne, which is at the rear of the building; and</w:t>
      </w:r>
    </w:p>
    <w:p w14:paraId="3DDC80C9" w14:textId="0EDA0567" w:rsidR="000C02C4" w:rsidRDefault="00DB408D" w:rsidP="00F26E42">
      <w:pPr>
        <w:pStyle w:val="ListNo2"/>
        <w:numPr>
          <w:ilvl w:val="1"/>
          <w:numId w:val="33"/>
        </w:numPr>
      </w:pPr>
      <w:r>
        <w:t>STPL operates a café business called the “The Jazz Corner Café” within the building.</w:t>
      </w:r>
    </w:p>
    <w:p w14:paraId="4F456C32" w14:textId="77777777" w:rsidR="000E389D" w:rsidRDefault="000C02C4" w:rsidP="000E389D">
      <w:pPr>
        <w:pStyle w:val="ParaNumbering"/>
      </w:pPr>
      <w:proofErr w:type="spellStart"/>
      <w:r>
        <w:t>Swancom</w:t>
      </w:r>
      <w:proofErr w:type="spellEnd"/>
      <w:r>
        <w:t xml:space="preserve"> sued </w:t>
      </w:r>
      <w:r w:rsidR="0099106D">
        <w:t>JCHPL, BBPL and STPL</w:t>
      </w:r>
      <w:r>
        <w:t xml:space="preserve"> for trade mark infringement pursuant to s</w:t>
      </w:r>
      <w:r w:rsidR="00F51D98">
        <w:t xml:space="preserve"> </w:t>
      </w:r>
      <w:r>
        <w:t xml:space="preserve">120(1) of the </w:t>
      </w:r>
      <w:r w:rsidRPr="0042785A">
        <w:rPr>
          <w:i/>
        </w:rPr>
        <w:t>Trade Marks Act 1995</w:t>
      </w:r>
      <w:r w:rsidRPr="0042785A">
        <w:t xml:space="preserve"> (</w:t>
      </w:r>
      <w:proofErr w:type="spellStart"/>
      <w:r w:rsidRPr="0042785A">
        <w:t>Cth</w:t>
      </w:r>
      <w:proofErr w:type="spellEnd"/>
      <w:r w:rsidRPr="0042785A">
        <w:t>)</w:t>
      </w:r>
      <w:r>
        <w:t xml:space="preserve"> (the </w:t>
      </w:r>
      <w:r w:rsidRPr="00F51D98">
        <w:rPr>
          <w:b/>
        </w:rPr>
        <w:t>Act</w:t>
      </w:r>
      <w:r>
        <w:t xml:space="preserve">). </w:t>
      </w:r>
      <w:r w:rsidR="009513F3">
        <w:t>It</w:t>
      </w:r>
      <w:r w:rsidR="006604F8">
        <w:t xml:space="preserve"> alleged</w:t>
      </w:r>
      <w:r w:rsidR="000E389D">
        <w:t xml:space="preserve"> that each ha</w:t>
      </w:r>
      <w:r w:rsidR="00A87781">
        <w:t>d</w:t>
      </w:r>
      <w:r w:rsidR="000E389D">
        <w:t xml:space="preserve"> infringed the </w:t>
      </w:r>
      <w:proofErr w:type="spellStart"/>
      <w:r w:rsidR="000E389D">
        <w:t>Swancom</w:t>
      </w:r>
      <w:proofErr w:type="spellEnd"/>
      <w:r w:rsidR="000E389D">
        <w:t xml:space="preserve"> marks by using, without the licence or authority of </w:t>
      </w:r>
      <w:proofErr w:type="spellStart"/>
      <w:r w:rsidR="000E389D">
        <w:t>Swancom</w:t>
      </w:r>
      <w:proofErr w:type="spellEnd"/>
      <w:r w:rsidR="000E389D">
        <w:t xml:space="preserve">, the following trade marks (which the primary judge referred to as the </w:t>
      </w:r>
      <w:r w:rsidR="000E389D" w:rsidRPr="006604F8">
        <w:rPr>
          <w:b/>
        </w:rPr>
        <w:t>Jazz Corner marks</w:t>
      </w:r>
      <w:r w:rsidR="000E389D">
        <w:t>):</w:t>
      </w:r>
    </w:p>
    <w:p w14:paraId="5B47E338" w14:textId="77777777" w:rsidR="00E54669" w:rsidRDefault="000E389D" w:rsidP="00DB5381">
      <w:pPr>
        <w:pStyle w:val="ListNo2"/>
        <w:numPr>
          <w:ilvl w:val="1"/>
          <w:numId w:val="34"/>
        </w:numPr>
      </w:pPr>
      <w:r>
        <w:t xml:space="preserve">THE JAZZ CORNER </w:t>
      </w:r>
      <w:r w:rsidR="00EA5106">
        <w:t xml:space="preserve">OF MELBOURNE and JAZZ CORNER OF </w:t>
      </w:r>
      <w:r>
        <w:t>MELBOURNE (</w:t>
      </w:r>
      <w:r w:rsidRPr="00E54669">
        <w:rPr>
          <w:b/>
        </w:rPr>
        <w:t>Jazz Corner of Melbourne marks</w:t>
      </w:r>
      <w:r>
        <w:t>);</w:t>
      </w:r>
    </w:p>
    <w:p w14:paraId="3DF36872" w14:textId="77777777" w:rsidR="00E54669" w:rsidRDefault="000E389D" w:rsidP="00B62E38">
      <w:pPr>
        <w:pStyle w:val="ListNo2"/>
        <w:numPr>
          <w:ilvl w:val="1"/>
          <w:numId w:val="34"/>
        </w:numPr>
      </w:pPr>
      <w:r>
        <w:t>THE JAZZ CORNER OF THE WORLD and JAZZ CORNER OF THE WORLD (</w:t>
      </w:r>
      <w:r w:rsidRPr="00E54669">
        <w:rPr>
          <w:b/>
        </w:rPr>
        <w:t>Jazz Corner of the World marks</w:t>
      </w:r>
      <w:r>
        <w:t>);</w:t>
      </w:r>
    </w:p>
    <w:p w14:paraId="673D6EF7" w14:textId="77777777" w:rsidR="00E54669" w:rsidRDefault="000E389D" w:rsidP="00AE5483">
      <w:pPr>
        <w:pStyle w:val="ListNo2"/>
        <w:numPr>
          <w:ilvl w:val="1"/>
          <w:numId w:val="34"/>
        </w:numPr>
      </w:pPr>
      <w:r>
        <w:t>THE JAZZ CORNER HOTEL, JAZZ CORNER HOTEL and JAZZCORNERHOTEL</w:t>
      </w:r>
      <w:r w:rsidR="005D6948">
        <w:t xml:space="preserve"> </w:t>
      </w:r>
      <w:r>
        <w:t>(</w:t>
      </w:r>
      <w:r w:rsidRPr="00E54669">
        <w:rPr>
          <w:b/>
        </w:rPr>
        <w:t>Jazz Corner Hotel marks</w:t>
      </w:r>
      <w:r>
        <w:t xml:space="preserve">); and </w:t>
      </w:r>
    </w:p>
    <w:p w14:paraId="14FE50F3" w14:textId="003E0B20" w:rsidR="000E389D" w:rsidRDefault="000E389D" w:rsidP="00AE5483">
      <w:pPr>
        <w:pStyle w:val="ListNo2"/>
        <w:numPr>
          <w:ilvl w:val="1"/>
          <w:numId w:val="34"/>
        </w:numPr>
      </w:pPr>
      <w:r>
        <w:t>THE JAZZ CORNER CAFÉ, JAZZ CORNER CAFÉ and THEJAZZCNRCAFE (</w:t>
      </w:r>
      <w:r w:rsidRPr="00E54669">
        <w:rPr>
          <w:b/>
        </w:rPr>
        <w:t>Jazz Corner Café marks</w:t>
      </w:r>
      <w:r>
        <w:t>),</w:t>
      </w:r>
    </w:p>
    <w:p w14:paraId="7B743D7C" w14:textId="77777777" w:rsidR="000E389D" w:rsidRPr="00F062FE" w:rsidRDefault="000E389D" w:rsidP="00F062FE">
      <w:pPr>
        <w:pStyle w:val="BodyText"/>
      </w:pPr>
      <w:r w:rsidRPr="00F062FE">
        <w:lastRenderedPageBreak/>
        <w:t>in Australia</w:t>
      </w:r>
      <w:r w:rsidR="005451BC" w:rsidRPr="00F062FE">
        <w:t>,</w:t>
      </w:r>
      <w:r w:rsidRPr="00F062FE">
        <w:t xml:space="preserve"> in relation to the follow</w:t>
      </w:r>
      <w:r w:rsidR="001C6477" w:rsidRPr="00F062FE">
        <w:t>ing services</w:t>
      </w:r>
      <w:r w:rsidRPr="00F062FE">
        <w:t>:</w:t>
      </w:r>
    </w:p>
    <w:p w14:paraId="58A60B43" w14:textId="77777777" w:rsidR="00E54669" w:rsidRDefault="0008267D" w:rsidP="00E13054">
      <w:pPr>
        <w:pStyle w:val="ListNo2"/>
        <w:numPr>
          <w:ilvl w:val="1"/>
          <w:numId w:val="35"/>
        </w:numPr>
      </w:pPr>
      <w:r>
        <w:t>s</w:t>
      </w:r>
      <w:r w:rsidR="008217D8">
        <w:t>ervices</w:t>
      </w:r>
      <w:r w:rsidR="000E389D">
        <w:t xml:space="preserve"> of organising, conducting, providing and </w:t>
      </w:r>
      <w:r w:rsidR="001C6477">
        <w:t>providing</w:t>
      </w:r>
      <w:r w:rsidR="000E389D">
        <w:t xml:space="preserve"> information in relation to live music performances (</w:t>
      </w:r>
      <w:r w:rsidR="000E389D" w:rsidRPr="00E54669">
        <w:rPr>
          <w:b/>
        </w:rPr>
        <w:t>live music services</w:t>
      </w:r>
      <w:r w:rsidR="000E389D">
        <w:t xml:space="preserve">); and </w:t>
      </w:r>
    </w:p>
    <w:p w14:paraId="6795D372" w14:textId="02963CC5" w:rsidR="000C02C4" w:rsidRDefault="0008267D" w:rsidP="00E13054">
      <w:pPr>
        <w:pStyle w:val="ListNo2"/>
        <w:numPr>
          <w:ilvl w:val="1"/>
          <w:numId w:val="35"/>
        </w:numPr>
      </w:pPr>
      <w:r>
        <w:t>t</w:t>
      </w:r>
      <w:r w:rsidR="008217D8">
        <w:t>icket</w:t>
      </w:r>
      <w:r w:rsidR="000E389D">
        <w:t xml:space="preserve"> booking and reservation services for live music performances (</w:t>
      </w:r>
      <w:r w:rsidR="000E389D" w:rsidRPr="00E54669">
        <w:rPr>
          <w:b/>
        </w:rPr>
        <w:t>booking services</w:t>
      </w:r>
      <w:r w:rsidR="000E389D">
        <w:t xml:space="preserve">). </w:t>
      </w:r>
    </w:p>
    <w:p w14:paraId="79DDB2F3" w14:textId="77777777" w:rsidR="000E389D" w:rsidRDefault="006604F8" w:rsidP="005F36AC">
      <w:pPr>
        <w:pStyle w:val="ParaNumbering"/>
      </w:pPr>
      <w:r>
        <w:t>JCHPL</w:t>
      </w:r>
      <w:r w:rsidR="003A26B4">
        <w:t xml:space="preserve">, BBPL, STPL, and Albert </w:t>
      </w:r>
      <w:proofErr w:type="spellStart"/>
      <w:r w:rsidR="003A26B4">
        <w:t>Dadon</w:t>
      </w:r>
      <w:proofErr w:type="spellEnd"/>
      <w:r w:rsidR="003A26B4">
        <w:t xml:space="preserve"> (a director of those companies)</w:t>
      </w:r>
      <w:r w:rsidR="000C02C4">
        <w:t xml:space="preserve"> cross-claimed in the proceeding </w:t>
      </w:r>
      <w:r w:rsidR="005451BC">
        <w:t xml:space="preserve">below </w:t>
      </w:r>
      <w:r w:rsidR="000E389D">
        <w:t xml:space="preserve">pursuant </w:t>
      </w:r>
      <w:r>
        <w:t xml:space="preserve">to </w:t>
      </w:r>
      <w:r w:rsidR="00366FCD">
        <w:t>s 88(1)(a) of the Act</w:t>
      </w:r>
      <w:r w:rsidR="00097FBF">
        <w:t>.</w:t>
      </w:r>
      <w:r w:rsidR="000E389D">
        <w:t xml:space="preserve"> </w:t>
      </w:r>
      <w:r w:rsidR="003A26B4">
        <w:t xml:space="preserve">The cross-claimants </w:t>
      </w:r>
      <w:r w:rsidR="000E389D">
        <w:t>relied on two principal grounds</w:t>
      </w:r>
      <w:r w:rsidR="001C6477">
        <w:t xml:space="preserve"> to seek rectification of the R</w:t>
      </w:r>
      <w:r w:rsidR="00366FCD">
        <w:t xml:space="preserve">egister by cancellation of the </w:t>
      </w:r>
      <w:proofErr w:type="spellStart"/>
      <w:r w:rsidR="00366FCD">
        <w:t>Swancom</w:t>
      </w:r>
      <w:proofErr w:type="spellEnd"/>
      <w:r w:rsidR="00366FCD">
        <w:t xml:space="preserve"> marks in respect of the registered services in class 41</w:t>
      </w:r>
      <w:r w:rsidR="000E389D">
        <w:t>:</w:t>
      </w:r>
    </w:p>
    <w:p w14:paraId="6D7B4D94" w14:textId="77777777" w:rsidR="00E54669" w:rsidRDefault="00EA5106" w:rsidP="005E4269">
      <w:pPr>
        <w:pStyle w:val="ListNo2"/>
        <w:numPr>
          <w:ilvl w:val="1"/>
          <w:numId w:val="36"/>
        </w:numPr>
      </w:pPr>
      <w:r>
        <w:t>f</w:t>
      </w:r>
      <w:r w:rsidR="000E389D">
        <w:t xml:space="preserve">irst, relying on </w:t>
      </w:r>
      <w:proofErr w:type="spellStart"/>
      <w:r w:rsidR="000E389D">
        <w:t>ss</w:t>
      </w:r>
      <w:proofErr w:type="spellEnd"/>
      <w:r w:rsidR="000E389D">
        <w:t xml:space="preserve"> 88(2)(a) </w:t>
      </w:r>
      <w:r w:rsidR="00C81A60">
        <w:t>and 41 of the Act</w:t>
      </w:r>
      <w:r w:rsidR="006604F8">
        <w:t xml:space="preserve">, </w:t>
      </w:r>
      <w:r w:rsidR="003A26B4">
        <w:t xml:space="preserve">the cross-claimants </w:t>
      </w:r>
      <w:r w:rsidR="006604F8">
        <w:t xml:space="preserve">alleged that the </w:t>
      </w:r>
      <w:proofErr w:type="spellStart"/>
      <w:r w:rsidR="006604F8">
        <w:t>Swancom</w:t>
      </w:r>
      <w:proofErr w:type="spellEnd"/>
      <w:r w:rsidR="006604F8">
        <w:t xml:space="preserve"> marks we</w:t>
      </w:r>
      <w:r w:rsidR="000E389D">
        <w:t xml:space="preserve">re not capable of distinguishing </w:t>
      </w:r>
      <w:proofErr w:type="spellStart"/>
      <w:r w:rsidR="000E389D">
        <w:t>Swancom’s</w:t>
      </w:r>
      <w:proofErr w:type="spellEnd"/>
      <w:r w:rsidR="000E389D">
        <w:t xml:space="preserve"> services; and </w:t>
      </w:r>
    </w:p>
    <w:p w14:paraId="7794EF1B" w14:textId="23F79E29" w:rsidR="000C02C4" w:rsidRDefault="00EA5106" w:rsidP="005E4269">
      <w:pPr>
        <w:pStyle w:val="ListNo2"/>
        <w:numPr>
          <w:ilvl w:val="1"/>
          <w:numId w:val="36"/>
        </w:numPr>
      </w:pPr>
      <w:r>
        <w:t>s</w:t>
      </w:r>
      <w:r w:rsidR="000E389D">
        <w:t>econd, relying on s 88</w:t>
      </w:r>
      <w:r w:rsidR="00C81A60">
        <w:t>(2)(c) of the Act</w:t>
      </w:r>
      <w:r w:rsidR="006604F8">
        <w:t xml:space="preserve">, </w:t>
      </w:r>
      <w:r w:rsidR="003A26B4">
        <w:t xml:space="preserve">the cross-claimants </w:t>
      </w:r>
      <w:r w:rsidR="006604F8">
        <w:t>alleged</w:t>
      </w:r>
      <w:r w:rsidR="000E389D">
        <w:t xml:space="preserve"> that the use</w:t>
      </w:r>
      <w:r w:rsidR="006604F8">
        <w:t xml:space="preserve"> of the </w:t>
      </w:r>
      <w:proofErr w:type="spellStart"/>
      <w:r w:rsidR="006604F8">
        <w:t>Swancom</w:t>
      </w:r>
      <w:proofErr w:type="spellEnd"/>
      <w:r w:rsidR="006604F8">
        <w:t xml:space="preserve"> marks wa</w:t>
      </w:r>
      <w:r w:rsidR="000E389D">
        <w:t>s likely to de</w:t>
      </w:r>
      <w:r w:rsidR="00366FCD">
        <w:t>ceive or cause confusion.</w:t>
      </w:r>
    </w:p>
    <w:p w14:paraId="27A5D067" w14:textId="77777777" w:rsidR="000E389D" w:rsidRDefault="004E12C2" w:rsidP="007763A3">
      <w:pPr>
        <w:pStyle w:val="ParaNumbering"/>
      </w:pPr>
      <w:proofErr w:type="spellStart"/>
      <w:r>
        <w:t>Swancom</w:t>
      </w:r>
      <w:proofErr w:type="spellEnd"/>
      <w:r>
        <w:t xml:space="preserve"> denied the</w:t>
      </w:r>
      <w:r w:rsidR="000E389D">
        <w:t xml:space="preserve"> allegations and, in the alternative, contended that the Court should </w:t>
      </w:r>
      <w:r w:rsidR="001C6477">
        <w:t xml:space="preserve">exercise its discretion </w:t>
      </w:r>
      <w:r w:rsidR="000E389D">
        <w:t xml:space="preserve">not </w:t>
      </w:r>
      <w:r w:rsidR="003A26B4">
        <w:t xml:space="preserve">to </w:t>
      </w:r>
      <w:r w:rsidR="000E389D">
        <w:t>canc</w:t>
      </w:r>
      <w:r w:rsidR="001C6477">
        <w:t xml:space="preserve">el the </w:t>
      </w:r>
      <w:proofErr w:type="spellStart"/>
      <w:r w:rsidR="001C6477">
        <w:t>Swancom</w:t>
      </w:r>
      <w:proofErr w:type="spellEnd"/>
      <w:r w:rsidR="001C6477">
        <w:t xml:space="preserve"> marks</w:t>
      </w:r>
      <w:r w:rsidR="007763A3">
        <w:t>.</w:t>
      </w:r>
    </w:p>
    <w:p w14:paraId="1F38C0FC" w14:textId="77777777" w:rsidR="00DB408D" w:rsidRDefault="000E389D" w:rsidP="005F36AC">
      <w:pPr>
        <w:pStyle w:val="ParaNumbering"/>
      </w:pPr>
      <w:r>
        <w:t xml:space="preserve">The trial was limited to </w:t>
      </w:r>
      <w:r w:rsidR="005451BC">
        <w:t xml:space="preserve">the </w:t>
      </w:r>
      <w:r>
        <w:t>issues of trade mark validity, infringement, injunctiv</w:t>
      </w:r>
      <w:r w:rsidR="004E12C2">
        <w:t>e relief</w:t>
      </w:r>
      <w:r w:rsidR="003A26B4">
        <w:t>,</w:t>
      </w:r>
      <w:r w:rsidR="004E12C2">
        <w:t xml:space="preserve"> and declaratory relief.</w:t>
      </w:r>
      <w:r>
        <w:t xml:space="preserve"> </w:t>
      </w:r>
      <w:r w:rsidR="004E12C2">
        <w:t>T</w:t>
      </w:r>
      <w:r>
        <w:t>he issue of pecuniary relief</w:t>
      </w:r>
      <w:r w:rsidR="004E12C2">
        <w:t xml:space="preserve"> was</w:t>
      </w:r>
      <w:r>
        <w:t xml:space="preserve"> to be heard and determined separately. </w:t>
      </w:r>
    </w:p>
    <w:p w14:paraId="5F50348C" w14:textId="77777777" w:rsidR="00075DAE" w:rsidRDefault="00075DAE" w:rsidP="005F36AC">
      <w:pPr>
        <w:pStyle w:val="ParaNumbering"/>
      </w:pPr>
      <w:r>
        <w:t>The primary</w:t>
      </w:r>
      <w:r w:rsidR="0020012C">
        <w:t xml:space="preserve"> judge </w:t>
      </w:r>
      <w:r>
        <w:t>found that:</w:t>
      </w:r>
    </w:p>
    <w:p w14:paraId="1EDA69D5" w14:textId="77777777" w:rsidR="00E54669" w:rsidRDefault="00075DAE" w:rsidP="004F15C1">
      <w:pPr>
        <w:pStyle w:val="ListNo2"/>
        <w:numPr>
          <w:ilvl w:val="1"/>
          <w:numId w:val="37"/>
        </w:numPr>
      </w:pPr>
      <w:r>
        <w:t xml:space="preserve">JCHPL had used the </w:t>
      </w:r>
      <w:r w:rsidR="0020012C">
        <w:t>Jazz Corner Hote</w:t>
      </w:r>
      <w:r>
        <w:t>l marks as a trade mark in relation to live music services</w:t>
      </w:r>
      <w:r w:rsidR="004C6E3D">
        <w:t xml:space="preserve"> provided at Bird’s Basement</w:t>
      </w:r>
      <w:r w:rsidR="00F755B6">
        <w:t>:</w:t>
      </w:r>
      <w:r w:rsidR="005D6948">
        <w:t xml:space="preserve"> </w:t>
      </w:r>
      <w:r w:rsidR="00406EAD">
        <w:t xml:space="preserve"> </w:t>
      </w:r>
      <w:r w:rsidR="00F755B6">
        <w:t>J</w:t>
      </w:r>
      <w:r w:rsidR="005D6948">
        <w:t>[2</w:t>
      </w:r>
      <w:r w:rsidR="005451BC">
        <w:t>14</w:t>
      </w:r>
      <w:r w:rsidR="00EA5106">
        <w:t>]</w:t>
      </w:r>
      <w:r w:rsidR="005D6948">
        <w:t xml:space="preserve">; </w:t>
      </w:r>
      <w:r>
        <w:t xml:space="preserve"> </w:t>
      </w:r>
    </w:p>
    <w:p w14:paraId="5C0BAD4C" w14:textId="77777777" w:rsidR="00E54669" w:rsidRDefault="00F755B6" w:rsidP="006B600F">
      <w:pPr>
        <w:pStyle w:val="ListNo2"/>
        <w:numPr>
          <w:ilvl w:val="1"/>
          <w:numId w:val="37"/>
        </w:numPr>
      </w:pPr>
      <w:r>
        <w:t>BBPL had not used the Jazz Corner Hotel marks as a trade mark</w:t>
      </w:r>
      <w:r w:rsidR="004625AD">
        <w:t xml:space="preserve"> in relation to live music services</w:t>
      </w:r>
      <w:r>
        <w:t>:  J[215];</w:t>
      </w:r>
    </w:p>
    <w:p w14:paraId="75A4025C" w14:textId="77777777" w:rsidR="00E54669" w:rsidRDefault="00075DAE" w:rsidP="00E37403">
      <w:pPr>
        <w:pStyle w:val="ListNo2"/>
        <w:numPr>
          <w:ilvl w:val="1"/>
          <w:numId w:val="37"/>
        </w:numPr>
      </w:pPr>
      <w:r>
        <w:t>JCHPL and BBPL had used t</w:t>
      </w:r>
      <w:r w:rsidR="007D270F">
        <w:t>he Jazz Corner of Melbourne</w:t>
      </w:r>
      <w:r w:rsidR="00F755B6">
        <w:t xml:space="preserve"> mark</w:t>
      </w:r>
      <w:r w:rsidR="00255065">
        <w:t>s</w:t>
      </w:r>
      <w:r>
        <w:t xml:space="preserve"> as a trade mark </w:t>
      </w:r>
      <w:r w:rsidR="007D270F">
        <w:t>in relation to</w:t>
      </w:r>
      <w:r w:rsidR="00C021BE">
        <w:t xml:space="preserve"> each and</w:t>
      </w:r>
      <w:r w:rsidR="007D270F">
        <w:t xml:space="preserve"> all of the businesses conducted from the William Street building, </w:t>
      </w:r>
      <w:r w:rsidR="00F755B6">
        <w:t>including</w:t>
      </w:r>
      <w:r w:rsidR="007D270F">
        <w:t xml:space="preserve"> the jazz club</w:t>
      </w:r>
      <w:r w:rsidR="00F755B6">
        <w:t>:</w:t>
      </w:r>
      <w:r w:rsidR="007D270F">
        <w:t xml:space="preserve"> </w:t>
      </w:r>
      <w:r w:rsidR="00406EAD">
        <w:t xml:space="preserve"> </w:t>
      </w:r>
      <w:r w:rsidR="00F755B6">
        <w:t>J</w:t>
      </w:r>
      <w:r w:rsidR="00406EAD">
        <w:t>[219];</w:t>
      </w:r>
    </w:p>
    <w:p w14:paraId="422D206F" w14:textId="77777777" w:rsidR="00E54669" w:rsidRDefault="005D6948" w:rsidP="00A1227B">
      <w:pPr>
        <w:pStyle w:val="ListNo2"/>
        <w:numPr>
          <w:ilvl w:val="1"/>
          <w:numId w:val="37"/>
        </w:numPr>
      </w:pPr>
      <w:r>
        <w:t xml:space="preserve">STPL had not used the Jazz Corner </w:t>
      </w:r>
      <w:r w:rsidR="008134CE">
        <w:t xml:space="preserve">Café </w:t>
      </w:r>
      <w:r>
        <w:t xml:space="preserve">marks as </w:t>
      </w:r>
      <w:r w:rsidR="00F755B6">
        <w:t xml:space="preserve">a </w:t>
      </w:r>
      <w:r>
        <w:t>trade mark</w:t>
      </w:r>
      <w:r w:rsidR="00F755B6">
        <w:t xml:space="preserve"> in relation to live music services provided at Bird’s Basement:  J[216];</w:t>
      </w:r>
      <w:r w:rsidR="001C6477">
        <w:t xml:space="preserve"> </w:t>
      </w:r>
      <w:r>
        <w:t>and</w:t>
      </w:r>
    </w:p>
    <w:p w14:paraId="19ECADA6" w14:textId="5F14F5F8" w:rsidR="00D15496" w:rsidRDefault="00F755B6" w:rsidP="00A1227B">
      <w:pPr>
        <w:pStyle w:val="ListNo2"/>
        <w:numPr>
          <w:ilvl w:val="1"/>
          <w:numId w:val="37"/>
        </w:numPr>
      </w:pPr>
      <w:r>
        <w:t>JCHPL, BBPL and STPL</w:t>
      </w:r>
      <w:r w:rsidR="005D6948">
        <w:t xml:space="preserve"> had not used the Jazz Corner of the World marks as </w:t>
      </w:r>
      <w:r w:rsidR="00255065">
        <w:t xml:space="preserve">a </w:t>
      </w:r>
      <w:r w:rsidR="005D6948">
        <w:t>trade mark</w:t>
      </w:r>
      <w:r>
        <w:t>:  J[221].</w:t>
      </w:r>
      <w:r w:rsidR="005D6948">
        <w:t xml:space="preserve"> </w:t>
      </w:r>
    </w:p>
    <w:p w14:paraId="27CE82BC" w14:textId="1261E3AC" w:rsidR="0020012C" w:rsidRDefault="00075DAE" w:rsidP="005F36AC">
      <w:pPr>
        <w:pStyle w:val="ParaNumbering"/>
      </w:pPr>
      <w:r>
        <w:lastRenderedPageBreak/>
        <w:t>Ultimately</w:t>
      </w:r>
      <w:r w:rsidR="00F755B6">
        <w:t>,</w:t>
      </w:r>
      <w:r>
        <w:t xml:space="preserve"> the primary judge </w:t>
      </w:r>
      <w:r w:rsidR="0020012C">
        <w:t xml:space="preserve">dismissed the infringement </w:t>
      </w:r>
      <w:r w:rsidR="006604F8">
        <w:t>case</w:t>
      </w:r>
      <w:r w:rsidR="0020012C">
        <w:t xml:space="preserve"> on the basis that </w:t>
      </w:r>
      <w:r w:rsidR="001C6477">
        <w:t xml:space="preserve">none of the </w:t>
      </w:r>
      <w:r w:rsidR="00F755B6">
        <w:t xml:space="preserve">relevant </w:t>
      </w:r>
      <w:r w:rsidR="001C6477">
        <w:t xml:space="preserve">Jazz Corner marks were </w:t>
      </w:r>
      <w:r w:rsidR="0020012C">
        <w:t xml:space="preserve">deceptively similar to the </w:t>
      </w:r>
      <w:proofErr w:type="spellStart"/>
      <w:r w:rsidR="0020012C">
        <w:t>Swancom</w:t>
      </w:r>
      <w:proofErr w:type="spellEnd"/>
      <w:r w:rsidR="0020012C">
        <w:t xml:space="preserve"> marks</w:t>
      </w:r>
      <w:r w:rsidR="005E5A41">
        <w:t>.</w:t>
      </w:r>
      <w:r w:rsidR="00F755B6">
        <w:t xml:space="preserve"> </w:t>
      </w:r>
      <w:r w:rsidR="005E5A41">
        <w:t xml:space="preserve">At </w:t>
      </w:r>
      <w:r w:rsidR="00F755B6">
        <w:t>J[255]</w:t>
      </w:r>
      <w:r w:rsidR="005E5A41">
        <w:t>, the primary judge said:</w:t>
      </w:r>
      <w:r>
        <w:t xml:space="preserve"> </w:t>
      </w:r>
    </w:p>
    <w:p w14:paraId="387A4070" w14:textId="390D6214" w:rsidR="005E5A41" w:rsidRDefault="005E5A41" w:rsidP="00753E3D">
      <w:pPr>
        <w:pStyle w:val="Quote1"/>
        <w:ind w:left="1440" w:hanging="703"/>
      </w:pPr>
      <w:r>
        <w:t>255</w:t>
      </w:r>
      <w:r>
        <w:tab/>
        <w:t xml:space="preserve">… I conclude that the risk of an ordinary member of the public being confused about whether the live music services promoted by the use of the Jazz Corner marks have an association with the Corner Hotel (or the </w:t>
      </w:r>
      <w:proofErr w:type="spellStart"/>
      <w:r>
        <w:t>Swancom</w:t>
      </w:r>
      <w:proofErr w:type="spellEnd"/>
      <w:r>
        <w:t xml:space="preserve"> marks more generally) to be remote (a mere possibility). For that reason, I conclude that the relevant Jazz Corner marks are not likely to deceive or cause confusion and, therefore, are not deceptively similar to the </w:t>
      </w:r>
      <w:proofErr w:type="spellStart"/>
      <w:r>
        <w:t>Swancom</w:t>
      </w:r>
      <w:proofErr w:type="spellEnd"/>
      <w:r>
        <w:t xml:space="preserve"> marks.</w:t>
      </w:r>
    </w:p>
    <w:p w14:paraId="4506CFDF" w14:textId="2AA7B940" w:rsidR="0020012C" w:rsidRDefault="0020012C" w:rsidP="005F36AC">
      <w:pPr>
        <w:pStyle w:val="ParaNumbering"/>
      </w:pPr>
      <w:r>
        <w:t xml:space="preserve">In dismissing the cross-claim </w:t>
      </w:r>
      <w:r w:rsidR="00F755B6">
        <w:t>(</w:t>
      </w:r>
      <w:r>
        <w:t xml:space="preserve">aside from </w:t>
      </w:r>
      <w:r w:rsidR="005451BC">
        <w:t>limiting</w:t>
      </w:r>
      <w:r>
        <w:t xml:space="preserve"> the</w:t>
      </w:r>
      <w:r w:rsidR="00A6322C">
        <w:t xml:space="preserve"> breadth of the</w:t>
      </w:r>
      <w:r>
        <w:t xml:space="preserve"> class 41 registrations of the CORNER and THE CORNER</w:t>
      </w:r>
      <w:r w:rsidR="005C1B71">
        <w:t xml:space="preserve"> marks</w:t>
      </w:r>
      <w:r w:rsidR="00F755B6">
        <w:t>)</w:t>
      </w:r>
      <w:r>
        <w:t>, the primary judge held</w:t>
      </w:r>
      <w:r w:rsidR="00A641DD">
        <w:t xml:space="preserve"> that</w:t>
      </w:r>
      <w:r w:rsidR="0066457F">
        <w:t>:  (a)</w:t>
      </w:r>
      <w:r>
        <w:t xml:space="preserve"> the </w:t>
      </w:r>
      <w:proofErr w:type="spellStart"/>
      <w:r>
        <w:t>Swancom</w:t>
      </w:r>
      <w:proofErr w:type="spellEnd"/>
      <w:r>
        <w:t xml:space="preserve"> marks were</w:t>
      </w:r>
      <w:r w:rsidR="00F41D67">
        <w:t xml:space="preserve"> </w:t>
      </w:r>
      <w:r>
        <w:t xml:space="preserve">capable of distinguishing </w:t>
      </w:r>
      <w:proofErr w:type="spellStart"/>
      <w:r>
        <w:t>Swancom’s</w:t>
      </w:r>
      <w:proofErr w:type="spellEnd"/>
      <w:r>
        <w:t xml:space="preserve"> </w:t>
      </w:r>
      <w:r w:rsidR="006604F8">
        <w:t xml:space="preserve">professional </w:t>
      </w:r>
      <w:r>
        <w:t>live music services in respect of which they were registered from the live music services of other persons</w:t>
      </w:r>
      <w:r w:rsidR="00F41D67">
        <w:t>, based on their acquired distinctiveness at the time of their respective filing dates</w:t>
      </w:r>
      <w:r w:rsidR="0066457F">
        <w:t xml:space="preserve">; and (b) at the time of filing the application for rectification, the use of the </w:t>
      </w:r>
      <w:proofErr w:type="spellStart"/>
      <w:r w:rsidR="0066457F">
        <w:t>Swancom</w:t>
      </w:r>
      <w:proofErr w:type="spellEnd"/>
      <w:r w:rsidR="0066457F">
        <w:t xml:space="preserve"> marks was not likely to deceive or cause confusion</w:t>
      </w:r>
      <w:r>
        <w:t>.</w:t>
      </w:r>
      <w:r w:rsidR="00D15496">
        <w:t xml:space="preserve"> </w:t>
      </w:r>
    </w:p>
    <w:p w14:paraId="316166EB" w14:textId="440E4A93" w:rsidR="00520B8A" w:rsidRDefault="00A6322C" w:rsidP="00520B8A">
      <w:pPr>
        <w:pStyle w:val="ParaNumbering"/>
      </w:pPr>
      <w:r>
        <w:t xml:space="preserve">Subsequent to handing down the primary judgment, the primary judge heard argument </w:t>
      </w:r>
      <w:r w:rsidR="00230266">
        <w:t>regarding</w:t>
      </w:r>
      <w:r>
        <w:t xml:space="preserve"> the breadth of the services in respect of which the CORNER and THE CORNER marks were registered</w:t>
      </w:r>
      <w:r w:rsidR="00F324D5">
        <w:t xml:space="preserve"> in class 41</w:t>
      </w:r>
      <w:r>
        <w:t xml:space="preserve">, and </w:t>
      </w:r>
      <w:r w:rsidR="00A641DD">
        <w:t xml:space="preserve">as to </w:t>
      </w:r>
      <w:r>
        <w:t xml:space="preserve">costs.  </w:t>
      </w:r>
      <w:r w:rsidR="00751770">
        <w:t xml:space="preserve">In the </w:t>
      </w:r>
      <w:r w:rsidR="00F41D67">
        <w:t>C</w:t>
      </w:r>
      <w:r w:rsidR="00751770">
        <w:t xml:space="preserve">osts </w:t>
      </w:r>
      <w:r w:rsidR="00F41D67">
        <w:t>D</w:t>
      </w:r>
      <w:r w:rsidR="00751770">
        <w:t>ecision, the primary judge ordered that</w:t>
      </w:r>
      <w:r w:rsidR="00CB00D7">
        <w:t>:</w:t>
      </w:r>
      <w:r w:rsidR="00751770">
        <w:t xml:space="preserve"> the </w:t>
      </w:r>
      <w:r w:rsidR="003A26B4">
        <w:t xml:space="preserve">registered </w:t>
      </w:r>
      <w:r w:rsidR="00751770">
        <w:t>services be narrowed</w:t>
      </w:r>
      <w:r w:rsidR="004C6E3D">
        <w:t xml:space="preserve"> to match those specified for the CORNER HOTEL mark</w:t>
      </w:r>
      <w:r w:rsidR="007B6587">
        <w:t>;</w:t>
      </w:r>
      <w:r w:rsidR="00751770">
        <w:t xml:space="preserve"> </w:t>
      </w:r>
      <w:r w:rsidR="003A26B4">
        <w:t xml:space="preserve">the </w:t>
      </w:r>
      <w:r w:rsidR="00751770">
        <w:t>cross</w:t>
      </w:r>
      <w:r w:rsidR="00F25134">
        <w:t>-</w:t>
      </w:r>
      <w:r w:rsidR="00751770">
        <w:t>claim be otherwise dismissed</w:t>
      </w:r>
      <w:r w:rsidR="006E3CE5">
        <w:t>;</w:t>
      </w:r>
      <w:r w:rsidR="00751770">
        <w:t xml:space="preserve"> and JCHPL p</w:t>
      </w:r>
      <w:r w:rsidR="005451BC">
        <w:t xml:space="preserve">ay </w:t>
      </w:r>
      <w:proofErr w:type="spellStart"/>
      <w:r w:rsidR="005451BC">
        <w:t>Swancom’s</w:t>
      </w:r>
      <w:proofErr w:type="spellEnd"/>
      <w:r w:rsidR="005451BC">
        <w:t xml:space="preserve"> costs of the cross-</w:t>
      </w:r>
      <w:r w:rsidR="00751770">
        <w:t xml:space="preserve">claim. </w:t>
      </w:r>
    </w:p>
    <w:p w14:paraId="00B61519" w14:textId="77777777" w:rsidR="00D15496" w:rsidRPr="00520B8A" w:rsidRDefault="00900E5B" w:rsidP="00520B8A">
      <w:pPr>
        <w:pStyle w:val="ParaNumbering"/>
      </w:pPr>
      <w:r>
        <w:t xml:space="preserve">In the first </w:t>
      </w:r>
      <w:r w:rsidR="0056213F">
        <w:t>appeal</w:t>
      </w:r>
      <w:r w:rsidR="00520B8A">
        <w:t>,</w:t>
      </w:r>
      <w:r w:rsidR="0056213F">
        <w:t xml:space="preserve"> </w:t>
      </w:r>
      <w:proofErr w:type="spellStart"/>
      <w:r w:rsidR="00DD4849">
        <w:t>Swancom</w:t>
      </w:r>
      <w:proofErr w:type="spellEnd"/>
      <w:r w:rsidR="00DD4849">
        <w:t xml:space="preserve"> challenge</w:t>
      </w:r>
      <w:r>
        <w:t>s</w:t>
      </w:r>
      <w:r w:rsidR="00D15496">
        <w:t xml:space="preserve"> the primary judge’s finding as to deceptive similarity</w:t>
      </w:r>
      <w:r w:rsidR="004C6E3D">
        <w:t xml:space="preserve"> in the </w:t>
      </w:r>
      <w:r w:rsidR="00F41D67">
        <w:t xml:space="preserve">context of </w:t>
      </w:r>
      <w:r w:rsidR="004C6E3D">
        <w:t>infringement</w:t>
      </w:r>
      <w:r w:rsidR="00D15496">
        <w:t>, primarily on the basis that</w:t>
      </w:r>
      <w:r w:rsidR="00F41D67">
        <w:t>,</w:t>
      </w:r>
      <w:r w:rsidR="00D15496">
        <w:t xml:space="preserve"> </w:t>
      </w:r>
      <w:r w:rsidR="0056213F">
        <w:t>in conduc</w:t>
      </w:r>
      <w:r w:rsidR="00B82AEA">
        <w:t xml:space="preserve">ting the comparison required </w:t>
      </w:r>
      <w:r w:rsidR="0056213F">
        <w:t>by s</w:t>
      </w:r>
      <w:r w:rsidR="00636322">
        <w:t> </w:t>
      </w:r>
      <w:r w:rsidR="00B82AEA">
        <w:t>1</w:t>
      </w:r>
      <w:r w:rsidR="0056213F">
        <w:t xml:space="preserve">20(1), </w:t>
      </w:r>
      <w:r w:rsidR="00F41D67">
        <w:t xml:space="preserve">his Honour </w:t>
      </w:r>
      <w:r w:rsidR="00D15496">
        <w:t>failed to take into account</w:t>
      </w:r>
      <w:r w:rsidR="0056213F">
        <w:t xml:space="preserve"> his finding that the </w:t>
      </w:r>
      <w:proofErr w:type="spellStart"/>
      <w:r w:rsidR="0056213F">
        <w:t>Swancom</w:t>
      </w:r>
      <w:proofErr w:type="spellEnd"/>
      <w:r w:rsidR="0056213F">
        <w:t xml:space="preserve"> marks had acqu</w:t>
      </w:r>
      <w:r w:rsidR="00F324D5">
        <w:t xml:space="preserve">ired </w:t>
      </w:r>
      <w:r w:rsidR="00F41D67">
        <w:t>distinctiveness at their respective filing dates</w:t>
      </w:r>
      <w:r w:rsidR="00102D22">
        <w:t xml:space="preserve"> for the purposes of s 41 of the Act</w:t>
      </w:r>
      <w:r w:rsidR="00F12CCE">
        <w:t xml:space="preserve"> (Grounds 1 to 4)</w:t>
      </w:r>
      <w:r w:rsidR="0056213F" w:rsidRPr="00B82AEA">
        <w:t>.</w:t>
      </w:r>
    </w:p>
    <w:p w14:paraId="64541DBF" w14:textId="77777777" w:rsidR="00230EA5" w:rsidRDefault="00230EA5" w:rsidP="005F36AC">
      <w:pPr>
        <w:pStyle w:val="ParaNumbering"/>
      </w:pPr>
      <w:proofErr w:type="spellStart"/>
      <w:r>
        <w:t>Swancom</w:t>
      </w:r>
      <w:proofErr w:type="spellEnd"/>
      <w:r>
        <w:t xml:space="preserve"> also challenge</w:t>
      </w:r>
      <w:r w:rsidR="00900E5B">
        <w:t>s</w:t>
      </w:r>
      <w:r>
        <w:t xml:space="preserve"> the primary judge’s findings</w:t>
      </w:r>
      <w:r w:rsidR="00E30C18">
        <w:t xml:space="preserve"> that</w:t>
      </w:r>
      <w:r w:rsidR="00F12CCE">
        <w:t xml:space="preserve"> JCHPL and BBPL </w:t>
      </w:r>
      <w:r>
        <w:t xml:space="preserve">had not used </w:t>
      </w:r>
      <w:r w:rsidR="00F12CCE">
        <w:t xml:space="preserve">(THE) </w:t>
      </w:r>
      <w:r>
        <w:t>JAZZ CORNER OF THE WORLD</w:t>
      </w:r>
      <w:r w:rsidR="00F324D5">
        <w:t xml:space="preserve"> as a</w:t>
      </w:r>
      <w:r>
        <w:t xml:space="preserve"> trade mark</w:t>
      </w:r>
      <w:r w:rsidR="00F12CCE">
        <w:t xml:space="preserve"> (Grounds 5 and 6)</w:t>
      </w:r>
      <w:r>
        <w:t xml:space="preserve">, and that BBPL had not used </w:t>
      </w:r>
      <w:r w:rsidR="00F12CCE">
        <w:t xml:space="preserve">(THE) </w:t>
      </w:r>
      <w:r>
        <w:t>JAZZ CORNER HOTEL as a trade mark in respect of professional live music services</w:t>
      </w:r>
      <w:r w:rsidR="00F12CCE">
        <w:t xml:space="preserve"> (Ground 7)</w:t>
      </w:r>
      <w:r>
        <w:t>.</w:t>
      </w:r>
    </w:p>
    <w:p w14:paraId="0A06150A" w14:textId="77777777" w:rsidR="005C1B71" w:rsidRDefault="00CE4A91" w:rsidP="005F36AC">
      <w:pPr>
        <w:pStyle w:val="ParaNumbering"/>
      </w:pPr>
      <w:r>
        <w:t>JCHPL</w:t>
      </w:r>
      <w:r w:rsidR="00102D22">
        <w:t xml:space="preserve"> and BBL</w:t>
      </w:r>
      <w:r>
        <w:t xml:space="preserve"> </w:t>
      </w:r>
      <w:r w:rsidR="005451BC">
        <w:t xml:space="preserve">have </w:t>
      </w:r>
      <w:r>
        <w:t>filed a notice of contention supporting the pri</w:t>
      </w:r>
      <w:r w:rsidR="00E141E6">
        <w:t>mary judge’s findings as to non-</w:t>
      </w:r>
      <w:r>
        <w:t>infringement</w:t>
      </w:r>
      <w:r w:rsidR="00713926">
        <w:t xml:space="preserve"> </w:t>
      </w:r>
      <w:r>
        <w:t>and contending t</w:t>
      </w:r>
      <w:r w:rsidR="00713926">
        <w:t xml:space="preserve">hat the primary judge ought </w:t>
      </w:r>
      <w:r>
        <w:t xml:space="preserve">to have </w:t>
      </w:r>
      <w:r w:rsidR="005C1B71">
        <w:t xml:space="preserve">also </w:t>
      </w:r>
      <w:r>
        <w:t>found that</w:t>
      </w:r>
      <w:r w:rsidR="005C1B71">
        <w:t>:</w:t>
      </w:r>
    </w:p>
    <w:p w14:paraId="28F86CD9" w14:textId="77777777" w:rsidR="00E54669" w:rsidRDefault="00F12CCE" w:rsidP="00B35CF8">
      <w:pPr>
        <w:pStyle w:val="ListNo2"/>
        <w:numPr>
          <w:ilvl w:val="1"/>
          <w:numId w:val="38"/>
        </w:numPr>
      </w:pPr>
      <w:r>
        <w:lastRenderedPageBreak/>
        <w:t xml:space="preserve">(THE) </w:t>
      </w:r>
      <w:r w:rsidR="005C1B71">
        <w:t>JAZZ CORNER HOTEL was not used</w:t>
      </w:r>
      <w:r w:rsidR="0008267D">
        <w:t xml:space="preserve"> by JCHPL</w:t>
      </w:r>
      <w:r w:rsidR="005C1B71">
        <w:t xml:space="preserve"> as a trade mark in relation to the provision of live music services; and </w:t>
      </w:r>
    </w:p>
    <w:p w14:paraId="1038BD30" w14:textId="260F0325" w:rsidR="00CE4A91" w:rsidRDefault="0008267D" w:rsidP="00B35CF8">
      <w:pPr>
        <w:pStyle w:val="ListNo2"/>
        <w:numPr>
          <w:ilvl w:val="1"/>
          <w:numId w:val="38"/>
        </w:numPr>
      </w:pPr>
      <w:r>
        <w:t xml:space="preserve">(THE) </w:t>
      </w:r>
      <w:r w:rsidR="00CE4A91">
        <w:t xml:space="preserve">JAZZ CORNER OF MELBOURNE was </w:t>
      </w:r>
      <w:r w:rsidR="0003433B">
        <w:t xml:space="preserve">not </w:t>
      </w:r>
      <w:r w:rsidR="00CE4A91">
        <w:t>used</w:t>
      </w:r>
      <w:r>
        <w:t xml:space="preserve"> by JCHPL or BBPL</w:t>
      </w:r>
      <w:r w:rsidR="00CE4A91">
        <w:t xml:space="preserve"> as a trade mark in relation to the provision of the live music services.</w:t>
      </w:r>
    </w:p>
    <w:p w14:paraId="6BBE82E5" w14:textId="77777777" w:rsidR="00A6322C" w:rsidRDefault="00900E5B" w:rsidP="005F36AC">
      <w:pPr>
        <w:pStyle w:val="ParaNumbering"/>
      </w:pPr>
      <w:r>
        <w:t xml:space="preserve">In the second appeal, </w:t>
      </w:r>
      <w:r w:rsidR="00A6322C">
        <w:t>JCH</w:t>
      </w:r>
      <w:r w:rsidR="00751770">
        <w:t>P</w:t>
      </w:r>
      <w:r w:rsidR="00A6322C">
        <w:t xml:space="preserve">L </w:t>
      </w:r>
      <w:r>
        <w:t xml:space="preserve">challenges </w:t>
      </w:r>
      <w:r w:rsidR="00A6322C">
        <w:t xml:space="preserve">the primary judge’s </w:t>
      </w:r>
      <w:r w:rsidR="00751770">
        <w:t xml:space="preserve">orders that it pay </w:t>
      </w:r>
      <w:proofErr w:type="spellStart"/>
      <w:r w:rsidR="00751770">
        <w:t>Swancom’s</w:t>
      </w:r>
      <w:proofErr w:type="spellEnd"/>
      <w:r w:rsidR="00751770">
        <w:t xml:space="preserve"> costs of the cross-claim.</w:t>
      </w:r>
    </w:p>
    <w:p w14:paraId="06B08EB2" w14:textId="77777777" w:rsidR="00230EA5" w:rsidRDefault="00230EA5" w:rsidP="005F36AC">
      <w:pPr>
        <w:pStyle w:val="ParaNumbering"/>
      </w:pPr>
      <w:r>
        <w:t xml:space="preserve">For the reasons set out below, we consider that </w:t>
      </w:r>
      <w:r w:rsidR="00751770">
        <w:t xml:space="preserve">both </w:t>
      </w:r>
      <w:r>
        <w:t>appeal</w:t>
      </w:r>
      <w:r w:rsidR="00751770">
        <w:t>s</w:t>
      </w:r>
      <w:r>
        <w:t xml:space="preserve"> should be dismissed.</w:t>
      </w:r>
    </w:p>
    <w:p w14:paraId="3E5EEDC0" w14:textId="77777777" w:rsidR="0008267D" w:rsidRDefault="0008267D" w:rsidP="00C8499D">
      <w:pPr>
        <w:pStyle w:val="Heading1"/>
      </w:pPr>
      <w:r>
        <w:t>The primary judge’s findings</w:t>
      </w:r>
    </w:p>
    <w:p w14:paraId="5AD3A33C" w14:textId="77777777" w:rsidR="00230EA5" w:rsidRPr="00230EA5" w:rsidRDefault="00AC0120" w:rsidP="00676C77">
      <w:pPr>
        <w:pStyle w:val="Heading2"/>
      </w:pPr>
      <w:r>
        <w:t>F</w:t>
      </w:r>
      <w:r w:rsidR="00230EA5">
        <w:t xml:space="preserve">actual distinctiveness </w:t>
      </w:r>
      <w:r>
        <w:t xml:space="preserve">of the </w:t>
      </w:r>
      <w:proofErr w:type="spellStart"/>
      <w:r>
        <w:t>Swancom</w:t>
      </w:r>
      <w:proofErr w:type="spellEnd"/>
      <w:r>
        <w:t xml:space="preserve"> marks</w:t>
      </w:r>
      <w:r w:rsidR="00A16CAD">
        <w:t xml:space="preserve">: </w:t>
      </w:r>
      <w:r w:rsidR="00D41E5B">
        <w:t>s</w:t>
      </w:r>
      <w:r w:rsidR="00636322">
        <w:t> </w:t>
      </w:r>
      <w:r w:rsidR="00D41E5B">
        <w:t>88(2)(a) of the Act</w:t>
      </w:r>
    </w:p>
    <w:p w14:paraId="042A0F64" w14:textId="77777777" w:rsidR="00DD4849" w:rsidRDefault="0008267D" w:rsidP="005F36AC">
      <w:pPr>
        <w:pStyle w:val="ParaNumbering"/>
      </w:pPr>
      <w:r>
        <w:t xml:space="preserve">As we have noted, in </w:t>
      </w:r>
      <w:r w:rsidR="006807B4">
        <w:t xml:space="preserve">its cross-claim, </w:t>
      </w:r>
      <w:r w:rsidR="00332A10">
        <w:t>JCHPL sought r</w:t>
      </w:r>
      <w:r w:rsidR="006807B4">
        <w:t>ectification of the R</w:t>
      </w:r>
      <w:r w:rsidR="00332A10">
        <w:t xml:space="preserve">egister on </w:t>
      </w:r>
      <w:r w:rsidR="006807B4">
        <w:t>two grounds, the first</w:t>
      </w:r>
      <w:r w:rsidR="007A5EA8">
        <w:t xml:space="preserve"> relying on </w:t>
      </w:r>
      <w:r w:rsidR="00332A10">
        <w:t>the ground of opposition in s</w:t>
      </w:r>
      <w:r w:rsidR="008B4820">
        <w:t xml:space="preserve"> </w:t>
      </w:r>
      <w:r w:rsidR="00332A10">
        <w:t xml:space="preserve">41 of the </w:t>
      </w:r>
      <w:r w:rsidR="008B4820">
        <w:t>Act</w:t>
      </w:r>
      <w:r w:rsidR="00332A10">
        <w:t xml:space="preserve">. </w:t>
      </w:r>
    </w:p>
    <w:p w14:paraId="5C9D1398" w14:textId="56FF396A" w:rsidR="00230EA5" w:rsidRDefault="00332A10" w:rsidP="005F36AC">
      <w:pPr>
        <w:pStyle w:val="ParaNumbering"/>
      </w:pPr>
      <w:r>
        <w:t>The form of s</w:t>
      </w:r>
      <w:r w:rsidR="008B4820">
        <w:t xml:space="preserve"> </w:t>
      </w:r>
      <w:r>
        <w:t xml:space="preserve">41 prior to </w:t>
      </w:r>
      <w:r w:rsidR="00751770">
        <w:t xml:space="preserve">its amendment by </w:t>
      </w:r>
      <w:r>
        <w:t xml:space="preserve">the </w:t>
      </w:r>
      <w:r w:rsidR="00751770" w:rsidRPr="0042785A">
        <w:rPr>
          <w:i/>
        </w:rPr>
        <w:t>Intellectual Property Laws Amendment (</w:t>
      </w:r>
      <w:r w:rsidRPr="0042785A">
        <w:rPr>
          <w:i/>
        </w:rPr>
        <w:t>Raising the Bar</w:t>
      </w:r>
      <w:r w:rsidR="00751770" w:rsidRPr="0042785A">
        <w:rPr>
          <w:i/>
        </w:rPr>
        <w:t>) Act 2012</w:t>
      </w:r>
      <w:r w:rsidR="000150BE" w:rsidRPr="0042785A">
        <w:t xml:space="preserve"> (</w:t>
      </w:r>
      <w:proofErr w:type="spellStart"/>
      <w:r w:rsidR="000150BE" w:rsidRPr="0042785A">
        <w:t>Cth</w:t>
      </w:r>
      <w:proofErr w:type="spellEnd"/>
      <w:r w:rsidR="000150BE" w:rsidRPr="0042785A">
        <w:t>)</w:t>
      </w:r>
      <w:r w:rsidR="00751770">
        <w:t xml:space="preserve"> (</w:t>
      </w:r>
      <w:r w:rsidR="00751770" w:rsidRPr="00751770">
        <w:rPr>
          <w:b/>
        </w:rPr>
        <w:t>RTB</w:t>
      </w:r>
      <w:r w:rsidR="00751770">
        <w:t>)</w:t>
      </w:r>
      <w:r>
        <w:t xml:space="preserve"> was the applicable form for the CORNER and CORNER HOTEL marks. The form</w:t>
      </w:r>
      <w:r w:rsidR="00751770">
        <w:t xml:space="preserve"> of s</w:t>
      </w:r>
      <w:r w:rsidR="00D66A18">
        <w:t xml:space="preserve"> </w:t>
      </w:r>
      <w:r w:rsidR="00751770">
        <w:t>41</w:t>
      </w:r>
      <w:r>
        <w:t xml:space="preserve"> post th</w:t>
      </w:r>
      <w:r w:rsidR="00A03479">
        <w:t xml:space="preserve">e RTB amendments applied to the </w:t>
      </w:r>
      <w:proofErr w:type="spellStart"/>
      <w:r w:rsidR="00A03479">
        <w:t>THE</w:t>
      </w:r>
      <w:proofErr w:type="spellEnd"/>
      <w:r w:rsidR="00A03479">
        <w:t xml:space="preserve"> CORNER mark</w:t>
      </w:r>
      <w:r>
        <w:t>.</w:t>
      </w:r>
      <w:r w:rsidR="005C1B71">
        <w:t xml:space="preserve"> The primary</w:t>
      </w:r>
      <w:r w:rsidR="00636322">
        <w:t xml:space="preserve"> judge noted at </w:t>
      </w:r>
      <w:r w:rsidR="005451BC">
        <w:t>J</w:t>
      </w:r>
      <w:r w:rsidR="00636322">
        <w:t>[127] that the r</w:t>
      </w:r>
      <w:r w:rsidR="005C1B71">
        <w:t>espondents’ submissions were made on the basis that the relevant principles governing the issue of capability to distinguish were not altered by the RTB amendments to s</w:t>
      </w:r>
      <w:r w:rsidR="00636322">
        <w:t> </w:t>
      </w:r>
      <w:r w:rsidR="005C1B71">
        <w:t>41</w:t>
      </w:r>
      <w:r w:rsidR="0008267D">
        <w:t>.</w:t>
      </w:r>
      <w:r w:rsidR="005C1B71">
        <w:t xml:space="preserve"> </w:t>
      </w:r>
      <w:r w:rsidR="0008267D">
        <w:t xml:space="preserve">The </w:t>
      </w:r>
      <w:r w:rsidR="005C1B71">
        <w:t>primary judge proceeded on that basi</w:t>
      </w:r>
      <w:r w:rsidR="00D41E5B">
        <w:t>s. There was no challenge to that</w:t>
      </w:r>
      <w:r w:rsidR="005C1B71">
        <w:t xml:space="preserve"> approach on appeal.</w:t>
      </w:r>
    </w:p>
    <w:p w14:paraId="110584C4" w14:textId="2F6D679A" w:rsidR="00E30C18" w:rsidRDefault="002F1051" w:rsidP="000B206B">
      <w:pPr>
        <w:pStyle w:val="ParaNumbering"/>
      </w:pPr>
      <w:r>
        <w:t>The primary</w:t>
      </w:r>
      <w:r w:rsidR="00E30C18">
        <w:t xml:space="preserve"> judge </w:t>
      </w:r>
      <w:r w:rsidR="000F7B0D">
        <w:t xml:space="preserve">held at </w:t>
      </w:r>
      <w:r w:rsidR="00E91F3E">
        <w:t>J</w:t>
      </w:r>
      <w:r w:rsidR="000F7B0D">
        <w:t xml:space="preserve">[162] that it was not necessary to reach a concluded view </w:t>
      </w:r>
      <w:r w:rsidR="00E91F3E">
        <w:t xml:space="preserve">on </w:t>
      </w:r>
      <w:r w:rsidR="000F7B0D">
        <w:t xml:space="preserve">whether the CORNER HOTEL mark was </w:t>
      </w:r>
      <w:r w:rsidR="00E91F3E">
        <w:t xml:space="preserve">not </w:t>
      </w:r>
      <w:r w:rsidR="000F7B0D">
        <w:t xml:space="preserve">to any extent inherently adapted to distinguish </w:t>
      </w:r>
      <w:proofErr w:type="spellStart"/>
      <w:r w:rsidR="000F7B0D">
        <w:t>Swancom’s</w:t>
      </w:r>
      <w:proofErr w:type="spellEnd"/>
      <w:r w:rsidR="000F7B0D">
        <w:t xml:space="preserve"> registered services from the services of other persons</w:t>
      </w:r>
      <w:r w:rsidR="00270354">
        <w:t xml:space="preserve"> (pre-RTB s 41(6)(a))</w:t>
      </w:r>
      <w:r w:rsidR="00F869BA">
        <w:t>,</w:t>
      </w:r>
      <w:r w:rsidR="00270354">
        <w:t xml:space="preserve"> or </w:t>
      </w:r>
      <w:r w:rsidR="00E91F3E">
        <w:t xml:space="preserve">was </w:t>
      </w:r>
      <w:r w:rsidR="00270354">
        <w:t>to some extent</w:t>
      </w:r>
      <w:r w:rsidR="00E91F3E">
        <w:t>,</w:t>
      </w:r>
      <w:r w:rsidR="00270354">
        <w:t xml:space="preserve"> but not sufficiently</w:t>
      </w:r>
      <w:r w:rsidR="00E91F3E">
        <w:t>,</w:t>
      </w:r>
      <w:r w:rsidR="00270354">
        <w:t xml:space="preserve"> inherently adapted to distinguish </w:t>
      </w:r>
      <w:proofErr w:type="spellStart"/>
      <w:r w:rsidR="00270354">
        <w:t>Swanco</w:t>
      </w:r>
      <w:r w:rsidR="00DD4849">
        <w:t>m</w:t>
      </w:r>
      <w:r w:rsidR="00270354">
        <w:t>’s</w:t>
      </w:r>
      <w:proofErr w:type="spellEnd"/>
      <w:r w:rsidR="00270354">
        <w:t xml:space="preserve"> registered services (pre-RTB s 41(5)(a))</w:t>
      </w:r>
      <w:r w:rsidR="000B206B">
        <w:t xml:space="preserve">.  </w:t>
      </w:r>
      <w:r w:rsidR="00E91F3E">
        <w:t xml:space="preserve">His Honour </w:t>
      </w:r>
      <w:r w:rsidR="00332A10">
        <w:t>found</w:t>
      </w:r>
      <w:r w:rsidR="00E30C18">
        <w:t xml:space="preserve"> at </w:t>
      </w:r>
      <w:r w:rsidR="00E91F3E">
        <w:t>J</w:t>
      </w:r>
      <w:r w:rsidR="00E30C18">
        <w:t xml:space="preserve">[155], [159] and [162] that </w:t>
      </w:r>
      <w:proofErr w:type="spellStart"/>
      <w:r w:rsidR="00E30C18">
        <w:t>Swancom’s</w:t>
      </w:r>
      <w:proofErr w:type="spellEnd"/>
      <w:r w:rsidR="00E30C18">
        <w:t xml:space="preserve"> </w:t>
      </w:r>
      <w:r w:rsidR="00270354">
        <w:t xml:space="preserve"> use of the CORNER HOTEL mark alone</w:t>
      </w:r>
      <w:r w:rsidR="00E91F3E">
        <w:t>,</w:t>
      </w:r>
      <w:r w:rsidR="00270354">
        <w:t xml:space="preserve"> prior to filing</w:t>
      </w:r>
      <w:r w:rsidR="00E91F3E">
        <w:t>,</w:t>
      </w:r>
      <w:r w:rsidR="00270354">
        <w:t xml:space="preserve"> had resulted in that mark in fact distinguishing </w:t>
      </w:r>
      <w:proofErr w:type="spellStart"/>
      <w:r w:rsidR="00270354">
        <w:t>Swancom’s</w:t>
      </w:r>
      <w:proofErr w:type="spellEnd"/>
      <w:r w:rsidR="00270354">
        <w:t xml:space="preserve"> live music services (as per the pre-RTB s 41(6)(a))</w:t>
      </w:r>
      <w:r w:rsidR="00E30C18">
        <w:t xml:space="preserve">. </w:t>
      </w:r>
      <w:r w:rsidR="00332A10">
        <w:t xml:space="preserve">The primary judge also held </w:t>
      </w:r>
      <w:r w:rsidR="000F7B0D">
        <w:t xml:space="preserve">at </w:t>
      </w:r>
      <w:r w:rsidR="00E91F3E">
        <w:t>J</w:t>
      </w:r>
      <w:r w:rsidR="000F7B0D">
        <w:t xml:space="preserve">[163] </w:t>
      </w:r>
      <w:r w:rsidR="00332A10">
        <w:t xml:space="preserve">that similar conclusions applied in respect of the CORNER and THE CORNER marks. </w:t>
      </w:r>
    </w:p>
    <w:p w14:paraId="1BC2FED0" w14:textId="77777777" w:rsidR="00E30C18" w:rsidRDefault="002962A9" w:rsidP="002962A9">
      <w:pPr>
        <w:pStyle w:val="ParaNumbering"/>
      </w:pPr>
      <w:r>
        <w:t>T</w:t>
      </w:r>
      <w:r w:rsidR="002F1051">
        <w:t>he Corner Hotel premises include the usual facilities associated with a public hotel</w:t>
      </w:r>
      <w:r w:rsidR="00774E76">
        <w:t xml:space="preserve">. It houses </w:t>
      </w:r>
      <w:r w:rsidR="002F1051">
        <w:t xml:space="preserve">a front bar, a rooftop bar and restaurant and a number of other </w:t>
      </w:r>
      <w:r w:rsidR="00774E76">
        <w:t xml:space="preserve">function rooms and other areas, </w:t>
      </w:r>
      <w:r w:rsidR="002F1051">
        <w:t>as well as a</w:t>
      </w:r>
      <w:r w:rsidR="001C0922">
        <w:t xml:space="preserve"> live music area, known as the “</w:t>
      </w:r>
      <w:proofErr w:type="spellStart"/>
      <w:r w:rsidR="002F1051">
        <w:t>bandroom</w:t>
      </w:r>
      <w:proofErr w:type="spellEnd"/>
      <w:r w:rsidR="001C0922">
        <w:t>”</w:t>
      </w:r>
      <w:r w:rsidR="002F1051">
        <w:t xml:space="preserve">, which can accommodate 750 to 800 </w:t>
      </w:r>
      <w:r w:rsidR="002F1051">
        <w:lastRenderedPageBreak/>
        <w:t xml:space="preserve">patrons. The </w:t>
      </w:r>
      <w:proofErr w:type="spellStart"/>
      <w:r w:rsidR="002F1051">
        <w:t>bandroom</w:t>
      </w:r>
      <w:proofErr w:type="spellEnd"/>
      <w:r w:rsidR="002F1051">
        <w:t xml:space="preserve"> also has a bar serving drinks to customers during performances. </w:t>
      </w:r>
      <w:r w:rsidR="00774E76">
        <w:t>T</w:t>
      </w:r>
      <w:r w:rsidR="002F1051">
        <w:t xml:space="preserve">he Corner Hotel does not provide accommodation services. </w:t>
      </w:r>
    </w:p>
    <w:p w14:paraId="22B64077" w14:textId="77777777" w:rsidR="00E8617A" w:rsidRDefault="00E8617A" w:rsidP="00F95C70">
      <w:pPr>
        <w:pStyle w:val="ParaNumbering"/>
      </w:pPr>
      <w:r>
        <w:t xml:space="preserve">At </w:t>
      </w:r>
      <w:r w:rsidR="00E91F3E">
        <w:t>J</w:t>
      </w:r>
      <w:r>
        <w:t>[61] and [62] the primary judge stated:</w:t>
      </w:r>
    </w:p>
    <w:p w14:paraId="44D3D2F9" w14:textId="77777777" w:rsidR="00E8617A" w:rsidRDefault="00E91F3E" w:rsidP="00753E3D">
      <w:pPr>
        <w:pStyle w:val="Quote1"/>
        <w:ind w:left="1440" w:hanging="703"/>
      </w:pPr>
      <w:r>
        <w:t>61</w:t>
      </w:r>
      <w:r>
        <w:tab/>
      </w:r>
      <w:r w:rsidR="00E8617A">
        <w:t>Overall, I am satisfied on the evidence that the Corner Hotel has a strong reputation in Melbourne and beyond as a venue for professional live music performances with the following characteristics:</w:t>
      </w:r>
    </w:p>
    <w:p w14:paraId="0D5167B6" w14:textId="77777777" w:rsidR="00E8617A" w:rsidRDefault="00E8617A" w:rsidP="00E54669">
      <w:pPr>
        <w:pStyle w:val="Quote2"/>
        <w:ind w:left="2160" w:hanging="720"/>
      </w:pPr>
      <w:r>
        <w:t>(a)</w:t>
      </w:r>
      <w:r w:rsidR="005F3E8D">
        <w:t xml:space="preserve"> </w:t>
      </w:r>
      <w:r w:rsidR="005F3E8D">
        <w:tab/>
      </w:r>
      <w:r>
        <w:t>the venue is located in Richmond;</w:t>
      </w:r>
    </w:p>
    <w:p w14:paraId="07046F03" w14:textId="77777777" w:rsidR="00E8617A" w:rsidRDefault="00E8617A" w:rsidP="00E54669">
      <w:pPr>
        <w:pStyle w:val="Quote2"/>
        <w:ind w:left="2160" w:hanging="720"/>
      </w:pPr>
      <w:r>
        <w:t xml:space="preserve">(b) </w:t>
      </w:r>
      <w:r w:rsidR="005F3E8D">
        <w:tab/>
      </w:r>
      <w:r>
        <w:t>the venue is medium size (for about 800 people);</w:t>
      </w:r>
    </w:p>
    <w:p w14:paraId="50237AEA" w14:textId="77777777" w:rsidR="005E53C3" w:rsidRDefault="00E8617A" w:rsidP="00E54669">
      <w:pPr>
        <w:pStyle w:val="Quote2"/>
        <w:ind w:left="2160" w:hanging="720"/>
      </w:pPr>
      <w:r>
        <w:t xml:space="preserve">(c) </w:t>
      </w:r>
      <w:r w:rsidR="005F3E8D">
        <w:tab/>
      </w:r>
      <w:r>
        <w:t xml:space="preserve">the venue is in a hotel setting where patrons usually stand to watch and listen to the performance and alcoholic drinks can be purchased during the performance; and </w:t>
      </w:r>
    </w:p>
    <w:p w14:paraId="7C2F3F04" w14:textId="77777777" w:rsidR="00E8617A" w:rsidRDefault="00E8617A" w:rsidP="00E54669">
      <w:pPr>
        <w:pStyle w:val="Quote2"/>
        <w:ind w:left="2160" w:hanging="720"/>
      </w:pPr>
      <w:r>
        <w:t>(d)</w:t>
      </w:r>
      <w:r w:rsidR="005F3E8D">
        <w:tab/>
      </w:r>
      <w:r>
        <w:t>the styles of music performed at the venue are within the wide spectrum of popular musical genres that emerged from the twentieth century, from the roots of folk, blues and jazz music through to rock music in all its forms.</w:t>
      </w:r>
    </w:p>
    <w:p w14:paraId="3B917EC1" w14:textId="77777777" w:rsidR="00E8617A" w:rsidRDefault="00E91F3E" w:rsidP="00753E3D">
      <w:pPr>
        <w:pStyle w:val="Quote1"/>
        <w:ind w:left="1440" w:hanging="720"/>
      </w:pPr>
      <w:r>
        <w:t>62</w:t>
      </w:r>
      <w:r>
        <w:tab/>
      </w:r>
      <w:r w:rsidR="00E8617A">
        <w:t xml:space="preserve">I am satisfied that that reputation existed as at the filing date for the earliest </w:t>
      </w:r>
      <w:proofErr w:type="spellStart"/>
      <w:r w:rsidR="00E8617A">
        <w:t>Swancom</w:t>
      </w:r>
      <w:proofErr w:type="spellEnd"/>
      <w:r w:rsidR="00E8617A">
        <w:t xml:space="preserve"> mark, but also that the reputation has continued to grow in the years subsequent to the filing date. </w:t>
      </w:r>
    </w:p>
    <w:p w14:paraId="57B88728" w14:textId="77777777" w:rsidR="00AF0A77" w:rsidRDefault="00E91F3E" w:rsidP="00D42A5E">
      <w:pPr>
        <w:pStyle w:val="ParaNumbering"/>
      </w:pPr>
      <w:r>
        <w:t>At J[63], the</w:t>
      </w:r>
      <w:r w:rsidRPr="00E8617A">
        <w:t xml:space="preserve"> </w:t>
      </w:r>
      <w:r w:rsidR="00D42A5E">
        <w:t>primary judge found that the following business activities we</w:t>
      </w:r>
      <w:r w:rsidR="00E8617A" w:rsidRPr="00E8617A">
        <w:t xml:space="preserve">re intrinsic to the conduct of a business providing a venue for professional live music performances: </w:t>
      </w:r>
    </w:p>
    <w:p w14:paraId="5D25E996" w14:textId="77777777" w:rsidR="00AF0A77" w:rsidRDefault="00AF0A77" w:rsidP="00BB0DE6">
      <w:pPr>
        <w:pStyle w:val="Quote1Bullet"/>
      </w:pPr>
      <w:r>
        <w:t>B</w:t>
      </w:r>
      <w:r w:rsidR="00E8617A" w:rsidRPr="00E8617A">
        <w:t xml:space="preserve">ooking bands and artists to perform on specific dates; </w:t>
      </w:r>
    </w:p>
    <w:p w14:paraId="127F1A74" w14:textId="77777777" w:rsidR="00AF0A77" w:rsidRDefault="00AF0A77" w:rsidP="00BB0DE6">
      <w:pPr>
        <w:pStyle w:val="Quote1Bullet"/>
      </w:pPr>
      <w:r>
        <w:t>M</w:t>
      </w:r>
      <w:r w:rsidR="00E8617A" w:rsidRPr="00E8617A">
        <w:t>arketing and promoting the performance of the bands and artists on the given dates;</w:t>
      </w:r>
      <w:r w:rsidR="00D42A5E">
        <w:t xml:space="preserve"> </w:t>
      </w:r>
    </w:p>
    <w:p w14:paraId="31268A64" w14:textId="77777777" w:rsidR="00AF0A77" w:rsidRDefault="00AF0A77" w:rsidP="00BB0DE6">
      <w:pPr>
        <w:pStyle w:val="Quote1Bullet"/>
      </w:pPr>
      <w:r>
        <w:t>S</w:t>
      </w:r>
      <w:r w:rsidR="00E8617A" w:rsidRPr="00E8617A">
        <w:t xml:space="preserve">elling tickets to the performances; and </w:t>
      </w:r>
    </w:p>
    <w:p w14:paraId="2E97E549" w14:textId="77777777" w:rsidR="00E8617A" w:rsidRDefault="00AF0A77" w:rsidP="00BB0DE6">
      <w:pPr>
        <w:pStyle w:val="Quote1Bullet"/>
      </w:pPr>
      <w:r>
        <w:t>O</w:t>
      </w:r>
      <w:r w:rsidR="00E8617A" w:rsidRPr="00E8617A">
        <w:t>perating the venue for the performances, including providing all necessary sound equipment and personnel, safety and security personnel, bar staff and cleaning staff.</w:t>
      </w:r>
      <w:r w:rsidR="00E8617A" w:rsidRPr="00D42A5E">
        <w:rPr>
          <w:highlight w:val="lightGray"/>
        </w:rPr>
        <w:t xml:space="preserve"> </w:t>
      </w:r>
    </w:p>
    <w:p w14:paraId="1443FBE3" w14:textId="5E5FB9FD" w:rsidR="00E8617A" w:rsidRDefault="00E8617A" w:rsidP="005F36AC">
      <w:pPr>
        <w:pStyle w:val="ParaNumbering"/>
      </w:pPr>
      <w:r>
        <w:t xml:space="preserve">At </w:t>
      </w:r>
      <w:r w:rsidR="00E91F3E">
        <w:t>J</w:t>
      </w:r>
      <w:r>
        <w:t>[65] the primary judge took judicial notice of the fact that, in Australia, hotels or, more colloquially, “pubs” (a business licensed to serve alcoholic drinks on the</w:t>
      </w:r>
      <w:r w:rsidR="00FF41DB">
        <w:t xml:space="preserve"> premises) are often </w:t>
      </w:r>
      <w:r>
        <w:t xml:space="preserve">located on street corners. He accepted as a fact that hotels often occupy a street corner and observed at </w:t>
      </w:r>
      <w:r w:rsidR="00E91F3E">
        <w:t>J</w:t>
      </w:r>
      <w:r>
        <w:t xml:space="preserve">[66] that it “is therefore unsurprising that the evidence showed that the word </w:t>
      </w:r>
      <w:r w:rsidR="00E9004F">
        <w:t>‘</w:t>
      </w:r>
      <w:r>
        <w:t>corner</w:t>
      </w:r>
      <w:r w:rsidR="00E9004F">
        <w:t>’</w:t>
      </w:r>
      <w:r>
        <w:t xml:space="preserve"> has been applied to hotels as a business name in A</w:t>
      </w:r>
      <w:r w:rsidR="008134CE">
        <w:t>ustralia since the 19th century</w:t>
      </w:r>
      <w:r>
        <w:t>”</w:t>
      </w:r>
      <w:r w:rsidR="008134CE">
        <w:t>.</w:t>
      </w:r>
    </w:p>
    <w:p w14:paraId="0F22E931" w14:textId="77777777" w:rsidR="00E8617A" w:rsidRDefault="00D42A5E" w:rsidP="00D42A5E">
      <w:pPr>
        <w:pStyle w:val="ParaNumbering"/>
      </w:pPr>
      <w:r>
        <w:t xml:space="preserve">The primary judge also took judicial notice of the fact that, in Australia, hotels often provide entertainment to patrons including </w:t>
      </w:r>
      <w:r w:rsidR="00E91F3E">
        <w:t xml:space="preserve">the </w:t>
      </w:r>
      <w:r>
        <w:t>viewing of live sporting events and live music</w:t>
      </w:r>
      <w:r w:rsidR="00AB2A95">
        <w:t xml:space="preserve"> (at </w:t>
      </w:r>
      <w:r w:rsidR="00E91F3E">
        <w:t>J</w:t>
      </w:r>
      <w:r w:rsidR="00AB2A95">
        <w:t>[69])</w:t>
      </w:r>
      <w:r>
        <w:t xml:space="preserve">. He noted that there is a significant difference between a hotel providing entertainment to patrons in the form of a solo artist playing the guitar or piano, which entertainment is typically </w:t>
      </w:r>
      <w:r>
        <w:lastRenderedPageBreak/>
        <w:t>provided free of charge to patrons to attract their custom (for food and beverages), and a hotel conducting a professional live music venue where patrons attend to view the musical performance and must purchase a ticket to attend.</w:t>
      </w:r>
    </w:p>
    <w:p w14:paraId="4958B958" w14:textId="77777777" w:rsidR="00CE300B" w:rsidRDefault="00CE300B" w:rsidP="00A35CF2">
      <w:pPr>
        <w:pStyle w:val="ParaNumbering"/>
      </w:pPr>
      <w:r>
        <w:t xml:space="preserve">The primary judge considered that the services offered by </w:t>
      </w:r>
      <w:proofErr w:type="spellStart"/>
      <w:r>
        <w:t>Swancom</w:t>
      </w:r>
      <w:proofErr w:type="spellEnd"/>
      <w:r>
        <w:t xml:space="preserve"> could be characterised as professional live music services, which were to be contrasted with the provision of live music </w:t>
      </w:r>
      <w:r w:rsidRPr="000B206B">
        <w:t>free of charge by hotels in order to attract sales of drinks and food.</w:t>
      </w:r>
      <w:r w:rsidR="000B206B">
        <w:t xml:space="preserve"> </w:t>
      </w:r>
    </w:p>
    <w:p w14:paraId="6BCB35D0" w14:textId="77777777" w:rsidR="00007B83" w:rsidRPr="000B206B" w:rsidRDefault="00E91F3E" w:rsidP="000B206B">
      <w:pPr>
        <w:pStyle w:val="ParaNumbering"/>
      </w:pPr>
      <w:r w:rsidRPr="000B206B">
        <w:t xml:space="preserve">Notwithstanding the primary judge’s </w:t>
      </w:r>
      <w:r w:rsidR="00312CA6" w:rsidRPr="000B206B">
        <w:t>finding</w:t>
      </w:r>
      <w:r w:rsidR="00276B10" w:rsidRPr="000B206B">
        <w:t xml:space="preserve"> that it was </w:t>
      </w:r>
      <w:r w:rsidR="005451BC">
        <w:t xml:space="preserve">not </w:t>
      </w:r>
      <w:r w:rsidR="00276B10" w:rsidRPr="000B206B">
        <w:t>necessary for him to reach a concluded view as to whether</w:t>
      </w:r>
      <w:r w:rsidR="005E5A41" w:rsidRPr="000B206B">
        <w:t>,</w:t>
      </w:r>
      <w:r w:rsidR="00276B10" w:rsidRPr="000B206B">
        <w:t xml:space="preserve"> or to what extent</w:t>
      </w:r>
      <w:r w:rsidR="005E5A41" w:rsidRPr="000B206B">
        <w:t>,</w:t>
      </w:r>
      <w:r w:rsidR="00276B10" w:rsidRPr="000B206B">
        <w:t xml:space="preserve"> the </w:t>
      </w:r>
      <w:proofErr w:type="spellStart"/>
      <w:r w:rsidR="00276B10" w:rsidRPr="000B206B">
        <w:t>Swancom</w:t>
      </w:r>
      <w:proofErr w:type="spellEnd"/>
      <w:r w:rsidR="00276B10" w:rsidRPr="000B206B">
        <w:t xml:space="preserve"> marks were inherently adapted to</w:t>
      </w:r>
      <w:r w:rsidR="00276B10">
        <w:t xml:space="preserve"> distinguish </w:t>
      </w:r>
      <w:proofErr w:type="spellStart"/>
      <w:r w:rsidR="00276B10">
        <w:t>Swancom’s</w:t>
      </w:r>
      <w:proofErr w:type="spellEnd"/>
      <w:r w:rsidR="00276B10">
        <w:t xml:space="preserve"> registered services (given his findings on acquired (factual) distinctiveness), </w:t>
      </w:r>
      <w:r>
        <w:t xml:space="preserve">there are aspects of his Honour’s analysis of </w:t>
      </w:r>
      <w:r w:rsidR="00276B10">
        <w:t>that question</w:t>
      </w:r>
      <w:r>
        <w:t xml:space="preserve"> which remain relevant to the issues to be decided </w:t>
      </w:r>
      <w:r w:rsidR="00047D3E">
        <w:t>in</w:t>
      </w:r>
      <w:r>
        <w:t xml:space="preserve"> </w:t>
      </w:r>
      <w:r w:rsidR="005451BC">
        <w:t>the first</w:t>
      </w:r>
      <w:r>
        <w:t xml:space="preserve"> appeal.</w:t>
      </w:r>
      <w:r w:rsidR="00A35CF2">
        <w:t xml:space="preserve"> </w:t>
      </w:r>
    </w:p>
    <w:p w14:paraId="6DDC6C63" w14:textId="77777777" w:rsidR="00A35CF2" w:rsidRPr="000B206B" w:rsidRDefault="00276B10" w:rsidP="00007B83">
      <w:pPr>
        <w:pStyle w:val="ParaNumbering"/>
      </w:pPr>
      <w:r w:rsidRPr="000B206B">
        <w:t xml:space="preserve">At J[151], the </w:t>
      </w:r>
      <w:r w:rsidR="00007B83" w:rsidRPr="000B206B">
        <w:t>primary judge found that the phrase “corner hotel” had a clear primary meaning to consumers of hotel services</w:t>
      </w:r>
      <w:r w:rsidRPr="000B206B">
        <w:t xml:space="preserve">, and </w:t>
      </w:r>
      <w:r w:rsidR="00007B83" w:rsidRPr="000B206B">
        <w:t>a secondary, colloquial connotation:</w:t>
      </w:r>
    </w:p>
    <w:p w14:paraId="3C370DAC" w14:textId="77777777" w:rsidR="00A35CF2" w:rsidRDefault="00276B10" w:rsidP="00753E3D">
      <w:pPr>
        <w:pStyle w:val="Quote1"/>
        <w:ind w:left="1440" w:hanging="703"/>
      </w:pPr>
      <w:r>
        <w:t>151</w:t>
      </w:r>
      <w:r>
        <w:tab/>
      </w:r>
      <w:r w:rsidR="00062AE6">
        <w:t xml:space="preserve">The phrase “corner hotel” has a clear primary meaning to consumers of hotel services. The words describe a hotel located on a street corner. I also accept JCHPL’s submission that the words carry a secondary, colloquial, connotation of a hotel that is “round the corner”, meaning that the hotel is local or readily accessible. Each of those meanings refers to a characteristic of hotel services. A hotel is a venue at which a range of services are provided, principally alcoholic drinks served on the premises, prepared meals and, to a lesser extent, accommodation. The location of the venue is an important characteristic of the services that are provided. There is a limit to the distance that consumers will travel to visit a hotel to consume drinks and have a meal. The words “corner hotel” therefore describe a characteristic of the services provided at hotels. The words are apt to describe the location of a hotel in a primary sense as being located on a street corner and, in a secondary sense, as being “local” or accessible. The evidence shows that a significant number of hotel businesses have chosen that name for their business. I infer that they have done so for the ordinary signification of the words in both the primary and secondary sense. </w:t>
      </w:r>
    </w:p>
    <w:p w14:paraId="27145521" w14:textId="77777777" w:rsidR="00062AE6" w:rsidRDefault="00062AE6" w:rsidP="005F36AC">
      <w:pPr>
        <w:pStyle w:val="ParaNumbering"/>
      </w:pPr>
      <w:r>
        <w:t xml:space="preserve">At </w:t>
      </w:r>
      <w:r w:rsidR="00276B10">
        <w:t>J</w:t>
      </w:r>
      <w:r>
        <w:t>[152]</w:t>
      </w:r>
      <w:r w:rsidR="000A418B">
        <w:t>,</w:t>
      </w:r>
      <w:r>
        <w:t xml:space="preserve"> the primary judge found that the phrase “corner hotel” is not to any extent inherently adapted to distinguish </w:t>
      </w:r>
      <w:r w:rsidRPr="00753E3D">
        <w:rPr>
          <w:i/>
        </w:rPr>
        <w:t>ordinary</w:t>
      </w:r>
      <w:r>
        <w:t xml:space="preserve"> hotel services (alcoholic drinks served on the premises, prepared meals and, to a lesser extent, accommodation). He considered that it was questionable whether any amount of use of that phrase would render it capable of distinguishing such services. However, the primary judge noted </w:t>
      </w:r>
      <w:r w:rsidR="005451BC">
        <w:t>that the cross-claimants</w:t>
      </w:r>
      <w:r>
        <w:t xml:space="preserve"> made no challenge to the </w:t>
      </w:r>
      <w:proofErr w:type="spellStart"/>
      <w:r>
        <w:t>Swancom</w:t>
      </w:r>
      <w:proofErr w:type="spellEnd"/>
      <w:r>
        <w:t xml:space="preserve"> marks in so far as they </w:t>
      </w:r>
      <w:r w:rsidR="005451BC">
        <w:t>were</w:t>
      </w:r>
      <w:r>
        <w:t xml:space="preserve"> registered in respect of services in class 43. </w:t>
      </w:r>
      <w:r w:rsidR="005451BC">
        <w:t>The cross-claimants</w:t>
      </w:r>
      <w:r>
        <w:t xml:space="preserve"> only challenged the marks in so far as they </w:t>
      </w:r>
      <w:r w:rsidR="005451BC">
        <w:t>were</w:t>
      </w:r>
      <w:r>
        <w:t xml:space="preserve"> registered in respect of services in class 41. </w:t>
      </w:r>
    </w:p>
    <w:p w14:paraId="52129E11" w14:textId="1DAD462D" w:rsidR="00062AE6" w:rsidRDefault="00062AE6" w:rsidP="005F36AC">
      <w:pPr>
        <w:pStyle w:val="ParaNumbering"/>
      </w:pPr>
      <w:r>
        <w:lastRenderedPageBreak/>
        <w:t xml:space="preserve">At </w:t>
      </w:r>
      <w:r w:rsidR="00276B10">
        <w:t>J</w:t>
      </w:r>
      <w:r>
        <w:t xml:space="preserve">[153] </w:t>
      </w:r>
      <w:r w:rsidR="00311295">
        <w:t>and [154]</w:t>
      </w:r>
      <w:r w:rsidR="000A418B">
        <w:t>,</w:t>
      </w:r>
      <w:r w:rsidR="00311295">
        <w:t xml:space="preserve"> </w:t>
      </w:r>
      <w:r>
        <w:t xml:space="preserve">the primary judge rejected </w:t>
      </w:r>
      <w:proofErr w:type="spellStart"/>
      <w:r>
        <w:t>Swancom’s</w:t>
      </w:r>
      <w:proofErr w:type="spellEnd"/>
      <w:r>
        <w:t xml:space="preserve"> submission that </w:t>
      </w:r>
      <w:r w:rsidR="00311295">
        <w:t xml:space="preserve">the words </w:t>
      </w:r>
      <w:r w:rsidR="000A418B">
        <w:t>“</w:t>
      </w:r>
      <w:r w:rsidR="00311295">
        <w:t>corner</w:t>
      </w:r>
      <w:r w:rsidR="003F47F7">
        <w:t> </w:t>
      </w:r>
      <w:r w:rsidR="00311295">
        <w:t xml:space="preserve">hotel” have no signification </w:t>
      </w:r>
      <w:r>
        <w:t xml:space="preserve">in respect of </w:t>
      </w:r>
      <w:r w:rsidR="00311295">
        <w:t xml:space="preserve">the class 41 services: </w:t>
      </w:r>
      <w:r>
        <w:t xml:space="preserve">live music, ticket </w:t>
      </w:r>
      <w:r w:rsidR="00311295">
        <w:t>booking and related services</w:t>
      </w:r>
      <w:r>
        <w:t>. His Honour observed</w:t>
      </w:r>
      <w:r w:rsidR="00311295">
        <w:t xml:space="preserve"> at </w:t>
      </w:r>
      <w:r w:rsidR="000A418B">
        <w:t>J</w:t>
      </w:r>
      <w:r w:rsidR="00311295">
        <w:t>[154]</w:t>
      </w:r>
      <w:r>
        <w:t>:</w:t>
      </w:r>
    </w:p>
    <w:p w14:paraId="2F46CC2A" w14:textId="77777777" w:rsidR="00062AE6" w:rsidRDefault="000A418B" w:rsidP="00753E3D">
      <w:pPr>
        <w:pStyle w:val="Quote1"/>
        <w:ind w:left="1440" w:hanging="703"/>
      </w:pPr>
      <w:r>
        <w:t>154</w:t>
      </w:r>
      <w:r>
        <w:tab/>
      </w:r>
      <w:r w:rsidR="00062AE6">
        <w:t xml:space="preserve">The words have the same meaning as discussed above in respect of hotel services – a hotel that is located on a street corner and which might be regarded as “local” or “accessible”. That meaning has some signification for persons who wish to attend a live music performance, conveying that the performance is in a hotel (so located) and, as such, the audience size is limited to the hotel capacity (typically, fewer than 1,000), patrons are likely to stand when watching the performance and will be able to consume alcoholic drinks. </w:t>
      </w:r>
    </w:p>
    <w:p w14:paraId="4A1346DE" w14:textId="77777777" w:rsidR="00062AE6" w:rsidRDefault="00062AE6" w:rsidP="005F36AC">
      <w:pPr>
        <w:pStyle w:val="ParaNumbering"/>
      </w:pPr>
      <w:r>
        <w:t xml:space="preserve">However, </w:t>
      </w:r>
      <w:r w:rsidR="000A418B">
        <w:t xml:space="preserve">as we have recorded, </w:t>
      </w:r>
      <w:r>
        <w:t>the primary judge then found</w:t>
      </w:r>
      <w:r w:rsidR="00311295">
        <w:t xml:space="preserve"> at </w:t>
      </w:r>
      <w:r w:rsidR="000A418B">
        <w:t>J</w:t>
      </w:r>
      <w:r w:rsidR="00311295">
        <w:t>[155]</w:t>
      </w:r>
      <w:r w:rsidR="00E96090">
        <w:t xml:space="preserve"> and [159]</w:t>
      </w:r>
      <w:r>
        <w:t xml:space="preserve">, based on the evidence of use of the mark before the filing date, that the CORNER HOTEL mark was, at its filing date, capable of distinguishing </w:t>
      </w:r>
      <w:proofErr w:type="spellStart"/>
      <w:r>
        <w:t>Swancom’s</w:t>
      </w:r>
      <w:proofErr w:type="spellEnd"/>
      <w:r>
        <w:t xml:space="preserve"> services from the services of other persons. This conclusion related to the services in class 41 f</w:t>
      </w:r>
      <w:r w:rsidR="007763A3">
        <w:t>or which the CORNER HOTEL mark wa</w:t>
      </w:r>
      <w:r>
        <w:t>s registered:</w:t>
      </w:r>
    </w:p>
    <w:p w14:paraId="609283CB" w14:textId="77777777" w:rsidR="00062AE6" w:rsidRDefault="00062AE6" w:rsidP="00062AE6">
      <w:pPr>
        <w:pStyle w:val="Quote1"/>
      </w:pPr>
      <w:r>
        <w:t>Organising, conducting, providing and providing information in relation to entertainment and cultural activities, being live music performances; providing facilities for live music performances; ticket booking and reservation services for entertainment and cultural activities being live music performances; publication services relating to these services; provision of all such services over a global computer network</w:t>
      </w:r>
      <w:r w:rsidR="00907689">
        <w:t>.</w:t>
      </w:r>
      <w:r>
        <w:t xml:space="preserve"> </w:t>
      </w:r>
    </w:p>
    <w:p w14:paraId="6FD6F815" w14:textId="77777777" w:rsidR="00007B83" w:rsidRDefault="00007B83" w:rsidP="005F36AC">
      <w:pPr>
        <w:pStyle w:val="ParaNumbering"/>
      </w:pPr>
      <w:r>
        <w:t xml:space="preserve">At </w:t>
      </w:r>
      <w:r w:rsidR="000A418B">
        <w:t>J</w:t>
      </w:r>
      <w:r>
        <w:t>[156]</w:t>
      </w:r>
      <w:r w:rsidR="000A418B">
        <w:t>,</w:t>
      </w:r>
      <w:r>
        <w:t xml:space="preserve"> </w:t>
      </w:r>
      <w:r w:rsidR="00106880">
        <w:t>the primary judge observed that the evidence of use of the CORNER HOTEL mark was supported by the opinions of the industry witnesses, none of whom was aware of another live or recorded music venue trading under the names “The Corner”, “The Corner Hotel”, or a name incorporating the word “corner’.</w:t>
      </w:r>
    </w:p>
    <w:p w14:paraId="24F828B4" w14:textId="77777777" w:rsidR="00275E39" w:rsidRDefault="00E96090" w:rsidP="00E34994">
      <w:pPr>
        <w:pStyle w:val="ParaNumbering"/>
      </w:pPr>
      <w:r>
        <w:t>At J[163], the primary judge reached the same conclusion with respect to the CORNER and THE CORNER marks.</w:t>
      </w:r>
    </w:p>
    <w:p w14:paraId="5F3E4A98" w14:textId="77777777" w:rsidR="007A5EA8" w:rsidRPr="007A5EA8" w:rsidRDefault="007A5EA8" w:rsidP="00A16CAD">
      <w:pPr>
        <w:pStyle w:val="Heading2"/>
      </w:pPr>
      <w:r w:rsidRPr="007A5EA8">
        <w:t>Use likely to deceive or cause confusion: s</w:t>
      </w:r>
      <w:r w:rsidR="00A16CAD">
        <w:t> </w:t>
      </w:r>
      <w:r w:rsidRPr="007A5EA8">
        <w:t>88(2)(c)</w:t>
      </w:r>
      <w:r w:rsidR="00A16CAD">
        <w:t xml:space="preserve"> of the Act</w:t>
      </w:r>
    </w:p>
    <w:p w14:paraId="73C094D0" w14:textId="537B04DA" w:rsidR="00D43EC8" w:rsidRDefault="00D43EC8" w:rsidP="00D43EC8">
      <w:pPr>
        <w:pStyle w:val="ParaNumbering"/>
      </w:pPr>
      <w:r>
        <w:t xml:space="preserve">The second ground on which </w:t>
      </w:r>
      <w:r w:rsidR="005451BC">
        <w:t xml:space="preserve">the cross-claimants </w:t>
      </w:r>
      <w:r>
        <w:t xml:space="preserve">sought </w:t>
      </w:r>
      <w:r w:rsidR="00C31A5F">
        <w:t xml:space="preserve">rectification of the Register </w:t>
      </w:r>
      <w:r>
        <w:t xml:space="preserve">was </w:t>
      </w:r>
      <w:r w:rsidR="00C31A5F">
        <w:t xml:space="preserve">cancellation of the </w:t>
      </w:r>
      <w:proofErr w:type="spellStart"/>
      <w:r w:rsidR="00C31A5F">
        <w:t>Swancom</w:t>
      </w:r>
      <w:proofErr w:type="spellEnd"/>
      <w:r w:rsidR="00C31A5F">
        <w:t xml:space="preserve"> marks </w:t>
      </w:r>
      <w:r>
        <w:t>pursuant to s</w:t>
      </w:r>
      <w:r w:rsidR="00A16CAD">
        <w:t> </w:t>
      </w:r>
      <w:r>
        <w:t xml:space="preserve">88(2)(c) of the Act. That section provides </w:t>
      </w:r>
      <w:r w:rsidR="005451BC">
        <w:t xml:space="preserve">for cancellation on the basis that, </w:t>
      </w:r>
      <w:r>
        <w:t xml:space="preserve">because of the circumstances applying at the time when the application for rectification is filed, the use of the trade mark is likely to deceive or cause confusion. </w:t>
      </w:r>
    </w:p>
    <w:p w14:paraId="3E19E979" w14:textId="77777777" w:rsidR="003A0C74" w:rsidRDefault="000A418B" w:rsidP="003A0C74">
      <w:pPr>
        <w:pStyle w:val="ParaNumbering"/>
      </w:pPr>
      <w:r>
        <w:t xml:space="preserve">At J[175], the </w:t>
      </w:r>
      <w:r w:rsidR="003A0C74">
        <w:t>pri</w:t>
      </w:r>
      <w:r w:rsidR="007763A3">
        <w:t>mary judge</w:t>
      </w:r>
      <w:r w:rsidR="003A0C74">
        <w:t xml:space="preserve"> </w:t>
      </w:r>
      <w:r w:rsidR="005B07DB">
        <w:t>held that</w:t>
      </w:r>
      <w:r w:rsidR="003A0C74">
        <w:t xml:space="preserve"> use of the </w:t>
      </w:r>
      <w:proofErr w:type="spellStart"/>
      <w:r w:rsidR="003A0C74">
        <w:t>Swancom</w:t>
      </w:r>
      <w:proofErr w:type="spellEnd"/>
      <w:r w:rsidR="003A0C74">
        <w:t xml:space="preserve"> marks </w:t>
      </w:r>
      <w:r w:rsidR="005B07DB">
        <w:t>was not</w:t>
      </w:r>
      <w:r w:rsidR="003A0C74">
        <w:t xml:space="preserve"> likely to deceive </w:t>
      </w:r>
      <w:r>
        <w:t xml:space="preserve">or cause confusion </w:t>
      </w:r>
      <w:r w:rsidR="00D43EC8">
        <w:t>at the date on which the application for rectification was filed</w:t>
      </w:r>
      <w:r w:rsidR="005B07DB">
        <w:t xml:space="preserve">. He also </w:t>
      </w:r>
      <w:r w:rsidR="00D43EC8">
        <w:lastRenderedPageBreak/>
        <w:t>observed</w:t>
      </w:r>
      <w:r w:rsidR="005B07DB">
        <w:t xml:space="preserve"> that use of the word “corner” in the name of a local business such as a hotel, café or bar is common and descriptive, and there was no real or tangible likelihood of the entertainment services provided by such a business being confused with the services provided by </w:t>
      </w:r>
      <w:proofErr w:type="spellStart"/>
      <w:r w:rsidR="005B07DB">
        <w:t>Swancom</w:t>
      </w:r>
      <w:proofErr w:type="spellEnd"/>
      <w:r w:rsidR="005B07DB">
        <w:t>.</w:t>
      </w:r>
    </w:p>
    <w:p w14:paraId="031E8ED1" w14:textId="77777777" w:rsidR="00622877" w:rsidRPr="00EB328E" w:rsidRDefault="00D43EC8" w:rsidP="00622877">
      <w:pPr>
        <w:pStyle w:val="Heading2"/>
      </w:pPr>
      <w:r>
        <w:t>Infringement</w:t>
      </w:r>
      <w:r w:rsidR="00A16CAD">
        <w:t>:</w:t>
      </w:r>
      <w:r w:rsidR="00946F0D">
        <w:t xml:space="preserve"> s</w:t>
      </w:r>
      <w:r w:rsidR="00A16CAD">
        <w:t> </w:t>
      </w:r>
      <w:r w:rsidR="00946F0D">
        <w:t>120(1) of the Act</w:t>
      </w:r>
    </w:p>
    <w:p w14:paraId="4659A2D2" w14:textId="77777777" w:rsidR="007579C1" w:rsidRDefault="00D43EC8" w:rsidP="00622877">
      <w:pPr>
        <w:pStyle w:val="ParaNumbering"/>
      </w:pPr>
      <w:proofErr w:type="spellStart"/>
      <w:r>
        <w:t>Swancom’s</w:t>
      </w:r>
      <w:proofErr w:type="spellEnd"/>
      <w:r>
        <w:t xml:space="preserve"> infringement case relied solely on s</w:t>
      </w:r>
      <w:r w:rsidR="00A16CAD">
        <w:t> </w:t>
      </w:r>
      <w:r>
        <w:t xml:space="preserve">120(1) of the Act. </w:t>
      </w:r>
      <w:r w:rsidR="007579C1">
        <w:t>Section 120(1) provides that a person infringes a trade mark if the</w:t>
      </w:r>
      <w:r w:rsidR="004B1EFD">
        <w:t xml:space="preserve"> person uses as a trade mark</w:t>
      </w:r>
      <w:r w:rsidR="007579C1">
        <w:t xml:space="preserve"> a sign that is substantially identical with, or deceptively similar to, the trade mark in relation to goods or services in respect of which the trade mark is registered. It was not suggested that </w:t>
      </w:r>
      <w:r w:rsidR="004B1EFD">
        <w:t xml:space="preserve">any of </w:t>
      </w:r>
      <w:r w:rsidR="007579C1">
        <w:t xml:space="preserve">the Jazz Corner </w:t>
      </w:r>
      <w:r w:rsidR="003A26B4">
        <w:t>m</w:t>
      </w:r>
      <w:r w:rsidR="007579C1">
        <w:t xml:space="preserve">arks were </w:t>
      </w:r>
      <w:r w:rsidR="004B1EFD">
        <w:t xml:space="preserve">substantially identical to the </w:t>
      </w:r>
      <w:proofErr w:type="spellStart"/>
      <w:r w:rsidR="004B1EFD">
        <w:t>Swancom</w:t>
      </w:r>
      <w:proofErr w:type="spellEnd"/>
      <w:r w:rsidR="004B1EFD">
        <w:t xml:space="preserve"> marks.</w:t>
      </w:r>
    </w:p>
    <w:p w14:paraId="77C82349" w14:textId="77777777" w:rsidR="00946F0D" w:rsidRDefault="00946F0D" w:rsidP="00A16CAD">
      <w:pPr>
        <w:pStyle w:val="Heading2"/>
      </w:pPr>
      <w:r>
        <w:t xml:space="preserve">Use in relation to services in respect of which the </w:t>
      </w:r>
      <w:proofErr w:type="spellStart"/>
      <w:r>
        <w:t>Swancom</w:t>
      </w:r>
      <w:proofErr w:type="spellEnd"/>
      <w:r>
        <w:t xml:space="preserve"> marks are registered</w:t>
      </w:r>
    </w:p>
    <w:p w14:paraId="53FEA5EC" w14:textId="790DB9FD" w:rsidR="00F54544" w:rsidRPr="00F54544" w:rsidRDefault="00F54544" w:rsidP="00F54544">
      <w:pPr>
        <w:pStyle w:val="ParaNumbering"/>
      </w:pPr>
      <w:r>
        <w:t>As we have noted, the primary judge found (at J[214]) that JCHPL had used the Jazz Corner Hotel marks as a trade mark in relation to live music services provided at Bird’s Basement (at J[219])</w:t>
      </w:r>
      <w:r w:rsidR="006E0231">
        <w:t>, and</w:t>
      </w:r>
      <w:r>
        <w:t xml:space="preserve"> that JCHPL and BBPL had used the Jazz Club of Melbourne marks as a trade mark in relation to each and all of the businesses conducted from the William Street building, including the jazz club.</w:t>
      </w:r>
    </w:p>
    <w:p w14:paraId="6B30390E" w14:textId="77777777" w:rsidR="00D43EC8" w:rsidRPr="00946F0D" w:rsidRDefault="005C1535" w:rsidP="00A16CAD">
      <w:pPr>
        <w:pStyle w:val="Heading2"/>
      </w:pPr>
      <w:r>
        <w:t>Deceptive similarity</w:t>
      </w:r>
    </w:p>
    <w:p w14:paraId="3409C4A0" w14:textId="77777777" w:rsidR="00622877" w:rsidRDefault="00622877" w:rsidP="00622877">
      <w:pPr>
        <w:pStyle w:val="ParaNumbering"/>
      </w:pPr>
      <w:r>
        <w:t xml:space="preserve">Before commencing his consideration of whether the Jazz Corner marks were deceptively similar to the </w:t>
      </w:r>
      <w:proofErr w:type="spellStart"/>
      <w:r>
        <w:t>Swancom</w:t>
      </w:r>
      <w:proofErr w:type="spellEnd"/>
      <w:r>
        <w:t xml:space="preserve"> marks</w:t>
      </w:r>
      <w:r w:rsidR="007579C1">
        <w:t xml:space="preserve"> for the purposes of s</w:t>
      </w:r>
      <w:r w:rsidR="009E0A86">
        <w:t> </w:t>
      </w:r>
      <w:r w:rsidR="007579C1">
        <w:t>120(1)</w:t>
      </w:r>
      <w:r>
        <w:t>, the primary judge began with s 10 of the Act. Section 10 provides that a trade mark is taken to be “deceptively similar” to another trade mark if it “so nearly resembles that other trade mark that it is likely to deceive or cause confusion”.</w:t>
      </w:r>
    </w:p>
    <w:p w14:paraId="75C8EF62" w14:textId="77777777" w:rsidR="00E34994" w:rsidRDefault="00622877" w:rsidP="00E34994">
      <w:pPr>
        <w:pStyle w:val="ParaNumbering"/>
      </w:pPr>
      <w:r>
        <w:t xml:space="preserve">The primary judge then </w:t>
      </w:r>
      <w:r w:rsidR="00B91D63">
        <w:t>summarised (at J[224] – [229]) a number of well-</w:t>
      </w:r>
      <w:r w:rsidR="00312CA6">
        <w:t>known</w:t>
      </w:r>
      <w:r w:rsidR="00B91D63">
        <w:t xml:space="preserve"> principles of trade mark comparison, noting that the relevant comparison is between the marks themselves and that, in considering deceptive similarity, the comparison is not a side-by-side comparison.  His Honour noted that the comparison does not involve an inquiry into the reputation of the marks, such as might be undertaken in a passing off action or in a proceeding in which misleading or deceptive conduct is alleged.  His Honour also noted, however, that, in assessing the likelihood of deception or confusion, it is still relevant to consider the relevant trade or business, the way in which the particular goods or services are supplied, and the character of </w:t>
      </w:r>
      <w:r w:rsidR="00B91D63" w:rsidRPr="00E34994">
        <w:t xml:space="preserve">the probable acquirers of the goods or services. </w:t>
      </w:r>
      <w:r w:rsidR="00E34994">
        <w:t xml:space="preserve"> </w:t>
      </w:r>
    </w:p>
    <w:p w14:paraId="38948AD2" w14:textId="01996AAA" w:rsidR="00622877" w:rsidRPr="00E34994" w:rsidRDefault="00605DF4" w:rsidP="00E34994">
      <w:pPr>
        <w:pStyle w:val="ParaNumbering"/>
      </w:pPr>
      <w:r w:rsidRPr="00E34994">
        <w:lastRenderedPageBreak/>
        <w:t xml:space="preserve">In light of the way in which </w:t>
      </w:r>
      <w:proofErr w:type="spellStart"/>
      <w:r w:rsidRPr="00E34994">
        <w:t>Swancom</w:t>
      </w:r>
      <w:proofErr w:type="spellEnd"/>
      <w:r w:rsidRPr="00E34994">
        <w:t xml:space="preserve"> advances its appeal, we note that, at J</w:t>
      </w:r>
      <w:r w:rsidR="00622877" w:rsidRPr="00E34994">
        <w:t>[236]</w:t>
      </w:r>
      <w:r w:rsidR="00C3128B" w:rsidRPr="00E34994">
        <w:t>,</w:t>
      </w:r>
      <w:r w:rsidR="00622877" w:rsidRPr="00E34994">
        <w:t xml:space="preserve"> the primary judge </w:t>
      </w:r>
      <w:r w:rsidRPr="00E34994">
        <w:t xml:space="preserve">recorded </w:t>
      </w:r>
      <w:proofErr w:type="spellStart"/>
      <w:r w:rsidR="00622877" w:rsidRPr="00E34994">
        <w:t>Swancom’s</w:t>
      </w:r>
      <w:proofErr w:type="spellEnd"/>
      <w:r w:rsidR="00622877" w:rsidRPr="00E34994">
        <w:t xml:space="preserve"> submission that the reputation of the </w:t>
      </w:r>
      <w:proofErr w:type="spellStart"/>
      <w:r w:rsidR="00622877" w:rsidRPr="00E34994">
        <w:t>Swancom</w:t>
      </w:r>
      <w:proofErr w:type="spellEnd"/>
      <w:r w:rsidR="00622877" w:rsidRPr="00E34994">
        <w:t xml:space="preserve"> marks was irrelevant to the inquiry in</w:t>
      </w:r>
      <w:r w:rsidR="00622877">
        <w:t xml:space="preserve"> circumstances where those marks cannot be said to have a degree of widespread notoriety:</w:t>
      </w:r>
      <w:r w:rsidR="00622877" w:rsidRPr="00A177A2">
        <w:t xml:space="preserve"> </w:t>
      </w:r>
      <w:r w:rsidR="00622877" w:rsidRPr="0042785A">
        <w:rPr>
          <w:i/>
        </w:rPr>
        <w:t>CA</w:t>
      </w:r>
      <w:r w:rsidR="00622877" w:rsidRPr="0042785A">
        <w:rPr>
          <w:b/>
        </w:rPr>
        <w:t xml:space="preserve"> </w:t>
      </w:r>
      <w:proofErr w:type="spellStart"/>
      <w:r w:rsidR="00622877" w:rsidRPr="0042785A">
        <w:rPr>
          <w:b/>
          <w:i/>
        </w:rPr>
        <w:t>Henschke</w:t>
      </w:r>
      <w:proofErr w:type="spellEnd"/>
      <w:r w:rsidR="00622877" w:rsidRPr="0042785A">
        <w:rPr>
          <w:i/>
        </w:rPr>
        <w:t xml:space="preserve"> v Rosemount Estates Pty Ltd </w:t>
      </w:r>
      <w:r w:rsidR="00622877" w:rsidRPr="0042785A">
        <w:t>[2000] FCA 1539</w:t>
      </w:r>
      <w:r w:rsidR="00622877">
        <w:t xml:space="preserve"> at [52]</w:t>
      </w:r>
      <w:r w:rsidR="00296658">
        <w:t> </w:t>
      </w:r>
      <w:r w:rsidR="00A16CAD">
        <w:t>–</w:t>
      </w:r>
      <w:r w:rsidR="00296658">
        <w:t> </w:t>
      </w:r>
      <w:r w:rsidR="00622877">
        <w:t xml:space="preserve">[53] per Ryan, Branson and </w:t>
      </w:r>
      <w:proofErr w:type="spellStart"/>
      <w:r w:rsidR="00622877">
        <w:t>Lehane</w:t>
      </w:r>
      <w:proofErr w:type="spellEnd"/>
      <w:r w:rsidR="00622877">
        <w:t xml:space="preserve"> JJ and </w:t>
      </w:r>
      <w:r w:rsidR="00622877" w:rsidRPr="0042785A">
        <w:rPr>
          <w:b/>
          <w:i/>
        </w:rPr>
        <w:t>Australian Meat Group</w:t>
      </w:r>
      <w:r w:rsidR="00622877" w:rsidRPr="0042785A">
        <w:rPr>
          <w:i/>
        </w:rPr>
        <w:t xml:space="preserve"> v JBS Australia Pty Ltd </w:t>
      </w:r>
      <w:r w:rsidR="00622877" w:rsidRPr="0042785A">
        <w:t>(2018) 268 FCR 623</w:t>
      </w:r>
      <w:r w:rsidR="00021236">
        <w:t xml:space="preserve"> at [41] –</w:t>
      </w:r>
      <w:r w:rsidR="00622877">
        <w:t xml:space="preserve"> [42] per Allsop CJ, Besanko and Yates JJ. </w:t>
      </w:r>
    </w:p>
    <w:p w14:paraId="359E7CD2" w14:textId="0A809139" w:rsidR="00622877" w:rsidRDefault="00940708" w:rsidP="00622877">
      <w:pPr>
        <w:pStyle w:val="ParaNumbering"/>
      </w:pPr>
      <w:r>
        <w:t xml:space="preserve">At J[244], the </w:t>
      </w:r>
      <w:r w:rsidR="00622877">
        <w:t xml:space="preserve">primary judge took as </w:t>
      </w:r>
      <w:r>
        <w:t xml:space="preserve">the </w:t>
      </w:r>
      <w:r w:rsidR="00622877">
        <w:t xml:space="preserve">starting point </w:t>
      </w:r>
      <w:r>
        <w:t>for his analysis</w:t>
      </w:r>
      <w:r w:rsidR="00A333C8">
        <w:t>,</w:t>
      </w:r>
      <w:r w:rsidR="00622877">
        <w:t xml:space="preserve"> his finding that both JCHPL </w:t>
      </w:r>
      <w:r w:rsidR="00C124BA">
        <w:t>(</w:t>
      </w:r>
      <w:r w:rsidR="00622877">
        <w:t>in respect of the Jazz Corner Hotel and Jazz Corner of Melbourne marks</w:t>
      </w:r>
      <w:r w:rsidR="00C124BA">
        <w:t>)</w:t>
      </w:r>
      <w:r w:rsidR="00622877">
        <w:t xml:space="preserve"> and BBPL </w:t>
      </w:r>
      <w:r w:rsidR="00C124BA">
        <w:t>(</w:t>
      </w:r>
      <w:r w:rsidR="00622877">
        <w:t>in respect of the Jazz Corner of Melbourne marks</w:t>
      </w:r>
      <w:r w:rsidR="00C124BA">
        <w:t>)</w:t>
      </w:r>
      <w:r w:rsidR="00622877">
        <w:t xml:space="preserve"> had used those marks as trade marks in relation to live music services. </w:t>
      </w:r>
      <w:r>
        <w:t>As we have noted,</w:t>
      </w:r>
      <w:r w:rsidR="00622877">
        <w:t xml:space="preserve"> this finding is challenged in the notice of contention. </w:t>
      </w:r>
    </w:p>
    <w:p w14:paraId="1C2758A9" w14:textId="77777777" w:rsidR="00940708" w:rsidRDefault="00940708" w:rsidP="00622877">
      <w:pPr>
        <w:pStyle w:val="ParaNumbering"/>
      </w:pPr>
      <w:r>
        <w:t xml:space="preserve">At J[245], the </w:t>
      </w:r>
      <w:r w:rsidR="00622877">
        <w:t xml:space="preserve">primary judge observed that there was an obvious similarity between the </w:t>
      </w:r>
      <w:proofErr w:type="spellStart"/>
      <w:r w:rsidR="00622877">
        <w:t>Swancom</w:t>
      </w:r>
      <w:proofErr w:type="spellEnd"/>
      <w:r w:rsidR="00622877">
        <w:t xml:space="preserve"> marks and the relevant Jazz Corner marks. </w:t>
      </w:r>
      <w:r>
        <w:t xml:space="preserve"> All the </w:t>
      </w:r>
      <w:proofErr w:type="spellStart"/>
      <w:r>
        <w:t>Swancom</w:t>
      </w:r>
      <w:proofErr w:type="spellEnd"/>
      <w:r>
        <w:t xml:space="preserve"> marks and the relevant Jazz Corner marks have </w:t>
      </w:r>
      <w:r w:rsidR="00B95688">
        <w:t>the word “corner”</w:t>
      </w:r>
      <w:r>
        <w:t xml:space="preserve"> in common.  </w:t>
      </w:r>
      <w:r w:rsidR="00622877">
        <w:t xml:space="preserve">The CORNER HOTEL </w:t>
      </w:r>
      <w:r w:rsidR="004B2264">
        <w:t xml:space="preserve">mark </w:t>
      </w:r>
      <w:r w:rsidR="00622877">
        <w:t xml:space="preserve">and the Jazz Corner Hotel marks have two words in common. </w:t>
      </w:r>
      <w:r>
        <w:t>The primary judge said:</w:t>
      </w:r>
    </w:p>
    <w:p w14:paraId="2C81131A" w14:textId="21607CD8" w:rsidR="00622877" w:rsidRDefault="00940708" w:rsidP="00914849">
      <w:pPr>
        <w:pStyle w:val="Quote1"/>
        <w:ind w:left="1440" w:hanging="703"/>
      </w:pPr>
      <w:r>
        <w:t>245</w:t>
      </w:r>
      <w:r>
        <w:tab/>
        <w:t>While the similarity between the marks must give rise to some prospect of confusion, the question is whether there is a real or tangible risk of such confusion as opposed to a mere possibility. That question is not answered simply by observing the degree of similarity (in the sense of the number of common words in the marks), but by considering the effect of the similarity.  Attention must be given to the impression produced by the entirety of the marks, recognising that one word or fea</w:t>
      </w:r>
      <w:r w:rsidR="00914849">
        <w:t>ture of a mark can be more stri</w:t>
      </w:r>
      <w:r>
        <w:t xml:space="preserve">king and </w:t>
      </w:r>
      <w:r w:rsidR="00914849">
        <w:t>memorable than another.</w:t>
      </w:r>
    </w:p>
    <w:p w14:paraId="6EC69FC3" w14:textId="0AB73AF4" w:rsidR="00622877" w:rsidRDefault="00940708" w:rsidP="00622877">
      <w:pPr>
        <w:pStyle w:val="ParaNumbering"/>
      </w:pPr>
      <w:r>
        <w:t xml:space="preserve">At J[246], the primary judge </w:t>
      </w:r>
      <w:r w:rsidR="00622877">
        <w:t xml:space="preserve">noted that the primary issue in dispute was the effect or impression on the ordinary consumer of the inclusion of the word “jazz” in the Jazz Corner marks. Neither party challenged that the ordinary consumer was the appropriate </w:t>
      </w:r>
      <w:r w:rsidR="00622877" w:rsidRPr="00AD07BB">
        <w:t>prospective consumer</w:t>
      </w:r>
      <w:r w:rsidR="00622877">
        <w:t xml:space="preserve"> for the assessment of deceptive similarity. There was no suggestion that the relevant services were part of a specialised market.</w:t>
      </w:r>
    </w:p>
    <w:p w14:paraId="54EBFB71" w14:textId="77777777" w:rsidR="00622877" w:rsidRDefault="00622877" w:rsidP="004B2264">
      <w:pPr>
        <w:pStyle w:val="ParaNumbering"/>
      </w:pPr>
      <w:r>
        <w:t xml:space="preserve">The primary judge observed that the parties approached the question of deceptive similarity from opposite directions. </w:t>
      </w:r>
      <w:proofErr w:type="spellStart"/>
      <w:r>
        <w:t>Swancom</w:t>
      </w:r>
      <w:proofErr w:type="spellEnd"/>
      <w:r>
        <w:t xml:space="preserve"> contended that the striking or memorable feature of the marks was the word “corner”, largely on the basis that that word is distinctive in the context of l</w:t>
      </w:r>
      <w:r w:rsidR="001962C9">
        <w:t xml:space="preserve">ive music services. </w:t>
      </w:r>
      <w:proofErr w:type="spellStart"/>
      <w:r w:rsidR="001962C9">
        <w:t>Swancom</w:t>
      </w:r>
      <w:proofErr w:type="spellEnd"/>
      <w:r w:rsidR="001962C9">
        <w:t xml:space="preserve"> submitted</w:t>
      </w:r>
      <w:r>
        <w:t xml:space="preserve"> that the word “jazz” is wholly descriptive in that context. </w:t>
      </w:r>
      <w:r w:rsidR="00DD6EAB">
        <w:t>JCHPL, BBPL and STPL</w:t>
      </w:r>
      <w:r>
        <w:t xml:space="preserve"> contended that the words “corner” and “hotel” </w:t>
      </w:r>
      <w:r w:rsidR="00DD6EAB">
        <w:t xml:space="preserve">were </w:t>
      </w:r>
      <w:r>
        <w:t xml:space="preserve">ordinary words with descriptive meanings which are in common use in the hotel and hospitality </w:t>
      </w:r>
      <w:r>
        <w:lastRenderedPageBreak/>
        <w:t xml:space="preserve">industries. The word “jazz” </w:t>
      </w:r>
      <w:r w:rsidR="00DD6EAB">
        <w:t xml:space="preserve">was </w:t>
      </w:r>
      <w:r>
        <w:t xml:space="preserve">a more memorable word, even if it </w:t>
      </w:r>
      <w:r w:rsidR="00DD6EAB">
        <w:t xml:space="preserve">was </w:t>
      </w:r>
      <w:r>
        <w:t xml:space="preserve">descriptive of a style of music. The primary judge accepted </w:t>
      </w:r>
      <w:r w:rsidR="004B2264">
        <w:t>the latter conten</w:t>
      </w:r>
      <w:r>
        <w:t xml:space="preserve">tions.   </w:t>
      </w:r>
    </w:p>
    <w:p w14:paraId="7C1A04C6" w14:textId="77777777" w:rsidR="00622877" w:rsidRDefault="00622877" w:rsidP="00622877">
      <w:pPr>
        <w:pStyle w:val="ParaNumbering"/>
      </w:pPr>
      <w:r>
        <w:t xml:space="preserve">Grounds 1 </w:t>
      </w:r>
      <w:r w:rsidRPr="00713926">
        <w:t>to 4</w:t>
      </w:r>
      <w:r>
        <w:t xml:space="preserve"> of </w:t>
      </w:r>
      <w:proofErr w:type="spellStart"/>
      <w:r>
        <w:t>Swancom’s</w:t>
      </w:r>
      <w:proofErr w:type="spellEnd"/>
      <w:r>
        <w:t xml:space="preserve"> appeal focus on the primary judge’s reasoning </w:t>
      </w:r>
      <w:r w:rsidR="004B2264">
        <w:t>at J[247]</w:t>
      </w:r>
      <w:r w:rsidR="005D4FB7" w:rsidRPr="005D4FB7">
        <w:t xml:space="preserve"> </w:t>
      </w:r>
      <w:r w:rsidR="005D4FB7">
        <w:t xml:space="preserve">– </w:t>
      </w:r>
      <w:r w:rsidR="004B2264">
        <w:t xml:space="preserve">[251] </w:t>
      </w:r>
      <w:r>
        <w:t xml:space="preserve">as to why he accepted </w:t>
      </w:r>
      <w:r w:rsidR="00DD6EAB">
        <w:t>these</w:t>
      </w:r>
      <w:r>
        <w:t xml:space="preserve"> contentions:</w:t>
      </w:r>
    </w:p>
    <w:p w14:paraId="0D362142" w14:textId="77777777" w:rsidR="00622877" w:rsidRDefault="001962C9" w:rsidP="001962C9">
      <w:pPr>
        <w:pStyle w:val="Quote1"/>
        <w:ind w:left="1440" w:hanging="703"/>
      </w:pPr>
      <w:r>
        <w:t>247</w:t>
      </w:r>
      <w:r>
        <w:tab/>
      </w:r>
      <w:r w:rsidR="00622877">
        <w:t xml:space="preserve">As discussed earlier, the words “corner hotel” have a clear primary meaning to consumers of hotel services, being a hotel located on a street corner, and a secondary, colloquial connotation of a hotel that is local or readily accessible. Those meanings also have some signification for persons who wish to attend a live music performance, conveying that the performance is in a hotel (so located) and patrons are likely to stand when watching the performance and will be able to consume alcoholic drinks. The word “corner” on its own conveys the same meaning, namely a location on a street corner and which might be regarded as “local” or “accessible”. Such a meaning would be conveyed in connection with many businesses, including particularly hospitality businesses. The word has some signification in respect of professional live music services, although it can be accepted that the meaning is less direct than in respect of the words “corner hotel”. </w:t>
      </w:r>
    </w:p>
    <w:p w14:paraId="70A6A83B" w14:textId="77777777" w:rsidR="00622877" w:rsidRDefault="001962C9" w:rsidP="001962C9">
      <w:pPr>
        <w:pStyle w:val="Quote1"/>
        <w:ind w:left="1440" w:hanging="703"/>
      </w:pPr>
      <w:r>
        <w:t>248</w:t>
      </w:r>
      <w:r>
        <w:tab/>
      </w:r>
      <w:r w:rsidR="00622877">
        <w:t xml:space="preserve">Significantly, the evidence shows widespread use of the word “corner” in relation to hotel and hospitality businesses. The word “hotel” is also, of course, used ubiquitously in the hotel industry. It is well-established, and accepted by </w:t>
      </w:r>
      <w:proofErr w:type="spellStart"/>
      <w:r w:rsidR="00622877">
        <w:t>Swancom</w:t>
      </w:r>
      <w:proofErr w:type="spellEnd"/>
      <w:r w:rsidR="00622877">
        <w:t xml:space="preserve">, that if it can be shown that elements of a trade mark are in common use in the trade, then those elements will be discounted to some extent in comparing the two marks for the purposes of deceptive similarity, on the basis that consumers will tend to focus on the more distinctive aspects of the mark: </w:t>
      </w:r>
      <w:r w:rsidR="00622877" w:rsidRPr="009C60D1">
        <w:rPr>
          <w:i/>
        </w:rPr>
        <w:t xml:space="preserve">Wingate Marketing Pty Ltd v Levi Strauss &amp; Co </w:t>
      </w:r>
      <w:r w:rsidR="00622877">
        <w:t xml:space="preserve">(1994) 49 FCR 89 at 127 per </w:t>
      </w:r>
      <w:proofErr w:type="spellStart"/>
      <w:r w:rsidR="00622877">
        <w:t>Gummow</w:t>
      </w:r>
      <w:proofErr w:type="spellEnd"/>
      <w:r w:rsidR="00622877">
        <w:t xml:space="preserve"> J. Relying on observations by Foster J in </w:t>
      </w:r>
      <w:r w:rsidR="00622877" w:rsidRPr="009C60D1">
        <w:rPr>
          <w:i/>
        </w:rPr>
        <w:t xml:space="preserve">Alcon </w:t>
      </w:r>
      <w:proofErr w:type="spellStart"/>
      <w:r w:rsidR="00622877" w:rsidRPr="009C60D1">
        <w:rPr>
          <w:i/>
        </w:rPr>
        <w:t>Inc</w:t>
      </w:r>
      <w:proofErr w:type="spellEnd"/>
      <w:r w:rsidR="00622877" w:rsidRPr="009C60D1">
        <w:rPr>
          <w:i/>
        </w:rPr>
        <w:t xml:space="preserve"> v Bausch &amp; Lomb (Australia) Pty Ltd </w:t>
      </w:r>
      <w:r w:rsidR="00622877">
        <w:t xml:space="preserve">[2009] FCA 1299; 83 IPR 210 at [74], </w:t>
      </w:r>
      <w:proofErr w:type="spellStart"/>
      <w:r w:rsidR="00622877">
        <w:t>Swancom</w:t>
      </w:r>
      <w:proofErr w:type="spellEnd"/>
      <w:r w:rsidR="00622877">
        <w:t xml:space="preserve"> submitted that regard can only be had to usage in the relevant trade, here live music services, and not usage in other areas of trade (for example hotel and hospitality services more broadly). I reject that submission. The observations of Foster J were made in the context of s 24 of the TMA and the question of distinctiveness of a registered trade mark. In </w:t>
      </w:r>
      <w:r w:rsidR="00622877" w:rsidRPr="009C60D1">
        <w:rPr>
          <w:i/>
        </w:rPr>
        <w:t xml:space="preserve">MID Sydney Pty Ltd v Australian Tourism Co Ltd </w:t>
      </w:r>
      <w:r w:rsidR="00622877">
        <w:t>(1998) 90 FCR 236 (MID), which concerned the trade mark “Chifley Tower” registered in respect of property management services, the Full Court considered it relevant to the question of deceptive similarity that the word “Chifley” was familiar as the name of a former Prime Minister and its use in geographical and other contexts (such as suburbs, shopping arcades and a restaurant). In concluding that the respondent would not infringe the registered trade mark by using the name “Chifley” on hotels, the Full Court concluded that an ordinary member of the public “should be credited with a general knowledge that there are several such applications” of the use of the name Chifley (at 246)</w:t>
      </w:r>
    </w:p>
    <w:p w14:paraId="4490D5AC" w14:textId="77777777" w:rsidR="00622877" w:rsidRDefault="001962C9" w:rsidP="001962C9">
      <w:pPr>
        <w:pStyle w:val="Quote1"/>
        <w:ind w:left="1440" w:hanging="703"/>
      </w:pPr>
      <w:r>
        <w:t>249</w:t>
      </w:r>
      <w:r>
        <w:tab/>
      </w:r>
      <w:r w:rsidR="00622877">
        <w:t xml:space="preserve">The evidence with respect to the trade usage of the names “Corner Hotel” and “Corner” is set out earlier and need not be reproduced. It is sufficient to note that, from the earliest days of European settlement of Australia to the present day, hotels have been named the “Corner Hotel”. The evidence also identified a number of other hospitality businesses (cafés and bars) that also use the name “Corner” or a close derivative. </w:t>
      </w:r>
      <w:r w:rsidR="00622877" w:rsidRPr="00206BD9">
        <w:t xml:space="preserve">Consistently with the conclusion reached by the Full Court in MID, I consider that ordinary members of the public should be </w:t>
      </w:r>
      <w:r w:rsidR="00622877" w:rsidRPr="00206BD9">
        <w:lastRenderedPageBreak/>
        <w:t>credited with a general knowledge that there are many businesses, broadly in the hospitality industry, which use the name “Corner”. Such is the familiar use of the name “Corner” that almost any adjective added to that word is likely to create a distinct impression to an ordinary member of the public.</w:t>
      </w:r>
      <w:r w:rsidR="00622877">
        <w:t xml:space="preserve"> For example, Blue Corner, Shady Corner, High Corner or Nature’s Corner each create a different impression, despite the common use of the name “Corner”.   </w:t>
      </w:r>
    </w:p>
    <w:p w14:paraId="0361F33E" w14:textId="77777777" w:rsidR="00622877" w:rsidRDefault="001962C9" w:rsidP="001962C9">
      <w:pPr>
        <w:pStyle w:val="Quote1"/>
        <w:ind w:left="1440" w:hanging="703"/>
      </w:pPr>
      <w:r>
        <w:t>250</w:t>
      </w:r>
      <w:r>
        <w:tab/>
      </w:r>
      <w:r w:rsidR="00622877">
        <w:t>It must be accepted that the word “jazz” has a descriptive meaning. However, in comparison to the words “corner” and “hotel”, it is a word that leaves a more striking impression. That is for two reasons. First, it is less commonly used, particularly in the hotel and hospitality industry (there being no evidence of other use in the trade). Second, the word has an evocative resonance because jazz music itself (whether it is appreciated or disliked) is evocative. As a musical form, jazz uses melodic and harmonic elements derived from the blues (including the dissonant and expressive “blue” notes, classically the flattened third, fifth and seventh notes in the major scale), syncopated rhythms and is marked by improvisation in which the music is created or developed during performance. I consider that ordinary members of the public should be taken to be familiar with the overall style of jazz music, even if they are not familiar with the musical techniques that give jazz its distinctive style. The commonly used adjective “jazzy”, derived from the noun “jazz”, means bright, colourful or showy, reflecting the recognised characteristics of jazz music.</w:t>
      </w:r>
    </w:p>
    <w:p w14:paraId="5FBD3723" w14:textId="77777777" w:rsidR="00622877" w:rsidRDefault="001962C9" w:rsidP="001962C9">
      <w:pPr>
        <w:pStyle w:val="Quote1"/>
        <w:ind w:left="1440" w:hanging="703"/>
      </w:pPr>
      <w:r>
        <w:t>251</w:t>
      </w:r>
      <w:r>
        <w:tab/>
      </w:r>
      <w:r w:rsidR="00622877">
        <w:t>The addition of the word “jazz” to the word “corner” or the words “corner hotel” gives the composite phrase a distinct sound and meaning. In my view, attention is immediately drawn to the word “jazz” and the words “corner” or “corner hotel” assume a secondary role in the phrase.</w:t>
      </w:r>
      <w:r>
        <w:t xml:space="preserve"> </w:t>
      </w:r>
      <w:r w:rsidR="00622877">
        <w:t xml:space="preserve">The name “Jazz Corner” suggests a corner (or location or place) devoted to jazz music in some manner. The name “Jazz Corner Hotel” suggests a hotel named “Jazz Corner”, creating the same impression. As is the case with other adjectives added to the name “Corner”, I consider that the addition of “Jazz” is likely to create an impression or idea in the mind of an ordinary member of the public that is distinct from the impression or idea created by the CORNER or CORNER HOTEL marks.   </w:t>
      </w:r>
    </w:p>
    <w:p w14:paraId="78F91A98" w14:textId="77777777" w:rsidR="00622877" w:rsidRDefault="00DD6EAB" w:rsidP="00622877">
      <w:pPr>
        <w:pStyle w:val="ParaNumbering"/>
      </w:pPr>
      <w:r>
        <w:t>As we have noted</w:t>
      </w:r>
      <w:r w:rsidR="00622877">
        <w:t>, the primary judge concluded</w:t>
      </w:r>
      <w:r>
        <w:t xml:space="preserve"> (at J[255])</w:t>
      </w:r>
      <w:r w:rsidR="00622877">
        <w:t xml:space="preserve"> that the relevant Jazz Corner marks were not likely to deceive or cause confusion and were therefore not deceptively similar to the </w:t>
      </w:r>
      <w:proofErr w:type="spellStart"/>
      <w:r w:rsidR="00622877">
        <w:t>Swancom</w:t>
      </w:r>
      <w:proofErr w:type="spellEnd"/>
      <w:r w:rsidR="00622877">
        <w:t xml:space="preserve"> marks. Thus, </w:t>
      </w:r>
      <w:r w:rsidR="009548FC">
        <w:t xml:space="preserve">the primary judge held that </w:t>
      </w:r>
      <w:r w:rsidR="00622877">
        <w:t>there wa</w:t>
      </w:r>
      <w:r w:rsidR="00914849">
        <w:t>s no infringement pursuant to s </w:t>
      </w:r>
      <w:r w:rsidR="00622877">
        <w:t>120(1)</w:t>
      </w:r>
      <w:r w:rsidR="009548FC">
        <w:t xml:space="preserve"> of the Act</w:t>
      </w:r>
      <w:r w:rsidR="00622877">
        <w:t>.</w:t>
      </w:r>
    </w:p>
    <w:p w14:paraId="077E341B" w14:textId="77777777" w:rsidR="00DD6EAB" w:rsidRDefault="00DD6EAB" w:rsidP="00753E3D">
      <w:pPr>
        <w:pStyle w:val="Heading1"/>
      </w:pPr>
      <w:r>
        <w:t xml:space="preserve">The </w:t>
      </w:r>
      <w:r w:rsidR="00900E5B">
        <w:t xml:space="preserve">first </w:t>
      </w:r>
      <w:r>
        <w:t>appeal</w:t>
      </w:r>
    </w:p>
    <w:p w14:paraId="0FA19F17" w14:textId="77777777" w:rsidR="00EB152A" w:rsidRPr="008F2E98" w:rsidRDefault="00EB152A" w:rsidP="009625EE">
      <w:pPr>
        <w:pStyle w:val="Heading2"/>
      </w:pPr>
      <w:proofErr w:type="spellStart"/>
      <w:r w:rsidRPr="008F2E98">
        <w:t>S</w:t>
      </w:r>
      <w:r>
        <w:t>wanco</w:t>
      </w:r>
      <w:r w:rsidRPr="008F2E98">
        <w:t>m’s</w:t>
      </w:r>
      <w:proofErr w:type="spellEnd"/>
      <w:r w:rsidRPr="008F2E98">
        <w:t xml:space="preserve"> submissions</w:t>
      </w:r>
      <w:r w:rsidR="00FC19D0">
        <w:t xml:space="preserve">: </w:t>
      </w:r>
      <w:r w:rsidR="009548FC">
        <w:t xml:space="preserve"> Grounds 1 to 4</w:t>
      </w:r>
    </w:p>
    <w:p w14:paraId="4661006F" w14:textId="77777777" w:rsidR="00EB152A" w:rsidRDefault="00EB152A" w:rsidP="00EB152A">
      <w:pPr>
        <w:pStyle w:val="ParaNumbering"/>
      </w:pPr>
      <w:proofErr w:type="spellStart"/>
      <w:r>
        <w:t>Swancom</w:t>
      </w:r>
      <w:proofErr w:type="spellEnd"/>
      <w:r>
        <w:t xml:space="preserve"> submits that in </w:t>
      </w:r>
      <w:r w:rsidR="002A09B8">
        <w:t>conducting the assessment of</w:t>
      </w:r>
      <w:r>
        <w:t xml:space="preserve"> whether the relevant Jazz Corner marks were deceptively similar to any “registered trade mark” of </w:t>
      </w:r>
      <w:proofErr w:type="spellStart"/>
      <w:r>
        <w:t>Swancom</w:t>
      </w:r>
      <w:proofErr w:type="spellEnd"/>
      <w:r>
        <w:t xml:space="preserve">, the primary judge was required to assume that an intending purchaser or viewer had </w:t>
      </w:r>
      <w:r w:rsidRPr="00EB152A">
        <w:rPr>
          <w:i/>
        </w:rPr>
        <w:t>knowledge</w:t>
      </w:r>
      <w:r>
        <w:t xml:space="preserve"> of the registered mark </w:t>
      </w:r>
      <w:r w:rsidR="00BE7F46">
        <w:t>alleged to have been infringed (</w:t>
      </w:r>
      <w:proofErr w:type="spellStart"/>
      <w:r w:rsidRPr="0042785A">
        <w:rPr>
          <w:b/>
          <w:i/>
        </w:rPr>
        <w:t>Idameneo</w:t>
      </w:r>
      <w:proofErr w:type="spellEnd"/>
      <w:r w:rsidR="00BE7F46" w:rsidRPr="0042785A">
        <w:rPr>
          <w:i/>
        </w:rPr>
        <w:t xml:space="preserve"> (No 789) Ltd v </w:t>
      </w:r>
      <w:proofErr w:type="spellStart"/>
      <w:r w:rsidR="00BE7F46" w:rsidRPr="0042785A">
        <w:rPr>
          <w:i/>
        </w:rPr>
        <w:t>Symbion</w:t>
      </w:r>
      <w:proofErr w:type="spellEnd"/>
      <w:r w:rsidR="00BE7F46" w:rsidRPr="0042785A">
        <w:rPr>
          <w:i/>
        </w:rPr>
        <w:t xml:space="preserve"> Pharmacy Services Pty Ltd</w:t>
      </w:r>
      <w:r w:rsidR="00BE7F46" w:rsidRPr="0042785A">
        <w:t xml:space="preserve"> [2011] FCAFC</w:t>
      </w:r>
      <w:r w:rsidR="00060EF0" w:rsidRPr="0042785A">
        <w:t xml:space="preserve"> 164</w:t>
      </w:r>
      <w:r w:rsidR="00060EF0">
        <w:t xml:space="preserve"> </w:t>
      </w:r>
      <w:r w:rsidR="00BE7F46">
        <w:t xml:space="preserve">at [57] citing </w:t>
      </w:r>
      <w:r w:rsidRPr="0042785A">
        <w:rPr>
          <w:b/>
          <w:i/>
        </w:rPr>
        <w:t>Optical</w:t>
      </w:r>
      <w:r w:rsidRPr="0042785A">
        <w:rPr>
          <w:b/>
        </w:rPr>
        <w:t xml:space="preserve"> </w:t>
      </w:r>
      <w:r w:rsidRPr="0042785A">
        <w:rPr>
          <w:b/>
          <w:i/>
        </w:rPr>
        <w:t>88</w:t>
      </w:r>
      <w:r w:rsidR="00BE7F46" w:rsidRPr="0042785A">
        <w:t xml:space="preserve"> </w:t>
      </w:r>
      <w:r w:rsidR="00BE7F46" w:rsidRPr="0042785A">
        <w:rPr>
          <w:i/>
        </w:rPr>
        <w:t>Ltd v Optical 88 Pty Ltd (No 2)</w:t>
      </w:r>
      <w:r w:rsidR="00BE7F46" w:rsidRPr="0042785A">
        <w:t xml:space="preserve"> [2010] FCA 1380</w:t>
      </w:r>
      <w:r w:rsidR="00BE7F46">
        <w:t xml:space="preserve"> at [97]).</w:t>
      </w:r>
      <w:r>
        <w:t xml:space="preserve"> </w:t>
      </w:r>
    </w:p>
    <w:p w14:paraId="125A7C51" w14:textId="77777777" w:rsidR="009548FC" w:rsidRDefault="009548FC" w:rsidP="00914849">
      <w:pPr>
        <w:pStyle w:val="ParaNumbering"/>
      </w:pPr>
      <w:proofErr w:type="spellStart"/>
      <w:r>
        <w:lastRenderedPageBreak/>
        <w:t>Swancom</w:t>
      </w:r>
      <w:proofErr w:type="spellEnd"/>
      <w:r>
        <w:t xml:space="preserve"> </w:t>
      </w:r>
      <w:r w:rsidR="00B24D0A">
        <w:t xml:space="preserve">submits </w:t>
      </w:r>
      <w:r w:rsidR="00EB152A">
        <w:t>that</w:t>
      </w:r>
      <w:r w:rsidR="00B24D0A">
        <w:t>,</w:t>
      </w:r>
      <w:r w:rsidR="00EB152A">
        <w:t xml:space="preserve"> in the case of a mark </w:t>
      </w:r>
      <w:r w:rsidR="00B24D0A">
        <w:t xml:space="preserve">whose </w:t>
      </w:r>
      <w:r w:rsidR="004B2264">
        <w:t xml:space="preserve">capacity to distinguish </w:t>
      </w:r>
      <w:r w:rsidR="00B24D0A">
        <w:t xml:space="preserve">is based on distinctiveness in fact (for example, pre-RTB s 41(6)(a)), the mark has </w:t>
      </w:r>
      <w:r w:rsidR="00EB152A">
        <w:t>an acquired distinctive “</w:t>
      </w:r>
      <w:r w:rsidR="00EB152A" w:rsidRPr="004E607D">
        <w:t>meaning”</w:t>
      </w:r>
      <w:r w:rsidR="004B2264">
        <w:t xml:space="preserve"> which f</w:t>
      </w:r>
      <w:r w:rsidR="00EB152A">
        <w:t xml:space="preserve">orms part of the knowledge of the mark </w:t>
      </w:r>
      <w:r w:rsidR="00B24D0A">
        <w:t xml:space="preserve">that </w:t>
      </w:r>
      <w:r w:rsidR="00EB152A">
        <w:t xml:space="preserve">should be credited to </w:t>
      </w:r>
      <w:r w:rsidR="00914849">
        <w:t>ordinary members of the public.</w:t>
      </w:r>
    </w:p>
    <w:p w14:paraId="345FE8AC" w14:textId="77777777" w:rsidR="00914849" w:rsidRDefault="00B24D0A" w:rsidP="00914849">
      <w:pPr>
        <w:pStyle w:val="ParaNumbering"/>
      </w:pPr>
      <w:proofErr w:type="spellStart"/>
      <w:r>
        <w:t>Swancom</w:t>
      </w:r>
      <w:proofErr w:type="spellEnd"/>
      <w:r>
        <w:t xml:space="preserve"> submits that, having </w:t>
      </w:r>
      <w:r w:rsidR="00EB152A">
        <w:t xml:space="preserve">found that the CORNER HOTEL, CORNER and THE CORNER marks were distinctive in fact of </w:t>
      </w:r>
      <w:proofErr w:type="spellStart"/>
      <w:r w:rsidR="00EB152A">
        <w:t>Swancom’s</w:t>
      </w:r>
      <w:proofErr w:type="spellEnd"/>
      <w:r w:rsidR="00EB152A">
        <w:t xml:space="preserve"> live music</w:t>
      </w:r>
      <w:r w:rsidR="001962C9">
        <w:t xml:space="preserve"> services at the time of filing</w:t>
      </w:r>
      <w:r>
        <w:t>,</w:t>
      </w:r>
      <w:r w:rsidR="00EB152A">
        <w:t xml:space="preserve"> </w:t>
      </w:r>
      <w:r w:rsidR="00713926">
        <w:t xml:space="preserve"> </w:t>
      </w:r>
      <w:r w:rsidR="00EB152A">
        <w:t xml:space="preserve">such that they were capable of distinguishing </w:t>
      </w:r>
      <w:proofErr w:type="spellStart"/>
      <w:r w:rsidR="00EB152A">
        <w:t>Swancom’s</w:t>
      </w:r>
      <w:proofErr w:type="spellEnd"/>
      <w:r w:rsidR="00EB152A">
        <w:t xml:space="preserve"> </w:t>
      </w:r>
      <w:r w:rsidR="00713926">
        <w:t xml:space="preserve">professional </w:t>
      </w:r>
      <w:r w:rsidR="00EB152A">
        <w:t xml:space="preserve">live music services, </w:t>
      </w:r>
      <w:r w:rsidR="00B2780D">
        <w:t>the primary judge, when assessing the question of deceptive similarity, should have credited this</w:t>
      </w:r>
      <w:r>
        <w:t xml:space="preserve"> </w:t>
      </w:r>
      <w:r w:rsidR="00EB152A">
        <w:t>acquired d</w:t>
      </w:r>
      <w:r w:rsidR="007A7C3F">
        <w:t xml:space="preserve">istinctive meaning </w:t>
      </w:r>
      <w:r w:rsidR="00EB152A">
        <w:t>to the ordinary members of the public who encounter</w:t>
      </w:r>
      <w:r w:rsidR="00914849">
        <w:t xml:space="preserve"> the relevant Jazz Hotel marks. </w:t>
      </w:r>
    </w:p>
    <w:p w14:paraId="5E6DDFA1" w14:textId="77777777" w:rsidR="00EB152A" w:rsidRPr="00914849" w:rsidRDefault="004879C8" w:rsidP="00914849">
      <w:pPr>
        <w:pStyle w:val="ParaNumbering"/>
      </w:pPr>
      <w:proofErr w:type="spellStart"/>
      <w:r w:rsidRPr="00914849">
        <w:t>Swancom</w:t>
      </w:r>
      <w:proofErr w:type="spellEnd"/>
      <w:r w:rsidRPr="00914849">
        <w:t xml:space="preserve"> </w:t>
      </w:r>
      <w:r w:rsidR="00B2780D" w:rsidRPr="00914849">
        <w:t xml:space="preserve">submits </w:t>
      </w:r>
      <w:r w:rsidR="00EB152A" w:rsidRPr="00914849">
        <w:t>that attributing the acquired distinctive mea</w:t>
      </w:r>
      <w:r w:rsidR="009548FC" w:rsidRPr="00914849">
        <w:t xml:space="preserve">ning to the </w:t>
      </w:r>
      <w:proofErr w:type="spellStart"/>
      <w:r w:rsidR="00ED41A5" w:rsidRPr="00914849">
        <w:t>Swancom</w:t>
      </w:r>
      <w:proofErr w:type="spellEnd"/>
      <w:r w:rsidR="009548FC" w:rsidRPr="00914849">
        <w:t xml:space="preserve"> marks </w:t>
      </w:r>
      <w:r w:rsidR="00B2780D" w:rsidRPr="00914849">
        <w:t xml:space="preserve">was </w:t>
      </w:r>
      <w:r w:rsidR="00EB152A" w:rsidRPr="00914849">
        <w:t xml:space="preserve">necessary to “give full and proper effect to the exclusive proprietary rights duly granted to </w:t>
      </w:r>
      <w:proofErr w:type="spellStart"/>
      <w:r w:rsidR="00EB152A" w:rsidRPr="00914849">
        <w:t>Swancom</w:t>
      </w:r>
      <w:proofErr w:type="spellEnd"/>
      <w:r w:rsidR="00EB152A" w:rsidRPr="00914849">
        <w:t xml:space="preserve"> under </w:t>
      </w:r>
      <w:proofErr w:type="spellStart"/>
      <w:r w:rsidR="00EB152A" w:rsidRPr="00914849">
        <w:t>ss</w:t>
      </w:r>
      <w:proofErr w:type="spellEnd"/>
      <w:r w:rsidR="00EB152A" w:rsidRPr="00914849">
        <w:t xml:space="preserve"> 20, 21, 41 and 120(1)” of the Act</w:t>
      </w:r>
      <w:r w:rsidR="001130B9" w:rsidRPr="00914849">
        <w:t>.</w:t>
      </w:r>
      <w:r w:rsidR="00EB152A" w:rsidRPr="00914849">
        <w:t xml:space="preserve"> </w:t>
      </w:r>
      <w:r w:rsidR="001130B9" w:rsidRPr="00914849">
        <w:t xml:space="preserve">This includes </w:t>
      </w:r>
      <w:r w:rsidR="00EB152A" w:rsidRPr="00914849">
        <w:t xml:space="preserve">the right to </w:t>
      </w:r>
      <w:r w:rsidR="001E0595" w:rsidRPr="00914849">
        <w:t>restrain others from using</w:t>
      </w:r>
      <w:r w:rsidR="00EB152A" w:rsidRPr="00914849">
        <w:t xml:space="preserve"> marks which</w:t>
      </w:r>
      <w:r w:rsidR="00EB152A">
        <w:t xml:space="preserve"> are deceptively similar to the registered marks. </w:t>
      </w:r>
    </w:p>
    <w:p w14:paraId="382918D4" w14:textId="77777777" w:rsidR="00EB152A" w:rsidRDefault="00EB152A" w:rsidP="00C43E81">
      <w:pPr>
        <w:pStyle w:val="ParaNumbering"/>
      </w:pPr>
      <w:proofErr w:type="spellStart"/>
      <w:r>
        <w:t>Swancom</w:t>
      </w:r>
      <w:proofErr w:type="spellEnd"/>
      <w:r>
        <w:t xml:space="preserve"> </w:t>
      </w:r>
      <w:r w:rsidR="00B2780D">
        <w:t xml:space="preserve">submits </w:t>
      </w:r>
      <w:r>
        <w:t>that a hypothetical consumer</w:t>
      </w:r>
      <w:r w:rsidR="003D1436">
        <w:t>,</w:t>
      </w:r>
      <w:r>
        <w:t xml:space="preserve"> credited with knowledge </w:t>
      </w:r>
      <w:r w:rsidR="00C43E81">
        <w:t>of the acquired distinctive meaning</w:t>
      </w:r>
      <w:r w:rsidR="004879C8">
        <w:t xml:space="preserve"> of CORNER HOTEL</w:t>
      </w:r>
      <w:r>
        <w:t xml:space="preserve"> </w:t>
      </w:r>
      <w:r w:rsidR="004879C8">
        <w:t xml:space="preserve">in respect of </w:t>
      </w:r>
      <w:r>
        <w:t>live music services</w:t>
      </w:r>
      <w:r w:rsidR="003D1436">
        <w:t>,</w:t>
      </w:r>
      <w:r>
        <w:t xml:space="preserve"> would be caused to wonder whether </w:t>
      </w:r>
      <w:r w:rsidR="004879C8">
        <w:t xml:space="preserve">those services, provided under the </w:t>
      </w:r>
      <w:r w:rsidR="003D1436">
        <w:t>Jazz Corner Hotel marks</w:t>
      </w:r>
      <w:r w:rsidR="004879C8">
        <w:t>,</w:t>
      </w:r>
      <w:r>
        <w:t xml:space="preserve"> might be </w:t>
      </w:r>
      <w:r w:rsidR="004879C8">
        <w:t xml:space="preserve">from </w:t>
      </w:r>
      <w:r>
        <w:t>a sister venue of the Cor</w:t>
      </w:r>
      <w:r w:rsidR="00984991">
        <w:t>ner H</w:t>
      </w:r>
      <w:r w:rsidR="00C43E81">
        <w:t>otel with a focus on jazz.</w:t>
      </w:r>
      <w:r w:rsidR="004B2264">
        <w:t xml:space="preserve"> </w:t>
      </w:r>
    </w:p>
    <w:p w14:paraId="1BAA41BA" w14:textId="77777777" w:rsidR="004B2264" w:rsidRDefault="004B2264" w:rsidP="004B2264">
      <w:pPr>
        <w:pStyle w:val="ParaNumbering"/>
      </w:pPr>
      <w:r w:rsidRPr="00914849">
        <w:t xml:space="preserve">We note that </w:t>
      </w:r>
      <w:proofErr w:type="spellStart"/>
      <w:r w:rsidRPr="00914849">
        <w:t>Swancom’s</w:t>
      </w:r>
      <w:proofErr w:type="spellEnd"/>
      <w:r w:rsidRPr="00914849">
        <w:t xml:space="preserve"> senior counsel confirmed that, for the purposes of its appeal, </w:t>
      </w:r>
      <w:proofErr w:type="spellStart"/>
      <w:r w:rsidRPr="00914849">
        <w:t>Swancom</w:t>
      </w:r>
      <w:proofErr w:type="spellEnd"/>
      <w:r w:rsidRPr="00914849">
        <w:t xml:space="preserve"> was not contending that the </w:t>
      </w:r>
      <w:proofErr w:type="spellStart"/>
      <w:r w:rsidRPr="00914849">
        <w:t>Swancom</w:t>
      </w:r>
      <w:proofErr w:type="spellEnd"/>
      <w:r w:rsidRPr="00914849">
        <w:t xml:space="preserve"> marks were notoriously ubiquitous.</w:t>
      </w:r>
    </w:p>
    <w:p w14:paraId="6DA845B3" w14:textId="70046869" w:rsidR="00796CD7" w:rsidRDefault="00796CD7" w:rsidP="00C43E81">
      <w:pPr>
        <w:pStyle w:val="ParaNumbering"/>
      </w:pPr>
      <w:proofErr w:type="spellStart"/>
      <w:r>
        <w:t>Swancom</w:t>
      </w:r>
      <w:proofErr w:type="spellEnd"/>
      <w:r>
        <w:t xml:space="preserve"> </w:t>
      </w:r>
      <w:r w:rsidR="003D1436">
        <w:t xml:space="preserve">submits </w:t>
      </w:r>
      <w:r>
        <w:t>that</w:t>
      </w:r>
      <w:r w:rsidR="003D1436">
        <w:t xml:space="preserve">, </w:t>
      </w:r>
      <w:r w:rsidR="0028029E">
        <w:t xml:space="preserve">in undertaking his </w:t>
      </w:r>
      <w:r w:rsidR="006646B6">
        <w:t xml:space="preserve">assessment on whether the Jazz Corner marks were deceptively similar to the </w:t>
      </w:r>
      <w:proofErr w:type="spellStart"/>
      <w:r w:rsidR="006646B6">
        <w:t>Swancom</w:t>
      </w:r>
      <w:proofErr w:type="spellEnd"/>
      <w:r w:rsidR="006646B6">
        <w:t xml:space="preserve"> marks</w:t>
      </w:r>
      <w:r w:rsidR="003D1436">
        <w:t>,</w:t>
      </w:r>
      <w:r>
        <w:t xml:space="preserve"> the primary judge </w:t>
      </w:r>
      <w:r w:rsidR="0028029E">
        <w:t xml:space="preserve">wrongly discounted the effect of the words “corner hotel” and “corner” by failing </w:t>
      </w:r>
      <w:r>
        <w:t>to take into account the fact that there was no other live music venue trading under the names THE CORNER or CORNER HOTEL</w:t>
      </w:r>
      <w:r w:rsidR="0028029E">
        <w:t xml:space="preserve"> and by distracting himself by focussing on the perception of consumers of hotel and hospitality services, when the infringement claim related to use in relation to services in respect of which the </w:t>
      </w:r>
      <w:proofErr w:type="spellStart"/>
      <w:r w:rsidR="0028029E">
        <w:t>Swancom</w:t>
      </w:r>
      <w:proofErr w:type="spellEnd"/>
      <w:r w:rsidR="0028029E">
        <w:t xml:space="preserve"> marks were registered: live music services</w:t>
      </w:r>
      <w:r>
        <w:t>.</w:t>
      </w:r>
    </w:p>
    <w:p w14:paraId="6B86C8A7" w14:textId="77777777" w:rsidR="00EC68AB" w:rsidRDefault="00EC68AB" w:rsidP="00C43E81">
      <w:pPr>
        <w:pStyle w:val="ParaNumbering"/>
      </w:pPr>
      <w:proofErr w:type="spellStart"/>
      <w:r>
        <w:t>Swancom</w:t>
      </w:r>
      <w:proofErr w:type="spellEnd"/>
      <w:r>
        <w:t xml:space="preserve"> submits that these asserted errors “infected” the primary judge’s analysis of the word “jazz” in the impugned marks</w:t>
      </w:r>
      <w:r w:rsidR="00C9312F">
        <w:t xml:space="preserve"> which, </w:t>
      </w:r>
      <w:proofErr w:type="spellStart"/>
      <w:r w:rsidR="00C9312F">
        <w:t>Swancom</w:t>
      </w:r>
      <w:proofErr w:type="spellEnd"/>
      <w:r w:rsidR="00C9312F">
        <w:t xml:space="preserve"> submits, is “utterly descriptive”.  </w:t>
      </w:r>
      <w:proofErr w:type="spellStart"/>
      <w:r w:rsidR="00C9312F">
        <w:t>Swancom</w:t>
      </w:r>
      <w:proofErr w:type="spellEnd"/>
      <w:r w:rsidR="00C9312F">
        <w:t xml:space="preserve"> submits that the primary judge failed to consider that the Jazz Corner Hotel marks incorporate the whole of the distinctive mark CORNER HOTEL.  </w:t>
      </w:r>
      <w:proofErr w:type="spellStart"/>
      <w:r w:rsidR="00C9312F">
        <w:t>Swancom</w:t>
      </w:r>
      <w:proofErr w:type="spellEnd"/>
      <w:r w:rsidR="00C9312F">
        <w:t xml:space="preserve"> also submits that the primary </w:t>
      </w:r>
      <w:r w:rsidR="00C9312F">
        <w:lastRenderedPageBreak/>
        <w:t>judge gave inappropriate weight to the consideration that consumers of live music services can be expected to be discerning with their choices.</w:t>
      </w:r>
    </w:p>
    <w:p w14:paraId="2CCCACC6" w14:textId="77777777" w:rsidR="00713926" w:rsidRDefault="0028029E" w:rsidP="009625EE">
      <w:pPr>
        <w:pStyle w:val="Heading2"/>
      </w:pPr>
      <w:r>
        <w:t>The respondents’</w:t>
      </w:r>
      <w:r w:rsidRPr="00FE4E1E">
        <w:t xml:space="preserve"> </w:t>
      </w:r>
      <w:r w:rsidR="00EB152A" w:rsidRPr="00FE4E1E">
        <w:t>submissions</w:t>
      </w:r>
      <w:r w:rsidR="00FC19D0">
        <w:t xml:space="preserve">: </w:t>
      </w:r>
      <w:r>
        <w:t xml:space="preserve"> Grounds 1 to 4</w:t>
      </w:r>
      <w:r w:rsidR="00EB152A">
        <w:t xml:space="preserve"> </w:t>
      </w:r>
    </w:p>
    <w:p w14:paraId="430CF661" w14:textId="77777777" w:rsidR="00900E5B" w:rsidRDefault="0028029E" w:rsidP="00713926">
      <w:pPr>
        <w:pStyle w:val="ParaNumbering"/>
      </w:pPr>
      <w:r>
        <w:t xml:space="preserve">From this point, we will refer to JCHPL and BBPL as the </w:t>
      </w:r>
      <w:r w:rsidRPr="00753E3D">
        <w:rPr>
          <w:b/>
        </w:rPr>
        <w:t>respondents</w:t>
      </w:r>
      <w:r>
        <w:t xml:space="preserve"> (noting that</w:t>
      </w:r>
      <w:r w:rsidR="00900E5B">
        <w:t xml:space="preserve"> STPL is not a party in the first appeal).</w:t>
      </w:r>
    </w:p>
    <w:p w14:paraId="6354C7E5" w14:textId="77777777" w:rsidR="00EB152A" w:rsidRDefault="004B2264" w:rsidP="00713926">
      <w:pPr>
        <w:pStyle w:val="ParaNumbering"/>
      </w:pPr>
      <w:r>
        <w:t>The respondents</w:t>
      </w:r>
      <w:r w:rsidR="00C43E81">
        <w:t xml:space="preserve"> </w:t>
      </w:r>
      <w:r>
        <w:t>submit</w:t>
      </w:r>
      <w:r w:rsidR="00C9312F">
        <w:t xml:space="preserve"> </w:t>
      </w:r>
      <w:r w:rsidR="00C43E81">
        <w:t>that</w:t>
      </w:r>
      <w:r w:rsidR="00DB65BD">
        <w:t xml:space="preserve"> the</w:t>
      </w:r>
      <w:r w:rsidR="00EB152A">
        <w:t xml:space="preserve"> principles for assessing deceptive similarity set o</w:t>
      </w:r>
      <w:r w:rsidR="00C43E81">
        <w:t xml:space="preserve">ut by the primary judge </w:t>
      </w:r>
      <w:r w:rsidR="00EB152A">
        <w:t>accord with the correct approach</w:t>
      </w:r>
      <w:r w:rsidR="00C9312F">
        <w:t xml:space="preserve"> when undertaking trade mark comparison for the purpose of determining infringement</w:t>
      </w:r>
      <w:r w:rsidR="00EB152A">
        <w:t>.</w:t>
      </w:r>
    </w:p>
    <w:p w14:paraId="4685822B" w14:textId="77777777" w:rsidR="00EB152A" w:rsidRDefault="00C9312F" w:rsidP="00EB152A">
      <w:pPr>
        <w:pStyle w:val="ParaNumbering"/>
      </w:pPr>
      <w:r>
        <w:t>T</w:t>
      </w:r>
      <w:r w:rsidR="000F7169">
        <w:t>he respondents submit</w:t>
      </w:r>
      <w:r>
        <w:t xml:space="preserve"> that, in </w:t>
      </w:r>
      <w:r w:rsidR="00EB152A">
        <w:t>assessing the likelihood of deception or confusion for the purposes of infringement, the Court is to consider the marks at issue in the relevant trade or business, the way the particular services are</w:t>
      </w:r>
      <w:r w:rsidR="004879C8">
        <w:t xml:space="preserve"> supplied</w:t>
      </w:r>
      <w:r>
        <w:t>,</w:t>
      </w:r>
      <w:r w:rsidR="004879C8">
        <w:t xml:space="preserve"> </w:t>
      </w:r>
      <w:r w:rsidR="00EB152A">
        <w:t>a</w:t>
      </w:r>
      <w:r w:rsidR="00C43E81">
        <w:t>nd the character of the probable</w:t>
      </w:r>
      <w:r w:rsidR="00EB152A">
        <w:t xml:space="preserve"> acquirers of the services. </w:t>
      </w:r>
      <w:r>
        <w:t xml:space="preserve">The respondents submit that this </w:t>
      </w:r>
      <w:r w:rsidR="00EB152A">
        <w:t xml:space="preserve">was not a case where the marks related to services supplied only to a specialised market. </w:t>
      </w:r>
      <w:r>
        <w:t>They submit</w:t>
      </w:r>
      <w:r w:rsidR="00EB152A">
        <w:t xml:space="preserve"> that the primary judge correctly considered the character of the marks, and the primary and colloquial meanings of “corner hotel” and “hotel” </w:t>
      </w:r>
      <w:r>
        <w:t xml:space="preserve">for </w:t>
      </w:r>
      <w:r w:rsidR="00EB152A">
        <w:t xml:space="preserve">the ordinary person whose reaction was in question. </w:t>
      </w:r>
    </w:p>
    <w:p w14:paraId="0ADF8DA2" w14:textId="77777777" w:rsidR="00EB152A" w:rsidRDefault="00C9312F" w:rsidP="00EB152A">
      <w:pPr>
        <w:pStyle w:val="ParaNumbering"/>
      </w:pPr>
      <w:r>
        <w:t xml:space="preserve">The respondents submit that, in </w:t>
      </w:r>
      <w:r w:rsidR="00EB152A">
        <w:t xml:space="preserve">circumstances where it was conceded by </w:t>
      </w:r>
      <w:proofErr w:type="spellStart"/>
      <w:r w:rsidR="00EB152A">
        <w:t>Swancom</w:t>
      </w:r>
      <w:proofErr w:type="spellEnd"/>
      <w:r w:rsidR="00EB152A">
        <w:t xml:space="preserve"> that the </w:t>
      </w:r>
      <w:proofErr w:type="spellStart"/>
      <w:r w:rsidR="00EB152A">
        <w:t>Swancom</w:t>
      </w:r>
      <w:proofErr w:type="spellEnd"/>
      <w:r w:rsidR="00EB152A">
        <w:t xml:space="preserve"> marks </w:t>
      </w:r>
      <w:r>
        <w:t xml:space="preserve">do </w:t>
      </w:r>
      <w:r w:rsidR="00EB152A">
        <w:t>not have a reputation at the “level of notoriety w</w:t>
      </w:r>
      <w:r w:rsidR="00C43E81">
        <w:t>h</w:t>
      </w:r>
      <w:r w:rsidR="00EB152A">
        <w:t xml:space="preserve">ere it becomes relevant to the statutory task”, it is well established that the reputation of the </w:t>
      </w:r>
      <w:r w:rsidR="004B2264">
        <w:t xml:space="preserve">allegedly infringed </w:t>
      </w:r>
      <w:r w:rsidR="00EB152A">
        <w:t>mark is irrel</w:t>
      </w:r>
      <w:r w:rsidR="004248E2">
        <w:t xml:space="preserve">evant to the statutory enquiry. </w:t>
      </w:r>
    </w:p>
    <w:p w14:paraId="3D492371" w14:textId="77777777" w:rsidR="008E523E" w:rsidRDefault="001039D5" w:rsidP="004A260E">
      <w:pPr>
        <w:pStyle w:val="ParaNumbering"/>
      </w:pPr>
      <w:r>
        <w:t>The respondents submit</w:t>
      </w:r>
      <w:r w:rsidR="00EB152A">
        <w:t xml:space="preserve"> that </w:t>
      </w:r>
      <w:proofErr w:type="spellStart"/>
      <w:r w:rsidR="00EB152A">
        <w:t>Swancom’s</w:t>
      </w:r>
      <w:proofErr w:type="spellEnd"/>
      <w:r w:rsidR="00EB152A">
        <w:t xml:space="preserve"> approach </w:t>
      </w:r>
      <w:r>
        <w:t xml:space="preserve">seeks </w:t>
      </w:r>
      <w:r w:rsidR="00EB152A">
        <w:t xml:space="preserve">to eliminate the common experience of the meaning of words. </w:t>
      </w:r>
      <w:r>
        <w:t xml:space="preserve">The respondents submit that, </w:t>
      </w:r>
      <w:r w:rsidR="00A27AE5">
        <w:t>when determining trade mark infringement</w:t>
      </w:r>
      <w:r>
        <w:t>, it is</w:t>
      </w:r>
      <w:r w:rsidR="00EB152A">
        <w:t xml:space="preserve"> not appropriate to go back to the initial question posed by s</w:t>
      </w:r>
      <w:r w:rsidR="00405F66">
        <w:t xml:space="preserve"> </w:t>
      </w:r>
      <w:r w:rsidR="00EB152A">
        <w:t xml:space="preserve">41 of the Act </w:t>
      </w:r>
      <w:r w:rsidR="00405F66">
        <w:t xml:space="preserve">to consider </w:t>
      </w:r>
      <w:r w:rsidR="00EB152A">
        <w:t xml:space="preserve">the effect of </w:t>
      </w:r>
      <w:proofErr w:type="spellStart"/>
      <w:r w:rsidR="00EB152A">
        <w:t>Swancom’s</w:t>
      </w:r>
      <w:proofErr w:type="spellEnd"/>
      <w:r w:rsidR="00EB152A">
        <w:t xml:space="preserve"> actual use of the marks prior to filing. </w:t>
      </w:r>
      <w:r w:rsidR="00A27AE5">
        <w:t xml:space="preserve">  </w:t>
      </w:r>
      <w:r w:rsidR="000F7169">
        <w:t>The</w:t>
      </w:r>
      <w:r w:rsidR="00661823">
        <w:t xml:space="preserve"> issue under s </w:t>
      </w:r>
      <w:r w:rsidR="00A27AE5">
        <w:t xml:space="preserve">120(1) </w:t>
      </w:r>
      <w:r w:rsidR="00FD650F">
        <w:t xml:space="preserve">that is </w:t>
      </w:r>
      <w:r w:rsidR="00A27AE5">
        <w:t>relevant to the present appeal is not whether the alleged infringer’s conduct is deceptive or confusing, but whether the alleged infringer’s trade mark is deceptively similar</w:t>
      </w:r>
      <w:r w:rsidR="00FD650F">
        <w:t xml:space="preserve">.  </w:t>
      </w:r>
      <w:r w:rsidR="000F7169">
        <w:t>The</w:t>
      </w:r>
      <w:r w:rsidR="00FD650F">
        <w:t xml:space="preserve"> circumstances of </w:t>
      </w:r>
      <w:proofErr w:type="spellStart"/>
      <w:r w:rsidR="00FD650F">
        <w:t>Swancom’s</w:t>
      </w:r>
      <w:proofErr w:type="spellEnd"/>
      <w:r w:rsidR="00FD650F">
        <w:t xml:space="preserve"> </w:t>
      </w:r>
      <w:r w:rsidR="00877AF1">
        <w:t xml:space="preserve">actual </w:t>
      </w:r>
      <w:r w:rsidR="00FD650F">
        <w:t xml:space="preserve">use of the </w:t>
      </w:r>
      <w:proofErr w:type="spellStart"/>
      <w:r w:rsidR="00FD650F">
        <w:t>Swancom</w:t>
      </w:r>
      <w:proofErr w:type="spellEnd"/>
      <w:r w:rsidR="00FD650F">
        <w:t xml:space="preserve"> marks pre-filing</w:t>
      </w:r>
      <w:r w:rsidR="000F7169">
        <w:t>, in order to satisfy</w:t>
      </w:r>
      <w:r w:rsidR="00B94CEC">
        <w:t xml:space="preserve"> the requirement of</w:t>
      </w:r>
      <w:r w:rsidR="000F7169">
        <w:t xml:space="preserve"> s 41</w:t>
      </w:r>
      <w:r w:rsidR="00B94CEC">
        <w:t>,</w:t>
      </w:r>
      <w:r w:rsidR="00FD650F">
        <w:t xml:space="preserve"> is irrelevant</w:t>
      </w:r>
      <w:r w:rsidR="00405F66">
        <w:t>:</w:t>
      </w:r>
      <w:r w:rsidR="00EB152A">
        <w:t xml:space="preserve"> </w:t>
      </w:r>
      <w:r w:rsidR="00ED382D" w:rsidRPr="0042785A">
        <w:rPr>
          <w:b/>
          <w:i/>
        </w:rPr>
        <w:t>PDP Capital</w:t>
      </w:r>
      <w:r w:rsidR="00ED382D" w:rsidRPr="0042785A">
        <w:rPr>
          <w:i/>
        </w:rPr>
        <w:t xml:space="preserve"> Pty Ltd v Grasshopper Ventures Pty Ltd </w:t>
      </w:r>
      <w:r w:rsidR="00ED382D" w:rsidRPr="0042785A">
        <w:t>(2021) 160 IPR 174</w:t>
      </w:r>
      <w:r w:rsidR="00ED382D">
        <w:t xml:space="preserve"> </w:t>
      </w:r>
      <w:r w:rsidR="00EB152A">
        <w:t>at [111] per</w:t>
      </w:r>
      <w:r w:rsidR="00C43E81">
        <w:t xml:space="preserve"> Jagot, Nicholas and Burley JJ.</w:t>
      </w:r>
    </w:p>
    <w:p w14:paraId="39E18A9B" w14:textId="77777777" w:rsidR="00230EA5" w:rsidRPr="008F0153" w:rsidRDefault="003E78CE" w:rsidP="00C8499D">
      <w:pPr>
        <w:pStyle w:val="Heading2"/>
      </w:pPr>
      <w:r>
        <w:lastRenderedPageBreak/>
        <w:t>Co</w:t>
      </w:r>
      <w:r w:rsidR="00007B83">
        <w:t>nsideration</w:t>
      </w:r>
      <w:r w:rsidR="00FC19D0">
        <w:t>:  Grounds 1 to 4</w:t>
      </w:r>
    </w:p>
    <w:p w14:paraId="1C8F2D02" w14:textId="77777777" w:rsidR="001369B7" w:rsidRDefault="009B7503" w:rsidP="00C8499D">
      <w:pPr>
        <w:pStyle w:val="ParaNumbering"/>
      </w:pPr>
      <w:r>
        <w:t xml:space="preserve">As Branson J observed in </w:t>
      </w:r>
      <w:r w:rsidRPr="0042785A">
        <w:rPr>
          <w:b/>
          <w:i/>
        </w:rPr>
        <w:t>Blount</w:t>
      </w:r>
      <w:r w:rsidR="003F3024" w:rsidRPr="0042785A">
        <w:rPr>
          <w:i/>
        </w:rPr>
        <w:t xml:space="preserve"> v Registrar of Trade Marks</w:t>
      </w:r>
      <w:r w:rsidR="003F3024" w:rsidRPr="0042785A">
        <w:t xml:space="preserve"> (1998) 83 FCR 50</w:t>
      </w:r>
      <w:r>
        <w:t xml:space="preserve"> at 55, crucial to the concept of a trade mark is its capacity to distinguish the goods or services of one person from the goods or services of another. </w:t>
      </w:r>
    </w:p>
    <w:p w14:paraId="3BBE7141" w14:textId="3173FB51" w:rsidR="009B7503" w:rsidRDefault="009B7503" w:rsidP="008F0153">
      <w:pPr>
        <w:pStyle w:val="ParaNumbering"/>
      </w:pPr>
      <w:r>
        <w:t xml:space="preserve">In </w:t>
      </w:r>
      <w:r w:rsidR="00810D09">
        <w:t>that case, her Honour</w:t>
      </w:r>
      <w:r>
        <w:t xml:space="preserve"> rehearsed the hi</w:t>
      </w:r>
      <w:r w:rsidR="0030171B">
        <w:t xml:space="preserve">story of the </w:t>
      </w:r>
      <w:r w:rsidR="00810D09">
        <w:t xml:space="preserve">legislative </w:t>
      </w:r>
      <w:r w:rsidR="0030171B">
        <w:t>amendment</w:t>
      </w:r>
      <w:r w:rsidR="00810D09">
        <w:t>s</w:t>
      </w:r>
      <w:r w:rsidR="0030171B">
        <w:t xml:space="preserve"> </w:t>
      </w:r>
      <w:r w:rsidR="00810D09">
        <w:t>that allowed</w:t>
      </w:r>
      <w:r>
        <w:t xml:space="preserve"> registration of marks that were only capable of distinguishing on the basis of the </w:t>
      </w:r>
      <w:r w:rsidR="005C0C9B">
        <w:t xml:space="preserve">prior </w:t>
      </w:r>
      <w:r>
        <w:t xml:space="preserve">use of the mark. Under the </w:t>
      </w:r>
      <w:r w:rsidRPr="0042785A">
        <w:rPr>
          <w:i/>
        </w:rPr>
        <w:t>Trade Marks Act</w:t>
      </w:r>
      <w:r w:rsidR="00B42FA4" w:rsidRPr="0042785A">
        <w:rPr>
          <w:i/>
        </w:rPr>
        <w:t xml:space="preserve"> 1955</w:t>
      </w:r>
      <w:r w:rsidR="00810D09" w:rsidRPr="0042785A">
        <w:rPr>
          <w:i/>
        </w:rPr>
        <w:t xml:space="preserve"> </w:t>
      </w:r>
      <w:r w:rsidR="00810D09" w:rsidRPr="0042785A">
        <w:t>(</w:t>
      </w:r>
      <w:proofErr w:type="spellStart"/>
      <w:r w:rsidR="00810D09" w:rsidRPr="0042785A">
        <w:t>Cth</w:t>
      </w:r>
      <w:proofErr w:type="spellEnd"/>
      <w:r w:rsidR="00810D09" w:rsidRPr="0042785A">
        <w:t>)</w:t>
      </w:r>
      <w:r w:rsidR="00B42FA4">
        <w:rPr>
          <w:i/>
        </w:rPr>
        <w:t>,</w:t>
      </w:r>
      <w:r w:rsidR="00B42FA4">
        <w:t xml:space="preserve"> </w:t>
      </w:r>
      <w:r>
        <w:t>it was established that certain marks could never be regarded as entitled to registration even though they were, as a matter of fact, plainly distin</w:t>
      </w:r>
      <w:r w:rsidR="00C7089B">
        <w:t xml:space="preserve">ctive of the </w:t>
      </w:r>
      <w:r w:rsidR="007D68E4">
        <w:t xml:space="preserve">trade mark </w:t>
      </w:r>
      <w:r w:rsidR="00C7089B">
        <w:t>applicant’s goods</w:t>
      </w:r>
      <w:r>
        <w:t>.</w:t>
      </w:r>
      <w:r w:rsidR="0030171B">
        <w:t xml:space="preserve"> Marks falling in that category were typically geographical names and laudatory or descriptive te</w:t>
      </w:r>
      <w:r w:rsidR="001D2962">
        <w:t>rms</w:t>
      </w:r>
      <w:r w:rsidR="00CD21BD">
        <w:t xml:space="preserve">. </w:t>
      </w:r>
      <w:r w:rsidR="00FC2E1D">
        <w:t>Things changed with the</w:t>
      </w:r>
      <w:r w:rsidR="008134CE">
        <w:t xml:space="preserve"> enactment of the present Act. </w:t>
      </w:r>
      <w:r w:rsidR="00CD21BD">
        <w:t xml:space="preserve">Section 41(6) was introduced to allow </w:t>
      </w:r>
      <w:r w:rsidR="00FC2E1D">
        <w:t xml:space="preserve">for </w:t>
      </w:r>
      <w:r w:rsidR="00CD21BD">
        <w:t xml:space="preserve">the </w:t>
      </w:r>
      <w:r w:rsidR="003A1530">
        <w:t>registration</w:t>
      </w:r>
      <w:r w:rsidR="00CD21BD">
        <w:t xml:space="preserve"> of such marks in certain circumstances.</w:t>
      </w:r>
    </w:p>
    <w:p w14:paraId="140BA80D" w14:textId="77777777" w:rsidR="0030171B" w:rsidRDefault="000B4FE0" w:rsidP="008F0153">
      <w:pPr>
        <w:pStyle w:val="ParaNumbering"/>
      </w:pPr>
      <w:r>
        <w:t>In</w:t>
      </w:r>
      <w:r w:rsidR="007763A3">
        <w:t xml:space="preserve"> </w:t>
      </w:r>
      <w:r w:rsidR="007763A3" w:rsidRPr="007763A3">
        <w:rPr>
          <w:i/>
        </w:rPr>
        <w:t>Blount</w:t>
      </w:r>
      <w:r>
        <w:rPr>
          <w:i/>
        </w:rPr>
        <w:t xml:space="preserve"> </w:t>
      </w:r>
      <w:r>
        <w:t>at 61</w:t>
      </w:r>
      <w:r w:rsidR="0030171B">
        <w:t>, Branson J observed:</w:t>
      </w:r>
    </w:p>
    <w:p w14:paraId="1E3AC19B" w14:textId="5CBEDE09" w:rsidR="0030171B" w:rsidRDefault="00661823" w:rsidP="00661823">
      <w:pPr>
        <w:pStyle w:val="Quote1"/>
        <w:tabs>
          <w:tab w:val="left" w:pos="1418"/>
        </w:tabs>
        <w:ind w:left="1418" w:hanging="681"/>
      </w:pPr>
      <w:r>
        <w:t>61</w:t>
      </w:r>
      <w:r>
        <w:tab/>
      </w:r>
      <w:r w:rsidR="0030171B">
        <w:t xml:space="preserve">The concept of adaption to distinguish, which was, as </w:t>
      </w:r>
      <w:proofErr w:type="spellStart"/>
      <w:r w:rsidR="0030171B">
        <w:t>Gummow</w:t>
      </w:r>
      <w:proofErr w:type="spellEnd"/>
      <w:r w:rsidR="0030171B">
        <w:t xml:space="preserve"> J pointed out in the </w:t>
      </w:r>
      <w:r w:rsidR="0030171B" w:rsidRPr="000B4FE0">
        <w:rPr>
          <w:i/>
        </w:rPr>
        <w:t>Oxford University Press</w:t>
      </w:r>
      <w:r w:rsidR="0030171B">
        <w:t xml:space="preserve"> case, central to s 26 of the 1955 Act, is not reflected in s 41 of the Act. Section 41 is concerned with capacity to distinguish. As s 41(6)(a) makes plain, a trade mark which is not to any extent inherently adapted to distinguish may nonetheless be treated under the Act as capable of distinguishing if, by reason of past use, it does in fact distinguish. The Act appears plainly to disclose an intention that it should no longer be the case that a trade mark which is </w:t>
      </w:r>
      <w:r w:rsidR="00DE4162">
        <w:t>“</w:t>
      </w:r>
      <w:r w:rsidR="0030171B">
        <w:t>100 per cent distinctive in fact</w:t>
      </w:r>
      <w:r w:rsidR="00DE4162">
        <w:t>”</w:t>
      </w:r>
      <w:r w:rsidR="0030171B">
        <w:t xml:space="preserve"> should not be able to achieve registration (as to the expression </w:t>
      </w:r>
      <w:r w:rsidR="00DE4162">
        <w:t>“</w:t>
      </w:r>
      <w:r w:rsidR="0030171B">
        <w:t>100 per cent distinctive in fact</w:t>
      </w:r>
      <w:r w:rsidR="00DE4162">
        <w:t>”</w:t>
      </w:r>
      <w:r w:rsidR="0030171B">
        <w:t xml:space="preserve"> see the Oxford University Press case per Lockhart J at 511 and </w:t>
      </w:r>
      <w:proofErr w:type="spellStart"/>
      <w:r w:rsidR="0030171B">
        <w:t>Gummow</w:t>
      </w:r>
      <w:proofErr w:type="spellEnd"/>
      <w:r w:rsidR="0030171B">
        <w:t xml:space="preserve"> J at 523). This conclusion is confirmed by recommendation 4B of the report of the Working Party: </w:t>
      </w:r>
    </w:p>
    <w:p w14:paraId="4F222AB4" w14:textId="77777777" w:rsidR="0030171B" w:rsidRDefault="0030171B" w:rsidP="00661823">
      <w:pPr>
        <w:pStyle w:val="Quote2"/>
        <w:tabs>
          <w:tab w:val="left" w:pos="1985"/>
        </w:tabs>
        <w:ind w:left="1985"/>
      </w:pPr>
      <w:r>
        <w:t>Inherent distinctiveness, or acquired distinctiveness or a combination of both, should establish that a mark is capable of distinguishing the specified goods or servi</w:t>
      </w:r>
      <w:r w:rsidR="000B4FE0">
        <w:t>ces, and justify registration.</w:t>
      </w:r>
    </w:p>
    <w:p w14:paraId="6CCD1B99" w14:textId="78F32ABF" w:rsidR="00A63AB1" w:rsidRPr="00661823" w:rsidRDefault="0030171B" w:rsidP="008F0153">
      <w:pPr>
        <w:pStyle w:val="ParaNumbering"/>
      </w:pPr>
      <w:r w:rsidRPr="00661823">
        <w:t>Thus</w:t>
      </w:r>
      <w:r w:rsidR="003469BB" w:rsidRPr="00661823">
        <w:t xml:space="preserve">, under </w:t>
      </w:r>
      <w:r w:rsidR="003A1530" w:rsidRPr="00661823">
        <w:t xml:space="preserve">the newly introduced </w:t>
      </w:r>
      <w:r w:rsidR="003469BB" w:rsidRPr="00661823">
        <w:t>s</w:t>
      </w:r>
      <w:r w:rsidR="00A70B5D" w:rsidRPr="00661823">
        <w:t xml:space="preserve"> </w:t>
      </w:r>
      <w:r w:rsidR="003469BB" w:rsidRPr="00661823">
        <w:t>41</w:t>
      </w:r>
      <w:r w:rsidR="00CD21BD" w:rsidRPr="00661823">
        <w:t>(6)</w:t>
      </w:r>
      <w:r w:rsidR="003469BB" w:rsidRPr="00661823">
        <w:t>,</w:t>
      </w:r>
      <w:r w:rsidRPr="00661823">
        <w:t xml:space="preserve"> a mark </w:t>
      </w:r>
      <w:r w:rsidR="003469BB" w:rsidRPr="00661823">
        <w:t>which had</w:t>
      </w:r>
      <w:r w:rsidR="007E2582" w:rsidRPr="00661823">
        <w:t xml:space="preserve"> no inherent </w:t>
      </w:r>
      <w:r w:rsidR="003B7846">
        <w:t>capacity</w:t>
      </w:r>
      <w:r w:rsidR="007E2582" w:rsidRPr="00661823">
        <w:t xml:space="preserve"> to distinguish, </w:t>
      </w:r>
      <w:r w:rsidR="00CD21BD" w:rsidRPr="00661823">
        <w:t>could</w:t>
      </w:r>
      <w:r w:rsidRPr="00661823">
        <w:t xml:space="preserve"> acquire distinctiveness </w:t>
      </w:r>
      <w:r w:rsidR="007E2582" w:rsidRPr="00661823">
        <w:t xml:space="preserve">in fact </w:t>
      </w:r>
      <w:r w:rsidRPr="00661823">
        <w:t>through the prior use of the mark</w:t>
      </w:r>
      <w:r w:rsidR="007E2582" w:rsidRPr="00661823">
        <w:t>,</w:t>
      </w:r>
      <w:r w:rsidRPr="00661823">
        <w:t xml:space="preserve"> sufficient to justify the registration of the mark</w:t>
      </w:r>
      <w:r w:rsidR="009B7503" w:rsidRPr="00661823">
        <w:t>.</w:t>
      </w:r>
      <w:r w:rsidR="007E2582" w:rsidRPr="00661823">
        <w:t xml:space="preserve"> </w:t>
      </w:r>
      <w:r w:rsidR="00A63AB1" w:rsidRPr="00661823">
        <w:t>N</w:t>
      </w:r>
      <w:r w:rsidR="00B54912" w:rsidRPr="00661823">
        <w:t xml:space="preserve">either party suggested that the </w:t>
      </w:r>
      <w:proofErr w:type="spellStart"/>
      <w:r w:rsidR="00B54912" w:rsidRPr="00661823">
        <w:t>registrability</w:t>
      </w:r>
      <w:proofErr w:type="spellEnd"/>
      <w:r w:rsidR="00B54912" w:rsidRPr="00661823">
        <w:t xml:space="preserve"> of such marks</w:t>
      </w:r>
      <w:r w:rsidR="00A63AB1" w:rsidRPr="00661823">
        <w:t xml:space="preserve"> was changed by the RTB amendments to s</w:t>
      </w:r>
      <w:r w:rsidR="002E420A" w:rsidRPr="00661823">
        <w:t xml:space="preserve"> </w:t>
      </w:r>
      <w:r w:rsidR="00A63AB1" w:rsidRPr="00661823">
        <w:t>41 of the Act.</w:t>
      </w:r>
      <w:r w:rsidR="00B54912" w:rsidRPr="00661823">
        <w:t xml:space="preserve"> Nothing </w:t>
      </w:r>
      <w:r w:rsidR="002E420A" w:rsidRPr="00661823">
        <w:t xml:space="preserve">in this </w:t>
      </w:r>
      <w:r w:rsidR="00B54912" w:rsidRPr="00661823">
        <w:t xml:space="preserve">appeal </w:t>
      </w:r>
      <w:r w:rsidR="002E420A" w:rsidRPr="00661823">
        <w:t xml:space="preserve">turns </w:t>
      </w:r>
      <w:r w:rsidR="00B54912" w:rsidRPr="00661823">
        <w:t xml:space="preserve">on the </w:t>
      </w:r>
      <w:r w:rsidR="002E420A" w:rsidRPr="00661823">
        <w:t xml:space="preserve">subsequent </w:t>
      </w:r>
      <w:r w:rsidR="00B54912" w:rsidRPr="00661823">
        <w:t xml:space="preserve">amendments </w:t>
      </w:r>
      <w:r w:rsidR="002E420A" w:rsidRPr="00661823">
        <w:t xml:space="preserve">that have been made to </w:t>
      </w:r>
      <w:r w:rsidR="00B54912" w:rsidRPr="00661823">
        <w:t>s</w:t>
      </w:r>
      <w:r w:rsidR="002E420A" w:rsidRPr="00661823">
        <w:t xml:space="preserve"> </w:t>
      </w:r>
      <w:r w:rsidR="00B54912" w:rsidRPr="00661823">
        <w:t>41</w:t>
      </w:r>
      <w:r w:rsidR="002E420A" w:rsidRPr="00661823">
        <w:t>. Further,</w:t>
      </w:r>
      <w:r w:rsidR="00B54912" w:rsidRPr="00661823">
        <w:t xml:space="preserve"> the </w:t>
      </w:r>
      <w:r w:rsidR="002E420A" w:rsidRPr="00661823">
        <w:t xml:space="preserve">parties’ </w:t>
      </w:r>
      <w:r w:rsidR="00B54912" w:rsidRPr="00661823">
        <w:t xml:space="preserve">submissions were directed to the acquired distinctiveness of the </w:t>
      </w:r>
      <w:proofErr w:type="spellStart"/>
      <w:r w:rsidR="00B54912" w:rsidRPr="00661823">
        <w:t>Swancom</w:t>
      </w:r>
      <w:proofErr w:type="spellEnd"/>
      <w:r w:rsidR="00B54912" w:rsidRPr="00661823">
        <w:t xml:space="preserve"> marks which enabled them to be registered, regardless of the form of s</w:t>
      </w:r>
      <w:r w:rsidR="002E420A" w:rsidRPr="00661823">
        <w:t xml:space="preserve"> </w:t>
      </w:r>
      <w:r w:rsidR="00B54912" w:rsidRPr="00661823">
        <w:t>41 pursuant to which they were registered.</w:t>
      </w:r>
    </w:p>
    <w:p w14:paraId="13A89F1E" w14:textId="77777777" w:rsidR="00BC6478" w:rsidRDefault="007E2582" w:rsidP="00F17422">
      <w:pPr>
        <w:pStyle w:val="ParaNumbering"/>
      </w:pPr>
      <w:r>
        <w:t xml:space="preserve">The process </w:t>
      </w:r>
      <w:r w:rsidR="002E420A">
        <w:t xml:space="preserve">by </w:t>
      </w:r>
      <w:r>
        <w:t xml:space="preserve">which a trade mark </w:t>
      </w:r>
      <w:r w:rsidR="003469BB">
        <w:t>is assessed to be registrable and achieves registration</w:t>
      </w:r>
      <w:r>
        <w:t xml:space="preserve">, including </w:t>
      </w:r>
      <w:r w:rsidR="003469BB">
        <w:t xml:space="preserve">an assessment of </w:t>
      </w:r>
      <w:r>
        <w:t xml:space="preserve">whether a trade mark falls foul of any of the grounds for rejecting </w:t>
      </w:r>
      <w:r w:rsidR="002E420A">
        <w:lastRenderedPageBreak/>
        <w:t xml:space="preserve">a trade mark </w:t>
      </w:r>
      <w:r>
        <w:t xml:space="preserve">application, is </w:t>
      </w:r>
      <w:r w:rsidR="00CD21BD">
        <w:t xml:space="preserve">a </w:t>
      </w:r>
      <w:r>
        <w:t xml:space="preserve">separate and distinct </w:t>
      </w:r>
      <w:r w:rsidR="00CD21BD">
        <w:t xml:space="preserve">exercise </w:t>
      </w:r>
      <w:r>
        <w:t xml:space="preserve">from </w:t>
      </w:r>
      <w:r w:rsidR="002E420A">
        <w:t>comparing marks</w:t>
      </w:r>
      <w:r w:rsidR="00AD07BB">
        <w:t xml:space="preserve"> </w:t>
      </w:r>
      <w:r w:rsidR="002E420A">
        <w:t>to determine</w:t>
      </w:r>
      <w:r>
        <w:t xml:space="preserve"> whether a registered trade mark is infringed pursuant to s</w:t>
      </w:r>
      <w:r w:rsidR="00BD3C00">
        <w:t xml:space="preserve"> </w:t>
      </w:r>
      <w:r>
        <w:t xml:space="preserve">120(1) of the Act. </w:t>
      </w:r>
    </w:p>
    <w:p w14:paraId="46ECEFFB" w14:textId="77777777" w:rsidR="00BC6478" w:rsidRDefault="00BC6478" w:rsidP="00BC6478">
      <w:pPr>
        <w:pStyle w:val="ParaNumbering"/>
      </w:pPr>
      <w:r>
        <w:t>Once registered, all marks are treated equally for consideration of whether they are infringed pursuant to s</w:t>
      </w:r>
      <w:r w:rsidR="00771217">
        <w:t xml:space="preserve"> </w:t>
      </w:r>
      <w:r>
        <w:t>120(1) of the Act, irrespective of how they came to be registered.</w:t>
      </w:r>
      <w:r w:rsidRPr="00BC6478">
        <w:t xml:space="preserve"> </w:t>
      </w:r>
      <w:r>
        <w:t>As the Full Court said in</w:t>
      </w:r>
      <w:r w:rsidRPr="00F044FC">
        <w:rPr>
          <w:i/>
        </w:rPr>
        <w:t xml:space="preserve"> </w:t>
      </w:r>
      <w:proofErr w:type="spellStart"/>
      <w:r w:rsidRPr="00C42C11">
        <w:rPr>
          <w:i/>
        </w:rPr>
        <w:t>Henschke</w:t>
      </w:r>
      <w:proofErr w:type="spellEnd"/>
      <w:r>
        <w:t xml:space="preserve"> in relation to </w:t>
      </w:r>
      <w:r w:rsidR="00012692">
        <w:t xml:space="preserve">the test of </w:t>
      </w:r>
      <w:r>
        <w:t>deceptive similarity:</w:t>
      </w:r>
    </w:p>
    <w:p w14:paraId="0ABF3EDD" w14:textId="77777777" w:rsidR="00BC6478" w:rsidRDefault="00661823" w:rsidP="00661823">
      <w:pPr>
        <w:pStyle w:val="Quote1"/>
        <w:tabs>
          <w:tab w:val="left" w:pos="1418"/>
        </w:tabs>
        <w:ind w:left="1418" w:hanging="681"/>
      </w:pPr>
      <w:r>
        <w:t>43</w:t>
      </w:r>
      <w:r>
        <w:tab/>
      </w:r>
      <w:r w:rsidR="00BC6478">
        <w:t>But there is another important aspect of infringement by use of a deceptively similar trade mark. It is that the test of deceptive similarity must be applied whether the mark of which infringement is alleged is newly registered and almost unknown or has been prominently displayed on well-known merchandise for many years. It must also be applied where the mark appears on goods (or in advertisements of goods) commonly seen, for example, on supermarket shelves in Sydney but rarely seen in Victoria or South Australia. The consumer posited by the test is hypothetical, although having characteristics of an actual group of people.</w:t>
      </w:r>
    </w:p>
    <w:p w14:paraId="65DB4D1E" w14:textId="77777777" w:rsidR="0029448E" w:rsidRDefault="0029448E" w:rsidP="00CD21BD">
      <w:pPr>
        <w:pStyle w:val="ParaNumbering"/>
      </w:pPr>
      <w:r>
        <w:t>The deceptive similarity enquiry for trade mark infringement pur</w:t>
      </w:r>
      <w:r w:rsidR="00661823">
        <w:t>poses is a limited one. Section </w:t>
      </w:r>
      <w:r>
        <w:t>10 of the Act makes clear that the essential task is one of trade mark comparison</w:t>
      </w:r>
      <w:r w:rsidR="00296117">
        <w:t>;</w:t>
      </w:r>
      <w:r>
        <w:t xml:space="preserve"> it is the resemblance between the two marks that must be the cause of the lik</w:t>
      </w:r>
      <w:r w:rsidR="003B167B">
        <w:t>ely deception or confusion</w:t>
      </w:r>
      <w:r>
        <w:t>.</w:t>
      </w:r>
    </w:p>
    <w:p w14:paraId="292A77E1" w14:textId="1E724C5E" w:rsidR="004E47ED" w:rsidRDefault="00150148" w:rsidP="00150148">
      <w:pPr>
        <w:pStyle w:val="ParaNumbering"/>
      </w:pPr>
      <w:r>
        <w:t xml:space="preserve">The test for deceptive similarity has been long settled. </w:t>
      </w:r>
      <w:r w:rsidR="00F17422">
        <w:t xml:space="preserve">The authorities make clear that the comparison involves the ordinary consumer’s imperfect recollection of the registered mark. The ordinary consumer is not to be credited with any knowledge of the actual use of the trade mark, or of any acquired distinctiveness arising from use of the mark prior to filing. </w:t>
      </w:r>
    </w:p>
    <w:p w14:paraId="5D45AF81" w14:textId="77777777" w:rsidR="00150148" w:rsidRDefault="00150148" w:rsidP="00150148">
      <w:pPr>
        <w:pStyle w:val="ParaNumbering"/>
      </w:pPr>
      <w:r>
        <w:t xml:space="preserve">In </w:t>
      </w:r>
      <w:r w:rsidRPr="0042785A">
        <w:rPr>
          <w:b/>
          <w:i/>
        </w:rPr>
        <w:t>Australian Woollen Mills</w:t>
      </w:r>
      <w:r w:rsidR="00296117" w:rsidRPr="0042785A">
        <w:rPr>
          <w:i/>
        </w:rPr>
        <w:t xml:space="preserve"> v F.S. Walton &amp; Co Ltd </w:t>
      </w:r>
      <w:r w:rsidR="00296117" w:rsidRPr="0042785A">
        <w:t>(1937) 58 CLR 641</w:t>
      </w:r>
      <w:r>
        <w:t>,</w:t>
      </w:r>
      <w:r w:rsidRPr="00150148">
        <w:t xml:space="preserve"> </w:t>
      </w:r>
      <w:r>
        <w:t xml:space="preserve">Dixon and </w:t>
      </w:r>
      <w:proofErr w:type="spellStart"/>
      <w:r>
        <w:t>McTiernan</w:t>
      </w:r>
      <w:proofErr w:type="spellEnd"/>
      <w:r>
        <w:t xml:space="preserve"> JJ described it as follows </w:t>
      </w:r>
      <w:r w:rsidR="00012692">
        <w:t>(</w:t>
      </w:r>
      <w:r>
        <w:t>at 658</w:t>
      </w:r>
      <w:r w:rsidR="00012692">
        <w:t>)</w:t>
      </w:r>
      <w:r>
        <w:t>:</w:t>
      </w:r>
    </w:p>
    <w:p w14:paraId="556ACD9D" w14:textId="77777777" w:rsidR="00150148" w:rsidRDefault="00150148" w:rsidP="00150148">
      <w:pPr>
        <w:pStyle w:val="Quote1"/>
      </w:pPr>
      <w:r>
        <w:t>But, in the end, it becomes a question of fact for the court to decide whether in fact there is such a reasonable probability of deception or confusion that the use of the new mark and title should be restrained.</w:t>
      </w:r>
    </w:p>
    <w:p w14:paraId="7D5EF37F" w14:textId="77777777" w:rsidR="00150148" w:rsidRDefault="00150148" w:rsidP="00150148">
      <w:pPr>
        <w:pStyle w:val="Quote1"/>
      </w:pPr>
      <w:r>
        <w:t xml:space="preserve">In deciding this question, the marks ought not, of course, to be compared side by side. An attempt should be made to estimate the effect or impression produced on the mind of potential customers by the mark or device for which the protection of an injunction is sought. </w:t>
      </w:r>
      <w:r w:rsidRPr="00296117">
        <w:t>The impression or recollection which is carried away and retained is necessarily the basis of any mistaken belief that the challenged mark</w:t>
      </w:r>
      <w:r>
        <w:t xml:space="preserve"> or device is the same. The effect of spoken description must be considered. If a mark is in fact or from its nature likely to be the source of some name or verbal description by which buyers will express their desire to have the goods, then similarities both of sound and of meaning play an important part. </w:t>
      </w:r>
      <w:r w:rsidRPr="00D20CF5">
        <w:t>The usual manner in which ordinary people behave must be the test of what confusion or deception may be expected. Potential buyers of goods are not to be credited with any high perception or habitual caution</w:t>
      </w:r>
      <w:r>
        <w:t xml:space="preserve">. On the other hand, exceptional carelessness or stupidity may be disregarded. </w:t>
      </w:r>
      <w:r w:rsidRPr="003C3F5B">
        <w:t xml:space="preserve">The course of business and the way in which the particular class of goods are sold gives, it may be said, the </w:t>
      </w:r>
      <w:r w:rsidRPr="003C3F5B">
        <w:lastRenderedPageBreak/>
        <w:t>setting, and the habits and observation of men considered in the mass affords the standard. Evidence of actual cases of deception, if forthcoming, is</w:t>
      </w:r>
      <w:r>
        <w:t xml:space="preserve"> of great weight. </w:t>
      </w:r>
    </w:p>
    <w:p w14:paraId="3EB04BD1" w14:textId="77777777" w:rsidR="003C3F5B" w:rsidRDefault="00BA2696" w:rsidP="00ED286B">
      <w:pPr>
        <w:pStyle w:val="ParaNumbering"/>
      </w:pPr>
      <w:r>
        <w:t xml:space="preserve">Equally well known is the following passage </w:t>
      </w:r>
      <w:r w:rsidR="003469BB">
        <w:t xml:space="preserve">explaining the relevant comparison </w:t>
      </w:r>
      <w:r>
        <w:t xml:space="preserve">from the judgment of Windeyer J in </w:t>
      </w:r>
      <w:r w:rsidRPr="0042785A">
        <w:rPr>
          <w:b/>
          <w:i/>
        </w:rPr>
        <w:t xml:space="preserve">Shell </w:t>
      </w:r>
      <w:r w:rsidRPr="0042785A">
        <w:rPr>
          <w:i/>
        </w:rPr>
        <w:t>Co of Australia Ltd v Esso</w:t>
      </w:r>
      <w:r w:rsidR="00E5453F" w:rsidRPr="0042785A">
        <w:rPr>
          <w:i/>
        </w:rPr>
        <w:t xml:space="preserve"> Standard Oil (</w:t>
      </w:r>
      <w:proofErr w:type="spellStart"/>
      <w:r w:rsidR="00E5453F" w:rsidRPr="0042785A">
        <w:rPr>
          <w:i/>
        </w:rPr>
        <w:t>Aust</w:t>
      </w:r>
      <w:proofErr w:type="spellEnd"/>
      <w:r w:rsidR="00E5453F" w:rsidRPr="0042785A">
        <w:rPr>
          <w:i/>
        </w:rPr>
        <w:t xml:space="preserve">) Ltd </w:t>
      </w:r>
      <w:r w:rsidR="00E5453F" w:rsidRPr="0042785A">
        <w:t xml:space="preserve">(1963) </w:t>
      </w:r>
      <w:r w:rsidRPr="0042785A">
        <w:t>109 CLR 407</w:t>
      </w:r>
      <w:r>
        <w:t xml:space="preserve"> at 415:</w:t>
      </w:r>
    </w:p>
    <w:p w14:paraId="0C59745C" w14:textId="77777777" w:rsidR="00E5453F" w:rsidRDefault="00E5453F" w:rsidP="003C3F5B">
      <w:pPr>
        <w:pStyle w:val="Quote1"/>
      </w:pPr>
      <w:r>
        <w:t xml:space="preserve">On the question of deceptive similarity a different comparison must be made from that which is necessary when substantial identity is in question. The marks are not now to be looked at side by side. The issue is not abstract similarity, but deceptive similarity. Therefore the comparison is the familiar one of trade mark law. It is between, on the one hand, the impression based on recollection of the plaintiff's mark that persons of ordinary intelligence and memory would have; and, on the other hand, the impressions that such persons would get from the defendant's television exhibitions. </w:t>
      </w:r>
    </w:p>
    <w:p w14:paraId="5ED1A252" w14:textId="77777777" w:rsidR="00FE1D03" w:rsidRDefault="00FE1D03" w:rsidP="00855CED">
      <w:pPr>
        <w:pStyle w:val="ParaNumbering"/>
      </w:pPr>
      <w:r>
        <w:t>In</w:t>
      </w:r>
      <w:r w:rsidRPr="00A177A2">
        <w:t xml:space="preserve"> </w:t>
      </w:r>
      <w:r w:rsidRPr="0042785A">
        <w:rPr>
          <w:b/>
          <w:i/>
        </w:rPr>
        <w:t>New South Wales Dairy Corporation</w:t>
      </w:r>
      <w:r w:rsidRPr="0042785A">
        <w:rPr>
          <w:i/>
        </w:rPr>
        <w:t xml:space="preserve"> v Murray-Goulburn Co-operative Company Ltd</w:t>
      </w:r>
      <w:r w:rsidR="00ED286B" w:rsidRPr="0042785A">
        <w:rPr>
          <w:i/>
        </w:rPr>
        <w:t xml:space="preserve"> (No 1)</w:t>
      </w:r>
      <w:r w:rsidR="00ED286B" w:rsidRPr="0042785A">
        <w:t xml:space="preserve"> (1989) </w:t>
      </w:r>
      <w:r w:rsidRPr="0042785A">
        <w:t>14 IPR 26</w:t>
      </w:r>
      <w:r>
        <w:t xml:space="preserve">, in a passage not affected on appeal, </w:t>
      </w:r>
      <w:proofErr w:type="spellStart"/>
      <w:r>
        <w:t>Gummow</w:t>
      </w:r>
      <w:proofErr w:type="spellEnd"/>
      <w:r>
        <w:t xml:space="preserve"> J said at </w:t>
      </w:r>
      <w:r w:rsidR="00ED286B">
        <w:t>6</w:t>
      </w:r>
      <w:r>
        <w:t>7</w:t>
      </w:r>
      <w:r w:rsidR="00ED286B">
        <w:t>:</w:t>
      </w:r>
    </w:p>
    <w:p w14:paraId="2B4D06C5" w14:textId="77777777" w:rsidR="00FE1D03" w:rsidRDefault="00FE1D03" w:rsidP="00FE1D03">
      <w:pPr>
        <w:pStyle w:val="Quote1"/>
      </w:pPr>
      <w:r>
        <w:t xml:space="preserve">In determining whether MOO is deceptively similar to MOOVE, the impression based on recollection (which may be imperfect) of the mark MOOVE that persons of ordinary intelligence and memory would have, is compared with the impression such persons would get from MOO; the deceptiveness flows not only from the degree of similarity itself between the marks, but also from the effect of that similarity considered in relation to the circumstances of the goods, the prospective purchasers and the market covered by the monopoly attached to the registered trade mark: </w:t>
      </w:r>
      <w:r w:rsidRPr="00FE1D03">
        <w:rPr>
          <w:i/>
        </w:rPr>
        <w:t>Shell Company of Australia Ltd v Esso Standard Oil (Australia) Ltd</w:t>
      </w:r>
      <w:r>
        <w:t xml:space="preserve"> (1963) 109 CLR 407 at 414–15; [1963] ALR 634; 1B IPR 523 at 528–9; </w:t>
      </w:r>
      <w:r w:rsidRPr="00FE1D03">
        <w:rPr>
          <w:i/>
        </w:rPr>
        <w:t>Polaroid Corp v Sole N Pty Ltd</w:t>
      </w:r>
      <w:r>
        <w:t xml:space="preserve"> [1981] 1 NSWLR 491 at 498. The latter case is also authority (at 497) for the proposition that the essential comparison in an infringement suit remains one between the marks involved, and that the court is not looking to the totality of the conduct of the defendant in the same way as in a passing off suit.</w:t>
      </w:r>
    </w:p>
    <w:p w14:paraId="45098B62" w14:textId="77777777" w:rsidR="00FE1D03" w:rsidRDefault="00FE1D03" w:rsidP="00FE1D03">
      <w:pPr>
        <w:pStyle w:val="ParaNumbering"/>
      </w:pPr>
      <w:r>
        <w:t xml:space="preserve">This passage was approved by the Full Court in </w:t>
      </w:r>
      <w:proofErr w:type="spellStart"/>
      <w:r w:rsidRPr="00FE1D03">
        <w:rPr>
          <w:i/>
        </w:rPr>
        <w:t>Henschke</w:t>
      </w:r>
      <w:proofErr w:type="spellEnd"/>
      <w:r w:rsidRPr="00FE1D03">
        <w:rPr>
          <w:i/>
        </w:rPr>
        <w:t xml:space="preserve"> </w:t>
      </w:r>
      <w:r>
        <w:t xml:space="preserve">at [44] and </w:t>
      </w:r>
      <w:r w:rsidR="00095D59">
        <w:t>more recently by the Full Court</w:t>
      </w:r>
      <w:r>
        <w:t xml:space="preserve"> in</w:t>
      </w:r>
      <w:r w:rsidRPr="00FE1D03">
        <w:rPr>
          <w:i/>
        </w:rPr>
        <w:t xml:space="preserve"> </w:t>
      </w:r>
      <w:r w:rsidRPr="0042785A">
        <w:rPr>
          <w:b/>
          <w:i/>
        </w:rPr>
        <w:t>Combe International</w:t>
      </w:r>
      <w:r w:rsidRPr="0042785A">
        <w:rPr>
          <w:i/>
        </w:rPr>
        <w:t xml:space="preserve"> Ltd v Dr August Wolff GmbH &amp; Co KG </w:t>
      </w:r>
      <w:proofErr w:type="spellStart"/>
      <w:r w:rsidRPr="0042785A">
        <w:rPr>
          <w:i/>
        </w:rPr>
        <w:t>Arzneimittel</w:t>
      </w:r>
      <w:proofErr w:type="spellEnd"/>
      <w:r w:rsidRPr="0042785A">
        <w:t xml:space="preserve"> </w:t>
      </w:r>
      <w:r w:rsidR="000226C1" w:rsidRPr="0042785A">
        <w:t>(2021) 157 IPR 230</w:t>
      </w:r>
      <w:r>
        <w:t xml:space="preserve"> at [27] </w:t>
      </w:r>
      <w:r w:rsidR="000226C1">
        <w:t xml:space="preserve">per </w:t>
      </w:r>
      <w:r>
        <w:t>McK</w:t>
      </w:r>
      <w:r w:rsidR="003B7846">
        <w:t>erracher, Gleeson and Burley JJ and in</w:t>
      </w:r>
      <w:r w:rsidR="000226C1">
        <w:t xml:space="preserve"> </w:t>
      </w:r>
      <w:r w:rsidRPr="0042785A">
        <w:rPr>
          <w:b/>
          <w:i/>
        </w:rPr>
        <w:t>Hashtag Burgers</w:t>
      </w:r>
      <w:r w:rsidR="000226C1" w:rsidRPr="0042785A">
        <w:rPr>
          <w:i/>
        </w:rPr>
        <w:t xml:space="preserve"> Pty Ltd &amp; </w:t>
      </w:r>
      <w:proofErr w:type="spellStart"/>
      <w:r w:rsidR="000226C1" w:rsidRPr="0042785A">
        <w:rPr>
          <w:i/>
        </w:rPr>
        <w:t>Ors</w:t>
      </w:r>
      <w:proofErr w:type="spellEnd"/>
      <w:r w:rsidR="000226C1" w:rsidRPr="0042785A">
        <w:rPr>
          <w:i/>
        </w:rPr>
        <w:t xml:space="preserve"> v In-N-Out Burgers, </w:t>
      </w:r>
      <w:proofErr w:type="spellStart"/>
      <w:r w:rsidR="000226C1" w:rsidRPr="0042785A">
        <w:rPr>
          <w:i/>
        </w:rPr>
        <w:t>Inc</w:t>
      </w:r>
      <w:proofErr w:type="spellEnd"/>
      <w:r w:rsidR="000226C1" w:rsidRPr="0042785A">
        <w:rPr>
          <w:i/>
        </w:rPr>
        <w:t xml:space="preserve"> </w:t>
      </w:r>
      <w:r w:rsidR="000226C1" w:rsidRPr="0042785A">
        <w:t>[2020] FCAFC 235</w:t>
      </w:r>
      <w:r>
        <w:t xml:space="preserve"> at [64]</w:t>
      </w:r>
      <w:r w:rsidR="000226C1">
        <w:t xml:space="preserve"> per Nicholas, Yates and Burley JJ;</w:t>
      </w:r>
      <w:r>
        <w:t xml:space="preserve"> and </w:t>
      </w:r>
      <w:r w:rsidRPr="00FE1D03">
        <w:rPr>
          <w:i/>
        </w:rPr>
        <w:t>PDP Capital</w:t>
      </w:r>
      <w:r w:rsidR="000226C1">
        <w:t xml:space="preserve"> </w:t>
      </w:r>
      <w:r>
        <w:t>at [97]</w:t>
      </w:r>
      <w:r w:rsidR="000226C1">
        <w:t xml:space="preserve"> per Jagot, Nicholas and Burley JJ</w:t>
      </w:r>
      <w:r>
        <w:t xml:space="preserve">. </w:t>
      </w:r>
    </w:p>
    <w:p w14:paraId="1A3503F3" w14:textId="77777777" w:rsidR="0099028F" w:rsidRDefault="0099028F" w:rsidP="00FE1D03">
      <w:pPr>
        <w:pStyle w:val="ParaNumbering"/>
      </w:pPr>
      <w:r>
        <w:t xml:space="preserve">Justice Yates </w:t>
      </w:r>
      <w:r w:rsidR="007763A3">
        <w:t>summed up the test for deceptive similarity</w:t>
      </w:r>
      <w:r>
        <w:t xml:space="preserve"> in </w:t>
      </w:r>
      <w:r w:rsidRPr="007C6346">
        <w:rPr>
          <w:i/>
        </w:rPr>
        <w:t>Optical 88</w:t>
      </w:r>
      <w:r>
        <w:t xml:space="preserve"> at [111]:</w:t>
      </w:r>
    </w:p>
    <w:p w14:paraId="7EE5307B" w14:textId="77777777" w:rsidR="000B6BFF" w:rsidRDefault="00012692" w:rsidP="00C8499D">
      <w:pPr>
        <w:pStyle w:val="Quote1"/>
        <w:ind w:left="1440" w:hanging="703"/>
      </w:pPr>
      <w:r>
        <w:t>111</w:t>
      </w:r>
      <w:r>
        <w:tab/>
      </w:r>
      <w:r w:rsidR="0099028F">
        <w:t>At the end of the day the question of deceptive similarity is one to be resolved in a given case by judicial estimation based on the visual and aural impression created by each mark and on the likely effect to be produced by each mark on the minds of likely customers of the goods and services in the course of the ordinary conduct of affairs</w:t>
      </w:r>
      <w:r w:rsidR="000B6BFF">
        <w:t>.</w:t>
      </w:r>
    </w:p>
    <w:p w14:paraId="3981C928" w14:textId="77777777" w:rsidR="00D476CC" w:rsidRDefault="000B6BFF" w:rsidP="00D476CC">
      <w:pPr>
        <w:pStyle w:val="Quote1"/>
      </w:pPr>
      <w:r>
        <w:t>(Citation omitted.)</w:t>
      </w:r>
      <w:r w:rsidR="00D476CC">
        <w:t xml:space="preserve"> </w:t>
      </w:r>
    </w:p>
    <w:p w14:paraId="430EE1B7" w14:textId="77777777" w:rsidR="004E47ED" w:rsidRPr="004E47ED" w:rsidRDefault="00B3760A" w:rsidP="004E47ED">
      <w:pPr>
        <w:pStyle w:val="ParaNumbering"/>
      </w:pPr>
      <w:r w:rsidRPr="00D476CC">
        <w:lastRenderedPageBreak/>
        <w:t>It</w:t>
      </w:r>
      <w:r>
        <w:t xml:space="preserve"> is necessary to commence the </w:t>
      </w:r>
      <w:r w:rsidR="0059355C">
        <w:t xml:space="preserve">deceptive similarity </w:t>
      </w:r>
      <w:r w:rsidRPr="007A49B7">
        <w:t>enquiry</w:t>
      </w:r>
      <w:r>
        <w:t xml:space="preserve"> having regard to the prior registered mark and the notional </w:t>
      </w:r>
      <w:r w:rsidR="003B7846">
        <w:t>consumer’s impression or recollection of that mark</w:t>
      </w:r>
      <w:r w:rsidR="004E47ED">
        <w:t xml:space="preserve">. </w:t>
      </w:r>
      <w:r w:rsidR="004E47ED" w:rsidRPr="004E47ED">
        <w:t xml:space="preserve">The Full Court in </w:t>
      </w:r>
      <w:r w:rsidR="004E47ED" w:rsidRPr="004E47ED">
        <w:rPr>
          <w:i/>
        </w:rPr>
        <w:t>PDP Capital</w:t>
      </w:r>
      <w:r w:rsidR="00012692">
        <w:rPr>
          <w:i/>
        </w:rPr>
        <w:t xml:space="preserve"> </w:t>
      </w:r>
      <w:r w:rsidR="00012692">
        <w:t>noted</w:t>
      </w:r>
      <w:r w:rsidR="004E47ED" w:rsidRPr="004E47ED">
        <w:rPr>
          <w:i/>
        </w:rPr>
        <w:t xml:space="preserve"> </w:t>
      </w:r>
      <w:r w:rsidR="00012692">
        <w:t>(</w:t>
      </w:r>
      <w:r w:rsidR="004E47ED" w:rsidRPr="004E47ED">
        <w:t>at [97]</w:t>
      </w:r>
      <w:r w:rsidR="00012692">
        <w:t>)</w:t>
      </w:r>
      <w:r w:rsidR="004E47ED" w:rsidRPr="004E47ED">
        <w:t>:</w:t>
      </w:r>
    </w:p>
    <w:p w14:paraId="2CF60FAF" w14:textId="77777777" w:rsidR="004E47ED" w:rsidRDefault="00012692" w:rsidP="00C8499D">
      <w:pPr>
        <w:pStyle w:val="Quote1"/>
        <w:ind w:left="1440" w:hanging="703"/>
      </w:pPr>
      <w:r>
        <w:t>97</w:t>
      </w:r>
      <w:r>
        <w:tab/>
      </w:r>
      <w:r w:rsidR="004E47ED" w:rsidRPr="004E47ED">
        <w:t>The distinction between consideration of whether one mark is deceptively similar to another, rather than substantially identical, lies in the point of emphasis on the impression or recollection which is carried away and retained of the registered mark when conducting the comparison….</w:t>
      </w:r>
      <w:r w:rsidR="003B7846">
        <w:t xml:space="preserve"> </w:t>
      </w:r>
      <w:r w:rsidR="004E47ED" w:rsidRPr="004E47ED">
        <w:t>[A]</w:t>
      </w:r>
      <w:proofErr w:type="spellStart"/>
      <w:r w:rsidR="004E47ED" w:rsidRPr="004E47ED">
        <w:t>llowance</w:t>
      </w:r>
      <w:proofErr w:type="spellEnd"/>
      <w:r w:rsidR="004E47ED" w:rsidRPr="004E47ED">
        <w:t xml:space="preserve"> must be made for the human frailty of imperfect recollection.</w:t>
      </w:r>
      <w:r w:rsidR="004E47ED">
        <w:t xml:space="preserve"> </w:t>
      </w:r>
    </w:p>
    <w:p w14:paraId="76C47D1E" w14:textId="77777777" w:rsidR="002367B8" w:rsidRPr="00095D59" w:rsidRDefault="007C6346" w:rsidP="00E428B8">
      <w:pPr>
        <w:pStyle w:val="ParaNumbering"/>
      </w:pPr>
      <w:r w:rsidRPr="00095D59">
        <w:t>T</w:t>
      </w:r>
      <w:r w:rsidR="0099028F" w:rsidRPr="00095D59">
        <w:t xml:space="preserve">he </w:t>
      </w:r>
      <w:r w:rsidR="003B7846">
        <w:t>notional consumer’s</w:t>
      </w:r>
      <w:r w:rsidR="004E47ED" w:rsidRPr="00095D59">
        <w:t xml:space="preserve"> </w:t>
      </w:r>
      <w:r w:rsidR="001369B7" w:rsidRPr="00095D59">
        <w:t xml:space="preserve">imperfect recollection of the </w:t>
      </w:r>
      <w:r w:rsidR="0099028F" w:rsidRPr="00095D59">
        <w:t>registered mark</w:t>
      </w:r>
      <w:r w:rsidR="003B7846">
        <w:t xml:space="preserve"> </w:t>
      </w:r>
      <w:r w:rsidRPr="00095D59">
        <w:t>is central to the test for deceptive similarity</w:t>
      </w:r>
      <w:r w:rsidR="0099028F" w:rsidRPr="00095D59">
        <w:t>. The authorities make clear it is the imperfect recollection of the mark as registered, not any knowledge about the actual use of the mark, or any reputation associated with the mar</w:t>
      </w:r>
      <w:r w:rsidR="00774B08" w:rsidRPr="00095D59">
        <w:t>k.</w:t>
      </w:r>
      <w:r w:rsidR="002367B8" w:rsidRPr="00095D59">
        <w:t xml:space="preserve"> </w:t>
      </w:r>
    </w:p>
    <w:p w14:paraId="6B00F237" w14:textId="77777777" w:rsidR="0044157B" w:rsidRDefault="0044157B" w:rsidP="0044157B">
      <w:pPr>
        <w:pStyle w:val="ParaNumbering"/>
      </w:pPr>
      <w:r>
        <w:t xml:space="preserve">The </w:t>
      </w:r>
      <w:r w:rsidR="003B7846">
        <w:t>notional</w:t>
      </w:r>
      <w:r>
        <w:t xml:space="preserve"> consumer’s imperfect recollection of the mark is based on the assumption that the </w:t>
      </w:r>
      <w:r w:rsidR="000E7510">
        <w:t>consumer</w:t>
      </w:r>
      <w:r>
        <w:t xml:space="preserve"> </w:t>
      </w:r>
      <w:r w:rsidR="003B7846">
        <w:t>has</w:t>
      </w:r>
      <w:r>
        <w:t xml:space="preserve"> seen the registered mark itself: </w:t>
      </w:r>
      <w:r w:rsidRPr="0042785A">
        <w:rPr>
          <w:b/>
          <w:i/>
        </w:rPr>
        <w:t>Crazy Ron’s</w:t>
      </w:r>
      <w:r w:rsidRPr="0042785A">
        <w:rPr>
          <w:i/>
        </w:rPr>
        <w:t xml:space="preserve"> Communications Pty Ltd v </w:t>
      </w:r>
      <w:proofErr w:type="spellStart"/>
      <w:r w:rsidRPr="0042785A">
        <w:rPr>
          <w:i/>
        </w:rPr>
        <w:t>Mobileworld</w:t>
      </w:r>
      <w:proofErr w:type="spellEnd"/>
      <w:r w:rsidRPr="0042785A">
        <w:rPr>
          <w:i/>
        </w:rPr>
        <w:t xml:space="preserve"> Communications Pty Ltd </w:t>
      </w:r>
      <w:r w:rsidRPr="0042785A">
        <w:t>(2004) 61 IPR 212</w:t>
      </w:r>
      <w:r>
        <w:t xml:space="preserve"> per Moore, Sackville and Emmett JJ at [81]. </w:t>
      </w:r>
    </w:p>
    <w:p w14:paraId="1E590DCF" w14:textId="18C753FD" w:rsidR="0048314F" w:rsidRDefault="0048314F" w:rsidP="009D2FB4">
      <w:pPr>
        <w:pStyle w:val="ParaNumbering"/>
      </w:pPr>
      <w:r>
        <w:t xml:space="preserve">In </w:t>
      </w:r>
      <w:r w:rsidR="009D2FB4" w:rsidRPr="0042785A">
        <w:rPr>
          <w:b/>
          <w:i/>
        </w:rPr>
        <w:t>MID</w:t>
      </w:r>
      <w:r w:rsidR="009D2FB4" w:rsidRPr="0042785A">
        <w:rPr>
          <w:i/>
        </w:rPr>
        <w:t xml:space="preserve"> </w:t>
      </w:r>
      <w:r w:rsidR="009D2FB4" w:rsidRPr="0042785A">
        <w:rPr>
          <w:b/>
          <w:i/>
        </w:rPr>
        <w:t>Sydney</w:t>
      </w:r>
      <w:r w:rsidR="009D2FB4" w:rsidRPr="0042785A">
        <w:rPr>
          <w:i/>
        </w:rPr>
        <w:t xml:space="preserve"> Pty Ltd v Australian Tourism Co Ltd </w:t>
      </w:r>
      <w:r w:rsidR="009D2FB4" w:rsidRPr="0042785A">
        <w:t>(1998) 42 IPR 561</w:t>
      </w:r>
      <w:r>
        <w:t xml:space="preserve">, the Full Court </w:t>
      </w:r>
      <w:r w:rsidR="00012692">
        <w:t>(</w:t>
      </w:r>
      <w:r>
        <w:t>at</w:t>
      </w:r>
      <w:r w:rsidR="002375DD">
        <w:t> </w:t>
      </w:r>
      <w:r>
        <w:t>570</w:t>
      </w:r>
      <w:r w:rsidR="00012692">
        <w:t>)</w:t>
      </w:r>
      <w:r>
        <w:t xml:space="preserve"> noted the artificiality of the question to be asked, and observed that the person who may be caused to wonder is not one who knows of the actual business of the proprietor of the registered mark, the goods it produces</w:t>
      </w:r>
      <w:r w:rsidR="00012692">
        <w:t>,</w:t>
      </w:r>
      <w:r>
        <w:t xml:space="preserve"> or the services it provides.</w:t>
      </w:r>
    </w:p>
    <w:p w14:paraId="59739258" w14:textId="6E403B33" w:rsidR="00047501" w:rsidRDefault="005C39CD" w:rsidP="0099028F">
      <w:pPr>
        <w:pStyle w:val="ParaNumbering"/>
      </w:pPr>
      <w:r>
        <w:t>The</w:t>
      </w:r>
      <w:r w:rsidR="002367B8">
        <w:t>re is no scope under s</w:t>
      </w:r>
      <w:r w:rsidR="00B00EF7">
        <w:t xml:space="preserve"> </w:t>
      </w:r>
      <w:r w:rsidR="002367B8">
        <w:t>120(1) to consider the reputation associated with any mark</w:t>
      </w:r>
      <w:r w:rsidR="00E428B8">
        <w:t>, save (perhaps contentiously) where repu</w:t>
      </w:r>
      <w:r w:rsidR="00B00EF7">
        <w:t>tation is a matter of notoriety:</w:t>
      </w:r>
      <w:r w:rsidR="00E428B8">
        <w:t xml:space="preserve"> </w:t>
      </w:r>
      <w:r w:rsidR="00E428B8" w:rsidRPr="00E428B8">
        <w:rPr>
          <w:i/>
        </w:rPr>
        <w:t>Optical 88</w:t>
      </w:r>
      <w:r w:rsidR="00E428B8">
        <w:t xml:space="preserve"> per Yates J at</w:t>
      </w:r>
      <w:r w:rsidR="002F04F7">
        <w:t> </w:t>
      </w:r>
      <w:r w:rsidR="00E428B8">
        <w:t>[96]</w:t>
      </w:r>
      <w:r w:rsidR="001C0503">
        <w:t>,</w:t>
      </w:r>
      <w:r w:rsidR="00B00EF7">
        <w:rPr>
          <w:i/>
        </w:rPr>
        <w:t xml:space="preserve"> </w:t>
      </w:r>
      <w:proofErr w:type="spellStart"/>
      <w:r w:rsidR="00047501" w:rsidRPr="00047501">
        <w:rPr>
          <w:i/>
        </w:rPr>
        <w:t>Henschke</w:t>
      </w:r>
      <w:proofErr w:type="spellEnd"/>
      <w:r w:rsidR="00047501">
        <w:t xml:space="preserve"> </w:t>
      </w:r>
      <w:r w:rsidR="00B00EF7">
        <w:t>at [44]</w:t>
      </w:r>
      <w:r w:rsidR="00E74B21">
        <w:t>–</w:t>
      </w:r>
      <w:r w:rsidR="00B00EF7">
        <w:t>[45] and</w:t>
      </w:r>
      <w:r w:rsidR="00047501">
        <w:t xml:space="preserve"> </w:t>
      </w:r>
      <w:r w:rsidR="00B00EF7" w:rsidRPr="00B00EF7">
        <w:rPr>
          <w:i/>
        </w:rPr>
        <w:t>Australian</w:t>
      </w:r>
      <w:r w:rsidR="00B00EF7">
        <w:t xml:space="preserve"> </w:t>
      </w:r>
      <w:r w:rsidR="00047501" w:rsidRPr="00047501">
        <w:rPr>
          <w:i/>
        </w:rPr>
        <w:t>Meat Group</w:t>
      </w:r>
      <w:r w:rsidR="00B00EF7">
        <w:rPr>
          <w:i/>
        </w:rPr>
        <w:t xml:space="preserve"> </w:t>
      </w:r>
      <w:r w:rsidR="00E74B21">
        <w:t>at [41]–</w:t>
      </w:r>
      <w:r w:rsidR="00047501">
        <w:t>[42]</w:t>
      </w:r>
      <w:r w:rsidR="002367B8">
        <w:t>.</w:t>
      </w:r>
      <w:r>
        <w:t xml:space="preserve"> </w:t>
      </w:r>
      <w:r w:rsidR="001655DD">
        <w:t>The primary judge correc</w:t>
      </w:r>
      <w:r w:rsidR="00B1389A">
        <w:t xml:space="preserve">tly placed no reliance on the reputation associated with the </w:t>
      </w:r>
      <w:proofErr w:type="spellStart"/>
      <w:r w:rsidR="00B1389A">
        <w:t>Swancom</w:t>
      </w:r>
      <w:proofErr w:type="spellEnd"/>
      <w:r w:rsidR="00B1389A">
        <w:t xml:space="preserve"> marks</w:t>
      </w:r>
      <w:r w:rsidR="00012692">
        <w:t>:</w:t>
      </w:r>
      <w:r w:rsidR="00B1389A">
        <w:t xml:space="preserve"> </w:t>
      </w:r>
      <w:r w:rsidR="00012692">
        <w:t>J</w:t>
      </w:r>
      <w:r w:rsidR="00B1389A">
        <w:t>[254]</w:t>
      </w:r>
      <w:r w:rsidR="00012692">
        <w:t>.</w:t>
      </w:r>
    </w:p>
    <w:p w14:paraId="41C21322" w14:textId="77777777" w:rsidR="00012692" w:rsidRDefault="002367B8" w:rsidP="0099028F">
      <w:pPr>
        <w:pStyle w:val="ParaNumbering"/>
      </w:pPr>
      <w:r>
        <w:t xml:space="preserve">The </w:t>
      </w:r>
      <w:r w:rsidR="001C0503">
        <w:t xml:space="preserve">Full Court in </w:t>
      </w:r>
      <w:proofErr w:type="spellStart"/>
      <w:r w:rsidR="005C39CD" w:rsidRPr="005C39CD">
        <w:rPr>
          <w:i/>
        </w:rPr>
        <w:t>Henschke</w:t>
      </w:r>
      <w:proofErr w:type="spellEnd"/>
      <w:r w:rsidR="005C39CD">
        <w:t xml:space="preserve"> </w:t>
      </w:r>
      <w:r w:rsidR="00C97EAB">
        <w:t xml:space="preserve">carefully and </w:t>
      </w:r>
      <w:r w:rsidR="00012692">
        <w:t xml:space="preserve">comprehensively </w:t>
      </w:r>
      <w:r w:rsidR="00C97EAB">
        <w:t xml:space="preserve">discussed the place of reputation in trade mark infringement and </w:t>
      </w:r>
      <w:r w:rsidR="005C39CD">
        <w:t>observed at [45] that it was not easy to see what relevance the reputation an applicant may have in a particular mark (even the “icon status” of that mark) has in an action for infringement brought under s</w:t>
      </w:r>
      <w:r w:rsidR="00AB55E9">
        <w:t xml:space="preserve"> </w:t>
      </w:r>
      <w:r w:rsidR="005C39CD">
        <w:t>120(1) of the Act (</w:t>
      </w:r>
      <w:r w:rsidR="004248E2">
        <w:t>the Court noted the contrast</w:t>
      </w:r>
      <w:r w:rsidR="00012692">
        <w:t>, in this regard,</w:t>
      </w:r>
      <w:r w:rsidR="004248E2">
        <w:t xml:space="preserve"> </w:t>
      </w:r>
      <w:r w:rsidR="004248E2" w:rsidRPr="004248E2">
        <w:t>with</w:t>
      </w:r>
      <w:r w:rsidR="00012692">
        <w:t xml:space="preserve"> infringement under</w:t>
      </w:r>
      <w:r w:rsidR="005C39CD" w:rsidRPr="004248E2">
        <w:t xml:space="preserve"> s</w:t>
      </w:r>
      <w:r w:rsidR="004248E2" w:rsidRPr="004248E2">
        <w:t xml:space="preserve"> </w:t>
      </w:r>
      <w:r w:rsidR="005C39CD" w:rsidRPr="004248E2">
        <w:t>120(3) of the Act</w:t>
      </w:r>
      <w:r w:rsidR="005C39CD">
        <w:t>).</w:t>
      </w:r>
      <w:r w:rsidR="00186B2B">
        <w:t xml:space="preserve"> </w:t>
      </w:r>
      <w:r w:rsidR="00012692">
        <w:t xml:space="preserve">There, the </w:t>
      </w:r>
      <w:r w:rsidR="00186B2B">
        <w:t xml:space="preserve">Full Court </w:t>
      </w:r>
      <w:r w:rsidR="00E428B8">
        <w:t xml:space="preserve">closely </w:t>
      </w:r>
      <w:r w:rsidR="00F064AC">
        <w:t>analysed four cases</w:t>
      </w:r>
      <w:r w:rsidR="00186B2B">
        <w:t xml:space="preserve"> which were said to involve a question of infringement by a use of a deceptively similar mark, and in which the reputation of the mark allegedly infringed had been taken into account.</w:t>
      </w:r>
      <w:r w:rsidR="001369B7">
        <w:t xml:space="preserve"> Those cases, the Full Court</w:t>
      </w:r>
      <w:r w:rsidR="00205B61">
        <w:t xml:space="preserve"> said at [52], were authority for no wider proposition </w:t>
      </w:r>
      <w:r w:rsidR="002B051A">
        <w:t>than</w:t>
      </w:r>
      <w:r w:rsidR="00012692">
        <w:t xml:space="preserve"> this:</w:t>
      </w:r>
      <w:r w:rsidR="002B051A">
        <w:t xml:space="preserve"> </w:t>
      </w:r>
    </w:p>
    <w:p w14:paraId="4D64DF09" w14:textId="77777777" w:rsidR="00441FDC" w:rsidRDefault="00095D59" w:rsidP="00095D59">
      <w:pPr>
        <w:pStyle w:val="Quote1"/>
        <w:tabs>
          <w:tab w:val="left" w:pos="1418"/>
        </w:tabs>
        <w:ind w:left="1418" w:hanging="681"/>
      </w:pPr>
      <w:r>
        <w:lastRenderedPageBreak/>
        <w:t>52</w:t>
      </w:r>
      <w:r>
        <w:tab/>
      </w:r>
      <w:r w:rsidR="00441FDC">
        <w:t xml:space="preserve">… in </w:t>
      </w:r>
      <w:r w:rsidR="00205B61">
        <w:t>assessing the nature of a consumer’s imperfect recollection of a mark, the fact that the mark</w:t>
      </w:r>
      <w:r w:rsidR="00441FDC">
        <w:t>,</w:t>
      </w:r>
      <w:r w:rsidR="00205B61">
        <w:t xml:space="preserve"> or</w:t>
      </w:r>
      <w:r w:rsidR="00441FDC">
        <w:t xml:space="preserve"> perhaps</w:t>
      </w:r>
      <w:r w:rsidR="00205B61">
        <w:t xml:space="preserve"> an important element of it</w:t>
      </w:r>
      <w:r w:rsidR="00441FDC">
        <w:t>,</w:t>
      </w:r>
      <w:r w:rsidR="00205B61">
        <w:t xml:space="preserve"> is notoriously </w:t>
      </w:r>
      <w:r w:rsidR="00441FDC">
        <w:t xml:space="preserve">so </w:t>
      </w:r>
      <w:r w:rsidR="00205B61">
        <w:t>ubiquitous and of such longstanding that consumers generally must be taken to be familiar with it</w:t>
      </w:r>
      <w:r w:rsidR="00D13314">
        <w:t>,</w:t>
      </w:r>
      <w:r w:rsidR="00205B61">
        <w:t xml:space="preserve"> and with its use in relation to particular goods or services is a relevant consideration. </w:t>
      </w:r>
    </w:p>
    <w:p w14:paraId="31CD3463" w14:textId="77777777" w:rsidR="00774B08" w:rsidRDefault="00441FDC" w:rsidP="0099028F">
      <w:pPr>
        <w:pStyle w:val="ParaNumbering"/>
      </w:pPr>
      <w:r>
        <w:t xml:space="preserve">As we have emphasised, </w:t>
      </w:r>
      <w:proofErr w:type="spellStart"/>
      <w:r>
        <w:t>Swancom</w:t>
      </w:r>
      <w:proofErr w:type="spellEnd"/>
      <w:r>
        <w:t xml:space="preserve"> </w:t>
      </w:r>
      <w:r w:rsidR="002B051A">
        <w:t xml:space="preserve">does not contend that the </w:t>
      </w:r>
      <w:proofErr w:type="spellStart"/>
      <w:r w:rsidR="002B051A">
        <w:t>Swancom</w:t>
      </w:r>
      <w:proofErr w:type="spellEnd"/>
      <w:r w:rsidR="002B051A">
        <w:t xml:space="preserve"> marks </w:t>
      </w:r>
      <w:r w:rsidR="003358CC">
        <w:t>were</w:t>
      </w:r>
      <w:r w:rsidR="002B051A">
        <w:t xml:space="preserve"> notoriously ubiquitous.</w:t>
      </w:r>
    </w:p>
    <w:p w14:paraId="285F84D2" w14:textId="017DC011" w:rsidR="005C39CD" w:rsidRDefault="002367B8" w:rsidP="00E41803">
      <w:pPr>
        <w:pStyle w:val="ParaNumbering"/>
      </w:pPr>
      <w:r w:rsidRPr="00AD07BB">
        <w:t xml:space="preserve">The authorities emphasise </w:t>
      </w:r>
      <w:r w:rsidR="001369B7" w:rsidRPr="00AD07BB">
        <w:t xml:space="preserve">that </w:t>
      </w:r>
      <w:r w:rsidRPr="00AD07BB">
        <w:t xml:space="preserve">the </w:t>
      </w:r>
      <w:r w:rsidR="001369B7" w:rsidRPr="00AD07BB">
        <w:t xml:space="preserve">imperfect </w:t>
      </w:r>
      <w:r w:rsidRPr="00AD07BB">
        <w:t xml:space="preserve">“impression or recollection” of the registered mark which is carried away by </w:t>
      </w:r>
      <w:r w:rsidR="008F0FBA">
        <w:t xml:space="preserve">the </w:t>
      </w:r>
      <w:r w:rsidR="003B7846">
        <w:t>notional</w:t>
      </w:r>
      <w:r w:rsidRPr="00AD07BB">
        <w:t xml:space="preserve"> consumer </w:t>
      </w:r>
      <w:r w:rsidR="000229E7">
        <w:t>for the purposes of assessing deceptive similarity in the context of s</w:t>
      </w:r>
      <w:r w:rsidR="008134CE">
        <w:t xml:space="preserve"> </w:t>
      </w:r>
      <w:r w:rsidR="000229E7">
        <w:t xml:space="preserve">120(1) of the Act </w:t>
      </w:r>
      <w:r w:rsidRPr="00AD07BB">
        <w:t xml:space="preserve">is the impression or recollection that </w:t>
      </w:r>
      <w:r w:rsidR="001655DD" w:rsidRPr="00AD07BB">
        <w:t>is</w:t>
      </w:r>
      <w:r w:rsidR="00DE00CC" w:rsidRPr="00AD07BB">
        <w:t xml:space="preserve"> </w:t>
      </w:r>
      <w:r w:rsidRPr="00AD07BB">
        <w:t xml:space="preserve">taken from their observation of the registered mark. In the same way that any reputation in the registered mark or idiosyncrasies in its </w:t>
      </w:r>
      <w:r w:rsidR="0029448E" w:rsidRPr="00AD07BB">
        <w:t xml:space="preserve">actual </w:t>
      </w:r>
      <w:r w:rsidRPr="00AD07BB">
        <w:t xml:space="preserve">manner of use are to be ignored, the consumer’s impression and recollection </w:t>
      </w:r>
      <w:r w:rsidR="00441FDC">
        <w:t xml:space="preserve">of the registered mark </w:t>
      </w:r>
      <w:r w:rsidRPr="00AD07BB">
        <w:t>is not to be augmented by knowledge</w:t>
      </w:r>
      <w:r w:rsidR="00417098">
        <w:t xml:space="preserve"> of any factual distinctiveness</w:t>
      </w:r>
      <w:r w:rsidRPr="00AD07BB">
        <w:t xml:space="preserve"> that the mark may have acquired through use before </w:t>
      </w:r>
      <w:r w:rsidR="00441FDC">
        <w:t>its</w:t>
      </w:r>
      <w:r w:rsidR="00441FDC" w:rsidRPr="00AD07BB">
        <w:t xml:space="preserve"> </w:t>
      </w:r>
      <w:r w:rsidR="001369B7" w:rsidRPr="00AD07BB">
        <w:t>filing</w:t>
      </w:r>
      <w:r w:rsidRPr="00AD07BB">
        <w:t xml:space="preserve"> date.</w:t>
      </w:r>
    </w:p>
    <w:p w14:paraId="7377315F" w14:textId="01DDA724" w:rsidR="00992429" w:rsidRDefault="003B7846" w:rsidP="001369B7">
      <w:pPr>
        <w:pStyle w:val="ParaNumbering"/>
      </w:pPr>
      <w:proofErr w:type="spellStart"/>
      <w:r>
        <w:t>Swancom</w:t>
      </w:r>
      <w:proofErr w:type="spellEnd"/>
      <w:r>
        <w:t xml:space="preserve"> places reliance </w:t>
      </w:r>
      <w:r w:rsidR="002B051A">
        <w:t xml:space="preserve">on </w:t>
      </w:r>
      <w:r w:rsidR="00992429">
        <w:t>references in the cases</w:t>
      </w:r>
      <w:r w:rsidR="002B051A">
        <w:t xml:space="preserve"> to the </w:t>
      </w:r>
      <w:r>
        <w:t xml:space="preserve">notional consumer’s </w:t>
      </w:r>
      <w:r w:rsidR="001A7560">
        <w:t>“knowledge”</w:t>
      </w:r>
      <w:r w:rsidR="002B051A">
        <w:t xml:space="preserve"> of the mark in support of its</w:t>
      </w:r>
      <w:r w:rsidR="00A446D7">
        <w:t xml:space="preserve"> contention that the knowledge of the mark to be attributed to the consumer</w:t>
      </w:r>
      <w:r w:rsidR="00DA1743">
        <w:t>,</w:t>
      </w:r>
      <w:r w:rsidR="00A446D7">
        <w:t xml:space="preserve"> when assessing deceptive similarity</w:t>
      </w:r>
      <w:r w:rsidR="00DA1743">
        <w:t>,</w:t>
      </w:r>
      <w:r>
        <w:t xml:space="preserve"> includes</w:t>
      </w:r>
      <w:r w:rsidR="00A446D7">
        <w:t xml:space="preserve"> the </w:t>
      </w:r>
      <w:r>
        <w:t>“</w:t>
      </w:r>
      <w:r w:rsidR="00A446D7">
        <w:t>acquired distinctive meani</w:t>
      </w:r>
      <w:r w:rsidR="00EA061E">
        <w:t>ng</w:t>
      </w:r>
      <w:r>
        <w:t>”</w:t>
      </w:r>
      <w:r w:rsidR="00EA061E">
        <w:t xml:space="preserve"> of a mark. The</w:t>
      </w:r>
      <w:r w:rsidR="00DA1743">
        <w:t>se</w:t>
      </w:r>
      <w:r>
        <w:t xml:space="preserve"> cases concern</w:t>
      </w:r>
      <w:r w:rsidR="00EA061E">
        <w:t xml:space="preserve"> marks </w:t>
      </w:r>
      <w:r w:rsidR="00A446D7">
        <w:t xml:space="preserve">registered pursuant to </w:t>
      </w:r>
      <w:r w:rsidR="00EA061E">
        <w:t>the pre</w:t>
      </w:r>
      <w:r w:rsidR="00DA1743">
        <w:t>-</w:t>
      </w:r>
      <w:r w:rsidR="00EA061E">
        <w:t xml:space="preserve">RTB </w:t>
      </w:r>
      <w:r w:rsidR="00A446D7">
        <w:t>s</w:t>
      </w:r>
      <w:r w:rsidR="00C7570D">
        <w:t xml:space="preserve"> </w:t>
      </w:r>
      <w:r w:rsidR="00A446D7">
        <w:t>41(6)</w:t>
      </w:r>
      <w:r w:rsidR="00C7570D">
        <w:t>:</w:t>
      </w:r>
      <w:r w:rsidR="00992429">
        <w:t xml:space="preserve"> </w:t>
      </w:r>
      <w:r w:rsidR="00992429" w:rsidRPr="00992429">
        <w:rPr>
          <w:i/>
        </w:rPr>
        <w:t>Optical 88</w:t>
      </w:r>
      <w:r w:rsidR="00992429">
        <w:t xml:space="preserve"> at</w:t>
      </w:r>
      <w:r w:rsidR="00084022">
        <w:t> </w:t>
      </w:r>
      <w:r w:rsidR="00992429">
        <w:t xml:space="preserve">[112] and </w:t>
      </w:r>
      <w:proofErr w:type="spellStart"/>
      <w:r w:rsidR="00992429" w:rsidRPr="00992429">
        <w:rPr>
          <w:i/>
        </w:rPr>
        <w:t>Idameneo</w:t>
      </w:r>
      <w:proofErr w:type="spellEnd"/>
      <w:r w:rsidR="00992429">
        <w:t xml:space="preserve"> at [57]</w:t>
      </w:r>
      <w:r w:rsidR="00A446D7">
        <w:t>.</w:t>
      </w:r>
      <w:r w:rsidR="0029448E">
        <w:t xml:space="preserve"> </w:t>
      </w:r>
      <w:r w:rsidR="001655DD">
        <w:t>The p</w:t>
      </w:r>
      <w:r w:rsidR="00992429">
        <w:t>assing references in th</w:t>
      </w:r>
      <w:r w:rsidR="001655DD">
        <w:t>es</w:t>
      </w:r>
      <w:r w:rsidR="00992429">
        <w:t xml:space="preserve">e </w:t>
      </w:r>
      <w:r w:rsidR="001655DD">
        <w:t xml:space="preserve">two </w:t>
      </w:r>
      <w:r w:rsidR="00992429">
        <w:t xml:space="preserve">cases to the </w:t>
      </w:r>
      <w:r w:rsidR="00FE341E">
        <w:t>notional</w:t>
      </w:r>
      <w:r w:rsidR="00992429">
        <w:t xml:space="preserve"> cons</w:t>
      </w:r>
      <w:r w:rsidR="001655DD">
        <w:t>umer’s “knowledge” of the mark</w:t>
      </w:r>
      <w:r w:rsidR="00992429">
        <w:t xml:space="preserve"> do not contemplate anything other than the </w:t>
      </w:r>
      <w:r w:rsidR="001A7560">
        <w:t>well-known</w:t>
      </w:r>
      <w:r w:rsidR="00992429">
        <w:t xml:space="preserve"> and long standing test for deceptive similarity. The knowledge of the mark credited to the </w:t>
      </w:r>
      <w:r w:rsidR="00FE341E">
        <w:t xml:space="preserve">notional </w:t>
      </w:r>
      <w:r w:rsidR="00992429">
        <w:t>consumer is no more than the imperfect recollection of the registered mark</w:t>
      </w:r>
      <w:r w:rsidR="00FE341E">
        <w:t xml:space="preserve">, as referred to in </w:t>
      </w:r>
      <w:r w:rsidR="00992429">
        <w:t>the authorities.</w:t>
      </w:r>
    </w:p>
    <w:p w14:paraId="3EADF57C" w14:textId="77777777" w:rsidR="00261BB2" w:rsidRDefault="00DA1743" w:rsidP="0029448E">
      <w:pPr>
        <w:pStyle w:val="ParaNumbering"/>
      </w:pPr>
      <w:r>
        <w:t xml:space="preserve">Specifically, in </w:t>
      </w:r>
      <w:r w:rsidR="00843FA2">
        <w:t xml:space="preserve">the context of discussing the assessment of deceptive similarity, </w:t>
      </w:r>
      <w:r w:rsidR="00261BB2">
        <w:t>Yates</w:t>
      </w:r>
      <w:r>
        <w:t xml:space="preserve"> J</w:t>
      </w:r>
      <w:r w:rsidR="00261BB2">
        <w:t xml:space="preserve"> in </w:t>
      </w:r>
      <w:r w:rsidR="00261BB2" w:rsidRPr="0029448E">
        <w:rPr>
          <w:i/>
        </w:rPr>
        <w:t>Optical 88</w:t>
      </w:r>
      <w:r w:rsidR="00261BB2">
        <w:t xml:space="preserve"> </w:t>
      </w:r>
      <w:r>
        <w:t>said (at [112]</w:t>
      </w:r>
      <w:r w:rsidR="00FE341E">
        <w:t>)</w:t>
      </w:r>
      <w:r w:rsidR="00261BB2">
        <w:t>:</w:t>
      </w:r>
    </w:p>
    <w:p w14:paraId="32AF6625" w14:textId="77777777" w:rsidR="00261BB2" w:rsidRDefault="00DA1743" w:rsidP="00C8499D">
      <w:pPr>
        <w:pStyle w:val="Quote1"/>
        <w:ind w:left="1440" w:hanging="703"/>
      </w:pPr>
      <w:r>
        <w:t>112</w:t>
      </w:r>
      <w:r>
        <w:tab/>
      </w:r>
      <w:r w:rsidR="00261BB2">
        <w:t>The question of the impression of the marks on the minds of likely customers is important because, although they are assumed to have knowledge of the mark alleged to have been infringed, those customers are not to be treat</w:t>
      </w:r>
      <w:r w:rsidR="00A446D7">
        <w:t>e</w:t>
      </w:r>
      <w:r w:rsidR="00261BB2">
        <w:t xml:space="preserve">d as having perfect recollection of the </w:t>
      </w:r>
      <w:r w:rsidR="001369B7">
        <w:t>mark in all its d</w:t>
      </w:r>
      <w:r w:rsidR="00C81513">
        <w:t>e</w:t>
      </w:r>
      <w:r w:rsidR="001369B7">
        <w:t>tails. Quite to the contrary; in considering the question of deceptive similarity, allowance must be made for imperfect re</w:t>
      </w:r>
      <w:r w:rsidR="00C81513">
        <w:t>collection based on impression.</w:t>
      </w:r>
    </w:p>
    <w:p w14:paraId="0DEE79F4" w14:textId="77777777" w:rsidR="00C81513" w:rsidRDefault="00C81513" w:rsidP="00261BB2">
      <w:pPr>
        <w:pStyle w:val="Quote1"/>
      </w:pPr>
      <w:r>
        <w:t>(Citations omitted.)</w:t>
      </w:r>
    </w:p>
    <w:p w14:paraId="10C93752" w14:textId="77777777" w:rsidR="00843FA2" w:rsidRDefault="00DA1743" w:rsidP="00FE1D03">
      <w:pPr>
        <w:pStyle w:val="ParaNumbering"/>
      </w:pPr>
      <w:r>
        <w:t>It is clear that his Honour’s</w:t>
      </w:r>
      <w:r w:rsidR="00843FA2">
        <w:t xml:space="preserve"> use of “knowledge” in</w:t>
      </w:r>
      <w:r>
        <w:t xml:space="preserve"> this passage in</w:t>
      </w:r>
      <w:r w:rsidR="00843FA2">
        <w:t xml:space="preserve"> </w:t>
      </w:r>
      <w:r w:rsidR="00843FA2" w:rsidRPr="00843FA2">
        <w:rPr>
          <w:i/>
        </w:rPr>
        <w:t>Optical 88</w:t>
      </w:r>
      <w:r w:rsidR="00843FA2">
        <w:t xml:space="preserve"> was </w:t>
      </w:r>
      <w:r>
        <w:t>not conveying</w:t>
      </w:r>
      <w:r w:rsidR="00843FA2">
        <w:t xml:space="preserve"> the broader concept of knowledge </w:t>
      </w:r>
      <w:r>
        <w:t>for which</w:t>
      </w:r>
      <w:r w:rsidR="00843FA2">
        <w:t xml:space="preserve"> </w:t>
      </w:r>
      <w:proofErr w:type="spellStart"/>
      <w:r w:rsidR="00843FA2">
        <w:t>Swancom</w:t>
      </w:r>
      <w:proofErr w:type="spellEnd"/>
      <w:r>
        <w:t xml:space="preserve"> </w:t>
      </w:r>
      <w:r w:rsidR="003E78CE">
        <w:t>contends</w:t>
      </w:r>
      <w:r w:rsidR="00843FA2">
        <w:t xml:space="preserve">. </w:t>
      </w:r>
      <w:r>
        <w:t xml:space="preserve">His Honour’s </w:t>
      </w:r>
      <w:r w:rsidR="001655DD">
        <w:t>reference to “knowledge”</w:t>
      </w:r>
      <w:r w:rsidR="00854E82">
        <w:t xml:space="preserve"> was made in the context of </w:t>
      </w:r>
      <w:r w:rsidR="00C06E39">
        <w:t xml:space="preserve">his </w:t>
      </w:r>
      <w:r w:rsidR="00854E82">
        <w:t xml:space="preserve">discussion of the </w:t>
      </w:r>
      <w:r w:rsidR="00440D7E">
        <w:t>well-known</w:t>
      </w:r>
      <w:r w:rsidR="00854E82">
        <w:t xml:space="preserve"> test </w:t>
      </w:r>
      <w:r w:rsidR="00B509CC">
        <w:t>for dece</w:t>
      </w:r>
      <w:r w:rsidR="00440D7E">
        <w:t xml:space="preserve">ptive </w:t>
      </w:r>
      <w:r w:rsidR="00440D7E">
        <w:lastRenderedPageBreak/>
        <w:t xml:space="preserve">similarity in </w:t>
      </w:r>
      <w:r w:rsidR="00440D7E" w:rsidRPr="00440D7E">
        <w:rPr>
          <w:i/>
        </w:rPr>
        <w:t>Australian W</w:t>
      </w:r>
      <w:r w:rsidR="00B509CC" w:rsidRPr="00440D7E">
        <w:rPr>
          <w:i/>
        </w:rPr>
        <w:t>oollen Mills</w:t>
      </w:r>
      <w:r w:rsidR="00B509CC">
        <w:t xml:space="preserve"> at 659, and the imperfect recol</w:t>
      </w:r>
      <w:r w:rsidR="00440D7E">
        <w:t xml:space="preserve">lection of the registered mark. </w:t>
      </w:r>
      <w:r>
        <w:t>His Honour’s</w:t>
      </w:r>
      <w:r w:rsidR="00843FA2">
        <w:t xml:space="preserve"> comments were made after he had expressly stated earlier</w:t>
      </w:r>
      <w:r>
        <w:t>,</w:t>
      </w:r>
      <w:r w:rsidR="00843FA2">
        <w:t xml:space="preserve"> at [96]</w:t>
      </w:r>
      <w:r>
        <w:t>,</w:t>
      </w:r>
      <w:r w:rsidR="00843FA2">
        <w:t xml:space="preserve"> that it is generally recognised that</w:t>
      </w:r>
      <w:r>
        <w:t>,</w:t>
      </w:r>
      <w:r w:rsidR="00843FA2">
        <w:t xml:space="preserve"> for the purposes of trade mark infringement under s</w:t>
      </w:r>
      <w:r w:rsidR="00060EF0">
        <w:t xml:space="preserve"> </w:t>
      </w:r>
      <w:r w:rsidR="00843FA2">
        <w:t xml:space="preserve">120(1) of the Act, consideration of the trade mark owner’s reputation in the registered mark is not relevant “save (perhaps somewhat contentiously) where reputation is a matter of notoriety”. </w:t>
      </w:r>
      <w:r w:rsidR="00DE047A">
        <w:t>At [98]</w:t>
      </w:r>
      <w:r>
        <w:t>, his Honour</w:t>
      </w:r>
      <w:r w:rsidR="00DE047A">
        <w:t xml:space="preserve"> contrasted the position under s</w:t>
      </w:r>
      <w:r w:rsidR="00060EF0">
        <w:t xml:space="preserve"> </w:t>
      </w:r>
      <w:r w:rsidR="00DE047A">
        <w:t>120(3) where</w:t>
      </w:r>
      <w:r>
        <w:t>,</w:t>
      </w:r>
      <w:r w:rsidR="00DE047A">
        <w:t xml:space="preserve"> in that context</w:t>
      </w:r>
      <w:r>
        <w:t>,</w:t>
      </w:r>
      <w:r w:rsidR="00DE047A">
        <w:t xml:space="preserve"> actual knowledge of</w:t>
      </w:r>
      <w:r w:rsidR="001655DD">
        <w:t xml:space="preserve"> the mark is “all important”</w:t>
      </w:r>
      <w:r w:rsidR="00DE047A">
        <w:t>.</w:t>
      </w:r>
    </w:p>
    <w:p w14:paraId="125C08AD" w14:textId="77777777" w:rsidR="00843FA2" w:rsidRDefault="00843FA2" w:rsidP="0029448E">
      <w:pPr>
        <w:pStyle w:val="ParaNumbering"/>
      </w:pPr>
      <w:r>
        <w:t xml:space="preserve">The Full Court in </w:t>
      </w:r>
      <w:proofErr w:type="spellStart"/>
      <w:r w:rsidRPr="00E5200C">
        <w:rPr>
          <w:i/>
        </w:rPr>
        <w:t>Idameneo</w:t>
      </w:r>
      <w:proofErr w:type="spellEnd"/>
      <w:r>
        <w:t xml:space="preserve"> referred</w:t>
      </w:r>
      <w:r w:rsidR="00DA1743">
        <w:t>,</w:t>
      </w:r>
      <w:r>
        <w:t xml:space="preserve"> </w:t>
      </w:r>
      <w:r w:rsidR="00902186">
        <w:t>at [57]</w:t>
      </w:r>
      <w:r w:rsidR="00DA1743">
        <w:t>,</w:t>
      </w:r>
      <w:r w:rsidR="00902186">
        <w:t xml:space="preserve"> </w:t>
      </w:r>
      <w:r>
        <w:t>to the above pas</w:t>
      </w:r>
      <w:r w:rsidR="00902186">
        <w:t xml:space="preserve">sage from </w:t>
      </w:r>
      <w:r w:rsidR="00902186" w:rsidRPr="00E5200C">
        <w:rPr>
          <w:i/>
        </w:rPr>
        <w:t>Optical 88</w:t>
      </w:r>
      <w:r>
        <w:t xml:space="preserve"> </w:t>
      </w:r>
      <w:r w:rsidR="00902186">
        <w:t>and</w:t>
      </w:r>
      <w:r w:rsidR="00C542E1">
        <w:t xml:space="preserve"> observed that “the statutory criterion of ‘deceptive similarity’</w:t>
      </w:r>
      <w:r>
        <w:t xml:space="preserve"> assumes that an intending purchaser or viewer has knowledge of the mark alleged to have been infringed</w:t>
      </w:r>
      <w:r w:rsidR="00C542E1">
        <w:t>”</w:t>
      </w:r>
      <w:r>
        <w:t xml:space="preserve">. </w:t>
      </w:r>
      <w:r w:rsidR="00902186">
        <w:t xml:space="preserve">In </w:t>
      </w:r>
      <w:r w:rsidR="00C06E39">
        <w:t xml:space="preserve">that </w:t>
      </w:r>
      <w:r w:rsidR="00902186">
        <w:t xml:space="preserve">case, the Court was </w:t>
      </w:r>
      <w:r w:rsidR="00E5200C">
        <w:t xml:space="preserve">construing a contractual term and </w:t>
      </w:r>
      <w:r w:rsidR="00902186">
        <w:t xml:space="preserve">considering the use of a trade mark in a specialised market. </w:t>
      </w:r>
      <w:r w:rsidR="00E5200C">
        <w:t>The Court meant no more than that</w:t>
      </w:r>
      <w:r w:rsidR="00FE341E">
        <w:t>,</w:t>
      </w:r>
      <w:r w:rsidR="00E5200C">
        <w:t xml:space="preserve"> in assessing deceptive similarity</w:t>
      </w:r>
      <w:r w:rsidR="00FE341E">
        <w:t>,</w:t>
      </w:r>
      <w:r w:rsidR="00E5200C">
        <w:t xml:space="preserve"> the </w:t>
      </w:r>
      <w:r w:rsidR="00FE341E">
        <w:t xml:space="preserve">notional </w:t>
      </w:r>
      <w:r w:rsidR="00E5200C">
        <w:t>consumer is taken to have an imperfect recollection of the registered mark</w:t>
      </w:r>
      <w:r w:rsidR="0029448E">
        <w:t xml:space="preserve"> in accordance with the </w:t>
      </w:r>
      <w:r w:rsidR="00DE047A">
        <w:t>long</w:t>
      </w:r>
      <w:r w:rsidR="00FE341E">
        <w:t xml:space="preserve"> </w:t>
      </w:r>
      <w:r w:rsidR="00DE047A">
        <w:t xml:space="preserve">standing </w:t>
      </w:r>
      <w:r w:rsidR="0029448E">
        <w:t xml:space="preserve">authorities </w:t>
      </w:r>
      <w:r w:rsidR="00C06E39">
        <w:t xml:space="preserve">discussed </w:t>
      </w:r>
      <w:r w:rsidR="0029448E">
        <w:t>above</w:t>
      </w:r>
      <w:r w:rsidR="00E5200C">
        <w:t>.</w:t>
      </w:r>
    </w:p>
    <w:p w14:paraId="6FC59E0D" w14:textId="77777777" w:rsidR="00AA254F" w:rsidRDefault="00B3760A" w:rsidP="00B1389A">
      <w:pPr>
        <w:pStyle w:val="ParaNumbering"/>
      </w:pPr>
      <w:r>
        <w:t>In assessing deceptive similarity, the context of the surrounding circumstances is not to be ignored. Context is all important</w:t>
      </w:r>
      <w:r w:rsidR="00BA4F0E">
        <w:t>:</w:t>
      </w:r>
      <w:r>
        <w:t xml:space="preserve"> </w:t>
      </w:r>
      <w:r w:rsidRPr="009F3A1B">
        <w:rPr>
          <w:i/>
        </w:rPr>
        <w:t>Shell</w:t>
      </w:r>
      <w:r>
        <w:t xml:space="preserve"> at 422. </w:t>
      </w:r>
      <w:r w:rsidR="00C06E39">
        <w:t>In</w:t>
      </w:r>
      <w:r w:rsidR="00AA254F">
        <w:t xml:space="preserve"> </w:t>
      </w:r>
      <w:r w:rsidR="00AA254F">
        <w:rPr>
          <w:i/>
        </w:rPr>
        <w:t>Optical 88</w:t>
      </w:r>
      <w:r w:rsidR="00C06E39">
        <w:t>, Yates J said</w:t>
      </w:r>
      <w:r w:rsidR="00AA254F">
        <w:rPr>
          <w:i/>
        </w:rPr>
        <w:t xml:space="preserve"> </w:t>
      </w:r>
      <w:r w:rsidR="00C06E39">
        <w:t>(</w:t>
      </w:r>
      <w:r w:rsidR="00AA254F">
        <w:t>at [94]</w:t>
      </w:r>
      <w:r w:rsidR="00C06E39">
        <w:t>)</w:t>
      </w:r>
      <w:r w:rsidR="00AA254F">
        <w:t>:</w:t>
      </w:r>
    </w:p>
    <w:p w14:paraId="0B4D4453" w14:textId="77777777" w:rsidR="00B3760A" w:rsidRDefault="00C06E39" w:rsidP="00C8499D">
      <w:pPr>
        <w:pStyle w:val="Quote1"/>
        <w:ind w:left="1440" w:hanging="703"/>
      </w:pPr>
      <w:r>
        <w:t>94</w:t>
      </w:r>
      <w:r>
        <w:tab/>
      </w:r>
      <w:r w:rsidR="00B3760A">
        <w:t xml:space="preserve">As </w:t>
      </w:r>
      <w:r w:rsidR="00B3760A" w:rsidRPr="00485BE4">
        <w:rPr>
          <w:i/>
        </w:rPr>
        <w:t>Australian Woollen Mills</w:t>
      </w:r>
      <w:r w:rsidR="00B3760A" w:rsidRPr="00485BE4">
        <w:t xml:space="preserve"> makes</w:t>
      </w:r>
      <w:r w:rsidR="00B3760A">
        <w:t xml:space="preserve"> clear, the comparison takes place in a</w:t>
      </w:r>
      <w:r w:rsidR="00ED3A85">
        <w:t xml:space="preserve"> </w:t>
      </w:r>
      <w:r w:rsidR="00B3760A">
        <w:t>particular context in accordance with a particular standard: “the course of business and the way in which the particular class of goods are sold gives, it may be said, the setting, and the habits and observation of men considered in the mass” affords the standard in determining whether the impugned mark is, properly</w:t>
      </w:r>
      <w:r w:rsidR="00AA254F">
        <w:t xml:space="preserve"> judged, “deceptively similar”.</w:t>
      </w:r>
    </w:p>
    <w:p w14:paraId="2E42D156" w14:textId="77777777" w:rsidR="002D1E6E" w:rsidRDefault="00D84592" w:rsidP="00B3760A">
      <w:pPr>
        <w:pStyle w:val="ParaNumbering"/>
      </w:pPr>
      <w:r>
        <w:t xml:space="preserve">But consideration </w:t>
      </w:r>
      <w:r w:rsidR="00B3760A">
        <w:t xml:space="preserve">of the context of the surrounding circumstances in which the use occurs does not open the door for </w:t>
      </w:r>
      <w:r w:rsidR="003E78CE">
        <w:t xml:space="preserve">a detailed </w:t>
      </w:r>
      <w:r w:rsidR="00B3760A">
        <w:t>examination of the actual use of the registered mark, or any consideration of the reputation</w:t>
      </w:r>
      <w:r w:rsidR="00FE341E">
        <w:t xml:space="preserve"> associated with the mark. The e</w:t>
      </w:r>
      <w:r w:rsidR="00B3760A">
        <w:t>nquiry into the surrounding circumstances</w:t>
      </w:r>
      <w:r w:rsidR="003E78CE">
        <w:t xml:space="preserve"> that is required</w:t>
      </w:r>
      <w:r w:rsidR="00B3760A">
        <w:t xml:space="preserve"> should </w:t>
      </w:r>
      <w:r w:rsidR="00FE341E">
        <w:t>not be confused with the wider e</w:t>
      </w:r>
      <w:r w:rsidR="00B3760A">
        <w:t>nquiry of the kind that might be undertaken in a passing off acti</w:t>
      </w:r>
      <w:r w:rsidR="00C859DE">
        <w:t xml:space="preserve">on or </w:t>
      </w:r>
      <w:r w:rsidR="00EA061E">
        <w:t xml:space="preserve">a claim of </w:t>
      </w:r>
      <w:r w:rsidR="00C859DE">
        <w:t xml:space="preserve">misleading and deceptive </w:t>
      </w:r>
      <w:r w:rsidR="00EA061E">
        <w:t xml:space="preserve">conduct under the </w:t>
      </w:r>
      <w:r w:rsidR="00B3760A">
        <w:t>A</w:t>
      </w:r>
      <w:r w:rsidR="00C859DE">
        <w:t xml:space="preserve">ustralian </w:t>
      </w:r>
      <w:r w:rsidR="00B3760A">
        <w:t>C</w:t>
      </w:r>
      <w:r w:rsidR="00C859DE">
        <w:t xml:space="preserve">onsumer </w:t>
      </w:r>
      <w:r w:rsidR="00B3760A">
        <w:t>L</w:t>
      </w:r>
      <w:r w:rsidR="00C859DE">
        <w:t>aw:</w:t>
      </w:r>
      <w:r w:rsidR="00B3760A">
        <w:t xml:space="preserve"> </w:t>
      </w:r>
      <w:r w:rsidR="00B3760A" w:rsidRPr="00637B6C">
        <w:rPr>
          <w:i/>
        </w:rPr>
        <w:t xml:space="preserve">Optical 88 </w:t>
      </w:r>
      <w:r w:rsidR="00B3760A">
        <w:t xml:space="preserve">at </w:t>
      </w:r>
      <w:r w:rsidR="00FE341E">
        <w:t>[95] per Yates J. Such a wider e</w:t>
      </w:r>
      <w:r w:rsidR="00B3760A">
        <w:t>nquiry into goodwill, if any, aro</w:t>
      </w:r>
      <w:r w:rsidR="00B207DE">
        <w:t>und the mark is not appropriate:</w:t>
      </w:r>
      <w:r w:rsidR="00B3760A">
        <w:t xml:space="preserve"> </w:t>
      </w:r>
      <w:proofErr w:type="spellStart"/>
      <w:r w:rsidR="00B3760A" w:rsidRPr="005D2195">
        <w:rPr>
          <w:i/>
        </w:rPr>
        <w:t>Henschke</w:t>
      </w:r>
      <w:proofErr w:type="spellEnd"/>
      <w:r w:rsidR="00B207DE">
        <w:t xml:space="preserve"> at [44];</w:t>
      </w:r>
      <w:r w:rsidR="00B3760A">
        <w:t xml:space="preserve"> </w:t>
      </w:r>
      <w:r w:rsidR="00B3760A" w:rsidRPr="0042785A">
        <w:rPr>
          <w:i/>
        </w:rPr>
        <w:t>Pacific Publications</w:t>
      </w:r>
      <w:r w:rsidR="00B207DE" w:rsidRPr="0042785A">
        <w:rPr>
          <w:i/>
        </w:rPr>
        <w:t xml:space="preserve"> Pty Ltd v IPC Media Pty Ltd </w:t>
      </w:r>
      <w:r w:rsidR="00B207DE" w:rsidRPr="0042785A">
        <w:t>(2003) 57 IPR 28</w:t>
      </w:r>
      <w:r w:rsidR="00B3760A">
        <w:t xml:space="preserve"> per Beaumont J at [102].</w:t>
      </w:r>
    </w:p>
    <w:p w14:paraId="54659806" w14:textId="77777777" w:rsidR="00637B6C" w:rsidRDefault="005D2195" w:rsidP="00855CED">
      <w:pPr>
        <w:pStyle w:val="ParaNumbering"/>
      </w:pPr>
      <w:r w:rsidRPr="005D2195">
        <w:t>The deceptiveness that is contemplated must result from similarity</w:t>
      </w:r>
      <w:r w:rsidR="00D84592">
        <w:t xml:space="preserve"> in the competing marks</w:t>
      </w:r>
      <w:r w:rsidRPr="005D2195">
        <w:t>; but the likelihood of deception must be judged not by the degree of similarity alone, but by the effect of that similarity in all the circumstances</w:t>
      </w:r>
      <w:r w:rsidR="004C5878">
        <w:t>, including</w:t>
      </w:r>
      <w:r>
        <w:t xml:space="preserve"> against the background of the usages of the particular trade: </w:t>
      </w:r>
      <w:r w:rsidRPr="00B1389A">
        <w:rPr>
          <w:i/>
        </w:rPr>
        <w:t>Shell</w:t>
      </w:r>
      <w:r>
        <w:t xml:space="preserve"> at 410</w:t>
      </w:r>
      <w:r w:rsidR="004C5878">
        <w:t xml:space="preserve"> and 416 per</w:t>
      </w:r>
      <w:r>
        <w:t xml:space="preserve"> W</w:t>
      </w:r>
      <w:r w:rsidR="00992429">
        <w:t>indeyer J. In</w:t>
      </w:r>
      <w:r w:rsidR="004C5878" w:rsidRPr="004C5878">
        <w:rPr>
          <w:i/>
        </w:rPr>
        <w:t xml:space="preserve"> </w:t>
      </w:r>
      <w:proofErr w:type="spellStart"/>
      <w:r w:rsidR="004C5878" w:rsidRPr="004C5878">
        <w:rPr>
          <w:i/>
        </w:rPr>
        <w:t>Hensc</w:t>
      </w:r>
      <w:r w:rsidR="00B3760A">
        <w:rPr>
          <w:i/>
        </w:rPr>
        <w:t>h</w:t>
      </w:r>
      <w:r w:rsidR="004C5878" w:rsidRPr="004C5878">
        <w:rPr>
          <w:i/>
        </w:rPr>
        <w:t>ke</w:t>
      </w:r>
      <w:proofErr w:type="spellEnd"/>
      <w:r w:rsidR="004C5878">
        <w:t xml:space="preserve"> </w:t>
      </w:r>
      <w:r w:rsidR="00AD07BB">
        <w:t>(at [42])</w:t>
      </w:r>
      <w:r w:rsidR="00791A83">
        <w:t xml:space="preserve"> </w:t>
      </w:r>
      <w:r w:rsidR="004C5878">
        <w:t xml:space="preserve">the </w:t>
      </w:r>
      <w:r w:rsidR="004C5878">
        <w:lastRenderedPageBreak/>
        <w:t>surrounding circumstances were held to include the way in which wine is marketed and the knowledge that the wine market was a crowded one</w:t>
      </w:r>
      <w:r w:rsidR="00DA51F5">
        <w:t xml:space="preserve"> with topographical and geographical</w:t>
      </w:r>
      <w:r w:rsidR="00C06E39">
        <w:t xml:space="preserve"> reference</w:t>
      </w:r>
      <w:r w:rsidR="00DA51F5">
        <w:t xml:space="preserve"> being common.</w:t>
      </w:r>
      <w:r w:rsidR="004C5878">
        <w:t xml:space="preserve"> </w:t>
      </w:r>
    </w:p>
    <w:p w14:paraId="5885F878" w14:textId="77777777" w:rsidR="00992429" w:rsidRDefault="00B1389A" w:rsidP="00855CED">
      <w:pPr>
        <w:pStyle w:val="ParaNumbering"/>
      </w:pPr>
      <w:r>
        <w:t xml:space="preserve">In </w:t>
      </w:r>
      <w:r w:rsidRPr="00453BD7">
        <w:rPr>
          <w:i/>
        </w:rPr>
        <w:t>MID Sydney</w:t>
      </w:r>
      <w:r w:rsidR="00C06E39">
        <w:t>,</w:t>
      </w:r>
      <w:r>
        <w:t xml:space="preserve"> the surrounding circumstances incl</w:t>
      </w:r>
      <w:r w:rsidR="00453BD7">
        <w:t>uded the widespread use of the w</w:t>
      </w:r>
      <w:r>
        <w:t>ord “Chifley”</w:t>
      </w:r>
      <w:r w:rsidR="00DB2952">
        <w:t xml:space="preserve"> in contexts other than the property management services in respect of </w:t>
      </w:r>
      <w:r w:rsidR="00C06E39">
        <w:t>which the mark was registered</w:t>
      </w:r>
      <w:r>
        <w:t xml:space="preserve">. </w:t>
      </w:r>
      <w:r w:rsidR="00992429">
        <w:t xml:space="preserve">The Full Court </w:t>
      </w:r>
      <w:r w:rsidR="00833A72">
        <w:t>considered whether the mark “Chifley Tower”</w:t>
      </w:r>
      <w:r w:rsidR="00C06E39">
        <w:t>,</w:t>
      </w:r>
      <w:r w:rsidR="00833A72">
        <w:t xml:space="preserve"> </w:t>
      </w:r>
      <w:r w:rsidR="00DE047A">
        <w:t xml:space="preserve">registered in respect of property management services, </w:t>
      </w:r>
      <w:r w:rsidR="00833A72">
        <w:t xml:space="preserve">was deceptively similar to the </w:t>
      </w:r>
      <w:r w:rsidR="00453BD7">
        <w:t>name</w:t>
      </w:r>
      <w:r w:rsidR="00833A72">
        <w:t xml:space="preserve"> </w:t>
      </w:r>
      <w:r w:rsidR="006D52AF">
        <w:t xml:space="preserve">“Chifley” used in </w:t>
      </w:r>
      <w:r w:rsidR="00453BD7">
        <w:t>connection with hotel related services</w:t>
      </w:r>
      <w:r w:rsidR="006D52AF">
        <w:t>.</w:t>
      </w:r>
      <w:r w:rsidR="00833A72">
        <w:t xml:space="preserve"> </w:t>
      </w:r>
      <w:r w:rsidR="006D52AF">
        <w:t>The Full Court noted that “Chifley” was familiar not only as the name of a former Prime Minister but, as the evidence showed, also from its use in a number of geographic and other contexts including suburbs, districts or places known as “Chifley”, as well as a Chifley Arcade and a well-known restaurant “</w:t>
      </w:r>
      <w:r w:rsidR="000F7169">
        <w:t xml:space="preserve">The </w:t>
      </w:r>
      <w:r w:rsidR="006D52AF">
        <w:t xml:space="preserve">Chifley” in Canberra.  The Full Court stated </w:t>
      </w:r>
      <w:r w:rsidR="000F7169">
        <w:t>(</w:t>
      </w:r>
      <w:r w:rsidR="00391CC4">
        <w:t>at 570</w:t>
      </w:r>
      <w:r w:rsidR="000F7169">
        <w:t>)</w:t>
      </w:r>
      <w:r w:rsidR="006D52AF">
        <w:t>:</w:t>
      </w:r>
    </w:p>
    <w:p w14:paraId="2699E8B7" w14:textId="50A7FA34" w:rsidR="006D52AF" w:rsidRDefault="006D52AF" w:rsidP="006D52AF">
      <w:pPr>
        <w:pStyle w:val="Quote1"/>
      </w:pPr>
      <w:r>
        <w:t xml:space="preserve">The ordinary person whose reaction is in question need not be credited with an encyclopaedic knowledge of everything to which the name </w:t>
      </w:r>
      <w:r w:rsidR="00566844">
        <w:t>“</w:t>
      </w:r>
      <w:r>
        <w:t>Chifley</w:t>
      </w:r>
      <w:r w:rsidR="00566844">
        <w:t>”</w:t>
      </w:r>
      <w:r>
        <w:t xml:space="preserve"> has been applied, but should be credited with a general knowledge that there are several such applications. </w:t>
      </w:r>
    </w:p>
    <w:p w14:paraId="79817524" w14:textId="460E92CC" w:rsidR="00A911FD" w:rsidRDefault="00AD5F64" w:rsidP="00855CED">
      <w:pPr>
        <w:pStyle w:val="ParaNumbering"/>
      </w:pPr>
      <w:r>
        <w:t xml:space="preserve">In </w:t>
      </w:r>
      <w:r w:rsidRPr="00AD5F64">
        <w:rPr>
          <w:i/>
        </w:rPr>
        <w:t>PDP Capital</w:t>
      </w:r>
      <w:r w:rsidR="000F7169">
        <w:t>,</w:t>
      </w:r>
      <w:r>
        <w:t xml:space="preserve"> the Full Court</w:t>
      </w:r>
      <w:r w:rsidR="000F7169">
        <w:t>,</w:t>
      </w:r>
      <w:r>
        <w:t xml:space="preserve"> at [111]</w:t>
      </w:r>
      <w:r w:rsidR="000F7169">
        <w:t>,</w:t>
      </w:r>
      <w:r>
        <w:t xml:space="preserve"> observed that “</w:t>
      </w:r>
      <w:r w:rsidR="00A911FD">
        <w:t>[b]</w:t>
      </w:r>
      <w:proofErr w:type="spellStart"/>
      <w:r w:rsidR="00A911FD">
        <w:t>eyond</w:t>
      </w:r>
      <w:proofErr w:type="spellEnd"/>
      <w:r w:rsidR="00A911FD">
        <w:t xml:space="preserve"> having a general bearing on the habits and practices of consumers, </w:t>
      </w:r>
      <w:r>
        <w:t>more granular detail of actual trade circumstances of either parties’ conduct is not relevant to the inquiry” as to whether the alleged infringer’s trade mark is deceptively similar to the registered trade mark.</w:t>
      </w:r>
      <w:r w:rsidR="0065486D">
        <w:t xml:space="preserve"> </w:t>
      </w:r>
      <w:r w:rsidR="00A911FD">
        <w:t>The Full Court identified that as an important disti</w:t>
      </w:r>
      <w:r w:rsidR="00ED3A85">
        <w:t xml:space="preserve">nction between the enquiry for s </w:t>
      </w:r>
      <w:r w:rsidR="00A911FD">
        <w:t>120(1) and the broader enquiry for passing off or misleading and deceptive conduct under the A</w:t>
      </w:r>
      <w:r w:rsidR="008134CE">
        <w:t xml:space="preserve">ustralian </w:t>
      </w:r>
      <w:r w:rsidR="00A911FD">
        <w:t>C</w:t>
      </w:r>
      <w:r w:rsidR="008134CE">
        <w:t xml:space="preserve">onsumer </w:t>
      </w:r>
      <w:r w:rsidR="00A911FD">
        <w:t>L</w:t>
      </w:r>
      <w:r w:rsidR="008134CE">
        <w:t>aw</w:t>
      </w:r>
      <w:r w:rsidR="00A911FD">
        <w:t>.</w:t>
      </w:r>
    </w:p>
    <w:p w14:paraId="7677DCE9" w14:textId="654FF3FC" w:rsidR="00A77013" w:rsidRDefault="0059672A" w:rsidP="0059672A">
      <w:pPr>
        <w:pStyle w:val="ParaNumbering"/>
      </w:pPr>
      <w:r w:rsidRPr="00646EDE">
        <w:t xml:space="preserve">Contrary to </w:t>
      </w:r>
      <w:proofErr w:type="spellStart"/>
      <w:r w:rsidRPr="00646EDE">
        <w:t>Swancom’s</w:t>
      </w:r>
      <w:proofErr w:type="spellEnd"/>
      <w:r w:rsidRPr="00646EDE">
        <w:t xml:space="preserve"> submission, t</w:t>
      </w:r>
      <w:r w:rsidR="00012F16" w:rsidRPr="00646EDE">
        <w:t xml:space="preserve">he </w:t>
      </w:r>
      <w:r w:rsidR="00A77013" w:rsidRPr="00646EDE">
        <w:t xml:space="preserve">use by </w:t>
      </w:r>
      <w:proofErr w:type="spellStart"/>
      <w:r w:rsidR="00A77013" w:rsidRPr="00646EDE">
        <w:t>Swancom</w:t>
      </w:r>
      <w:proofErr w:type="spellEnd"/>
      <w:r w:rsidR="00A77013" w:rsidRPr="00646EDE">
        <w:t xml:space="preserve"> and its predecessors of CORNER, THE CORNER and CORNER HOTEL for professional live music services </w:t>
      </w:r>
      <w:r w:rsidR="00012F16" w:rsidRPr="00646EDE">
        <w:t xml:space="preserve">that </w:t>
      </w:r>
      <w:r w:rsidR="00A77013" w:rsidRPr="00646EDE">
        <w:t xml:space="preserve">contributed to </w:t>
      </w:r>
      <w:r w:rsidR="00777AC9">
        <w:t>satisfying the requirements</w:t>
      </w:r>
      <w:r w:rsidR="00777AC9" w:rsidRPr="00646EDE">
        <w:t xml:space="preserve"> </w:t>
      </w:r>
      <w:r w:rsidR="00012F16" w:rsidRPr="00646EDE">
        <w:t>for</w:t>
      </w:r>
      <w:r w:rsidR="00A77013" w:rsidRPr="00646EDE">
        <w:t xml:space="preserve"> </w:t>
      </w:r>
      <w:r w:rsidR="00777AC9">
        <w:t xml:space="preserve">their </w:t>
      </w:r>
      <w:r w:rsidR="00A77013" w:rsidRPr="00646EDE">
        <w:t xml:space="preserve">registration </w:t>
      </w:r>
      <w:r w:rsidR="00FE341E">
        <w:t xml:space="preserve">as trade marks </w:t>
      </w:r>
      <w:r w:rsidR="00EA061E">
        <w:t xml:space="preserve">by reason of their </w:t>
      </w:r>
      <w:r w:rsidR="00EA061E" w:rsidRPr="00ED3A85">
        <w:t>acquired distinctiveness</w:t>
      </w:r>
      <w:r w:rsidR="00777AC9">
        <w:t>,</w:t>
      </w:r>
      <w:r w:rsidR="00EA061E">
        <w:t xml:space="preserve"> </w:t>
      </w:r>
      <w:r w:rsidRPr="00646EDE">
        <w:t xml:space="preserve">was not a relevant consideration </w:t>
      </w:r>
      <w:r w:rsidR="00777AC9">
        <w:t>when</w:t>
      </w:r>
      <w:r w:rsidRPr="00646EDE">
        <w:t xml:space="preserve"> determining </w:t>
      </w:r>
      <w:r w:rsidR="00777AC9">
        <w:t xml:space="preserve">the question of </w:t>
      </w:r>
      <w:r w:rsidRPr="00646EDE">
        <w:t>deceptive similarity</w:t>
      </w:r>
      <w:r w:rsidR="00EA061E">
        <w:t xml:space="preserve"> for the purposes of s</w:t>
      </w:r>
      <w:r w:rsidR="008134CE">
        <w:t xml:space="preserve"> </w:t>
      </w:r>
      <w:r w:rsidR="00EA061E">
        <w:t>120(1) of the Act</w:t>
      </w:r>
      <w:r w:rsidR="00B36E1F">
        <w:t xml:space="preserve">, beyond having a general bearing on the habits and practices of consumers, as the Full Court </w:t>
      </w:r>
      <w:r w:rsidR="00777AC9">
        <w:t>noted</w:t>
      </w:r>
      <w:r w:rsidR="00B36E1F">
        <w:t xml:space="preserve"> in </w:t>
      </w:r>
      <w:r w:rsidR="00B36E1F" w:rsidRPr="00C8499D">
        <w:rPr>
          <w:i/>
        </w:rPr>
        <w:t xml:space="preserve">PDP </w:t>
      </w:r>
      <w:r w:rsidR="00B36E1F" w:rsidRPr="00B36E1F">
        <w:rPr>
          <w:i/>
        </w:rPr>
        <w:t>Capital</w:t>
      </w:r>
      <w:r w:rsidRPr="00646EDE">
        <w:t xml:space="preserve">. </w:t>
      </w:r>
      <w:r w:rsidR="00FC2E1D">
        <w:t xml:space="preserve">However, </w:t>
      </w:r>
      <w:proofErr w:type="spellStart"/>
      <w:r w:rsidR="00B36E1F">
        <w:t>Swancom’s</w:t>
      </w:r>
      <w:proofErr w:type="spellEnd"/>
      <w:r w:rsidR="00B36E1F">
        <w:t xml:space="preserve"> primary submission in this appeal is</w:t>
      </w:r>
      <w:r w:rsidR="005346E2">
        <w:t xml:space="preserve">, in substance, </w:t>
      </w:r>
      <w:r w:rsidR="00900281">
        <w:t xml:space="preserve">really no more than </w:t>
      </w:r>
      <w:r w:rsidR="005346E2">
        <w:t>a contention that, for the purposes of determining the question of deceptive similarity in the context of infringement, the primary judge</w:t>
      </w:r>
      <w:r w:rsidR="00B36E1F">
        <w:t xml:space="preserve"> </w:t>
      </w:r>
      <w:r w:rsidR="005346E2">
        <w:t>should have taken</w:t>
      </w:r>
      <w:r w:rsidR="00777AC9">
        <w:t xml:space="preserve"> into account </w:t>
      </w:r>
      <w:proofErr w:type="spellStart"/>
      <w:r w:rsidR="00777AC9">
        <w:t>Swancom’s</w:t>
      </w:r>
      <w:proofErr w:type="spellEnd"/>
      <w:r w:rsidR="00777AC9">
        <w:t xml:space="preserve"> reputation in the </w:t>
      </w:r>
      <w:proofErr w:type="spellStart"/>
      <w:r w:rsidR="00777AC9">
        <w:t>Swa</w:t>
      </w:r>
      <w:r w:rsidR="005346E2">
        <w:t>ncom</w:t>
      </w:r>
      <w:proofErr w:type="spellEnd"/>
      <w:r w:rsidR="005346E2">
        <w:t xml:space="preserve"> marks. We reject that contention.</w:t>
      </w:r>
      <w:r w:rsidR="00900281">
        <w:t xml:space="preserve"> It is contrary to established principle.</w:t>
      </w:r>
      <w:r w:rsidR="005346E2">
        <w:t xml:space="preserve"> Correctly, the primary </w:t>
      </w:r>
      <w:r w:rsidR="005346E2">
        <w:lastRenderedPageBreak/>
        <w:t xml:space="preserve">judge placed no reliance on the reputation associated with the </w:t>
      </w:r>
      <w:proofErr w:type="spellStart"/>
      <w:r w:rsidR="005346E2">
        <w:t>Swancom</w:t>
      </w:r>
      <w:proofErr w:type="spellEnd"/>
      <w:r w:rsidR="005346E2">
        <w:t xml:space="preserve"> marks</w:t>
      </w:r>
      <w:r w:rsidR="003E78CE">
        <w:t xml:space="preserve"> for that purpose</w:t>
      </w:r>
      <w:r w:rsidR="00ED3A85">
        <w:t xml:space="preserve">: </w:t>
      </w:r>
      <w:r w:rsidR="005346E2">
        <w:t>J[254].</w:t>
      </w:r>
      <w:r w:rsidR="003E78CE">
        <w:t xml:space="preserve"> Therefore, error, in this respect, has not been established. </w:t>
      </w:r>
    </w:p>
    <w:p w14:paraId="6F62DA24" w14:textId="77777777" w:rsidR="006646B6" w:rsidRDefault="00D70204" w:rsidP="0059672A">
      <w:pPr>
        <w:pStyle w:val="ParaNumbering"/>
      </w:pPr>
      <w:r>
        <w:t xml:space="preserve">We </w:t>
      </w:r>
      <w:r w:rsidR="006646B6">
        <w:t>are not persuaded</w:t>
      </w:r>
      <w:r>
        <w:t xml:space="preserve"> that</w:t>
      </w:r>
      <w:r w:rsidR="00D52FE0">
        <w:t xml:space="preserve">, in undertaking his assessment of </w:t>
      </w:r>
      <w:r w:rsidR="00ED3A85">
        <w:t xml:space="preserve">whether the </w:t>
      </w:r>
      <w:r w:rsidR="00FE341E">
        <w:t xml:space="preserve">relevant </w:t>
      </w:r>
      <w:r w:rsidR="00ED3A85">
        <w:t>Jazz C</w:t>
      </w:r>
      <w:r w:rsidR="00D52FE0">
        <w:t xml:space="preserve">orner marks were deceptively similar to the </w:t>
      </w:r>
      <w:proofErr w:type="spellStart"/>
      <w:r w:rsidR="00D52FE0">
        <w:t>Swancom</w:t>
      </w:r>
      <w:proofErr w:type="spellEnd"/>
      <w:r w:rsidR="00D52FE0">
        <w:t xml:space="preserve"> marks,</w:t>
      </w:r>
      <w:r>
        <w:t xml:space="preserve"> the </w:t>
      </w:r>
      <w:r w:rsidR="00D52FE0">
        <w:t xml:space="preserve">primary judge erred in the other respects canvassed in </w:t>
      </w:r>
      <w:proofErr w:type="spellStart"/>
      <w:r w:rsidR="00D52FE0">
        <w:t>Swancom’s</w:t>
      </w:r>
      <w:proofErr w:type="spellEnd"/>
      <w:r w:rsidR="00D52FE0">
        <w:t xml:space="preserve"> submissions.  </w:t>
      </w:r>
    </w:p>
    <w:p w14:paraId="3E578EE4" w14:textId="77777777" w:rsidR="006646B6" w:rsidRDefault="00D52FE0" w:rsidP="0059672A">
      <w:pPr>
        <w:pStyle w:val="ParaNumbering"/>
      </w:pPr>
      <w:r>
        <w:t xml:space="preserve">A major theme in those submissions </w:t>
      </w:r>
      <w:r w:rsidR="000E38D1">
        <w:t>is</w:t>
      </w:r>
      <w:r>
        <w:t xml:space="preserve"> that, in undertaking his assessment, the primary judge</w:t>
      </w:r>
      <w:r w:rsidR="006646B6">
        <w:t xml:space="preserve"> distracted himself by focussing on the perception of consumers of hotel and hospitality services, when the infringement claim related to services in respect of which the </w:t>
      </w:r>
      <w:proofErr w:type="spellStart"/>
      <w:r w:rsidR="006646B6">
        <w:t>Swancom</w:t>
      </w:r>
      <w:proofErr w:type="spellEnd"/>
      <w:r w:rsidR="006646B6">
        <w:t xml:space="preserve"> marks were registered (</w:t>
      </w:r>
      <w:r w:rsidR="00FE341E">
        <w:t>relevantly</w:t>
      </w:r>
      <w:r w:rsidR="0062241C">
        <w:t>,</w:t>
      </w:r>
      <w:r w:rsidR="00FE341E">
        <w:t xml:space="preserve"> </w:t>
      </w:r>
      <w:r w:rsidR="006646B6">
        <w:t xml:space="preserve">live music services).  </w:t>
      </w:r>
    </w:p>
    <w:p w14:paraId="40118563" w14:textId="0F311D08" w:rsidR="00D70204" w:rsidRDefault="006646B6" w:rsidP="0059672A">
      <w:pPr>
        <w:pStyle w:val="ParaNumbering"/>
      </w:pPr>
      <w:r>
        <w:t>We do not accept that submission. First, as we have noted, the primary judge’s starting point was his finding that JCHPL had used the Jazz Corner Hotel and Jazz Corner of Melbourne marks, and that BBPL had used the Jazz Corner of Melbourne marks, in relation to</w:t>
      </w:r>
      <w:r w:rsidR="00FC355F">
        <w:t xml:space="preserve"> live music services:  J[244]. </w:t>
      </w:r>
      <w:r>
        <w:t>This provided the framework for his Honour’s subsequent analysis</w:t>
      </w:r>
      <w:r w:rsidR="000E38D1">
        <w:t>—trade mark use in respect of live music services</w:t>
      </w:r>
      <w:r>
        <w:t>.</w:t>
      </w:r>
    </w:p>
    <w:p w14:paraId="7B370885" w14:textId="53EA29CB" w:rsidR="006646B6" w:rsidRDefault="006646B6" w:rsidP="0059672A">
      <w:pPr>
        <w:pStyle w:val="ParaNumbering"/>
      </w:pPr>
      <w:r>
        <w:t xml:space="preserve">Secondly, </w:t>
      </w:r>
      <w:r w:rsidR="0065506C">
        <w:t>we do not accept that his Honour erred by having regard to the meaning of “corner hotel” as perceived by consumers of h</w:t>
      </w:r>
      <w:r w:rsidR="007749AC">
        <w:t xml:space="preserve">otel and hospitality services. </w:t>
      </w:r>
      <w:r w:rsidR="0065506C">
        <w:t xml:space="preserve">His Honour had earlier rejected </w:t>
      </w:r>
      <w:proofErr w:type="spellStart"/>
      <w:r w:rsidR="0065506C">
        <w:t>Swancom’s</w:t>
      </w:r>
      <w:proofErr w:type="spellEnd"/>
      <w:r w:rsidR="0065506C">
        <w:t xml:space="preserve"> contention that the words “corner hotel” have no signification in respect of live music services: J[154].  At J[247], his Honour returned to that fi</w:t>
      </w:r>
      <w:r w:rsidR="001C2B8E">
        <w:t>nding, stating that the meaning</w:t>
      </w:r>
      <w:r w:rsidR="0065506C">
        <w:t xml:space="preserve"> he had found</w:t>
      </w:r>
      <w:r w:rsidR="001C2B8E">
        <w:t xml:space="preserve"> had some signification for persons who wish to </w:t>
      </w:r>
      <w:r w:rsidR="000E38D1">
        <w:t xml:space="preserve">attend a live music performance. This </w:t>
      </w:r>
      <w:r w:rsidR="00E84447">
        <w:t>indicates</w:t>
      </w:r>
      <w:r w:rsidR="001C2B8E">
        <w:t xml:space="preserve"> that his Honour </w:t>
      </w:r>
      <w:r w:rsidR="00FE341E">
        <w:t>did not stray</w:t>
      </w:r>
      <w:r w:rsidR="001C2B8E">
        <w:t xml:space="preserve"> from the framework he had set.</w:t>
      </w:r>
    </w:p>
    <w:p w14:paraId="094EC331" w14:textId="1A6DCB5A" w:rsidR="001C2B8E" w:rsidRDefault="001C2B8E" w:rsidP="0059672A">
      <w:pPr>
        <w:pStyle w:val="ParaNumbering"/>
      </w:pPr>
      <w:r>
        <w:t>Thirdly, at J[253], the primary judge stated that, in assessing deceptive similarity, he had accepted the respondents’ submission that consumers of live music services can be expected to be discerning with their choices. In that regard, his Honour said:</w:t>
      </w:r>
    </w:p>
    <w:p w14:paraId="2DA2DF6E" w14:textId="77777777" w:rsidR="00244649" w:rsidRDefault="001C2B8E" w:rsidP="00ED3A85">
      <w:pPr>
        <w:pStyle w:val="Quote1"/>
        <w:tabs>
          <w:tab w:val="left" w:pos="1418"/>
        </w:tabs>
        <w:ind w:left="1418" w:hanging="681"/>
      </w:pPr>
      <w:r>
        <w:t>253</w:t>
      </w:r>
      <w:r>
        <w:tab/>
        <w:t>…</w:t>
      </w:r>
      <w:r w:rsidR="00ED3A85">
        <w:t xml:space="preserve"> </w:t>
      </w:r>
      <w:r w:rsidR="00244649">
        <w:t>N</w:t>
      </w:r>
      <w:r>
        <w:t xml:space="preserve">ot only will consumers want to see the music they like, they can be expected to be knowledgeable and discerning about the venues they wish to attend to see live music performance. </w:t>
      </w:r>
      <w:r w:rsidR="00244649">
        <w:t>…</w:t>
      </w:r>
    </w:p>
    <w:p w14:paraId="5C625461" w14:textId="77777777" w:rsidR="000E38D1" w:rsidRDefault="001C2B8E" w:rsidP="00FE341E">
      <w:pPr>
        <w:pStyle w:val="ParaNumbering"/>
      </w:pPr>
      <w:r>
        <w:t xml:space="preserve">Once again, </w:t>
      </w:r>
      <w:r w:rsidR="000E38D1">
        <w:t xml:space="preserve">this </w:t>
      </w:r>
      <w:r w:rsidR="00E84447">
        <w:t>indicates</w:t>
      </w:r>
      <w:r w:rsidR="000E38D1">
        <w:t xml:space="preserve"> that his Honour </w:t>
      </w:r>
      <w:r w:rsidR="00FE341E">
        <w:t>did not stray</w:t>
      </w:r>
      <w:r w:rsidR="000E38D1">
        <w:t xml:space="preserve"> from the framework he had set.</w:t>
      </w:r>
    </w:p>
    <w:p w14:paraId="434BE9C6" w14:textId="77777777" w:rsidR="005B65CE" w:rsidRDefault="00877AF1">
      <w:pPr>
        <w:pStyle w:val="ParaNumbering"/>
      </w:pPr>
      <w:proofErr w:type="spellStart"/>
      <w:r>
        <w:t>Swancom’s</w:t>
      </w:r>
      <w:proofErr w:type="spellEnd"/>
      <w:r>
        <w:t xml:space="preserve"> submission that the primary judge failed to take into account that there was no other live music venue trading under the names THE CORNER or CORNER HOTEL is an </w:t>
      </w:r>
      <w:r w:rsidR="00FE341E">
        <w:t xml:space="preserve">iteration </w:t>
      </w:r>
      <w:r>
        <w:t xml:space="preserve">of its </w:t>
      </w:r>
      <w:r w:rsidR="00FE341E">
        <w:t xml:space="preserve">principal </w:t>
      </w:r>
      <w:r>
        <w:t xml:space="preserve">submission </w:t>
      </w:r>
      <w:r w:rsidR="005B65CE">
        <w:t xml:space="preserve">that </w:t>
      </w:r>
      <w:r w:rsidR="00FE341E">
        <w:t>the</w:t>
      </w:r>
      <w:r w:rsidR="005B65CE">
        <w:t xml:space="preserve"> </w:t>
      </w:r>
      <w:r w:rsidR="00FE341E">
        <w:t>“</w:t>
      </w:r>
      <w:r w:rsidR="005B65CE">
        <w:t>acquired distinctive meaning</w:t>
      </w:r>
      <w:r w:rsidR="00FE341E">
        <w:t>”</w:t>
      </w:r>
      <w:r w:rsidR="005B65CE">
        <w:t xml:space="preserve"> </w:t>
      </w:r>
      <w:r w:rsidR="00226D09">
        <w:t xml:space="preserve">of a registered trade </w:t>
      </w:r>
      <w:r w:rsidR="00226D09">
        <w:lastRenderedPageBreak/>
        <w:t xml:space="preserve">mark </w:t>
      </w:r>
      <w:r w:rsidR="005B65CE">
        <w:t>informs the assessment of deceptive similarity in the context of trade mark infringement—a submission we have rejected.</w:t>
      </w:r>
    </w:p>
    <w:p w14:paraId="52543748" w14:textId="5EB41825" w:rsidR="00B95688" w:rsidRDefault="005B65CE">
      <w:pPr>
        <w:pStyle w:val="ParaNumbering"/>
      </w:pPr>
      <w:proofErr w:type="spellStart"/>
      <w:r>
        <w:t>Swancom’s</w:t>
      </w:r>
      <w:proofErr w:type="spellEnd"/>
      <w:r>
        <w:t xml:space="preserve"> submission that the primary judge erred by failing to consider that the Jazz Corner Hotel marks incorporate the whole of the distinctive mark CORNER HOTEL, cannot be accepted. It flies in the face of the primary judge’s acceptance at J[245] that all the </w:t>
      </w:r>
      <w:proofErr w:type="spellStart"/>
      <w:r>
        <w:t>Swancom</w:t>
      </w:r>
      <w:proofErr w:type="spellEnd"/>
      <w:r>
        <w:t xml:space="preserve"> marks and Jazz Corner marks have </w:t>
      </w:r>
      <w:r w:rsidR="00B95688">
        <w:t>the word “corner” in common and</w:t>
      </w:r>
      <w:r w:rsidR="00EF1F2C">
        <w:t>, specifically,</w:t>
      </w:r>
      <w:r w:rsidR="00B95688">
        <w:t xml:space="preserve"> that the CORNER HOTEL and the Jazz Corner Hotel marks have two words in common.</w:t>
      </w:r>
    </w:p>
    <w:p w14:paraId="03D9A3A5" w14:textId="26A1F83E" w:rsidR="00D32921" w:rsidRDefault="00B95688">
      <w:pPr>
        <w:pStyle w:val="ParaNumbering"/>
      </w:pPr>
      <w:r>
        <w:t xml:space="preserve">The balance of </w:t>
      </w:r>
      <w:proofErr w:type="spellStart"/>
      <w:r>
        <w:t>Swancom’s</w:t>
      </w:r>
      <w:proofErr w:type="spellEnd"/>
      <w:r>
        <w:t xml:space="preserve"> submissions on Grounds 1 to 4 </w:t>
      </w:r>
      <w:r w:rsidR="00091235">
        <w:t xml:space="preserve">really </w:t>
      </w:r>
      <w:r w:rsidR="00900281">
        <w:t xml:space="preserve">invite us to carry out afresh the evaluative task that the primary judge </w:t>
      </w:r>
      <w:r w:rsidR="00EF1F2C">
        <w:t xml:space="preserve">had </w:t>
      </w:r>
      <w:r w:rsidR="00900281">
        <w:t xml:space="preserve">carried out, with a view to us arriving at a </w:t>
      </w:r>
      <w:r w:rsidR="00EF1F2C">
        <w:t xml:space="preserve">different finding to supplant </w:t>
      </w:r>
      <w:r w:rsidR="00091235">
        <w:t>his Honour’s</w:t>
      </w:r>
      <w:r w:rsidR="00900281">
        <w:t xml:space="preserve"> finding.</w:t>
      </w:r>
      <w:r w:rsidR="00091235">
        <w:t xml:space="preserve"> That is not an invitation we accept. We are not persuaded that the primary judge erred in carrying out his evaluative task.  </w:t>
      </w:r>
    </w:p>
    <w:p w14:paraId="4F67A64A" w14:textId="08ED3DA4" w:rsidR="00595A7D" w:rsidRDefault="00D32921" w:rsidP="00244649">
      <w:pPr>
        <w:pStyle w:val="ParaNumbering"/>
      </w:pPr>
      <w:r>
        <w:t>The primary judge’s</w:t>
      </w:r>
      <w:r w:rsidR="00091235">
        <w:t xml:space="preserve"> ultimate </w:t>
      </w:r>
      <w:r>
        <w:t>findings</w:t>
      </w:r>
      <w:r w:rsidR="00091235">
        <w:t xml:space="preserve"> that the relevant Jazz Corner marks </w:t>
      </w:r>
      <w:r w:rsidR="00E84447">
        <w:t>were</w:t>
      </w:r>
      <w:r w:rsidR="00091235">
        <w:t xml:space="preserve"> not deceptively similar</w:t>
      </w:r>
      <w:r w:rsidR="00900281">
        <w:t xml:space="preserve"> to </w:t>
      </w:r>
      <w:proofErr w:type="spellStart"/>
      <w:r w:rsidR="00091235">
        <w:t>Swancom</w:t>
      </w:r>
      <w:proofErr w:type="spellEnd"/>
      <w:r w:rsidR="00091235">
        <w:t xml:space="preserve"> marks</w:t>
      </w:r>
      <w:r>
        <w:t xml:space="preserve">, and that the </w:t>
      </w:r>
      <w:proofErr w:type="spellStart"/>
      <w:r>
        <w:t>Swancom</w:t>
      </w:r>
      <w:proofErr w:type="spellEnd"/>
      <w:r>
        <w:t xml:space="preserve"> marks were not infringed,</w:t>
      </w:r>
      <w:r w:rsidR="00091235">
        <w:t xml:space="preserve"> </w:t>
      </w:r>
      <w:r>
        <w:t>were</w:t>
      </w:r>
      <w:r w:rsidR="00091235">
        <w:t xml:space="preserve"> open to his Honour. There is no proper basis to interfere with </w:t>
      </w:r>
      <w:r>
        <w:t>those findings</w:t>
      </w:r>
      <w:r w:rsidR="00091235">
        <w:t>.</w:t>
      </w:r>
      <w:r>
        <w:t xml:space="preserve"> Grounds 1 to 4 of the first appeal have not been established.</w:t>
      </w:r>
      <w:r w:rsidR="00091235">
        <w:t xml:space="preserve"> </w:t>
      </w:r>
    </w:p>
    <w:p w14:paraId="56634B4F" w14:textId="77777777" w:rsidR="00455883" w:rsidRPr="00455883" w:rsidRDefault="00291180" w:rsidP="009625EE">
      <w:pPr>
        <w:pStyle w:val="Heading2"/>
      </w:pPr>
      <w:r>
        <w:t>Grounds 5 and</w:t>
      </w:r>
      <w:r w:rsidR="00E02676">
        <w:t xml:space="preserve"> 6</w:t>
      </w:r>
    </w:p>
    <w:p w14:paraId="3A4CFB27" w14:textId="77777777" w:rsidR="002F0F65" w:rsidRDefault="001151BC" w:rsidP="002F0F65">
      <w:pPr>
        <w:pStyle w:val="ParaNumbering"/>
      </w:pPr>
      <w:r>
        <w:t xml:space="preserve">By Grounds 5 and 6 of the notice of appeal, </w:t>
      </w:r>
      <w:proofErr w:type="spellStart"/>
      <w:r w:rsidR="002F0F65">
        <w:t>Swancom</w:t>
      </w:r>
      <w:proofErr w:type="spellEnd"/>
      <w:r w:rsidR="002F0F65">
        <w:t xml:space="preserve"> challenges the primary judge’s finding at</w:t>
      </w:r>
      <w:r w:rsidR="00FC4C7B">
        <w:t xml:space="preserve"> </w:t>
      </w:r>
      <w:r w:rsidR="00FC19D0">
        <w:t>J</w:t>
      </w:r>
      <w:r w:rsidR="00FC4C7B">
        <w:t>[221</w:t>
      </w:r>
      <w:r w:rsidR="002F0F65">
        <w:t xml:space="preserve">] that </w:t>
      </w:r>
      <w:r w:rsidR="00002E05">
        <w:t>the respondents</w:t>
      </w:r>
      <w:r w:rsidR="002F0F65">
        <w:t xml:space="preserve"> </w:t>
      </w:r>
      <w:r w:rsidR="00AA5B87">
        <w:t xml:space="preserve">had </w:t>
      </w:r>
      <w:r w:rsidR="002F0F65">
        <w:t>not use</w:t>
      </w:r>
      <w:r w:rsidR="00AA5B87">
        <w:t>d</w:t>
      </w:r>
      <w:r w:rsidR="002F0F65">
        <w:t xml:space="preserve"> </w:t>
      </w:r>
      <w:r w:rsidR="00E84447">
        <w:t>THE JAZZ CORNER OF THE WORLD</w:t>
      </w:r>
      <w:r w:rsidR="002F0F65">
        <w:t xml:space="preserve"> as a trade mark.</w:t>
      </w:r>
      <w:r w:rsidR="00430ABB">
        <w:t xml:space="preserve"> </w:t>
      </w:r>
    </w:p>
    <w:p w14:paraId="364BDEC3" w14:textId="14F29BEB" w:rsidR="001F3B81" w:rsidRDefault="001F3B81" w:rsidP="002F0F65">
      <w:pPr>
        <w:pStyle w:val="ParaNumbering"/>
      </w:pPr>
      <w:proofErr w:type="spellStart"/>
      <w:r>
        <w:t>Swancom</w:t>
      </w:r>
      <w:proofErr w:type="spellEnd"/>
      <w:r>
        <w:t xml:space="preserve"> submits that it is difficult to reconcile the primary judge’s finding at </w:t>
      </w:r>
      <w:r w:rsidR="00FC19D0">
        <w:t>J</w:t>
      </w:r>
      <w:r>
        <w:t>[</w:t>
      </w:r>
      <w:r w:rsidR="00002E05">
        <w:t>219</w:t>
      </w:r>
      <w:r>
        <w:t xml:space="preserve">] that </w:t>
      </w:r>
      <w:r w:rsidR="00DB60CA">
        <w:t xml:space="preserve">the </w:t>
      </w:r>
      <w:r>
        <w:t>Jazz Corner of Melbou</w:t>
      </w:r>
      <w:r w:rsidR="00002E05">
        <w:t>rne</w:t>
      </w:r>
      <w:r w:rsidR="00DB60CA">
        <w:t xml:space="preserve"> marks</w:t>
      </w:r>
      <w:r w:rsidR="00002E05">
        <w:t xml:space="preserve"> </w:t>
      </w:r>
      <w:r w:rsidR="00DB60CA">
        <w:t xml:space="preserve">were </w:t>
      </w:r>
      <w:r w:rsidR="00002E05">
        <w:t>used as a trade mark with his finding that</w:t>
      </w:r>
      <w:r w:rsidR="006D2837">
        <w:t xml:space="preserve"> the respondent</w:t>
      </w:r>
      <w:r w:rsidR="001151BC">
        <w:t>s had not used</w:t>
      </w:r>
      <w:r>
        <w:t xml:space="preserve"> </w:t>
      </w:r>
      <w:r w:rsidR="00E84447">
        <w:t>THE JAZZ CORNER OF THE WORLD</w:t>
      </w:r>
      <w:r>
        <w:t xml:space="preserve"> </w:t>
      </w:r>
      <w:r w:rsidR="00002E05">
        <w:t>as a trade mark</w:t>
      </w:r>
      <w:r w:rsidR="008D7700">
        <w:t>,</w:t>
      </w:r>
      <w:r>
        <w:t xml:space="preserve"> in circumstances where </w:t>
      </w:r>
      <w:proofErr w:type="spellStart"/>
      <w:r>
        <w:t>Swancom</w:t>
      </w:r>
      <w:proofErr w:type="spellEnd"/>
      <w:r>
        <w:t xml:space="preserve"> contends both </w:t>
      </w:r>
      <w:r w:rsidR="001151BC">
        <w:t xml:space="preserve">were used </w:t>
      </w:r>
      <w:r w:rsidR="00E95827">
        <w:t xml:space="preserve">as marks </w:t>
      </w:r>
      <w:r w:rsidR="00002E05">
        <w:t xml:space="preserve">by the respondents </w:t>
      </w:r>
      <w:r>
        <w:t xml:space="preserve">in </w:t>
      </w:r>
      <w:r w:rsidR="0003203B">
        <w:t>a similar</w:t>
      </w:r>
      <w:r>
        <w:t xml:space="preserve"> manner</w:t>
      </w:r>
      <w:r w:rsidR="00291180">
        <w:t xml:space="preserve"> and </w:t>
      </w:r>
      <w:r>
        <w:t>fashion.</w:t>
      </w:r>
    </w:p>
    <w:p w14:paraId="17AD9F48" w14:textId="77777777" w:rsidR="00FC4C7B" w:rsidRDefault="00EA061E" w:rsidP="002F0F65">
      <w:pPr>
        <w:pStyle w:val="ParaNumbering"/>
      </w:pPr>
      <w:r>
        <w:t xml:space="preserve">At </w:t>
      </w:r>
      <w:r w:rsidR="008D7700">
        <w:t>J</w:t>
      </w:r>
      <w:r>
        <w:t>[183] to [186] t</w:t>
      </w:r>
      <w:r w:rsidR="00FC4C7B">
        <w:t xml:space="preserve">he primary judge set out the </w:t>
      </w:r>
      <w:r>
        <w:t xml:space="preserve">relevant </w:t>
      </w:r>
      <w:r w:rsidR="00FC4C7B">
        <w:t xml:space="preserve">principles </w:t>
      </w:r>
      <w:r w:rsidR="008D7700">
        <w:t xml:space="preserve">with respect </w:t>
      </w:r>
      <w:r w:rsidR="00FC4C7B">
        <w:t xml:space="preserve">to determining whether use of a </w:t>
      </w:r>
      <w:r>
        <w:t>sign</w:t>
      </w:r>
      <w:r w:rsidR="00FC4C7B">
        <w:t xml:space="preserve"> constitutes trade mark</w:t>
      </w:r>
      <w:r w:rsidR="008D7700">
        <w:t xml:space="preserve"> use</w:t>
      </w:r>
      <w:r w:rsidR="00FC4C7B">
        <w:t xml:space="preserve"> </w:t>
      </w:r>
      <w:r>
        <w:t>for the purposes of the Act</w:t>
      </w:r>
      <w:r w:rsidR="00FC4C7B">
        <w:t xml:space="preserve">, highlighting the applicable legal principles summarised by Reeves J in </w:t>
      </w:r>
      <w:r w:rsidR="00FC4C7B" w:rsidRPr="0042785A">
        <w:rPr>
          <w:i/>
        </w:rPr>
        <w:t>Mantra Group</w:t>
      </w:r>
      <w:r w:rsidR="00291180" w:rsidRPr="0042785A">
        <w:rPr>
          <w:i/>
        </w:rPr>
        <w:t xml:space="preserve"> Pty Ltd v </w:t>
      </w:r>
      <w:proofErr w:type="spellStart"/>
      <w:r w:rsidR="00291180" w:rsidRPr="0042785A">
        <w:rPr>
          <w:i/>
        </w:rPr>
        <w:t>Tailly</w:t>
      </w:r>
      <w:proofErr w:type="spellEnd"/>
      <w:r w:rsidR="00291180" w:rsidRPr="0042785A">
        <w:rPr>
          <w:i/>
        </w:rPr>
        <w:t xml:space="preserve"> Pty Ltd (No 2) </w:t>
      </w:r>
      <w:r w:rsidR="00291180" w:rsidRPr="0042785A">
        <w:t>(2010) 183 FCR 450</w:t>
      </w:r>
      <w:r w:rsidR="00FC4C7B">
        <w:t xml:space="preserve"> at [50]. Neither party </w:t>
      </w:r>
      <w:r w:rsidR="008D7700">
        <w:t xml:space="preserve">challenges </w:t>
      </w:r>
      <w:r w:rsidR="00AA5B87">
        <w:t xml:space="preserve">the correctness of </w:t>
      </w:r>
      <w:r w:rsidR="008D7700">
        <w:t xml:space="preserve">that summary.  </w:t>
      </w:r>
    </w:p>
    <w:p w14:paraId="7AC448B9" w14:textId="77777777" w:rsidR="00FC4C7B" w:rsidRDefault="001F3B81" w:rsidP="002F0F65">
      <w:pPr>
        <w:pStyle w:val="ParaNumbering"/>
      </w:pPr>
      <w:proofErr w:type="spellStart"/>
      <w:r>
        <w:t>Swancom</w:t>
      </w:r>
      <w:proofErr w:type="spellEnd"/>
      <w:r>
        <w:t xml:space="preserve"> acknowledge</w:t>
      </w:r>
      <w:r w:rsidR="008D7700">
        <w:t>s</w:t>
      </w:r>
      <w:r>
        <w:t xml:space="preserve"> that </w:t>
      </w:r>
      <w:r w:rsidR="00FC4C7B">
        <w:t xml:space="preserve">the Court is required to examine the purpose and nature of the use in its context. Relevant factors include the positioning of the sign, the type of font used, the </w:t>
      </w:r>
      <w:r w:rsidR="00FC4C7B">
        <w:lastRenderedPageBreak/>
        <w:t>size of the words or letters, and the colours which are used, as well as how the sign is applied to advertising.</w:t>
      </w:r>
    </w:p>
    <w:p w14:paraId="5726CA8E" w14:textId="655939B0" w:rsidR="001F3B81" w:rsidRDefault="00FC4C7B" w:rsidP="002F0F65">
      <w:pPr>
        <w:pStyle w:val="ParaNumbering"/>
      </w:pPr>
      <w:proofErr w:type="spellStart"/>
      <w:r>
        <w:t>Swancom</w:t>
      </w:r>
      <w:proofErr w:type="spellEnd"/>
      <w:r>
        <w:t xml:space="preserve"> </w:t>
      </w:r>
      <w:r w:rsidR="00102D22">
        <w:t xml:space="preserve">submits </w:t>
      </w:r>
      <w:r>
        <w:t>that</w:t>
      </w:r>
      <w:r w:rsidR="001F3B81">
        <w:t xml:space="preserve"> </w:t>
      </w:r>
      <w:r w:rsidR="00DB60CA">
        <w:t xml:space="preserve">the respondents’ </w:t>
      </w:r>
      <w:r w:rsidR="001F3B81">
        <w:t xml:space="preserve">purpose in using the </w:t>
      </w:r>
      <w:proofErr w:type="spellStart"/>
      <w:r w:rsidR="00E84447">
        <w:t>THE</w:t>
      </w:r>
      <w:proofErr w:type="spellEnd"/>
      <w:r w:rsidR="00E84447">
        <w:t xml:space="preserve"> JAZZ CORNER OF THE WORLD</w:t>
      </w:r>
      <w:r w:rsidR="001F3B81">
        <w:t xml:space="preserve"> was to convey an impression </w:t>
      </w:r>
      <w:r>
        <w:t xml:space="preserve">to consumers </w:t>
      </w:r>
      <w:r w:rsidR="001F3B81">
        <w:t>of a connection with the New York jazz institution</w:t>
      </w:r>
      <w:r w:rsidR="00ED520E">
        <w:t>, Birdland Jazz Club</w:t>
      </w:r>
      <w:r w:rsidR="001F3B81">
        <w:t>.</w:t>
      </w:r>
      <w:r w:rsidR="00DB60CA">
        <w:t xml:space="preserve"> This, </w:t>
      </w:r>
      <w:r w:rsidR="00AA5B87">
        <w:t>it</w:t>
      </w:r>
      <w:r w:rsidR="00DB60CA">
        <w:t xml:space="preserve"> say</w:t>
      </w:r>
      <w:r w:rsidR="00AA5B87">
        <w:t>s</w:t>
      </w:r>
      <w:r w:rsidR="00DB60CA">
        <w:t>, is “classic trade mark use”.</w:t>
      </w:r>
    </w:p>
    <w:p w14:paraId="0635926A" w14:textId="77777777" w:rsidR="002F0F65" w:rsidRDefault="00DB60CA" w:rsidP="002F0F65">
      <w:pPr>
        <w:pStyle w:val="ParaNumbering"/>
      </w:pPr>
      <w:r>
        <w:t xml:space="preserve">At J[220], the </w:t>
      </w:r>
      <w:r w:rsidR="00152743">
        <w:t xml:space="preserve">primary judge found that </w:t>
      </w:r>
      <w:r w:rsidR="00E84447">
        <w:t>THE JAZZ CORNER OF THE WORLD</w:t>
      </w:r>
      <w:r w:rsidR="00254BE1">
        <w:t xml:space="preserve"> had been used in a more limited manner than the Jazz Corner of Melbourne mark</w:t>
      </w:r>
      <w:r>
        <w:t>s</w:t>
      </w:r>
      <w:r w:rsidR="00254BE1">
        <w:t>, predominantly in connection wit</w:t>
      </w:r>
      <w:r w:rsidR="00082595">
        <w:t xml:space="preserve">h Bird’s Basement. </w:t>
      </w:r>
      <w:r w:rsidR="00910816">
        <w:t xml:space="preserve">The primary judge was not persuaded that the respondents’ use of </w:t>
      </w:r>
      <w:r w:rsidR="00E84447">
        <w:t>THE JAZZ CORNER OF THE WORLD</w:t>
      </w:r>
      <w:r w:rsidR="00910816">
        <w:t xml:space="preserve"> was use as a badge of origin, even though those </w:t>
      </w:r>
      <w:r w:rsidR="00254BE1">
        <w:t xml:space="preserve">familiar with the Birdland </w:t>
      </w:r>
      <w:r w:rsidR="00082595">
        <w:t>J</w:t>
      </w:r>
      <w:r w:rsidR="00254BE1">
        <w:t xml:space="preserve">azz </w:t>
      </w:r>
      <w:r w:rsidR="00082595">
        <w:t>C</w:t>
      </w:r>
      <w:r w:rsidR="00254BE1">
        <w:t>lub in New Yor</w:t>
      </w:r>
      <w:r w:rsidR="00CB1B5A">
        <w:t xml:space="preserve">k and its </w:t>
      </w:r>
      <w:r w:rsidR="00910816">
        <w:t xml:space="preserve">own </w:t>
      </w:r>
      <w:r w:rsidR="00CB1B5A">
        <w:t xml:space="preserve">use of </w:t>
      </w:r>
      <w:r w:rsidR="00E84447">
        <w:t>that</w:t>
      </w:r>
      <w:r w:rsidR="00910816">
        <w:t xml:space="preserve"> phrase might </w:t>
      </w:r>
      <w:r w:rsidR="00D7003A">
        <w:t>have thought</w:t>
      </w:r>
      <w:r w:rsidR="00910816">
        <w:t xml:space="preserve"> that the respondents’ use</w:t>
      </w:r>
      <w:r w:rsidR="00254BE1">
        <w:t xml:space="preserve"> conveyed some form of association between Bird’s Basement and the New York club.</w:t>
      </w:r>
      <w:r w:rsidR="006C1D25">
        <w:t xml:space="preserve"> </w:t>
      </w:r>
    </w:p>
    <w:p w14:paraId="503EA467" w14:textId="77777777" w:rsidR="00910816" w:rsidRDefault="00910816" w:rsidP="002F0F65">
      <w:pPr>
        <w:pStyle w:val="ParaNumbering"/>
      </w:pPr>
      <w:r>
        <w:t xml:space="preserve">At J[220], the primary judge </w:t>
      </w:r>
      <w:r w:rsidR="00740C05">
        <w:t>noted</w:t>
      </w:r>
      <w:r>
        <w:t>:</w:t>
      </w:r>
    </w:p>
    <w:p w14:paraId="0E35F098" w14:textId="5435CB74" w:rsidR="00910816" w:rsidRDefault="001151BC" w:rsidP="00C8499D">
      <w:pPr>
        <w:pStyle w:val="Quote1"/>
        <w:ind w:left="1440" w:hanging="703"/>
      </w:pPr>
      <w:r>
        <w:t>220</w:t>
      </w:r>
      <w:r>
        <w:tab/>
      </w:r>
      <w:r w:rsidR="00910816">
        <w:t>The most prominent use is on signage outside the William Street building that associates Bird’s Basement with the phrase “Jazz Corner of the World”</w:t>
      </w:r>
      <w:r>
        <w:t>. Two of the signs state, next to the Bird’s Basement device mark, that “The Jazz Corner of the World now extends to Melbourne”. A monthly brochure issued by BBPL in March 2017, to promote the opening of The Jazz Corner Hotel in that month, contained the statement: “Bird’s Basement is the Jazz Corner of the World, welcome to the Jazz Corner Hotel”.</w:t>
      </w:r>
    </w:p>
    <w:p w14:paraId="465B9D48" w14:textId="2EA37B47" w:rsidR="009422B0" w:rsidRDefault="009422B0">
      <w:pPr>
        <w:pStyle w:val="ParaNumbering"/>
      </w:pPr>
      <w:r>
        <w:t>Annexure A</w:t>
      </w:r>
      <w:r w:rsidR="00E21413">
        <w:t>1</w:t>
      </w:r>
      <w:r>
        <w:t xml:space="preserve"> to these reasons </w:t>
      </w:r>
      <w:r w:rsidR="00E21413">
        <w:t>is</w:t>
      </w:r>
      <w:r>
        <w:t xml:space="preserve"> the brochure use.  </w:t>
      </w:r>
    </w:p>
    <w:p w14:paraId="43ADB77C" w14:textId="77777777" w:rsidR="00740C05" w:rsidRDefault="00740C05">
      <w:pPr>
        <w:pStyle w:val="ParaNumbering"/>
      </w:pPr>
      <w:r>
        <w:t xml:space="preserve">At J[221], his Honour accepted the respondents’ submission that </w:t>
      </w:r>
      <w:r w:rsidR="009422B0">
        <w:t>the</w:t>
      </w:r>
      <w:r>
        <w:t xml:space="preserve"> use</w:t>
      </w:r>
      <w:r w:rsidR="00E21413">
        <w:t>s</w:t>
      </w:r>
      <w:r>
        <w:t xml:space="preserve"> </w:t>
      </w:r>
      <w:r w:rsidR="009422B0">
        <w:t xml:space="preserve">he identified at J[220] </w:t>
      </w:r>
      <w:r w:rsidR="00E21413">
        <w:t>were</w:t>
      </w:r>
      <w:r>
        <w:t xml:space="preserve"> merely descriptive use</w:t>
      </w:r>
      <w:r w:rsidR="00E21413">
        <w:t>s</w:t>
      </w:r>
      <w:r>
        <w:t>.</w:t>
      </w:r>
    </w:p>
    <w:p w14:paraId="7A64F233" w14:textId="0CF2F490" w:rsidR="00146958" w:rsidRDefault="00076C26">
      <w:pPr>
        <w:pStyle w:val="ParaNumbering"/>
      </w:pPr>
      <w:r>
        <w:t>The assessment of whether a sign is used as a trade mark is an evaluative exercise on which reasonable minds might differ. In our view, the</w:t>
      </w:r>
      <w:r w:rsidR="00E21413">
        <w:t xml:space="preserve"> </w:t>
      </w:r>
      <w:r>
        <w:t xml:space="preserve">primary judge’s </w:t>
      </w:r>
      <w:r w:rsidR="00E21413">
        <w:t>finding</w:t>
      </w:r>
      <w:r>
        <w:t xml:space="preserve"> that the respondents’ use of THE JAZZ CORNER OF THE WORLD did not extend beyond a descriptive use of that phrase, and was not trade mark use,</w:t>
      </w:r>
      <w:r w:rsidR="00E21413">
        <w:t xml:space="preserve"> </w:t>
      </w:r>
      <w:r>
        <w:t>was one that was open to his Honour to make</w:t>
      </w:r>
      <w:r w:rsidR="00E21413">
        <w:t xml:space="preserve">. </w:t>
      </w:r>
      <w:r w:rsidR="001151BC">
        <w:t>We are not persuaded that</w:t>
      </w:r>
      <w:r w:rsidR="00E21413">
        <w:t xml:space="preserve"> his Honour erred</w:t>
      </w:r>
      <w:r w:rsidR="001151BC">
        <w:t xml:space="preserve"> in </w:t>
      </w:r>
      <w:r w:rsidR="00E21413">
        <w:t>carrying out his assessment in this regard</w:t>
      </w:r>
      <w:r w:rsidR="00E95827">
        <w:t>.</w:t>
      </w:r>
      <w:r w:rsidR="00E21413">
        <w:t xml:space="preserve">  </w:t>
      </w:r>
      <w:r w:rsidR="00146958">
        <w:t xml:space="preserve">  </w:t>
      </w:r>
    </w:p>
    <w:p w14:paraId="0DAC8CC9" w14:textId="46CF25D3" w:rsidR="001151BC" w:rsidRDefault="00146958">
      <w:pPr>
        <w:pStyle w:val="ParaNumbering"/>
      </w:pPr>
      <w:r>
        <w:t>We add that neither</w:t>
      </w:r>
      <w:r w:rsidR="00AA5B87">
        <w:t xml:space="preserve"> the respondents’ desire to be associated</w:t>
      </w:r>
      <w:r w:rsidR="00D7003A">
        <w:t xml:space="preserve"> with the history and world-renowned reputation of the Birdland Jazz Club</w:t>
      </w:r>
      <w:r w:rsidR="00740C05">
        <w:t>, nor</w:t>
      </w:r>
      <w:r w:rsidR="00D7003A">
        <w:t xml:space="preserve"> the fact that some consumers of the respondents’ service</w:t>
      </w:r>
      <w:r w:rsidR="00740C05">
        <w:t>s</w:t>
      </w:r>
      <w:r w:rsidR="00D7003A">
        <w:t xml:space="preserve"> </w:t>
      </w:r>
      <w:r w:rsidR="00740C05">
        <w:t>were</w:t>
      </w:r>
      <w:r w:rsidR="00D7003A">
        <w:t xml:space="preserve"> familiar with the Birdland Jazz Club</w:t>
      </w:r>
      <w:r w:rsidR="00E21413">
        <w:t>,</w:t>
      </w:r>
      <w:r w:rsidR="00D7003A">
        <w:t xml:space="preserve"> </w:t>
      </w:r>
      <w:r w:rsidR="009422B0">
        <w:t>c</w:t>
      </w:r>
      <w:r w:rsidR="00E21413">
        <w:t>ompelled</w:t>
      </w:r>
      <w:r w:rsidR="00932AFD">
        <w:t xml:space="preserve"> </w:t>
      </w:r>
      <w:r>
        <w:t xml:space="preserve">his Honour to come to </w:t>
      </w:r>
      <w:r w:rsidR="00932AFD">
        <w:t xml:space="preserve">different </w:t>
      </w:r>
      <w:r w:rsidR="009422B0">
        <w:t>finding</w:t>
      </w:r>
      <w:r w:rsidR="00E21413">
        <w:t>s</w:t>
      </w:r>
      <w:r w:rsidR="00740C05">
        <w:t>.</w:t>
      </w:r>
      <w:r w:rsidR="007749AC">
        <w:t xml:space="preserve"> </w:t>
      </w:r>
      <w:r w:rsidR="00432650">
        <w:t xml:space="preserve">Similarly, his Honour’s acceptance that, on balance, the respondents had used </w:t>
      </w:r>
      <w:r>
        <w:t>the Jazz Corner of Melbourne</w:t>
      </w:r>
      <w:r w:rsidR="00432650">
        <w:t xml:space="preserve"> </w:t>
      </w:r>
      <w:r w:rsidR="00E84447">
        <w:t>marks</w:t>
      </w:r>
      <w:r w:rsidR="0062241C">
        <w:t xml:space="preserve"> in relation to all the businesses conducted from </w:t>
      </w:r>
      <w:r w:rsidR="0062241C">
        <w:lastRenderedPageBreak/>
        <w:t>the William Street building, including the jazz club,</w:t>
      </w:r>
      <w:r w:rsidR="00432650">
        <w:t xml:space="preserve"> did not compel his Honour to come to </w:t>
      </w:r>
      <w:r w:rsidR="00226D09">
        <w:t>the same</w:t>
      </w:r>
      <w:r w:rsidR="00432650">
        <w:t xml:space="preserve"> conclusion with respect to the respondents’ use of </w:t>
      </w:r>
      <w:r w:rsidR="00E84447">
        <w:t>THE JAZZ CORNER OF THE WORLD</w:t>
      </w:r>
      <w:r w:rsidR="0066457F">
        <w:t>.</w:t>
      </w:r>
    </w:p>
    <w:p w14:paraId="2FA1B10B" w14:textId="77777777" w:rsidR="00EF1F2C" w:rsidRDefault="00EF1F2C">
      <w:pPr>
        <w:pStyle w:val="ParaNumbering"/>
      </w:pPr>
      <w:r>
        <w:t>Grounds 5 and 6 of the first appeal are not established.</w:t>
      </w:r>
    </w:p>
    <w:p w14:paraId="6911CB69" w14:textId="77777777" w:rsidR="0066457F" w:rsidRDefault="0066457F">
      <w:pPr>
        <w:pStyle w:val="ParaNumbering"/>
      </w:pPr>
      <w:r>
        <w:t xml:space="preserve">For completeness, we record that, had we found </w:t>
      </w:r>
      <w:r w:rsidR="00226D09">
        <w:t xml:space="preserve">that </w:t>
      </w:r>
      <w:r>
        <w:t xml:space="preserve">Grounds 5 and 6 of the first appeal were established, we would not have been persuaded that the Jazz Corner of the World marks are deceptively similar to the </w:t>
      </w:r>
      <w:proofErr w:type="spellStart"/>
      <w:r>
        <w:t>Swancom</w:t>
      </w:r>
      <w:proofErr w:type="spellEnd"/>
      <w:r>
        <w:t xml:space="preserve"> marks.</w:t>
      </w:r>
    </w:p>
    <w:p w14:paraId="6AB561DE" w14:textId="77777777" w:rsidR="00F56A26" w:rsidRPr="00F56A26" w:rsidRDefault="00F56A26" w:rsidP="006B74F6">
      <w:pPr>
        <w:pStyle w:val="Heading2"/>
      </w:pPr>
      <w:r w:rsidRPr="00F56A26">
        <w:t>Ground 7</w:t>
      </w:r>
    </w:p>
    <w:p w14:paraId="4B7882F9" w14:textId="77777777" w:rsidR="00B82234" w:rsidRDefault="00740C05" w:rsidP="008260D0">
      <w:pPr>
        <w:pStyle w:val="ParaNumbering"/>
      </w:pPr>
      <w:r>
        <w:t xml:space="preserve">By Ground 7 of the notice of appeal, </w:t>
      </w:r>
      <w:proofErr w:type="spellStart"/>
      <w:r w:rsidR="00B82234">
        <w:t>Swancom</w:t>
      </w:r>
      <w:proofErr w:type="spellEnd"/>
      <w:r w:rsidR="00B82234">
        <w:t xml:space="preserve"> challenges the primary judge’s finding at </w:t>
      </w:r>
      <w:r>
        <w:t>J</w:t>
      </w:r>
      <w:r w:rsidR="00B82234">
        <w:t xml:space="preserve">[215] that BBPL </w:t>
      </w:r>
      <w:r>
        <w:t xml:space="preserve">had </w:t>
      </w:r>
      <w:r w:rsidR="00B82234">
        <w:t>not use</w:t>
      </w:r>
      <w:r>
        <w:t>d</w:t>
      </w:r>
      <w:r w:rsidR="00B82234">
        <w:t xml:space="preserve"> </w:t>
      </w:r>
      <w:r w:rsidR="00975752">
        <w:t>the Jazz Corner Hotel marks</w:t>
      </w:r>
      <w:r w:rsidR="00E84447">
        <w:t xml:space="preserve"> </w:t>
      </w:r>
      <w:r w:rsidR="00B82234">
        <w:t>as a trade mark</w:t>
      </w:r>
      <w:r w:rsidR="00975752">
        <w:t xml:space="preserve"> in relation to live music services</w:t>
      </w:r>
      <w:r w:rsidR="00B82234">
        <w:t>.</w:t>
      </w:r>
    </w:p>
    <w:p w14:paraId="694577ED" w14:textId="77777777" w:rsidR="005E7CFD" w:rsidRDefault="0051110C" w:rsidP="005E7CFD">
      <w:pPr>
        <w:pStyle w:val="ParaNumbering"/>
      </w:pPr>
      <w:proofErr w:type="spellStart"/>
      <w:r>
        <w:t>Swancom</w:t>
      </w:r>
      <w:proofErr w:type="spellEnd"/>
      <w:r>
        <w:t xml:space="preserve"> submits that it</w:t>
      </w:r>
      <w:r w:rsidR="000E1EDA">
        <w:t xml:space="preserve"> is difficult to reconcile the primary judge’</w:t>
      </w:r>
      <w:r>
        <w:t>s finding</w:t>
      </w:r>
      <w:r w:rsidR="00932AFD">
        <w:t xml:space="preserve"> at J[208] – [209]</w:t>
      </w:r>
      <w:r w:rsidR="000E1EDA">
        <w:t xml:space="preserve"> </w:t>
      </w:r>
      <w:r w:rsidR="00932AFD">
        <w:t>that</w:t>
      </w:r>
      <w:r w:rsidR="000E1EDA">
        <w:t xml:space="preserve"> JCHPL </w:t>
      </w:r>
      <w:r w:rsidR="00932AFD">
        <w:t xml:space="preserve">had </w:t>
      </w:r>
      <w:r w:rsidR="000E1EDA">
        <w:t>use</w:t>
      </w:r>
      <w:r w:rsidR="00932AFD">
        <w:t>d</w:t>
      </w:r>
      <w:r w:rsidR="000E1EDA">
        <w:t xml:space="preserve"> th</w:t>
      </w:r>
      <w:r w:rsidR="000C1DD9">
        <w:t>e Jazz Corner Hotel mark</w:t>
      </w:r>
      <w:r w:rsidR="00932AFD">
        <w:t>s</w:t>
      </w:r>
      <w:r w:rsidR="009422B0">
        <w:t>,</w:t>
      </w:r>
      <w:r w:rsidR="000C1DD9">
        <w:t xml:space="preserve"> </w:t>
      </w:r>
      <w:r w:rsidR="00467F5F">
        <w:t>and</w:t>
      </w:r>
      <w:r w:rsidR="000E1EDA">
        <w:t xml:space="preserve"> his finding</w:t>
      </w:r>
      <w:r>
        <w:t>s</w:t>
      </w:r>
      <w:r w:rsidR="000C1DD9">
        <w:t xml:space="preserve"> </w:t>
      </w:r>
      <w:r>
        <w:t>as to the unified nature of the businesses within the Jazz Corner Hotel</w:t>
      </w:r>
      <w:r w:rsidR="00467F5F">
        <w:t xml:space="preserve"> at </w:t>
      </w:r>
      <w:r w:rsidR="009422B0">
        <w:t>J</w:t>
      </w:r>
      <w:r w:rsidR="00467F5F">
        <w:t>[210] and [212], with his findings at</w:t>
      </w:r>
      <w:r>
        <w:t xml:space="preserve"> </w:t>
      </w:r>
      <w:r w:rsidR="009422B0">
        <w:t>J</w:t>
      </w:r>
      <w:r w:rsidR="000E1EDA">
        <w:t xml:space="preserve">[215] </w:t>
      </w:r>
      <w:r w:rsidR="00467F5F">
        <w:t xml:space="preserve">that BBPL </w:t>
      </w:r>
      <w:r w:rsidR="009422B0">
        <w:t xml:space="preserve">had </w:t>
      </w:r>
      <w:r w:rsidR="00467F5F">
        <w:t>not use</w:t>
      </w:r>
      <w:r w:rsidR="009422B0">
        <w:t>d</w:t>
      </w:r>
      <w:r w:rsidR="00467F5F">
        <w:t xml:space="preserve"> </w:t>
      </w:r>
      <w:r w:rsidR="00975752">
        <w:t xml:space="preserve">the Jazz Corner Hotel marks </w:t>
      </w:r>
      <w:r w:rsidR="00467F5F">
        <w:t>as a trade</w:t>
      </w:r>
      <w:r>
        <w:t xml:space="preserve"> mark</w:t>
      </w:r>
      <w:r w:rsidR="00975752">
        <w:t xml:space="preserve"> in relation to live music services</w:t>
      </w:r>
      <w:r>
        <w:t xml:space="preserve">. </w:t>
      </w:r>
    </w:p>
    <w:p w14:paraId="2916A766" w14:textId="1DAD8CAD" w:rsidR="000C1DD9" w:rsidRPr="005E7CFD" w:rsidRDefault="000C1DD9" w:rsidP="005E7CFD">
      <w:pPr>
        <w:pStyle w:val="ParaNumbering"/>
      </w:pPr>
      <w:proofErr w:type="spellStart"/>
      <w:r>
        <w:t>Swancom</w:t>
      </w:r>
      <w:proofErr w:type="spellEnd"/>
      <w:r>
        <w:t xml:space="preserve"> took the Court to some examples of what </w:t>
      </w:r>
      <w:r w:rsidR="00E21413">
        <w:t xml:space="preserve">it submits </w:t>
      </w:r>
      <w:r>
        <w:t>was use of the Jazz Corner Hotel mark by BBP</w:t>
      </w:r>
      <w:r w:rsidRPr="005E7CFD">
        <w:t>L</w:t>
      </w:r>
      <w:r w:rsidR="00E21413">
        <w:t>.</w:t>
      </w:r>
      <w:r w:rsidRPr="005E7CFD">
        <w:t xml:space="preserve"> </w:t>
      </w:r>
      <w:r w:rsidR="00E21413">
        <w:t xml:space="preserve">These comprise Annexures A2 to A4 </w:t>
      </w:r>
      <w:r w:rsidR="00303259">
        <w:t>to the reasons</w:t>
      </w:r>
      <w:r w:rsidR="00AB3AB3" w:rsidRPr="005E7CFD">
        <w:t>.</w:t>
      </w:r>
      <w:r w:rsidR="00226D09">
        <w:t xml:space="preserve">  </w:t>
      </w:r>
    </w:p>
    <w:p w14:paraId="6520C7E6" w14:textId="77777777" w:rsidR="00676F19" w:rsidRDefault="00676F19" w:rsidP="008260D0">
      <w:pPr>
        <w:pStyle w:val="ParaNumbering"/>
      </w:pPr>
      <w:r>
        <w:t>Th</w:t>
      </w:r>
      <w:r w:rsidR="007F27A9">
        <w:t xml:space="preserve">e primary judge observed at </w:t>
      </w:r>
      <w:r w:rsidR="00FA52BF">
        <w:t>J</w:t>
      </w:r>
      <w:r w:rsidR="007F27A9">
        <w:t>[201</w:t>
      </w:r>
      <w:r>
        <w:t>] that</w:t>
      </w:r>
      <w:r w:rsidR="00FA52BF">
        <w:t>,</w:t>
      </w:r>
      <w:r>
        <w:t xml:space="preserve"> while each of JCHPL, BBPL and STPL</w:t>
      </w:r>
      <w:r w:rsidR="007F27A9">
        <w:t xml:space="preserve"> conducted separate businesses, they had common ownership, were located in the same building</w:t>
      </w:r>
      <w:r w:rsidR="00FA52BF">
        <w:t>,</w:t>
      </w:r>
      <w:r w:rsidR="007F27A9">
        <w:t xml:space="preserve"> and engaged in substantial cross-promotion of each other’s businesses.</w:t>
      </w:r>
      <w:r>
        <w:t xml:space="preserve"> </w:t>
      </w:r>
    </w:p>
    <w:p w14:paraId="35A1A636" w14:textId="595909C4" w:rsidR="000C1DD9" w:rsidRDefault="000C1DD9" w:rsidP="008260D0">
      <w:pPr>
        <w:pStyle w:val="ParaNumbering"/>
      </w:pPr>
      <w:r>
        <w:t>The primary judge considered that</w:t>
      </w:r>
      <w:r w:rsidR="00FA52BF">
        <w:t>, on balance,</w:t>
      </w:r>
      <w:r>
        <w:t xml:space="preserve"> JCHPL had used the Jazz Corner Hotel marks on the Jazz Corner Hotel website, social media accounts</w:t>
      </w:r>
      <w:r w:rsidR="00FA52BF">
        <w:t>,</w:t>
      </w:r>
      <w:r>
        <w:t xml:space="preserve"> and travel websites to distinguish live music performances in the basement jazz club in the sense of indicating origin. </w:t>
      </w:r>
      <w:r w:rsidR="00226D09">
        <w:t>At J[209]–[2</w:t>
      </w:r>
      <w:r w:rsidR="00FA52BF">
        <w:t>11] h</w:t>
      </w:r>
      <w:r w:rsidR="00546089">
        <w:t>is Honour</w:t>
      </w:r>
      <w:r w:rsidR="00FA52BF">
        <w:t xml:space="preserve"> discussed </w:t>
      </w:r>
      <w:r>
        <w:t xml:space="preserve">three factors </w:t>
      </w:r>
      <w:r w:rsidR="00FA52BF">
        <w:t xml:space="preserve">that he considered to be </w:t>
      </w:r>
      <w:r>
        <w:t xml:space="preserve">significant in </w:t>
      </w:r>
      <w:r w:rsidR="00FA52BF">
        <w:t xml:space="preserve">coming to this </w:t>
      </w:r>
      <w:r>
        <w:t>finding.</w:t>
      </w:r>
    </w:p>
    <w:p w14:paraId="15722F6D" w14:textId="77777777" w:rsidR="000C1DD9" w:rsidRDefault="000C1DD9" w:rsidP="008260D0">
      <w:pPr>
        <w:pStyle w:val="ParaNumbering"/>
      </w:pPr>
      <w:r>
        <w:t>First</w:t>
      </w:r>
      <w:r w:rsidR="00E27BCF">
        <w:t>,</w:t>
      </w:r>
      <w:r>
        <w:t xml:space="preserve"> </w:t>
      </w:r>
      <w:r w:rsidR="00D332F3">
        <w:t xml:space="preserve">at J[209] his Honour </w:t>
      </w:r>
      <w:r>
        <w:t>noted that the Jazz Corner Hotel website and other promotional material promoted ot</w:t>
      </w:r>
      <w:r w:rsidR="002F05D0">
        <w:t>h</w:t>
      </w:r>
      <w:r>
        <w:t>er services provided in the same building in a manner which suggested that they were complementary services offered by the hotel and provid</w:t>
      </w:r>
      <w:r w:rsidR="002F05D0">
        <w:t>ed under the head brand “Jazz Co</w:t>
      </w:r>
      <w:r>
        <w:t>rner Hotel”.</w:t>
      </w:r>
    </w:p>
    <w:p w14:paraId="589218DA" w14:textId="49874CD5" w:rsidR="00676F19" w:rsidRDefault="00676F19" w:rsidP="00676F19">
      <w:pPr>
        <w:pStyle w:val="ParaNumbering"/>
      </w:pPr>
      <w:r>
        <w:lastRenderedPageBreak/>
        <w:t>Second</w:t>
      </w:r>
      <w:r w:rsidR="00D332F3">
        <w:t>ly</w:t>
      </w:r>
      <w:r>
        <w:t xml:space="preserve">, </w:t>
      </w:r>
      <w:r w:rsidR="00D332F3">
        <w:t xml:space="preserve">at J[210] his Honour referred to </w:t>
      </w:r>
      <w:r w:rsidR="003850AE">
        <w:t xml:space="preserve">the </w:t>
      </w:r>
      <w:r w:rsidR="00D332F3">
        <w:t>significance of</w:t>
      </w:r>
      <w:r>
        <w:t xml:space="preserve"> the physical location of Bird’s Basement jazz club in the basement of the </w:t>
      </w:r>
      <w:r w:rsidR="00226D09">
        <w:t xml:space="preserve">William Street </w:t>
      </w:r>
      <w:r>
        <w:t xml:space="preserve">building in which the hotel is located. </w:t>
      </w:r>
      <w:r w:rsidR="00D332F3">
        <w:t xml:space="preserve">In his Honour’s assessment, this </w:t>
      </w:r>
      <w:r>
        <w:t>served to indicate that the jazz club was part of a unified business within the Jazz Corner Hotel.</w:t>
      </w:r>
    </w:p>
    <w:p w14:paraId="77D03C22" w14:textId="77777777" w:rsidR="00676F19" w:rsidRDefault="00676F19" w:rsidP="00676F19">
      <w:pPr>
        <w:pStyle w:val="ParaNumbering"/>
      </w:pPr>
      <w:r>
        <w:t>Third</w:t>
      </w:r>
      <w:r w:rsidR="00D332F3">
        <w:t>ly</w:t>
      </w:r>
      <w:r>
        <w:t xml:space="preserve">, </w:t>
      </w:r>
      <w:r w:rsidR="00D332F3">
        <w:t xml:space="preserve">at J[211] his Honour </w:t>
      </w:r>
      <w:r w:rsidR="007F27A9">
        <w:t xml:space="preserve">considered that </w:t>
      </w:r>
      <w:r>
        <w:t>there was nothing unusual in a hotel also operating a café and jazz club.</w:t>
      </w:r>
    </w:p>
    <w:p w14:paraId="0A9FD57F" w14:textId="77777777" w:rsidR="000E1EDA" w:rsidRDefault="0051110C" w:rsidP="008260D0">
      <w:pPr>
        <w:pStyle w:val="ParaNumbering"/>
      </w:pPr>
      <w:r>
        <w:t xml:space="preserve">At </w:t>
      </w:r>
      <w:r w:rsidR="00D332F3">
        <w:t>J</w:t>
      </w:r>
      <w:r>
        <w:t>[212</w:t>
      </w:r>
      <w:r w:rsidR="000E1EDA">
        <w:t>]</w:t>
      </w:r>
      <w:r w:rsidR="00226D09">
        <w:t>,</w:t>
      </w:r>
      <w:r w:rsidR="000E1EDA">
        <w:t xml:space="preserve"> the primary judge stated: </w:t>
      </w:r>
    </w:p>
    <w:p w14:paraId="30CE2767" w14:textId="77777777" w:rsidR="000E1EDA" w:rsidRDefault="00B048E9" w:rsidP="00B048E9">
      <w:pPr>
        <w:pStyle w:val="Quote1"/>
        <w:tabs>
          <w:tab w:val="left" w:pos="1418"/>
        </w:tabs>
        <w:ind w:left="1418" w:hanging="681"/>
      </w:pPr>
      <w:r>
        <w:t>212</w:t>
      </w:r>
      <w:r>
        <w:tab/>
      </w:r>
      <w:r w:rsidR="000E1EDA">
        <w:t>It can be accepted that JCHPL’s cross-promotion of live music performances in the basement jazz club is almost always done by using the Bird’s Basement trade mark as a badge of origin of live music services. In my view, though, the use of the Bird’s Basement trade mark does not diminish the significance of the Jazz Corner Hotel marks as a badge of origin. Rather, the Bird’s Basement mark would be perceived to be a sub-mark or secondary-mark of the live music services. The promotional material conveys that The Jazz Corner Hotel is a unified business that has accommodation, a café and a jazz club, with the café trading under the name The Jazz Corner Café and the jazz club trading under the name Bird’s Basement.</w:t>
      </w:r>
    </w:p>
    <w:p w14:paraId="6FCA7215" w14:textId="77777777" w:rsidR="00CF0F58" w:rsidRDefault="00D332F3" w:rsidP="00B82234">
      <w:pPr>
        <w:pStyle w:val="ParaNumbering"/>
      </w:pPr>
      <w:r>
        <w:t xml:space="preserve">However, the primary judge considered </w:t>
      </w:r>
      <w:r w:rsidR="00676F19">
        <w:t>BBPL</w:t>
      </w:r>
      <w:r>
        <w:t>’s</w:t>
      </w:r>
      <w:r w:rsidR="00676F19">
        <w:t xml:space="preserve"> use of </w:t>
      </w:r>
      <w:r w:rsidR="00E84447">
        <w:t>THE JAZZ CORNER HOTEL</w:t>
      </w:r>
      <w:r w:rsidR="00676F19">
        <w:t xml:space="preserve"> </w:t>
      </w:r>
      <w:r>
        <w:t>to be</w:t>
      </w:r>
      <w:r w:rsidR="00676F19">
        <w:t xml:space="preserve"> different. </w:t>
      </w:r>
      <w:r w:rsidR="00E84447">
        <w:t>At J[215], the primary judge said:</w:t>
      </w:r>
    </w:p>
    <w:p w14:paraId="44877D66" w14:textId="1B5640F3" w:rsidR="00E84447" w:rsidRDefault="00975752" w:rsidP="00C8499D">
      <w:pPr>
        <w:pStyle w:val="Quote1"/>
        <w:ind w:left="1440" w:hanging="703"/>
      </w:pPr>
      <w:r>
        <w:t>215</w:t>
      </w:r>
      <w:r>
        <w:tab/>
      </w:r>
      <w:r w:rsidR="00B048E9">
        <w:t>…</w:t>
      </w:r>
      <w:r w:rsidR="003850AE">
        <w:t xml:space="preserve"> </w:t>
      </w:r>
      <w:r w:rsidR="00E84447">
        <w:t>The Bird’s Basement website contains a cross-promotion of accommodation at The Jazz Corner Hotel. It also contains the promotional statement “Stay with us at the Jazz Corner Hotel”</w:t>
      </w:r>
      <w:r>
        <w:t xml:space="preserve">. The use of the possessive pronoun again indicates that there is common ownership between the businesses. However, on the website, the </w:t>
      </w:r>
      <w:r w:rsidR="007749AC">
        <w:t>B</w:t>
      </w:r>
      <w:r>
        <w:t>ird’s Basement mark is clearly identified as the badge of origin of the live music services, while the Jazz Corner Hotel marks are identified as a bade of origin of accommodation services. In contrast to the by JCHPL, BBPL does not use the Jazz Corner Hotel marks as a primary or “umbrella” mark to indicate a source of origin for all of the services provided at the William Street building. The same can be said for the marketing brochures published by BBPL. While the brochures cross-promote The Jazz Corner Hotel, they do not use the Jazz Corner Hotel marks as a badge of origin in respect of live music services. Rather, the brochures depict the Registered Jazz Corner Hotel device mark with the by-line “relaxation upstairs” and the Bird’s Basement device mark with by-line “entertainment downstairs”, indicating that each is the badge of origin for accommodation and live music services respectively.</w:t>
      </w:r>
    </w:p>
    <w:p w14:paraId="1CE28FF1" w14:textId="49B9C184" w:rsidR="004625AD" w:rsidRDefault="00076C26" w:rsidP="00B82234">
      <w:pPr>
        <w:pStyle w:val="ParaNumbering"/>
      </w:pPr>
      <w:r>
        <w:t xml:space="preserve">We acknowledge, once again, that the assessment of whether a sign is used as a trade mark is an evaluative exercise on which reasonable minds might differ. </w:t>
      </w:r>
      <w:r w:rsidR="004625AD">
        <w:t xml:space="preserve">The primary judge’s analysis of the differing uses of the Jazz Corner Hotel marks by JCHPL on the one hand, and </w:t>
      </w:r>
      <w:r w:rsidR="00226D09">
        <w:t xml:space="preserve">by </w:t>
      </w:r>
      <w:r w:rsidR="004625AD">
        <w:t>BBPL on the other, was nuanced. However, we do not discern error in his Honour’s approach or conclusions</w:t>
      </w:r>
      <w:r>
        <w:t xml:space="preserve">. </w:t>
      </w:r>
      <w:r w:rsidR="004625AD">
        <w:t>Therefore, Ground 7 of the appeal is not established.</w:t>
      </w:r>
    </w:p>
    <w:p w14:paraId="3AB8DAE1" w14:textId="77777777" w:rsidR="00F56A26" w:rsidRDefault="004625AD" w:rsidP="00B048E9">
      <w:pPr>
        <w:pStyle w:val="ParaNumbering"/>
      </w:pPr>
      <w:r>
        <w:lastRenderedPageBreak/>
        <w:t>We add</w:t>
      </w:r>
      <w:r w:rsidR="00226D09">
        <w:t xml:space="preserve"> that</w:t>
      </w:r>
      <w:r w:rsidR="00076C26">
        <w:t xml:space="preserve">, even if </w:t>
      </w:r>
      <w:r w:rsidR="00B048E9">
        <w:t xml:space="preserve">it </w:t>
      </w:r>
      <w:r w:rsidR="00076C26">
        <w:t>be accepted that BBPL had used the Jazz Corner Hotel marks as a trade mark in relation to live music services, this would not lead to a finding of infringement</w:t>
      </w:r>
      <w:r w:rsidR="00EA4171">
        <w:t xml:space="preserve">, given the primary judge’s finding that the Jazz Corner Hotel marks are not deceptively similar to the </w:t>
      </w:r>
      <w:proofErr w:type="spellStart"/>
      <w:r w:rsidR="00EA4171">
        <w:t>Swancom</w:t>
      </w:r>
      <w:proofErr w:type="spellEnd"/>
      <w:r w:rsidR="00EA4171">
        <w:t xml:space="preserve"> marks</w:t>
      </w:r>
      <w:r>
        <w:t>—a finding we have upheld</w:t>
      </w:r>
      <w:r w:rsidR="00EA4171">
        <w:t xml:space="preserve">. </w:t>
      </w:r>
      <w:bookmarkStart w:id="26" w:name="PTOC"/>
      <w:bookmarkEnd w:id="26"/>
    </w:p>
    <w:p w14:paraId="60B1CAC5" w14:textId="32F45E2B" w:rsidR="008A6FF2" w:rsidRPr="007B6F5D" w:rsidRDefault="00287A27" w:rsidP="006B74F6">
      <w:pPr>
        <w:pStyle w:val="Heading1"/>
      </w:pPr>
      <w:r>
        <w:t>Notice of C</w:t>
      </w:r>
      <w:r w:rsidR="008A6FF2" w:rsidRPr="008A6FF2">
        <w:t>ontention</w:t>
      </w:r>
    </w:p>
    <w:p w14:paraId="1FBCCA06" w14:textId="6F3FE0EF" w:rsidR="00417FDC" w:rsidRDefault="004625AD" w:rsidP="00226D09">
      <w:pPr>
        <w:pStyle w:val="ParaNumbering"/>
      </w:pPr>
      <w:r>
        <w:t>As we have noted</w:t>
      </w:r>
      <w:r w:rsidR="0066457F">
        <w:t>, the</w:t>
      </w:r>
      <w:r>
        <w:t xml:space="preserve"> </w:t>
      </w:r>
      <w:r w:rsidR="007B6F5D">
        <w:t>respondents</w:t>
      </w:r>
      <w:r w:rsidR="00FB0416">
        <w:t>’</w:t>
      </w:r>
      <w:r w:rsidR="007B6F5D">
        <w:t xml:space="preserve"> </w:t>
      </w:r>
      <w:r w:rsidR="00EF69CD">
        <w:t>notice of contention</w:t>
      </w:r>
      <w:r w:rsidR="00FB0416">
        <w:t xml:space="preserve"> raises two grounds</w:t>
      </w:r>
      <w:r w:rsidR="0066457F">
        <w:t>: first, the primary judge should have found that JCHPL had not used the phrase (THE) JAZZ CORNER HOTEL as a trade mark; and (b) the primary judge should have found that JCHPL and BBPL had not used the phrase</w:t>
      </w:r>
      <w:r w:rsidR="00B048E9">
        <w:t xml:space="preserve"> (THE) JAZZ CORNER OF MELBOURNE</w:t>
      </w:r>
      <w:r w:rsidR="0066457F">
        <w:t xml:space="preserve"> as a trade mark</w:t>
      </w:r>
      <w:r w:rsidR="00EF69CD">
        <w:t>.</w:t>
      </w:r>
    </w:p>
    <w:p w14:paraId="289F1595" w14:textId="5E34F596" w:rsidR="00226D09" w:rsidRDefault="00226D09" w:rsidP="00226D09">
      <w:pPr>
        <w:pStyle w:val="ParaNumbering"/>
      </w:pPr>
      <w:r>
        <w:t xml:space="preserve">Given our conclusion on Grounds 1 to 4 of this appeal, it is not necessary </w:t>
      </w:r>
      <w:r w:rsidR="005D4FB7">
        <w:t xml:space="preserve">for us to consider the </w:t>
      </w:r>
      <w:r>
        <w:t xml:space="preserve">respondent’s notice of contention. </w:t>
      </w:r>
      <w:r w:rsidR="005D4FB7">
        <w:t xml:space="preserve">The notice of contention invites us to interfere with the primary judge’s evaluative findings on trade mark use in a way that can have no effect on the outcome of the first appeal.  </w:t>
      </w:r>
    </w:p>
    <w:p w14:paraId="7A0BC0F4" w14:textId="3BC523B7" w:rsidR="005D4FB7" w:rsidRDefault="0059446B" w:rsidP="005D4FB7">
      <w:pPr>
        <w:pStyle w:val="Heading1"/>
      </w:pPr>
      <w:r>
        <w:t>The S</w:t>
      </w:r>
      <w:r w:rsidR="005D4FB7">
        <w:t>eco</w:t>
      </w:r>
      <w:r>
        <w:t>nd A</w:t>
      </w:r>
      <w:r w:rsidR="005D4FB7">
        <w:t>ppeal</w:t>
      </w:r>
    </w:p>
    <w:p w14:paraId="2668C907" w14:textId="04069133" w:rsidR="00AC20D4" w:rsidRPr="00E612A1" w:rsidRDefault="00AC20D4" w:rsidP="00AC20D4">
      <w:pPr>
        <w:pStyle w:val="ParaNumbering"/>
      </w:pPr>
      <w:r w:rsidRPr="000D0997">
        <w:t xml:space="preserve">In the second appeal, JCHPL challenges the costs orders </w:t>
      </w:r>
      <w:r>
        <w:t xml:space="preserve">made in respect to its cross-claim, </w:t>
      </w:r>
      <w:r w:rsidRPr="000D0997">
        <w:t>c</w:t>
      </w:r>
      <w:r w:rsidRPr="000D0997">
        <w:rPr>
          <w:spacing w:val="-1"/>
        </w:rPr>
        <w:t xml:space="preserve">ontending that </w:t>
      </w:r>
      <w:r w:rsidRPr="000D0997">
        <w:t>the primary</w:t>
      </w:r>
      <w:r w:rsidRPr="000D0997">
        <w:rPr>
          <w:spacing w:val="-1"/>
        </w:rPr>
        <w:t xml:space="preserve"> </w:t>
      </w:r>
      <w:r w:rsidRPr="000D0997">
        <w:t>judge’s decision was</w:t>
      </w:r>
      <w:r w:rsidRPr="000D0997">
        <w:rPr>
          <w:spacing w:val="-11"/>
        </w:rPr>
        <w:t xml:space="preserve"> </w:t>
      </w:r>
      <w:r w:rsidRPr="000D0997">
        <w:t>erroneous in that his Honour ought</w:t>
      </w:r>
      <w:r w:rsidRPr="000D0997">
        <w:rPr>
          <w:spacing w:val="-9"/>
        </w:rPr>
        <w:t xml:space="preserve"> </w:t>
      </w:r>
      <w:r w:rsidRPr="000D0997">
        <w:t>to</w:t>
      </w:r>
      <w:r w:rsidRPr="000D0997">
        <w:rPr>
          <w:spacing w:val="-10"/>
        </w:rPr>
        <w:t xml:space="preserve"> </w:t>
      </w:r>
      <w:r w:rsidRPr="000D0997">
        <w:t>have</w:t>
      </w:r>
      <w:r w:rsidRPr="000D0997">
        <w:rPr>
          <w:spacing w:val="-11"/>
        </w:rPr>
        <w:t xml:space="preserve"> </w:t>
      </w:r>
      <w:r w:rsidRPr="000D0997">
        <w:t xml:space="preserve">ordered that </w:t>
      </w:r>
      <w:proofErr w:type="spellStart"/>
      <w:r w:rsidRPr="000D0997">
        <w:t>Swancom</w:t>
      </w:r>
      <w:proofErr w:type="spellEnd"/>
      <w:r w:rsidRPr="000D0997">
        <w:t xml:space="preserve"> pay JCHPL’s costs of the proceeding as JCHPL was the successful </w:t>
      </w:r>
      <w:r w:rsidRPr="000D0997">
        <w:rPr>
          <w:spacing w:val="-2"/>
        </w:rPr>
        <w:t>party</w:t>
      </w:r>
      <w:r w:rsidRPr="00E612A1">
        <w:rPr>
          <w:spacing w:val="-2"/>
        </w:rPr>
        <w:t>. As previously noted</w:t>
      </w:r>
      <w:r>
        <w:rPr>
          <w:spacing w:val="-2"/>
        </w:rPr>
        <w:t xml:space="preserve">, </w:t>
      </w:r>
      <w:r w:rsidRPr="00E612A1">
        <w:rPr>
          <w:spacing w:val="-2"/>
        </w:rPr>
        <w:t xml:space="preserve">this appeal should be dismissed. </w:t>
      </w:r>
    </w:p>
    <w:p w14:paraId="1CF4D4D5" w14:textId="77777777" w:rsidR="00AC20D4" w:rsidRPr="00E612A1" w:rsidRDefault="00AC20D4" w:rsidP="00AC20D4">
      <w:pPr>
        <w:pStyle w:val="Heading2"/>
      </w:pPr>
      <w:r w:rsidRPr="00E612A1">
        <w:t>Grounds 1 to 4</w:t>
      </w:r>
    </w:p>
    <w:p w14:paraId="7795A733" w14:textId="681D3F1B" w:rsidR="00AC20D4" w:rsidRPr="000D0997" w:rsidRDefault="0042785A" w:rsidP="00AC20D4">
      <w:pPr>
        <w:pStyle w:val="ParaNumbering"/>
      </w:pPr>
      <w:r>
        <w:t xml:space="preserve">By </w:t>
      </w:r>
      <w:r w:rsidR="00F03063">
        <w:t>G</w:t>
      </w:r>
      <w:r>
        <w:t>rounds 1–</w:t>
      </w:r>
      <w:r w:rsidR="00AC20D4" w:rsidRPr="00E612A1">
        <w:t xml:space="preserve">3, JCHPL advances three bases for challenging the primary judge’s reasons in the Costs Decision, which it submits, by </w:t>
      </w:r>
      <w:r w:rsidR="00F03063">
        <w:t>G</w:t>
      </w:r>
      <w:r w:rsidR="00AC20D4" w:rsidRPr="00E612A1">
        <w:t xml:space="preserve">round 4, results in the conclusion that his Honour erred in failing to order that </w:t>
      </w:r>
      <w:proofErr w:type="spellStart"/>
      <w:r w:rsidR="00AC20D4" w:rsidRPr="00E612A1">
        <w:t>Swancom</w:t>
      </w:r>
      <w:proofErr w:type="spellEnd"/>
      <w:r w:rsidR="00AC20D4" w:rsidRPr="00E612A1">
        <w:t xml:space="preserve"> pay it costs of the cross-</w:t>
      </w:r>
      <w:r w:rsidR="00F03063">
        <w:t>claim</w:t>
      </w:r>
      <w:r w:rsidR="00AC20D4" w:rsidRPr="00E612A1">
        <w:t xml:space="preserve">. In summary, the three bases advanced are as follows. First, that the primary judge erred in breaking up the costs order into components, and in particular, in treating the costs of the cross-claim in a different manner to the other defences raised by the respondent. Secondly, that the primary judge erred in failing to take account of the partial result obtained by JCHPL in the cross-claim which arose from its evidence on historical and industry usage. Thirdly, that the primary judge erroneously concluded at CD[26] that the scope for the dispute as to the categorisation of costs incurred as relating to the application or the cross-claim, was relatively narrow. </w:t>
      </w:r>
    </w:p>
    <w:p w14:paraId="433C35BB" w14:textId="13D07FD3" w:rsidR="00AC20D4" w:rsidRPr="000D0997" w:rsidRDefault="00AC20D4" w:rsidP="00AC20D4">
      <w:pPr>
        <w:pStyle w:val="ParaNumbering"/>
        <w:rPr>
          <w:i/>
          <w:szCs w:val="24"/>
        </w:rPr>
      </w:pPr>
      <w:r w:rsidRPr="000D0997">
        <w:t xml:space="preserve">Section 43 of the </w:t>
      </w:r>
      <w:r w:rsidRPr="0042785A">
        <w:rPr>
          <w:i/>
        </w:rPr>
        <w:t>Federal Court of Australia Act 1976</w:t>
      </w:r>
      <w:r w:rsidRPr="0042785A">
        <w:t xml:space="preserve"> (</w:t>
      </w:r>
      <w:proofErr w:type="spellStart"/>
      <w:r w:rsidRPr="0042785A">
        <w:t>Cth</w:t>
      </w:r>
      <w:proofErr w:type="spellEnd"/>
      <w:r w:rsidRPr="0042785A">
        <w:t>)</w:t>
      </w:r>
      <w:r w:rsidRPr="000D0997">
        <w:t xml:space="preserve"> confers jurisdiction on the Court to award costs. </w:t>
      </w:r>
      <w:r w:rsidR="00F03063">
        <w:t>The award involves the exercise of</w:t>
      </w:r>
      <w:r w:rsidR="00F03063" w:rsidRPr="000D0997">
        <w:t xml:space="preserve"> </w:t>
      </w:r>
      <w:r w:rsidRPr="000D0997">
        <w:rPr>
          <w:spacing w:val="-7"/>
        </w:rPr>
        <w:t xml:space="preserve">a </w:t>
      </w:r>
      <w:r w:rsidRPr="000D0997">
        <w:t xml:space="preserve">discretionary judgment: </w:t>
      </w:r>
      <w:r w:rsidRPr="0042785A">
        <w:rPr>
          <w:i/>
        </w:rPr>
        <w:t xml:space="preserve">Foots v Southern </w:t>
      </w:r>
      <w:r w:rsidRPr="0042785A">
        <w:rPr>
          <w:i/>
        </w:rPr>
        <w:lastRenderedPageBreak/>
        <w:t xml:space="preserve">Cross Mine Management Pty Ltd </w:t>
      </w:r>
      <w:r w:rsidRPr="0042785A">
        <w:t>[2007] HCA 56; (2007) 234 CLR 52</w:t>
      </w:r>
      <w:r w:rsidRPr="000D0997">
        <w:t xml:space="preserve"> at [25]. </w:t>
      </w:r>
      <w:r w:rsidRPr="000D0997">
        <w:rPr>
          <w:szCs w:val="24"/>
        </w:rPr>
        <w:t xml:space="preserve">The disposition </w:t>
      </w:r>
      <w:r w:rsidRPr="000D0997">
        <w:rPr>
          <w:color w:val="333333"/>
          <w:szCs w:val="24"/>
          <w:shd w:val="clear" w:color="auto" w:fill="FFFFFF"/>
        </w:rPr>
        <w:t xml:space="preserve">to be made in any case where there are competing considerations will reflect a broad evaluative judgment of what justice requires: </w:t>
      </w:r>
      <w:proofErr w:type="spellStart"/>
      <w:r w:rsidRPr="0042785A">
        <w:rPr>
          <w:i/>
        </w:rPr>
        <w:t>Gray</w:t>
      </w:r>
      <w:proofErr w:type="spellEnd"/>
      <w:r w:rsidRPr="0042785A">
        <w:rPr>
          <w:i/>
        </w:rPr>
        <w:t xml:space="preserve"> v Richards (No 2)</w:t>
      </w:r>
      <w:r w:rsidRPr="0042785A">
        <w:t xml:space="preserve"> [2014] HCA 47;</w:t>
      </w:r>
      <w:r w:rsidRPr="0042785A">
        <w:rPr>
          <w:i/>
        </w:rPr>
        <w:t xml:space="preserve"> </w:t>
      </w:r>
      <w:r w:rsidRPr="0042785A">
        <w:t>(2014) 89 ALJR 113</w:t>
      </w:r>
      <w:r w:rsidRPr="000D0997">
        <w:t xml:space="preserve"> at</w:t>
      </w:r>
      <w:r w:rsidRPr="000D0997">
        <w:rPr>
          <w:spacing w:val="-18"/>
        </w:rPr>
        <w:t xml:space="preserve"> </w:t>
      </w:r>
      <w:r w:rsidRPr="000D0997">
        <w:t>[2]. That said, ordinarily,</w:t>
      </w:r>
      <w:r w:rsidRPr="000D0997">
        <w:rPr>
          <w:spacing w:val="-9"/>
        </w:rPr>
        <w:t xml:space="preserve"> </w:t>
      </w:r>
      <w:r w:rsidRPr="000D0997">
        <w:t>a</w:t>
      </w:r>
      <w:r w:rsidRPr="000D0997">
        <w:rPr>
          <w:spacing w:val="-10"/>
        </w:rPr>
        <w:t xml:space="preserve"> </w:t>
      </w:r>
      <w:r w:rsidRPr="000D0997">
        <w:t>successful</w:t>
      </w:r>
      <w:r w:rsidRPr="000D0997">
        <w:rPr>
          <w:spacing w:val="-8"/>
        </w:rPr>
        <w:t xml:space="preserve"> </w:t>
      </w:r>
      <w:r w:rsidRPr="000D0997">
        <w:t>party is entitled to an award of costs in its favour in the absence of special circumstances justifying some</w:t>
      </w:r>
      <w:r w:rsidRPr="000D0997">
        <w:rPr>
          <w:spacing w:val="-10"/>
        </w:rPr>
        <w:t xml:space="preserve"> </w:t>
      </w:r>
      <w:r w:rsidRPr="000D0997">
        <w:t>other</w:t>
      </w:r>
      <w:r w:rsidRPr="000D0997">
        <w:rPr>
          <w:spacing w:val="-9"/>
        </w:rPr>
        <w:t xml:space="preserve"> </w:t>
      </w:r>
      <w:r w:rsidRPr="000D0997">
        <w:t>order:</w:t>
      </w:r>
      <w:r w:rsidRPr="000D0997">
        <w:rPr>
          <w:spacing w:val="-8"/>
        </w:rPr>
        <w:t xml:space="preserve"> </w:t>
      </w:r>
      <w:r w:rsidRPr="000D0997">
        <w:t>see</w:t>
      </w:r>
      <w:r w:rsidRPr="000D0997">
        <w:rPr>
          <w:spacing w:val="-10"/>
        </w:rPr>
        <w:t xml:space="preserve"> </w:t>
      </w:r>
      <w:r w:rsidRPr="0042785A">
        <w:rPr>
          <w:i/>
        </w:rPr>
        <w:t>Ruddock</w:t>
      </w:r>
      <w:r w:rsidRPr="0042785A">
        <w:rPr>
          <w:i/>
          <w:spacing w:val="-10"/>
        </w:rPr>
        <w:t xml:space="preserve"> </w:t>
      </w:r>
      <w:r w:rsidRPr="0042785A">
        <w:rPr>
          <w:i/>
        </w:rPr>
        <w:t>v</w:t>
      </w:r>
      <w:r w:rsidRPr="0042785A">
        <w:rPr>
          <w:i/>
          <w:spacing w:val="-10"/>
        </w:rPr>
        <w:t xml:space="preserve"> </w:t>
      </w:r>
      <w:proofErr w:type="spellStart"/>
      <w:r w:rsidRPr="0042785A">
        <w:rPr>
          <w:i/>
        </w:rPr>
        <w:t>Vadarlis</w:t>
      </w:r>
      <w:proofErr w:type="spellEnd"/>
      <w:r w:rsidRPr="0042785A">
        <w:rPr>
          <w:i/>
          <w:spacing w:val="-6"/>
        </w:rPr>
        <w:t xml:space="preserve"> </w:t>
      </w:r>
      <w:r w:rsidRPr="0042785A">
        <w:rPr>
          <w:i/>
        </w:rPr>
        <w:t>(No</w:t>
      </w:r>
      <w:r w:rsidRPr="0042785A">
        <w:rPr>
          <w:i/>
          <w:spacing w:val="-1"/>
        </w:rPr>
        <w:t xml:space="preserve"> </w:t>
      </w:r>
      <w:r w:rsidRPr="0042785A">
        <w:rPr>
          <w:i/>
        </w:rPr>
        <w:t>2)</w:t>
      </w:r>
      <w:r w:rsidRPr="0042785A">
        <w:rPr>
          <w:i/>
          <w:spacing w:val="-12"/>
        </w:rPr>
        <w:t xml:space="preserve"> </w:t>
      </w:r>
      <w:r w:rsidRPr="0042785A">
        <w:t>[2001] FCA 1865; (2001) 115 FCR 229</w:t>
      </w:r>
      <w:r w:rsidRPr="000D0997">
        <w:rPr>
          <w:spacing w:val="-9"/>
        </w:rPr>
        <w:t xml:space="preserve"> </w:t>
      </w:r>
      <w:r w:rsidRPr="000D0997">
        <w:t>at</w:t>
      </w:r>
      <w:r w:rsidRPr="000D0997">
        <w:rPr>
          <w:spacing w:val="-8"/>
        </w:rPr>
        <w:t xml:space="preserve"> </w:t>
      </w:r>
      <w:r w:rsidRPr="000D0997">
        <w:t>[11];</w:t>
      </w:r>
      <w:r w:rsidRPr="000D0997">
        <w:rPr>
          <w:spacing w:val="21"/>
        </w:rPr>
        <w:t xml:space="preserve"> </w:t>
      </w:r>
      <w:proofErr w:type="spellStart"/>
      <w:r w:rsidRPr="0042785A">
        <w:rPr>
          <w:i/>
        </w:rPr>
        <w:t>Oshlack</w:t>
      </w:r>
      <w:proofErr w:type="spellEnd"/>
      <w:r w:rsidRPr="0042785A">
        <w:rPr>
          <w:i/>
          <w:spacing w:val="20"/>
        </w:rPr>
        <w:t xml:space="preserve"> </w:t>
      </w:r>
      <w:r w:rsidRPr="0042785A">
        <w:rPr>
          <w:i/>
        </w:rPr>
        <w:t>v</w:t>
      </w:r>
      <w:r w:rsidRPr="0042785A">
        <w:rPr>
          <w:i/>
          <w:spacing w:val="20"/>
        </w:rPr>
        <w:t xml:space="preserve"> </w:t>
      </w:r>
      <w:r w:rsidRPr="0042785A">
        <w:rPr>
          <w:i/>
        </w:rPr>
        <w:t>Richmond</w:t>
      </w:r>
      <w:r w:rsidRPr="0042785A">
        <w:rPr>
          <w:i/>
          <w:spacing w:val="21"/>
        </w:rPr>
        <w:t xml:space="preserve"> </w:t>
      </w:r>
      <w:r w:rsidRPr="0042785A">
        <w:rPr>
          <w:i/>
        </w:rPr>
        <w:t>River</w:t>
      </w:r>
      <w:r w:rsidRPr="0042785A">
        <w:rPr>
          <w:i/>
          <w:spacing w:val="21"/>
        </w:rPr>
        <w:t xml:space="preserve"> </w:t>
      </w:r>
      <w:r w:rsidRPr="0042785A">
        <w:rPr>
          <w:i/>
        </w:rPr>
        <w:t>Council</w:t>
      </w:r>
      <w:r w:rsidRPr="0042785A">
        <w:rPr>
          <w:i/>
          <w:spacing w:val="21"/>
        </w:rPr>
        <w:t xml:space="preserve"> </w:t>
      </w:r>
      <w:r w:rsidRPr="0042785A">
        <w:t>[1998] HCA 11</w:t>
      </w:r>
      <w:r w:rsidRPr="0042785A">
        <w:rPr>
          <w:spacing w:val="21"/>
        </w:rPr>
        <w:t xml:space="preserve">; </w:t>
      </w:r>
      <w:r w:rsidRPr="0042785A">
        <w:t>(1998)</w:t>
      </w:r>
      <w:r w:rsidRPr="0042785A">
        <w:rPr>
          <w:spacing w:val="20"/>
        </w:rPr>
        <w:t xml:space="preserve"> </w:t>
      </w:r>
      <w:r w:rsidRPr="0042785A">
        <w:t>193</w:t>
      </w:r>
      <w:r w:rsidRPr="0042785A">
        <w:rPr>
          <w:spacing w:val="21"/>
        </w:rPr>
        <w:t xml:space="preserve"> </w:t>
      </w:r>
      <w:r w:rsidRPr="0042785A">
        <w:t>CLR</w:t>
      </w:r>
      <w:r w:rsidRPr="0042785A">
        <w:rPr>
          <w:spacing w:val="21"/>
        </w:rPr>
        <w:t xml:space="preserve"> </w:t>
      </w:r>
      <w:r w:rsidRPr="0042785A">
        <w:t>72</w:t>
      </w:r>
      <w:r w:rsidRPr="000D0997">
        <w:rPr>
          <w:spacing w:val="21"/>
        </w:rPr>
        <w:t xml:space="preserve"> </w:t>
      </w:r>
      <w:r w:rsidRPr="000D0997">
        <w:t>at</w:t>
      </w:r>
      <w:r w:rsidRPr="000D0997">
        <w:rPr>
          <w:spacing w:val="21"/>
        </w:rPr>
        <w:t xml:space="preserve"> </w:t>
      </w:r>
      <w:r w:rsidRPr="000D0997">
        <w:t>[67],</w:t>
      </w:r>
      <w:r w:rsidRPr="000D0997">
        <w:rPr>
          <w:spacing w:val="20"/>
        </w:rPr>
        <w:t xml:space="preserve"> </w:t>
      </w:r>
      <w:r w:rsidRPr="000D0997">
        <w:t xml:space="preserve">[134]; </w:t>
      </w:r>
      <w:r w:rsidRPr="0042785A">
        <w:rPr>
          <w:i/>
        </w:rPr>
        <w:t xml:space="preserve">Victoria v </w:t>
      </w:r>
      <w:proofErr w:type="spellStart"/>
      <w:r w:rsidRPr="0042785A">
        <w:rPr>
          <w:i/>
        </w:rPr>
        <w:t>Sportsbet</w:t>
      </w:r>
      <w:proofErr w:type="spellEnd"/>
      <w:r w:rsidRPr="0042785A">
        <w:rPr>
          <w:i/>
        </w:rPr>
        <w:t xml:space="preserve"> Pty Ltd (No 2) </w:t>
      </w:r>
      <w:r w:rsidRPr="0042785A">
        <w:t>[2012] FCAFC 174</w:t>
      </w:r>
      <w:r w:rsidRPr="000D0997">
        <w:t xml:space="preserve"> at [6]</w:t>
      </w:r>
      <w:r w:rsidR="0042785A">
        <w:t>–</w:t>
      </w:r>
      <w:r w:rsidRPr="000D0997">
        <w:t xml:space="preserve">[7]. As the primary judge </w:t>
      </w:r>
      <w:proofErr w:type="spellStart"/>
      <w:r w:rsidRPr="000D0997">
        <w:t>uncontroversially</w:t>
      </w:r>
      <w:proofErr w:type="spellEnd"/>
      <w:r w:rsidRPr="000D0997">
        <w:t xml:space="preserve"> observed at CD[20</w:t>
      </w:r>
      <w:r w:rsidRPr="000D0997">
        <w:rPr>
          <w:szCs w:val="24"/>
        </w:rPr>
        <w:t>], although usually</w:t>
      </w:r>
      <w:r w:rsidRPr="000D0997">
        <w:t xml:space="preserve"> the discretion is exercised in favour of a successful party, “a successful party may be deprived of a proportion of its costs, or even required to pay costs to the other party, if the successful party succeeded only upon a portion of its claim, or failed on issues that were not reasonably pursued, or where the result of the litigation might be described as mixed”. The primary judge also recognised that “the mere fact that a court does not accept all of a successful party’s arguments does not make it appropriate to apportion costs on an issue by issue basis”.</w:t>
      </w:r>
      <w:r>
        <w:t xml:space="preserve"> JCHPL does not take </w:t>
      </w:r>
      <w:r w:rsidRPr="000D0997">
        <w:t xml:space="preserve">issue with </w:t>
      </w:r>
      <w:r>
        <w:t xml:space="preserve">the correctness of </w:t>
      </w:r>
      <w:r w:rsidRPr="000D0997">
        <w:t xml:space="preserve">those principles. </w:t>
      </w:r>
    </w:p>
    <w:p w14:paraId="77E6177A" w14:textId="12EAEFE6" w:rsidR="00AC20D4" w:rsidRPr="000D0997" w:rsidRDefault="00AC20D4" w:rsidP="00AC20D4">
      <w:pPr>
        <w:pStyle w:val="ParaNumbering"/>
      </w:pPr>
      <w:r w:rsidRPr="000D0997">
        <w:t>It is trite to observe that in an appeal from a discretionary</w:t>
      </w:r>
      <w:r w:rsidRPr="000D0997">
        <w:rPr>
          <w:spacing w:val="-12"/>
        </w:rPr>
        <w:t xml:space="preserve"> </w:t>
      </w:r>
      <w:r w:rsidRPr="000D0997">
        <w:t>judgment, it</w:t>
      </w:r>
      <w:r w:rsidRPr="000D0997">
        <w:rPr>
          <w:spacing w:val="-12"/>
        </w:rPr>
        <w:t xml:space="preserve"> </w:t>
      </w:r>
      <w:r w:rsidRPr="000D0997">
        <w:t>is</w:t>
      </w:r>
      <w:r w:rsidRPr="000D0997">
        <w:rPr>
          <w:spacing w:val="-12"/>
        </w:rPr>
        <w:t xml:space="preserve"> </w:t>
      </w:r>
      <w:r w:rsidRPr="000D0997">
        <w:t>not</w:t>
      </w:r>
      <w:r w:rsidRPr="000D0997">
        <w:rPr>
          <w:spacing w:val="-12"/>
        </w:rPr>
        <w:t xml:space="preserve"> </w:t>
      </w:r>
      <w:r w:rsidRPr="000D0997">
        <w:t>sufficient</w:t>
      </w:r>
      <w:r w:rsidRPr="000D0997">
        <w:rPr>
          <w:spacing w:val="-12"/>
        </w:rPr>
        <w:t xml:space="preserve"> </w:t>
      </w:r>
      <w:r w:rsidRPr="000D0997">
        <w:t>that</w:t>
      </w:r>
      <w:r w:rsidRPr="000D0997">
        <w:rPr>
          <w:spacing w:val="-12"/>
        </w:rPr>
        <w:t xml:space="preserve"> </w:t>
      </w:r>
      <w:r w:rsidRPr="000D0997">
        <w:t>an</w:t>
      </w:r>
      <w:r w:rsidRPr="000D0997">
        <w:rPr>
          <w:spacing w:val="-12"/>
        </w:rPr>
        <w:t xml:space="preserve"> </w:t>
      </w:r>
      <w:r w:rsidRPr="000D0997">
        <w:t xml:space="preserve">appellate court considers that it would have taken a different course if it had been in the position of the primary judge. </w:t>
      </w:r>
      <w:r w:rsidRPr="000D0997">
        <w:rPr>
          <w:szCs w:val="24"/>
        </w:rPr>
        <w:t xml:space="preserve">Rather, it is necessary to establish that the discretion miscarried through an error of principle of the kind discussed in </w:t>
      </w:r>
      <w:r w:rsidRPr="0042785A">
        <w:rPr>
          <w:i/>
          <w:szCs w:val="24"/>
        </w:rPr>
        <w:t>House v The King</w:t>
      </w:r>
      <w:r w:rsidRPr="0042785A">
        <w:rPr>
          <w:szCs w:val="24"/>
        </w:rPr>
        <w:t xml:space="preserve"> (1936) 55</w:t>
      </w:r>
      <w:r w:rsidRPr="0042785A">
        <w:rPr>
          <w:spacing w:val="-1"/>
          <w:szCs w:val="24"/>
        </w:rPr>
        <w:t xml:space="preserve"> </w:t>
      </w:r>
      <w:r w:rsidRPr="0042785A">
        <w:rPr>
          <w:szCs w:val="24"/>
        </w:rPr>
        <w:t>CLR</w:t>
      </w:r>
      <w:r w:rsidRPr="0042785A">
        <w:rPr>
          <w:spacing w:val="-5"/>
          <w:szCs w:val="24"/>
        </w:rPr>
        <w:t xml:space="preserve"> </w:t>
      </w:r>
      <w:r w:rsidRPr="0042785A">
        <w:rPr>
          <w:szCs w:val="24"/>
        </w:rPr>
        <w:t>499</w:t>
      </w:r>
      <w:r w:rsidRPr="000D0997">
        <w:rPr>
          <w:spacing w:val="-3"/>
          <w:szCs w:val="24"/>
        </w:rPr>
        <w:t xml:space="preserve"> </w:t>
      </w:r>
      <w:r w:rsidRPr="000D0997">
        <w:rPr>
          <w:szCs w:val="24"/>
        </w:rPr>
        <w:t>at</w:t>
      </w:r>
      <w:r w:rsidRPr="000D0997">
        <w:rPr>
          <w:spacing w:val="-3"/>
          <w:szCs w:val="24"/>
        </w:rPr>
        <w:t xml:space="preserve"> </w:t>
      </w:r>
      <w:r w:rsidR="0042785A">
        <w:rPr>
          <w:szCs w:val="24"/>
        </w:rPr>
        <w:t>504–</w:t>
      </w:r>
      <w:r w:rsidRPr="000D0997">
        <w:rPr>
          <w:szCs w:val="24"/>
        </w:rPr>
        <w:t>5.</w:t>
      </w:r>
      <w:r w:rsidRPr="000D0997">
        <w:rPr>
          <w:spacing w:val="-1"/>
          <w:sz w:val="20"/>
        </w:rPr>
        <w:t xml:space="preserve"> </w:t>
      </w:r>
      <w:r w:rsidRPr="000D0997">
        <w:t xml:space="preserve">The grounds on which JCHPL challenges the orders do not suggest that the primary judge acted on wrong principle, took into account irrelevant material, or did not take into account relevant material. JCHPL’s submissions, properly considered, reflect there to be a disagreement with the assessment of the factual conclusions underpinning the costs orders made. </w:t>
      </w:r>
    </w:p>
    <w:p w14:paraId="511FADA3" w14:textId="77777777" w:rsidR="00AC20D4" w:rsidRPr="000D0997" w:rsidRDefault="00AC20D4" w:rsidP="00AC20D4">
      <w:pPr>
        <w:pStyle w:val="ParaNumbering"/>
      </w:pPr>
      <w:r w:rsidRPr="000D0997">
        <w:t xml:space="preserve">As a preliminary observation, the submissions advanced by JCHPL are the same as those advanced below. In practical terms, JCHPL does not point to any error in the primary judge’s reasoning process, but rather repeats the submission rejected below. Related to that, the primary judge’s reasons reflect a detailed and considered analysis of the submissions. </w:t>
      </w:r>
    </w:p>
    <w:p w14:paraId="47552C0B" w14:textId="4E902F56" w:rsidR="00AC20D4" w:rsidRPr="000D0997" w:rsidRDefault="00AC20D4" w:rsidP="00AC20D4">
      <w:pPr>
        <w:pStyle w:val="ParaNumbering"/>
      </w:pPr>
      <w:r w:rsidRPr="000D0997">
        <w:t>In that context, the primary judge recited the arguments advanced at CD</w:t>
      </w:r>
      <w:r w:rsidR="0042785A">
        <w:t>[13]–</w:t>
      </w:r>
      <w:r w:rsidRPr="000D0997">
        <w:t xml:space="preserve">[19], and the relevant principles, at CD[20]. Having done so, the primary judge first addressed the question of the costs on </w:t>
      </w:r>
      <w:proofErr w:type="spellStart"/>
      <w:r w:rsidRPr="000D0997">
        <w:t>Swancom’s</w:t>
      </w:r>
      <w:proofErr w:type="spellEnd"/>
      <w:r w:rsidRPr="000D0997">
        <w:t xml:space="preserve"> application and determined that JCHPL was entitled to its costs, it having succeeded in defending the application: at CD[21]. Relevantly, the primary judge turned to the cross-claim and at CD[22] stated: </w:t>
      </w:r>
    </w:p>
    <w:p w14:paraId="29877611" w14:textId="77777777" w:rsidR="00AC20D4" w:rsidRPr="000D0997" w:rsidRDefault="00AC20D4" w:rsidP="00AC20D4">
      <w:pPr>
        <w:pStyle w:val="Quote1"/>
      </w:pPr>
      <w:r w:rsidRPr="000D0997">
        <w:lastRenderedPageBreak/>
        <w:t xml:space="preserve">In relation to the cross-claim brought by JCHPL, I accept </w:t>
      </w:r>
      <w:proofErr w:type="spellStart"/>
      <w:r w:rsidRPr="000D0997">
        <w:t>Swancom’s</w:t>
      </w:r>
      <w:proofErr w:type="spellEnd"/>
      <w:r w:rsidRPr="000D0997">
        <w:t xml:space="preserve"> submission that it should be regarded as, overall, the successful party on the cross-claim. As JCHPL submitted, the cross claim was brought as a defence to the infringement claim. While JCHPL established that the designated services in respect of which the CORNER and THE CORNER marks are registered in class 41 require amendment, the amendment did not afford any defence to the infringement claim. JCHPL failed in its application for cancellation of </w:t>
      </w:r>
      <w:proofErr w:type="spellStart"/>
      <w:r w:rsidRPr="000D0997">
        <w:t>Swancom’s</w:t>
      </w:r>
      <w:proofErr w:type="spellEnd"/>
      <w:r w:rsidRPr="000D0997">
        <w:t xml:space="preserve"> registered </w:t>
      </w:r>
      <w:proofErr w:type="spellStart"/>
      <w:r w:rsidRPr="000D0997">
        <w:t>trade marks</w:t>
      </w:r>
      <w:proofErr w:type="spellEnd"/>
      <w:r w:rsidRPr="000D0997">
        <w:t xml:space="preserve">. </w:t>
      </w:r>
      <w:proofErr w:type="spellStart"/>
      <w:r w:rsidRPr="000D0997">
        <w:t>Swancom’s</w:t>
      </w:r>
      <w:proofErr w:type="spellEnd"/>
      <w:r w:rsidRPr="000D0997">
        <w:t xml:space="preserve"> defence of the cross-claim required the filing of substantial evidence concerning its business and the use of its registered </w:t>
      </w:r>
      <w:proofErr w:type="spellStart"/>
      <w:r w:rsidRPr="000D0997">
        <w:t>trade marks</w:t>
      </w:r>
      <w:proofErr w:type="spellEnd"/>
      <w:r w:rsidRPr="000D0997">
        <w:t xml:space="preserve">, including industry and expert evidence. In the circumstances, </w:t>
      </w:r>
      <w:proofErr w:type="spellStart"/>
      <w:r w:rsidRPr="000D0997">
        <w:t>Swancom</w:t>
      </w:r>
      <w:proofErr w:type="spellEnd"/>
      <w:r w:rsidRPr="000D0997">
        <w:t xml:space="preserve"> would ordinarily be entitled to its costs of the cross-claim. </w:t>
      </w:r>
    </w:p>
    <w:p w14:paraId="4CC93C5F" w14:textId="1BCB78A5" w:rsidR="00AC20D4" w:rsidRPr="000D0997" w:rsidRDefault="00AC20D4" w:rsidP="00AC20D4">
      <w:pPr>
        <w:pStyle w:val="ParaNumbering"/>
      </w:pPr>
      <w:r w:rsidRPr="000D0997">
        <w:t xml:space="preserve">At CD[23], the primary judge concluded that the outcome of the proceeding suggests that the </w:t>
      </w:r>
      <w:r w:rsidR="00F03063">
        <w:t xml:space="preserve">(then) </w:t>
      </w:r>
      <w:r w:rsidRPr="000D0997">
        <w:t xml:space="preserve">respondents should have their costs of the application and </w:t>
      </w:r>
      <w:proofErr w:type="spellStart"/>
      <w:r w:rsidRPr="000D0997">
        <w:t>Swancom</w:t>
      </w:r>
      <w:proofErr w:type="spellEnd"/>
      <w:r w:rsidRPr="000D0997">
        <w:t xml:space="preserve"> should have its costs of the cross-claim. Reference was made to the relevant Practice Note. At CD[24], the primary judge addressed a submission by </w:t>
      </w:r>
      <w:proofErr w:type="spellStart"/>
      <w:r w:rsidRPr="000D0997">
        <w:t>Swancom</w:t>
      </w:r>
      <w:proofErr w:type="spellEnd"/>
      <w:r w:rsidRPr="000D0997">
        <w:t xml:space="preserve">, based on </w:t>
      </w:r>
      <w:r w:rsidRPr="0042785A">
        <w:rPr>
          <w:i/>
        </w:rPr>
        <w:t>Hansen</w:t>
      </w:r>
      <w:r w:rsidRPr="0042785A">
        <w:t xml:space="preserve"> </w:t>
      </w:r>
      <w:r w:rsidRPr="0042785A">
        <w:rPr>
          <w:i/>
        </w:rPr>
        <w:t xml:space="preserve">Beverage Company v </w:t>
      </w:r>
      <w:proofErr w:type="spellStart"/>
      <w:r w:rsidRPr="0042785A">
        <w:rPr>
          <w:i/>
        </w:rPr>
        <w:t>Bickfords</w:t>
      </w:r>
      <w:proofErr w:type="spellEnd"/>
      <w:r w:rsidRPr="0042785A">
        <w:rPr>
          <w:i/>
        </w:rPr>
        <w:t xml:space="preserve"> (Australia) Pty Ltd (No 2) </w:t>
      </w:r>
      <w:r w:rsidRPr="0042785A">
        <w:t>[2008] FCA 601</w:t>
      </w:r>
      <w:r w:rsidRPr="000D0997">
        <w:t xml:space="preserve">, that it was fair to all parties to offset their costs entitlements and make no order as to costs. The primary judge rejected the application of the approach in </w:t>
      </w:r>
      <w:r w:rsidRPr="000D0997">
        <w:rPr>
          <w:i/>
        </w:rPr>
        <w:t>Hansen</w:t>
      </w:r>
      <w:r w:rsidRPr="000D0997">
        <w:t xml:space="preserve"> on the basis that there was insufficient material before him. At CD[25], the primary judge expressed his conclusion that the appropriate orders were for </w:t>
      </w:r>
      <w:proofErr w:type="spellStart"/>
      <w:r w:rsidRPr="000D0997">
        <w:t>Swancom</w:t>
      </w:r>
      <w:proofErr w:type="spellEnd"/>
      <w:r w:rsidRPr="000D0997">
        <w:t xml:space="preserve"> to pay the respondents’ costs of the application and for JCHPL to pay </w:t>
      </w:r>
      <w:proofErr w:type="spellStart"/>
      <w:r w:rsidRPr="000D0997">
        <w:t>Swancom’s</w:t>
      </w:r>
      <w:proofErr w:type="spellEnd"/>
      <w:r w:rsidRPr="000D0997">
        <w:t xml:space="preserve"> costs of the cross</w:t>
      </w:r>
      <w:r w:rsidRPr="000D0997">
        <w:noBreakHyphen/>
        <w:t>claim.</w:t>
      </w:r>
    </w:p>
    <w:p w14:paraId="5F1DEC51" w14:textId="77777777" w:rsidR="00AC20D4" w:rsidRPr="000D0997" w:rsidRDefault="00AC20D4" w:rsidP="00AC20D4">
      <w:pPr>
        <w:pStyle w:val="ParaNumbering"/>
      </w:pPr>
      <w:r w:rsidRPr="000D0997">
        <w:t xml:space="preserve">Relevantly at CD[26], the primary judge stated: </w:t>
      </w:r>
    </w:p>
    <w:p w14:paraId="19FFB72B" w14:textId="77777777" w:rsidR="00AC20D4" w:rsidRPr="000D0997" w:rsidRDefault="00AC20D4" w:rsidP="00AC20D4">
      <w:pPr>
        <w:pStyle w:val="Quote1"/>
      </w:pPr>
      <w:r w:rsidRPr="000D0997">
        <w:t xml:space="preserve">In making those orders, I recognise that there is some potential for dispute as to the categorisation of costs incurred as relating to the application or the cross-claim. However, I consider that the scope for such dispute to be relatively narrow. </w:t>
      </w:r>
      <w:proofErr w:type="spellStart"/>
      <w:r w:rsidRPr="000D0997">
        <w:t>Swancom’s</w:t>
      </w:r>
      <w:proofErr w:type="spellEnd"/>
      <w:r w:rsidRPr="000D0997">
        <w:t xml:space="preserve"> application claiming trade mark infringement did not require it to establish any reputation in its marks. It follows that the evidence adduced by </w:t>
      </w:r>
      <w:proofErr w:type="spellStart"/>
      <w:r w:rsidRPr="000D0997">
        <w:t>Swancom</w:t>
      </w:r>
      <w:proofErr w:type="spellEnd"/>
      <w:r w:rsidRPr="000D0997">
        <w:t xml:space="preserve"> in relation to its business, reputation and trade mark use principally related to the cross-claim and </w:t>
      </w:r>
      <w:proofErr w:type="spellStart"/>
      <w:r w:rsidRPr="000D0997">
        <w:t>Swancom</w:t>
      </w:r>
      <w:proofErr w:type="spellEnd"/>
      <w:r w:rsidRPr="000D0997">
        <w:t xml:space="preserve"> should be entitled to its costs of that evidence as part of its costs of the cross-claim. Conversely, the evidence adduced by the respondents in relation to their businesses and trade mark use principally related to the application and the respondents should be entitled to their costs of that evidence as part of their costs of the application. As to the evidence adduced by JCHPL concerning the use of the word “corner” as a trading name, such evidence was relevant to both the application and the cross claim. In circumstances where </w:t>
      </w:r>
      <w:proofErr w:type="spellStart"/>
      <w:r w:rsidRPr="000D0997">
        <w:t>Swancom</w:t>
      </w:r>
      <w:proofErr w:type="spellEnd"/>
      <w:r w:rsidRPr="000D0997">
        <w:t xml:space="preserve"> initiated the proceeding and the respondents were brought to Court to defend the claim, in my view the respondents are entitled to be awarded their costs of that evidence as part of their costs of the application. That will include the costs associated with the proof of facts stated in the Notice to Admit that were not admitted by </w:t>
      </w:r>
      <w:proofErr w:type="spellStart"/>
      <w:r w:rsidRPr="000D0997">
        <w:t>Swancom</w:t>
      </w:r>
      <w:proofErr w:type="spellEnd"/>
      <w:r w:rsidRPr="000D0997">
        <w:t xml:space="preserve"> and which were ultimately found by the Court (at [66] of the principal judgment). </w:t>
      </w:r>
    </w:p>
    <w:p w14:paraId="0222BB00" w14:textId="77777777" w:rsidR="00AC20D4" w:rsidRPr="000D0997" w:rsidRDefault="00AC20D4" w:rsidP="00AC20D4">
      <w:pPr>
        <w:pStyle w:val="ParaNumbering"/>
      </w:pPr>
      <w:r w:rsidRPr="000D0997">
        <w:t xml:space="preserve">Against that background, we turn to the three bases of challenge.  </w:t>
      </w:r>
    </w:p>
    <w:p w14:paraId="096CA254" w14:textId="3171131A" w:rsidR="00AC20D4" w:rsidRPr="000D0997" w:rsidRDefault="00AC20D4" w:rsidP="00AC20D4">
      <w:pPr>
        <w:pStyle w:val="ParaNumbering"/>
      </w:pPr>
      <w:r w:rsidRPr="000D0997">
        <w:t>First, JCHPL submitted that in defending the action it raised a number of discrete defences, which although unsuccessful, the primary judge found did</w:t>
      </w:r>
      <w:r w:rsidRPr="000D0997">
        <w:rPr>
          <w:spacing w:val="-9"/>
        </w:rPr>
        <w:t xml:space="preserve"> </w:t>
      </w:r>
      <w:r w:rsidRPr="000D0997">
        <w:t>not</w:t>
      </w:r>
      <w:r w:rsidRPr="000D0997">
        <w:rPr>
          <w:spacing w:val="-9"/>
        </w:rPr>
        <w:t xml:space="preserve"> </w:t>
      </w:r>
      <w:r w:rsidRPr="000D0997">
        <w:t>warrant</w:t>
      </w:r>
      <w:r w:rsidRPr="000D0997">
        <w:rPr>
          <w:spacing w:val="-9"/>
        </w:rPr>
        <w:t xml:space="preserve"> </w:t>
      </w:r>
      <w:r w:rsidRPr="000D0997">
        <w:t>any</w:t>
      </w:r>
      <w:r w:rsidRPr="000D0997">
        <w:rPr>
          <w:spacing w:val="-9"/>
        </w:rPr>
        <w:t xml:space="preserve"> </w:t>
      </w:r>
      <w:r w:rsidRPr="000D0997">
        <w:t xml:space="preserve">discount to an award </w:t>
      </w:r>
      <w:r w:rsidRPr="000D0997">
        <w:lastRenderedPageBreak/>
        <w:t>of costs. The cross-claim was submitted to be in the same position. As apparent from CD[22] and [26] recited above, these submissions were rejected. In advancing this basis, JCHPL simply did not address the factual finding in CD[22] underpinning the conclusion as to the costs in the cross-</w:t>
      </w:r>
      <w:r w:rsidR="00F03063">
        <w:t>claim</w:t>
      </w:r>
      <w:r w:rsidRPr="000D0997">
        <w:t xml:space="preserve">. It was a finding that was open. This finding is repeated in CD[26]. Once it is accepted that that finding was open, it is evident that no error on this basis could be established. There is a basis on which to conclude, contrary to JCHPL’s submission, that the issue was not necessarily confined to whether the cross-claim was defensive action. As </w:t>
      </w:r>
      <w:proofErr w:type="spellStart"/>
      <w:r w:rsidRPr="000D0997">
        <w:t>Swancom</w:t>
      </w:r>
      <w:proofErr w:type="spellEnd"/>
      <w:r w:rsidRPr="000D0997">
        <w:t xml:space="preserve"> submitted, although the</w:t>
      </w:r>
      <w:r w:rsidRPr="000D0997">
        <w:rPr>
          <w:spacing w:val="-15"/>
        </w:rPr>
        <w:t xml:space="preserve"> </w:t>
      </w:r>
      <w:r w:rsidRPr="000D0997">
        <w:t>primary</w:t>
      </w:r>
      <w:r w:rsidRPr="000D0997">
        <w:rPr>
          <w:spacing w:val="-15"/>
        </w:rPr>
        <w:t xml:space="preserve"> </w:t>
      </w:r>
      <w:r w:rsidRPr="000D0997">
        <w:t>judge</w:t>
      </w:r>
      <w:r w:rsidRPr="000D0997">
        <w:rPr>
          <w:spacing w:val="-16"/>
        </w:rPr>
        <w:t xml:space="preserve"> </w:t>
      </w:r>
      <w:r w:rsidRPr="000D0997">
        <w:t>recognised</w:t>
      </w:r>
      <w:r w:rsidRPr="000D0997">
        <w:rPr>
          <w:spacing w:val="-15"/>
        </w:rPr>
        <w:t xml:space="preserve"> </w:t>
      </w:r>
      <w:r w:rsidRPr="000D0997">
        <w:t>the</w:t>
      </w:r>
      <w:r w:rsidRPr="000D0997">
        <w:rPr>
          <w:spacing w:val="-15"/>
        </w:rPr>
        <w:t xml:space="preserve"> </w:t>
      </w:r>
      <w:r w:rsidRPr="000D0997">
        <w:t>cross-claim</w:t>
      </w:r>
      <w:r w:rsidRPr="000D0997">
        <w:rPr>
          <w:spacing w:val="-15"/>
        </w:rPr>
        <w:t xml:space="preserve"> </w:t>
      </w:r>
      <w:r w:rsidRPr="000D0997">
        <w:t>was</w:t>
      </w:r>
      <w:r w:rsidRPr="000D0997">
        <w:rPr>
          <w:spacing w:val="-15"/>
        </w:rPr>
        <w:t xml:space="preserve"> </w:t>
      </w:r>
      <w:r w:rsidRPr="000D0997">
        <w:t xml:space="preserve">defensive, it did not oblige his Honour to treat the claim and the cross-claim as a single event, as contended for by JCHPL. It has not been established that it was not open to the primary judge to treat the cross-claim differently from the defence. </w:t>
      </w:r>
    </w:p>
    <w:p w14:paraId="279C3441" w14:textId="6CBD7871" w:rsidR="00AC20D4" w:rsidRPr="000D0997" w:rsidRDefault="00AC20D4" w:rsidP="00AC20D4">
      <w:pPr>
        <w:pStyle w:val="ParaNumbering"/>
      </w:pPr>
      <w:r w:rsidRPr="000D0997">
        <w:t>JCHPL also contended that there was a narrowing</w:t>
      </w:r>
      <w:r w:rsidRPr="000D0997">
        <w:rPr>
          <w:spacing w:val="-5"/>
        </w:rPr>
        <w:t xml:space="preserve"> </w:t>
      </w:r>
      <w:r w:rsidRPr="000D0997">
        <w:t>of</w:t>
      </w:r>
      <w:r w:rsidRPr="000D0997">
        <w:rPr>
          <w:spacing w:val="-4"/>
        </w:rPr>
        <w:t xml:space="preserve"> </w:t>
      </w:r>
      <w:r w:rsidRPr="000D0997">
        <w:t>the</w:t>
      </w:r>
      <w:r w:rsidRPr="000D0997">
        <w:rPr>
          <w:spacing w:val="-5"/>
        </w:rPr>
        <w:t xml:space="preserve"> </w:t>
      </w:r>
      <w:r w:rsidRPr="000D0997">
        <w:t>registration</w:t>
      </w:r>
      <w:r w:rsidRPr="000D0997">
        <w:rPr>
          <w:spacing w:val="-5"/>
        </w:rPr>
        <w:t xml:space="preserve"> </w:t>
      </w:r>
      <w:r w:rsidRPr="000D0997">
        <w:t>in</w:t>
      </w:r>
      <w:r w:rsidRPr="000D0997">
        <w:rPr>
          <w:spacing w:val="-5"/>
        </w:rPr>
        <w:t xml:space="preserve"> </w:t>
      </w:r>
      <w:r w:rsidRPr="000D0997">
        <w:t>the</w:t>
      </w:r>
      <w:r w:rsidRPr="000D0997">
        <w:rPr>
          <w:spacing w:val="-5"/>
        </w:rPr>
        <w:t xml:space="preserve"> </w:t>
      </w:r>
      <w:r w:rsidRPr="000D0997">
        <w:t>cross-claim</w:t>
      </w:r>
      <w:r w:rsidRPr="000D0997">
        <w:rPr>
          <w:spacing w:val="-4"/>
        </w:rPr>
        <w:t xml:space="preserve"> </w:t>
      </w:r>
      <w:r w:rsidRPr="000D0997">
        <w:t>proceeding</w:t>
      </w:r>
      <w:r w:rsidRPr="000D0997">
        <w:rPr>
          <w:spacing w:val="-5"/>
        </w:rPr>
        <w:t xml:space="preserve"> </w:t>
      </w:r>
      <w:r w:rsidRPr="000D0997">
        <w:t>arising</w:t>
      </w:r>
      <w:r w:rsidRPr="000D0997">
        <w:rPr>
          <w:spacing w:val="-5"/>
        </w:rPr>
        <w:t xml:space="preserve"> </w:t>
      </w:r>
      <w:r w:rsidRPr="000D0997">
        <w:t xml:space="preserve">from the evidence adduced by it on historical and industry usage and practice, which </w:t>
      </w:r>
      <w:r w:rsidR="00F03063">
        <w:t>was</w:t>
      </w:r>
      <w:r w:rsidR="00F03063" w:rsidRPr="000D0997">
        <w:t xml:space="preserve"> </w:t>
      </w:r>
      <w:r w:rsidRPr="000D0997">
        <w:t xml:space="preserve">not recognised by the granting of </w:t>
      </w:r>
      <w:r w:rsidR="00F03063">
        <w:t>the</w:t>
      </w:r>
      <w:r w:rsidR="00F03063" w:rsidRPr="000D0997">
        <w:t xml:space="preserve"> </w:t>
      </w:r>
      <w:r w:rsidRPr="000D0997">
        <w:t xml:space="preserve">costs order. This issue was addressed by the primary judge in CD[22], and as apparent from the passage recited above, his Honour did not agree with JCHPL’s characterisation of the issue. That conclusion is not challenged as evincing error. The failure to award a specific costs order for that aspect, given the wide discretion, was open to the primary judge. </w:t>
      </w:r>
    </w:p>
    <w:p w14:paraId="2E8D73E0" w14:textId="77777777" w:rsidR="00AC20D4" w:rsidRPr="000D0997" w:rsidRDefault="00AC20D4" w:rsidP="00AC20D4">
      <w:pPr>
        <w:pStyle w:val="ParaNumbering"/>
      </w:pPr>
      <w:r w:rsidRPr="000D0997">
        <w:t xml:space="preserve">Secondly, in regards to JCHPL’s submission that the primary judge erred in failing to take account of the partial result obtained by it in the cross-claim which arose from its evidence on historical and industry usage, for the reasons above, that submission cannot be accepted. This matter was taken into account, as evident from CD[22], which reflects that the primary judge did not, in the circumstances, place the significance on it contended for by JCHPL. </w:t>
      </w:r>
    </w:p>
    <w:p w14:paraId="03A333E7" w14:textId="26F2F99E" w:rsidR="00AC20D4" w:rsidRPr="000D0997" w:rsidRDefault="00AC20D4" w:rsidP="00AC20D4">
      <w:pPr>
        <w:pStyle w:val="ParaNumbering"/>
      </w:pPr>
      <w:r w:rsidRPr="00E6131B">
        <w:t>Thirdly, JCHPL complains that the conclusion by the primary judge that there was a narrow</w:t>
      </w:r>
      <w:r w:rsidRPr="00E6131B">
        <w:rPr>
          <w:spacing w:val="-16"/>
        </w:rPr>
        <w:t xml:space="preserve"> </w:t>
      </w:r>
      <w:r w:rsidRPr="00E6131B">
        <w:t>scope</w:t>
      </w:r>
      <w:r w:rsidRPr="00E6131B">
        <w:rPr>
          <w:spacing w:val="-15"/>
        </w:rPr>
        <w:t xml:space="preserve"> </w:t>
      </w:r>
      <w:r w:rsidRPr="00E6131B">
        <w:t>for</w:t>
      </w:r>
      <w:r w:rsidRPr="00E6131B">
        <w:rPr>
          <w:spacing w:val="-15"/>
        </w:rPr>
        <w:t xml:space="preserve"> </w:t>
      </w:r>
      <w:r w:rsidRPr="00E6131B">
        <w:t>dispute</w:t>
      </w:r>
      <w:r w:rsidRPr="00E6131B">
        <w:rPr>
          <w:spacing w:val="-16"/>
        </w:rPr>
        <w:t xml:space="preserve"> </w:t>
      </w:r>
      <w:r w:rsidRPr="00E6131B">
        <w:t>as</w:t>
      </w:r>
      <w:r w:rsidRPr="00E6131B">
        <w:rPr>
          <w:spacing w:val="-15"/>
        </w:rPr>
        <w:t xml:space="preserve"> </w:t>
      </w:r>
      <w:r w:rsidRPr="00E6131B">
        <w:t>to</w:t>
      </w:r>
      <w:r w:rsidRPr="00E6131B">
        <w:rPr>
          <w:spacing w:val="-15"/>
        </w:rPr>
        <w:t xml:space="preserve"> </w:t>
      </w:r>
      <w:r w:rsidRPr="00E6131B">
        <w:t>the</w:t>
      </w:r>
      <w:r w:rsidRPr="00E6131B">
        <w:rPr>
          <w:spacing w:val="-15"/>
        </w:rPr>
        <w:t xml:space="preserve"> </w:t>
      </w:r>
      <w:r w:rsidRPr="00E6131B">
        <w:t>categorisation</w:t>
      </w:r>
      <w:r w:rsidRPr="00E6131B">
        <w:rPr>
          <w:spacing w:val="-16"/>
        </w:rPr>
        <w:t xml:space="preserve"> </w:t>
      </w:r>
      <w:r w:rsidRPr="00E6131B">
        <w:t>of</w:t>
      </w:r>
      <w:r w:rsidRPr="00E6131B">
        <w:rPr>
          <w:spacing w:val="-15"/>
        </w:rPr>
        <w:t xml:space="preserve"> </w:t>
      </w:r>
      <w:r w:rsidRPr="00E6131B">
        <w:t>costs was in error. In particular, JCHPL submits the primary judge erred in CD[26] in concluding that evidence in respect to the use of the word “corner” as a trading name by third parties</w:t>
      </w:r>
      <w:r w:rsidR="00F03063">
        <w:t>,</w:t>
      </w:r>
      <w:r w:rsidRPr="00E6131B">
        <w:t xml:space="preserve"> which was relevant to both the application and the cross-</w:t>
      </w:r>
      <w:r w:rsidR="00F03063">
        <w:t>claim,</w:t>
      </w:r>
      <w:r w:rsidR="00F03063" w:rsidRPr="00E6131B">
        <w:t xml:space="preserve"> </w:t>
      </w:r>
      <w:r w:rsidRPr="00E6131B">
        <w:t xml:space="preserve">only warranted a costs order in the application. JCHPL also submitted that no proper order was made in respect to the costs associated with proof of facts in the Notice to Admit, as they were also costs in the cross-claim. However, as </w:t>
      </w:r>
      <w:proofErr w:type="spellStart"/>
      <w:r w:rsidRPr="00E6131B">
        <w:t>Swancom</w:t>
      </w:r>
      <w:proofErr w:type="spellEnd"/>
      <w:r w:rsidRPr="00E6131B">
        <w:t xml:space="preserve"> submits, the primary judge resolved any potential dispute</w:t>
      </w:r>
      <w:r w:rsidRPr="00E6131B">
        <w:rPr>
          <w:spacing w:val="-14"/>
        </w:rPr>
        <w:t xml:space="preserve"> </w:t>
      </w:r>
      <w:r w:rsidRPr="00E6131B">
        <w:t>in</w:t>
      </w:r>
      <w:r w:rsidRPr="00E6131B">
        <w:rPr>
          <w:spacing w:val="-14"/>
        </w:rPr>
        <w:t xml:space="preserve"> </w:t>
      </w:r>
      <w:r w:rsidRPr="00E6131B">
        <w:t>relation</w:t>
      </w:r>
      <w:r w:rsidRPr="00E6131B">
        <w:rPr>
          <w:spacing w:val="-14"/>
        </w:rPr>
        <w:t xml:space="preserve"> </w:t>
      </w:r>
      <w:r w:rsidRPr="00E6131B">
        <w:t>to</w:t>
      </w:r>
      <w:r w:rsidRPr="00E6131B">
        <w:rPr>
          <w:spacing w:val="-14"/>
        </w:rPr>
        <w:t xml:space="preserve"> </w:t>
      </w:r>
      <w:r w:rsidRPr="00E6131B">
        <w:t>that</w:t>
      </w:r>
      <w:r w:rsidRPr="00E6131B">
        <w:rPr>
          <w:spacing w:val="-14"/>
        </w:rPr>
        <w:t xml:space="preserve"> </w:t>
      </w:r>
      <w:r w:rsidRPr="00E6131B">
        <w:t>evidence</w:t>
      </w:r>
      <w:r w:rsidRPr="00E6131B">
        <w:rPr>
          <w:spacing w:val="-14"/>
        </w:rPr>
        <w:t xml:space="preserve"> </w:t>
      </w:r>
      <w:r w:rsidRPr="00E6131B">
        <w:t>by</w:t>
      </w:r>
      <w:r w:rsidRPr="00E6131B">
        <w:rPr>
          <w:spacing w:val="-14"/>
        </w:rPr>
        <w:t xml:space="preserve"> </w:t>
      </w:r>
      <w:r w:rsidRPr="00E6131B">
        <w:t>making</w:t>
      </w:r>
      <w:r w:rsidRPr="00E6131B">
        <w:rPr>
          <w:spacing w:val="-14"/>
        </w:rPr>
        <w:t xml:space="preserve"> </w:t>
      </w:r>
      <w:r w:rsidRPr="00E6131B">
        <w:t>it</w:t>
      </w:r>
      <w:r w:rsidRPr="00E6131B">
        <w:rPr>
          <w:spacing w:val="-14"/>
        </w:rPr>
        <w:t xml:space="preserve"> </w:t>
      </w:r>
      <w:r w:rsidRPr="00E6131B">
        <w:t>clear</w:t>
      </w:r>
      <w:r w:rsidRPr="00E6131B">
        <w:rPr>
          <w:spacing w:val="-14"/>
        </w:rPr>
        <w:t xml:space="preserve"> </w:t>
      </w:r>
      <w:r w:rsidRPr="00E6131B">
        <w:t>that</w:t>
      </w:r>
      <w:r w:rsidRPr="00E6131B">
        <w:rPr>
          <w:spacing w:val="-14"/>
        </w:rPr>
        <w:t xml:space="preserve"> </w:t>
      </w:r>
      <w:r w:rsidRPr="00E6131B">
        <w:t>those</w:t>
      </w:r>
      <w:r w:rsidRPr="00E6131B">
        <w:rPr>
          <w:spacing w:val="-14"/>
        </w:rPr>
        <w:t xml:space="preserve"> </w:t>
      </w:r>
      <w:r w:rsidRPr="00E6131B">
        <w:t>costs</w:t>
      </w:r>
      <w:r w:rsidRPr="00E6131B">
        <w:rPr>
          <w:spacing w:val="-14"/>
        </w:rPr>
        <w:t xml:space="preserve"> </w:t>
      </w:r>
      <w:r w:rsidRPr="00E6131B">
        <w:t>(including</w:t>
      </w:r>
      <w:r w:rsidRPr="00E6131B">
        <w:rPr>
          <w:spacing w:val="-14"/>
        </w:rPr>
        <w:t xml:space="preserve"> </w:t>
      </w:r>
      <w:r w:rsidRPr="00E6131B">
        <w:t>the</w:t>
      </w:r>
      <w:r w:rsidRPr="00E6131B">
        <w:rPr>
          <w:spacing w:val="-14"/>
        </w:rPr>
        <w:t xml:space="preserve"> </w:t>
      </w:r>
      <w:r w:rsidRPr="00E6131B">
        <w:t>costs associated with proof of facts stated in a Notice to Admit filed) should</w:t>
      </w:r>
      <w:r w:rsidRPr="00E6131B">
        <w:rPr>
          <w:spacing w:val="-4"/>
        </w:rPr>
        <w:t xml:space="preserve"> </w:t>
      </w:r>
      <w:r w:rsidRPr="00E6131B">
        <w:lastRenderedPageBreak/>
        <w:t>be</w:t>
      </w:r>
      <w:r w:rsidRPr="00E6131B">
        <w:rPr>
          <w:spacing w:val="-4"/>
        </w:rPr>
        <w:t xml:space="preserve"> </w:t>
      </w:r>
      <w:r w:rsidRPr="00E6131B">
        <w:t>recoverable</w:t>
      </w:r>
      <w:r w:rsidRPr="00E6131B">
        <w:rPr>
          <w:spacing w:val="-4"/>
        </w:rPr>
        <w:t xml:space="preserve"> </w:t>
      </w:r>
      <w:r w:rsidRPr="00E6131B">
        <w:t>by</w:t>
      </w:r>
      <w:r w:rsidRPr="00E6131B">
        <w:rPr>
          <w:spacing w:val="-4"/>
        </w:rPr>
        <w:t xml:space="preserve"> </w:t>
      </w:r>
      <w:r w:rsidRPr="00E6131B">
        <w:t>JCHPL</w:t>
      </w:r>
      <w:r w:rsidRPr="00E6131B">
        <w:rPr>
          <w:spacing w:val="-3"/>
        </w:rPr>
        <w:t xml:space="preserve"> </w:t>
      </w:r>
      <w:r w:rsidRPr="00E6131B">
        <w:t>as</w:t>
      </w:r>
      <w:r w:rsidRPr="00E6131B">
        <w:rPr>
          <w:spacing w:val="-3"/>
        </w:rPr>
        <w:t xml:space="preserve"> </w:t>
      </w:r>
      <w:r w:rsidRPr="00E6131B">
        <w:t>part</w:t>
      </w:r>
      <w:r w:rsidRPr="00E6131B">
        <w:rPr>
          <w:spacing w:val="-3"/>
        </w:rPr>
        <w:t xml:space="preserve"> </w:t>
      </w:r>
      <w:r w:rsidRPr="00E6131B">
        <w:t>of</w:t>
      </w:r>
      <w:r w:rsidRPr="00E6131B">
        <w:rPr>
          <w:spacing w:val="-4"/>
        </w:rPr>
        <w:t xml:space="preserve"> </w:t>
      </w:r>
      <w:r w:rsidRPr="00E6131B">
        <w:t>their</w:t>
      </w:r>
      <w:r w:rsidRPr="00E6131B">
        <w:rPr>
          <w:spacing w:val="-4"/>
        </w:rPr>
        <w:t xml:space="preserve"> </w:t>
      </w:r>
      <w:r w:rsidRPr="00E6131B">
        <w:t>costs</w:t>
      </w:r>
      <w:r w:rsidRPr="00E6131B">
        <w:rPr>
          <w:spacing w:val="-3"/>
        </w:rPr>
        <w:t xml:space="preserve"> </w:t>
      </w:r>
      <w:r w:rsidRPr="00E6131B">
        <w:t>of</w:t>
      </w:r>
      <w:r w:rsidRPr="00E6131B">
        <w:rPr>
          <w:spacing w:val="-4"/>
        </w:rPr>
        <w:t xml:space="preserve"> </w:t>
      </w:r>
      <w:r w:rsidRPr="00E6131B">
        <w:t>defending</w:t>
      </w:r>
      <w:r w:rsidRPr="00E6131B">
        <w:rPr>
          <w:spacing w:val="-4"/>
        </w:rPr>
        <w:t xml:space="preserve"> </w:t>
      </w:r>
      <w:r w:rsidRPr="00E6131B">
        <w:t>the</w:t>
      </w:r>
      <w:r w:rsidRPr="00E6131B">
        <w:rPr>
          <w:spacing w:val="-3"/>
        </w:rPr>
        <w:t xml:space="preserve"> </w:t>
      </w:r>
      <w:r w:rsidRPr="00E6131B">
        <w:t xml:space="preserve">claim. </w:t>
      </w:r>
      <w:r>
        <w:t xml:space="preserve">Again, the complaint as to </w:t>
      </w:r>
      <w:r w:rsidRPr="00E6131B">
        <w:t>the scope of the dispute</w:t>
      </w:r>
      <w:r>
        <w:t xml:space="preserve"> challenges</w:t>
      </w:r>
      <w:r w:rsidRPr="00E6131B">
        <w:t xml:space="preserve"> a factual finding, and one that was open to</w:t>
      </w:r>
      <w:r>
        <w:t xml:space="preserve"> the primary judge. </w:t>
      </w:r>
      <w:r w:rsidRPr="00E6131B">
        <w:t>That JCHPL disagrees with the characterisation of the dispute does not establish error. Indeed, the disagreement is based on the correctness of JCHPL’s assertion</w:t>
      </w:r>
      <w:r w:rsidRPr="000D0997">
        <w:t xml:space="preserve"> that it was entitled to its costs on the cross-claim, and the approach taken by the primary judge. </w:t>
      </w:r>
      <w:r>
        <w:t>We do not accept that submission.</w:t>
      </w:r>
    </w:p>
    <w:p w14:paraId="270AE6BF" w14:textId="6A711C7D" w:rsidR="00AC20D4" w:rsidRDefault="00AC20D4" w:rsidP="00AC20D4">
      <w:pPr>
        <w:pStyle w:val="ParaNumbering"/>
      </w:pPr>
      <w:r w:rsidRPr="000D0997">
        <w:t>Finally, JCHPL’s complaint, at its heart, is that this was a short proceeding run on an integrated</w:t>
      </w:r>
      <w:r w:rsidRPr="000D0997">
        <w:rPr>
          <w:spacing w:val="-4"/>
        </w:rPr>
        <w:t xml:space="preserve"> </w:t>
      </w:r>
      <w:r w:rsidRPr="000D0997">
        <w:t>basis</w:t>
      </w:r>
      <w:r w:rsidRPr="000D0997">
        <w:rPr>
          <w:spacing w:val="-4"/>
        </w:rPr>
        <w:t xml:space="preserve"> </w:t>
      </w:r>
      <w:r w:rsidRPr="000D0997">
        <w:t>where</w:t>
      </w:r>
      <w:r w:rsidRPr="000D0997">
        <w:rPr>
          <w:spacing w:val="-3"/>
        </w:rPr>
        <w:t xml:space="preserve"> </w:t>
      </w:r>
      <w:r w:rsidRPr="000D0997">
        <w:t>a</w:t>
      </w:r>
      <w:r w:rsidRPr="000D0997">
        <w:rPr>
          <w:spacing w:val="-3"/>
        </w:rPr>
        <w:t xml:space="preserve"> </w:t>
      </w:r>
      <w:r w:rsidRPr="000D0997">
        <w:t>party</w:t>
      </w:r>
      <w:r w:rsidRPr="000D0997">
        <w:rPr>
          <w:spacing w:val="-4"/>
        </w:rPr>
        <w:t xml:space="preserve"> </w:t>
      </w:r>
      <w:r w:rsidRPr="000D0997">
        <w:t>has</w:t>
      </w:r>
      <w:r w:rsidRPr="000D0997">
        <w:rPr>
          <w:spacing w:val="-4"/>
        </w:rPr>
        <w:t xml:space="preserve"> </w:t>
      </w:r>
      <w:r w:rsidRPr="000D0997">
        <w:t>clearly</w:t>
      </w:r>
      <w:r w:rsidRPr="000D0997">
        <w:rPr>
          <w:spacing w:val="-4"/>
        </w:rPr>
        <w:t xml:space="preserve"> </w:t>
      </w:r>
      <w:r w:rsidRPr="000D0997">
        <w:t>succeeded</w:t>
      </w:r>
      <w:r w:rsidRPr="000D0997">
        <w:rPr>
          <w:spacing w:val="-4"/>
        </w:rPr>
        <w:t xml:space="preserve"> </w:t>
      </w:r>
      <w:r w:rsidRPr="000D0997">
        <w:t>on</w:t>
      </w:r>
      <w:r w:rsidRPr="000D0997">
        <w:rPr>
          <w:spacing w:val="-4"/>
        </w:rPr>
        <w:t xml:space="preserve"> </w:t>
      </w:r>
      <w:r w:rsidRPr="000D0997">
        <w:t>the</w:t>
      </w:r>
      <w:r w:rsidRPr="000D0997">
        <w:rPr>
          <w:spacing w:val="-3"/>
        </w:rPr>
        <w:t xml:space="preserve"> </w:t>
      </w:r>
      <w:r w:rsidRPr="000D0997">
        <w:t>primary</w:t>
      </w:r>
      <w:r w:rsidRPr="000D0997">
        <w:rPr>
          <w:spacing w:val="-4"/>
        </w:rPr>
        <w:t xml:space="preserve"> </w:t>
      </w:r>
      <w:r w:rsidRPr="000D0997">
        <w:t>issue</w:t>
      </w:r>
      <w:r w:rsidRPr="000D0997">
        <w:rPr>
          <w:spacing w:val="-3"/>
        </w:rPr>
        <w:t xml:space="preserve"> </w:t>
      </w:r>
      <w:r w:rsidRPr="000D0997">
        <w:t>in</w:t>
      </w:r>
      <w:r w:rsidRPr="000D0997">
        <w:rPr>
          <w:spacing w:val="-4"/>
        </w:rPr>
        <w:t xml:space="preserve"> </w:t>
      </w:r>
      <w:r w:rsidRPr="000D0997">
        <w:t>contest. The cost orders imposed by the primary judge</w:t>
      </w:r>
      <w:r w:rsidR="00F03063">
        <w:t>,</w:t>
      </w:r>
      <w:r w:rsidRPr="000D0997">
        <w:t xml:space="preserve"> which do not reflect that result, demonstrate error. JCHPL contends that the primary judge’s discretion on costs has miscarried as it should not</w:t>
      </w:r>
      <w:r w:rsidRPr="000D0997">
        <w:rPr>
          <w:spacing w:val="-3"/>
        </w:rPr>
        <w:t xml:space="preserve"> </w:t>
      </w:r>
      <w:r w:rsidRPr="000D0997">
        <w:t>have</w:t>
      </w:r>
      <w:r w:rsidRPr="000D0997">
        <w:rPr>
          <w:spacing w:val="-3"/>
        </w:rPr>
        <w:t xml:space="preserve"> </w:t>
      </w:r>
      <w:r w:rsidRPr="000D0997">
        <w:t>been</w:t>
      </w:r>
      <w:r w:rsidRPr="000D0997">
        <w:rPr>
          <w:spacing w:val="-4"/>
        </w:rPr>
        <w:t xml:space="preserve"> </w:t>
      </w:r>
      <w:r w:rsidRPr="000D0997">
        <w:t>ordered</w:t>
      </w:r>
      <w:r w:rsidRPr="000D0997">
        <w:rPr>
          <w:spacing w:val="-4"/>
        </w:rPr>
        <w:t xml:space="preserve"> </w:t>
      </w:r>
      <w:r w:rsidRPr="000D0997">
        <w:t>to</w:t>
      </w:r>
      <w:r w:rsidRPr="000D0997">
        <w:rPr>
          <w:spacing w:val="-4"/>
        </w:rPr>
        <w:t xml:space="preserve"> </w:t>
      </w:r>
      <w:r w:rsidRPr="000D0997">
        <w:t>pay</w:t>
      </w:r>
      <w:r w:rsidRPr="000D0997">
        <w:rPr>
          <w:spacing w:val="-5"/>
        </w:rPr>
        <w:t xml:space="preserve"> </w:t>
      </w:r>
      <w:r w:rsidRPr="000D0997">
        <w:t>the</w:t>
      </w:r>
      <w:r w:rsidRPr="000D0997">
        <w:rPr>
          <w:spacing w:val="-3"/>
        </w:rPr>
        <w:t xml:space="preserve"> </w:t>
      </w:r>
      <w:r w:rsidRPr="000D0997">
        <w:t>costs</w:t>
      </w:r>
      <w:r w:rsidRPr="000D0997">
        <w:rPr>
          <w:spacing w:val="-3"/>
        </w:rPr>
        <w:t xml:space="preserve"> </w:t>
      </w:r>
      <w:r w:rsidRPr="000D0997">
        <w:t>of</w:t>
      </w:r>
      <w:r w:rsidRPr="000D0997">
        <w:rPr>
          <w:spacing w:val="-3"/>
        </w:rPr>
        <w:t xml:space="preserve"> </w:t>
      </w:r>
      <w:proofErr w:type="spellStart"/>
      <w:r w:rsidRPr="000D0997">
        <w:t>Swancom</w:t>
      </w:r>
      <w:proofErr w:type="spellEnd"/>
      <w:r w:rsidRPr="000D0997">
        <w:rPr>
          <w:spacing w:val="-3"/>
        </w:rPr>
        <w:t xml:space="preserve"> </w:t>
      </w:r>
      <w:r w:rsidRPr="000D0997">
        <w:t>on</w:t>
      </w:r>
      <w:r w:rsidRPr="000D0997">
        <w:rPr>
          <w:spacing w:val="-4"/>
        </w:rPr>
        <w:t xml:space="preserve"> </w:t>
      </w:r>
      <w:r w:rsidRPr="000D0997">
        <w:t>the</w:t>
      </w:r>
      <w:r w:rsidRPr="000D0997">
        <w:rPr>
          <w:spacing w:val="-3"/>
        </w:rPr>
        <w:t xml:space="preserve"> </w:t>
      </w:r>
      <w:r w:rsidRPr="000D0997">
        <w:t xml:space="preserve">cross-claim as a separate “event”. The primary judge did not accept that submission, for the reasons his Honour provided. We observe that the primary judge, in considering the award of costs after this contested hearing, was ideally placed to assess that assertion. </w:t>
      </w:r>
      <w:r>
        <w:t xml:space="preserve">His Honour enjoyed an obvious advantage to this Court, as to the overlap of evidence, issues and results. We discern no error in his reasoning. </w:t>
      </w:r>
      <w:r w:rsidRPr="000D0997">
        <w:t xml:space="preserve">The discretion as to the award of costs is a broad one. That other approaches to the award of cost might have been taken, does not establish error. Having considered the material and submissions, JCHPL has not established that the approach of the primary judge as to the award of damages in respect to the cross-claim was not open. </w:t>
      </w:r>
    </w:p>
    <w:p w14:paraId="2FF649F3" w14:textId="5EF6D019" w:rsidR="005D4FB7" w:rsidRPr="005D4FB7" w:rsidRDefault="00AC20D4" w:rsidP="00AC20D4">
      <w:pPr>
        <w:pStyle w:val="ParaNumbering"/>
      </w:pPr>
      <w:r>
        <w:t xml:space="preserve">JCHPL has not established any of the grounds of appeal. </w:t>
      </w:r>
    </w:p>
    <w:p w14:paraId="51CDF7EF" w14:textId="77777777" w:rsidR="004A17FD" w:rsidRDefault="004A17FD" w:rsidP="00396DF3">
      <w:pPr>
        <w:pStyle w:val="BodyText"/>
      </w:pPr>
      <w:bookmarkStart w:id="27" w:name="Certification"/>
    </w:p>
    <w:tbl>
      <w:tblPr>
        <w:tblW w:w="0" w:type="auto"/>
        <w:tblLook w:val="04A0" w:firstRow="1" w:lastRow="0" w:firstColumn="1" w:lastColumn="0" w:noHBand="0" w:noVBand="1"/>
      </w:tblPr>
      <w:tblGrid>
        <w:gridCol w:w="3794"/>
      </w:tblGrid>
      <w:tr w:rsidR="004A17FD" w:rsidRPr="004A17FD" w14:paraId="4BA2D414" w14:textId="77777777">
        <w:tc>
          <w:tcPr>
            <w:tcW w:w="3794" w:type="dxa"/>
            <w:shd w:val="clear" w:color="auto" w:fill="auto"/>
          </w:tcPr>
          <w:p w14:paraId="65AD7D0A" w14:textId="773D3620" w:rsidR="004A17FD" w:rsidRPr="004A17FD" w:rsidRDefault="004A17FD" w:rsidP="004A17FD">
            <w:pPr>
              <w:pStyle w:val="Normal1linespace"/>
            </w:pPr>
            <w:r w:rsidRPr="004A17FD">
              <w:t xml:space="preserve">I certify that the preceding </w:t>
            </w:r>
            <w:bookmarkStart w:id="28" w:name="NumberWord"/>
            <w:r w:rsidR="000266AD">
              <w:t>one hundred and forty-five</w:t>
            </w:r>
            <w:bookmarkEnd w:id="28"/>
            <w:r w:rsidRPr="004A17FD">
              <w:t xml:space="preserve"> (</w:t>
            </w:r>
            <w:bookmarkStart w:id="29" w:name="NumberNumeral"/>
            <w:r w:rsidR="000266AD">
              <w:t>145</w:t>
            </w:r>
            <w:bookmarkEnd w:id="29"/>
            <w:r w:rsidRPr="004A17FD">
              <w:t xml:space="preserve">) numbered </w:t>
            </w:r>
            <w:bookmarkStart w:id="30" w:name="CertPara"/>
            <w:r w:rsidR="000266AD">
              <w:t>paragraphs are</w:t>
            </w:r>
            <w:bookmarkEnd w:id="30"/>
            <w:r w:rsidRPr="004A17FD">
              <w:t xml:space="preserve"> a true copy of the Reasons for Judgment of </w:t>
            </w:r>
            <w:bookmarkStart w:id="31" w:name="bkHonourable"/>
            <w:r w:rsidRPr="004A17FD">
              <w:t xml:space="preserve">the Honourable </w:t>
            </w:r>
            <w:bookmarkStart w:id="32" w:name="Justice"/>
            <w:bookmarkEnd w:id="31"/>
            <w:r w:rsidR="003F2038">
              <w:t>Justices Yates, Abraham and Rofe</w:t>
            </w:r>
            <w:bookmarkEnd w:id="32"/>
            <w:r w:rsidRPr="004A17FD">
              <w:t>.</w:t>
            </w:r>
          </w:p>
        </w:tc>
      </w:tr>
    </w:tbl>
    <w:p w14:paraId="40AEEF3D" w14:textId="77777777" w:rsidR="004A17FD" w:rsidRDefault="004A17FD" w:rsidP="00396DF3">
      <w:pPr>
        <w:pStyle w:val="BodyText"/>
      </w:pPr>
    </w:p>
    <w:p w14:paraId="75122F9C" w14:textId="6C37F893" w:rsidR="004A17FD" w:rsidRDefault="004A17FD" w:rsidP="00396DF3">
      <w:pPr>
        <w:pStyle w:val="BodyText"/>
      </w:pPr>
    </w:p>
    <w:p w14:paraId="55B97632" w14:textId="2230AB5B" w:rsidR="004A17FD" w:rsidRDefault="004A17FD" w:rsidP="00396DF3">
      <w:pPr>
        <w:pStyle w:val="BodyText"/>
      </w:pPr>
      <w:r>
        <w:t>Associate:</w:t>
      </w:r>
      <w:bookmarkStart w:id="33" w:name="_GoBack"/>
      <w:bookmarkEnd w:id="33"/>
    </w:p>
    <w:p w14:paraId="46F84630" w14:textId="77777777" w:rsidR="004A17FD" w:rsidRDefault="004A17FD" w:rsidP="00396DF3">
      <w:pPr>
        <w:pStyle w:val="BodyText"/>
      </w:pPr>
    </w:p>
    <w:p w14:paraId="3607270E" w14:textId="54F741DC" w:rsidR="00375802" w:rsidRPr="004A17FD" w:rsidRDefault="004A17FD" w:rsidP="0091123D">
      <w:pPr>
        <w:pStyle w:val="BodyText"/>
        <w:tabs>
          <w:tab w:val="left" w:pos="1134"/>
        </w:tabs>
        <w:rPr>
          <w:highlight w:val="yellow"/>
        </w:rPr>
      </w:pPr>
      <w:r>
        <w:t>Dated:</w:t>
      </w:r>
      <w:r>
        <w:tab/>
      </w:r>
      <w:bookmarkStart w:id="34" w:name="CertifyDated"/>
      <w:r w:rsidR="0014759B">
        <w:t>13 September 2022</w:t>
      </w:r>
      <w:bookmarkEnd w:id="27"/>
      <w:bookmarkEnd w:id="34"/>
    </w:p>
    <w:p w14:paraId="03A13C7F" w14:textId="77777777" w:rsidR="00B249B1" w:rsidRDefault="00B249B1">
      <w:pPr>
        <w:spacing w:line="240" w:lineRule="auto"/>
        <w:jc w:val="left"/>
        <w:rPr>
          <w:b/>
          <w:caps/>
          <w:kern w:val="28"/>
        </w:rPr>
      </w:pPr>
      <w:r>
        <w:br w:type="page"/>
      </w:r>
    </w:p>
    <w:p w14:paraId="57282A7E" w14:textId="6B35A253" w:rsidR="00375802" w:rsidRDefault="00417FDC" w:rsidP="00D41D70">
      <w:pPr>
        <w:pStyle w:val="Heading1"/>
      </w:pPr>
      <w:r w:rsidRPr="00375802">
        <w:lastRenderedPageBreak/>
        <w:t>Annexure</w:t>
      </w:r>
      <w:r w:rsidR="00900768" w:rsidRPr="00375802">
        <w:t xml:space="preserve"> </w:t>
      </w:r>
      <w:r w:rsidRPr="00375802">
        <w:t>A</w:t>
      </w:r>
      <w:r w:rsidR="00375802" w:rsidRPr="00375802">
        <w:t>1</w:t>
      </w:r>
    </w:p>
    <w:p w14:paraId="6399D647" w14:textId="5E54CB92" w:rsidR="000C4E8E" w:rsidRDefault="000C4E8E" w:rsidP="000C4E8E">
      <w:pPr>
        <w:pStyle w:val="BodyText"/>
      </w:pPr>
    </w:p>
    <w:p w14:paraId="62C2D544" w14:textId="62D2CF39" w:rsidR="000C4E8E" w:rsidRPr="00DE0C82" w:rsidRDefault="000C4E8E" w:rsidP="000C4E8E">
      <w:pPr>
        <w:pStyle w:val="BodyText"/>
      </w:pPr>
      <w:r w:rsidRPr="0077028F">
        <w:rPr>
          <w:noProof/>
          <w:lang w:eastAsia="en-AU"/>
        </w:rPr>
        <w:drawing>
          <wp:inline distT="0" distB="0" distL="0" distR="0" wp14:anchorId="4B040367" wp14:editId="1E73CC71">
            <wp:extent cx="5024276" cy="7898524"/>
            <wp:effectExtent l="0" t="0" r="508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 3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33782" cy="7913469"/>
                    </a:xfrm>
                    <a:prstGeom prst="rect">
                      <a:avLst/>
                    </a:prstGeom>
                  </pic:spPr>
                </pic:pic>
              </a:graphicData>
            </a:graphic>
          </wp:inline>
        </w:drawing>
      </w:r>
    </w:p>
    <w:p w14:paraId="695A0B56" w14:textId="730F7154" w:rsidR="000C4E8E" w:rsidRPr="00DE0C82" w:rsidRDefault="000C4E8E" w:rsidP="000C4E8E">
      <w:pPr>
        <w:pStyle w:val="BodyText"/>
      </w:pPr>
      <w:r w:rsidRPr="0077028F">
        <w:rPr>
          <w:noProof/>
          <w:lang w:eastAsia="en-AU"/>
        </w:rPr>
        <w:lastRenderedPageBreak/>
        <w:drawing>
          <wp:inline distT="0" distB="0" distL="0" distR="0" wp14:anchorId="327B8B98" wp14:editId="48A7053C">
            <wp:extent cx="4749207" cy="82369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 32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52759" cy="8243075"/>
                    </a:xfrm>
                    <a:prstGeom prst="rect">
                      <a:avLst/>
                    </a:prstGeom>
                  </pic:spPr>
                </pic:pic>
              </a:graphicData>
            </a:graphic>
          </wp:inline>
        </w:drawing>
      </w:r>
    </w:p>
    <w:p w14:paraId="750194A9" w14:textId="7C10940A" w:rsidR="000C4E8E" w:rsidRPr="00DE0C82" w:rsidRDefault="000C4E8E" w:rsidP="000C4E8E">
      <w:pPr>
        <w:pStyle w:val="BodyText"/>
      </w:pPr>
    </w:p>
    <w:p w14:paraId="4156038C" w14:textId="778D66C4" w:rsidR="00417FDC" w:rsidRPr="00DE0C82" w:rsidRDefault="00417FDC" w:rsidP="00D41D70">
      <w:pPr>
        <w:pStyle w:val="BodyText"/>
      </w:pPr>
    </w:p>
    <w:p w14:paraId="00AF4B17" w14:textId="07E67FB9" w:rsidR="00C65125" w:rsidRPr="0077028F" w:rsidRDefault="00C65125" w:rsidP="00D41D70">
      <w:pPr>
        <w:pStyle w:val="BodyText"/>
      </w:pPr>
    </w:p>
    <w:p w14:paraId="4B0821E8" w14:textId="12A0DA7F" w:rsidR="00C65125" w:rsidRDefault="00C65125" w:rsidP="00D41D70">
      <w:pPr>
        <w:pStyle w:val="BodyText"/>
      </w:pPr>
      <w:r w:rsidRPr="0077028F">
        <w:rPr>
          <w:noProof/>
          <w:lang w:eastAsia="en-AU"/>
        </w:rPr>
        <w:drawing>
          <wp:inline distT="0" distB="0" distL="0" distR="0" wp14:anchorId="4D2499B5" wp14:editId="719D9F74">
            <wp:extent cx="4635795" cy="8456252"/>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 32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36663" cy="8457836"/>
                    </a:xfrm>
                    <a:prstGeom prst="rect">
                      <a:avLst/>
                    </a:prstGeom>
                  </pic:spPr>
                </pic:pic>
              </a:graphicData>
            </a:graphic>
          </wp:inline>
        </w:drawing>
      </w:r>
    </w:p>
    <w:p w14:paraId="3FB17C5D" w14:textId="6CE69B58" w:rsidR="00314F4F" w:rsidRDefault="00314F4F" w:rsidP="00314F4F">
      <w:pPr>
        <w:pStyle w:val="Heading1"/>
      </w:pPr>
      <w:r>
        <w:lastRenderedPageBreak/>
        <w:t>Annexure A2</w:t>
      </w:r>
    </w:p>
    <w:p w14:paraId="2CCD27F1" w14:textId="231C5B45" w:rsidR="00314F4F" w:rsidRDefault="00314F4F" w:rsidP="00314F4F">
      <w:pPr>
        <w:pStyle w:val="BodyText"/>
      </w:pPr>
      <w:r w:rsidRPr="0077028F">
        <w:rPr>
          <w:noProof/>
          <w:lang w:eastAsia="en-AU"/>
        </w:rPr>
        <w:drawing>
          <wp:inline distT="0" distB="0" distL="0" distR="0" wp14:anchorId="11E6241C" wp14:editId="71F0887E">
            <wp:extent cx="5732145" cy="615496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 238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2145" cy="6154960"/>
                    </a:xfrm>
                    <a:prstGeom prst="rect">
                      <a:avLst/>
                    </a:prstGeom>
                  </pic:spPr>
                </pic:pic>
              </a:graphicData>
            </a:graphic>
          </wp:inline>
        </w:drawing>
      </w:r>
    </w:p>
    <w:p w14:paraId="1C619E41" w14:textId="308FF542" w:rsidR="00314F4F" w:rsidRDefault="00314F4F" w:rsidP="00314F4F">
      <w:pPr>
        <w:pStyle w:val="BodyText"/>
      </w:pPr>
    </w:p>
    <w:p w14:paraId="1DC0B36E" w14:textId="71849F59" w:rsidR="00314F4F" w:rsidRDefault="00314F4F" w:rsidP="00314F4F">
      <w:pPr>
        <w:pStyle w:val="BodyText"/>
      </w:pPr>
    </w:p>
    <w:p w14:paraId="07E207DB" w14:textId="1E751490" w:rsidR="00314F4F" w:rsidRDefault="00314F4F" w:rsidP="00314F4F">
      <w:pPr>
        <w:pStyle w:val="BodyText"/>
      </w:pPr>
    </w:p>
    <w:p w14:paraId="0CA28B7E" w14:textId="4FBD3C78" w:rsidR="00314F4F" w:rsidRDefault="00314F4F" w:rsidP="00314F4F">
      <w:pPr>
        <w:pStyle w:val="BodyText"/>
      </w:pPr>
    </w:p>
    <w:p w14:paraId="29C5AF85" w14:textId="03E86280" w:rsidR="00314F4F" w:rsidRDefault="00314F4F" w:rsidP="00314F4F">
      <w:pPr>
        <w:pStyle w:val="BodyText"/>
      </w:pPr>
    </w:p>
    <w:p w14:paraId="05178BCA" w14:textId="65882151" w:rsidR="00314F4F" w:rsidRDefault="00314F4F" w:rsidP="00314F4F">
      <w:pPr>
        <w:pStyle w:val="BodyText"/>
      </w:pPr>
    </w:p>
    <w:p w14:paraId="3272FE3D" w14:textId="242340AA" w:rsidR="00314F4F" w:rsidRDefault="00314F4F" w:rsidP="00314F4F">
      <w:pPr>
        <w:pStyle w:val="BodyText"/>
      </w:pPr>
    </w:p>
    <w:p w14:paraId="7774861B" w14:textId="61B3230C" w:rsidR="00314F4F" w:rsidRDefault="00314F4F" w:rsidP="00314F4F">
      <w:pPr>
        <w:pStyle w:val="BodyText"/>
      </w:pPr>
    </w:p>
    <w:p w14:paraId="4201B173" w14:textId="1A2C3B95" w:rsidR="00375802" w:rsidRDefault="00314F4F" w:rsidP="00E54669">
      <w:pPr>
        <w:pStyle w:val="Heading1"/>
      </w:pPr>
      <w:r>
        <w:lastRenderedPageBreak/>
        <w:t>Annexure A3</w:t>
      </w:r>
    </w:p>
    <w:p w14:paraId="435E1C33" w14:textId="77777777" w:rsidR="00AE0CE0" w:rsidRPr="00AE0CE0" w:rsidRDefault="00AE0CE0" w:rsidP="002D262A">
      <w:pPr>
        <w:pStyle w:val="BodyText"/>
      </w:pPr>
    </w:p>
    <w:p w14:paraId="560170B4" w14:textId="313B435C" w:rsidR="00375802" w:rsidRPr="0077028F" w:rsidRDefault="00AE0CE0" w:rsidP="002D262A">
      <w:pPr>
        <w:pStyle w:val="BodyText"/>
      </w:pPr>
      <w:r>
        <w:rPr>
          <w:noProof/>
          <w:lang w:eastAsia="en-AU"/>
        </w:rPr>
        <w:drawing>
          <wp:inline distT="0" distB="0" distL="0" distR="0" wp14:anchorId="4993EF52" wp14:editId="6A9697CD">
            <wp:extent cx="6065667" cy="643233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2.JPG"/>
                    <pic:cNvPicPr/>
                  </pic:nvPicPr>
                  <pic:blipFill>
                    <a:blip r:embed="rId28">
                      <a:extLst>
                        <a:ext uri="{28A0092B-C50C-407E-A947-70E740481C1C}">
                          <a14:useLocalDpi xmlns:a14="http://schemas.microsoft.com/office/drawing/2010/main" val="0"/>
                        </a:ext>
                      </a:extLst>
                    </a:blip>
                    <a:stretch>
                      <a:fillRect/>
                    </a:stretch>
                  </pic:blipFill>
                  <pic:spPr>
                    <a:xfrm>
                      <a:off x="0" y="0"/>
                      <a:ext cx="6075031" cy="6442261"/>
                    </a:xfrm>
                    <a:prstGeom prst="rect">
                      <a:avLst/>
                    </a:prstGeom>
                  </pic:spPr>
                </pic:pic>
              </a:graphicData>
            </a:graphic>
          </wp:inline>
        </w:drawing>
      </w:r>
    </w:p>
    <w:p w14:paraId="104D80C3" w14:textId="77777777" w:rsidR="00375802" w:rsidRPr="0077028F" w:rsidRDefault="00375802" w:rsidP="002D262A">
      <w:pPr>
        <w:pStyle w:val="BodyText"/>
      </w:pPr>
    </w:p>
    <w:p w14:paraId="3025C7F8" w14:textId="3366389A" w:rsidR="00AE0CE0" w:rsidRDefault="00AE0CE0" w:rsidP="002D262A">
      <w:pPr>
        <w:pStyle w:val="BodyText"/>
      </w:pPr>
    </w:p>
    <w:p w14:paraId="6E4D925C" w14:textId="77777777" w:rsidR="00AE0CE0" w:rsidRDefault="00AE0CE0" w:rsidP="002D262A">
      <w:pPr>
        <w:pStyle w:val="BodyText"/>
      </w:pPr>
    </w:p>
    <w:p w14:paraId="14F44F96" w14:textId="77777777" w:rsidR="00AE0CE0" w:rsidRDefault="00AE0CE0" w:rsidP="002D262A">
      <w:pPr>
        <w:pStyle w:val="BodyText"/>
      </w:pPr>
    </w:p>
    <w:p w14:paraId="1AD5A83E" w14:textId="77777777" w:rsidR="00AE0CE0" w:rsidRDefault="00AE0CE0" w:rsidP="002D262A">
      <w:pPr>
        <w:pStyle w:val="BodyText"/>
      </w:pPr>
    </w:p>
    <w:p w14:paraId="031B2BC8" w14:textId="0EA1A5F3" w:rsidR="00AE0CE0" w:rsidRDefault="00AE0CE0" w:rsidP="002D262A">
      <w:pPr>
        <w:pStyle w:val="BodyText"/>
      </w:pPr>
    </w:p>
    <w:p w14:paraId="7C121DEC" w14:textId="77777777" w:rsidR="00D41D70" w:rsidRPr="00DE0C82" w:rsidRDefault="00D41D70" w:rsidP="002D262A">
      <w:pPr>
        <w:pStyle w:val="BodyText"/>
      </w:pPr>
    </w:p>
    <w:p w14:paraId="0CC1454F" w14:textId="77777777" w:rsidR="002D262A" w:rsidRDefault="002D262A" w:rsidP="002D262A">
      <w:pPr>
        <w:pStyle w:val="BodyText"/>
      </w:pPr>
    </w:p>
    <w:p w14:paraId="2A6E6593" w14:textId="4EBB9148" w:rsidR="00375802" w:rsidRPr="004A17FD" w:rsidRDefault="00AC20D4" w:rsidP="002D262A">
      <w:pPr>
        <w:pStyle w:val="Heading1"/>
      </w:pPr>
      <w:r w:rsidRPr="00DE0C82">
        <w:t>Annexure A4</w:t>
      </w:r>
    </w:p>
    <w:p w14:paraId="683B9430" w14:textId="6EC71015" w:rsidR="00375802" w:rsidRPr="004A17FD" w:rsidRDefault="00C65125" w:rsidP="002D262A">
      <w:pPr>
        <w:pStyle w:val="BodyText"/>
        <w:rPr>
          <w:highlight w:val="yellow"/>
        </w:rPr>
      </w:pPr>
      <w:r w:rsidRPr="004A17FD">
        <w:rPr>
          <w:noProof/>
          <w:highlight w:val="yellow"/>
          <w:lang w:eastAsia="en-AU"/>
        </w:rPr>
        <w:drawing>
          <wp:inline distT="0" distB="0" distL="0" distR="0" wp14:anchorId="65C0F681" wp14:editId="65ABCCE8">
            <wp:extent cx="5956973" cy="6347637"/>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 239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57745" cy="6348460"/>
                    </a:xfrm>
                    <a:prstGeom prst="rect">
                      <a:avLst/>
                    </a:prstGeom>
                  </pic:spPr>
                </pic:pic>
              </a:graphicData>
            </a:graphic>
          </wp:inline>
        </w:drawing>
      </w:r>
    </w:p>
    <w:sectPr w:rsidR="00375802" w:rsidRPr="004A17FD" w:rsidSect="00A84FD0">
      <w:headerReference w:type="even" r:id="rId30"/>
      <w:headerReference w:type="default" r:id="rId31"/>
      <w:footerReference w:type="default" r:id="rId32"/>
      <w:headerReference w:type="first" r:id="rId33"/>
      <w:footerReference w:type="first" r:id="rId34"/>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290DE2" w14:textId="77777777" w:rsidR="005471E5" w:rsidRDefault="005471E5">
      <w:pPr>
        <w:spacing w:line="20" w:lineRule="exact"/>
      </w:pPr>
    </w:p>
    <w:p w14:paraId="70064F25" w14:textId="77777777" w:rsidR="005471E5" w:rsidRDefault="005471E5"/>
    <w:p w14:paraId="3D17398D" w14:textId="77777777" w:rsidR="005471E5" w:rsidRDefault="005471E5"/>
  </w:endnote>
  <w:endnote w:type="continuationSeparator" w:id="0">
    <w:p w14:paraId="21BE4CBB" w14:textId="77777777" w:rsidR="005471E5" w:rsidRDefault="005471E5">
      <w:r>
        <w:t xml:space="preserve"> </w:t>
      </w:r>
    </w:p>
    <w:p w14:paraId="1C9278EE" w14:textId="77777777" w:rsidR="005471E5" w:rsidRDefault="005471E5"/>
    <w:p w14:paraId="3A35F184" w14:textId="77777777" w:rsidR="005471E5" w:rsidRDefault="005471E5"/>
  </w:endnote>
  <w:endnote w:type="continuationNotice" w:id="1">
    <w:p w14:paraId="249A6EC4" w14:textId="77777777" w:rsidR="005471E5" w:rsidRDefault="005471E5">
      <w:r>
        <w:t xml:space="preserve"> </w:t>
      </w:r>
    </w:p>
    <w:p w14:paraId="53980D53" w14:textId="77777777" w:rsidR="005471E5" w:rsidRDefault="005471E5"/>
    <w:p w14:paraId="0B4404DE" w14:textId="77777777" w:rsidR="005471E5" w:rsidRDefault="005471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Arial Unicode MS"/>
    <w:panose1 w:val="02030600000101010101"/>
    <w:charset w:val="81"/>
    <w:family w:val="roman"/>
    <w:pitch w:val="variable"/>
    <w:sig w:usb0="00000000"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737D5" w14:textId="77777777" w:rsidR="00246FC5" w:rsidRDefault="00246F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EF23A" w14:textId="33CBC6A8" w:rsidR="005471E5" w:rsidRPr="00A945BC" w:rsidRDefault="005471E5" w:rsidP="00A945BC">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57728" behindDoc="0" locked="0" layoutInCell="1" allowOverlap="1" wp14:anchorId="7057207F" wp14:editId="43B06313">
              <wp:simplePos x="0" y="0"/>
              <wp:positionH relativeFrom="column">
                <wp:posOffset>-28575</wp:posOffset>
              </wp:positionH>
              <wp:positionV relativeFrom="paragraph">
                <wp:posOffset>-635</wp:posOffset>
              </wp:positionV>
              <wp:extent cx="294322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F8DDED" id="Straight Connector 5"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2.25pt,-.05pt" to="22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" strokecolor="black [3213]"/>
          </w:pict>
        </mc:Fallback>
      </mc:AlternateContent>
    </w:r>
    <w:sdt>
      <w:sdtPr>
        <w:rPr>
          <w:bCs/>
          <w:sz w:val="18"/>
          <w:szCs w:val="18"/>
        </w:rPr>
        <w:tag w:val="MNC"/>
        <w:id w:val="1707292070"/>
        <w:dataBinding w:prefixMappings="xmlns:ns0='http://schemas.globalmacros.com/FCA'" w:xpath="/ns0:root[1]/ns0:Name[1]" w:storeItemID="{687E7CCB-4AA5-44E7-B148-17BA2B6F57C0}"/>
        <w:text w:multiLine="1"/>
      </w:sdtPr>
      <w:sdtEndPr/>
      <w:sdtContent>
        <w:proofErr w:type="spellStart"/>
        <w:r w:rsidR="00246FC5">
          <w:rPr>
            <w:bCs/>
            <w:sz w:val="18"/>
            <w:szCs w:val="18"/>
          </w:rPr>
          <w:t>Swancom</w:t>
        </w:r>
        <w:proofErr w:type="spellEnd"/>
        <w:r w:rsidR="00246FC5">
          <w:rPr>
            <w:bCs/>
            <w:sz w:val="18"/>
            <w:szCs w:val="18"/>
          </w:rPr>
          <w:t xml:space="preserve"> Pty Ltd v The Jazz Corner Hotel Pty Ltd [2022] FCAFC 157 </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FFF8A" w14:textId="77777777" w:rsidR="00246FC5" w:rsidRDefault="00246FC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ACFAB" w14:textId="01E33979" w:rsidR="005471E5" w:rsidRPr="00C47B9D" w:rsidRDefault="005471E5" w:rsidP="00E94CBF">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58240" behindDoc="0" locked="0" layoutInCell="1" allowOverlap="1" wp14:anchorId="1A90CA69" wp14:editId="60D5AB9D">
              <wp:simplePos x="0" y="0"/>
              <wp:positionH relativeFrom="column">
                <wp:posOffset>-28575</wp:posOffset>
              </wp:positionH>
              <wp:positionV relativeFrom="paragraph">
                <wp:posOffset>21590</wp:posOffset>
              </wp:positionV>
              <wp:extent cx="294322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A9DF9A" id="Straight Connector 6"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Av3wnRzgEAAAMEAAAOAAAA&#10;AAAAAAAAAAAAAC4CAABkcnMvZTJvRG9jLnhtbFBLAQItABQABgAIAAAAIQAqehV42wAAAAYBAAAP&#10;AAAAAAAAAAAAAAAAACgEAABkcnMvZG93bnJldi54bWxQSwUGAAAAAAQABADzAAAAMAUAAAAA&#10;" strokecolor="black [3213]"/>
          </w:pict>
        </mc:Fallback>
      </mc:AlternateContent>
    </w:r>
    <w:sdt>
      <w:sdtPr>
        <w:rPr>
          <w:bCs/>
          <w:sz w:val="18"/>
          <w:szCs w:val="18"/>
        </w:rPr>
        <w:tag w:val="MNC"/>
        <w:id w:val="-831216538"/>
        <w:placeholder>
          <w:docPart w:val="C8FA9D1DF4814E73849E925B4FF66302"/>
        </w:placeholder>
        <w:dataBinding w:prefixMappings="xmlns:ns0='http://schemas.globalmacros.com/FCA'" w:xpath="/ns0:root[1]/ns0:Name[1]" w:storeItemID="{687E7CCB-4AA5-44E7-B148-17BA2B6F57C0}"/>
        <w:text w:multiLine="1"/>
      </w:sdtPr>
      <w:sdtEndPr/>
      <w:sdtContent>
        <w:proofErr w:type="spellStart"/>
        <w:r w:rsidR="00246FC5">
          <w:rPr>
            <w:bCs/>
            <w:sz w:val="18"/>
            <w:szCs w:val="18"/>
          </w:rPr>
          <w:t>Swancom</w:t>
        </w:r>
        <w:proofErr w:type="spellEnd"/>
        <w:r w:rsidR="00246FC5">
          <w:rPr>
            <w:bCs/>
            <w:sz w:val="18"/>
            <w:szCs w:val="18"/>
          </w:rPr>
          <w:t xml:space="preserve"> Pty Ltd v The Jazz Corner Hotel Pty Ltd [2022] FCAFC 157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Pr>
        <w:bCs/>
        <w:sz w:val="20"/>
      </w:rPr>
      <w:t>ii</w:t>
    </w:r>
    <w:r w:rsidRPr="00EA7F6D">
      <w:rPr>
        <w:bCs/>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34B59" w14:textId="5AB5DEA6" w:rsidR="005471E5" w:rsidRPr="00C47B9D" w:rsidRDefault="005471E5"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56192" behindDoc="0" locked="0" layoutInCell="1" allowOverlap="1" wp14:anchorId="274749F5" wp14:editId="00258C77">
              <wp:simplePos x="0" y="0"/>
              <wp:positionH relativeFrom="column">
                <wp:posOffset>-28575</wp:posOffset>
              </wp:positionH>
              <wp:positionV relativeFrom="paragraph">
                <wp:posOffset>21590</wp:posOffset>
              </wp:positionV>
              <wp:extent cx="29432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616BCC" id="Straight Connector 2"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" strokecolor="black [3213]"/>
          </w:pict>
        </mc:Fallback>
      </mc:AlternateContent>
    </w:r>
    <w:sdt>
      <w:sdtPr>
        <w:rPr>
          <w:bCs/>
          <w:sz w:val="18"/>
          <w:szCs w:val="18"/>
        </w:rPr>
        <w:tag w:val="MNC"/>
        <w:id w:val="510263260"/>
        <w:placeholder>
          <w:docPart w:val="491E36D8E76D4B56AC9D6EF904D44685"/>
        </w:placeholder>
        <w:dataBinding w:prefixMappings="xmlns:ns0='http://schemas.globalmacros.com/FCA'" w:xpath="/ns0:root[1]/ns0:Name[1]" w:storeItemID="{687E7CCB-4AA5-44E7-B148-17BA2B6F57C0}"/>
        <w:text w:multiLine="1"/>
      </w:sdtPr>
      <w:sdtEndPr/>
      <w:sdtContent>
        <w:proofErr w:type="spellStart"/>
        <w:r w:rsidR="00246FC5">
          <w:rPr>
            <w:bCs/>
            <w:sz w:val="18"/>
            <w:szCs w:val="18"/>
          </w:rPr>
          <w:t>Swancom</w:t>
        </w:r>
        <w:proofErr w:type="spellEnd"/>
        <w:r w:rsidR="00246FC5">
          <w:rPr>
            <w:bCs/>
            <w:sz w:val="18"/>
            <w:szCs w:val="18"/>
          </w:rPr>
          <w:t xml:space="preserve"> Pty Ltd v The Jazz Corner Hotel Pty Ltd [2022] FCAFC 157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E54669">
      <w:rPr>
        <w:bCs/>
        <w:noProof/>
        <w:sz w:val="20"/>
      </w:rPr>
      <w:t>ii</w:t>
    </w:r>
    <w:r w:rsidRPr="00EA7F6D">
      <w:rPr>
        <w:bCs/>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D86DD" w14:textId="07FBB636" w:rsidR="005471E5" w:rsidRPr="00236ACC" w:rsidRDefault="005471E5" w:rsidP="00236ACC">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71552" behindDoc="0" locked="0" layoutInCell="1" allowOverlap="1" wp14:anchorId="42C59B2C" wp14:editId="3B8A7052">
              <wp:simplePos x="0" y="0"/>
              <wp:positionH relativeFrom="column">
                <wp:posOffset>-28575</wp:posOffset>
              </wp:positionH>
              <wp:positionV relativeFrom="paragraph">
                <wp:posOffset>21590</wp:posOffset>
              </wp:positionV>
              <wp:extent cx="294322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61C86" id="Straight Connector 7"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" strokecolor="black [3213]"/>
          </w:pict>
        </mc:Fallback>
      </mc:AlternateContent>
    </w:r>
    <w:sdt>
      <w:sdtPr>
        <w:rPr>
          <w:bCs/>
          <w:sz w:val="18"/>
          <w:szCs w:val="18"/>
        </w:rPr>
        <w:tag w:val="MNC"/>
        <w:id w:val="1095746746"/>
        <w:dataBinding w:prefixMappings="xmlns:ns0='http://schemas.globalmacros.com/FCA'" w:xpath="/ns0:root[1]/ns0:Name[1]" w:storeItemID="{687E7CCB-4AA5-44E7-B148-17BA2B6F57C0}"/>
        <w:text w:multiLine="1"/>
      </w:sdtPr>
      <w:sdtEndPr/>
      <w:sdtContent>
        <w:proofErr w:type="spellStart"/>
        <w:r w:rsidR="00246FC5">
          <w:rPr>
            <w:bCs/>
            <w:sz w:val="18"/>
            <w:szCs w:val="18"/>
          </w:rPr>
          <w:t>Swancom</w:t>
        </w:r>
        <w:proofErr w:type="spellEnd"/>
        <w:r w:rsidR="00246FC5">
          <w:rPr>
            <w:bCs/>
            <w:sz w:val="18"/>
            <w:szCs w:val="18"/>
          </w:rPr>
          <w:t xml:space="preserve"> Pty Ltd v The Jazz Corner Hotel Pty Ltd [2022] FCAFC 157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E54669">
      <w:rPr>
        <w:bCs/>
        <w:noProof/>
        <w:sz w:val="20"/>
      </w:rPr>
      <w:t>32</w:t>
    </w:r>
    <w:r w:rsidRPr="00EA7F6D">
      <w:rPr>
        <w:bCs/>
        <w:noProof/>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7C32F" w14:textId="35024FDA" w:rsidR="005471E5" w:rsidRPr="00C47B9D" w:rsidRDefault="005471E5"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0288" behindDoc="0" locked="0" layoutInCell="1" allowOverlap="1" wp14:anchorId="490876CA" wp14:editId="4903D162">
              <wp:simplePos x="0" y="0"/>
              <wp:positionH relativeFrom="column">
                <wp:posOffset>-28575</wp:posOffset>
              </wp:positionH>
              <wp:positionV relativeFrom="paragraph">
                <wp:posOffset>21590</wp:posOffset>
              </wp:positionV>
              <wp:extent cx="29432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4BE54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CXUeOMzgEAAAMEAAAOAAAA&#10;AAAAAAAAAAAAAC4CAABkcnMvZTJvRG9jLnhtbFBLAQItABQABgAIAAAAIQAqehV42wAAAAYBAAAP&#10;AAAAAAAAAAAAAAAAACgEAABkcnMvZG93bnJldi54bWxQSwUGAAAAAAQABADzAAAAMAUAAAAA&#10;" strokecolor="black [3213]"/>
          </w:pict>
        </mc:Fallback>
      </mc:AlternateContent>
    </w:r>
    <w:sdt>
      <w:sdtPr>
        <w:rPr>
          <w:bCs/>
          <w:sz w:val="18"/>
          <w:szCs w:val="18"/>
        </w:rPr>
        <w:tag w:val="MNC"/>
        <w:id w:val="-1532949365"/>
        <w:dataBinding w:prefixMappings="xmlns:ns0='http://schemas.globalmacros.com/FCA'" w:xpath="/ns0:root[1]/ns0:Name[1]" w:storeItemID="{687E7CCB-4AA5-44E7-B148-17BA2B6F57C0}"/>
        <w:text w:multiLine="1"/>
      </w:sdtPr>
      <w:sdtEndPr/>
      <w:sdtContent>
        <w:proofErr w:type="spellStart"/>
        <w:r w:rsidR="00246FC5">
          <w:rPr>
            <w:bCs/>
            <w:sz w:val="18"/>
            <w:szCs w:val="18"/>
          </w:rPr>
          <w:t>Swancom</w:t>
        </w:r>
        <w:proofErr w:type="spellEnd"/>
        <w:r w:rsidR="00246FC5">
          <w:rPr>
            <w:bCs/>
            <w:sz w:val="18"/>
            <w:szCs w:val="18"/>
          </w:rPr>
          <w:t xml:space="preserve"> Pty Ltd v The Jazz Corner Hotel Pty Ltd [2022] FCAFC 157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E54669">
      <w:rPr>
        <w:bCs/>
        <w:noProof/>
        <w:sz w:val="20"/>
      </w:rPr>
      <w:t>1</w:t>
    </w:r>
    <w:r w:rsidRPr="00EA7F6D">
      <w:rPr>
        <w:b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BB6B15" w14:textId="77777777" w:rsidR="005471E5" w:rsidRDefault="005471E5"/>
  </w:footnote>
  <w:footnote w:type="continuationSeparator" w:id="0">
    <w:p w14:paraId="7D3CBDCF" w14:textId="77777777" w:rsidR="005471E5" w:rsidRDefault="005471E5">
      <w:r>
        <w:continuationSeparator/>
      </w:r>
    </w:p>
    <w:p w14:paraId="1E4ABB11" w14:textId="77777777" w:rsidR="005471E5" w:rsidRDefault="005471E5"/>
    <w:p w14:paraId="33F7413C" w14:textId="77777777" w:rsidR="005471E5" w:rsidRDefault="005471E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39829" w14:textId="77777777" w:rsidR="00246FC5" w:rsidRDefault="00246FC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5912D" w14:textId="77777777" w:rsidR="005471E5" w:rsidRDefault="005471E5" w:rsidP="00A436E8">
    <w:pPr>
      <w:pStyle w:val="Header"/>
      <w:tabs>
        <w:tab w:val="clear" w:pos="4320"/>
        <w:tab w:val="clear" w:pos="8640"/>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62B07" w14:textId="77777777" w:rsidR="00246FC5" w:rsidRDefault="00246F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9EDF2" w14:textId="77777777" w:rsidR="00246FC5" w:rsidRDefault="00246FC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938DF" w14:textId="77777777" w:rsidR="005471E5" w:rsidRDefault="005471E5">
    <w:pPr>
      <w:tabs>
        <w:tab w:val="center" w:pos="4512"/>
      </w:tabs>
      <w:suppressAutoHyphen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AAFF9" w14:textId="77777777" w:rsidR="005471E5" w:rsidRDefault="005471E5">
    <w:pPr>
      <w:pStyle w:val="Header"/>
      <w:tabs>
        <w:tab w:val="clear" w:pos="4320"/>
        <w:tab w:val="clear" w:pos="8640"/>
      </w:tabs>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A5CE7" w14:textId="77777777" w:rsidR="005471E5" w:rsidRDefault="005471E5">
    <w:pPr>
      <w:tabs>
        <w:tab w:val="center" w:pos="4512"/>
      </w:tabs>
      <w:suppressAutoHyphens/>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54791" w14:textId="77777777" w:rsidR="005471E5" w:rsidRDefault="005471E5" w:rsidP="005451BC">
    <w:pPr>
      <w:pStyle w:val="Header"/>
      <w:jc w:val="righ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F4719" w14:textId="77777777" w:rsidR="005471E5" w:rsidRDefault="005471E5"/>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AB89F" w14:textId="77777777" w:rsidR="005471E5" w:rsidRDefault="005471E5">
    <w:pPr>
      <w:tabs>
        <w:tab w:val="center" w:pos="4512"/>
      </w:tabs>
      <w:suppressAutoHyphen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9E2A2F"/>
    <w:multiLevelType w:val="multilevel"/>
    <w:tmpl w:val="F61AF490"/>
    <w:styleLink w:val="FCListNoalt"/>
    <w:lvl w:ilvl="0">
      <w:start w:val="1"/>
      <w:numFmt w:val="lowerLetter"/>
      <w:lvlRestart w:val="0"/>
      <w:pStyle w:val="ListNo1alt"/>
      <w:lvlText w:val="(%1)"/>
      <w:lvlJc w:val="left"/>
      <w:pPr>
        <w:tabs>
          <w:tab w:val="num" w:pos="720"/>
        </w:tabs>
        <w:ind w:left="720" w:hanging="720"/>
      </w:pPr>
      <w:rPr>
        <w:rFonts w:ascii="Times New Roman" w:hAnsi="Times New Roman" w:hint="default"/>
      </w:rPr>
    </w:lvl>
    <w:lvl w:ilvl="1">
      <w:start w:val="1"/>
      <w:numFmt w:val="lowerRoman"/>
      <w:pStyle w:val="ListNo2alt"/>
      <w:lvlText w:val="(%2)"/>
      <w:lvlJc w:val="left"/>
      <w:pPr>
        <w:tabs>
          <w:tab w:val="num" w:pos="1440"/>
        </w:tabs>
        <w:ind w:left="1440" w:hanging="720"/>
      </w:pPr>
      <w:rPr>
        <w:rFonts w:hint="default"/>
      </w:rPr>
    </w:lvl>
    <w:lvl w:ilvl="2">
      <w:start w:val="1"/>
      <w:numFmt w:val="upperLetter"/>
      <w:pStyle w:val="ListNo3alt"/>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1"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168F28D0"/>
    <w:multiLevelType w:val="multilevel"/>
    <w:tmpl w:val="D26E5E56"/>
    <w:lvl w:ilvl="0">
      <w:start w:val="1"/>
      <w:numFmt w:val="bullet"/>
      <w:pStyle w:val="FCBullets"/>
      <w:lvlText w:val=""/>
      <w:lvlJc w:val="left"/>
      <w:pPr>
        <w:tabs>
          <w:tab w:val="num" w:pos="720"/>
        </w:tabs>
        <w:ind w:left="720" w:hanging="720"/>
      </w:pPr>
      <w:rPr>
        <w:rFonts w:ascii="Symbol" w:hAnsi="Symbol" w:hint="default"/>
      </w:rPr>
    </w:lvl>
    <w:lvl w:ilvl="1">
      <w:start w:val="1"/>
      <w:numFmt w:val="bullet"/>
      <w:pStyle w:val="FCBullets2"/>
      <w:lvlText w:val=""/>
      <w:lvlJc w:val="left"/>
      <w:pPr>
        <w:tabs>
          <w:tab w:val="num" w:pos="1440"/>
        </w:tabs>
        <w:ind w:left="1440" w:hanging="720"/>
      </w:pPr>
      <w:rPr>
        <w:rFonts w:ascii="Symbol" w:hAnsi="Symbol" w:hint="default"/>
        <w:sz w:val="24"/>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3"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4" w15:restartNumberingAfterBreak="0">
    <w:nsid w:val="29AE3DD1"/>
    <w:multiLevelType w:val="singleLevel"/>
    <w:tmpl w:val="96944FF2"/>
    <w:lvl w:ilvl="0">
      <w:start w:val="1"/>
      <w:numFmt w:val="decimal"/>
      <w:lvlRestart w:val="0"/>
      <w:pStyle w:val="ParaNumbering"/>
      <w:lvlText w:val="%1"/>
      <w:lvlJc w:val="left"/>
      <w:pPr>
        <w:tabs>
          <w:tab w:val="num" w:pos="4842"/>
        </w:tabs>
        <w:ind w:left="4122" w:hanging="720"/>
      </w:pPr>
      <w:rPr>
        <w:rFonts w:hint="default"/>
        <w:i w:val="0"/>
        <w:sz w:val="20"/>
      </w:rPr>
    </w:lvl>
  </w:abstractNum>
  <w:abstractNum w:abstractNumId="15" w15:restartNumberingAfterBreak="0">
    <w:nsid w:val="2AD4345C"/>
    <w:multiLevelType w:val="multilevel"/>
    <w:tmpl w:val="A1C8FFD0"/>
    <w:styleLink w:val="FCOrders"/>
    <w:lvl w:ilvl="0">
      <w:start w:val="1"/>
      <w:numFmt w:val="decimal"/>
      <w:pStyle w:val="Order1"/>
      <w:lvlText w:val="%1."/>
      <w:lvlJc w:val="left"/>
      <w:pPr>
        <w:tabs>
          <w:tab w:val="num" w:pos="720"/>
        </w:tabs>
        <w:ind w:left="720" w:hanging="720"/>
      </w:pPr>
      <w:rPr>
        <w:rFonts w:ascii="Times New Roman" w:hAnsi="Times New Roman" w:hint="default"/>
        <w:sz w:val="24"/>
      </w:rPr>
    </w:lvl>
    <w:lvl w:ilvl="1">
      <w:start w:val="1"/>
      <w:numFmt w:val="lowerLetter"/>
      <w:pStyle w:val="Order2"/>
      <w:lvlText w:val="(%2)"/>
      <w:lvlJc w:val="left"/>
      <w:pPr>
        <w:tabs>
          <w:tab w:val="num" w:pos="1440"/>
        </w:tabs>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start w:val="1"/>
      <w:numFmt w:val="upperLetter"/>
      <w:pStyle w:val="Order4"/>
      <w:lvlText w:val="%4."/>
      <w:lvlJc w:val="left"/>
      <w:pPr>
        <w:tabs>
          <w:tab w:val="num" w:pos="2160"/>
        </w:tabs>
        <w:ind w:left="2880" w:hanging="72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2AF11FCB"/>
    <w:multiLevelType w:val="hybridMultilevel"/>
    <w:tmpl w:val="94A6534E"/>
    <w:lvl w:ilvl="0" w:tplc="31029F3C">
      <w:start w:val="1"/>
      <w:numFmt w:val="bullet"/>
      <w:pStyle w:val="Quote4Bullet"/>
      <w:lvlText w:val=""/>
      <w:lvlJc w:val="left"/>
      <w:pPr>
        <w:ind w:left="3600" w:hanging="360"/>
      </w:pPr>
      <w:rPr>
        <w:rFonts w:ascii="Symbol" w:hAnsi="Symbol" w:hint="default"/>
        <w:sz w:val="16"/>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7" w15:restartNumberingAfterBreak="0">
    <w:nsid w:val="32D95B3D"/>
    <w:multiLevelType w:val="multilevel"/>
    <w:tmpl w:val="253A8338"/>
    <w:styleLink w:val="FCNotes"/>
    <w:lvl w:ilvl="0">
      <w:start w:val="1"/>
      <w:numFmt w:val="upperLetter"/>
      <w:pStyle w:val="Notes"/>
      <w:lvlText w:val="%1."/>
      <w:lvlJc w:val="left"/>
      <w:pPr>
        <w:tabs>
          <w:tab w:val="num" w:pos="720"/>
        </w:tabs>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3561E2E"/>
    <w:multiLevelType w:val="hybridMultilevel"/>
    <w:tmpl w:val="433821BE"/>
    <w:lvl w:ilvl="0" w:tplc="DE3AD0E2">
      <w:start w:val="1"/>
      <w:numFmt w:val="bullet"/>
      <w:pStyle w:val="Quote3Bullet"/>
      <w:lvlText w:val=""/>
      <w:lvlJc w:val="left"/>
      <w:pPr>
        <w:ind w:left="2880" w:hanging="360"/>
      </w:pPr>
      <w:rPr>
        <w:rFonts w:ascii="Wingdings" w:hAnsi="Wingdings" w:hint="default"/>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9" w15:restartNumberingAfterBreak="0">
    <w:nsid w:val="494817A7"/>
    <w:multiLevelType w:val="multilevel"/>
    <w:tmpl w:val="0F0EC90E"/>
    <w:numStyleLink w:val="FCListNo"/>
  </w:abstractNum>
  <w:abstractNum w:abstractNumId="20"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4"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2"/>
  </w:num>
  <w:num w:numId="13">
    <w:abstractNumId w:val="20"/>
  </w:num>
  <w:num w:numId="14">
    <w:abstractNumId w:val="21"/>
  </w:num>
  <w:num w:numId="15">
    <w:abstractNumId w:val="24"/>
  </w:num>
  <w:num w:numId="16">
    <w:abstractNumId w:val="13"/>
  </w:num>
  <w:num w:numId="17">
    <w:abstractNumId w:val="23"/>
  </w:num>
  <w:num w:numId="18">
    <w:abstractNumId w:val="11"/>
  </w:num>
  <w:num w:numId="19">
    <w:abstractNumId w:val="18"/>
  </w:num>
  <w:num w:numId="20">
    <w:abstractNumId w:val="15"/>
  </w:num>
  <w:num w:numId="21">
    <w:abstractNumId w:val="16"/>
  </w:num>
  <w:num w:numId="22">
    <w:abstractNumId w:val="19"/>
    <w:lvlOverride w:ilvl="0">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lvl w:ilvl="1">
        <w:start w:val="1"/>
        <w:numFmt w:val="lowerLetter"/>
        <w:pStyle w:val="ListNo2"/>
        <w:lvlText w:val="(%2)"/>
        <w:lvlJc w:val="left"/>
        <w:pPr>
          <w:tabs>
            <w:tab w:val="num" w:pos="1440"/>
          </w:tabs>
          <w:ind w:left="1440" w:hanging="720"/>
        </w:pPr>
        <w:rPr>
          <w:rFonts w:hint="default"/>
        </w:rPr>
      </w:lvl>
    </w:lvlOverride>
    <w:lvlOverride w:ilvl="2">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start w:val="1"/>
        <w:numFmt w:val="none"/>
        <w:lvlRestart w:val="0"/>
        <w:suff w:val="nothing"/>
        <w:lvlText w:val=""/>
        <w:lvlJc w:val="left"/>
        <w:pPr>
          <w:ind w:left="-32767" w:firstLine="0"/>
        </w:pPr>
        <w:rPr>
          <w:rFonts w:hint="default"/>
        </w:rPr>
      </w:lvl>
    </w:lvlOverride>
    <w:lvlOverride w:ilvl="5">
      <w:lvl w:ilvl="5">
        <w:start w:val="1"/>
        <w:numFmt w:val="none"/>
        <w:lvlRestart w:val="0"/>
        <w:suff w:val="nothing"/>
        <w:lvlText w:val=""/>
        <w:lvlJc w:val="left"/>
        <w:pPr>
          <w:ind w:left="-32767" w:firstLine="0"/>
        </w:pPr>
        <w:rPr>
          <w:rFonts w:hint="default"/>
        </w:rPr>
      </w:lvl>
    </w:lvlOverride>
    <w:lvlOverride w:ilvl="6">
      <w:lvl w:ilvl="6">
        <w:start w:val="1"/>
        <w:numFmt w:val="none"/>
        <w:lvlRestart w:val="0"/>
        <w:suff w:val="nothing"/>
        <w:lvlText w:val=""/>
        <w:lvlJc w:val="left"/>
        <w:pPr>
          <w:ind w:left="-32767" w:firstLine="0"/>
        </w:pPr>
        <w:rPr>
          <w:rFonts w:hint="default"/>
        </w:rPr>
      </w:lvl>
    </w:lvlOverride>
    <w:lvlOverride w:ilvl="7">
      <w:lvl w:ilvl="7">
        <w:start w:val="1"/>
        <w:numFmt w:val="none"/>
        <w:lvlRestart w:val="0"/>
        <w:suff w:val="nothing"/>
        <w:lvlText w:val=""/>
        <w:lvlJc w:val="left"/>
        <w:pPr>
          <w:ind w:left="-32767" w:firstLine="0"/>
        </w:pPr>
        <w:rPr>
          <w:rFonts w:hint="default"/>
        </w:rPr>
      </w:lvl>
    </w:lvlOverride>
    <w:lvlOverride w:ilvl="8">
      <w:lvl w:ilvl="8">
        <w:start w:val="1"/>
        <w:numFmt w:val="none"/>
        <w:lvlRestart w:val="0"/>
        <w:suff w:val="nothing"/>
        <w:lvlText w:val=""/>
        <w:lvlJc w:val="left"/>
        <w:pPr>
          <w:ind w:left="-32767" w:firstLine="0"/>
        </w:pPr>
        <w:rPr>
          <w:rFonts w:hint="default"/>
        </w:rPr>
      </w:lvl>
    </w:lvlOverride>
  </w:num>
  <w:num w:numId="23">
    <w:abstractNumId w:val="10"/>
  </w:num>
  <w:num w:numId="24">
    <w:abstractNumId w:val="10"/>
    <w:lvlOverride w:ilvl="0">
      <w:lvl w:ilvl="0">
        <w:start w:val="1"/>
        <w:numFmt w:val="lowerLetter"/>
        <w:lvlRestart w:val="0"/>
        <w:pStyle w:val="ListNo1alt"/>
        <w:lvlText w:val="(%1)"/>
        <w:lvlJc w:val="left"/>
        <w:pPr>
          <w:tabs>
            <w:tab w:val="num" w:pos="720"/>
          </w:tabs>
          <w:ind w:left="720" w:hanging="720"/>
        </w:pPr>
        <w:rPr>
          <w:rFonts w:ascii="Times New Roman" w:hAnsi="Times New Roman" w:hint="default"/>
        </w:rPr>
      </w:lvl>
    </w:lvlOverride>
  </w:num>
  <w:num w:numId="25">
    <w:abstractNumId w:val="12"/>
  </w:num>
  <w:num w:numId="26">
    <w:abstractNumId w:val="17"/>
  </w:num>
  <w:num w:numId="27">
    <w:abstractNumId w:val="17"/>
  </w:num>
  <w:num w:numId="28">
    <w:abstractNumId w:val="17"/>
  </w:num>
  <w:num w:numId="29">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34">
    <w:abstractNumId w:val="19"/>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35">
    <w:abstractNumId w:val="19"/>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36">
    <w:abstractNumId w:val="19"/>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37">
    <w:abstractNumId w:val="19"/>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38">
    <w:abstractNumId w:val="19"/>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AU" w:vendorID="64" w:dllVersion="131078" w:nlCheck="1" w:checkStyle="0"/>
  <w:activeWritingStyle w:appName="MSWord" w:lang="en-US" w:vendorID="64" w:dllVersion="131078" w:nlCheck="1" w:checkStyle="0"/>
  <w:activeWritingStyle w:appName="MSWord" w:lang="en-AU" w:vendorID="8" w:dllVersion="513" w:checkStyle="1"/>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36865"/>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PAndAnother" w:val="True"/>
    <w:docVar w:name="APPAndOthers" w:val="False"/>
    <w:docVar w:name="AppealText" w:val="VID 330 of 2019"/>
    <w:docVar w:name="Appellant" w:val="Swancom Pty Ltd (ACN 161 447 605)"/>
    <w:docVar w:name="CounselParties" w:val="Appellant"/>
    <w:docVar w:name="CounselType" w:val="Solicitor for the "/>
    <w:docVar w:name="Court" w:val="Federal Court of Australia (FCA)"/>
    <w:docVar w:name="Cross1AndAnother" w:val="True"/>
    <w:docVar w:name="Cross1AndOthers" w:val="False"/>
    <w:docVar w:name="Cross2AndAnother" w:val="True"/>
    <w:docVar w:name="Cross2AndOthers" w:val="False"/>
    <w:docVar w:name="Defenders" w:val="(and another named in the Schedule)"/>
    <w:docVar w:name="Division" w:val="FCA General Division"/>
    <w:docVar w:name="DocCreated" w:val="True"/>
    <w:docVar w:name="FileNumbers" w:val="VID 228 of 2021_x000d_VID 408 of 2021"/>
    <w:docVar w:name="Initiators" w:val="(and another named in the Schedule)"/>
    <w:docVar w:name="Judgdate" w:val="##"/>
    <w:docVar w:name="Judge" w:val="Yates, Abraham and Rofe"/>
    <w:docVar w:name="JudgeType" w:val="Justices"/>
    <w:docVar w:name="lstEntryList" w:val="-1"/>
    <w:docVar w:name="myEntryList" w:val="Counsel for the Appellant=Mr E Heerey QC|Counsel for the Appellant=Mr S Rebikoff|Solicitor for the Appellant=K&amp;L Gates|Counsel for the Respondents=Mr C Golvan AM QC|Counsel for the Respondents=Ms M Marcus|Solicitor for the Respondents=Brand Partners Commercial Lawyers"/>
    <w:docVar w:name="NSD" w:val="NSD "/>
    <w:docVar w:name="NumApps" w:val="1"/>
    <w:docVar w:name="NumApps_" w:val="1"/>
    <w:docVar w:name="NumCrossResps" w:val="0"/>
    <w:docVar w:name="NumDefs" w:val="2"/>
    <w:docVar w:name="NumOthers" w:val="0"/>
    <w:docVar w:name="OtherNum" w:val="0"/>
    <w:docVar w:name="Parties1" w:val="Appellant"/>
    <w:docVar w:name="Parties2" w:val="Respondent"/>
    <w:docVar w:name="Parties3" w:val="Cross-Appellant"/>
    <w:docVar w:name="Parties4" w:val="Cross-Defendant"/>
    <w:docVar w:name="Parties5" w:val="Intervener"/>
    <w:docVar w:name="Place" w:val="N/A FCA"/>
    <w:docVar w:name="PracticeArea" w:val="Intellectual Property"/>
    <w:docVar w:name="RESAndAnother" w:val="True"/>
    <w:docVar w:name="RESAndOthers" w:val="False"/>
    <w:docVar w:name="Respondent" w:val="The Jazz Corner Hotel Pty Ltd (ACN 615 168 968)|Bird's Basement Pty Ltd (ACN 607 922 609)"/>
    <w:docVar w:name="ResState" w:val="Victoria"/>
    <w:docVar w:name="SubArea" w:val="Trade Marks (IP)"/>
  </w:docVars>
  <w:rsids>
    <w:rsidRoot w:val="00830B14"/>
    <w:rsid w:val="00000747"/>
    <w:rsid w:val="00002E05"/>
    <w:rsid w:val="00006059"/>
    <w:rsid w:val="00007B83"/>
    <w:rsid w:val="00010027"/>
    <w:rsid w:val="000100B2"/>
    <w:rsid w:val="000115C5"/>
    <w:rsid w:val="00012692"/>
    <w:rsid w:val="00012F16"/>
    <w:rsid w:val="00013094"/>
    <w:rsid w:val="00013F55"/>
    <w:rsid w:val="0001469E"/>
    <w:rsid w:val="000150BE"/>
    <w:rsid w:val="00015993"/>
    <w:rsid w:val="00021236"/>
    <w:rsid w:val="00021CCB"/>
    <w:rsid w:val="00022289"/>
    <w:rsid w:val="000226C1"/>
    <w:rsid w:val="000229E7"/>
    <w:rsid w:val="000237E9"/>
    <w:rsid w:val="000266AD"/>
    <w:rsid w:val="00027398"/>
    <w:rsid w:val="00027966"/>
    <w:rsid w:val="0003201A"/>
    <w:rsid w:val="0003203B"/>
    <w:rsid w:val="0003207A"/>
    <w:rsid w:val="00032F9F"/>
    <w:rsid w:val="000330C3"/>
    <w:rsid w:val="0003433B"/>
    <w:rsid w:val="00037DF9"/>
    <w:rsid w:val="00041C07"/>
    <w:rsid w:val="00042937"/>
    <w:rsid w:val="00045BB7"/>
    <w:rsid w:val="00047501"/>
    <w:rsid w:val="00047D3E"/>
    <w:rsid w:val="00051D1A"/>
    <w:rsid w:val="00055719"/>
    <w:rsid w:val="0005641B"/>
    <w:rsid w:val="00060EF0"/>
    <w:rsid w:val="0006196A"/>
    <w:rsid w:val="00062AE6"/>
    <w:rsid w:val="000650F0"/>
    <w:rsid w:val="00067563"/>
    <w:rsid w:val="00070DD9"/>
    <w:rsid w:val="00071FB3"/>
    <w:rsid w:val="000730D1"/>
    <w:rsid w:val="00074144"/>
    <w:rsid w:val="00075DAE"/>
    <w:rsid w:val="00076C26"/>
    <w:rsid w:val="00077768"/>
    <w:rsid w:val="00077F1A"/>
    <w:rsid w:val="00081497"/>
    <w:rsid w:val="00081F90"/>
    <w:rsid w:val="00082595"/>
    <w:rsid w:val="0008267D"/>
    <w:rsid w:val="00082DA8"/>
    <w:rsid w:val="000831EC"/>
    <w:rsid w:val="00083E64"/>
    <w:rsid w:val="00084022"/>
    <w:rsid w:val="00084126"/>
    <w:rsid w:val="00085255"/>
    <w:rsid w:val="00086089"/>
    <w:rsid w:val="000908CB"/>
    <w:rsid w:val="00091235"/>
    <w:rsid w:val="000941AC"/>
    <w:rsid w:val="000959A6"/>
    <w:rsid w:val="00095D59"/>
    <w:rsid w:val="00097B2F"/>
    <w:rsid w:val="00097FBF"/>
    <w:rsid w:val="000A278A"/>
    <w:rsid w:val="000A2E76"/>
    <w:rsid w:val="000A3159"/>
    <w:rsid w:val="000A418B"/>
    <w:rsid w:val="000A4807"/>
    <w:rsid w:val="000A4BE4"/>
    <w:rsid w:val="000A57B7"/>
    <w:rsid w:val="000A592C"/>
    <w:rsid w:val="000A6934"/>
    <w:rsid w:val="000A75B4"/>
    <w:rsid w:val="000B1047"/>
    <w:rsid w:val="000B206B"/>
    <w:rsid w:val="000B4FE0"/>
    <w:rsid w:val="000B6BFF"/>
    <w:rsid w:val="000C023E"/>
    <w:rsid w:val="000C02C4"/>
    <w:rsid w:val="000C1DD9"/>
    <w:rsid w:val="000C3A6F"/>
    <w:rsid w:val="000C405D"/>
    <w:rsid w:val="000C4E8E"/>
    <w:rsid w:val="000C5195"/>
    <w:rsid w:val="000C62EF"/>
    <w:rsid w:val="000C6FAF"/>
    <w:rsid w:val="000D0F6F"/>
    <w:rsid w:val="000D2137"/>
    <w:rsid w:val="000D3FD2"/>
    <w:rsid w:val="000D4B2E"/>
    <w:rsid w:val="000D57FC"/>
    <w:rsid w:val="000E08DE"/>
    <w:rsid w:val="000E1EDA"/>
    <w:rsid w:val="000E389D"/>
    <w:rsid w:val="000E38D1"/>
    <w:rsid w:val="000E3FC8"/>
    <w:rsid w:val="000E439A"/>
    <w:rsid w:val="000E43A3"/>
    <w:rsid w:val="000E7510"/>
    <w:rsid w:val="000E7BAE"/>
    <w:rsid w:val="000F12BF"/>
    <w:rsid w:val="000F133D"/>
    <w:rsid w:val="000F4AF1"/>
    <w:rsid w:val="000F5468"/>
    <w:rsid w:val="000F6C39"/>
    <w:rsid w:val="000F7169"/>
    <w:rsid w:val="000F7B0D"/>
    <w:rsid w:val="00102D22"/>
    <w:rsid w:val="00103267"/>
    <w:rsid w:val="001039D5"/>
    <w:rsid w:val="0010536B"/>
    <w:rsid w:val="00106880"/>
    <w:rsid w:val="0011145C"/>
    <w:rsid w:val="00111AE7"/>
    <w:rsid w:val="001128BD"/>
    <w:rsid w:val="001130B9"/>
    <w:rsid w:val="0011419D"/>
    <w:rsid w:val="00114861"/>
    <w:rsid w:val="00114B02"/>
    <w:rsid w:val="001151BC"/>
    <w:rsid w:val="00116479"/>
    <w:rsid w:val="001226C0"/>
    <w:rsid w:val="00126EC8"/>
    <w:rsid w:val="0012731C"/>
    <w:rsid w:val="00132054"/>
    <w:rsid w:val="00134964"/>
    <w:rsid w:val="00134F37"/>
    <w:rsid w:val="001351B9"/>
    <w:rsid w:val="00135828"/>
    <w:rsid w:val="001369B7"/>
    <w:rsid w:val="00137730"/>
    <w:rsid w:val="001400DB"/>
    <w:rsid w:val="00141C4C"/>
    <w:rsid w:val="00146958"/>
    <w:rsid w:val="00146DA1"/>
    <w:rsid w:val="0014759B"/>
    <w:rsid w:val="00150148"/>
    <w:rsid w:val="00152743"/>
    <w:rsid w:val="00154270"/>
    <w:rsid w:val="00155CD2"/>
    <w:rsid w:val="0015657B"/>
    <w:rsid w:val="00156E2A"/>
    <w:rsid w:val="001655DD"/>
    <w:rsid w:val="001727A4"/>
    <w:rsid w:val="0017283C"/>
    <w:rsid w:val="0017376C"/>
    <w:rsid w:val="001738AB"/>
    <w:rsid w:val="001765E0"/>
    <w:rsid w:val="00177759"/>
    <w:rsid w:val="00180BB3"/>
    <w:rsid w:val="0018310C"/>
    <w:rsid w:val="00185DD6"/>
    <w:rsid w:val="00185E6B"/>
    <w:rsid w:val="00186B2B"/>
    <w:rsid w:val="00187BBC"/>
    <w:rsid w:val="001932F3"/>
    <w:rsid w:val="0019486B"/>
    <w:rsid w:val="001962C9"/>
    <w:rsid w:val="001A2B40"/>
    <w:rsid w:val="001A4309"/>
    <w:rsid w:val="001A46AE"/>
    <w:rsid w:val="001A6C52"/>
    <w:rsid w:val="001A7560"/>
    <w:rsid w:val="001B1053"/>
    <w:rsid w:val="001B109B"/>
    <w:rsid w:val="001B14AC"/>
    <w:rsid w:val="001B735D"/>
    <w:rsid w:val="001B7940"/>
    <w:rsid w:val="001C0503"/>
    <w:rsid w:val="001C0922"/>
    <w:rsid w:val="001C11C4"/>
    <w:rsid w:val="001C171A"/>
    <w:rsid w:val="001C2B8E"/>
    <w:rsid w:val="001C2FE0"/>
    <w:rsid w:val="001C37CA"/>
    <w:rsid w:val="001C4085"/>
    <w:rsid w:val="001C6477"/>
    <w:rsid w:val="001C6905"/>
    <w:rsid w:val="001C7A8C"/>
    <w:rsid w:val="001D2962"/>
    <w:rsid w:val="001D4303"/>
    <w:rsid w:val="001D6746"/>
    <w:rsid w:val="001D67C0"/>
    <w:rsid w:val="001D67EA"/>
    <w:rsid w:val="001E0595"/>
    <w:rsid w:val="001E0C61"/>
    <w:rsid w:val="001E3B49"/>
    <w:rsid w:val="001E4A05"/>
    <w:rsid w:val="001E5087"/>
    <w:rsid w:val="001E6A19"/>
    <w:rsid w:val="001E7388"/>
    <w:rsid w:val="001F10CF"/>
    <w:rsid w:val="001F13DD"/>
    <w:rsid w:val="001F18A6"/>
    <w:rsid w:val="001F21B7"/>
    <w:rsid w:val="001F22B8"/>
    <w:rsid w:val="001F2473"/>
    <w:rsid w:val="001F2DBC"/>
    <w:rsid w:val="001F3476"/>
    <w:rsid w:val="001F3B81"/>
    <w:rsid w:val="001F49AB"/>
    <w:rsid w:val="001F73E8"/>
    <w:rsid w:val="0020012C"/>
    <w:rsid w:val="00201BED"/>
    <w:rsid w:val="0020262C"/>
    <w:rsid w:val="00202723"/>
    <w:rsid w:val="00205B61"/>
    <w:rsid w:val="00206BD9"/>
    <w:rsid w:val="00211A3E"/>
    <w:rsid w:val="00213C81"/>
    <w:rsid w:val="00213F20"/>
    <w:rsid w:val="00214055"/>
    <w:rsid w:val="00215BCA"/>
    <w:rsid w:val="002160F5"/>
    <w:rsid w:val="00217AC4"/>
    <w:rsid w:val="00220060"/>
    <w:rsid w:val="00221461"/>
    <w:rsid w:val="00224537"/>
    <w:rsid w:val="00226D09"/>
    <w:rsid w:val="00230266"/>
    <w:rsid w:val="00230EA5"/>
    <w:rsid w:val="002352E3"/>
    <w:rsid w:val="00235956"/>
    <w:rsid w:val="002367B8"/>
    <w:rsid w:val="00236ACC"/>
    <w:rsid w:val="002375DD"/>
    <w:rsid w:val="0024273C"/>
    <w:rsid w:val="00243E5E"/>
    <w:rsid w:val="00244649"/>
    <w:rsid w:val="0024610C"/>
    <w:rsid w:val="002467A6"/>
    <w:rsid w:val="00246FC5"/>
    <w:rsid w:val="00247C9A"/>
    <w:rsid w:val="0025160C"/>
    <w:rsid w:val="002535D0"/>
    <w:rsid w:val="002539B3"/>
    <w:rsid w:val="002543A0"/>
    <w:rsid w:val="00254BE1"/>
    <w:rsid w:val="00255065"/>
    <w:rsid w:val="00255E78"/>
    <w:rsid w:val="00256336"/>
    <w:rsid w:val="00257C3E"/>
    <w:rsid w:val="002602C2"/>
    <w:rsid w:val="00261BB2"/>
    <w:rsid w:val="00262492"/>
    <w:rsid w:val="0026263C"/>
    <w:rsid w:val="002648DB"/>
    <w:rsid w:val="002656D0"/>
    <w:rsid w:val="002666C9"/>
    <w:rsid w:val="00270136"/>
    <w:rsid w:val="00270354"/>
    <w:rsid w:val="00270FD7"/>
    <w:rsid w:val="00274F5B"/>
    <w:rsid w:val="00275E39"/>
    <w:rsid w:val="00276B10"/>
    <w:rsid w:val="0028029E"/>
    <w:rsid w:val="00280836"/>
    <w:rsid w:val="00282E1A"/>
    <w:rsid w:val="002840F1"/>
    <w:rsid w:val="00285922"/>
    <w:rsid w:val="0028737B"/>
    <w:rsid w:val="00287A27"/>
    <w:rsid w:val="00287D89"/>
    <w:rsid w:val="002910DC"/>
    <w:rsid w:val="0029113B"/>
    <w:rsid w:val="00291180"/>
    <w:rsid w:val="002934C0"/>
    <w:rsid w:val="002938BE"/>
    <w:rsid w:val="00293E1F"/>
    <w:rsid w:val="00293F72"/>
    <w:rsid w:val="0029448E"/>
    <w:rsid w:val="00296117"/>
    <w:rsid w:val="002962A9"/>
    <w:rsid w:val="00296658"/>
    <w:rsid w:val="00296B9F"/>
    <w:rsid w:val="0029764C"/>
    <w:rsid w:val="00297C34"/>
    <w:rsid w:val="002A0669"/>
    <w:rsid w:val="002A09B8"/>
    <w:rsid w:val="002A1B50"/>
    <w:rsid w:val="002B051A"/>
    <w:rsid w:val="002B0E91"/>
    <w:rsid w:val="002B132C"/>
    <w:rsid w:val="002B341A"/>
    <w:rsid w:val="002B3F23"/>
    <w:rsid w:val="002B3FB0"/>
    <w:rsid w:val="002B4EB5"/>
    <w:rsid w:val="002B5AF5"/>
    <w:rsid w:val="002B6779"/>
    <w:rsid w:val="002B71C0"/>
    <w:rsid w:val="002B7A34"/>
    <w:rsid w:val="002C01A4"/>
    <w:rsid w:val="002C3175"/>
    <w:rsid w:val="002C31AD"/>
    <w:rsid w:val="002C3DD8"/>
    <w:rsid w:val="002C7385"/>
    <w:rsid w:val="002D0D9D"/>
    <w:rsid w:val="002D1783"/>
    <w:rsid w:val="002D1BD5"/>
    <w:rsid w:val="002D1E6E"/>
    <w:rsid w:val="002D262A"/>
    <w:rsid w:val="002D2DBB"/>
    <w:rsid w:val="002D37D8"/>
    <w:rsid w:val="002D4004"/>
    <w:rsid w:val="002D54A6"/>
    <w:rsid w:val="002D572A"/>
    <w:rsid w:val="002E1950"/>
    <w:rsid w:val="002E3779"/>
    <w:rsid w:val="002E420A"/>
    <w:rsid w:val="002E5BF9"/>
    <w:rsid w:val="002E6A7A"/>
    <w:rsid w:val="002E7F21"/>
    <w:rsid w:val="002F0453"/>
    <w:rsid w:val="002F04F7"/>
    <w:rsid w:val="002F05D0"/>
    <w:rsid w:val="002F0F65"/>
    <w:rsid w:val="002F1051"/>
    <w:rsid w:val="002F1E49"/>
    <w:rsid w:val="002F4E9C"/>
    <w:rsid w:val="002F5668"/>
    <w:rsid w:val="002F5E76"/>
    <w:rsid w:val="002F6BF9"/>
    <w:rsid w:val="002F6E15"/>
    <w:rsid w:val="0030171B"/>
    <w:rsid w:val="0030193F"/>
    <w:rsid w:val="00302F4E"/>
    <w:rsid w:val="00303259"/>
    <w:rsid w:val="00307A18"/>
    <w:rsid w:val="00311295"/>
    <w:rsid w:val="0031256C"/>
    <w:rsid w:val="00312CA6"/>
    <w:rsid w:val="00314D6C"/>
    <w:rsid w:val="00314ED6"/>
    <w:rsid w:val="00314F4F"/>
    <w:rsid w:val="00316D2A"/>
    <w:rsid w:val="00322A7C"/>
    <w:rsid w:val="00322EEC"/>
    <w:rsid w:val="00323061"/>
    <w:rsid w:val="00325E30"/>
    <w:rsid w:val="00330F5A"/>
    <w:rsid w:val="00331304"/>
    <w:rsid w:val="00332A10"/>
    <w:rsid w:val="00332D9D"/>
    <w:rsid w:val="003358CC"/>
    <w:rsid w:val="00336EAB"/>
    <w:rsid w:val="00337DD5"/>
    <w:rsid w:val="003402D3"/>
    <w:rsid w:val="0034068E"/>
    <w:rsid w:val="00343ABC"/>
    <w:rsid w:val="003463FE"/>
    <w:rsid w:val="003469BB"/>
    <w:rsid w:val="003472FC"/>
    <w:rsid w:val="00347D41"/>
    <w:rsid w:val="0035005B"/>
    <w:rsid w:val="00350840"/>
    <w:rsid w:val="003554B3"/>
    <w:rsid w:val="00356632"/>
    <w:rsid w:val="00357C7E"/>
    <w:rsid w:val="00361F06"/>
    <w:rsid w:val="0036512F"/>
    <w:rsid w:val="003653B6"/>
    <w:rsid w:val="00366FCD"/>
    <w:rsid w:val="00370135"/>
    <w:rsid w:val="00370327"/>
    <w:rsid w:val="00371803"/>
    <w:rsid w:val="00374CC4"/>
    <w:rsid w:val="00375802"/>
    <w:rsid w:val="00376604"/>
    <w:rsid w:val="003774B2"/>
    <w:rsid w:val="00380F2D"/>
    <w:rsid w:val="0038288B"/>
    <w:rsid w:val="00382B91"/>
    <w:rsid w:val="003845A9"/>
    <w:rsid w:val="003850AE"/>
    <w:rsid w:val="003850C9"/>
    <w:rsid w:val="00390883"/>
    <w:rsid w:val="00391CC4"/>
    <w:rsid w:val="003922F8"/>
    <w:rsid w:val="00392431"/>
    <w:rsid w:val="00395B24"/>
    <w:rsid w:val="00396DF3"/>
    <w:rsid w:val="00397DA7"/>
    <w:rsid w:val="003A0C74"/>
    <w:rsid w:val="003A1530"/>
    <w:rsid w:val="003A26B4"/>
    <w:rsid w:val="003A2D38"/>
    <w:rsid w:val="003A7ECC"/>
    <w:rsid w:val="003B044A"/>
    <w:rsid w:val="003B0DD4"/>
    <w:rsid w:val="003B167B"/>
    <w:rsid w:val="003B2BDD"/>
    <w:rsid w:val="003B2C72"/>
    <w:rsid w:val="003B4EFF"/>
    <w:rsid w:val="003B58B4"/>
    <w:rsid w:val="003B70C7"/>
    <w:rsid w:val="003B7846"/>
    <w:rsid w:val="003C1333"/>
    <w:rsid w:val="003C20FF"/>
    <w:rsid w:val="003C3C68"/>
    <w:rsid w:val="003C3F5B"/>
    <w:rsid w:val="003C4665"/>
    <w:rsid w:val="003C550A"/>
    <w:rsid w:val="003C5D87"/>
    <w:rsid w:val="003C6055"/>
    <w:rsid w:val="003C7300"/>
    <w:rsid w:val="003D1436"/>
    <w:rsid w:val="003D1AD2"/>
    <w:rsid w:val="003D2650"/>
    <w:rsid w:val="003D3A61"/>
    <w:rsid w:val="003D560C"/>
    <w:rsid w:val="003D5C00"/>
    <w:rsid w:val="003D6056"/>
    <w:rsid w:val="003E1DAA"/>
    <w:rsid w:val="003E3154"/>
    <w:rsid w:val="003E5874"/>
    <w:rsid w:val="003E5E09"/>
    <w:rsid w:val="003E72D3"/>
    <w:rsid w:val="003E78CE"/>
    <w:rsid w:val="003F193E"/>
    <w:rsid w:val="003F2038"/>
    <w:rsid w:val="003F242C"/>
    <w:rsid w:val="003F3024"/>
    <w:rsid w:val="003F34F1"/>
    <w:rsid w:val="003F47F7"/>
    <w:rsid w:val="00400A03"/>
    <w:rsid w:val="00402C95"/>
    <w:rsid w:val="004031D8"/>
    <w:rsid w:val="00405F66"/>
    <w:rsid w:val="00406EAD"/>
    <w:rsid w:val="00406F56"/>
    <w:rsid w:val="004104B6"/>
    <w:rsid w:val="00410AC7"/>
    <w:rsid w:val="00411AE8"/>
    <w:rsid w:val="00413B74"/>
    <w:rsid w:val="00417098"/>
    <w:rsid w:val="00417FDC"/>
    <w:rsid w:val="00420DFB"/>
    <w:rsid w:val="004248E2"/>
    <w:rsid w:val="004259BA"/>
    <w:rsid w:val="004262FB"/>
    <w:rsid w:val="0042785A"/>
    <w:rsid w:val="00430ABB"/>
    <w:rsid w:val="00432650"/>
    <w:rsid w:val="004342F3"/>
    <w:rsid w:val="00435C5F"/>
    <w:rsid w:val="00436155"/>
    <w:rsid w:val="00436460"/>
    <w:rsid w:val="00440D7E"/>
    <w:rsid w:val="0044157B"/>
    <w:rsid w:val="004416AA"/>
    <w:rsid w:val="00441E98"/>
    <w:rsid w:val="00441FDC"/>
    <w:rsid w:val="00447B72"/>
    <w:rsid w:val="00450F3A"/>
    <w:rsid w:val="004519AB"/>
    <w:rsid w:val="004532F7"/>
    <w:rsid w:val="00453BD7"/>
    <w:rsid w:val="00453D7A"/>
    <w:rsid w:val="00455883"/>
    <w:rsid w:val="00457929"/>
    <w:rsid w:val="004625AD"/>
    <w:rsid w:val="00464D51"/>
    <w:rsid w:val="00467F5F"/>
    <w:rsid w:val="00472027"/>
    <w:rsid w:val="004723A1"/>
    <w:rsid w:val="00475C6A"/>
    <w:rsid w:val="00476218"/>
    <w:rsid w:val="00477DA9"/>
    <w:rsid w:val="004804CF"/>
    <w:rsid w:val="00482821"/>
    <w:rsid w:val="0048314F"/>
    <w:rsid w:val="00483314"/>
    <w:rsid w:val="00484962"/>
    <w:rsid w:val="00484F6D"/>
    <w:rsid w:val="00484FB7"/>
    <w:rsid w:val="004850CE"/>
    <w:rsid w:val="0048554D"/>
    <w:rsid w:val="00485BE4"/>
    <w:rsid w:val="004879C8"/>
    <w:rsid w:val="0049338A"/>
    <w:rsid w:val="0049417F"/>
    <w:rsid w:val="004959EF"/>
    <w:rsid w:val="00495D4D"/>
    <w:rsid w:val="00496D41"/>
    <w:rsid w:val="0049766E"/>
    <w:rsid w:val="00497A74"/>
    <w:rsid w:val="004A0600"/>
    <w:rsid w:val="004A0AEE"/>
    <w:rsid w:val="004A17FD"/>
    <w:rsid w:val="004A260E"/>
    <w:rsid w:val="004A6602"/>
    <w:rsid w:val="004A6F65"/>
    <w:rsid w:val="004B1EFD"/>
    <w:rsid w:val="004B2264"/>
    <w:rsid w:val="004B3EFA"/>
    <w:rsid w:val="004B4FE9"/>
    <w:rsid w:val="004B782E"/>
    <w:rsid w:val="004C0302"/>
    <w:rsid w:val="004C0A8E"/>
    <w:rsid w:val="004C2A87"/>
    <w:rsid w:val="004C4D7B"/>
    <w:rsid w:val="004C4ED3"/>
    <w:rsid w:val="004C5878"/>
    <w:rsid w:val="004C667B"/>
    <w:rsid w:val="004C6E3D"/>
    <w:rsid w:val="004C7ECD"/>
    <w:rsid w:val="004D2EA5"/>
    <w:rsid w:val="004D32A6"/>
    <w:rsid w:val="004D3458"/>
    <w:rsid w:val="004D53E5"/>
    <w:rsid w:val="004D7950"/>
    <w:rsid w:val="004D7AE8"/>
    <w:rsid w:val="004E12C2"/>
    <w:rsid w:val="004E47ED"/>
    <w:rsid w:val="004E607D"/>
    <w:rsid w:val="004E6DC4"/>
    <w:rsid w:val="004F21C1"/>
    <w:rsid w:val="004F51AF"/>
    <w:rsid w:val="004F7A93"/>
    <w:rsid w:val="00501A12"/>
    <w:rsid w:val="0050309C"/>
    <w:rsid w:val="00504AA6"/>
    <w:rsid w:val="00505989"/>
    <w:rsid w:val="0050798A"/>
    <w:rsid w:val="0051110C"/>
    <w:rsid w:val="0051327C"/>
    <w:rsid w:val="0051346D"/>
    <w:rsid w:val="00513EAE"/>
    <w:rsid w:val="0051434F"/>
    <w:rsid w:val="00516806"/>
    <w:rsid w:val="0051710E"/>
    <w:rsid w:val="0051758B"/>
    <w:rsid w:val="0052098C"/>
    <w:rsid w:val="00520B8A"/>
    <w:rsid w:val="00524EAD"/>
    <w:rsid w:val="00525A49"/>
    <w:rsid w:val="005262D1"/>
    <w:rsid w:val="00526D19"/>
    <w:rsid w:val="005300E0"/>
    <w:rsid w:val="00530876"/>
    <w:rsid w:val="00530AB6"/>
    <w:rsid w:val="00532C49"/>
    <w:rsid w:val="005346E2"/>
    <w:rsid w:val="005349B7"/>
    <w:rsid w:val="00535613"/>
    <w:rsid w:val="005359EB"/>
    <w:rsid w:val="0054254A"/>
    <w:rsid w:val="0054347F"/>
    <w:rsid w:val="00543BB4"/>
    <w:rsid w:val="0054500B"/>
    <w:rsid w:val="005451BC"/>
    <w:rsid w:val="00546089"/>
    <w:rsid w:val="005466B5"/>
    <w:rsid w:val="00546F67"/>
    <w:rsid w:val="005470A2"/>
    <w:rsid w:val="005471E5"/>
    <w:rsid w:val="00554058"/>
    <w:rsid w:val="00554314"/>
    <w:rsid w:val="0056213F"/>
    <w:rsid w:val="00562829"/>
    <w:rsid w:val="005629B3"/>
    <w:rsid w:val="00565467"/>
    <w:rsid w:val="005655D2"/>
    <w:rsid w:val="00566844"/>
    <w:rsid w:val="00570863"/>
    <w:rsid w:val="0057128A"/>
    <w:rsid w:val="005724F6"/>
    <w:rsid w:val="00573AC4"/>
    <w:rsid w:val="00576548"/>
    <w:rsid w:val="005801FC"/>
    <w:rsid w:val="00583CCB"/>
    <w:rsid w:val="00585BA9"/>
    <w:rsid w:val="00587359"/>
    <w:rsid w:val="005911A2"/>
    <w:rsid w:val="00592545"/>
    <w:rsid w:val="0059355C"/>
    <w:rsid w:val="0059446B"/>
    <w:rsid w:val="00595016"/>
    <w:rsid w:val="00595A7D"/>
    <w:rsid w:val="0059672A"/>
    <w:rsid w:val="00597AAE"/>
    <w:rsid w:val="005A222C"/>
    <w:rsid w:val="005A270C"/>
    <w:rsid w:val="005A408A"/>
    <w:rsid w:val="005A4ACB"/>
    <w:rsid w:val="005A4DF8"/>
    <w:rsid w:val="005A53F9"/>
    <w:rsid w:val="005A6AEB"/>
    <w:rsid w:val="005A6CCD"/>
    <w:rsid w:val="005A78C8"/>
    <w:rsid w:val="005A7D9E"/>
    <w:rsid w:val="005B0632"/>
    <w:rsid w:val="005B07DB"/>
    <w:rsid w:val="005B1426"/>
    <w:rsid w:val="005B5088"/>
    <w:rsid w:val="005B5475"/>
    <w:rsid w:val="005B65CE"/>
    <w:rsid w:val="005B7CE2"/>
    <w:rsid w:val="005C0A8E"/>
    <w:rsid w:val="005C0C9B"/>
    <w:rsid w:val="005C1535"/>
    <w:rsid w:val="005C1767"/>
    <w:rsid w:val="005C185C"/>
    <w:rsid w:val="005C1B71"/>
    <w:rsid w:val="005C39CD"/>
    <w:rsid w:val="005C42EF"/>
    <w:rsid w:val="005D1CC6"/>
    <w:rsid w:val="005D2195"/>
    <w:rsid w:val="005D4FB7"/>
    <w:rsid w:val="005D686F"/>
    <w:rsid w:val="005D6948"/>
    <w:rsid w:val="005E02F5"/>
    <w:rsid w:val="005E0510"/>
    <w:rsid w:val="005E0582"/>
    <w:rsid w:val="005E176E"/>
    <w:rsid w:val="005E218E"/>
    <w:rsid w:val="005E35A0"/>
    <w:rsid w:val="005E43E8"/>
    <w:rsid w:val="005E53C3"/>
    <w:rsid w:val="005E5A41"/>
    <w:rsid w:val="005E6D44"/>
    <w:rsid w:val="005E7CFD"/>
    <w:rsid w:val="005F0D1B"/>
    <w:rsid w:val="005F1865"/>
    <w:rsid w:val="005F36AC"/>
    <w:rsid w:val="005F3E8D"/>
    <w:rsid w:val="005F4E0D"/>
    <w:rsid w:val="006007BD"/>
    <w:rsid w:val="006013C8"/>
    <w:rsid w:val="0060270D"/>
    <w:rsid w:val="00604342"/>
    <w:rsid w:val="00604611"/>
    <w:rsid w:val="00605DF4"/>
    <w:rsid w:val="00610DB7"/>
    <w:rsid w:val="006113FC"/>
    <w:rsid w:val="00611586"/>
    <w:rsid w:val="00611D6D"/>
    <w:rsid w:val="00612D26"/>
    <w:rsid w:val="00614AF1"/>
    <w:rsid w:val="00615855"/>
    <w:rsid w:val="00620DA8"/>
    <w:rsid w:val="00621887"/>
    <w:rsid w:val="0062241C"/>
    <w:rsid w:val="00622877"/>
    <w:rsid w:val="00624520"/>
    <w:rsid w:val="00626814"/>
    <w:rsid w:val="006271F5"/>
    <w:rsid w:val="0063186D"/>
    <w:rsid w:val="00632300"/>
    <w:rsid w:val="00632BB7"/>
    <w:rsid w:val="006336E8"/>
    <w:rsid w:val="0063551F"/>
    <w:rsid w:val="00635B36"/>
    <w:rsid w:val="00636322"/>
    <w:rsid w:val="00636871"/>
    <w:rsid w:val="00637B6C"/>
    <w:rsid w:val="00640EE1"/>
    <w:rsid w:val="00640F4E"/>
    <w:rsid w:val="00643DE0"/>
    <w:rsid w:val="0064437D"/>
    <w:rsid w:val="00644E85"/>
    <w:rsid w:val="00645F71"/>
    <w:rsid w:val="00646EDE"/>
    <w:rsid w:val="00650FBC"/>
    <w:rsid w:val="006516D8"/>
    <w:rsid w:val="00652C52"/>
    <w:rsid w:val="00653D39"/>
    <w:rsid w:val="0065486D"/>
    <w:rsid w:val="00654AC0"/>
    <w:rsid w:val="0065506C"/>
    <w:rsid w:val="006550C2"/>
    <w:rsid w:val="00656ED5"/>
    <w:rsid w:val="006579EB"/>
    <w:rsid w:val="006604F8"/>
    <w:rsid w:val="0066063F"/>
    <w:rsid w:val="00661190"/>
    <w:rsid w:val="00661700"/>
    <w:rsid w:val="00661823"/>
    <w:rsid w:val="00662BB0"/>
    <w:rsid w:val="00663878"/>
    <w:rsid w:val="0066457F"/>
    <w:rsid w:val="006646B6"/>
    <w:rsid w:val="00665F56"/>
    <w:rsid w:val="006660B8"/>
    <w:rsid w:val="00667773"/>
    <w:rsid w:val="00670743"/>
    <w:rsid w:val="00672544"/>
    <w:rsid w:val="006729DB"/>
    <w:rsid w:val="00672B7F"/>
    <w:rsid w:val="00675AB2"/>
    <w:rsid w:val="00676C77"/>
    <w:rsid w:val="00676F19"/>
    <w:rsid w:val="00680298"/>
    <w:rsid w:val="006807B4"/>
    <w:rsid w:val="00680A85"/>
    <w:rsid w:val="00681ADF"/>
    <w:rsid w:val="00685551"/>
    <w:rsid w:val="00690EE2"/>
    <w:rsid w:val="00692D16"/>
    <w:rsid w:val="00693854"/>
    <w:rsid w:val="00694BEB"/>
    <w:rsid w:val="006959B5"/>
    <w:rsid w:val="00695F11"/>
    <w:rsid w:val="006A0E20"/>
    <w:rsid w:val="006A24E3"/>
    <w:rsid w:val="006A4A36"/>
    <w:rsid w:val="006A51CA"/>
    <w:rsid w:val="006A5695"/>
    <w:rsid w:val="006B0439"/>
    <w:rsid w:val="006B3904"/>
    <w:rsid w:val="006B5B7D"/>
    <w:rsid w:val="006B74F6"/>
    <w:rsid w:val="006C0BBA"/>
    <w:rsid w:val="006C1A9F"/>
    <w:rsid w:val="006C1D25"/>
    <w:rsid w:val="006C5B46"/>
    <w:rsid w:val="006C6735"/>
    <w:rsid w:val="006C6E39"/>
    <w:rsid w:val="006C71B4"/>
    <w:rsid w:val="006D0ECF"/>
    <w:rsid w:val="006D2837"/>
    <w:rsid w:val="006D30C1"/>
    <w:rsid w:val="006D3D5B"/>
    <w:rsid w:val="006D4C92"/>
    <w:rsid w:val="006D4EB6"/>
    <w:rsid w:val="006D52AF"/>
    <w:rsid w:val="006D7FBC"/>
    <w:rsid w:val="006E0231"/>
    <w:rsid w:val="006E05B4"/>
    <w:rsid w:val="006E35BF"/>
    <w:rsid w:val="006E3CE5"/>
    <w:rsid w:val="006E456A"/>
    <w:rsid w:val="006E4CEE"/>
    <w:rsid w:val="006E5479"/>
    <w:rsid w:val="006E7850"/>
    <w:rsid w:val="006F13E3"/>
    <w:rsid w:val="006F19D8"/>
    <w:rsid w:val="006F46D6"/>
    <w:rsid w:val="006F4BBB"/>
    <w:rsid w:val="00700111"/>
    <w:rsid w:val="007028D9"/>
    <w:rsid w:val="00707218"/>
    <w:rsid w:val="00707BE2"/>
    <w:rsid w:val="00707C75"/>
    <w:rsid w:val="00710D04"/>
    <w:rsid w:val="0071131B"/>
    <w:rsid w:val="00712B1D"/>
    <w:rsid w:val="00713926"/>
    <w:rsid w:val="00715751"/>
    <w:rsid w:val="007171BA"/>
    <w:rsid w:val="00717616"/>
    <w:rsid w:val="007216B2"/>
    <w:rsid w:val="007217F1"/>
    <w:rsid w:val="007235BD"/>
    <w:rsid w:val="00727874"/>
    <w:rsid w:val="00731C8F"/>
    <w:rsid w:val="007325D9"/>
    <w:rsid w:val="0073413F"/>
    <w:rsid w:val="0073568B"/>
    <w:rsid w:val="0073583B"/>
    <w:rsid w:val="007360CA"/>
    <w:rsid w:val="00740C05"/>
    <w:rsid w:val="00742829"/>
    <w:rsid w:val="0074667B"/>
    <w:rsid w:val="00746B4D"/>
    <w:rsid w:val="007470BD"/>
    <w:rsid w:val="007501C5"/>
    <w:rsid w:val="00751770"/>
    <w:rsid w:val="00752241"/>
    <w:rsid w:val="00753E3D"/>
    <w:rsid w:val="007579C1"/>
    <w:rsid w:val="007602F4"/>
    <w:rsid w:val="00760EC0"/>
    <w:rsid w:val="007617B0"/>
    <w:rsid w:val="0077028F"/>
    <w:rsid w:val="007711BD"/>
    <w:rsid w:val="00771217"/>
    <w:rsid w:val="007725E3"/>
    <w:rsid w:val="007749AC"/>
    <w:rsid w:val="00774B08"/>
    <w:rsid w:val="00774E76"/>
    <w:rsid w:val="007763A3"/>
    <w:rsid w:val="00777AC9"/>
    <w:rsid w:val="0078003A"/>
    <w:rsid w:val="00780076"/>
    <w:rsid w:val="00780771"/>
    <w:rsid w:val="0078104C"/>
    <w:rsid w:val="00791763"/>
    <w:rsid w:val="00791A83"/>
    <w:rsid w:val="007929CF"/>
    <w:rsid w:val="00796CD7"/>
    <w:rsid w:val="00797BA8"/>
    <w:rsid w:val="007A01C0"/>
    <w:rsid w:val="007A081D"/>
    <w:rsid w:val="007A3C18"/>
    <w:rsid w:val="007A49B7"/>
    <w:rsid w:val="007A49E7"/>
    <w:rsid w:val="007A5EA8"/>
    <w:rsid w:val="007A6F28"/>
    <w:rsid w:val="007A7BF7"/>
    <w:rsid w:val="007A7C3F"/>
    <w:rsid w:val="007B008F"/>
    <w:rsid w:val="007B03C6"/>
    <w:rsid w:val="007B0DB1"/>
    <w:rsid w:val="007B1577"/>
    <w:rsid w:val="007B3CF7"/>
    <w:rsid w:val="007B5673"/>
    <w:rsid w:val="007B6587"/>
    <w:rsid w:val="007B6F5D"/>
    <w:rsid w:val="007B7238"/>
    <w:rsid w:val="007B76FF"/>
    <w:rsid w:val="007C19F0"/>
    <w:rsid w:val="007C3BF6"/>
    <w:rsid w:val="007C3F18"/>
    <w:rsid w:val="007C6346"/>
    <w:rsid w:val="007C67B3"/>
    <w:rsid w:val="007C6AA3"/>
    <w:rsid w:val="007D02A5"/>
    <w:rsid w:val="007D0FD2"/>
    <w:rsid w:val="007D270F"/>
    <w:rsid w:val="007D2EF8"/>
    <w:rsid w:val="007D561F"/>
    <w:rsid w:val="007D68E4"/>
    <w:rsid w:val="007D7FD2"/>
    <w:rsid w:val="007E13D9"/>
    <w:rsid w:val="007E2582"/>
    <w:rsid w:val="007E2AEC"/>
    <w:rsid w:val="007E3A59"/>
    <w:rsid w:val="007E3BF8"/>
    <w:rsid w:val="007E41BE"/>
    <w:rsid w:val="007E4DB6"/>
    <w:rsid w:val="007E6733"/>
    <w:rsid w:val="007E67DD"/>
    <w:rsid w:val="007E6BB6"/>
    <w:rsid w:val="007E7CD4"/>
    <w:rsid w:val="007F12AC"/>
    <w:rsid w:val="007F2589"/>
    <w:rsid w:val="007F27A9"/>
    <w:rsid w:val="007F4501"/>
    <w:rsid w:val="007F60DF"/>
    <w:rsid w:val="007F670B"/>
    <w:rsid w:val="007F78D5"/>
    <w:rsid w:val="00801800"/>
    <w:rsid w:val="00801861"/>
    <w:rsid w:val="00801B5B"/>
    <w:rsid w:val="00805A30"/>
    <w:rsid w:val="00810D09"/>
    <w:rsid w:val="00812691"/>
    <w:rsid w:val="008134CE"/>
    <w:rsid w:val="00816001"/>
    <w:rsid w:val="00816725"/>
    <w:rsid w:val="008216E7"/>
    <w:rsid w:val="008217D8"/>
    <w:rsid w:val="00825BE6"/>
    <w:rsid w:val="008260D0"/>
    <w:rsid w:val="008276B4"/>
    <w:rsid w:val="00830B14"/>
    <w:rsid w:val="00831927"/>
    <w:rsid w:val="0083213F"/>
    <w:rsid w:val="00833A72"/>
    <w:rsid w:val="008343B0"/>
    <w:rsid w:val="00837288"/>
    <w:rsid w:val="00840DE5"/>
    <w:rsid w:val="00841B78"/>
    <w:rsid w:val="00841BD3"/>
    <w:rsid w:val="0084273D"/>
    <w:rsid w:val="00843FA2"/>
    <w:rsid w:val="008449B8"/>
    <w:rsid w:val="00844E3F"/>
    <w:rsid w:val="00845A83"/>
    <w:rsid w:val="00845BDA"/>
    <w:rsid w:val="00846BB9"/>
    <w:rsid w:val="00854E82"/>
    <w:rsid w:val="00855CED"/>
    <w:rsid w:val="00857E68"/>
    <w:rsid w:val="008613EC"/>
    <w:rsid w:val="00864114"/>
    <w:rsid w:val="008649D5"/>
    <w:rsid w:val="0086681C"/>
    <w:rsid w:val="008712BB"/>
    <w:rsid w:val="00875635"/>
    <w:rsid w:val="00877AF1"/>
    <w:rsid w:val="008830E7"/>
    <w:rsid w:val="0089017D"/>
    <w:rsid w:val="00890EDE"/>
    <w:rsid w:val="00892B38"/>
    <w:rsid w:val="008945C3"/>
    <w:rsid w:val="008A1741"/>
    <w:rsid w:val="008A2484"/>
    <w:rsid w:val="008A347C"/>
    <w:rsid w:val="008A52F3"/>
    <w:rsid w:val="008A63C2"/>
    <w:rsid w:val="008A6FF2"/>
    <w:rsid w:val="008B4820"/>
    <w:rsid w:val="008C26D9"/>
    <w:rsid w:val="008C27F1"/>
    <w:rsid w:val="008C6D50"/>
    <w:rsid w:val="008C7167"/>
    <w:rsid w:val="008C7503"/>
    <w:rsid w:val="008D1617"/>
    <w:rsid w:val="008D330F"/>
    <w:rsid w:val="008D48C1"/>
    <w:rsid w:val="008D7700"/>
    <w:rsid w:val="008E523E"/>
    <w:rsid w:val="008E6315"/>
    <w:rsid w:val="008F0153"/>
    <w:rsid w:val="008F029E"/>
    <w:rsid w:val="008F0480"/>
    <w:rsid w:val="008F07FC"/>
    <w:rsid w:val="008F0FBA"/>
    <w:rsid w:val="008F11E0"/>
    <w:rsid w:val="008F2ABD"/>
    <w:rsid w:val="008F2E98"/>
    <w:rsid w:val="008F3EA7"/>
    <w:rsid w:val="008F78BC"/>
    <w:rsid w:val="008F7B63"/>
    <w:rsid w:val="008F7C56"/>
    <w:rsid w:val="008F7D6A"/>
    <w:rsid w:val="00900281"/>
    <w:rsid w:val="00900768"/>
    <w:rsid w:val="00900E5B"/>
    <w:rsid w:val="00901606"/>
    <w:rsid w:val="00901C86"/>
    <w:rsid w:val="00902186"/>
    <w:rsid w:val="00903603"/>
    <w:rsid w:val="009054CB"/>
    <w:rsid w:val="00907689"/>
    <w:rsid w:val="00910816"/>
    <w:rsid w:val="0091082B"/>
    <w:rsid w:val="0091123D"/>
    <w:rsid w:val="00911F8D"/>
    <w:rsid w:val="00912F94"/>
    <w:rsid w:val="00913BDD"/>
    <w:rsid w:val="00914849"/>
    <w:rsid w:val="00916A56"/>
    <w:rsid w:val="009171BC"/>
    <w:rsid w:val="00923E68"/>
    <w:rsid w:val="0092497E"/>
    <w:rsid w:val="00924D76"/>
    <w:rsid w:val="0092590B"/>
    <w:rsid w:val="00925BF3"/>
    <w:rsid w:val="00925E60"/>
    <w:rsid w:val="009264B3"/>
    <w:rsid w:val="00931E4C"/>
    <w:rsid w:val="00932AFD"/>
    <w:rsid w:val="00934470"/>
    <w:rsid w:val="00934755"/>
    <w:rsid w:val="00935F77"/>
    <w:rsid w:val="0093633F"/>
    <w:rsid w:val="009365E0"/>
    <w:rsid w:val="00940708"/>
    <w:rsid w:val="0094128C"/>
    <w:rsid w:val="00941C55"/>
    <w:rsid w:val="00941D86"/>
    <w:rsid w:val="009422B0"/>
    <w:rsid w:val="00942BA2"/>
    <w:rsid w:val="009432B7"/>
    <w:rsid w:val="00944C86"/>
    <w:rsid w:val="00946F0D"/>
    <w:rsid w:val="00947C02"/>
    <w:rsid w:val="00950BE6"/>
    <w:rsid w:val="009513F3"/>
    <w:rsid w:val="009548FC"/>
    <w:rsid w:val="00957D13"/>
    <w:rsid w:val="00957DE8"/>
    <w:rsid w:val="00960ECB"/>
    <w:rsid w:val="00960EDE"/>
    <w:rsid w:val="009615D6"/>
    <w:rsid w:val="009625EE"/>
    <w:rsid w:val="00962B07"/>
    <w:rsid w:val="009653E6"/>
    <w:rsid w:val="0096542F"/>
    <w:rsid w:val="00965CC3"/>
    <w:rsid w:val="00967091"/>
    <w:rsid w:val="00967855"/>
    <w:rsid w:val="009711B0"/>
    <w:rsid w:val="00971CD1"/>
    <w:rsid w:val="00974709"/>
    <w:rsid w:val="00975752"/>
    <w:rsid w:val="00976EC8"/>
    <w:rsid w:val="009801AE"/>
    <w:rsid w:val="00980736"/>
    <w:rsid w:val="00981A39"/>
    <w:rsid w:val="00982D56"/>
    <w:rsid w:val="00983DBF"/>
    <w:rsid w:val="00984991"/>
    <w:rsid w:val="00987097"/>
    <w:rsid w:val="00987313"/>
    <w:rsid w:val="00987317"/>
    <w:rsid w:val="0099028F"/>
    <w:rsid w:val="0099106D"/>
    <w:rsid w:val="00991123"/>
    <w:rsid w:val="00991ABF"/>
    <w:rsid w:val="00991CAB"/>
    <w:rsid w:val="00992429"/>
    <w:rsid w:val="009A3A9C"/>
    <w:rsid w:val="009A6F22"/>
    <w:rsid w:val="009B046C"/>
    <w:rsid w:val="009B13FA"/>
    <w:rsid w:val="009B1E2D"/>
    <w:rsid w:val="009B27F9"/>
    <w:rsid w:val="009B4239"/>
    <w:rsid w:val="009B52EE"/>
    <w:rsid w:val="009B5407"/>
    <w:rsid w:val="009B7503"/>
    <w:rsid w:val="009B78A1"/>
    <w:rsid w:val="009C0D06"/>
    <w:rsid w:val="009C2893"/>
    <w:rsid w:val="009C59FB"/>
    <w:rsid w:val="009C60D1"/>
    <w:rsid w:val="009C6F3B"/>
    <w:rsid w:val="009C7A6B"/>
    <w:rsid w:val="009D1467"/>
    <w:rsid w:val="009D2FB4"/>
    <w:rsid w:val="009D328D"/>
    <w:rsid w:val="009E0A86"/>
    <w:rsid w:val="009E257D"/>
    <w:rsid w:val="009E4591"/>
    <w:rsid w:val="009E4FA6"/>
    <w:rsid w:val="009E74B9"/>
    <w:rsid w:val="009E7D93"/>
    <w:rsid w:val="009F2EBE"/>
    <w:rsid w:val="009F3A1B"/>
    <w:rsid w:val="009F3C34"/>
    <w:rsid w:val="009F462C"/>
    <w:rsid w:val="009F5C33"/>
    <w:rsid w:val="009F6458"/>
    <w:rsid w:val="00A026F0"/>
    <w:rsid w:val="00A03479"/>
    <w:rsid w:val="00A03EAC"/>
    <w:rsid w:val="00A04DBB"/>
    <w:rsid w:val="00A065A3"/>
    <w:rsid w:val="00A07EA0"/>
    <w:rsid w:val="00A11CA6"/>
    <w:rsid w:val="00A1356E"/>
    <w:rsid w:val="00A16CAD"/>
    <w:rsid w:val="00A16E5A"/>
    <w:rsid w:val="00A177A2"/>
    <w:rsid w:val="00A20C49"/>
    <w:rsid w:val="00A22932"/>
    <w:rsid w:val="00A2318E"/>
    <w:rsid w:val="00A24E26"/>
    <w:rsid w:val="00A25B51"/>
    <w:rsid w:val="00A269CA"/>
    <w:rsid w:val="00A26B76"/>
    <w:rsid w:val="00A278D5"/>
    <w:rsid w:val="00A27AE5"/>
    <w:rsid w:val="00A318F5"/>
    <w:rsid w:val="00A333C8"/>
    <w:rsid w:val="00A336EE"/>
    <w:rsid w:val="00A33F46"/>
    <w:rsid w:val="00A3427E"/>
    <w:rsid w:val="00A3489F"/>
    <w:rsid w:val="00A359AC"/>
    <w:rsid w:val="00A35CF2"/>
    <w:rsid w:val="00A37F9F"/>
    <w:rsid w:val="00A40F83"/>
    <w:rsid w:val="00A410FB"/>
    <w:rsid w:val="00A41413"/>
    <w:rsid w:val="00A431E6"/>
    <w:rsid w:val="00A436E8"/>
    <w:rsid w:val="00A446D7"/>
    <w:rsid w:val="00A44EE1"/>
    <w:rsid w:val="00A45FB1"/>
    <w:rsid w:val="00A46A0F"/>
    <w:rsid w:val="00A46CCC"/>
    <w:rsid w:val="00A47996"/>
    <w:rsid w:val="00A51CFE"/>
    <w:rsid w:val="00A5204D"/>
    <w:rsid w:val="00A55ED4"/>
    <w:rsid w:val="00A56E77"/>
    <w:rsid w:val="00A61605"/>
    <w:rsid w:val="00A6322C"/>
    <w:rsid w:val="00A638B1"/>
    <w:rsid w:val="00A63AB1"/>
    <w:rsid w:val="00A641DD"/>
    <w:rsid w:val="00A65F97"/>
    <w:rsid w:val="00A67267"/>
    <w:rsid w:val="00A70B5D"/>
    <w:rsid w:val="00A70F08"/>
    <w:rsid w:val="00A73B04"/>
    <w:rsid w:val="00A73C6F"/>
    <w:rsid w:val="00A73DF3"/>
    <w:rsid w:val="00A75824"/>
    <w:rsid w:val="00A76C13"/>
    <w:rsid w:val="00A77013"/>
    <w:rsid w:val="00A84FD0"/>
    <w:rsid w:val="00A85177"/>
    <w:rsid w:val="00A86D7B"/>
    <w:rsid w:val="00A87781"/>
    <w:rsid w:val="00A90E3D"/>
    <w:rsid w:val="00A911FD"/>
    <w:rsid w:val="00A917D5"/>
    <w:rsid w:val="00A92183"/>
    <w:rsid w:val="00A92E79"/>
    <w:rsid w:val="00A945BC"/>
    <w:rsid w:val="00A950B6"/>
    <w:rsid w:val="00A95D45"/>
    <w:rsid w:val="00AA249A"/>
    <w:rsid w:val="00AA254F"/>
    <w:rsid w:val="00AA3EA8"/>
    <w:rsid w:val="00AA5B87"/>
    <w:rsid w:val="00AA6DEC"/>
    <w:rsid w:val="00AB2A95"/>
    <w:rsid w:val="00AB3538"/>
    <w:rsid w:val="00AB3AB3"/>
    <w:rsid w:val="00AB41C1"/>
    <w:rsid w:val="00AB4CF2"/>
    <w:rsid w:val="00AB55E9"/>
    <w:rsid w:val="00AB6CCA"/>
    <w:rsid w:val="00AC0120"/>
    <w:rsid w:val="00AC1360"/>
    <w:rsid w:val="00AC20D4"/>
    <w:rsid w:val="00AC223F"/>
    <w:rsid w:val="00AC2B0E"/>
    <w:rsid w:val="00AC33B1"/>
    <w:rsid w:val="00AC5D43"/>
    <w:rsid w:val="00AD07BB"/>
    <w:rsid w:val="00AD12A8"/>
    <w:rsid w:val="00AD3BA0"/>
    <w:rsid w:val="00AD41E5"/>
    <w:rsid w:val="00AD5547"/>
    <w:rsid w:val="00AD5F64"/>
    <w:rsid w:val="00AE023F"/>
    <w:rsid w:val="00AE0A80"/>
    <w:rsid w:val="00AE0CE0"/>
    <w:rsid w:val="00AE5897"/>
    <w:rsid w:val="00AE6E27"/>
    <w:rsid w:val="00AF0A77"/>
    <w:rsid w:val="00AF3577"/>
    <w:rsid w:val="00AF35F9"/>
    <w:rsid w:val="00AF3BE6"/>
    <w:rsid w:val="00B00EF7"/>
    <w:rsid w:val="00B02F42"/>
    <w:rsid w:val="00B0424C"/>
    <w:rsid w:val="00B048E9"/>
    <w:rsid w:val="00B04EBF"/>
    <w:rsid w:val="00B05C7D"/>
    <w:rsid w:val="00B06F42"/>
    <w:rsid w:val="00B1112B"/>
    <w:rsid w:val="00B1389A"/>
    <w:rsid w:val="00B14105"/>
    <w:rsid w:val="00B15D57"/>
    <w:rsid w:val="00B16347"/>
    <w:rsid w:val="00B17D6E"/>
    <w:rsid w:val="00B207DE"/>
    <w:rsid w:val="00B21115"/>
    <w:rsid w:val="00B22B24"/>
    <w:rsid w:val="00B2435E"/>
    <w:rsid w:val="00B249B1"/>
    <w:rsid w:val="00B24D0A"/>
    <w:rsid w:val="00B25299"/>
    <w:rsid w:val="00B2780D"/>
    <w:rsid w:val="00B346C3"/>
    <w:rsid w:val="00B36E1F"/>
    <w:rsid w:val="00B3760A"/>
    <w:rsid w:val="00B4005C"/>
    <w:rsid w:val="00B4227E"/>
    <w:rsid w:val="00B42FA4"/>
    <w:rsid w:val="00B4471C"/>
    <w:rsid w:val="00B451A6"/>
    <w:rsid w:val="00B50058"/>
    <w:rsid w:val="00B509CC"/>
    <w:rsid w:val="00B53EFD"/>
    <w:rsid w:val="00B5432C"/>
    <w:rsid w:val="00B54635"/>
    <w:rsid w:val="00B54912"/>
    <w:rsid w:val="00B5628D"/>
    <w:rsid w:val="00B56D6E"/>
    <w:rsid w:val="00B575AB"/>
    <w:rsid w:val="00B64347"/>
    <w:rsid w:val="00B64EDE"/>
    <w:rsid w:val="00B65DC6"/>
    <w:rsid w:val="00B67AC2"/>
    <w:rsid w:val="00B722DE"/>
    <w:rsid w:val="00B751E3"/>
    <w:rsid w:val="00B75BA6"/>
    <w:rsid w:val="00B76C44"/>
    <w:rsid w:val="00B8184A"/>
    <w:rsid w:val="00B82234"/>
    <w:rsid w:val="00B82283"/>
    <w:rsid w:val="00B828D8"/>
    <w:rsid w:val="00B82AEA"/>
    <w:rsid w:val="00B83F87"/>
    <w:rsid w:val="00B87CDC"/>
    <w:rsid w:val="00B910C1"/>
    <w:rsid w:val="00B9188E"/>
    <w:rsid w:val="00B91D63"/>
    <w:rsid w:val="00B94CEC"/>
    <w:rsid w:val="00B95688"/>
    <w:rsid w:val="00B96D18"/>
    <w:rsid w:val="00BA1A5B"/>
    <w:rsid w:val="00BA2696"/>
    <w:rsid w:val="00BA2CA4"/>
    <w:rsid w:val="00BA2EFA"/>
    <w:rsid w:val="00BA3DBC"/>
    <w:rsid w:val="00BA4F0E"/>
    <w:rsid w:val="00BA6A3C"/>
    <w:rsid w:val="00BA707A"/>
    <w:rsid w:val="00BB0573"/>
    <w:rsid w:val="00BB0DE6"/>
    <w:rsid w:val="00BB18CE"/>
    <w:rsid w:val="00BB1AFB"/>
    <w:rsid w:val="00BB27AE"/>
    <w:rsid w:val="00BB2DA2"/>
    <w:rsid w:val="00BB56DC"/>
    <w:rsid w:val="00BB5DFB"/>
    <w:rsid w:val="00BC033D"/>
    <w:rsid w:val="00BC0551"/>
    <w:rsid w:val="00BC4C63"/>
    <w:rsid w:val="00BC6478"/>
    <w:rsid w:val="00BD1720"/>
    <w:rsid w:val="00BD3C00"/>
    <w:rsid w:val="00BE183D"/>
    <w:rsid w:val="00BE21C0"/>
    <w:rsid w:val="00BE24EA"/>
    <w:rsid w:val="00BE7F46"/>
    <w:rsid w:val="00BF00AB"/>
    <w:rsid w:val="00BF24C2"/>
    <w:rsid w:val="00BF2922"/>
    <w:rsid w:val="00BF5D7A"/>
    <w:rsid w:val="00C01C2E"/>
    <w:rsid w:val="00C021BE"/>
    <w:rsid w:val="00C02D33"/>
    <w:rsid w:val="00C04B53"/>
    <w:rsid w:val="00C06E39"/>
    <w:rsid w:val="00C1232C"/>
    <w:rsid w:val="00C124BA"/>
    <w:rsid w:val="00C14412"/>
    <w:rsid w:val="00C14AEC"/>
    <w:rsid w:val="00C17B9D"/>
    <w:rsid w:val="00C24336"/>
    <w:rsid w:val="00C27C6B"/>
    <w:rsid w:val="00C3128B"/>
    <w:rsid w:val="00C31A5F"/>
    <w:rsid w:val="00C32527"/>
    <w:rsid w:val="00C3594D"/>
    <w:rsid w:val="00C36442"/>
    <w:rsid w:val="00C400CE"/>
    <w:rsid w:val="00C410FD"/>
    <w:rsid w:val="00C41C80"/>
    <w:rsid w:val="00C42C11"/>
    <w:rsid w:val="00C43E81"/>
    <w:rsid w:val="00C457DE"/>
    <w:rsid w:val="00C47DD3"/>
    <w:rsid w:val="00C5316F"/>
    <w:rsid w:val="00C53562"/>
    <w:rsid w:val="00C539FB"/>
    <w:rsid w:val="00C542E1"/>
    <w:rsid w:val="00C553AF"/>
    <w:rsid w:val="00C65125"/>
    <w:rsid w:val="00C66AA3"/>
    <w:rsid w:val="00C66E57"/>
    <w:rsid w:val="00C7089B"/>
    <w:rsid w:val="00C71194"/>
    <w:rsid w:val="00C723AA"/>
    <w:rsid w:val="00C724D7"/>
    <w:rsid w:val="00C74150"/>
    <w:rsid w:val="00C74F90"/>
    <w:rsid w:val="00C75594"/>
    <w:rsid w:val="00C7570D"/>
    <w:rsid w:val="00C75CF9"/>
    <w:rsid w:val="00C806D0"/>
    <w:rsid w:val="00C81220"/>
    <w:rsid w:val="00C81513"/>
    <w:rsid w:val="00C81A60"/>
    <w:rsid w:val="00C81B77"/>
    <w:rsid w:val="00C82E2A"/>
    <w:rsid w:val="00C8499D"/>
    <w:rsid w:val="00C84D46"/>
    <w:rsid w:val="00C85982"/>
    <w:rsid w:val="00C859DE"/>
    <w:rsid w:val="00C87246"/>
    <w:rsid w:val="00C87285"/>
    <w:rsid w:val="00C9061D"/>
    <w:rsid w:val="00C9312F"/>
    <w:rsid w:val="00C958EF"/>
    <w:rsid w:val="00C96D3D"/>
    <w:rsid w:val="00C96E40"/>
    <w:rsid w:val="00C97EAB"/>
    <w:rsid w:val="00CA0466"/>
    <w:rsid w:val="00CA246D"/>
    <w:rsid w:val="00CA3F67"/>
    <w:rsid w:val="00CA4168"/>
    <w:rsid w:val="00CA50D9"/>
    <w:rsid w:val="00CA72A9"/>
    <w:rsid w:val="00CB00D7"/>
    <w:rsid w:val="00CB1005"/>
    <w:rsid w:val="00CB1B5A"/>
    <w:rsid w:val="00CB2315"/>
    <w:rsid w:val="00CB3054"/>
    <w:rsid w:val="00CB5636"/>
    <w:rsid w:val="00CB5F30"/>
    <w:rsid w:val="00CB7616"/>
    <w:rsid w:val="00CC0311"/>
    <w:rsid w:val="00CC3EE5"/>
    <w:rsid w:val="00CC6E47"/>
    <w:rsid w:val="00CD1346"/>
    <w:rsid w:val="00CD21BD"/>
    <w:rsid w:val="00CD6461"/>
    <w:rsid w:val="00CE300B"/>
    <w:rsid w:val="00CE425C"/>
    <w:rsid w:val="00CE4A91"/>
    <w:rsid w:val="00CE58AC"/>
    <w:rsid w:val="00CF0F58"/>
    <w:rsid w:val="00CF501C"/>
    <w:rsid w:val="00CF5A80"/>
    <w:rsid w:val="00CF604E"/>
    <w:rsid w:val="00D045EE"/>
    <w:rsid w:val="00D05091"/>
    <w:rsid w:val="00D067E9"/>
    <w:rsid w:val="00D0687E"/>
    <w:rsid w:val="00D10CA6"/>
    <w:rsid w:val="00D10F21"/>
    <w:rsid w:val="00D13314"/>
    <w:rsid w:val="00D134CF"/>
    <w:rsid w:val="00D15496"/>
    <w:rsid w:val="00D1573B"/>
    <w:rsid w:val="00D15F78"/>
    <w:rsid w:val="00D20CF5"/>
    <w:rsid w:val="00D226C4"/>
    <w:rsid w:val="00D24806"/>
    <w:rsid w:val="00D26DD2"/>
    <w:rsid w:val="00D312BC"/>
    <w:rsid w:val="00D32921"/>
    <w:rsid w:val="00D330E2"/>
    <w:rsid w:val="00D332F3"/>
    <w:rsid w:val="00D34040"/>
    <w:rsid w:val="00D34E69"/>
    <w:rsid w:val="00D36C78"/>
    <w:rsid w:val="00D375EE"/>
    <w:rsid w:val="00D37822"/>
    <w:rsid w:val="00D41D70"/>
    <w:rsid w:val="00D41E5B"/>
    <w:rsid w:val="00D42A5E"/>
    <w:rsid w:val="00D43EC8"/>
    <w:rsid w:val="00D468FE"/>
    <w:rsid w:val="00D476CC"/>
    <w:rsid w:val="00D52480"/>
    <w:rsid w:val="00D52D43"/>
    <w:rsid w:val="00D52FE0"/>
    <w:rsid w:val="00D55AE8"/>
    <w:rsid w:val="00D56056"/>
    <w:rsid w:val="00D5616C"/>
    <w:rsid w:val="00D564DD"/>
    <w:rsid w:val="00D57300"/>
    <w:rsid w:val="00D6085F"/>
    <w:rsid w:val="00D62699"/>
    <w:rsid w:val="00D64F27"/>
    <w:rsid w:val="00D65B17"/>
    <w:rsid w:val="00D66A18"/>
    <w:rsid w:val="00D7003A"/>
    <w:rsid w:val="00D70204"/>
    <w:rsid w:val="00D778E9"/>
    <w:rsid w:val="00D812BF"/>
    <w:rsid w:val="00D82620"/>
    <w:rsid w:val="00D827C3"/>
    <w:rsid w:val="00D838B8"/>
    <w:rsid w:val="00D84592"/>
    <w:rsid w:val="00D85707"/>
    <w:rsid w:val="00D8758A"/>
    <w:rsid w:val="00D90DB1"/>
    <w:rsid w:val="00D9159F"/>
    <w:rsid w:val="00D9725F"/>
    <w:rsid w:val="00DA01B1"/>
    <w:rsid w:val="00DA11A2"/>
    <w:rsid w:val="00DA148C"/>
    <w:rsid w:val="00DA14ED"/>
    <w:rsid w:val="00DA1743"/>
    <w:rsid w:val="00DA26D6"/>
    <w:rsid w:val="00DA47E3"/>
    <w:rsid w:val="00DA51F5"/>
    <w:rsid w:val="00DA5FF0"/>
    <w:rsid w:val="00DB1BA0"/>
    <w:rsid w:val="00DB2952"/>
    <w:rsid w:val="00DB2EF1"/>
    <w:rsid w:val="00DB3DE1"/>
    <w:rsid w:val="00DB408D"/>
    <w:rsid w:val="00DB5DA0"/>
    <w:rsid w:val="00DB60CA"/>
    <w:rsid w:val="00DB65BD"/>
    <w:rsid w:val="00DB695B"/>
    <w:rsid w:val="00DB716C"/>
    <w:rsid w:val="00DC13BC"/>
    <w:rsid w:val="00DC5C85"/>
    <w:rsid w:val="00DC732A"/>
    <w:rsid w:val="00DC7C5D"/>
    <w:rsid w:val="00DD4236"/>
    <w:rsid w:val="00DD44F1"/>
    <w:rsid w:val="00DD4849"/>
    <w:rsid w:val="00DD6957"/>
    <w:rsid w:val="00DD6E7A"/>
    <w:rsid w:val="00DD6EAB"/>
    <w:rsid w:val="00DE00CC"/>
    <w:rsid w:val="00DE00FF"/>
    <w:rsid w:val="00DE047A"/>
    <w:rsid w:val="00DE0C82"/>
    <w:rsid w:val="00DE23E8"/>
    <w:rsid w:val="00DE3067"/>
    <w:rsid w:val="00DE32CA"/>
    <w:rsid w:val="00DE4162"/>
    <w:rsid w:val="00DF3EEE"/>
    <w:rsid w:val="00DF5D2C"/>
    <w:rsid w:val="00DF75E1"/>
    <w:rsid w:val="00E00A79"/>
    <w:rsid w:val="00E02676"/>
    <w:rsid w:val="00E027BC"/>
    <w:rsid w:val="00E033AD"/>
    <w:rsid w:val="00E03D44"/>
    <w:rsid w:val="00E045BE"/>
    <w:rsid w:val="00E1054D"/>
    <w:rsid w:val="00E10F0D"/>
    <w:rsid w:val="00E12A5B"/>
    <w:rsid w:val="00E141E6"/>
    <w:rsid w:val="00E14EA5"/>
    <w:rsid w:val="00E2070E"/>
    <w:rsid w:val="00E21133"/>
    <w:rsid w:val="00E21413"/>
    <w:rsid w:val="00E2327E"/>
    <w:rsid w:val="00E23577"/>
    <w:rsid w:val="00E26239"/>
    <w:rsid w:val="00E266EF"/>
    <w:rsid w:val="00E26760"/>
    <w:rsid w:val="00E26FEF"/>
    <w:rsid w:val="00E27BCF"/>
    <w:rsid w:val="00E27C78"/>
    <w:rsid w:val="00E30C18"/>
    <w:rsid w:val="00E31B79"/>
    <w:rsid w:val="00E326A8"/>
    <w:rsid w:val="00E34994"/>
    <w:rsid w:val="00E373EC"/>
    <w:rsid w:val="00E41803"/>
    <w:rsid w:val="00E428B8"/>
    <w:rsid w:val="00E47428"/>
    <w:rsid w:val="00E5175A"/>
    <w:rsid w:val="00E5200C"/>
    <w:rsid w:val="00E52540"/>
    <w:rsid w:val="00E5453F"/>
    <w:rsid w:val="00E54669"/>
    <w:rsid w:val="00E56C8E"/>
    <w:rsid w:val="00E5716B"/>
    <w:rsid w:val="00E57F1F"/>
    <w:rsid w:val="00E617A7"/>
    <w:rsid w:val="00E66B9F"/>
    <w:rsid w:val="00E70A6A"/>
    <w:rsid w:val="00E710D6"/>
    <w:rsid w:val="00E73DA4"/>
    <w:rsid w:val="00E74134"/>
    <w:rsid w:val="00E74B21"/>
    <w:rsid w:val="00E76E45"/>
    <w:rsid w:val="00E777C9"/>
    <w:rsid w:val="00E81DA6"/>
    <w:rsid w:val="00E84212"/>
    <w:rsid w:val="00E84447"/>
    <w:rsid w:val="00E8617A"/>
    <w:rsid w:val="00E8653B"/>
    <w:rsid w:val="00E9004F"/>
    <w:rsid w:val="00E90057"/>
    <w:rsid w:val="00E906B6"/>
    <w:rsid w:val="00E9086C"/>
    <w:rsid w:val="00E90AAA"/>
    <w:rsid w:val="00E91A0F"/>
    <w:rsid w:val="00E91F3E"/>
    <w:rsid w:val="00E94A71"/>
    <w:rsid w:val="00E94AB0"/>
    <w:rsid w:val="00E94CBF"/>
    <w:rsid w:val="00E94E86"/>
    <w:rsid w:val="00E95150"/>
    <w:rsid w:val="00E95827"/>
    <w:rsid w:val="00E96090"/>
    <w:rsid w:val="00EA03CE"/>
    <w:rsid w:val="00EA061E"/>
    <w:rsid w:val="00EA23E5"/>
    <w:rsid w:val="00EA4171"/>
    <w:rsid w:val="00EA4E2E"/>
    <w:rsid w:val="00EA5106"/>
    <w:rsid w:val="00EB0E07"/>
    <w:rsid w:val="00EB152A"/>
    <w:rsid w:val="00EB2417"/>
    <w:rsid w:val="00EB2CCB"/>
    <w:rsid w:val="00EB328E"/>
    <w:rsid w:val="00EB7A25"/>
    <w:rsid w:val="00EC0F3E"/>
    <w:rsid w:val="00EC3023"/>
    <w:rsid w:val="00EC57A7"/>
    <w:rsid w:val="00EC68AB"/>
    <w:rsid w:val="00ED0817"/>
    <w:rsid w:val="00ED1D00"/>
    <w:rsid w:val="00ED286B"/>
    <w:rsid w:val="00ED382D"/>
    <w:rsid w:val="00ED3A85"/>
    <w:rsid w:val="00ED41A5"/>
    <w:rsid w:val="00ED44E1"/>
    <w:rsid w:val="00ED520E"/>
    <w:rsid w:val="00ED7DD9"/>
    <w:rsid w:val="00EE126F"/>
    <w:rsid w:val="00EE445B"/>
    <w:rsid w:val="00EE503F"/>
    <w:rsid w:val="00EE51DA"/>
    <w:rsid w:val="00EE58A4"/>
    <w:rsid w:val="00EE5BA1"/>
    <w:rsid w:val="00EE6B07"/>
    <w:rsid w:val="00EF1F2C"/>
    <w:rsid w:val="00EF20E4"/>
    <w:rsid w:val="00EF22C0"/>
    <w:rsid w:val="00EF3113"/>
    <w:rsid w:val="00EF3F84"/>
    <w:rsid w:val="00EF69CD"/>
    <w:rsid w:val="00EF72B9"/>
    <w:rsid w:val="00F03063"/>
    <w:rsid w:val="00F0440D"/>
    <w:rsid w:val="00F044FC"/>
    <w:rsid w:val="00F05DD5"/>
    <w:rsid w:val="00F062FE"/>
    <w:rsid w:val="00F064AC"/>
    <w:rsid w:val="00F06B40"/>
    <w:rsid w:val="00F0713E"/>
    <w:rsid w:val="00F12CCE"/>
    <w:rsid w:val="00F17422"/>
    <w:rsid w:val="00F176AC"/>
    <w:rsid w:val="00F24310"/>
    <w:rsid w:val="00F25134"/>
    <w:rsid w:val="00F26F28"/>
    <w:rsid w:val="00F27714"/>
    <w:rsid w:val="00F324D5"/>
    <w:rsid w:val="00F3276E"/>
    <w:rsid w:val="00F33D3C"/>
    <w:rsid w:val="00F37957"/>
    <w:rsid w:val="00F37A91"/>
    <w:rsid w:val="00F408A0"/>
    <w:rsid w:val="00F40CA6"/>
    <w:rsid w:val="00F41D67"/>
    <w:rsid w:val="00F45CF5"/>
    <w:rsid w:val="00F47B3F"/>
    <w:rsid w:val="00F47DB0"/>
    <w:rsid w:val="00F50C3F"/>
    <w:rsid w:val="00F50E34"/>
    <w:rsid w:val="00F51AFB"/>
    <w:rsid w:val="00F51D98"/>
    <w:rsid w:val="00F53EF7"/>
    <w:rsid w:val="00F54544"/>
    <w:rsid w:val="00F54BF2"/>
    <w:rsid w:val="00F54FF8"/>
    <w:rsid w:val="00F55900"/>
    <w:rsid w:val="00F56A26"/>
    <w:rsid w:val="00F60763"/>
    <w:rsid w:val="00F70EAB"/>
    <w:rsid w:val="00F755B6"/>
    <w:rsid w:val="00F775AC"/>
    <w:rsid w:val="00F81577"/>
    <w:rsid w:val="00F869BA"/>
    <w:rsid w:val="00F8792F"/>
    <w:rsid w:val="00F9214D"/>
    <w:rsid w:val="00F92355"/>
    <w:rsid w:val="00F93963"/>
    <w:rsid w:val="00F94291"/>
    <w:rsid w:val="00F95C70"/>
    <w:rsid w:val="00F963B7"/>
    <w:rsid w:val="00FA1EE2"/>
    <w:rsid w:val="00FA298A"/>
    <w:rsid w:val="00FA52BF"/>
    <w:rsid w:val="00FA5B66"/>
    <w:rsid w:val="00FA70D4"/>
    <w:rsid w:val="00FB0416"/>
    <w:rsid w:val="00FB0B9C"/>
    <w:rsid w:val="00FB18A0"/>
    <w:rsid w:val="00FB2B5D"/>
    <w:rsid w:val="00FB30EB"/>
    <w:rsid w:val="00FB6C85"/>
    <w:rsid w:val="00FB7982"/>
    <w:rsid w:val="00FC0734"/>
    <w:rsid w:val="00FC0FC5"/>
    <w:rsid w:val="00FC19D0"/>
    <w:rsid w:val="00FC2E1D"/>
    <w:rsid w:val="00FC355F"/>
    <w:rsid w:val="00FC4C7B"/>
    <w:rsid w:val="00FC588F"/>
    <w:rsid w:val="00FC6879"/>
    <w:rsid w:val="00FD0CFE"/>
    <w:rsid w:val="00FD43C2"/>
    <w:rsid w:val="00FD52B8"/>
    <w:rsid w:val="00FD57CC"/>
    <w:rsid w:val="00FD650F"/>
    <w:rsid w:val="00FD6CA8"/>
    <w:rsid w:val="00FD7DC4"/>
    <w:rsid w:val="00FE0E20"/>
    <w:rsid w:val="00FE0F06"/>
    <w:rsid w:val="00FE1521"/>
    <w:rsid w:val="00FE1B30"/>
    <w:rsid w:val="00FE1D03"/>
    <w:rsid w:val="00FE341E"/>
    <w:rsid w:val="00FE4E1E"/>
    <w:rsid w:val="00FE78A4"/>
    <w:rsid w:val="00FE7B44"/>
    <w:rsid w:val="00FF0455"/>
    <w:rsid w:val="00FF0E39"/>
    <w:rsid w:val="00FF1387"/>
    <w:rsid w:val="00FF41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773A8F82"/>
  <w15:docId w15:val="{86EB868D-544C-4D02-A16B-1F2EAA86D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link w:val="Heading2Char"/>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link w:val="HeaderChar"/>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4842"/>
      </w:tabs>
      <w:spacing w:before="180" w:after="180"/>
      <w:ind w:left="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rsid w:val="001C2FE0"/>
    <w:pPr>
      <w:numPr>
        <w:numId w:val="25"/>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681ADF"/>
    <w:pPr>
      <w:tabs>
        <w:tab w:val="right" w:leader="dot" w:pos="9072"/>
      </w:tabs>
      <w:spacing w:before="120" w:after="60" w:line="240" w:lineRule="auto"/>
      <w:jc w:val="left"/>
    </w:pPr>
    <w:rPr>
      <w:b/>
      <w:caps/>
      <w:kern w:val="28"/>
    </w:rPr>
  </w:style>
  <w:style w:type="paragraph" w:customStyle="1" w:styleId="ListNo1">
    <w:name w:val="List No 1"/>
    <w:basedOn w:val="Normal"/>
    <w:rsid w:val="0052098C"/>
    <w:pPr>
      <w:numPr>
        <w:numId w:val="22"/>
      </w:numPr>
      <w:spacing w:before="60" w:after="60"/>
    </w:pPr>
  </w:style>
  <w:style w:type="paragraph" w:customStyle="1" w:styleId="FTOC2">
    <w:name w:val="FTOC 2"/>
    <w:basedOn w:val="Normal"/>
    <w:semiHidden/>
    <w:rsid w:val="00681ADF"/>
    <w:pPr>
      <w:tabs>
        <w:tab w:val="right" w:leader="dot" w:pos="9072"/>
      </w:tabs>
      <w:spacing w:before="120" w:after="60" w:line="240" w:lineRule="auto"/>
      <w:ind w:left="238"/>
      <w:jc w:val="left"/>
    </w:pPr>
    <w:rPr>
      <w:b/>
    </w:rPr>
  </w:style>
  <w:style w:type="paragraph" w:customStyle="1" w:styleId="FTOC3">
    <w:name w:val="FTOC 3"/>
    <w:basedOn w:val="Normal"/>
    <w:semiHidden/>
    <w:rsid w:val="00681ADF"/>
    <w:pPr>
      <w:tabs>
        <w:tab w:val="right" w:leader="dot" w:pos="9072"/>
      </w:tabs>
      <w:spacing w:before="120" w:after="60" w:line="240" w:lineRule="auto"/>
      <w:ind w:left="482"/>
      <w:jc w:val="left"/>
    </w:pPr>
    <w:rPr>
      <w:b/>
      <w:i/>
    </w:rPr>
  </w:style>
  <w:style w:type="paragraph" w:customStyle="1" w:styleId="FTOC4">
    <w:name w:val="FTOC 4"/>
    <w:basedOn w:val="Normal"/>
    <w:semiHidden/>
    <w:rsid w:val="00681ADF"/>
    <w:pPr>
      <w:tabs>
        <w:tab w:val="right" w:leader="dot" w:pos="9072"/>
      </w:tabs>
      <w:spacing w:before="120" w:after="60" w:line="240" w:lineRule="auto"/>
      <w:ind w:left="720"/>
      <w:jc w:val="left"/>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2"/>
      </w:numPr>
    </w:pPr>
  </w:style>
  <w:style w:type="numbering" w:styleId="1ai">
    <w:name w:val="Outline List 1"/>
    <w:basedOn w:val="NoList"/>
    <w:semiHidden/>
    <w:pPr>
      <w:numPr>
        <w:numId w:val="13"/>
      </w:numPr>
    </w:pPr>
  </w:style>
  <w:style w:type="numbering" w:styleId="ArticleSection">
    <w:name w:val="Outline List 3"/>
    <w:basedOn w:val="NoList"/>
    <w:semiHidden/>
    <w:pPr>
      <w:numPr>
        <w:numId w:val="14"/>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2"/>
      </w:numPr>
    </w:pPr>
  </w:style>
  <w:style w:type="paragraph" w:styleId="ListBullet2">
    <w:name w:val="List Bullet 2"/>
    <w:basedOn w:val="Normal"/>
    <w:semiHidden/>
    <w:pPr>
      <w:numPr>
        <w:numId w:val="3"/>
      </w:numPr>
    </w:pPr>
  </w:style>
  <w:style w:type="paragraph" w:styleId="ListBullet3">
    <w:name w:val="List Bullet 3"/>
    <w:basedOn w:val="Normal"/>
    <w:semiHidden/>
    <w:pPr>
      <w:numPr>
        <w:numId w:val="4"/>
      </w:numPr>
    </w:pPr>
  </w:style>
  <w:style w:type="paragraph" w:styleId="ListBullet4">
    <w:name w:val="List Bullet 4"/>
    <w:basedOn w:val="Normal"/>
    <w:semiHidden/>
    <w:pPr>
      <w:numPr>
        <w:numId w:val="5"/>
      </w:numPr>
    </w:pPr>
  </w:style>
  <w:style w:type="paragraph" w:styleId="ListBullet5">
    <w:name w:val="List Bullet 5"/>
    <w:basedOn w:val="Normal"/>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rsid w:val="00323061"/>
    <w:pPr>
      <w:spacing w:before="120" w:after="60" w:line="240" w:lineRule="auto"/>
      <w:jc w:val="left"/>
    </w:pPr>
  </w:style>
  <w:style w:type="paragraph" w:customStyle="1" w:styleId="bTOC2">
    <w:name w:val="bTOC 2"/>
    <w:basedOn w:val="TOC2"/>
    <w:semiHidden/>
    <w:rsid w:val="00323061"/>
    <w:pPr>
      <w:spacing w:before="120" w:after="60" w:line="240" w:lineRule="auto"/>
      <w:ind w:left="238"/>
      <w:jc w:val="left"/>
    </w:pPr>
  </w:style>
  <w:style w:type="paragraph" w:customStyle="1" w:styleId="bTOC3">
    <w:name w:val="bTOC 3"/>
    <w:basedOn w:val="TOC3"/>
    <w:semiHidden/>
    <w:rsid w:val="00323061"/>
    <w:pPr>
      <w:spacing w:before="120" w:after="60" w:line="240" w:lineRule="auto"/>
      <w:ind w:left="482"/>
      <w:jc w:val="left"/>
    </w:pPr>
  </w:style>
  <w:style w:type="paragraph" w:customStyle="1" w:styleId="bTOC4">
    <w:name w:val="bTOC 4"/>
    <w:basedOn w:val="TOC4"/>
    <w:semiHidden/>
    <w:rsid w:val="00323061"/>
    <w:pPr>
      <w:spacing w:before="120" w:after="60" w:line="240" w:lineRule="auto"/>
      <w:jc w:val="left"/>
    </w:pPr>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5"/>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5"/>
      </w:numPr>
      <w:spacing w:before="240" w:after="60" w:line="240" w:lineRule="auto"/>
    </w:pPr>
    <w:rPr>
      <w:b/>
    </w:rPr>
  </w:style>
  <w:style w:type="paragraph" w:customStyle="1" w:styleId="fcHeading3">
    <w:name w:val="fcHeading 3"/>
    <w:basedOn w:val="Normal"/>
    <w:next w:val="ParaNumbering"/>
    <w:semiHidden/>
    <w:pPr>
      <w:keepNext/>
      <w:numPr>
        <w:ilvl w:val="2"/>
        <w:numId w:val="15"/>
      </w:numPr>
      <w:spacing w:before="240" w:after="60" w:line="240" w:lineRule="auto"/>
    </w:pPr>
    <w:rPr>
      <w:b/>
      <w:i/>
    </w:rPr>
  </w:style>
  <w:style w:type="paragraph" w:customStyle="1" w:styleId="fcHeading4">
    <w:name w:val="fcHeading 4"/>
    <w:basedOn w:val="Normal"/>
    <w:next w:val="ParaNumbering"/>
    <w:semiHidden/>
    <w:pPr>
      <w:keepNext/>
      <w:numPr>
        <w:ilvl w:val="3"/>
        <w:numId w:val="15"/>
      </w:numPr>
      <w:spacing w:before="240" w:after="60" w:line="240" w:lineRule="auto"/>
    </w:pPr>
    <w:rPr>
      <w:b/>
      <w:smallCaps/>
    </w:rPr>
  </w:style>
  <w:style w:type="paragraph" w:customStyle="1" w:styleId="fcHeading5">
    <w:name w:val="fcHeading 5"/>
    <w:basedOn w:val="Normal"/>
    <w:next w:val="ParaNumbering"/>
    <w:semiHidden/>
    <w:pPr>
      <w:keepNext/>
      <w:numPr>
        <w:ilvl w:val="4"/>
        <w:numId w:val="15"/>
      </w:numPr>
      <w:spacing w:before="240" w:after="60" w:line="240" w:lineRule="auto"/>
    </w:pPr>
    <w:rPr>
      <w:b/>
      <w:caps/>
    </w:rPr>
  </w:style>
  <w:style w:type="paragraph" w:customStyle="1" w:styleId="FTOC5">
    <w:name w:val="FTOC 5"/>
    <w:basedOn w:val="Normal"/>
    <w:semiHidden/>
    <w:rsid w:val="006516D8"/>
    <w:pPr>
      <w:tabs>
        <w:tab w:val="right" w:leader="dot" w:pos="9072"/>
      </w:tabs>
      <w:spacing w:before="120" w:after="60" w:line="240" w:lineRule="auto"/>
      <w:ind w:left="567" w:hanging="567"/>
      <w:jc w:val="left"/>
    </w:pPr>
    <w:rPr>
      <w:b/>
      <w:kern w:val="28"/>
    </w:rPr>
  </w:style>
  <w:style w:type="paragraph" w:customStyle="1" w:styleId="FTOC6">
    <w:name w:val="FTOC 6"/>
    <w:basedOn w:val="Normal"/>
    <w:semiHidden/>
    <w:rsid w:val="006516D8"/>
    <w:pPr>
      <w:tabs>
        <w:tab w:val="right" w:leader="dot" w:pos="9072"/>
      </w:tabs>
      <w:spacing w:before="120" w:after="60" w:line="240" w:lineRule="auto"/>
      <w:ind w:left="1304" w:hanging="737"/>
      <w:jc w:val="left"/>
    </w:pPr>
    <w:rPr>
      <w:b/>
    </w:rPr>
  </w:style>
  <w:style w:type="paragraph" w:customStyle="1" w:styleId="FTOC7">
    <w:name w:val="FTOC 7"/>
    <w:basedOn w:val="Normal"/>
    <w:semiHidden/>
    <w:rsid w:val="006516D8"/>
    <w:pPr>
      <w:tabs>
        <w:tab w:val="right" w:leader="dot" w:pos="9072"/>
      </w:tabs>
      <w:spacing w:before="120" w:after="60" w:line="240" w:lineRule="auto"/>
      <w:ind w:left="2325" w:hanging="1021"/>
      <w:jc w:val="left"/>
    </w:pPr>
    <w:rPr>
      <w:b/>
    </w:rPr>
  </w:style>
  <w:style w:type="paragraph" w:customStyle="1" w:styleId="FTOC8">
    <w:name w:val="FTOC 8"/>
    <w:basedOn w:val="Normal"/>
    <w:semiHidden/>
    <w:rsid w:val="006516D8"/>
    <w:pPr>
      <w:tabs>
        <w:tab w:val="right" w:leader="dot" w:pos="9072"/>
      </w:tabs>
      <w:spacing w:before="120" w:after="60" w:line="240" w:lineRule="auto"/>
      <w:ind w:left="3232" w:hanging="1418"/>
      <w:jc w:val="left"/>
    </w:pPr>
    <w:rPr>
      <w:b/>
    </w:rPr>
  </w:style>
  <w:style w:type="paragraph" w:customStyle="1" w:styleId="FTOC9">
    <w:name w:val="FTOC 9"/>
    <w:basedOn w:val="Normal"/>
    <w:semiHidden/>
    <w:rsid w:val="006516D8"/>
    <w:pPr>
      <w:tabs>
        <w:tab w:val="right" w:leader="dot" w:pos="9072"/>
      </w:tabs>
      <w:spacing w:before="120" w:after="60" w:line="240" w:lineRule="auto"/>
      <w:ind w:left="4082" w:hanging="1701"/>
      <w:jc w:val="left"/>
    </w:pPr>
    <w:rPr>
      <w:b/>
    </w:rPr>
  </w:style>
  <w:style w:type="paragraph" w:customStyle="1" w:styleId="bTOC5">
    <w:name w:val="bTOC 5"/>
    <w:basedOn w:val="Normal"/>
    <w:semiHidden/>
    <w:rsid w:val="00323061"/>
    <w:pPr>
      <w:tabs>
        <w:tab w:val="right" w:leader="dot" w:pos="9072"/>
      </w:tabs>
      <w:spacing w:before="120" w:after="60" w:line="240" w:lineRule="auto"/>
      <w:ind w:left="709" w:hanging="709"/>
      <w:jc w:val="left"/>
    </w:pPr>
  </w:style>
  <w:style w:type="paragraph" w:customStyle="1" w:styleId="bTOC6">
    <w:name w:val="bTOC 6"/>
    <w:basedOn w:val="Normal"/>
    <w:semiHidden/>
    <w:rsid w:val="00323061"/>
    <w:pPr>
      <w:tabs>
        <w:tab w:val="right" w:leader="dot" w:pos="9072"/>
      </w:tabs>
      <w:spacing w:before="120" w:after="60" w:line="240" w:lineRule="auto"/>
      <w:ind w:left="1418" w:hanging="709"/>
      <w:jc w:val="left"/>
    </w:pPr>
  </w:style>
  <w:style w:type="paragraph" w:customStyle="1" w:styleId="bTOC7">
    <w:name w:val="bTOC 7"/>
    <w:basedOn w:val="Normal"/>
    <w:semiHidden/>
    <w:rsid w:val="00F51AFB"/>
    <w:pPr>
      <w:tabs>
        <w:tab w:val="right" w:leader="dot" w:pos="9072"/>
      </w:tabs>
      <w:spacing w:before="120" w:after="60" w:line="240" w:lineRule="auto"/>
      <w:ind w:left="2240" w:hanging="822"/>
      <w:jc w:val="left"/>
    </w:pPr>
  </w:style>
  <w:style w:type="paragraph" w:customStyle="1" w:styleId="bTOC8">
    <w:name w:val="bTOC 8"/>
    <w:basedOn w:val="Normal"/>
    <w:semiHidden/>
    <w:rsid w:val="00F51AFB"/>
    <w:pPr>
      <w:keepNext/>
      <w:tabs>
        <w:tab w:val="right" w:leader="dot" w:pos="9072"/>
      </w:tabs>
      <w:spacing w:before="120" w:after="60" w:line="240" w:lineRule="auto"/>
      <w:ind w:left="3373" w:hanging="1247"/>
      <w:jc w:val="left"/>
    </w:pPr>
  </w:style>
  <w:style w:type="paragraph" w:customStyle="1" w:styleId="bTOC9">
    <w:name w:val="bTOC 9"/>
    <w:basedOn w:val="Normal"/>
    <w:semiHidden/>
    <w:rsid w:val="00F51AFB"/>
    <w:pPr>
      <w:keepNext/>
      <w:tabs>
        <w:tab w:val="right" w:leader="dot" w:pos="9072"/>
      </w:tabs>
      <w:spacing w:before="120" w:after="60" w:line="240" w:lineRule="auto"/>
      <w:ind w:left="4082" w:hanging="1247"/>
      <w:jc w:val="left"/>
    </w:pPr>
  </w:style>
  <w:style w:type="paragraph" w:customStyle="1" w:styleId="ListNo2">
    <w:name w:val="List No 2"/>
    <w:basedOn w:val="ListNo1"/>
    <w:rsid w:val="0052098C"/>
    <w:pPr>
      <w:numPr>
        <w:ilvl w:val="1"/>
      </w:numPr>
    </w:pPr>
  </w:style>
  <w:style w:type="paragraph" w:customStyle="1" w:styleId="ListNo3">
    <w:name w:val="List No 3"/>
    <w:basedOn w:val="ListNo2"/>
    <w:rsid w:val="0052098C"/>
    <w:pPr>
      <w:numPr>
        <w:ilvl w:val="2"/>
      </w:numPr>
    </w:pPr>
  </w:style>
  <w:style w:type="numbering" w:customStyle="1" w:styleId="FCListNo">
    <w:name w:val="FCListNo"/>
    <w:uiPriority w:val="99"/>
    <w:rsid w:val="0052098C"/>
    <w:pPr>
      <w:numPr>
        <w:numId w:val="16"/>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7"/>
      </w:numPr>
      <w:ind w:left="1440" w:hanging="720"/>
    </w:pPr>
  </w:style>
  <w:style w:type="paragraph" w:customStyle="1" w:styleId="Quote2Bullet">
    <w:name w:val="Quote2 Bullet"/>
    <w:basedOn w:val="Quote2"/>
    <w:rsid w:val="00EF3F84"/>
    <w:pPr>
      <w:numPr>
        <w:numId w:val="18"/>
      </w:numPr>
      <w:ind w:hanging="720"/>
    </w:pPr>
  </w:style>
  <w:style w:type="paragraph" w:customStyle="1" w:styleId="Quote3Bullet">
    <w:name w:val="Quote3 Bullet"/>
    <w:basedOn w:val="Quote3"/>
    <w:rsid w:val="00EE445B"/>
    <w:pPr>
      <w:numPr>
        <w:numId w:val="19"/>
      </w:numPr>
      <w:ind w:hanging="720"/>
    </w:pPr>
  </w:style>
  <w:style w:type="paragraph" w:customStyle="1" w:styleId="Order1">
    <w:name w:val="Order 1"/>
    <w:basedOn w:val="Normal"/>
    <w:rsid w:val="004104B6"/>
    <w:pPr>
      <w:numPr>
        <w:numId w:val="20"/>
      </w:numPr>
      <w:spacing w:before="60" w:after="60"/>
    </w:pPr>
  </w:style>
  <w:style w:type="numbering" w:customStyle="1" w:styleId="FCOrders">
    <w:name w:val="FCOrders"/>
    <w:uiPriority w:val="99"/>
    <w:rsid w:val="004104B6"/>
    <w:pPr>
      <w:numPr>
        <w:numId w:val="20"/>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customStyle="1" w:styleId="CourtTitle">
    <w:name w:val="CourtTitle"/>
    <w:basedOn w:val="NormalHeadings"/>
    <w:rsid w:val="00285922"/>
    <w:pPr>
      <w:jc w:val="center"/>
    </w:pPr>
    <w:rPr>
      <w:caps/>
      <w:sz w:val="32"/>
    </w:rPr>
  </w:style>
  <w:style w:type="paragraph" w:customStyle="1" w:styleId="MNC">
    <w:name w:val="MNC"/>
    <w:basedOn w:val="MediaNeutralStyle"/>
    <w:rsid w:val="00085255"/>
    <w:pPr>
      <w:spacing w:after="240"/>
    </w:pPr>
    <w:rPr>
      <w:sz w:val="28"/>
    </w:rPr>
  </w:style>
  <w:style w:type="paragraph" w:customStyle="1" w:styleId="Quote4">
    <w:name w:val="Quote4"/>
    <w:basedOn w:val="Quote1"/>
    <w:rsid w:val="00DF75E1"/>
    <w:pPr>
      <w:ind w:left="2880"/>
    </w:pPr>
  </w:style>
  <w:style w:type="paragraph" w:customStyle="1" w:styleId="Quote4Bullet">
    <w:name w:val="Quote4 Bullet"/>
    <w:basedOn w:val="Quote4"/>
    <w:rsid w:val="00EE445B"/>
    <w:pPr>
      <w:numPr>
        <w:numId w:val="21"/>
      </w:numPr>
      <w:ind w:hanging="720"/>
    </w:pPr>
  </w:style>
  <w:style w:type="character" w:styleId="PlaceholderText">
    <w:name w:val="Placeholder Text"/>
    <w:basedOn w:val="DefaultParagraphFont"/>
    <w:uiPriority w:val="99"/>
    <w:semiHidden/>
    <w:rsid w:val="00CF5A80"/>
    <w:rPr>
      <w:color w:val="808080"/>
    </w:rPr>
  </w:style>
  <w:style w:type="paragraph" w:customStyle="1" w:styleId="Order2">
    <w:name w:val="Order 2"/>
    <w:basedOn w:val="Order1"/>
    <w:rsid w:val="001351B9"/>
    <w:pPr>
      <w:numPr>
        <w:ilvl w:val="1"/>
      </w:numPr>
      <w:tabs>
        <w:tab w:val="clear" w:pos="1440"/>
      </w:tabs>
    </w:pPr>
  </w:style>
  <w:style w:type="paragraph" w:customStyle="1" w:styleId="Order3">
    <w:name w:val="Order 3"/>
    <w:basedOn w:val="Order2"/>
    <w:rsid w:val="00DD6957"/>
    <w:pPr>
      <w:numPr>
        <w:ilvl w:val="2"/>
      </w:numPr>
    </w:pPr>
  </w:style>
  <w:style w:type="paragraph" w:customStyle="1" w:styleId="ListNo1alt">
    <w:name w:val="List No 1 (alt)"/>
    <w:basedOn w:val="Normal"/>
    <w:rsid w:val="008A1741"/>
    <w:pPr>
      <w:numPr>
        <w:numId w:val="24"/>
      </w:numPr>
      <w:spacing w:before="60" w:after="60"/>
    </w:pPr>
  </w:style>
  <w:style w:type="paragraph" w:customStyle="1" w:styleId="ListNo2alt">
    <w:name w:val="List No 2 (alt)"/>
    <w:basedOn w:val="ListNo1alt"/>
    <w:rsid w:val="008A1741"/>
    <w:pPr>
      <w:numPr>
        <w:ilvl w:val="1"/>
      </w:numPr>
    </w:pPr>
  </w:style>
  <w:style w:type="paragraph" w:customStyle="1" w:styleId="ListNo3alt">
    <w:name w:val="List No 3 (alt)"/>
    <w:basedOn w:val="ListNo2alt"/>
    <w:rsid w:val="008A1741"/>
    <w:pPr>
      <w:numPr>
        <w:ilvl w:val="2"/>
      </w:numPr>
    </w:pPr>
  </w:style>
  <w:style w:type="numbering" w:customStyle="1" w:styleId="FCListNoalt">
    <w:name w:val="FC List No (alt)"/>
    <w:uiPriority w:val="99"/>
    <w:rsid w:val="008A1741"/>
    <w:pPr>
      <w:numPr>
        <w:numId w:val="23"/>
      </w:numPr>
    </w:pPr>
  </w:style>
  <w:style w:type="paragraph" w:customStyle="1" w:styleId="Order4">
    <w:name w:val="Order 4"/>
    <w:basedOn w:val="Order3"/>
    <w:rsid w:val="004104B6"/>
    <w:pPr>
      <w:numPr>
        <w:ilvl w:val="3"/>
      </w:numPr>
    </w:pPr>
  </w:style>
  <w:style w:type="paragraph" w:styleId="FootnoteText">
    <w:name w:val="footnote text"/>
    <w:basedOn w:val="Normal"/>
    <w:link w:val="FootnoteTextChar"/>
    <w:semiHidden/>
    <w:unhideWhenUsed/>
    <w:rsid w:val="00077768"/>
    <w:pPr>
      <w:spacing w:line="240" w:lineRule="auto"/>
    </w:pPr>
    <w:rPr>
      <w:sz w:val="20"/>
    </w:rPr>
  </w:style>
  <w:style w:type="character" w:customStyle="1" w:styleId="FootnoteTextChar">
    <w:name w:val="Footnote Text Char"/>
    <w:basedOn w:val="DefaultParagraphFont"/>
    <w:link w:val="FootnoteText"/>
    <w:semiHidden/>
    <w:rsid w:val="00077768"/>
    <w:rPr>
      <w:lang w:eastAsia="en-US"/>
    </w:rPr>
  </w:style>
  <w:style w:type="character" w:styleId="FootnoteReference">
    <w:name w:val="footnote reference"/>
    <w:basedOn w:val="DefaultParagraphFont"/>
    <w:semiHidden/>
    <w:unhideWhenUsed/>
    <w:rsid w:val="00077768"/>
    <w:rPr>
      <w:vertAlign w:val="superscript"/>
    </w:rPr>
  </w:style>
  <w:style w:type="paragraph" w:customStyle="1" w:styleId="FCBullets2">
    <w:name w:val="FCBullets2"/>
    <w:basedOn w:val="FCBullets"/>
    <w:rsid w:val="001C2FE0"/>
    <w:pPr>
      <w:numPr>
        <w:ilvl w:val="1"/>
      </w:numPr>
    </w:pPr>
  </w:style>
  <w:style w:type="numbering" w:customStyle="1" w:styleId="FCNotes">
    <w:name w:val="FCNotes"/>
    <w:uiPriority w:val="99"/>
    <w:rsid w:val="00805A30"/>
    <w:pPr>
      <w:numPr>
        <w:numId w:val="26"/>
      </w:numPr>
    </w:pPr>
  </w:style>
  <w:style w:type="paragraph" w:customStyle="1" w:styleId="Notes">
    <w:name w:val="Notes"/>
    <w:basedOn w:val="Normal"/>
    <w:rsid w:val="00805A30"/>
    <w:pPr>
      <w:numPr>
        <w:numId w:val="28"/>
      </w:numPr>
      <w:spacing w:before="60" w:after="60"/>
    </w:pPr>
  </w:style>
  <w:style w:type="paragraph" w:customStyle="1" w:styleId="OrdersHeading1">
    <w:name w:val="Orders Heading 1"/>
    <w:basedOn w:val="Normal"/>
    <w:next w:val="BodyText"/>
    <w:rsid w:val="001E0C61"/>
    <w:pPr>
      <w:keepNext/>
      <w:spacing w:before="240" w:after="180" w:line="240" w:lineRule="auto"/>
    </w:pPr>
    <w:rPr>
      <w:b/>
      <w:caps/>
    </w:rPr>
  </w:style>
  <w:style w:type="paragraph" w:customStyle="1" w:styleId="OrdersHeading2">
    <w:name w:val="Orders Heading 2"/>
    <w:basedOn w:val="Normal"/>
    <w:next w:val="BodyText"/>
    <w:rsid w:val="001E0C61"/>
    <w:pPr>
      <w:keepNext/>
      <w:spacing w:before="240" w:after="180" w:line="240" w:lineRule="auto"/>
    </w:pPr>
    <w:rPr>
      <w:b/>
    </w:rPr>
  </w:style>
  <w:style w:type="paragraph" w:styleId="ListParagraph">
    <w:name w:val="List Paragraph"/>
    <w:basedOn w:val="Normal"/>
    <w:uiPriority w:val="34"/>
    <w:rsid w:val="005C39CD"/>
    <w:pPr>
      <w:ind w:left="720"/>
      <w:contextualSpacing/>
    </w:pPr>
  </w:style>
  <w:style w:type="paragraph" w:styleId="EndnoteText">
    <w:name w:val="endnote text"/>
    <w:basedOn w:val="Normal"/>
    <w:link w:val="EndnoteTextChar"/>
    <w:semiHidden/>
    <w:unhideWhenUsed/>
    <w:rsid w:val="00650FBC"/>
    <w:pPr>
      <w:spacing w:line="240" w:lineRule="auto"/>
    </w:pPr>
    <w:rPr>
      <w:sz w:val="20"/>
    </w:rPr>
  </w:style>
  <w:style w:type="character" w:customStyle="1" w:styleId="EndnoteTextChar">
    <w:name w:val="Endnote Text Char"/>
    <w:basedOn w:val="DefaultParagraphFont"/>
    <w:link w:val="EndnoteText"/>
    <w:semiHidden/>
    <w:rsid w:val="00650FBC"/>
    <w:rPr>
      <w:lang w:eastAsia="en-US"/>
    </w:rPr>
  </w:style>
  <w:style w:type="character" w:styleId="EndnoteReference">
    <w:name w:val="endnote reference"/>
    <w:basedOn w:val="DefaultParagraphFont"/>
    <w:semiHidden/>
    <w:unhideWhenUsed/>
    <w:rsid w:val="00650FBC"/>
    <w:rPr>
      <w:vertAlign w:val="superscript"/>
    </w:rPr>
  </w:style>
  <w:style w:type="character" w:customStyle="1" w:styleId="Heading2Char">
    <w:name w:val="Heading 2 Char"/>
    <w:basedOn w:val="DefaultParagraphFont"/>
    <w:link w:val="Heading2"/>
    <w:rsid w:val="00622877"/>
    <w:rPr>
      <w:b/>
      <w:sz w:val="24"/>
      <w:szCs w:val="24"/>
      <w:lang w:eastAsia="en-US"/>
    </w:rPr>
  </w:style>
  <w:style w:type="paragraph" w:styleId="Revision">
    <w:name w:val="Revision"/>
    <w:hidden/>
    <w:uiPriority w:val="99"/>
    <w:semiHidden/>
    <w:rsid w:val="00C8499D"/>
    <w:rPr>
      <w:sz w:val="24"/>
      <w:lang w:eastAsia="en-US"/>
    </w:rPr>
  </w:style>
  <w:style w:type="character" w:customStyle="1" w:styleId="HeaderChar">
    <w:name w:val="Header Char"/>
    <w:basedOn w:val="DefaultParagraphFont"/>
    <w:link w:val="Header"/>
    <w:semiHidden/>
    <w:rsid w:val="001C7A8C"/>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900753">
      <w:bodyDiv w:val="1"/>
      <w:marLeft w:val="0"/>
      <w:marRight w:val="0"/>
      <w:marTop w:val="0"/>
      <w:marBottom w:val="0"/>
      <w:divBdr>
        <w:top w:val="none" w:sz="0" w:space="0" w:color="auto"/>
        <w:left w:val="none" w:sz="0" w:space="0" w:color="auto"/>
        <w:bottom w:val="none" w:sz="0" w:space="0" w:color="auto"/>
        <w:right w:val="none" w:sz="0" w:space="0" w:color="auto"/>
      </w:divBdr>
    </w:div>
    <w:div w:id="1957567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footer" Target="footer7.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2.jpeg"/><Relationship Id="rId33"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jpeg"/><Relationship Id="rId32" Type="http://schemas.openxmlformats.org/officeDocument/2006/relationships/footer" Target="footer6.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image" Target="media/image5.JPG"/><Relationship Id="rId36"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4.jpeg"/><Relationship Id="rId30" Type="http://schemas.openxmlformats.org/officeDocument/2006/relationships/header" Target="header8.xm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Judg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190DD71AB104A2D9390B4B2246083E9"/>
        <w:category>
          <w:name w:val="General"/>
          <w:gallery w:val="placeholder"/>
        </w:category>
        <w:types>
          <w:type w:val="bbPlcHdr"/>
        </w:types>
        <w:behaviors>
          <w:behavior w:val="content"/>
        </w:behaviors>
        <w:guid w:val="{3123BAE7-57D4-4141-BAA0-AFB9313FF2BF}"/>
      </w:docPartPr>
      <w:docPartBody>
        <w:p w:rsidR="002D64FE" w:rsidRDefault="00BB5146">
          <w:pPr>
            <w:pStyle w:val="A190DD71AB104A2D9390B4B2246083E9"/>
          </w:pPr>
          <w:r>
            <w:rPr>
              <w:rStyle w:val="PlaceholderText"/>
            </w:rPr>
            <w:t>MNC Text</w:t>
          </w:r>
        </w:p>
      </w:docPartBody>
    </w:docPart>
    <w:docPart>
      <w:docPartPr>
        <w:name w:val="C8FA9D1DF4814E73849E925B4FF66302"/>
        <w:category>
          <w:name w:val="General"/>
          <w:gallery w:val="placeholder"/>
        </w:category>
        <w:types>
          <w:type w:val="bbPlcHdr"/>
        </w:types>
        <w:behaviors>
          <w:behavior w:val="content"/>
        </w:behaviors>
        <w:guid w:val="{2C7B845E-A291-4C0E-9833-6D1CFD6167A4}"/>
      </w:docPartPr>
      <w:docPartBody>
        <w:p w:rsidR="002D64FE" w:rsidRDefault="00BB5146">
          <w:pPr>
            <w:pStyle w:val="C8FA9D1DF4814E73849E925B4FF66302"/>
          </w:pPr>
          <w:r w:rsidRPr="005C44BE">
            <w:rPr>
              <w:rStyle w:val="PlaceholderText"/>
            </w:rPr>
            <w:t>Click or tap here to enter text.</w:t>
          </w:r>
        </w:p>
      </w:docPartBody>
    </w:docPart>
    <w:docPart>
      <w:docPartPr>
        <w:name w:val="491E36D8E76D4B56AC9D6EF904D44685"/>
        <w:category>
          <w:name w:val="General"/>
          <w:gallery w:val="placeholder"/>
        </w:category>
        <w:types>
          <w:type w:val="bbPlcHdr"/>
        </w:types>
        <w:behaviors>
          <w:behavior w:val="content"/>
        </w:behaviors>
        <w:guid w:val="{F7F13A2C-EDDE-4A54-B310-FDE3F02EA363}"/>
      </w:docPartPr>
      <w:docPartBody>
        <w:p w:rsidR="002D64FE" w:rsidRDefault="00BB5146">
          <w:pPr>
            <w:pStyle w:val="491E36D8E76D4B56AC9D6EF904D44685"/>
          </w:pPr>
          <w:r w:rsidRPr="005C44B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Arial Unicode MS"/>
    <w:panose1 w:val="02030600000101010101"/>
    <w:charset w:val="81"/>
    <w:family w:val="roman"/>
    <w:pitch w:val="variable"/>
    <w:sig w:usb0="00000000"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146"/>
    <w:rsid w:val="00097ADA"/>
    <w:rsid w:val="000C1C6C"/>
    <w:rsid w:val="00100E95"/>
    <w:rsid w:val="00124ACB"/>
    <w:rsid w:val="00136BC8"/>
    <w:rsid w:val="00153F3F"/>
    <w:rsid w:val="0017378D"/>
    <w:rsid w:val="001904BE"/>
    <w:rsid w:val="002D64FE"/>
    <w:rsid w:val="002E4045"/>
    <w:rsid w:val="0049592C"/>
    <w:rsid w:val="004A2654"/>
    <w:rsid w:val="00640852"/>
    <w:rsid w:val="00692F2D"/>
    <w:rsid w:val="006A0EF9"/>
    <w:rsid w:val="007150B6"/>
    <w:rsid w:val="00742474"/>
    <w:rsid w:val="00785389"/>
    <w:rsid w:val="007A5AD2"/>
    <w:rsid w:val="0088325B"/>
    <w:rsid w:val="008E5DBA"/>
    <w:rsid w:val="00993E0E"/>
    <w:rsid w:val="00B67E2A"/>
    <w:rsid w:val="00BB5146"/>
    <w:rsid w:val="00D16680"/>
    <w:rsid w:val="00D44A95"/>
    <w:rsid w:val="00EE0FAA"/>
    <w:rsid w:val="00EF566F"/>
    <w:rsid w:val="00EF5F01"/>
    <w:rsid w:val="00F0150F"/>
    <w:rsid w:val="00F67A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A190DD71AB104A2D9390B4B2246083E9">
    <w:name w:val="A190DD71AB104A2D9390B4B2246083E9"/>
  </w:style>
  <w:style w:type="paragraph" w:customStyle="1" w:styleId="C8FA9D1DF4814E73849E925B4FF66302">
    <w:name w:val="C8FA9D1DF4814E73849E925B4FF66302"/>
  </w:style>
  <w:style w:type="paragraph" w:customStyle="1" w:styleId="491E36D8E76D4B56AC9D6EF904D44685">
    <w:name w:val="491E36D8E76D4B56AC9D6EF904D44685"/>
  </w:style>
  <w:style w:type="paragraph" w:customStyle="1" w:styleId="2B90893D5029490A94E442AF7FB6E871">
    <w:name w:val="2B90893D5029490A94E442AF7FB6E871"/>
  </w:style>
  <w:style w:type="paragraph" w:customStyle="1" w:styleId="0AC49A7F8318425BA4EEB2DE856752EF">
    <w:name w:val="0AC49A7F8318425BA4EEB2DE856752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894FE4B6CC9CF41B22EA77E756AF20E" ma:contentTypeVersion="10" ma:contentTypeDescription="Create a new document." ma:contentTypeScope="" ma:versionID="f29296589236acca8d8b4b434bcca248">
  <xsd:schema xmlns:xsd="http://www.w3.org/2001/XMLSchema" xmlns:xs="http://www.w3.org/2001/XMLSchema" xmlns:p="http://schemas.microsoft.com/office/2006/metadata/properties" xmlns:ns3="04df2dbe-c0a7-41dc-817f-4a7dcc3983fe" targetNamespace="http://schemas.microsoft.com/office/2006/metadata/properties" ma:root="true" ma:fieldsID="89401f28a9d196ba20be77fc54a3a75d" ns3:_="">
    <xsd:import namespace="04df2dbe-c0a7-41dc-817f-4a7dcc3983f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df2dbe-c0a7-41dc-817f-4a7dcc3983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root xmlns="http://schemas.globalmacros.com/FCA">
  <Name>Swancom Pty Ltd v The Jazz Corner Hotel Pty Ltd [2022] FCAFC 157 </Name>
</root>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080D9-D69C-4E05-85BF-469EAB8DA513}">
  <ds:schemaRefs>
    <ds:schemaRef ds:uri="http://schemas.microsoft.com/sharepoint/v3/contenttype/forms"/>
  </ds:schemaRefs>
</ds:datastoreItem>
</file>

<file path=customXml/itemProps2.xml><?xml version="1.0" encoding="utf-8"?>
<ds:datastoreItem xmlns:ds="http://schemas.openxmlformats.org/officeDocument/2006/customXml" ds:itemID="{EB07D42D-CC58-4F78-AE07-E41C49D6AC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df2dbe-c0a7-41dc-817f-4a7dcc3983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7E7CCB-4AA5-44E7-B148-17BA2B6F57C0}">
  <ds:schemaRefs>
    <ds:schemaRef ds:uri="http://schemas.globalmacros.com/FCA"/>
  </ds:schemaRefs>
</ds:datastoreItem>
</file>

<file path=customXml/itemProps4.xml><?xml version="1.0" encoding="utf-8"?>
<ds:datastoreItem xmlns:ds="http://schemas.openxmlformats.org/officeDocument/2006/customXml" ds:itemID="{DD075EAA-95BC-423C-996E-A7C32962F4AB}">
  <ds:schemaRefs>
    <ds:schemaRef ds:uri="http://purl.org/dc/elements/1.1/"/>
    <ds:schemaRef ds:uri="http://schemas.microsoft.com/office/2006/metadata/properties"/>
    <ds:schemaRef ds:uri="http://purl.org/dc/terms/"/>
    <ds:schemaRef ds:uri="04df2dbe-c0a7-41dc-817f-4a7dcc3983fe"/>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F53CF9A4-A196-4593-9335-E7224FC0B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3</TotalTime>
  <Pages>42</Pages>
  <Words>14887</Words>
  <Characters>73084</Characters>
  <Application>Microsoft Office Word</Application>
  <DocSecurity>0</DocSecurity>
  <Lines>1328</Lines>
  <Paragraphs>413</Paragraphs>
  <ScaleCrop>false</ScaleCrop>
  <HeadingPairs>
    <vt:vector size="2" baseType="variant">
      <vt:variant>
        <vt:lpstr>Title</vt:lpstr>
      </vt:variant>
      <vt:variant>
        <vt:i4>1</vt:i4>
      </vt:variant>
    </vt:vector>
  </HeadingPairs>
  <TitlesOfParts>
    <vt:vector size="1" baseType="lpstr">
      <vt:lpstr>Swancom Pty Ltd v The Jazz Corner Hotel Pty Ltd [2022] FCAFC 157 </vt:lpstr>
    </vt:vector>
  </TitlesOfParts>
  <Company>Federal Court of Australia</Company>
  <LinksUpToDate>false</LinksUpToDate>
  <CharactersWithSpaces>87558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Swancom Pty Ltd v The Jazz Corner Hotel Pty Ltd [2022] FCAFC 157</dc:title>
  <dc:subject/>
  <dc:creator>Federal Court of Australia</dc:creator>
  <cp:keywords/>
  <dc:description/>
  <cp:lastModifiedBy>Federal Court of Australia</cp:lastModifiedBy>
  <cp:revision>3</cp:revision>
  <cp:lastPrinted>2022-09-12T23:05:00Z</cp:lastPrinted>
  <dcterms:created xsi:type="dcterms:W3CDTF">2022-09-13T04:24:00Z</dcterms:created>
  <dcterms:modified xsi:type="dcterms:W3CDTF">2022-09-13T04:28:00Z</dcterms:modified>
  <cp:version>v1.2</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Distribution">
    <vt:lpwstr>GENERAL DISTRIBUTION</vt:lpwstr>
  </property>
  <property fmtid="{D5CDD505-2E9C-101B-9397-08002B2CF9AE}" pid="4" name="MNC">
    <vt:lpwstr> </vt:lpwstr>
  </property>
  <property fmtid="{D5CDD505-2E9C-101B-9397-08002B2CF9AE}" pid="5" name="Pages">
    <vt:lpwstr>36</vt:lpwstr>
  </property>
  <property fmtid="{D5CDD505-2E9C-101B-9397-08002B2CF9AE}" pid="6" name="Parties">
    <vt:lpwstr> </vt:lpwstr>
  </property>
  <property fmtid="{D5CDD505-2E9C-101B-9397-08002B2CF9AE}" pid="7" name="Place">
    <vt:lpwstr>N/A FCA</vt:lpwstr>
  </property>
  <property fmtid="{D5CDD505-2E9C-101B-9397-08002B2CF9AE}" pid="8" name="Respondent">
    <vt:lpwstr> </vt:lpwstr>
  </property>
  <property fmtid="{D5CDD505-2E9C-101B-9397-08002B2CF9AE}" pid="9" name="Year">
    <vt:lpwstr>2020</vt:lpwstr>
  </property>
  <property fmtid="{D5CDD505-2E9C-101B-9397-08002B2CF9AE}" pid="10" name="Judgment Template">
    <vt:lpwstr>True</vt:lpwstr>
  </property>
  <property fmtid="{D5CDD505-2E9C-101B-9397-08002B2CF9AE}" pid="11" name="VERSION">
    <vt:lpwstr>1.0</vt:lpwstr>
  </property>
  <property fmtid="{D5CDD505-2E9C-101B-9397-08002B2CF9AE}" pid="12" name="Registry">
    <vt:lpwstr>Victoria</vt:lpwstr>
  </property>
  <property fmtid="{D5CDD505-2E9C-101B-9397-08002B2CF9AE}" pid="13" name="Division">
    <vt:lpwstr>General Division</vt:lpwstr>
  </property>
  <property fmtid="{D5CDD505-2E9C-101B-9397-08002B2CF9AE}" pid="14" name="FileNo">
    <vt:lpwstr>&lt;FILE NO&gt;</vt:lpwstr>
  </property>
  <property fmtid="{D5CDD505-2E9C-101B-9397-08002B2CF9AE}" pid="15" name="Practice Area">
    <vt:lpwstr>Intellectual Property</vt:lpwstr>
  </property>
  <property fmtid="{D5CDD505-2E9C-101B-9397-08002B2CF9AE}" pid="16" name="Court">
    <vt:lpwstr>Federal Court of Australia</vt:lpwstr>
  </property>
  <property fmtid="{D5CDD505-2E9C-101B-9397-08002B2CF9AE}" pid="17" name="Sub Area">
    <vt:lpwstr>Trade Marks</vt:lpwstr>
  </property>
  <property fmtid="{D5CDD505-2E9C-101B-9397-08002B2CF9AE}" pid="18" name="AppealFrom">
    <vt:lpwstr>VID 330 of 2019</vt:lpwstr>
  </property>
  <property fmtid="{D5CDD505-2E9C-101B-9397-08002B2CF9AE}" pid="19" name="DivisionTitle">
    <vt:lpwstr>none</vt:lpwstr>
  </property>
  <property fmtid="{D5CDD505-2E9C-101B-9397-08002B2CF9AE}" pid="20" name="Judge">
    <vt:lpwstr>Judge</vt:lpwstr>
  </property>
  <property fmtid="{D5CDD505-2E9C-101B-9397-08002B2CF9AE}" pid="21" name="Judgment_dated">
    <vt:lpwstr>Judgment_dated</vt:lpwstr>
  </property>
  <property fmtid="{D5CDD505-2E9C-101B-9397-08002B2CF9AE}" pid="22" name="Legislation">
    <vt:lpwstr>Legislation</vt:lpwstr>
  </property>
  <property fmtid="{D5CDD505-2E9C-101B-9397-08002B2CF9AE}" pid="23" name="Catchwords">
    <vt:lpwstr>Catchwords</vt:lpwstr>
  </property>
  <property fmtid="{D5CDD505-2E9C-101B-9397-08002B2CF9AE}" pid="24" name="Words_Phrases">
    <vt:lpwstr>WordsPhrases</vt:lpwstr>
  </property>
  <property fmtid="{D5CDD505-2E9C-101B-9397-08002B2CF9AE}" pid="25" name="Cases_Cited">
    <vt:lpwstr>CasesCited</vt:lpwstr>
  </property>
  <property fmtid="{D5CDD505-2E9C-101B-9397-08002B2CF9AE}" pid="26" name="File_Number">
    <vt:lpwstr>Num</vt:lpwstr>
  </property>
  <property fmtid="{D5CDD505-2E9C-101B-9397-08002B2CF9AE}" pid="27" name="State">
    <vt:lpwstr>State</vt:lpwstr>
  </property>
  <property fmtid="{D5CDD505-2E9C-101B-9397-08002B2CF9AE}" pid="28" name="ContentTypeId">
    <vt:lpwstr>0x010100C894FE4B6CC9CF41B22EA77E756AF20E</vt:lpwstr>
  </property>
</Properties>
</file>