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EC70C" w14:textId="77777777" w:rsidR="00395B24" w:rsidRDefault="005F7231" w:rsidP="00A22932">
      <w:pPr>
        <w:pStyle w:val="CourtTitle"/>
      </w:pPr>
      <w:r>
        <w:fldChar w:fldCharType="begin"/>
      </w:r>
      <w:r>
        <w:instrText xml:space="preserve"> DOCPROPERTY  Court  \* MERGEFORMAT </w:instrText>
      </w:r>
      <w:r>
        <w:fldChar w:fldCharType="separate"/>
      </w:r>
      <w:r w:rsidR="00AA7B9D">
        <w:t>Federal Court of Australia</w:t>
      </w:r>
      <w:r>
        <w:fldChar w:fldCharType="end"/>
      </w:r>
    </w:p>
    <w:p w14:paraId="4476D493" w14:textId="77777777" w:rsidR="004D7950" w:rsidRDefault="004D7950">
      <w:pPr>
        <w:pStyle w:val="NormalHeadings"/>
        <w:jc w:val="center"/>
        <w:rPr>
          <w:sz w:val="32"/>
        </w:rPr>
      </w:pPr>
    </w:p>
    <w:bookmarkStart w:id="0" w:name="MNC"/>
    <w:p w14:paraId="1DC5F49B" w14:textId="11C5BC8A" w:rsidR="00374CC4" w:rsidRDefault="00DB06CB" w:rsidP="001A2B40">
      <w:pPr>
        <w:pStyle w:val="MNC"/>
      </w:pPr>
      <w:sdt>
        <w:sdtPr>
          <w:alias w:val="MNC"/>
          <w:tag w:val="MNC"/>
          <w:id w:val="343289786"/>
          <w:lock w:val="sdtLocked"/>
          <w:placeholder>
            <w:docPart w:val="91FD06002DE241179EBB4ACCC484DB8B"/>
          </w:placeholder>
          <w:dataBinding w:prefixMappings="xmlns:ns0='http://schemas.globalmacros.com/FCA'" w:xpath="/ns0:root[1]/ns0:Name[1]" w:storeItemID="{687E7CCB-4AA5-44E7-B148-17BA2B6F57C0}"/>
          <w:text w:multiLine="1"/>
        </w:sdtPr>
        <w:sdtEndPr/>
        <w:sdtContent>
          <w:r w:rsidR="00ED4D8F" w:rsidRPr="00ED4D8F">
            <w:t xml:space="preserve">BHG20 v Minister for Immigration, Citizenship and Multicultural Affairs </w:t>
          </w:r>
          <w:r w:rsidR="00ED4D8F">
            <w:t>[</w:t>
          </w:r>
          <w:r w:rsidR="00ED4D8F" w:rsidRPr="00ED4D8F">
            <w:t>2023] FCA 391</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AA7B9D" w14:paraId="04595F62" w14:textId="77777777" w:rsidTr="007D30A9">
        <w:tc>
          <w:tcPr>
            <w:tcW w:w="3084" w:type="dxa"/>
            <w:shd w:val="clear" w:color="auto" w:fill="auto"/>
          </w:tcPr>
          <w:p w14:paraId="4E4592AF" w14:textId="77777777" w:rsidR="00AA7B9D" w:rsidRDefault="00AA7B9D"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5E191C23" w14:textId="77777777" w:rsidR="00AA7B9D" w:rsidRDefault="00DB06CB" w:rsidP="002539B3">
            <w:pPr>
              <w:pStyle w:val="CasesLegislationAppealFrom"/>
              <w:spacing w:after="60"/>
            </w:pPr>
            <w:r>
              <w:fldChar w:fldCharType="begin"/>
            </w:r>
            <w:r>
              <w:instrText xml:space="preserve"> DOCPROPERTY  AppealFrom  \* MERGEFORMAT </w:instrText>
            </w:r>
            <w:r>
              <w:fldChar w:fldCharType="separate"/>
            </w:r>
            <w:r w:rsidR="00AA7B9D" w:rsidRPr="005A13D7">
              <w:rPr>
                <w:i/>
              </w:rPr>
              <w:t>BHG20 v Minister for Immigration, Citizenship, Migrant Services and Multicultural Affairs</w:t>
            </w:r>
            <w:r w:rsidR="00AA7B9D">
              <w:t xml:space="preserve"> [2022] FedCFamC2G 324</w:t>
            </w:r>
            <w:r>
              <w:fldChar w:fldCharType="end"/>
            </w:r>
          </w:p>
        </w:tc>
      </w:tr>
      <w:tr w:rsidR="00AA7B9D" w14:paraId="6F3CAB09" w14:textId="77777777" w:rsidTr="007D30A9">
        <w:tc>
          <w:tcPr>
            <w:tcW w:w="3084" w:type="dxa"/>
            <w:shd w:val="clear" w:color="auto" w:fill="auto"/>
          </w:tcPr>
          <w:p w14:paraId="73ACDEF5" w14:textId="77777777" w:rsidR="00AA7B9D" w:rsidRDefault="00AA7B9D" w:rsidP="00663878">
            <w:pPr>
              <w:pStyle w:val="Normal1linespace"/>
              <w:widowControl w:val="0"/>
              <w:jc w:val="left"/>
            </w:pPr>
          </w:p>
        </w:tc>
        <w:tc>
          <w:tcPr>
            <w:tcW w:w="5989" w:type="dxa"/>
            <w:shd w:val="clear" w:color="auto" w:fill="auto"/>
          </w:tcPr>
          <w:p w14:paraId="49F24B39" w14:textId="77777777" w:rsidR="00AA7B9D" w:rsidRDefault="00AA7B9D" w:rsidP="00663878">
            <w:pPr>
              <w:pStyle w:val="Normal1linespace"/>
              <w:widowControl w:val="0"/>
              <w:jc w:val="left"/>
            </w:pPr>
          </w:p>
        </w:tc>
      </w:tr>
      <w:bookmarkEnd w:id="1"/>
      <w:tr w:rsidR="00395B24" w14:paraId="085AE15B" w14:textId="77777777" w:rsidTr="007D30A9">
        <w:tc>
          <w:tcPr>
            <w:tcW w:w="3084" w:type="dxa"/>
            <w:shd w:val="clear" w:color="auto" w:fill="auto"/>
          </w:tcPr>
          <w:p w14:paraId="057A769A" w14:textId="77777777" w:rsidR="00395B24" w:rsidRDefault="002C7385" w:rsidP="00663878">
            <w:pPr>
              <w:pStyle w:val="Normal1linespace"/>
              <w:widowControl w:val="0"/>
              <w:jc w:val="left"/>
            </w:pPr>
            <w:r>
              <w:t>File number(s):</w:t>
            </w:r>
          </w:p>
        </w:tc>
        <w:tc>
          <w:tcPr>
            <w:tcW w:w="5989" w:type="dxa"/>
            <w:shd w:val="clear" w:color="auto" w:fill="auto"/>
          </w:tcPr>
          <w:p w14:paraId="4624AF03" w14:textId="20223D90" w:rsidR="00395B24" w:rsidRPr="00AA7B9D" w:rsidRDefault="00DB06CB" w:rsidP="00EB2310">
            <w:pPr>
              <w:pStyle w:val="Normal1linespace"/>
              <w:jc w:val="left"/>
            </w:pPr>
            <w:r>
              <w:fldChar w:fldCharType="begin" w:fldLock="1"/>
            </w:r>
            <w:r>
              <w:instrText xml:space="preserve"> REF  FileNo  \* MERGEFORMAT </w:instrText>
            </w:r>
            <w:r>
              <w:fldChar w:fldCharType="separate"/>
            </w:r>
            <w:r w:rsidR="00AA7B9D" w:rsidRPr="00AA7B9D">
              <w:t>VID</w:t>
            </w:r>
            <w:r w:rsidR="00EB2310">
              <w:t xml:space="preserve"> </w:t>
            </w:r>
            <w:r w:rsidR="00AA7B9D" w:rsidRPr="00AA7B9D">
              <w:t>271</w:t>
            </w:r>
            <w:r w:rsidR="00EB2310">
              <w:t xml:space="preserve"> of </w:t>
            </w:r>
            <w:r w:rsidR="00AA7B9D" w:rsidRPr="00AA7B9D">
              <w:t>2022</w:t>
            </w:r>
            <w:r>
              <w:fldChar w:fldCharType="end"/>
            </w:r>
          </w:p>
        </w:tc>
      </w:tr>
      <w:tr w:rsidR="00395B24" w14:paraId="76B97F19" w14:textId="77777777" w:rsidTr="007D30A9">
        <w:tc>
          <w:tcPr>
            <w:tcW w:w="3084" w:type="dxa"/>
            <w:shd w:val="clear" w:color="auto" w:fill="auto"/>
          </w:tcPr>
          <w:p w14:paraId="21841CAE" w14:textId="77777777" w:rsidR="00395B24" w:rsidRDefault="00395B24" w:rsidP="00663878">
            <w:pPr>
              <w:pStyle w:val="Normal1linespace"/>
              <w:widowControl w:val="0"/>
              <w:jc w:val="left"/>
            </w:pPr>
          </w:p>
        </w:tc>
        <w:tc>
          <w:tcPr>
            <w:tcW w:w="5989" w:type="dxa"/>
            <w:shd w:val="clear" w:color="auto" w:fill="auto"/>
          </w:tcPr>
          <w:p w14:paraId="644CF0A9" w14:textId="77777777" w:rsidR="00395B24" w:rsidRDefault="00395B24" w:rsidP="00663878">
            <w:pPr>
              <w:pStyle w:val="Normal1linespace"/>
              <w:widowControl w:val="0"/>
              <w:jc w:val="left"/>
            </w:pPr>
          </w:p>
        </w:tc>
      </w:tr>
      <w:tr w:rsidR="00395B24" w14:paraId="73DA4929" w14:textId="77777777" w:rsidTr="007D30A9">
        <w:tc>
          <w:tcPr>
            <w:tcW w:w="3084" w:type="dxa"/>
            <w:shd w:val="clear" w:color="auto" w:fill="auto"/>
          </w:tcPr>
          <w:p w14:paraId="454DDE03"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574B03B6" w14:textId="77777777" w:rsidR="00395B24" w:rsidRDefault="002C7385" w:rsidP="00663878">
            <w:pPr>
              <w:pStyle w:val="Normal1linespace"/>
              <w:widowControl w:val="0"/>
              <w:jc w:val="left"/>
              <w:rPr>
                <w:b/>
              </w:rPr>
            </w:pPr>
            <w:r w:rsidRPr="00AA7B9D">
              <w:rPr>
                <w:b/>
              </w:rPr>
              <w:fldChar w:fldCharType="begin" w:fldLock="1"/>
            </w:r>
            <w:r w:rsidRPr="00AA7B9D">
              <w:rPr>
                <w:b/>
              </w:rPr>
              <w:instrText xml:space="preserve"> REF  Judge  \* MERGEFORMAT </w:instrText>
            </w:r>
            <w:r w:rsidRPr="00AA7B9D">
              <w:rPr>
                <w:b/>
              </w:rPr>
              <w:fldChar w:fldCharType="separate"/>
            </w:r>
            <w:r w:rsidR="00AA7B9D" w:rsidRPr="00AA7B9D">
              <w:rPr>
                <w:b/>
                <w:caps/>
                <w:szCs w:val="24"/>
              </w:rPr>
              <w:t>ANDERSON J</w:t>
            </w:r>
            <w:r w:rsidRPr="00AA7B9D">
              <w:rPr>
                <w:b/>
              </w:rPr>
              <w:fldChar w:fldCharType="end"/>
            </w:r>
          </w:p>
        </w:tc>
      </w:tr>
      <w:tr w:rsidR="00395B24" w14:paraId="7DC1B786" w14:textId="77777777" w:rsidTr="007D30A9">
        <w:tc>
          <w:tcPr>
            <w:tcW w:w="3084" w:type="dxa"/>
            <w:shd w:val="clear" w:color="auto" w:fill="auto"/>
          </w:tcPr>
          <w:p w14:paraId="1835A741" w14:textId="77777777" w:rsidR="00395B24" w:rsidRDefault="00395B24" w:rsidP="00663878">
            <w:pPr>
              <w:pStyle w:val="Normal1linespace"/>
              <w:widowControl w:val="0"/>
              <w:jc w:val="left"/>
            </w:pPr>
          </w:p>
        </w:tc>
        <w:tc>
          <w:tcPr>
            <w:tcW w:w="5989" w:type="dxa"/>
            <w:shd w:val="clear" w:color="auto" w:fill="auto"/>
          </w:tcPr>
          <w:p w14:paraId="5D5E17BE" w14:textId="77777777" w:rsidR="00395B24" w:rsidRDefault="00395B24" w:rsidP="00663878">
            <w:pPr>
              <w:pStyle w:val="Normal1linespace"/>
              <w:widowControl w:val="0"/>
              <w:jc w:val="left"/>
            </w:pPr>
          </w:p>
        </w:tc>
      </w:tr>
      <w:tr w:rsidR="00395B24" w14:paraId="6D6892F1" w14:textId="77777777" w:rsidTr="007D30A9">
        <w:tc>
          <w:tcPr>
            <w:tcW w:w="3084" w:type="dxa"/>
            <w:shd w:val="clear" w:color="auto" w:fill="auto"/>
          </w:tcPr>
          <w:p w14:paraId="0BAA9847" w14:textId="77777777" w:rsidR="00395B24" w:rsidRDefault="002C7385" w:rsidP="00663878">
            <w:pPr>
              <w:pStyle w:val="Normal1linespace"/>
              <w:widowControl w:val="0"/>
              <w:jc w:val="left"/>
            </w:pPr>
            <w:r>
              <w:t>Date of judgment:</w:t>
            </w:r>
          </w:p>
        </w:tc>
        <w:tc>
          <w:tcPr>
            <w:tcW w:w="5989" w:type="dxa"/>
            <w:shd w:val="clear" w:color="auto" w:fill="auto"/>
          </w:tcPr>
          <w:p w14:paraId="2AA0945E" w14:textId="37D2A077" w:rsidR="00395B24" w:rsidRDefault="007D30A9" w:rsidP="00663878">
            <w:pPr>
              <w:pStyle w:val="Normal1linespace"/>
              <w:widowControl w:val="0"/>
              <w:jc w:val="left"/>
            </w:pPr>
            <w:bookmarkStart w:id="2" w:name="JudgmentDate"/>
            <w:bookmarkEnd w:id="2"/>
            <w:r>
              <w:t>2 May 2023</w:t>
            </w:r>
          </w:p>
        </w:tc>
      </w:tr>
      <w:tr w:rsidR="00395B24" w14:paraId="4CEA1DFE" w14:textId="77777777" w:rsidTr="007D30A9">
        <w:tc>
          <w:tcPr>
            <w:tcW w:w="3084" w:type="dxa"/>
            <w:shd w:val="clear" w:color="auto" w:fill="auto"/>
          </w:tcPr>
          <w:p w14:paraId="5FDA1B9D" w14:textId="77777777" w:rsidR="00395B24" w:rsidRDefault="00395B24" w:rsidP="00663878">
            <w:pPr>
              <w:pStyle w:val="Normal1linespace"/>
              <w:widowControl w:val="0"/>
              <w:jc w:val="left"/>
            </w:pPr>
          </w:p>
        </w:tc>
        <w:tc>
          <w:tcPr>
            <w:tcW w:w="5989" w:type="dxa"/>
            <w:shd w:val="clear" w:color="auto" w:fill="auto"/>
          </w:tcPr>
          <w:p w14:paraId="4D623DCF" w14:textId="77777777" w:rsidR="00395B24" w:rsidRDefault="00395B24" w:rsidP="00663878">
            <w:pPr>
              <w:pStyle w:val="Normal1linespace"/>
              <w:widowControl w:val="0"/>
              <w:jc w:val="left"/>
            </w:pPr>
          </w:p>
        </w:tc>
      </w:tr>
      <w:tr w:rsidR="00395B24" w14:paraId="0B9CFF36" w14:textId="77777777" w:rsidTr="007D30A9">
        <w:tc>
          <w:tcPr>
            <w:tcW w:w="3084" w:type="dxa"/>
            <w:shd w:val="clear" w:color="auto" w:fill="auto"/>
          </w:tcPr>
          <w:p w14:paraId="4C8D7369" w14:textId="77777777" w:rsidR="00395B24" w:rsidRDefault="002C7385" w:rsidP="00663878">
            <w:pPr>
              <w:pStyle w:val="Normal1linespace"/>
              <w:widowControl w:val="0"/>
              <w:jc w:val="left"/>
            </w:pPr>
            <w:r>
              <w:t>Catchwords:</w:t>
            </w:r>
          </w:p>
        </w:tc>
        <w:tc>
          <w:tcPr>
            <w:tcW w:w="5989" w:type="dxa"/>
            <w:shd w:val="clear" w:color="auto" w:fill="auto"/>
          </w:tcPr>
          <w:p w14:paraId="699170B0" w14:textId="6B083D4C" w:rsidR="00395B24" w:rsidRDefault="009D70FA" w:rsidP="00874EA8">
            <w:pPr>
              <w:pStyle w:val="Normal1linespace"/>
              <w:widowControl w:val="0"/>
              <w:jc w:val="left"/>
            </w:pPr>
            <w:bookmarkStart w:id="3" w:name="Catchwords"/>
            <w:r w:rsidRPr="009D70FA">
              <w:rPr>
                <w:b/>
              </w:rPr>
              <w:t>MIGRATION</w:t>
            </w:r>
            <w:r>
              <w:t xml:space="preserve"> – Administrative Appeals Tribunal’s affirmation of a decision of delegate of the first respondent to refuse to grant</w:t>
            </w:r>
            <w:r w:rsidR="00874EA8">
              <w:t xml:space="preserve"> the appellant a</w:t>
            </w:r>
            <w:r>
              <w:t xml:space="preserve"> Subclass XA-866 Permanent Protection</w:t>
            </w:r>
            <w:r w:rsidR="00874EA8">
              <w:t xml:space="preserve"> </w:t>
            </w:r>
            <w:r>
              <w:t xml:space="preserve">visa – Appeal from </w:t>
            </w:r>
            <w:r w:rsidRPr="009D70FA">
              <w:t xml:space="preserve">decision of the Federal Circuit and Family Court of Australia (Division 2) </w:t>
            </w:r>
            <w:r>
              <w:t xml:space="preserve">dismissing </w:t>
            </w:r>
            <w:r w:rsidR="00874EA8">
              <w:t>appellant’s</w:t>
            </w:r>
            <w:r>
              <w:t xml:space="preserve"> application for judicial review of Tribunal’s </w:t>
            </w:r>
            <w:r w:rsidR="00874EA8">
              <w:t>decision – Whether Tribunal failed to consider allegedly corroborative evidence relevant to Appellant’s claim – Where it is improbable that Tribunal failed to consider allegedly corroborative evidence – Where Tribunal not required to separately give reasons for dismissing allegedly corroborative evidence – Where allegedly corroborative evidence was not capable of addressing the Tribunal’s concerns about the appellant’s claim –</w:t>
            </w:r>
            <w:r>
              <w:t xml:space="preserve"> Appeal dismissed </w:t>
            </w:r>
            <w:r w:rsidR="002C7385">
              <w:t xml:space="preserve"> </w:t>
            </w:r>
            <w:bookmarkEnd w:id="3"/>
          </w:p>
        </w:tc>
      </w:tr>
      <w:tr w:rsidR="00395B24" w14:paraId="5927DE7A" w14:textId="77777777" w:rsidTr="007D30A9">
        <w:tc>
          <w:tcPr>
            <w:tcW w:w="3084" w:type="dxa"/>
            <w:shd w:val="clear" w:color="auto" w:fill="auto"/>
          </w:tcPr>
          <w:p w14:paraId="20F763FB" w14:textId="77777777" w:rsidR="00395B24" w:rsidRDefault="00395B24" w:rsidP="00663878">
            <w:pPr>
              <w:pStyle w:val="Normal1linespace"/>
              <w:widowControl w:val="0"/>
              <w:jc w:val="left"/>
            </w:pPr>
          </w:p>
        </w:tc>
        <w:tc>
          <w:tcPr>
            <w:tcW w:w="5989" w:type="dxa"/>
            <w:shd w:val="clear" w:color="auto" w:fill="auto"/>
          </w:tcPr>
          <w:p w14:paraId="4DC351D9" w14:textId="77777777" w:rsidR="00395B24" w:rsidRDefault="00395B24" w:rsidP="00663878">
            <w:pPr>
              <w:pStyle w:val="Normal1linespace"/>
              <w:widowControl w:val="0"/>
              <w:jc w:val="left"/>
            </w:pPr>
          </w:p>
        </w:tc>
      </w:tr>
      <w:tr w:rsidR="00395B24" w14:paraId="55A938DA" w14:textId="77777777" w:rsidTr="007D30A9">
        <w:tc>
          <w:tcPr>
            <w:tcW w:w="3084" w:type="dxa"/>
            <w:shd w:val="clear" w:color="auto" w:fill="auto"/>
          </w:tcPr>
          <w:p w14:paraId="698ED6B1" w14:textId="77777777" w:rsidR="00395B24" w:rsidRDefault="002C7385" w:rsidP="00663878">
            <w:pPr>
              <w:pStyle w:val="Normal1linespace"/>
              <w:widowControl w:val="0"/>
              <w:jc w:val="left"/>
            </w:pPr>
            <w:r>
              <w:t>Legislation:</w:t>
            </w:r>
          </w:p>
        </w:tc>
        <w:tc>
          <w:tcPr>
            <w:tcW w:w="5989" w:type="dxa"/>
            <w:shd w:val="clear" w:color="auto" w:fill="auto"/>
          </w:tcPr>
          <w:p w14:paraId="27CF457B" w14:textId="38821E27" w:rsidR="00395B24" w:rsidRDefault="007E6B43" w:rsidP="007E6B43">
            <w:pPr>
              <w:pStyle w:val="CasesLegislationAppealFrom"/>
              <w:spacing w:after="60"/>
            </w:pPr>
            <w:bookmarkStart w:id="4" w:name="Legislation"/>
            <w:r w:rsidRPr="007E6B43">
              <w:rPr>
                <w:i/>
              </w:rPr>
              <w:t>Migration Act 1958</w:t>
            </w:r>
            <w:r>
              <w:t xml:space="preserve"> (</w:t>
            </w:r>
            <w:proofErr w:type="spellStart"/>
            <w:r>
              <w:t>Cth</w:t>
            </w:r>
            <w:proofErr w:type="spellEnd"/>
            <w:r>
              <w:t>)</w:t>
            </w:r>
            <w:r w:rsidR="002C7385">
              <w:t xml:space="preserve"> </w:t>
            </w:r>
            <w:bookmarkEnd w:id="4"/>
          </w:p>
        </w:tc>
      </w:tr>
      <w:tr w:rsidR="00395B24" w14:paraId="43E612D0" w14:textId="77777777" w:rsidTr="007D30A9">
        <w:tc>
          <w:tcPr>
            <w:tcW w:w="3084" w:type="dxa"/>
            <w:shd w:val="clear" w:color="auto" w:fill="auto"/>
          </w:tcPr>
          <w:p w14:paraId="57F6F3BD" w14:textId="77777777" w:rsidR="00395B24" w:rsidRDefault="00395B24" w:rsidP="00663878">
            <w:pPr>
              <w:pStyle w:val="Normal1linespace"/>
              <w:widowControl w:val="0"/>
              <w:jc w:val="left"/>
            </w:pPr>
          </w:p>
        </w:tc>
        <w:tc>
          <w:tcPr>
            <w:tcW w:w="5989" w:type="dxa"/>
            <w:shd w:val="clear" w:color="auto" w:fill="auto"/>
          </w:tcPr>
          <w:p w14:paraId="37F16CC2" w14:textId="77777777" w:rsidR="00395B24" w:rsidRDefault="00395B24" w:rsidP="00663878">
            <w:pPr>
              <w:pStyle w:val="Normal1linespace"/>
              <w:widowControl w:val="0"/>
              <w:jc w:val="left"/>
            </w:pPr>
          </w:p>
        </w:tc>
      </w:tr>
      <w:tr w:rsidR="00395B24" w14:paraId="4D606323" w14:textId="77777777" w:rsidTr="007D30A9">
        <w:tc>
          <w:tcPr>
            <w:tcW w:w="3084" w:type="dxa"/>
            <w:shd w:val="clear" w:color="auto" w:fill="auto"/>
          </w:tcPr>
          <w:p w14:paraId="6C6C8236" w14:textId="77777777" w:rsidR="00395B24" w:rsidRDefault="002C7385" w:rsidP="00663878">
            <w:pPr>
              <w:pStyle w:val="Normal1linespace"/>
              <w:widowControl w:val="0"/>
              <w:jc w:val="left"/>
            </w:pPr>
            <w:r>
              <w:t>Cases cited:</w:t>
            </w:r>
          </w:p>
        </w:tc>
        <w:tc>
          <w:tcPr>
            <w:tcW w:w="5989" w:type="dxa"/>
            <w:shd w:val="clear" w:color="auto" w:fill="auto"/>
          </w:tcPr>
          <w:p w14:paraId="242AF98B" w14:textId="7251BC34" w:rsidR="002274CA" w:rsidRDefault="002274CA" w:rsidP="00D82620">
            <w:pPr>
              <w:pStyle w:val="CasesLegislationAppealFrom"/>
              <w:spacing w:after="60"/>
              <w:rPr>
                <w:i/>
              </w:rPr>
            </w:pPr>
            <w:bookmarkStart w:id="5" w:name="Cases_Cited"/>
            <w:r w:rsidRPr="002274CA">
              <w:rPr>
                <w:i/>
              </w:rPr>
              <w:t xml:space="preserve">Applicant WAEE v Minister for Immigration &amp; Multicultural &amp; Indigenous Affairs </w:t>
            </w:r>
            <w:r w:rsidRPr="002274CA">
              <w:t>(2003) 256 FCR 593</w:t>
            </w:r>
          </w:p>
          <w:p w14:paraId="13ECCCB8" w14:textId="230C266D" w:rsidR="002274CA" w:rsidRDefault="002274CA" w:rsidP="00D82620">
            <w:pPr>
              <w:pStyle w:val="CasesLegislationAppealFrom"/>
              <w:spacing w:after="60"/>
            </w:pPr>
            <w:r w:rsidRPr="001176BC">
              <w:rPr>
                <w:i/>
              </w:rPr>
              <w:t>BNB17 v Minister for Immigration and Border Protection</w:t>
            </w:r>
            <w:r w:rsidRPr="00E83602">
              <w:t xml:space="preserve"> [2020] FCA 304</w:t>
            </w:r>
          </w:p>
          <w:p w14:paraId="3F909577" w14:textId="46A45874" w:rsidR="002274CA" w:rsidRDefault="002274CA" w:rsidP="00D82620">
            <w:pPr>
              <w:pStyle w:val="CasesLegislationAppealFrom"/>
              <w:spacing w:after="60"/>
            </w:pPr>
            <w:r w:rsidRPr="002274CA">
              <w:rPr>
                <w:i/>
              </w:rPr>
              <w:t>ETA067 v Republic of Nauru</w:t>
            </w:r>
            <w:r w:rsidRPr="002274CA">
              <w:t xml:space="preserve"> (2018) 92 ALJR 1003 360 ALR 228</w:t>
            </w:r>
          </w:p>
          <w:p w14:paraId="29E241FE" w14:textId="7D4A5DC6" w:rsidR="002274CA" w:rsidRDefault="002274CA" w:rsidP="00D82620">
            <w:pPr>
              <w:pStyle w:val="CasesLegislationAppealFrom"/>
              <w:spacing w:after="60"/>
            </w:pPr>
            <w:r w:rsidRPr="002274CA">
              <w:rPr>
                <w:i/>
              </w:rPr>
              <w:t>Khalil v Minister for Immigration, Citizenship, Migrant Services and Multicultural Affairs</w:t>
            </w:r>
            <w:r w:rsidRPr="002274CA">
              <w:t xml:space="preserve"> [2022] FCAFC 26</w:t>
            </w:r>
          </w:p>
          <w:p w14:paraId="2A28A9CD" w14:textId="69D7447F" w:rsidR="002274CA" w:rsidRDefault="002274CA" w:rsidP="00D82620">
            <w:pPr>
              <w:pStyle w:val="CasesLegislationAppealFrom"/>
              <w:spacing w:after="60"/>
            </w:pPr>
            <w:r w:rsidRPr="002274CA">
              <w:rPr>
                <w:i/>
              </w:rPr>
              <w:t xml:space="preserve">Minister for Home Affairs v </w:t>
            </w:r>
            <w:proofErr w:type="spellStart"/>
            <w:r w:rsidRPr="002274CA">
              <w:rPr>
                <w:i/>
              </w:rPr>
              <w:t>Buadromo</w:t>
            </w:r>
            <w:proofErr w:type="spellEnd"/>
            <w:r w:rsidRPr="002274CA">
              <w:t xml:space="preserve"> (2018) 267 FCR 320</w:t>
            </w:r>
          </w:p>
          <w:p w14:paraId="026BA63D" w14:textId="78BBA57F" w:rsidR="002274CA" w:rsidRDefault="002274CA" w:rsidP="00D82620">
            <w:pPr>
              <w:pStyle w:val="CasesLegislationAppealFrom"/>
              <w:spacing w:after="60"/>
            </w:pPr>
            <w:r w:rsidRPr="007B4081">
              <w:rPr>
                <w:i/>
              </w:rPr>
              <w:t>Minister for Immigratio</w:t>
            </w:r>
            <w:r>
              <w:rPr>
                <w:i/>
              </w:rPr>
              <w:t>n and Border Protection v MZYTS</w:t>
            </w:r>
            <w:r>
              <w:t xml:space="preserve"> (2013) 230 FCR 431</w:t>
            </w:r>
          </w:p>
          <w:p w14:paraId="51C8EBED" w14:textId="3D06B2A4" w:rsidR="002274CA" w:rsidRDefault="002274CA" w:rsidP="00D82620">
            <w:pPr>
              <w:pStyle w:val="CasesLegislationAppealFrom"/>
              <w:spacing w:after="60"/>
            </w:pPr>
            <w:r w:rsidRPr="000B0A05">
              <w:rPr>
                <w:i/>
              </w:rPr>
              <w:t>Minister for Immigration and Border Protection v SZMTA</w:t>
            </w:r>
            <w:r>
              <w:t xml:space="preserve"> </w:t>
            </w:r>
            <w:r>
              <w:lastRenderedPageBreak/>
              <w:t>(2019) 264 CLR 421</w:t>
            </w:r>
          </w:p>
          <w:p w14:paraId="19CC4ADB" w14:textId="301FE562" w:rsidR="00395B24" w:rsidRDefault="002274CA" w:rsidP="00D82620">
            <w:pPr>
              <w:pStyle w:val="CasesLegislationAppealFrom"/>
              <w:spacing w:after="60"/>
            </w:pPr>
            <w:r w:rsidRPr="002274CA">
              <w:rPr>
                <w:i/>
              </w:rPr>
              <w:t>Pearson v Minister for Immigration, Citizenship, Migrant Services and Multicultural Affairs</w:t>
            </w:r>
            <w:r w:rsidRPr="002274CA">
              <w:t xml:space="preserve"> [2022] FCAFC 22</w:t>
            </w:r>
            <w:r w:rsidR="002C7385">
              <w:t xml:space="preserve"> </w:t>
            </w:r>
            <w:bookmarkEnd w:id="5"/>
          </w:p>
        </w:tc>
      </w:tr>
      <w:tr w:rsidR="00AA7B9D" w14:paraId="5678FC3B" w14:textId="77777777" w:rsidTr="007D30A9">
        <w:tc>
          <w:tcPr>
            <w:tcW w:w="3084" w:type="dxa"/>
            <w:shd w:val="clear" w:color="auto" w:fill="auto"/>
          </w:tcPr>
          <w:p w14:paraId="05C81CAC" w14:textId="77777777" w:rsidR="00AA7B9D" w:rsidRDefault="00AA7B9D" w:rsidP="002F7154">
            <w:pPr>
              <w:pStyle w:val="Normal1linespace"/>
              <w:widowControl w:val="0"/>
            </w:pPr>
          </w:p>
        </w:tc>
        <w:tc>
          <w:tcPr>
            <w:tcW w:w="5989" w:type="dxa"/>
            <w:shd w:val="clear" w:color="auto" w:fill="auto"/>
          </w:tcPr>
          <w:p w14:paraId="690095A0" w14:textId="77777777" w:rsidR="00AA7B9D" w:rsidRDefault="00AA7B9D" w:rsidP="002F7154">
            <w:pPr>
              <w:pStyle w:val="Normal1linespace"/>
              <w:widowControl w:val="0"/>
              <w:jc w:val="left"/>
            </w:pPr>
          </w:p>
        </w:tc>
      </w:tr>
      <w:tr w:rsidR="00AA7B9D" w14:paraId="416A603E" w14:textId="77777777" w:rsidTr="007D30A9">
        <w:tc>
          <w:tcPr>
            <w:tcW w:w="3084" w:type="dxa"/>
            <w:shd w:val="clear" w:color="auto" w:fill="auto"/>
          </w:tcPr>
          <w:p w14:paraId="7A714CDB" w14:textId="77777777" w:rsidR="00AA7B9D" w:rsidRDefault="00AA7B9D" w:rsidP="00501A12">
            <w:pPr>
              <w:pStyle w:val="Normal1linespace"/>
              <w:widowControl w:val="0"/>
            </w:pPr>
            <w:r>
              <w:t>Division:</w:t>
            </w:r>
          </w:p>
        </w:tc>
        <w:tc>
          <w:tcPr>
            <w:tcW w:w="5989" w:type="dxa"/>
            <w:shd w:val="clear" w:color="auto" w:fill="auto"/>
          </w:tcPr>
          <w:p w14:paraId="679E5D33" w14:textId="77777777" w:rsidR="00AA7B9D" w:rsidRPr="00F17599" w:rsidRDefault="005F3334" w:rsidP="00501A12">
            <w:pPr>
              <w:pStyle w:val="Normal1linespace"/>
              <w:widowControl w:val="0"/>
              <w:jc w:val="left"/>
            </w:pPr>
            <w:fldSimple w:instr=" DOCPROPERTY  Division ">
              <w:r w:rsidR="00AA7B9D">
                <w:t>General Division</w:t>
              </w:r>
            </w:fldSimple>
          </w:p>
        </w:tc>
      </w:tr>
      <w:tr w:rsidR="00AA7B9D" w14:paraId="267413C2" w14:textId="77777777" w:rsidTr="007D30A9">
        <w:tc>
          <w:tcPr>
            <w:tcW w:w="3084" w:type="dxa"/>
            <w:shd w:val="clear" w:color="auto" w:fill="auto"/>
          </w:tcPr>
          <w:p w14:paraId="28FB07E3" w14:textId="77777777" w:rsidR="00AA7B9D" w:rsidRDefault="00AA7B9D" w:rsidP="00501A12">
            <w:pPr>
              <w:pStyle w:val="Normal1linespace"/>
              <w:widowControl w:val="0"/>
            </w:pPr>
            <w:bookmarkStart w:id="6" w:name="Registry_rows" w:colFirst="0" w:colLast="1"/>
          </w:p>
        </w:tc>
        <w:tc>
          <w:tcPr>
            <w:tcW w:w="5989" w:type="dxa"/>
            <w:shd w:val="clear" w:color="auto" w:fill="auto"/>
          </w:tcPr>
          <w:p w14:paraId="416A4F61" w14:textId="77777777" w:rsidR="00AA7B9D" w:rsidRDefault="00AA7B9D" w:rsidP="00501A12">
            <w:pPr>
              <w:pStyle w:val="Normal1linespace"/>
              <w:widowControl w:val="0"/>
              <w:jc w:val="left"/>
            </w:pPr>
          </w:p>
        </w:tc>
      </w:tr>
      <w:tr w:rsidR="00AA7B9D" w14:paraId="03EF93B6" w14:textId="77777777" w:rsidTr="007D30A9">
        <w:tc>
          <w:tcPr>
            <w:tcW w:w="3084" w:type="dxa"/>
            <w:shd w:val="clear" w:color="auto" w:fill="auto"/>
          </w:tcPr>
          <w:p w14:paraId="4E26B2F2" w14:textId="77777777" w:rsidR="00AA7B9D" w:rsidRDefault="00AA7B9D" w:rsidP="00501A12">
            <w:pPr>
              <w:pStyle w:val="Normal1linespace"/>
              <w:widowControl w:val="0"/>
            </w:pPr>
            <w:r>
              <w:t>Registry:</w:t>
            </w:r>
          </w:p>
        </w:tc>
        <w:tc>
          <w:tcPr>
            <w:tcW w:w="5989" w:type="dxa"/>
            <w:shd w:val="clear" w:color="auto" w:fill="auto"/>
          </w:tcPr>
          <w:p w14:paraId="3DABD3F8" w14:textId="4891A5B7" w:rsidR="00AA7B9D" w:rsidRPr="00F17599" w:rsidRDefault="00B33D45" w:rsidP="00501A12">
            <w:pPr>
              <w:pStyle w:val="Normal1linespace"/>
              <w:widowControl w:val="0"/>
              <w:jc w:val="left"/>
            </w:pPr>
            <w:r>
              <w:t>Victoria</w:t>
            </w:r>
          </w:p>
        </w:tc>
      </w:tr>
      <w:tr w:rsidR="00AA7B9D" w14:paraId="3FFA2B69" w14:textId="77777777" w:rsidTr="007D30A9">
        <w:tc>
          <w:tcPr>
            <w:tcW w:w="3084" w:type="dxa"/>
            <w:shd w:val="clear" w:color="auto" w:fill="auto"/>
          </w:tcPr>
          <w:p w14:paraId="19024C97" w14:textId="77777777" w:rsidR="00AA7B9D" w:rsidRDefault="00AA7B9D" w:rsidP="00501A12">
            <w:pPr>
              <w:pStyle w:val="Normal1linespace"/>
              <w:widowControl w:val="0"/>
            </w:pPr>
            <w:bookmarkStart w:id="7" w:name="NPARow" w:colFirst="0" w:colLast="1"/>
            <w:bookmarkEnd w:id="6"/>
          </w:p>
        </w:tc>
        <w:tc>
          <w:tcPr>
            <w:tcW w:w="5989" w:type="dxa"/>
            <w:shd w:val="clear" w:color="auto" w:fill="auto"/>
          </w:tcPr>
          <w:p w14:paraId="0840FB6D" w14:textId="77777777" w:rsidR="00AA7B9D" w:rsidRPr="00F17599" w:rsidRDefault="00AA7B9D" w:rsidP="00501A12">
            <w:pPr>
              <w:pStyle w:val="Normal1linespace"/>
              <w:widowControl w:val="0"/>
              <w:jc w:val="left"/>
              <w:rPr>
                <w:b/>
              </w:rPr>
            </w:pPr>
          </w:p>
        </w:tc>
      </w:tr>
      <w:tr w:rsidR="00AA7B9D" w14:paraId="002739B5" w14:textId="77777777" w:rsidTr="007D30A9">
        <w:tc>
          <w:tcPr>
            <w:tcW w:w="3084" w:type="dxa"/>
            <w:shd w:val="clear" w:color="auto" w:fill="auto"/>
          </w:tcPr>
          <w:p w14:paraId="7B60386D" w14:textId="77777777" w:rsidR="00AA7B9D" w:rsidRDefault="00AA7B9D" w:rsidP="00501A12">
            <w:pPr>
              <w:pStyle w:val="Normal1linespace"/>
              <w:widowControl w:val="0"/>
            </w:pPr>
            <w:r>
              <w:t>National Practice Area:</w:t>
            </w:r>
          </w:p>
        </w:tc>
        <w:tc>
          <w:tcPr>
            <w:tcW w:w="5989" w:type="dxa"/>
            <w:shd w:val="clear" w:color="auto" w:fill="auto"/>
          </w:tcPr>
          <w:p w14:paraId="3561B345" w14:textId="1B3C54CD" w:rsidR="00AA7B9D" w:rsidRPr="00F17599" w:rsidRDefault="00B33D45" w:rsidP="00F07A2E">
            <w:pPr>
              <w:pStyle w:val="Default"/>
              <w:rPr>
                <w:b/>
              </w:rPr>
            </w:pPr>
            <w:r>
              <w:rPr>
                <w:sz w:val="23"/>
                <w:szCs w:val="23"/>
              </w:rPr>
              <w:t>Administrative and Constitutional Law and Human Rights</w:t>
            </w:r>
          </w:p>
        </w:tc>
      </w:tr>
      <w:bookmarkEnd w:id="7"/>
      <w:tr w:rsidR="00AA7B9D" w14:paraId="771A6CD2" w14:textId="77777777" w:rsidTr="007D30A9">
        <w:tc>
          <w:tcPr>
            <w:tcW w:w="3084" w:type="dxa"/>
            <w:shd w:val="clear" w:color="auto" w:fill="auto"/>
          </w:tcPr>
          <w:p w14:paraId="1F6F4003" w14:textId="77777777" w:rsidR="00AA7B9D" w:rsidRDefault="00AA7B9D" w:rsidP="00501A12">
            <w:pPr>
              <w:pStyle w:val="Normal1linespace"/>
              <w:widowControl w:val="0"/>
            </w:pPr>
          </w:p>
        </w:tc>
        <w:tc>
          <w:tcPr>
            <w:tcW w:w="5989" w:type="dxa"/>
            <w:shd w:val="clear" w:color="auto" w:fill="auto"/>
          </w:tcPr>
          <w:p w14:paraId="09F780F2" w14:textId="77777777" w:rsidR="00AA7B9D" w:rsidRDefault="00AA7B9D" w:rsidP="00501A12">
            <w:pPr>
              <w:pStyle w:val="Normal1linespace"/>
              <w:widowControl w:val="0"/>
              <w:jc w:val="left"/>
            </w:pPr>
          </w:p>
        </w:tc>
      </w:tr>
      <w:tr w:rsidR="00AA7B9D" w14:paraId="1D5E63D6" w14:textId="77777777" w:rsidTr="007D30A9">
        <w:tc>
          <w:tcPr>
            <w:tcW w:w="3084" w:type="dxa"/>
            <w:shd w:val="clear" w:color="auto" w:fill="auto"/>
          </w:tcPr>
          <w:p w14:paraId="4BCDBB3C" w14:textId="77777777" w:rsidR="00AA7B9D" w:rsidRDefault="00AA7B9D" w:rsidP="00501A12">
            <w:pPr>
              <w:pStyle w:val="Normal1linespace"/>
              <w:widowControl w:val="0"/>
            </w:pPr>
            <w:r>
              <w:t>Number of paragraphs:</w:t>
            </w:r>
          </w:p>
        </w:tc>
        <w:tc>
          <w:tcPr>
            <w:tcW w:w="5989" w:type="dxa"/>
            <w:shd w:val="clear" w:color="auto" w:fill="auto"/>
          </w:tcPr>
          <w:p w14:paraId="2E94CBE2" w14:textId="1666AD2E" w:rsidR="00AA7B9D" w:rsidRDefault="007D30A9" w:rsidP="00501A12">
            <w:pPr>
              <w:pStyle w:val="Normal1linespace"/>
              <w:widowControl w:val="0"/>
              <w:jc w:val="left"/>
            </w:pPr>
            <w:bookmarkStart w:id="8" w:name="PlaceCategoryParagraphs"/>
            <w:r>
              <w:t>38</w:t>
            </w:r>
            <w:bookmarkEnd w:id="8"/>
          </w:p>
        </w:tc>
      </w:tr>
      <w:tr w:rsidR="00AA7B9D" w14:paraId="4190F29A" w14:textId="77777777" w:rsidTr="007D30A9">
        <w:tc>
          <w:tcPr>
            <w:tcW w:w="3084" w:type="dxa"/>
            <w:shd w:val="clear" w:color="auto" w:fill="auto"/>
          </w:tcPr>
          <w:p w14:paraId="4928CE33" w14:textId="77777777" w:rsidR="00AA7B9D" w:rsidRDefault="00AA7B9D" w:rsidP="00AA7B9D">
            <w:pPr>
              <w:pStyle w:val="Normal1linespace"/>
              <w:widowControl w:val="0"/>
              <w:jc w:val="left"/>
            </w:pPr>
          </w:p>
        </w:tc>
        <w:tc>
          <w:tcPr>
            <w:tcW w:w="5989" w:type="dxa"/>
            <w:shd w:val="clear" w:color="auto" w:fill="auto"/>
          </w:tcPr>
          <w:p w14:paraId="3D7B62FA" w14:textId="77777777" w:rsidR="00AA7B9D" w:rsidRDefault="00AA7B9D" w:rsidP="00AA7B9D">
            <w:pPr>
              <w:pStyle w:val="Normal1linespace"/>
              <w:widowControl w:val="0"/>
              <w:jc w:val="left"/>
            </w:pPr>
          </w:p>
        </w:tc>
      </w:tr>
      <w:tr w:rsidR="00AA7B9D" w14:paraId="464FABE5" w14:textId="77777777" w:rsidTr="007D30A9">
        <w:tc>
          <w:tcPr>
            <w:tcW w:w="3084" w:type="dxa"/>
            <w:shd w:val="clear" w:color="auto" w:fill="auto"/>
          </w:tcPr>
          <w:p w14:paraId="73DC057C" w14:textId="77777777" w:rsidR="00AA7B9D" w:rsidRDefault="00AA7B9D" w:rsidP="00AA7B9D">
            <w:pPr>
              <w:pStyle w:val="Normal1linespace"/>
              <w:widowControl w:val="0"/>
              <w:jc w:val="left"/>
            </w:pPr>
            <w:bookmarkStart w:id="9" w:name="CounselDate" w:colFirst="0" w:colLast="2"/>
            <w:r w:rsidRPr="006A24E3">
              <w:t>Date of hearing:</w:t>
            </w:r>
          </w:p>
        </w:tc>
        <w:tc>
          <w:tcPr>
            <w:tcW w:w="5989" w:type="dxa"/>
            <w:shd w:val="clear" w:color="auto" w:fill="auto"/>
          </w:tcPr>
          <w:p w14:paraId="5ACB5A2F" w14:textId="5D6B9C08" w:rsidR="00AA7B9D" w:rsidRDefault="007E6B43" w:rsidP="00AA7B9D">
            <w:pPr>
              <w:pStyle w:val="Normal1linespace"/>
              <w:widowControl w:val="0"/>
              <w:jc w:val="left"/>
            </w:pPr>
            <w:bookmarkStart w:id="10" w:name="HearingDate"/>
            <w:r>
              <w:t>20 April 2023</w:t>
            </w:r>
            <w:r w:rsidR="00AA7B9D">
              <w:t xml:space="preserve"> </w:t>
            </w:r>
            <w:bookmarkEnd w:id="10"/>
          </w:p>
        </w:tc>
      </w:tr>
      <w:tr w:rsidR="00AA7B9D" w14:paraId="59F7B705" w14:textId="77777777" w:rsidTr="007D30A9">
        <w:tc>
          <w:tcPr>
            <w:tcW w:w="3084" w:type="dxa"/>
            <w:shd w:val="clear" w:color="auto" w:fill="auto"/>
          </w:tcPr>
          <w:p w14:paraId="79823C77" w14:textId="77777777" w:rsidR="00AA7B9D" w:rsidRDefault="00AA7B9D" w:rsidP="00AA7B9D">
            <w:pPr>
              <w:pStyle w:val="Normal1linespace"/>
              <w:widowControl w:val="0"/>
              <w:jc w:val="left"/>
            </w:pPr>
          </w:p>
        </w:tc>
        <w:tc>
          <w:tcPr>
            <w:tcW w:w="5989" w:type="dxa"/>
            <w:shd w:val="clear" w:color="auto" w:fill="auto"/>
          </w:tcPr>
          <w:p w14:paraId="14569DFD" w14:textId="77777777" w:rsidR="00AA7B9D" w:rsidRDefault="00AA7B9D" w:rsidP="00AA7B9D">
            <w:pPr>
              <w:pStyle w:val="Normal1linespace"/>
              <w:widowControl w:val="0"/>
              <w:jc w:val="left"/>
            </w:pPr>
          </w:p>
        </w:tc>
      </w:tr>
      <w:tr w:rsidR="007D30A9" w14:paraId="1341A83F" w14:textId="77777777" w:rsidTr="00F07A2E">
        <w:tc>
          <w:tcPr>
            <w:tcW w:w="3084" w:type="dxa"/>
            <w:shd w:val="clear" w:color="auto" w:fill="auto"/>
          </w:tcPr>
          <w:p w14:paraId="0AAD8866" w14:textId="20A78769" w:rsidR="007D30A9" w:rsidRDefault="007D30A9" w:rsidP="007D30A9">
            <w:pPr>
              <w:pStyle w:val="Normal1linespace"/>
              <w:widowControl w:val="0"/>
              <w:jc w:val="left"/>
            </w:pPr>
            <w:bookmarkStart w:id="11" w:name="Counsel" w:colFirst="0" w:colLast="2"/>
            <w:bookmarkEnd w:id="9"/>
            <w:r>
              <w:t>Counsel for the Appellant:</w:t>
            </w:r>
          </w:p>
        </w:tc>
        <w:tc>
          <w:tcPr>
            <w:tcW w:w="5989" w:type="dxa"/>
            <w:shd w:val="clear" w:color="auto" w:fill="auto"/>
          </w:tcPr>
          <w:p w14:paraId="3E5663DB" w14:textId="56028CC0" w:rsidR="007D30A9" w:rsidRDefault="007D30A9" w:rsidP="007D30A9">
            <w:pPr>
              <w:pStyle w:val="Normal1linespace"/>
              <w:widowControl w:val="0"/>
              <w:jc w:val="left"/>
            </w:pPr>
            <w:bookmarkStart w:id="12" w:name="AppCounsel"/>
            <w:bookmarkEnd w:id="12"/>
            <w:r>
              <w:t>Ms E Nadon (Pro Bono)</w:t>
            </w:r>
          </w:p>
        </w:tc>
      </w:tr>
      <w:tr w:rsidR="007D30A9" w14:paraId="551A07BC" w14:textId="77777777" w:rsidTr="00F07A2E">
        <w:tc>
          <w:tcPr>
            <w:tcW w:w="3084" w:type="dxa"/>
            <w:shd w:val="clear" w:color="auto" w:fill="auto"/>
          </w:tcPr>
          <w:p w14:paraId="7A637412" w14:textId="77777777" w:rsidR="007D30A9" w:rsidRDefault="007D30A9" w:rsidP="007D30A9">
            <w:pPr>
              <w:pStyle w:val="Normal1linespace"/>
              <w:widowControl w:val="0"/>
              <w:jc w:val="left"/>
            </w:pPr>
          </w:p>
        </w:tc>
        <w:tc>
          <w:tcPr>
            <w:tcW w:w="5989" w:type="dxa"/>
            <w:shd w:val="clear" w:color="auto" w:fill="auto"/>
          </w:tcPr>
          <w:p w14:paraId="5468D757" w14:textId="77777777" w:rsidR="007D30A9" w:rsidRDefault="007D30A9" w:rsidP="007D30A9">
            <w:pPr>
              <w:pStyle w:val="Normal1linespace"/>
              <w:widowControl w:val="0"/>
              <w:jc w:val="left"/>
            </w:pPr>
          </w:p>
        </w:tc>
      </w:tr>
      <w:tr w:rsidR="007D30A9" w14:paraId="2BA6297B" w14:textId="77777777" w:rsidTr="00F07A2E">
        <w:tc>
          <w:tcPr>
            <w:tcW w:w="3084" w:type="dxa"/>
            <w:shd w:val="clear" w:color="auto" w:fill="auto"/>
          </w:tcPr>
          <w:p w14:paraId="562FC033" w14:textId="73185000" w:rsidR="007D30A9" w:rsidRDefault="007D30A9" w:rsidP="007D30A9">
            <w:pPr>
              <w:pStyle w:val="Normal1linespace"/>
              <w:widowControl w:val="0"/>
              <w:jc w:val="left"/>
            </w:pPr>
            <w:r>
              <w:t>Counsel for the First Respondent</w:t>
            </w:r>
          </w:p>
        </w:tc>
        <w:tc>
          <w:tcPr>
            <w:tcW w:w="5989" w:type="dxa"/>
            <w:shd w:val="clear" w:color="auto" w:fill="auto"/>
          </w:tcPr>
          <w:p w14:paraId="00ED536D" w14:textId="61290BF1" w:rsidR="007D30A9" w:rsidRDefault="007D30A9" w:rsidP="007D30A9">
            <w:pPr>
              <w:pStyle w:val="Normal1linespace"/>
              <w:widowControl w:val="0"/>
              <w:jc w:val="left"/>
            </w:pPr>
            <w:r>
              <w:t xml:space="preserve">Ms K </w:t>
            </w:r>
            <w:proofErr w:type="spellStart"/>
            <w:r>
              <w:t>McKinn</w:t>
            </w:r>
            <w:r w:rsidR="00F07A2E">
              <w:t>es</w:t>
            </w:r>
            <w:proofErr w:type="spellEnd"/>
          </w:p>
        </w:tc>
      </w:tr>
      <w:tr w:rsidR="007D30A9" w14:paraId="4BA4914A" w14:textId="77777777" w:rsidTr="00F07A2E">
        <w:tc>
          <w:tcPr>
            <w:tcW w:w="3084" w:type="dxa"/>
            <w:shd w:val="clear" w:color="auto" w:fill="auto"/>
          </w:tcPr>
          <w:p w14:paraId="61FBCF8D" w14:textId="77777777" w:rsidR="007D30A9" w:rsidRDefault="007D30A9" w:rsidP="007D30A9">
            <w:pPr>
              <w:pStyle w:val="Normal1linespace"/>
              <w:widowControl w:val="0"/>
              <w:jc w:val="left"/>
            </w:pPr>
          </w:p>
        </w:tc>
        <w:tc>
          <w:tcPr>
            <w:tcW w:w="5989" w:type="dxa"/>
            <w:shd w:val="clear" w:color="auto" w:fill="auto"/>
          </w:tcPr>
          <w:p w14:paraId="14563E66" w14:textId="77777777" w:rsidR="007D30A9" w:rsidRDefault="007D30A9" w:rsidP="007D30A9">
            <w:pPr>
              <w:pStyle w:val="Normal1linespace"/>
              <w:widowControl w:val="0"/>
              <w:jc w:val="left"/>
            </w:pPr>
          </w:p>
        </w:tc>
      </w:tr>
      <w:tr w:rsidR="007D30A9" w14:paraId="73B9CAC7" w14:textId="77777777" w:rsidTr="00F07A2E">
        <w:tc>
          <w:tcPr>
            <w:tcW w:w="3084" w:type="dxa"/>
            <w:shd w:val="clear" w:color="auto" w:fill="auto"/>
          </w:tcPr>
          <w:p w14:paraId="0A8AD3AF" w14:textId="62643189" w:rsidR="007D30A9" w:rsidRDefault="007D30A9" w:rsidP="007D30A9">
            <w:pPr>
              <w:pStyle w:val="Normal1linespace"/>
              <w:widowControl w:val="0"/>
              <w:jc w:val="left"/>
            </w:pPr>
            <w:r>
              <w:t>Solicitor for the First Respondent</w:t>
            </w:r>
          </w:p>
        </w:tc>
        <w:tc>
          <w:tcPr>
            <w:tcW w:w="5989" w:type="dxa"/>
            <w:shd w:val="clear" w:color="auto" w:fill="auto"/>
          </w:tcPr>
          <w:p w14:paraId="0AE7A536" w14:textId="2D3077C0" w:rsidR="007D30A9" w:rsidRDefault="00F07A2E" w:rsidP="007D30A9">
            <w:pPr>
              <w:pStyle w:val="Normal1linespace"/>
              <w:widowControl w:val="0"/>
              <w:jc w:val="left"/>
            </w:pPr>
            <w:r w:rsidRPr="00F07A2E">
              <w:t xml:space="preserve">Sparke </w:t>
            </w:r>
            <w:proofErr w:type="spellStart"/>
            <w:r w:rsidRPr="00F07A2E">
              <w:t>Helmore</w:t>
            </w:r>
            <w:proofErr w:type="spellEnd"/>
          </w:p>
        </w:tc>
      </w:tr>
      <w:tr w:rsidR="007D30A9" w14:paraId="5B8693E1" w14:textId="77777777" w:rsidTr="00F07A2E">
        <w:tc>
          <w:tcPr>
            <w:tcW w:w="3084" w:type="dxa"/>
            <w:shd w:val="clear" w:color="auto" w:fill="auto"/>
          </w:tcPr>
          <w:p w14:paraId="0CC14B10" w14:textId="77777777" w:rsidR="007D30A9" w:rsidRDefault="007D30A9" w:rsidP="007D30A9">
            <w:pPr>
              <w:pStyle w:val="Normal1linespace"/>
              <w:widowControl w:val="0"/>
              <w:jc w:val="left"/>
            </w:pPr>
          </w:p>
        </w:tc>
        <w:tc>
          <w:tcPr>
            <w:tcW w:w="5989" w:type="dxa"/>
            <w:shd w:val="clear" w:color="auto" w:fill="auto"/>
          </w:tcPr>
          <w:p w14:paraId="6E695FA1" w14:textId="77777777" w:rsidR="007D30A9" w:rsidRDefault="007D30A9" w:rsidP="007D30A9">
            <w:pPr>
              <w:pStyle w:val="Normal1linespace"/>
              <w:widowControl w:val="0"/>
              <w:jc w:val="left"/>
            </w:pPr>
          </w:p>
        </w:tc>
      </w:tr>
      <w:tr w:rsidR="007D30A9" w14:paraId="3F8F6593" w14:textId="77777777" w:rsidTr="00F07A2E">
        <w:tc>
          <w:tcPr>
            <w:tcW w:w="3084" w:type="dxa"/>
            <w:shd w:val="clear" w:color="auto" w:fill="auto"/>
          </w:tcPr>
          <w:p w14:paraId="186D9DD0" w14:textId="722279F0" w:rsidR="007D30A9" w:rsidRDefault="007D30A9" w:rsidP="007D30A9">
            <w:pPr>
              <w:pStyle w:val="Normal1linespace"/>
              <w:widowControl w:val="0"/>
              <w:jc w:val="left"/>
            </w:pPr>
            <w:r>
              <w:t>Counsel for the Second Respondent</w:t>
            </w:r>
          </w:p>
        </w:tc>
        <w:tc>
          <w:tcPr>
            <w:tcW w:w="5989" w:type="dxa"/>
            <w:shd w:val="clear" w:color="auto" w:fill="auto"/>
          </w:tcPr>
          <w:p w14:paraId="404C0603" w14:textId="0CFD699E" w:rsidR="007D30A9" w:rsidRDefault="00F07A2E" w:rsidP="007D30A9">
            <w:pPr>
              <w:pStyle w:val="Normal1linespace"/>
              <w:widowControl w:val="0"/>
              <w:jc w:val="left"/>
            </w:pPr>
            <w:r>
              <w:t>The Second Respondent did not appear</w:t>
            </w:r>
          </w:p>
        </w:tc>
      </w:tr>
      <w:bookmarkEnd w:id="11"/>
    </w:tbl>
    <w:p w14:paraId="030A1B56" w14:textId="77777777" w:rsidR="007470BD" w:rsidRDefault="007470BD">
      <w:pPr>
        <w:pStyle w:val="Normal1linespace"/>
      </w:pPr>
    </w:p>
    <w:p w14:paraId="35C7608C" w14:textId="77777777" w:rsidR="00E94CBF" w:rsidRDefault="00E94CBF">
      <w:pPr>
        <w:pStyle w:val="Normal1linespace"/>
      </w:pPr>
    </w:p>
    <w:p w14:paraId="3CCFBE71"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08C9CEE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1AC660D" w14:textId="77777777" w:rsidTr="00E81DA6">
        <w:tc>
          <w:tcPr>
            <w:tcW w:w="6912" w:type="dxa"/>
            <w:gridSpan w:val="2"/>
          </w:tcPr>
          <w:p w14:paraId="4112D280" w14:textId="77777777" w:rsidR="00A46CCC" w:rsidRPr="001765E0" w:rsidRDefault="00A46CCC" w:rsidP="00525A49">
            <w:pPr>
              <w:pStyle w:val="NormalHeadings"/>
            </w:pPr>
          </w:p>
        </w:tc>
        <w:tc>
          <w:tcPr>
            <w:tcW w:w="2330" w:type="dxa"/>
          </w:tcPr>
          <w:p w14:paraId="0A2251E5" w14:textId="1292C914" w:rsidR="00A46CCC" w:rsidRDefault="00AA7B9D" w:rsidP="00EB2310">
            <w:pPr>
              <w:pStyle w:val="NormalHeadings"/>
              <w:jc w:val="right"/>
            </w:pPr>
            <w:bookmarkStart w:id="13" w:name="FileNo"/>
            <w:r>
              <w:t>VID</w:t>
            </w:r>
            <w:r w:rsidR="00EB2310">
              <w:t xml:space="preserve"> </w:t>
            </w:r>
            <w:r>
              <w:t>271</w:t>
            </w:r>
            <w:r w:rsidR="00EB2310">
              <w:t xml:space="preserve"> of </w:t>
            </w:r>
            <w:r>
              <w:t>2022</w:t>
            </w:r>
            <w:bookmarkEnd w:id="13"/>
          </w:p>
        </w:tc>
      </w:tr>
      <w:tr w:rsidR="00A76C13" w14:paraId="3717EE15" w14:textId="77777777" w:rsidTr="00F461A4">
        <w:tc>
          <w:tcPr>
            <w:tcW w:w="9242" w:type="dxa"/>
            <w:gridSpan w:val="3"/>
          </w:tcPr>
          <w:p w14:paraId="2DD3F2D7" w14:textId="77777777" w:rsidR="00A76C13" w:rsidRPr="00A76C13" w:rsidRDefault="00AA7B9D" w:rsidP="00AA7B9D">
            <w:pPr>
              <w:pStyle w:val="NormalHeadings"/>
              <w:jc w:val="left"/>
            </w:pPr>
            <w:bookmarkStart w:id="14" w:name="InTheMatterOf"/>
            <w:r>
              <w:t xml:space="preserve"> </w:t>
            </w:r>
            <w:bookmarkEnd w:id="14"/>
          </w:p>
        </w:tc>
      </w:tr>
      <w:tr w:rsidR="00A46CCC" w14:paraId="5A2B925A" w14:textId="77777777" w:rsidTr="005041F0">
        <w:trPr>
          <w:trHeight w:val="386"/>
        </w:trPr>
        <w:tc>
          <w:tcPr>
            <w:tcW w:w="2376" w:type="dxa"/>
          </w:tcPr>
          <w:p w14:paraId="2C157C83" w14:textId="77777777" w:rsidR="00A46CCC" w:rsidRDefault="00A46CCC" w:rsidP="005041F0">
            <w:pPr>
              <w:pStyle w:val="NormalHeadings"/>
              <w:jc w:val="left"/>
              <w:rPr>
                <w:caps/>
                <w:szCs w:val="24"/>
              </w:rPr>
            </w:pPr>
            <w:bookmarkStart w:id="15" w:name="Parties"/>
            <w:r>
              <w:rPr>
                <w:caps/>
                <w:szCs w:val="24"/>
              </w:rPr>
              <w:t>BETWEEN:</w:t>
            </w:r>
          </w:p>
        </w:tc>
        <w:tc>
          <w:tcPr>
            <w:tcW w:w="6866" w:type="dxa"/>
            <w:gridSpan w:val="2"/>
          </w:tcPr>
          <w:p w14:paraId="4F56821C" w14:textId="77777777" w:rsidR="00AA7B9D" w:rsidRDefault="00AA7B9D" w:rsidP="00AA7B9D">
            <w:pPr>
              <w:pStyle w:val="NormalHeadings"/>
              <w:jc w:val="left"/>
            </w:pPr>
            <w:bookmarkStart w:id="16" w:name="Applicant"/>
            <w:r>
              <w:t>BHG20</w:t>
            </w:r>
          </w:p>
          <w:p w14:paraId="44CA41D1" w14:textId="77777777" w:rsidR="00AA7B9D" w:rsidRDefault="00AA7B9D" w:rsidP="00AA7B9D">
            <w:pPr>
              <w:pStyle w:val="PartyType"/>
            </w:pPr>
            <w:r>
              <w:t>Appellant</w:t>
            </w:r>
          </w:p>
          <w:bookmarkEnd w:id="16"/>
          <w:p w14:paraId="1E4BBA02" w14:textId="77777777" w:rsidR="00A46CCC" w:rsidRPr="006555B4" w:rsidRDefault="00A46CCC" w:rsidP="005041F0">
            <w:pPr>
              <w:pStyle w:val="NormalHeadings"/>
              <w:jc w:val="left"/>
            </w:pPr>
          </w:p>
        </w:tc>
      </w:tr>
      <w:tr w:rsidR="00A46CCC" w14:paraId="379E4298" w14:textId="77777777" w:rsidTr="005041F0">
        <w:trPr>
          <w:trHeight w:val="386"/>
        </w:trPr>
        <w:tc>
          <w:tcPr>
            <w:tcW w:w="2376" w:type="dxa"/>
          </w:tcPr>
          <w:p w14:paraId="549A664E" w14:textId="77777777" w:rsidR="00A46CCC" w:rsidRDefault="00A46CCC" w:rsidP="005041F0">
            <w:pPr>
              <w:pStyle w:val="NormalHeadings"/>
              <w:jc w:val="left"/>
              <w:rPr>
                <w:caps/>
                <w:szCs w:val="24"/>
              </w:rPr>
            </w:pPr>
            <w:r>
              <w:rPr>
                <w:caps/>
                <w:szCs w:val="24"/>
              </w:rPr>
              <w:t>AND:</w:t>
            </w:r>
          </w:p>
        </w:tc>
        <w:tc>
          <w:tcPr>
            <w:tcW w:w="6866" w:type="dxa"/>
            <w:gridSpan w:val="2"/>
          </w:tcPr>
          <w:p w14:paraId="42538F7C" w14:textId="3812A8D8" w:rsidR="00AA7B9D" w:rsidRDefault="00AA7B9D" w:rsidP="00AA7B9D">
            <w:pPr>
              <w:pStyle w:val="NormalHeadings"/>
              <w:jc w:val="left"/>
            </w:pPr>
            <w:bookmarkStart w:id="17" w:name="Respondent"/>
            <w:r>
              <w:t xml:space="preserve">MINISTER FOR IMMIGRATION, CITIZENSHIP AND MULTICULTURAL AFFAIRS </w:t>
            </w:r>
          </w:p>
          <w:p w14:paraId="1AB45706" w14:textId="77777777" w:rsidR="00AA7B9D" w:rsidRDefault="00AA7B9D" w:rsidP="00AA7B9D">
            <w:pPr>
              <w:pStyle w:val="PartyType"/>
            </w:pPr>
            <w:r>
              <w:t>First Respondent</w:t>
            </w:r>
          </w:p>
          <w:p w14:paraId="137B45E4" w14:textId="77777777" w:rsidR="00AA7B9D" w:rsidRDefault="00AA7B9D" w:rsidP="005041F0">
            <w:pPr>
              <w:pStyle w:val="NormalHeadings"/>
              <w:jc w:val="left"/>
              <w:rPr>
                <w:szCs w:val="24"/>
              </w:rPr>
            </w:pPr>
          </w:p>
          <w:p w14:paraId="7B3504F4" w14:textId="77777777" w:rsidR="00AA7B9D" w:rsidRDefault="00AA7B9D" w:rsidP="00AA7B9D">
            <w:pPr>
              <w:pStyle w:val="NormalHeadings"/>
              <w:jc w:val="left"/>
            </w:pPr>
            <w:r>
              <w:t>ADMINISTRATIVE APPEALS TRIBUNAL</w:t>
            </w:r>
          </w:p>
          <w:p w14:paraId="3C0C0FA2" w14:textId="77777777" w:rsidR="00AA7B9D" w:rsidRDefault="00AA7B9D" w:rsidP="00AA7B9D">
            <w:pPr>
              <w:pStyle w:val="PartyType"/>
            </w:pPr>
            <w:r>
              <w:t>Second Respondent</w:t>
            </w:r>
          </w:p>
          <w:bookmarkEnd w:id="17"/>
          <w:p w14:paraId="35C09198" w14:textId="77777777" w:rsidR="00A46CCC" w:rsidRPr="006555B4" w:rsidRDefault="00A46CCC" w:rsidP="005041F0">
            <w:pPr>
              <w:pStyle w:val="NormalHeadings"/>
              <w:jc w:val="left"/>
            </w:pPr>
          </w:p>
        </w:tc>
      </w:tr>
    </w:tbl>
    <w:p w14:paraId="4D6D9AE8"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75395A7C" w14:textId="77777777">
        <w:tc>
          <w:tcPr>
            <w:tcW w:w="2376" w:type="dxa"/>
          </w:tcPr>
          <w:p w14:paraId="00DCA062"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2B018ADF" w14:textId="77777777" w:rsidR="00395B24" w:rsidRDefault="00AA7B9D">
            <w:pPr>
              <w:pStyle w:val="NormalHeadings"/>
              <w:jc w:val="left"/>
              <w:rPr>
                <w:caps/>
                <w:szCs w:val="24"/>
              </w:rPr>
            </w:pPr>
            <w:bookmarkStart w:id="20" w:name="Judge"/>
            <w:r>
              <w:rPr>
                <w:caps/>
                <w:szCs w:val="24"/>
              </w:rPr>
              <w:t>ANDERSON J</w:t>
            </w:r>
            <w:bookmarkEnd w:id="20"/>
          </w:p>
        </w:tc>
      </w:tr>
      <w:tr w:rsidR="00395B24" w14:paraId="7561AA6C" w14:textId="77777777">
        <w:tc>
          <w:tcPr>
            <w:tcW w:w="2376" w:type="dxa"/>
          </w:tcPr>
          <w:p w14:paraId="34514BB5" w14:textId="77777777" w:rsidR="00395B24" w:rsidRDefault="002C7385">
            <w:pPr>
              <w:pStyle w:val="NormalHeadings"/>
              <w:spacing w:after="120"/>
              <w:jc w:val="left"/>
              <w:rPr>
                <w:caps/>
                <w:szCs w:val="24"/>
              </w:rPr>
            </w:pPr>
            <w:r>
              <w:rPr>
                <w:caps/>
                <w:szCs w:val="24"/>
              </w:rPr>
              <w:t>DATE OF ORDER:</w:t>
            </w:r>
          </w:p>
        </w:tc>
        <w:tc>
          <w:tcPr>
            <w:tcW w:w="6866" w:type="dxa"/>
          </w:tcPr>
          <w:p w14:paraId="2DD23C57" w14:textId="38E7F9D6" w:rsidR="00395B24" w:rsidRDefault="005A13D7">
            <w:pPr>
              <w:pStyle w:val="NormalHeadings"/>
              <w:jc w:val="left"/>
              <w:rPr>
                <w:caps/>
                <w:szCs w:val="24"/>
              </w:rPr>
            </w:pPr>
            <w:bookmarkStart w:id="21" w:name="Judgment_Dated"/>
            <w:bookmarkEnd w:id="21"/>
            <w:r>
              <w:t>2 MAY</w:t>
            </w:r>
            <w:r w:rsidR="007D30A9">
              <w:t xml:space="preserve"> 2023</w:t>
            </w:r>
          </w:p>
        </w:tc>
      </w:tr>
    </w:tbl>
    <w:p w14:paraId="3ED3E2C0" w14:textId="77777777" w:rsidR="00395B24" w:rsidRDefault="00395B24">
      <w:pPr>
        <w:pStyle w:val="NormalHeadings"/>
        <w:rPr>
          <w:b w:val="0"/>
        </w:rPr>
      </w:pPr>
    </w:p>
    <w:p w14:paraId="61AEC0C8" w14:textId="77777777" w:rsidR="008D1617" w:rsidRDefault="008D1617">
      <w:pPr>
        <w:pStyle w:val="NormalHeadings"/>
        <w:rPr>
          <w:b w:val="0"/>
        </w:rPr>
      </w:pPr>
    </w:p>
    <w:p w14:paraId="08269B1E" w14:textId="77777777" w:rsidR="00395B24" w:rsidRDefault="002C7385">
      <w:pPr>
        <w:pStyle w:val="NormalHeadings"/>
      </w:pPr>
      <w:r>
        <w:t>THE COURT ORDERS THAT:</w:t>
      </w:r>
    </w:p>
    <w:p w14:paraId="4C1974F0" w14:textId="77777777" w:rsidR="007F60DF" w:rsidRDefault="007F60DF" w:rsidP="00243E5E">
      <w:pPr>
        <w:pStyle w:val="NormalHeadings"/>
      </w:pPr>
    </w:p>
    <w:p w14:paraId="4A1A4EF0" w14:textId="722D2FB9" w:rsidR="00DC7875" w:rsidRDefault="00DC7875" w:rsidP="00DC7875">
      <w:pPr>
        <w:pStyle w:val="Order1"/>
      </w:pPr>
      <w:r>
        <w:t>The name of the first respondent be amended to “M</w:t>
      </w:r>
      <w:r w:rsidRPr="00DC7875">
        <w:t>inister for Immigration, Citizenship and Multicultural Affairs</w:t>
      </w:r>
      <w:r>
        <w:t>’.</w:t>
      </w:r>
    </w:p>
    <w:p w14:paraId="07A7E705" w14:textId="2BF0A5ED" w:rsidR="001A6C52" w:rsidRDefault="00D66D04" w:rsidP="001A6C52">
      <w:pPr>
        <w:pStyle w:val="Order1"/>
      </w:pPr>
      <w:r>
        <w:t>The appeal be dismissed.</w:t>
      </w:r>
    </w:p>
    <w:p w14:paraId="787830D7" w14:textId="5C29E26A" w:rsidR="00D66D04" w:rsidRDefault="00D66D04" w:rsidP="001A6C52">
      <w:pPr>
        <w:pStyle w:val="Order1"/>
      </w:pPr>
      <w:r>
        <w:t xml:space="preserve">The appellant pay the first respondent’s costs of the appeal, to </w:t>
      </w:r>
      <w:proofErr w:type="gramStart"/>
      <w:r>
        <w:t>be fixed</w:t>
      </w:r>
      <w:proofErr w:type="gramEnd"/>
      <w:r>
        <w:t xml:space="preserve"> by way of an agreed lump sum or, in default of agreement, by way of a lump sum fixed by a Registrar. </w:t>
      </w:r>
    </w:p>
    <w:p w14:paraId="4F565766" w14:textId="77777777" w:rsidR="001A6C52" w:rsidRDefault="001A6C52" w:rsidP="001A6C52">
      <w:pPr>
        <w:pStyle w:val="BodyText"/>
      </w:pPr>
    </w:p>
    <w:p w14:paraId="3E63C0D1" w14:textId="77777777" w:rsidR="00A431E6" w:rsidRDefault="00A431E6" w:rsidP="001A6C52">
      <w:pPr>
        <w:pStyle w:val="BodyText"/>
      </w:pPr>
    </w:p>
    <w:p w14:paraId="13E8E6D3" w14:textId="77777777" w:rsidR="0050309C" w:rsidRDefault="00AA7B9D"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68EBD869" w14:textId="77777777" w:rsidR="00E23577" w:rsidRDefault="00E23577" w:rsidP="002B0E91">
      <w:pPr>
        <w:pStyle w:val="BodyText"/>
      </w:pPr>
    </w:p>
    <w:p w14:paraId="3ADA10FB"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5ACA490B"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1D611F5D" w14:textId="77777777" w:rsidR="00694BEB" w:rsidRDefault="00AA7B9D" w:rsidP="005E0510">
      <w:pPr>
        <w:pStyle w:val="NormalHeadings"/>
        <w:spacing w:line="360" w:lineRule="auto"/>
        <w:jc w:val="left"/>
        <w:rPr>
          <w:sz w:val="26"/>
          <w:szCs w:val="26"/>
        </w:rPr>
      </w:pPr>
      <w:r>
        <w:rPr>
          <w:sz w:val="26"/>
          <w:szCs w:val="26"/>
        </w:rPr>
        <w:t>ANDERSON J</w:t>
      </w:r>
    </w:p>
    <w:p w14:paraId="31FCE9A2" w14:textId="2AD561CF" w:rsidR="00AA7B9D" w:rsidRDefault="00AA7B9D" w:rsidP="00AA7B9D">
      <w:pPr>
        <w:pStyle w:val="Heading1"/>
      </w:pPr>
      <w:r>
        <w:t>INTRODUCTION</w:t>
      </w:r>
    </w:p>
    <w:p w14:paraId="57160961" w14:textId="63CC6E66" w:rsidR="00356423" w:rsidRPr="001C1547" w:rsidRDefault="00356423" w:rsidP="00B93C93">
      <w:pPr>
        <w:pStyle w:val="ParaNumbering"/>
      </w:pPr>
      <w:r w:rsidRPr="00356423">
        <w:t>This is an appeal from the whole of the decision of the Federal Circuit and Family</w:t>
      </w:r>
      <w:r>
        <w:t xml:space="preserve"> </w:t>
      </w:r>
      <w:r w:rsidRPr="00356423">
        <w:t>Court</w:t>
      </w:r>
      <w:r>
        <w:t xml:space="preserve"> of Australia (Division 2) (</w:t>
      </w:r>
      <w:r w:rsidRPr="00356423">
        <w:rPr>
          <w:b/>
        </w:rPr>
        <w:t>FCFCA</w:t>
      </w:r>
      <w:r w:rsidRPr="00356423">
        <w:t xml:space="preserve">), dismissing </w:t>
      </w:r>
      <w:r>
        <w:t xml:space="preserve">the </w:t>
      </w:r>
      <w:r w:rsidR="00A834D7">
        <w:t>appellant</w:t>
      </w:r>
      <w:r>
        <w:t xml:space="preserve">’s application for </w:t>
      </w:r>
      <w:r w:rsidRPr="00356423">
        <w:t>judicial review of a decision of the second respond</w:t>
      </w:r>
      <w:r>
        <w:t>ent, the Administrative Appeals Tribunal (</w:t>
      </w:r>
      <w:r w:rsidRPr="00356423">
        <w:rPr>
          <w:b/>
        </w:rPr>
        <w:t>Tribunal</w:t>
      </w:r>
      <w:r w:rsidRPr="00356423">
        <w:t xml:space="preserve">). </w:t>
      </w:r>
      <w:r>
        <w:t xml:space="preserve"> </w:t>
      </w:r>
      <w:r w:rsidRPr="00356423">
        <w:t>The Tribunal affirmed a decisi</w:t>
      </w:r>
      <w:r>
        <w:t xml:space="preserve">on of a delegate of the first </w:t>
      </w:r>
      <w:r w:rsidRPr="00356423">
        <w:t>respondent, the</w:t>
      </w:r>
      <w:r w:rsidR="00936AA4">
        <w:t xml:space="preserve"> then</w:t>
      </w:r>
      <w:r w:rsidRPr="00356423">
        <w:t xml:space="preserve"> Minister for Immigration, Ci</w:t>
      </w:r>
      <w:r>
        <w:t xml:space="preserve">tizenship, Migrant Services and </w:t>
      </w:r>
      <w:r w:rsidRPr="00356423">
        <w:t>Multicultural Affairs (</w:t>
      </w:r>
      <w:r w:rsidRPr="00356423">
        <w:rPr>
          <w:b/>
        </w:rPr>
        <w:t>Minister</w:t>
      </w:r>
      <w:r w:rsidRPr="00356423">
        <w:t>) to refuse to gr</w:t>
      </w:r>
      <w:r>
        <w:t xml:space="preserve">ant a Subclass XA-866 Permanent </w:t>
      </w:r>
      <w:r w:rsidRPr="00356423">
        <w:t xml:space="preserve">Protection visa to the </w:t>
      </w:r>
      <w:r w:rsidR="00A834D7">
        <w:t>appellant</w:t>
      </w:r>
      <w:r w:rsidRPr="00356423">
        <w:t xml:space="preserve"> pursuant to s 65 of the </w:t>
      </w:r>
      <w:r w:rsidRPr="00356423">
        <w:rPr>
          <w:i/>
        </w:rPr>
        <w:t xml:space="preserve">Migration Act 1958 </w:t>
      </w:r>
      <w:r>
        <w:t>(</w:t>
      </w:r>
      <w:proofErr w:type="spellStart"/>
      <w:r>
        <w:t>Cth</w:t>
      </w:r>
      <w:proofErr w:type="spellEnd"/>
      <w:r>
        <w:t>) (</w:t>
      </w:r>
      <w:r w:rsidRPr="00356423">
        <w:rPr>
          <w:b/>
        </w:rPr>
        <w:t>Act</w:t>
      </w:r>
      <w:r w:rsidR="00B93C93">
        <w:t xml:space="preserve">): </w:t>
      </w:r>
      <w:r w:rsidR="00B93C93" w:rsidRPr="00B93C93">
        <w:rPr>
          <w:i/>
        </w:rPr>
        <w:t>BHG20 v Minister for Immigration, Citizenship, Migrant Services and Multicultural Affairs</w:t>
      </w:r>
      <w:r w:rsidR="00B93C93">
        <w:rPr>
          <w:i/>
        </w:rPr>
        <w:t xml:space="preserve"> </w:t>
      </w:r>
      <w:r w:rsidR="00B93C93">
        <w:t>[2022] FedCFamC2G 324 (</w:t>
      </w:r>
      <w:r w:rsidR="00B93C93" w:rsidRPr="00B93C93">
        <w:rPr>
          <w:b/>
        </w:rPr>
        <w:t>Primary Decision</w:t>
      </w:r>
      <w:r w:rsidR="00B93C93">
        <w:t>).</w:t>
      </w:r>
    </w:p>
    <w:p w14:paraId="729664DB" w14:textId="483E6181" w:rsidR="00356423" w:rsidRDefault="00B93C93" w:rsidP="00B93C93">
      <w:pPr>
        <w:pStyle w:val="ParaNumbering"/>
      </w:pPr>
      <w:r>
        <w:t xml:space="preserve">The </w:t>
      </w:r>
      <w:r w:rsidR="00A834D7">
        <w:t>appellant</w:t>
      </w:r>
      <w:r>
        <w:t xml:space="preserve"> presses one ground of appeal: that the FCFCA erred in </w:t>
      </w:r>
      <w:r w:rsidR="00DB286A">
        <w:t>its construction of</w:t>
      </w:r>
      <w:r>
        <w:t xml:space="preserve"> the </w:t>
      </w:r>
      <w:r w:rsidR="00576B11">
        <w:t xml:space="preserve">reasons recorded in the </w:t>
      </w:r>
      <w:r>
        <w:t>Tribunal’s</w:t>
      </w:r>
      <w:r w:rsidR="00576B11">
        <w:t xml:space="preserve"> Decision Record (</w:t>
      </w:r>
      <w:r w:rsidR="00576B11" w:rsidRPr="00576B11">
        <w:rPr>
          <w:b/>
        </w:rPr>
        <w:t>Tribunal’s Reasons</w:t>
      </w:r>
      <w:r w:rsidR="00576B11">
        <w:t>)</w:t>
      </w:r>
      <w:r>
        <w:t xml:space="preserve"> in dismissing ground two of the </w:t>
      </w:r>
      <w:r w:rsidR="00A834D7">
        <w:t>appellant</w:t>
      </w:r>
      <w:r>
        <w:t>’s application for judicial review (ground two).  Relevantly, ground two was stated</w:t>
      </w:r>
      <w:r w:rsidR="00DB286A">
        <w:t xml:space="preserve"> by the FCFCA</w:t>
      </w:r>
      <w:r>
        <w:t xml:space="preserve"> in these terms:</w:t>
      </w:r>
    </w:p>
    <w:p w14:paraId="6BEA2503" w14:textId="09D5948D" w:rsidR="00B93C93" w:rsidRDefault="00B93C93" w:rsidP="00B93C93">
      <w:pPr>
        <w:pStyle w:val="Quote1"/>
      </w:pPr>
      <w:r>
        <w:t xml:space="preserve">The Tribunal’s reasons at [75] failed to grapple with critical corroborative evidence from the </w:t>
      </w:r>
      <w:r w:rsidR="00A834D7">
        <w:t>appellant</w:t>
      </w:r>
      <w:r>
        <w:t xml:space="preserve">’s wife, being that she always accompanied the </w:t>
      </w:r>
      <w:r w:rsidR="00A834D7">
        <w:t>appellant</w:t>
      </w:r>
      <w:r>
        <w:t xml:space="preserve"> in public in Sri Lanka.</w:t>
      </w:r>
    </w:p>
    <w:p w14:paraId="61B09FAA" w14:textId="7EEF31A9" w:rsidR="00D66D04" w:rsidRDefault="00D66D04" w:rsidP="00D66D04">
      <w:pPr>
        <w:pStyle w:val="ParaNumbering"/>
      </w:pPr>
      <w:r>
        <w:t>For the reasons below, I dismiss the appellant’s appeal.</w:t>
      </w:r>
    </w:p>
    <w:p w14:paraId="568AD479" w14:textId="590174E2" w:rsidR="00B93C93" w:rsidRDefault="002718F9" w:rsidP="00B93C93">
      <w:pPr>
        <w:pStyle w:val="Heading1"/>
      </w:pPr>
      <w:r>
        <w:t>PROCEDURAL HISTORY</w:t>
      </w:r>
    </w:p>
    <w:p w14:paraId="06517C45" w14:textId="11B40FC8" w:rsidR="00B93C93" w:rsidRDefault="00B93C93" w:rsidP="00B93C93">
      <w:pPr>
        <w:pStyle w:val="ParaNumbering"/>
      </w:pPr>
      <w:r w:rsidRPr="00B93C93">
        <w:t xml:space="preserve">The </w:t>
      </w:r>
      <w:r w:rsidR="00A834D7">
        <w:t>appellant</w:t>
      </w:r>
      <w:r w:rsidRPr="00B93C93">
        <w:t xml:space="preserve"> was in Australia most recently on a skilled independent visa, which </w:t>
      </w:r>
      <w:proofErr w:type="gramStart"/>
      <w:r w:rsidRPr="00B93C93">
        <w:t>was</w:t>
      </w:r>
      <w:r>
        <w:t xml:space="preserve"> </w:t>
      </w:r>
      <w:r w:rsidRPr="00B93C93">
        <w:t>cancelled</w:t>
      </w:r>
      <w:proofErr w:type="gramEnd"/>
      <w:r w:rsidRPr="00B93C93">
        <w:t xml:space="preserve"> on 31 August 2016 pursuant to s 501(3A) of the Act following his conviction</w:t>
      </w:r>
      <w:r>
        <w:t xml:space="preserve"> </w:t>
      </w:r>
      <w:r w:rsidRPr="00B93C93">
        <w:t>for cert</w:t>
      </w:r>
      <w:r>
        <w:t>ain offences on 30 October 2013: Primary Decision [7]-[9].</w:t>
      </w:r>
    </w:p>
    <w:p w14:paraId="0B91F132" w14:textId="2BA21CE6" w:rsidR="00B93C93" w:rsidRDefault="00B93C93" w:rsidP="00B93C93">
      <w:pPr>
        <w:pStyle w:val="ParaNumbering"/>
      </w:pPr>
      <w:r>
        <w:t xml:space="preserve">The </w:t>
      </w:r>
      <w:r w:rsidR="00A834D7">
        <w:t>appellant</w:t>
      </w:r>
      <w:r>
        <w:t>’s request for revocation of that cancellation decision, pursuant to s 501C of the Act, was refused on 21 January 2019 by a delegate of the Minister</w:t>
      </w:r>
      <w:r w:rsidR="002E6969">
        <w:t xml:space="preserve">. </w:t>
      </w:r>
      <w:r w:rsidR="008E15B5">
        <w:t xml:space="preserve"> </w:t>
      </w:r>
      <w:proofErr w:type="gramStart"/>
      <w:r w:rsidR="002E6969">
        <w:t xml:space="preserve">That </w:t>
      </w:r>
      <w:r>
        <w:t>decision was affirmed on review by the Tribunal</w:t>
      </w:r>
      <w:proofErr w:type="gramEnd"/>
      <w:r>
        <w:t xml:space="preserve"> on 24 April 2019: Primary Decision [10]-[11].</w:t>
      </w:r>
    </w:p>
    <w:p w14:paraId="3F2C00B8" w14:textId="30A1AADF" w:rsidR="00B93C93" w:rsidRDefault="00B93C93" w:rsidP="00B93C93">
      <w:pPr>
        <w:pStyle w:val="ParaNumbering"/>
      </w:pPr>
      <w:r>
        <w:t xml:space="preserve">On 23 May 2019, the </w:t>
      </w:r>
      <w:r w:rsidR="00A834D7">
        <w:t>appellant</w:t>
      </w:r>
      <w:r>
        <w:t xml:space="preserve"> lodged an application for a protection visa, pursuant to </w:t>
      </w:r>
      <w:proofErr w:type="spellStart"/>
      <w:r>
        <w:t>ss</w:t>
      </w:r>
      <w:proofErr w:type="spellEnd"/>
      <w:r>
        <w:t xml:space="preserve"> 36(2)(aa) or (4)(a) of the Act, on the basis of his Catholic faith, his intersex status, his close Australian ties, and the hardship he would face in Sri Lanka (due to, for example, his criminal history and chronic kidney illness).  That application was refused by a delegate of the Minister </w:t>
      </w:r>
      <w:r>
        <w:lastRenderedPageBreak/>
        <w:t>on 2 July 2019.  The Tribunal affirmed that decision on 25 February 2020: Primary Decision [13]-[20].</w:t>
      </w:r>
    </w:p>
    <w:p w14:paraId="289F9AE4" w14:textId="701AB766" w:rsidR="00B93C93" w:rsidRDefault="00B93C93" w:rsidP="00B93C93">
      <w:pPr>
        <w:pStyle w:val="ParaNumbering"/>
      </w:pPr>
      <w:r>
        <w:t xml:space="preserve">One of the issues before the Tribunal was the </w:t>
      </w:r>
      <w:r w:rsidR="00A834D7">
        <w:t>appellant</w:t>
      </w:r>
      <w:r>
        <w:t xml:space="preserve">’s fear of significant harm due to his intersex status.  Within that context, the Tribunal considered how it was that the </w:t>
      </w:r>
      <w:r w:rsidR="00A834D7">
        <w:t>appellant</w:t>
      </w:r>
      <w:r>
        <w:t xml:space="preserve"> had managed to avoid being harmed during the periods in which he lived in Sri Lanka for “extended periods of time as an intersex person”</w:t>
      </w:r>
      <w:r w:rsidR="00DA3420">
        <w:t>: Tribunal’s Reasons [73]</w:t>
      </w:r>
      <w:r>
        <w:t xml:space="preserve">.  The </w:t>
      </w:r>
      <w:r w:rsidR="00A834D7">
        <w:t>appellant</w:t>
      </w:r>
      <w:r>
        <w:t xml:space="preserve"> attributed this to his being “constantly accompanied” by either his mother or wife, who would go “everywhere with him”</w:t>
      </w:r>
      <w:r w:rsidR="00DA3420">
        <w:t>: Tribunal’s Reasons [74]</w:t>
      </w:r>
      <w:r>
        <w:t>.</w:t>
      </w:r>
      <w:r w:rsidR="008E15B5">
        <w:t xml:space="preserve"> </w:t>
      </w:r>
      <w:r>
        <w:t xml:space="preserve"> In particular, </w:t>
      </w:r>
      <w:r w:rsidR="00517709">
        <w:t xml:space="preserve">in a statement supporting his claim for protection, </w:t>
      </w:r>
      <w:r>
        <w:t xml:space="preserve">the </w:t>
      </w:r>
      <w:r w:rsidR="00A834D7">
        <w:t>appellant</w:t>
      </w:r>
      <w:r>
        <w:t xml:space="preserve"> </w:t>
      </w:r>
      <w:r w:rsidR="00517709">
        <w:t>stated</w:t>
      </w:r>
      <w:r>
        <w:t xml:space="preserve"> that having his wife “always by [his] side in Sri Lanka helped to deter the constant abuse and harassment”.  He also </w:t>
      </w:r>
      <w:r w:rsidR="00517709">
        <w:t>stated</w:t>
      </w:r>
      <w:r>
        <w:t xml:space="preserve"> that he could not “</w:t>
      </w:r>
      <w:r w:rsidR="00517709">
        <w:t xml:space="preserve">safely </w:t>
      </w:r>
      <w:r>
        <w:t>return to Sri Lanka without protection or the support of [his] family”, that he “would not survive on [his] own”, and that his mother was no longer able to “protect” him given her elderly age.</w:t>
      </w:r>
    </w:p>
    <w:p w14:paraId="77F6A53B" w14:textId="726AA636" w:rsidR="00B93C93" w:rsidRDefault="00B93C93" w:rsidP="00517709">
      <w:pPr>
        <w:pStyle w:val="ParaNumbering"/>
      </w:pPr>
      <w:r>
        <w:t xml:space="preserve">The </w:t>
      </w:r>
      <w:r w:rsidR="00A834D7">
        <w:t>appellant</w:t>
      </w:r>
      <w:r>
        <w:t xml:space="preserve">’s wife deposed that when they arrived in Australia the </w:t>
      </w:r>
      <w:r w:rsidR="00A834D7">
        <w:t>appellant</w:t>
      </w:r>
      <w:r>
        <w:t xml:space="preserve"> “could go out in public and be safe without me”, that the </w:t>
      </w:r>
      <w:r w:rsidR="00A834D7">
        <w:t>appellant</w:t>
      </w:r>
      <w:r>
        <w:t xml:space="preserve"> would “not survive on his own in Sri Lanka”, that “[</w:t>
      </w:r>
      <w:proofErr w:type="spellStart"/>
      <w:r>
        <w:t>i</w:t>
      </w:r>
      <w:proofErr w:type="spellEnd"/>
      <w:r>
        <w:t xml:space="preserve">]t was very hard to try and protect him from people with bad intentions in Sri Lanka”, and that the </w:t>
      </w:r>
      <w:r w:rsidR="00A834D7">
        <w:t>appellant</w:t>
      </w:r>
      <w:r>
        <w:t xml:space="preserve">’s mother was “very old” and could not “help him or hide and protect him in her situation”.  The </w:t>
      </w:r>
      <w:r w:rsidR="00A834D7">
        <w:t>appellant</w:t>
      </w:r>
      <w:r>
        <w:t xml:space="preserve">’s wife also gave </w:t>
      </w:r>
      <w:r w:rsidR="00CA78FE">
        <w:t xml:space="preserve">oral </w:t>
      </w:r>
      <w:r>
        <w:t xml:space="preserve">evidence during the hearing that the </w:t>
      </w:r>
      <w:r w:rsidR="00A834D7">
        <w:t>appellant</w:t>
      </w:r>
      <w:r>
        <w:t xml:space="preserve"> did not have problems in public because “</w:t>
      </w:r>
      <w:r w:rsidR="00382163">
        <w:t xml:space="preserve">when he goes out or anything I am </w:t>
      </w:r>
      <w:r>
        <w:t>always with him”</w:t>
      </w:r>
      <w:r w:rsidR="00614A79">
        <w:t xml:space="preserve"> (</w:t>
      </w:r>
      <w:r w:rsidR="00CA78FE">
        <w:t xml:space="preserve">transcript, </w:t>
      </w:r>
      <w:r w:rsidR="00614A79">
        <w:t>answer 86)</w:t>
      </w:r>
      <w:r>
        <w:t xml:space="preserve">, and that before they married </w:t>
      </w:r>
      <w:r w:rsidR="00932E33">
        <w:t xml:space="preserve">“most of the time his friends is with him, mother is </w:t>
      </w:r>
      <w:r>
        <w:t>always there”</w:t>
      </w:r>
      <w:r w:rsidR="00614A79">
        <w:t xml:space="preserve"> (</w:t>
      </w:r>
      <w:r w:rsidR="00CA78FE">
        <w:t xml:space="preserve">transcript, </w:t>
      </w:r>
      <w:r w:rsidR="00614A79">
        <w:t>answer 56)</w:t>
      </w:r>
      <w:r>
        <w:t>.</w:t>
      </w:r>
      <w:r w:rsidR="008E15B5">
        <w:t xml:space="preserve"> </w:t>
      </w:r>
      <w:r w:rsidR="00382163">
        <w:t xml:space="preserve"> The appellant’s wife also gave evidence that “I’m always with him so he didn’t get any issues from anyone”</w:t>
      </w:r>
      <w:r w:rsidR="00614A79">
        <w:t xml:space="preserve"> (</w:t>
      </w:r>
      <w:r w:rsidR="00CA78FE">
        <w:t xml:space="preserve">transcript, </w:t>
      </w:r>
      <w:r w:rsidR="00614A79">
        <w:t>answer 78)</w:t>
      </w:r>
      <w:r w:rsidR="00382163">
        <w:t>.</w:t>
      </w:r>
      <w:r w:rsidR="008E15B5">
        <w:t xml:space="preserve"> </w:t>
      </w:r>
      <w:r w:rsidR="00382163">
        <w:t xml:space="preserve"> </w:t>
      </w:r>
      <w:r w:rsidR="00614A79">
        <w:t>The appellant’s wife later stated “most of the time we are with him” and “I am with him and sometimes mother is always with him” (</w:t>
      </w:r>
      <w:r w:rsidR="00CA78FE">
        <w:t xml:space="preserve">transcript, </w:t>
      </w:r>
      <w:r w:rsidR="00614A79">
        <w:t>answer 106).</w:t>
      </w:r>
    </w:p>
    <w:p w14:paraId="4437F0C1" w14:textId="00DF6BC4" w:rsidR="00DA3420" w:rsidRDefault="00E10900" w:rsidP="00E10900">
      <w:pPr>
        <w:pStyle w:val="ParaNumbering"/>
      </w:pPr>
      <w:r>
        <w:t xml:space="preserve">The Tribunal </w:t>
      </w:r>
      <w:r w:rsidR="00C7220A">
        <w:t xml:space="preserve">did not accept that the </w:t>
      </w:r>
      <w:r w:rsidR="003D5AF0">
        <w:t>appellant</w:t>
      </w:r>
      <w:r w:rsidR="00C7220A">
        <w:t xml:space="preserve"> was constantly accompanied, including at work and to lectures at university, by his wife or his mother. </w:t>
      </w:r>
      <w:r w:rsidR="008E15B5">
        <w:t xml:space="preserve"> </w:t>
      </w:r>
      <w:r w:rsidR="00C7220A">
        <w:t>The Tribunal</w:t>
      </w:r>
      <w:r>
        <w:t xml:space="preserve"> found </w:t>
      </w:r>
      <w:r w:rsidR="00C9094D">
        <w:t>the appellant’s denial that there were</w:t>
      </w:r>
      <w:r>
        <w:t xml:space="preserve"> any exception</w:t>
      </w:r>
      <w:r w:rsidR="00C9094D">
        <w:t>s</w:t>
      </w:r>
      <w:r>
        <w:t xml:space="preserve"> to being </w:t>
      </w:r>
      <w:r w:rsidR="00C9094D">
        <w:t xml:space="preserve">constantly </w:t>
      </w:r>
      <w:r>
        <w:t>accompanied</w:t>
      </w:r>
      <w:r w:rsidR="00C9094D">
        <w:t xml:space="preserve"> by his wife or his mother unrealistic</w:t>
      </w:r>
      <w:r w:rsidR="00111770">
        <w:t>:</w:t>
      </w:r>
      <w:r w:rsidR="00111770" w:rsidRPr="00111770">
        <w:t xml:space="preserve"> </w:t>
      </w:r>
      <w:r w:rsidR="00111770">
        <w:t>Tribunal’s Reasons [75]</w:t>
      </w:r>
      <w:r w:rsidR="00C9094D">
        <w:t>.</w:t>
      </w:r>
      <w:r>
        <w:t xml:space="preserve"> </w:t>
      </w:r>
      <w:r w:rsidR="008E15B5">
        <w:t xml:space="preserve"> </w:t>
      </w:r>
      <w:r>
        <w:t xml:space="preserve">In rejecting </w:t>
      </w:r>
      <w:r w:rsidR="00C9094D">
        <w:t xml:space="preserve">this aspect of the </w:t>
      </w:r>
      <w:r w:rsidR="00A834D7">
        <w:t>appellant</w:t>
      </w:r>
      <w:r>
        <w:t>’s claim,</w:t>
      </w:r>
      <w:r w:rsidR="00111770">
        <w:t xml:space="preserve"> the Tribunal’s Reasons at [75]</w:t>
      </w:r>
      <w:r>
        <w:t xml:space="preserve"> did not refer to the evidence given by the </w:t>
      </w:r>
      <w:r w:rsidR="00A834D7">
        <w:t>appellant</w:t>
      </w:r>
      <w:r>
        <w:t>’s wife.</w:t>
      </w:r>
      <w:r w:rsidR="003D5AF0">
        <w:t xml:space="preserve"> </w:t>
      </w:r>
      <w:r w:rsidR="00DA3420">
        <w:t xml:space="preserve"> Nor did the Tribunal’s Reasons in the immediately preceding paragraphs refer to the appellant’s wife’s evidence that she always accompanied the appellant</w:t>
      </w:r>
      <w:r w:rsidR="007B00C3">
        <w:t>, or that his mother was “always there”</w:t>
      </w:r>
      <w:r w:rsidR="00DA3420">
        <w:t>.</w:t>
      </w:r>
    </w:p>
    <w:p w14:paraId="60485949" w14:textId="74DB89BE" w:rsidR="00DA3420" w:rsidRDefault="00DA3420" w:rsidP="00E10900">
      <w:pPr>
        <w:pStyle w:val="ParaNumbering"/>
      </w:pPr>
      <w:r>
        <w:t xml:space="preserve">In a later paragraph, the Tribunal referred to the appellant’s wife’s evidence that </w:t>
      </w:r>
      <w:r w:rsidR="00514132">
        <w:t xml:space="preserve">“she always goes out with him in Sri Lanka”: Tribunal’s Reasons [81]. </w:t>
      </w:r>
    </w:p>
    <w:p w14:paraId="47AE91E5" w14:textId="71A4F498" w:rsidR="00B93C93" w:rsidRDefault="003D5AF0" w:rsidP="00E10900">
      <w:pPr>
        <w:pStyle w:val="ParaNumbering"/>
      </w:pPr>
      <w:r>
        <w:lastRenderedPageBreak/>
        <w:t>The Tribunal subsequently</w:t>
      </w:r>
      <w:r w:rsidR="00C7220A">
        <w:t xml:space="preserve"> </w:t>
      </w:r>
      <w:r>
        <w:t>re-stated its finding that it did not accept that the appellant was accompanied at all times by his mother or his wife to protect him</w:t>
      </w:r>
      <w:r w:rsidR="00111770">
        <w:t xml:space="preserve">, in the context of assessing his claim that he </w:t>
      </w:r>
      <w:r w:rsidR="00936AA4">
        <w:t>would</w:t>
      </w:r>
      <w:r w:rsidR="00111770">
        <w:t xml:space="preserve"> be perceived as homosexual, transgender </w:t>
      </w:r>
      <w:r w:rsidR="00936AA4">
        <w:t>or</w:t>
      </w:r>
      <w:r w:rsidR="00111770">
        <w:t xml:space="preserve"> a sex worker</w:t>
      </w:r>
      <w:r>
        <w:t>: Tribunal’s Reasons [115]</w:t>
      </w:r>
      <w:r w:rsidR="00111770">
        <w:t>, [120]</w:t>
      </w:r>
      <w:r>
        <w:t>.</w:t>
      </w:r>
    </w:p>
    <w:p w14:paraId="76B89437" w14:textId="1CEAF248" w:rsidR="002718F9" w:rsidRDefault="002718F9" w:rsidP="00B33D45">
      <w:pPr>
        <w:pStyle w:val="Heading1"/>
      </w:pPr>
      <w:r>
        <w:t>THE PRIMARY JUDGE’S REASONS</w:t>
      </w:r>
    </w:p>
    <w:p w14:paraId="7A7A0B56" w14:textId="584811F6" w:rsidR="00A04820" w:rsidRDefault="002718F9" w:rsidP="002374C7">
      <w:pPr>
        <w:pStyle w:val="ParaNumbering"/>
      </w:pPr>
      <w:r>
        <w:t xml:space="preserve">On 27 March 2020, the appellant filed an application for judicial review of the Tribunal’s decision. </w:t>
      </w:r>
      <w:r w:rsidR="008E15B5">
        <w:t xml:space="preserve"> </w:t>
      </w:r>
      <w:r>
        <w:t xml:space="preserve">The appellant pressed two grounds, one of which was ground two. </w:t>
      </w:r>
    </w:p>
    <w:p w14:paraId="74FCF276" w14:textId="1CA37BB8" w:rsidR="002718F9" w:rsidRDefault="002718F9" w:rsidP="002374C7">
      <w:pPr>
        <w:pStyle w:val="ParaNumbering"/>
      </w:pPr>
      <w:r>
        <w:t>With respect to ground two, the primary judge, in the Primary Decision at [57], noted that:</w:t>
      </w:r>
    </w:p>
    <w:p w14:paraId="26EE98EC" w14:textId="32634780" w:rsidR="002718F9" w:rsidRDefault="002718F9" w:rsidP="002718F9">
      <w:pPr>
        <w:pStyle w:val="ListNo1alt"/>
      </w:pPr>
      <w:r w:rsidRPr="00E83602">
        <w:t>a contention that a witness’s evidence was overlooked is undermined where a decision-maker has expressly referred to the fact of evidence having been add</w:t>
      </w:r>
      <w:r w:rsidR="00CA78FE">
        <w:t xml:space="preserve">uced from a particular witness: </w:t>
      </w:r>
      <w:r w:rsidRPr="001176BC">
        <w:rPr>
          <w:i/>
        </w:rPr>
        <w:t>BNB17 v Minister for Immigration and Border Protection</w:t>
      </w:r>
      <w:r w:rsidRPr="00E83602">
        <w:t xml:space="preserve"> [2020] FCA 304 </w:t>
      </w:r>
      <w:r>
        <w:t>per Anderson J at [107]</w:t>
      </w:r>
      <w:r w:rsidRPr="00E83602">
        <w:t>;</w:t>
      </w:r>
    </w:p>
    <w:p w14:paraId="2A6D598C" w14:textId="4C8C0023" w:rsidR="002718F9" w:rsidRDefault="002718F9" w:rsidP="00883286">
      <w:pPr>
        <w:pStyle w:val="ListNo1alt"/>
      </w:pPr>
      <w:r w:rsidRPr="00E83602">
        <w:t xml:space="preserve">a decision-maker need not refer to every piece of evidence in providing </w:t>
      </w:r>
      <w:r w:rsidR="00CA78FE">
        <w:t xml:space="preserve">its reasons for its decision: </w:t>
      </w:r>
      <w:r w:rsidRPr="007B4081">
        <w:rPr>
          <w:i/>
        </w:rPr>
        <w:t>ETA067 v Republic of Nauru</w:t>
      </w:r>
      <w:r w:rsidRPr="00E83602">
        <w:t xml:space="preserve"> (2018) </w:t>
      </w:r>
      <w:r w:rsidR="00883286" w:rsidRPr="00883286">
        <w:t xml:space="preserve">360 ALR 228 </w:t>
      </w:r>
      <w:r w:rsidR="007E6B43">
        <w:t xml:space="preserve">per </w:t>
      </w:r>
      <w:r w:rsidR="007E6B43" w:rsidRPr="007E6B43">
        <w:t xml:space="preserve">Bell, Keane and Gordon JJ </w:t>
      </w:r>
      <w:r w:rsidRPr="00E83602">
        <w:t xml:space="preserve">at </w:t>
      </w:r>
      <w:r w:rsidR="00883286">
        <w:t xml:space="preserve">231 </w:t>
      </w:r>
      <w:r w:rsidRPr="00E83602">
        <w:t>[13]; and</w:t>
      </w:r>
    </w:p>
    <w:p w14:paraId="40111219" w14:textId="73F6A038" w:rsidR="002718F9" w:rsidRDefault="002718F9" w:rsidP="002718F9">
      <w:pPr>
        <w:pStyle w:val="ListNo1alt"/>
      </w:pPr>
      <w:r w:rsidRPr="00E83602">
        <w:t>a decision-maker is not required to engage in a line-by-line repudiation of all of the evidence that is adduced before it</w:t>
      </w:r>
      <w:r w:rsidR="00CA78FE">
        <w:t>:</w:t>
      </w:r>
      <w:r w:rsidRPr="00E83602">
        <w:t xml:space="preserve"> </w:t>
      </w:r>
      <w:r w:rsidRPr="007B4081">
        <w:rPr>
          <w:i/>
        </w:rPr>
        <w:t xml:space="preserve">Minister for Home Affairs v </w:t>
      </w:r>
      <w:proofErr w:type="spellStart"/>
      <w:r w:rsidRPr="007B4081">
        <w:rPr>
          <w:i/>
        </w:rPr>
        <w:t>Buadromo</w:t>
      </w:r>
      <w:proofErr w:type="spellEnd"/>
      <w:r>
        <w:t xml:space="preserve"> (2018) 267 FCR 320 per</w:t>
      </w:r>
      <w:r w:rsidRPr="00E83602">
        <w:t xml:space="preserve"> Besanko, Bar</w:t>
      </w:r>
      <w:r>
        <w:t xml:space="preserve">ker and Bromwich JJ at </w:t>
      </w:r>
      <w:r w:rsidR="00035B7F">
        <w:t xml:space="preserve">333 </w:t>
      </w:r>
      <w:r>
        <w:t>[48]</w:t>
      </w:r>
      <w:r w:rsidRPr="00E83602">
        <w:t>.</w:t>
      </w:r>
    </w:p>
    <w:p w14:paraId="5B54BD1D" w14:textId="0E345019" w:rsidR="00A04820" w:rsidRDefault="00A04820" w:rsidP="00A04820">
      <w:pPr>
        <w:pStyle w:val="ParaNumbering"/>
      </w:pPr>
      <w:r>
        <w:t>The primary judge did not accept that the Tribunal</w:t>
      </w:r>
      <w:r w:rsidRPr="00E83602">
        <w:t xml:space="preserve"> overlooked the evidence of the appellant’s wife when considerati</w:t>
      </w:r>
      <w:r>
        <w:t xml:space="preserve">on </w:t>
      </w:r>
      <w:proofErr w:type="gramStart"/>
      <w:r>
        <w:t>was given</w:t>
      </w:r>
      <w:proofErr w:type="gramEnd"/>
      <w:r>
        <w:t xml:space="preserve"> to the Tribunal’s R</w:t>
      </w:r>
      <w:r w:rsidRPr="00E83602">
        <w:t>easons as a who</w:t>
      </w:r>
      <w:r>
        <w:t>le: Primary Decision [60]-[61]</w:t>
      </w:r>
      <w:r w:rsidRPr="00E83602">
        <w:t>.</w:t>
      </w:r>
      <w:r>
        <w:t xml:space="preserve">  This</w:t>
      </w:r>
      <w:r w:rsidRPr="00E83602">
        <w:t xml:space="preserve"> ground </w:t>
      </w:r>
      <w:r>
        <w:t xml:space="preserve">of review </w:t>
      </w:r>
      <w:r w:rsidRPr="00E83602">
        <w:t xml:space="preserve">was undermined by the repeated reference to the presence of the appellant’s wife in the Tribunal’s </w:t>
      </w:r>
      <w:r w:rsidR="00CA78FE">
        <w:t>R</w:t>
      </w:r>
      <w:r w:rsidRPr="00E83602">
        <w:t xml:space="preserve">easons. </w:t>
      </w:r>
      <w:r>
        <w:t xml:space="preserve"> </w:t>
      </w:r>
    </w:p>
    <w:p w14:paraId="5CE7F047" w14:textId="77777777" w:rsidR="00A04820" w:rsidRDefault="00A04820" w:rsidP="00A04820">
      <w:pPr>
        <w:pStyle w:val="ParaNumbering"/>
      </w:pPr>
      <w:r w:rsidRPr="00E83602">
        <w:t>The primary judge considered the appellant’s wife’s oral evid</w:t>
      </w:r>
      <w:r>
        <w:t xml:space="preserve">ence to the Tribunal </w:t>
      </w:r>
      <w:r w:rsidRPr="00E83602">
        <w:t>and found that it did not support the broad claim that the appellant was constantly accompanied by his wife at all times</w:t>
      </w:r>
      <w:r>
        <w:t xml:space="preserve">: Primary Decision [58]-[60].  </w:t>
      </w:r>
    </w:p>
    <w:p w14:paraId="194A9B91" w14:textId="1ACB34FB" w:rsidR="00303786" w:rsidRDefault="00A04820" w:rsidP="00A04820">
      <w:pPr>
        <w:pStyle w:val="ParaNumbering"/>
      </w:pPr>
      <w:r w:rsidRPr="00E83602">
        <w:t>The primary judge accepted the Minister’s submission that the appellant’s wife’s evidence “lacked cogency and did not inform in a material way the</w:t>
      </w:r>
      <w:r>
        <w:t xml:space="preserve"> question whether the [appellant</w:t>
      </w:r>
      <w:r w:rsidRPr="00E83602">
        <w:t>] was constantly accompanied by his wife at all times when in public, a</w:t>
      </w:r>
      <w:r>
        <w:t>t work or at University”: Primary Decision [60]</w:t>
      </w:r>
      <w:r w:rsidRPr="00E83602">
        <w:t>.</w:t>
      </w:r>
    </w:p>
    <w:p w14:paraId="00BC30EB" w14:textId="7B6D8A93" w:rsidR="00A04820" w:rsidRDefault="00A04820" w:rsidP="00A04820">
      <w:pPr>
        <w:pStyle w:val="ParaNumbering"/>
      </w:pPr>
      <w:r>
        <w:t>For these reasons, the primary judge rejected ground two: Primary Decision at [61].</w:t>
      </w:r>
    </w:p>
    <w:p w14:paraId="430F0944" w14:textId="5D90DA55" w:rsidR="00E10900" w:rsidRDefault="00A04820" w:rsidP="00E10900">
      <w:pPr>
        <w:pStyle w:val="Heading1"/>
      </w:pPr>
      <w:r>
        <w:lastRenderedPageBreak/>
        <w:t>APPELLANT’S SUBMISSIONS</w:t>
      </w:r>
    </w:p>
    <w:p w14:paraId="0C5DCAF2" w14:textId="75BBBBD8" w:rsidR="00E10900" w:rsidRDefault="008B2E24" w:rsidP="008B2E24">
      <w:pPr>
        <w:pStyle w:val="ParaNumbering"/>
      </w:pPr>
      <w:r>
        <w:t>The appellant submits that the primary judge erred in rejecting ground two and that the primary judge should have found that the Tribunal failed to consider critical corroborative evidence given by the appellant’s wife before refusing to accept the appellant’s claim that he was always accompanied by his wife or mother in Sri Lanka.</w:t>
      </w:r>
      <w:r w:rsidR="008E15B5">
        <w:t xml:space="preserve"> </w:t>
      </w:r>
      <w:r w:rsidR="006654B3">
        <w:t xml:space="preserve"> The appellant submit</w:t>
      </w:r>
      <w:r w:rsidR="00627D1C">
        <w:t>s</w:t>
      </w:r>
      <w:r w:rsidR="006654B3">
        <w:t xml:space="preserve"> that, to the extent the primary judge rejected ground 2 on the basis that the Tribunal had expressly referred to the wife’s evidence throughout its reasons, this was incorrect. </w:t>
      </w:r>
      <w:r w:rsidR="008E15B5">
        <w:t xml:space="preserve"> </w:t>
      </w:r>
      <w:r w:rsidR="00035B7F">
        <w:t>The appellant submits that</w:t>
      </w:r>
      <w:r w:rsidR="006654B3">
        <w:t xml:space="preserve"> the relevant question before the primary judge was what the Tribunal’s </w:t>
      </w:r>
      <w:r w:rsidR="00CA78FE">
        <w:t>R</w:t>
      </w:r>
      <w:r w:rsidR="006654B3">
        <w:t>easons revealed about the</w:t>
      </w:r>
      <w:r w:rsidR="00627D1C">
        <w:t xml:space="preserve"> Tribunal’s</w:t>
      </w:r>
      <w:r w:rsidR="006654B3">
        <w:t xml:space="preserve"> performance of its statutory task</w:t>
      </w:r>
      <w:r w:rsidR="00627D1C">
        <w:t xml:space="preserve">; that is, whether it had formed the requisite state of satisfaction under s 65 of the </w:t>
      </w:r>
      <w:r w:rsidR="00627D1C" w:rsidRPr="00B33D45">
        <w:rPr>
          <w:i/>
        </w:rPr>
        <w:t>Migration Act 1958</w:t>
      </w:r>
      <w:r w:rsidR="00627D1C">
        <w:t xml:space="preserve"> (</w:t>
      </w:r>
      <w:proofErr w:type="spellStart"/>
      <w:r w:rsidR="00627D1C">
        <w:t>Cth</w:t>
      </w:r>
      <w:proofErr w:type="spellEnd"/>
      <w:r w:rsidR="00627D1C">
        <w:t>) in respect of the criterion for a visa in issue before it.</w:t>
      </w:r>
      <w:r w:rsidR="006654B3">
        <w:t xml:space="preserve">   </w:t>
      </w:r>
    </w:p>
    <w:p w14:paraId="45C4D49B" w14:textId="3C24D7E0" w:rsidR="00A87761" w:rsidRDefault="001176BC" w:rsidP="007B74B7">
      <w:pPr>
        <w:pStyle w:val="ParaNumbering"/>
      </w:pPr>
      <w:r>
        <w:t xml:space="preserve">The appellant </w:t>
      </w:r>
      <w:r w:rsidR="00A87761">
        <w:t xml:space="preserve">notes that, in its dispositive paragraph (Tribunal’s Reasons [75]), the Tribunal did not advert to </w:t>
      </w:r>
      <w:r w:rsidR="00035B7F">
        <w:t>the appellant’s</w:t>
      </w:r>
      <w:r w:rsidR="00A87761">
        <w:t xml:space="preserve"> wife’s evidence</w:t>
      </w:r>
      <w:r w:rsidR="00035B7F">
        <w:t>,</w:t>
      </w:r>
      <w:r w:rsidR="00A87761">
        <w:t xml:space="preserve"> which</w:t>
      </w:r>
      <w:r w:rsidR="00035B7F">
        <w:t xml:space="preserve"> the appellant submits</w:t>
      </w:r>
      <w:r w:rsidR="00A87761">
        <w:t xml:space="preserve"> corroborated his claim</w:t>
      </w:r>
      <w:r w:rsidR="00035B7F">
        <w:t xml:space="preserve"> that he was constantly accompanied by his wife or mother</w:t>
      </w:r>
      <w:r w:rsidR="00A87761">
        <w:t xml:space="preserve">. </w:t>
      </w:r>
      <w:r w:rsidR="008E15B5">
        <w:t xml:space="preserve"> </w:t>
      </w:r>
      <w:r w:rsidR="00A87761">
        <w:t xml:space="preserve">The appellant </w:t>
      </w:r>
      <w:r>
        <w:t xml:space="preserve">submits that </w:t>
      </w:r>
      <w:r w:rsidR="00D76827">
        <w:t xml:space="preserve">his </w:t>
      </w:r>
      <w:r>
        <w:t>wife’s evidence was favourable evidence capable of overcoming the Tribunal’s concern about the appellant being constantly accompanied by his wife or mother when in public in Sri Lanka.</w:t>
      </w:r>
      <w:r w:rsidR="008E15B5">
        <w:t xml:space="preserve">  </w:t>
      </w:r>
      <w:r>
        <w:t xml:space="preserve">The appellant submits that contrary to the primary judge’s conclusion, </w:t>
      </w:r>
      <w:r w:rsidR="00A87761">
        <w:t xml:space="preserve">his </w:t>
      </w:r>
      <w:r>
        <w:t>wife’s evidence did “inform in a material way the question whether the [</w:t>
      </w:r>
      <w:r w:rsidR="00A834D7">
        <w:t>appellant</w:t>
      </w:r>
      <w:r>
        <w:t xml:space="preserve">] was constantly accompanied”: </w:t>
      </w:r>
      <w:r w:rsidR="00A87761">
        <w:t>cont</w:t>
      </w:r>
      <w:r w:rsidR="007C2E61">
        <w:t>r</w:t>
      </w:r>
      <w:r w:rsidR="00A87761">
        <w:t xml:space="preserve">a </w:t>
      </w:r>
      <w:r>
        <w:t>Primary Decision [60].</w:t>
      </w:r>
      <w:r w:rsidR="008E15B5">
        <w:t xml:space="preserve">  </w:t>
      </w:r>
      <w:r w:rsidR="00A87761">
        <w:t xml:space="preserve">The appellant submits that, if the Tribunal was to dismiss his wife’s evidence, the Tribunal was required to provide a reason for doing so. </w:t>
      </w:r>
      <w:r w:rsidR="008E15B5">
        <w:t xml:space="preserve"> </w:t>
      </w:r>
      <w:r w:rsidR="00A87761">
        <w:t>The appellant submit</w:t>
      </w:r>
      <w:r w:rsidR="00035B7F">
        <w:t>s</w:t>
      </w:r>
      <w:r w:rsidR="00A87761">
        <w:t xml:space="preserve"> this </w:t>
      </w:r>
      <w:r w:rsidR="00035B7F">
        <w:t>is</w:t>
      </w:r>
      <w:r w:rsidR="00A87761">
        <w:t xml:space="preserve"> particularly so given that the Tribunal accepted his wife’s evidence as credible in some respects and relied upon it in various parts of its reasons: see Tribunal’s Reasons [76], [81], [99], [118], [120].</w:t>
      </w:r>
    </w:p>
    <w:p w14:paraId="2E02BD1C" w14:textId="2806B0A1" w:rsidR="00A6661C" w:rsidRDefault="00A6661C" w:rsidP="00766B13">
      <w:pPr>
        <w:pStyle w:val="ParaNumbering"/>
      </w:pPr>
      <w:r>
        <w:t xml:space="preserve">The appellant accepts that his wife’s evidence before the Tribunal was not developed in a florid way. </w:t>
      </w:r>
      <w:r w:rsidR="008E15B5">
        <w:t xml:space="preserve"> </w:t>
      </w:r>
      <w:r>
        <w:t xml:space="preserve">However, the appellant submits that this was because </w:t>
      </w:r>
      <w:r w:rsidR="00035B7F">
        <w:t>the appellant’s</w:t>
      </w:r>
      <w:r>
        <w:t xml:space="preserve"> wife was giving evidence of her “normal”. </w:t>
      </w:r>
      <w:r w:rsidR="008E15B5">
        <w:t xml:space="preserve"> </w:t>
      </w:r>
      <w:r>
        <w:t>The appellant further submits that his wife’s evidence was not required to rise higher than it did, having regard to the Tribunal’s processes, the fact that the appellant was not represented, and the fact that his wife was not pressed on her evidence.</w:t>
      </w:r>
    </w:p>
    <w:p w14:paraId="1EE2DD3D" w14:textId="724A835A" w:rsidR="00542D57" w:rsidRDefault="00A6661C" w:rsidP="00766B13">
      <w:pPr>
        <w:pStyle w:val="ParaNumbering"/>
      </w:pPr>
      <w:r>
        <w:t xml:space="preserve">Finally, the appellant submits that it was not for the primary judge to consider the merits of his wife’s evidence. </w:t>
      </w:r>
      <w:r w:rsidR="008E15B5">
        <w:t xml:space="preserve"> </w:t>
      </w:r>
      <w:r w:rsidR="00035B7F">
        <w:t>The Tribunal</w:t>
      </w:r>
      <w:r>
        <w:t xml:space="preserve"> was only required to consider whether, if accepted as true, </w:t>
      </w:r>
      <w:r w:rsidR="00035B7F">
        <w:t>the appellant’s wife’s evidence</w:t>
      </w:r>
      <w:r>
        <w:t xml:space="preserve"> was capable of supporting the appellant’s case. </w:t>
      </w:r>
    </w:p>
    <w:p w14:paraId="43C3F16B" w14:textId="2EA82DD5" w:rsidR="00A04820" w:rsidRDefault="00A04820" w:rsidP="00B33D45">
      <w:pPr>
        <w:pStyle w:val="Heading1"/>
      </w:pPr>
      <w:r>
        <w:lastRenderedPageBreak/>
        <w:t>CONSIDERATION</w:t>
      </w:r>
    </w:p>
    <w:p w14:paraId="13663CA3" w14:textId="0E25A2A4" w:rsidR="00536CF5" w:rsidRDefault="00B36B49" w:rsidP="00B36B49">
      <w:pPr>
        <w:pStyle w:val="ParaNumbering"/>
      </w:pPr>
      <w:r>
        <w:t>The Court’s inquiry in the case of an allegation that the Tribunal failed to consider material</w:t>
      </w:r>
      <w:r w:rsidR="00E07C95">
        <w:t xml:space="preserve"> relevant to a factual finding</w:t>
      </w:r>
      <w:r>
        <w:t xml:space="preserve"> is set out in </w:t>
      </w:r>
      <w:r w:rsidRPr="00B33D45">
        <w:rPr>
          <w:i/>
        </w:rPr>
        <w:t>Khalil v Minister for Immigration, Citizenship, Migrant Services and Multicultural Affairs</w:t>
      </w:r>
      <w:r w:rsidRPr="00B36B49">
        <w:t xml:space="preserve"> [2022] FCAFC 26</w:t>
      </w:r>
      <w:r>
        <w:t xml:space="preserve"> per </w:t>
      </w:r>
      <w:r w:rsidRPr="00B36B49">
        <w:t xml:space="preserve">Katzmann, Banks-Smith and </w:t>
      </w:r>
      <w:proofErr w:type="spellStart"/>
      <w:r w:rsidRPr="00B36B49">
        <w:t>Rofe</w:t>
      </w:r>
      <w:proofErr w:type="spellEnd"/>
      <w:r w:rsidRPr="00B36B49">
        <w:t xml:space="preserve"> JJ</w:t>
      </w:r>
      <w:r>
        <w:t xml:space="preserve"> at [69]</w:t>
      </w:r>
      <w:r w:rsidR="00035B7F">
        <w:t>-[70]</w:t>
      </w:r>
      <w:r w:rsidR="00F733D3">
        <w:t>:</w:t>
      </w:r>
    </w:p>
    <w:p w14:paraId="1522A6D4" w14:textId="70CCE65F" w:rsidR="00F733D3" w:rsidRDefault="00F733D3" w:rsidP="00F733D3">
      <w:pPr>
        <w:pStyle w:val="Quote1"/>
      </w:pPr>
      <w:r>
        <w:t xml:space="preserve">Of course, ignoring material relevant only to fact-finding does not of itself give rise to jurisdictional error:  </w:t>
      </w:r>
      <w:r w:rsidRPr="00B33D45">
        <w:rPr>
          <w:i/>
        </w:rPr>
        <w:t xml:space="preserve">Minister for Immigration and Citizenship v SZRKT </w:t>
      </w:r>
      <w:r>
        <w:t xml:space="preserve">(2013) 212 FCR 99 at [97].  As we have already observed, it was not necessary for the Tribunal to refer to every piece of evidence.  Moreover, there is a distinction between a failure by the Tribunal to advert to evidence which, if accepted, might have caused it to come to a different finding of fact and a failure by the Tribunal to address a contention which, if accepted, might establish the elements of a statutory claim:  </w:t>
      </w:r>
      <w:r w:rsidRPr="00B33D45">
        <w:rPr>
          <w:i/>
        </w:rPr>
        <w:t>WAEE</w:t>
      </w:r>
      <w:r>
        <w:t xml:space="preserve"> at [44]–[46].</w:t>
      </w:r>
    </w:p>
    <w:p w14:paraId="7E333457" w14:textId="35DFFD0F" w:rsidR="00F733D3" w:rsidRDefault="00F733D3" w:rsidP="00B33D45">
      <w:pPr>
        <w:pStyle w:val="Quote1"/>
      </w:pPr>
      <w:r>
        <w:t xml:space="preserve">In determining whether it is a jurisdictional error to fail to consider certain evidence, “the fundamental question must be the importance of the [evidence] to the exercise of the Tribunal’s function and thus the seriousness of any error”: </w:t>
      </w:r>
      <w:r w:rsidRPr="00B33D45">
        <w:rPr>
          <w:i/>
        </w:rPr>
        <w:t>SZRKT</w:t>
      </w:r>
      <w:r>
        <w:t xml:space="preserve"> at [111] (Robertson J), endorsed by the Full Court in M</w:t>
      </w:r>
      <w:r w:rsidRPr="00B33D45">
        <w:rPr>
          <w:i/>
        </w:rPr>
        <w:t>inister for Immigration and Border Protection v MZYTS</w:t>
      </w:r>
      <w:r>
        <w:t xml:space="preserve"> (2013) 230 FCR 431 at [70] (Kenny, Griffiths and Mortimer JJ).  Moreover, “it is important not to reason that because a failure to deal with some (insubstantial or inconsequential) evidence will, in some circumstances, not establish jurisdictional error, then a failure to deal with any (substantial and consequential) evidence will also not establish jurisdictional error”:  </w:t>
      </w:r>
      <w:r w:rsidRPr="00B33D45">
        <w:rPr>
          <w:i/>
        </w:rPr>
        <w:t>SZRTK</w:t>
      </w:r>
      <w:r>
        <w:t xml:space="preserve"> at [111].</w:t>
      </w:r>
    </w:p>
    <w:p w14:paraId="3BDACF51" w14:textId="3E4DE59D" w:rsidR="00536CF5" w:rsidRDefault="00536CF5" w:rsidP="00F733D3">
      <w:pPr>
        <w:pStyle w:val="ParaNumbering"/>
      </w:pPr>
      <w:r>
        <w:t xml:space="preserve">Further, as </w:t>
      </w:r>
      <w:r w:rsidR="00F733D3">
        <w:t>stated</w:t>
      </w:r>
      <w:r>
        <w:t xml:space="preserve"> by</w:t>
      </w:r>
      <w:r w:rsidR="00F733D3">
        <w:t xml:space="preserve"> the</w:t>
      </w:r>
      <w:r w:rsidR="00FD22FD">
        <w:t xml:space="preserve"> Full</w:t>
      </w:r>
      <w:r w:rsidR="00F733D3">
        <w:t xml:space="preserve"> Court in </w:t>
      </w:r>
      <w:r w:rsidR="00F733D3" w:rsidRPr="00B33D45">
        <w:rPr>
          <w:i/>
        </w:rPr>
        <w:t>Applicant WAEE v Minister for Immigration &amp; Multicultural &amp; Indigenous Affairs</w:t>
      </w:r>
      <w:r w:rsidR="00F733D3">
        <w:t xml:space="preserve"> (2003) 256 FCR 593 per </w:t>
      </w:r>
      <w:r w:rsidR="00F733D3" w:rsidRPr="00F733D3">
        <w:t xml:space="preserve">French, Sackville and </w:t>
      </w:r>
      <w:proofErr w:type="spellStart"/>
      <w:r w:rsidR="00F733D3" w:rsidRPr="00F733D3">
        <w:t>Hely</w:t>
      </w:r>
      <w:proofErr w:type="spellEnd"/>
      <w:r w:rsidR="00F733D3" w:rsidRPr="00F733D3">
        <w:t xml:space="preserve"> J</w:t>
      </w:r>
      <w:r w:rsidR="00F733D3">
        <w:t xml:space="preserve"> at 604 [46]</w:t>
      </w:r>
      <w:r>
        <w:t xml:space="preserve"> </w:t>
      </w:r>
      <w:r w:rsidR="00F733D3">
        <w:t>about the then Refugee Review Tribunal</w:t>
      </w:r>
      <w:r>
        <w:t>:</w:t>
      </w:r>
    </w:p>
    <w:p w14:paraId="7D884F28" w14:textId="77BFB9B4" w:rsidR="00F733D3" w:rsidRDefault="00F733D3" w:rsidP="00B33D45">
      <w:pPr>
        <w:pStyle w:val="Quote1"/>
      </w:pPr>
      <w:r>
        <w:t xml:space="preserve">The Tribunal is not a court. </w:t>
      </w:r>
      <w:r w:rsidR="008E15B5">
        <w:t xml:space="preserve"> </w:t>
      </w:r>
      <w:r>
        <w:t xml:space="preserve">It is an administrative body operating in an environment which requires the expeditious determination of a high volume of applications. </w:t>
      </w:r>
      <w:r w:rsidR="008E15B5">
        <w:t xml:space="preserve"> </w:t>
      </w:r>
      <w:r>
        <w:t xml:space="preserve">Each of the applications it decides is, of course, of great importance. Some of its decisions may literally be life and death decisions for the applicant. Nevertheless, it is an administrative body and not a court and its reasons are not to be scrutinised “with an eye keenly attuned to error”. </w:t>
      </w:r>
      <w:r w:rsidR="008E15B5">
        <w:t xml:space="preserve"> </w:t>
      </w:r>
      <w:r>
        <w:t>Nor is it necessarily required to provide reasons of the kind that might be expected of a court of law.</w:t>
      </w:r>
    </w:p>
    <w:p w14:paraId="23791F16" w14:textId="3F0DE7A9" w:rsidR="00F733D3" w:rsidRDefault="00F733D3" w:rsidP="00F733D3">
      <w:pPr>
        <w:pStyle w:val="ParaNumbering"/>
      </w:pPr>
      <w:r>
        <w:t xml:space="preserve">The above statement has been quoted with approval by the </w:t>
      </w:r>
      <w:r w:rsidR="00FD22FD">
        <w:t xml:space="preserve">Full </w:t>
      </w:r>
      <w:r>
        <w:t xml:space="preserve">Court in the context of an appeal from a decision of the Administrative Appeal Tribunal in </w:t>
      </w:r>
      <w:r w:rsidRPr="00B33D45">
        <w:rPr>
          <w:i/>
        </w:rPr>
        <w:t>Pearson v Minister for Immigration, Citizenship, Migrant Services and Multicultural Affairs</w:t>
      </w:r>
      <w:r>
        <w:t xml:space="preserve"> </w:t>
      </w:r>
      <w:r w:rsidRPr="00F733D3">
        <w:t>[2022] FCAFC 22</w:t>
      </w:r>
      <w:r>
        <w:t xml:space="preserve"> per </w:t>
      </w:r>
      <w:r w:rsidRPr="00F733D3">
        <w:t>Perry, Downes and McElwaine JJ</w:t>
      </w:r>
      <w:r>
        <w:t xml:space="preserve"> at [41]</w:t>
      </w:r>
      <w:r w:rsidRPr="00F733D3">
        <w:t>.</w:t>
      </w:r>
    </w:p>
    <w:p w14:paraId="7B4115C2" w14:textId="7A8DBE8C" w:rsidR="00FD0D0B" w:rsidRDefault="00FD0D0B" w:rsidP="00F534E8">
      <w:pPr>
        <w:pStyle w:val="ParaNumbering"/>
      </w:pPr>
      <w:r>
        <w:t>A review of the Tribunal’s Reasons at [73]-[76] disclose</w:t>
      </w:r>
      <w:r w:rsidR="00A04820">
        <w:t>s</w:t>
      </w:r>
      <w:r>
        <w:t xml:space="preserve"> that the Tribunal addressed the appellant’s claim that he had not experienced problems in Sri Lanka in the past as an intersex person because he had been constantly accompanied by either his mother or wife.  </w:t>
      </w:r>
      <w:r w:rsidR="008E15B5">
        <w:t xml:space="preserve"> </w:t>
      </w:r>
      <w:r w:rsidR="00035B7F">
        <w:t>Therefore, contrary to the appellant’s submissions, t</w:t>
      </w:r>
      <w:r>
        <w:t>his is</w:t>
      </w:r>
      <w:r w:rsidR="00035B7F">
        <w:t xml:space="preserve"> </w:t>
      </w:r>
      <w:r>
        <w:t xml:space="preserve">not a case about whether the Tribunal failed to perform its statutory task by failing to consider </w:t>
      </w:r>
      <w:r w:rsidR="00E07C95">
        <w:t>the appellant’s</w:t>
      </w:r>
      <w:r>
        <w:t xml:space="preserve"> claim: </w:t>
      </w:r>
      <w:proofErr w:type="spellStart"/>
      <w:r w:rsidRPr="00E83602">
        <w:t>cf</w:t>
      </w:r>
      <w:proofErr w:type="spellEnd"/>
      <w:r w:rsidRPr="00E83602">
        <w:t xml:space="preserve"> </w:t>
      </w:r>
      <w:r w:rsidRPr="007B4081">
        <w:rPr>
          <w:i/>
        </w:rPr>
        <w:t xml:space="preserve">Minister for </w:t>
      </w:r>
      <w:r w:rsidRPr="007B4081">
        <w:rPr>
          <w:i/>
        </w:rPr>
        <w:lastRenderedPageBreak/>
        <w:t>Immigratio</w:t>
      </w:r>
      <w:r>
        <w:rPr>
          <w:i/>
        </w:rPr>
        <w:t>n and Border Protection v MZYTS</w:t>
      </w:r>
      <w:r>
        <w:t xml:space="preserve"> (2013) 230 FCR 431</w:t>
      </w:r>
      <w:r w:rsidR="005E6CD7" w:rsidRPr="005E6CD7">
        <w:t xml:space="preserve"> </w:t>
      </w:r>
      <w:r w:rsidR="005E6CD7">
        <w:t xml:space="preserve">per </w:t>
      </w:r>
      <w:r w:rsidR="005E6CD7" w:rsidRPr="00F534E8">
        <w:t>Kenny, Griffiths and Mortimer JJ</w:t>
      </w:r>
      <w:r>
        <w:t xml:space="preserve"> at 448-449, [57]. </w:t>
      </w:r>
      <w:r w:rsidRPr="00E83602">
        <w:t xml:space="preserve"> The question for the primary judge was whether, in undertaking </w:t>
      </w:r>
      <w:r w:rsidR="00E07C95">
        <w:t>its</w:t>
      </w:r>
      <w:r>
        <w:t xml:space="preserve"> statutory</w:t>
      </w:r>
      <w:r w:rsidRPr="00E83602">
        <w:t xml:space="preserve"> task, the Tribunal had </w:t>
      </w:r>
      <w:r w:rsidR="00536CF5">
        <w:t>failed to consider</w:t>
      </w:r>
      <w:r w:rsidR="00536CF5" w:rsidRPr="00E83602">
        <w:t xml:space="preserve"> </w:t>
      </w:r>
      <w:r w:rsidRPr="00E83602">
        <w:t>the appellant’s wife’s evidence.</w:t>
      </w:r>
    </w:p>
    <w:p w14:paraId="4EB20ECB" w14:textId="23F3C029" w:rsidR="00932E33" w:rsidRDefault="009E4834" w:rsidP="00B36B49">
      <w:pPr>
        <w:pStyle w:val="ParaNumbering"/>
      </w:pPr>
      <w:r>
        <w:t>As to this question, t</w:t>
      </w:r>
      <w:r w:rsidR="00932E33">
        <w:t xml:space="preserve">he primary judge was correct to approach the question of whether the Tribunal considered the appellant’s wife’s evidence by considering what inferences can be drawn from its Reasons. </w:t>
      </w:r>
    </w:p>
    <w:p w14:paraId="68896121" w14:textId="4F161B23" w:rsidR="00B36B49" w:rsidRDefault="00E07C95" w:rsidP="00B36B49">
      <w:pPr>
        <w:pStyle w:val="ParaNumbering"/>
      </w:pPr>
      <w:r>
        <w:t>The primary judge at Primary Decision [60] found that it was inherently improbable that the Tribunal had overlooked the appellant’s wife’s evidence.  The primary judge found that such a conclusion was undermined by the reference to the appellant’s wife in the Tribunal’s Reasons at [1], [6], [34], [38]-[39], [42], [70], [74]-[76], [99], [115], [118], [120], [124]-[126] and [142].  In these circumstances, the primary judge was not prepared to infer that the appellant’s wife’s evidence was overlooked or that the Tribunal failed to engage in an active intellectual way with the wife’s evidence as given at the hearing.</w:t>
      </w:r>
    </w:p>
    <w:p w14:paraId="4ADC1443" w14:textId="78E49D15" w:rsidR="00B36B49" w:rsidRDefault="00E07C95" w:rsidP="009E4834">
      <w:pPr>
        <w:pStyle w:val="ParaNumbering"/>
      </w:pPr>
      <w:r>
        <w:t>Whilst the Tribunal’s Reasons at [75] did not expressly refer to the wife’s evidence, the Tribunal</w:t>
      </w:r>
      <w:r w:rsidR="00035B7F">
        <w:t>’s Reasons at [81]</w:t>
      </w:r>
      <w:r>
        <w:t xml:space="preserve"> did refer to the wife’s evidence</w:t>
      </w:r>
      <w:r w:rsidR="00035B7F">
        <w:t>,</w:t>
      </w:r>
      <w:r>
        <w:t xml:space="preserve"> noting</w:t>
      </w:r>
      <w:r w:rsidR="00035B7F">
        <w:t xml:space="preserve"> that</w:t>
      </w:r>
      <w:r>
        <w:t xml:space="preserve"> the wife “always goes out with him</w:t>
      </w:r>
      <w:r w:rsidR="00DA3420">
        <w:t xml:space="preserve"> </w:t>
      </w:r>
      <w:r w:rsidR="00B36B49">
        <w:t>in Sri Lanka”.</w:t>
      </w:r>
      <w:r w:rsidR="00CD34CA">
        <w:t xml:space="preserve"> </w:t>
      </w:r>
      <w:r w:rsidR="00911B13">
        <w:t xml:space="preserve"> </w:t>
      </w:r>
      <w:r w:rsidR="009E4834">
        <w:t>This reference appears only six paragraphs after the Tribunal’s Reasons at [75] rejecting the appellant’s claim that he was always accompanied by his wife</w:t>
      </w:r>
      <w:r w:rsidR="007B00C3">
        <w:t xml:space="preserve"> or mother</w:t>
      </w:r>
      <w:r w:rsidR="009E4834">
        <w:t xml:space="preserve">. </w:t>
      </w:r>
      <w:r w:rsidR="00911B13">
        <w:t xml:space="preserve"> </w:t>
      </w:r>
      <w:r w:rsidR="009E4834">
        <w:t>Given this reference</w:t>
      </w:r>
      <w:r w:rsidR="00351BBD">
        <w:t xml:space="preserve"> to the appellant’s wife’s evidence</w:t>
      </w:r>
      <w:r w:rsidR="009E4834">
        <w:t xml:space="preserve">, I consider </w:t>
      </w:r>
      <w:r w:rsidR="007E6B43">
        <w:t>it</w:t>
      </w:r>
      <w:r w:rsidR="009E4834">
        <w:t xml:space="preserve"> improbable that the Tribunal did not consider th</w:t>
      </w:r>
      <w:r w:rsidR="00351BBD">
        <w:t>at</w:t>
      </w:r>
      <w:r w:rsidR="009E4834">
        <w:t xml:space="preserve"> evidence in reaching its conclusion at [75].</w:t>
      </w:r>
    </w:p>
    <w:p w14:paraId="45413D7E" w14:textId="6D147D5B" w:rsidR="000A0050" w:rsidRDefault="000A0050" w:rsidP="0065289D">
      <w:pPr>
        <w:pStyle w:val="ParaNumbering"/>
      </w:pPr>
      <w:r>
        <w:t>I do not accept the appellant’s submission that the Tribunal was required to give separate reasons for dismissing the appellant’s wife’s evidence, and that a lack of such reasons indicates that the evidence was overlooked.</w:t>
      </w:r>
      <w:r w:rsidR="0065289D">
        <w:t xml:space="preserve"> </w:t>
      </w:r>
      <w:r w:rsidR="00911B13">
        <w:t xml:space="preserve"> </w:t>
      </w:r>
      <w:r w:rsidR="0065289D">
        <w:t xml:space="preserve">This Court has previously stated that an obligation to give reasons does not require a “line-by-line refutation” of evidence that is contrary to findings of material fact made by the </w:t>
      </w:r>
      <w:r w:rsidR="00351BBD">
        <w:t>Tribunal</w:t>
      </w:r>
      <w:r w:rsidR="0065289D">
        <w:t xml:space="preserve">. </w:t>
      </w:r>
      <w:r w:rsidR="00911B13">
        <w:t xml:space="preserve"> </w:t>
      </w:r>
      <w:r w:rsidR="0065289D">
        <w:t xml:space="preserve">The Tribunal must give reasons for its decision. </w:t>
      </w:r>
      <w:r w:rsidR="00911B13">
        <w:t xml:space="preserve"> </w:t>
      </w:r>
      <w:r w:rsidR="0065289D">
        <w:t xml:space="preserve">It is not required to specify the sub-set of reasons why it accepted or rejected individual pieces of evidence: </w:t>
      </w:r>
      <w:r w:rsidR="0065289D" w:rsidRPr="00351BBD">
        <w:rPr>
          <w:i/>
        </w:rPr>
        <w:t xml:space="preserve">Minister for Home Affairs v </w:t>
      </w:r>
      <w:proofErr w:type="spellStart"/>
      <w:r w:rsidR="0065289D" w:rsidRPr="00351BBD">
        <w:rPr>
          <w:i/>
        </w:rPr>
        <w:t>Buadromo</w:t>
      </w:r>
      <w:proofErr w:type="spellEnd"/>
      <w:r w:rsidR="0065289D" w:rsidRPr="0065289D">
        <w:t xml:space="preserve"> </w:t>
      </w:r>
      <w:r w:rsidR="0065289D">
        <w:t>(2018) 267 FCR 320</w:t>
      </w:r>
      <w:r w:rsidR="0065289D" w:rsidRPr="0065289D">
        <w:t xml:space="preserve"> </w:t>
      </w:r>
      <w:r w:rsidR="0065289D">
        <w:t xml:space="preserve">at 333 </w:t>
      </w:r>
      <w:r w:rsidR="00035B7F">
        <w:t>[48]</w:t>
      </w:r>
      <w:r w:rsidR="0065289D">
        <w:t>.</w:t>
      </w:r>
    </w:p>
    <w:p w14:paraId="549A0748" w14:textId="0544BA8C" w:rsidR="000A0050" w:rsidRDefault="000A0050" w:rsidP="000A0050">
      <w:pPr>
        <w:pStyle w:val="ParaNumbering"/>
      </w:pPr>
      <w:r>
        <w:t xml:space="preserve">The appellant’s wife’s evidence must be </w:t>
      </w:r>
      <w:r w:rsidR="00B85D64">
        <w:t>understood</w:t>
      </w:r>
      <w:r>
        <w:t xml:space="preserve"> in context. </w:t>
      </w:r>
      <w:r w:rsidR="00911B13">
        <w:t xml:space="preserve"> </w:t>
      </w:r>
      <w:proofErr w:type="gramStart"/>
      <w:r>
        <w:t xml:space="preserve">The Tribunal’s concern, as expressed at [72]-[73] of its Reasons, was that the appellant’s claim to fear harm </w:t>
      </w:r>
      <w:r w:rsidR="00B85D64">
        <w:t xml:space="preserve">on the basis of his intersex status </w:t>
      </w:r>
      <w:r>
        <w:t xml:space="preserve">was inconsistent with his education and employment history in Sri Lanka, and the fact that he had not been arrested or been without employment or in education other </w:t>
      </w:r>
      <w:r>
        <w:lastRenderedPageBreak/>
        <w:t>than for a two week period despite living in Sri Lanka for extended periods of time.</w:t>
      </w:r>
      <w:proofErr w:type="gramEnd"/>
      <w:r>
        <w:t xml:space="preserve"> </w:t>
      </w:r>
      <w:r w:rsidR="00911B13">
        <w:t xml:space="preserve"> </w:t>
      </w:r>
      <w:r>
        <w:t xml:space="preserve">The appellant attributed this to being constantly accompanied by his mother or his wife.    </w:t>
      </w:r>
    </w:p>
    <w:p w14:paraId="618DCF12" w14:textId="61DBB6A3" w:rsidR="001C1547" w:rsidRPr="00E83602" w:rsidRDefault="006246C3">
      <w:pPr>
        <w:pStyle w:val="ParaNumbering"/>
      </w:pPr>
      <w:r>
        <w:t xml:space="preserve">The primary judge was correct to consider whether </w:t>
      </w:r>
      <w:r w:rsidR="007B00C3">
        <w:t>the appellant’s</w:t>
      </w:r>
      <w:r>
        <w:t xml:space="preserve"> wife’s evidence assisted </w:t>
      </w:r>
      <w:r w:rsidR="00B85D64">
        <w:t>this</w:t>
      </w:r>
      <w:r>
        <w:t xml:space="preserve"> claim. </w:t>
      </w:r>
      <w:r w:rsidR="00911B13">
        <w:t xml:space="preserve"> </w:t>
      </w:r>
      <w:r w:rsidR="00B85D64">
        <w:t>Three</w:t>
      </w:r>
      <w:r>
        <w:t xml:space="preserve"> observations can be made about the appellant’s wife’s evidence. </w:t>
      </w:r>
      <w:r w:rsidR="00B85D64">
        <w:t xml:space="preserve"> </w:t>
      </w:r>
      <w:r>
        <w:t xml:space="preserve">First, his wife could not give any direct evidence of whether the appellant was always accompanied by his mother; his wife could only give direct evidence about whether she constantly accompanied the appellant. </w:t>
      </w:r>
      <w:r w:rsidR="00911B13">
        <w:t xml:space="preserve"> </w:t>
      </w:r>
      <w:r>
        <w:t>No evidence was provided by the appellant’s mother in support of his claim.</w:t>
      </w:r>
      <w:r w:rsidR="00B85D64">
        <w:t xml:space="preserve"> </w:t>
      </w:r>
      <w:r>
        <w:t xml:space="preserve">  Secondly, a</w:t>
      </w:r>
      <w:r w:rsidR="001C1547">
        <w:t xml:space="preserve"> review of the </w:t>
      </w:r>
      <w:r w:rsidR="007B00C3">
        <w:t>t</w:t>
      </w:r>
      <w:r w:rsidR="001C1547">
        <w:t xml:space="preserve">ranscript of the wife’s evidence and the answers given </w:t>
      </w:r>
      <w:r w:rsidR="00B85D64">
        <w:t>by his</w:t>
      </w:r>
      <w:r w:rsidR="001C1547">
        <w:t xml:space="preserve"> wife at </w:t>
      </w:r>
      <w:r w:rsidR="00614A79">
        <w:t>answers</w:t>
      </w:r>
      <w:r w:rsidR="001C1547">
        <w:t xml:space="preserve"> 56, 78</w:t>
      </w:r>
      <w:r w:rsidR="00B33D45">
        <w:t xml:space="preserve"> and</w:t>
      </w:r>
      <w:r w:rsidR="001C1547">
        <w:t xml:space="preserve"> 8</w:t>
      </w:r>
      <w:r w:rsidR="00614A79">
        <w:t>6</w:t>
      </w:r>
      <w:r w:rsidR="001C1547">
        <w:t xml:space="preserve"> demonstrate that </w:t>
      </w:r>
      <w:r w:rsidR="00956F6D">
        <w:t xml:space="preserve">his </w:t>
      </w:r>
      <w:r w:rsidR="001C1547">
        <w:t>wife’s evidence was vague, general and imprecise.</w:t>
      </w:r>
      <w:r>
        <w:t xml:space="preserve"> </w:t>
      </w:r>
      <w:r w:rsidR="00911B13">
        <w:t xml:space="preserve"> </w:t>
      </w:r>
      <w:r w:rsidR="00956F6D">
        <w:t>Thirdly</w:t>
      </w:r>
      <w:r w:rsidR="00B33D45">
        <w:t>, the</w:t>
      </w:r>
      <w:r>
        <w:t xml:space="preserve"> appellant’s wife’s</w:t>
      </w:r>
      <w:r w:rsidR="007B00C3">
        <w:t xml:space="preserve"> response at</w:t>
      </w:r>
      <w:r w:rsidR="00E07C95">
        <w:t xml:space="preserve"> answer 106 was</w:t>
      </w:r>
      <w:r w:rsidR="00B33D45">
        <w:t>, at best, unclear –</w:t>
      </w:r>
      <w:r>
        <w:t xml:space="preserve"> she stated that </w:t>
      </w:r>
      <w:r w:rsidR="00B33D45">
        <w:t xml:space="preserve">“most of the time we are with him” and “sometimes mother is always with him”. </w:t>
      </w:r>
      <w:r w:rsidR="00911B13">
        <w:t xml:space="preserve"> </w:t>
      </w:r>
      <w:r w:rsidR="00B33D45">
        <w:t xml:space="preserve">Overall, </w:t>
      </w:r>
      <w:r w:rsidR="00E07C95">
        <w:t>the appellant’s</w:t>
      </w:r>
      <w:r w:rsidR="00B33D45">
        <w:t xml:space="preserve"> evidence was not capable of addressing the Tribunal’s concern about whether the appellant was accompanied</w:t>
      </w:r>
      <w:r w:rsidR="00956F6D">
        <w:t xml:space="preserve"> by either his wife or mother</w:t>
      </w:r>
      <w:r w:rsidR="00B33D45">
        <w:t xml:space="preserve"> at all times. </w:t>
      </w:r>
    </w:p>
    <w:p w14:paraId="4FAF63A9" w14:textId="3076C218" w:rsidR="000C0A2A" w:rsidRDefault="000C0A2A" w:rsidP="00011656">
      <w:pPr>
        <w:pStyle w:val="ParaNumbering"/>
      </w:pPr>
      <w:r>
        <w:t xml:space="preserve">I detect no error in the primary judge’s approach </w:t>
      </w:r>
      <w:r w:rsidR="00A834D7">
        <w:t xml:space="preserve">in reviewing </w:t>
      </w:r>
      <w:r>
        <w:t xml:space="preserve">the whole of the transcript of the wife’s evidence before the Tribunal </w:t>
      </w:r>
      <w:r w:rsidR="00A834D7">
        <w:t xml:space="preserve">and </w:t>
      </w:r>
      <w:r>
        <w:t>concluding that it lacked cogency and did not inform in a material way the question whether the appellant was consistently accompanied by his wife at all times in public, at work or university.</w:t>
      </w:r>
    </w:p>
    <w:p w14:paraId="47BA3BC5" w14:textId="190B7AFB" w:rsidR="00383FBF" w:rsidRDefault="00383FBF" w:rsidP="008B2E24">
      <w:pPr>
        <w:pStyle w:val="ParaNumbering"/>
      </w:pPr>
      <w:r>
        <w:t xml:space="preserve">I </w:t>
      </w:r>
      <w:r w:rsidR="00D53F75">
        <w:t xml:space="preserve">also </w:t>
      </w:r>
      <w:r>
        <w:t xml:space="preserve">detect no error in the primary judge’s consideration </w:t>
      </w:r>
      <w:r w:rsidR="00351BBD">
        <w:t xml:space="preserve">of </w:t>
      </w:r>
      <w:r>
        <w:t xml:space="preserve">the appellant’s wife’s evidence at the Tribunal hearing </w:t>
      </w:r>
      <w:r w:rsidR="00A834D7">
        <w:t xml:space="preserve">and </w:t>
      </w:r>
      <w:r w:rsidR="000B0A05">
        <w:t xml:space="preserve">the primary judge’s </w:t>
      </w:r>
      <w:r>
        <w:t>finding that it did not support the appellant’s claim that he had been constantly accompanied by either his mother or wife in Sri Lanka.</w:t>
      </w:r>
    </w:p>
    <w:p w14:paraId="3CFD82C5" w14:textId="3E440AD0" w:rsidR="00D53F75" w:rsidRDefault="00D53F75" w:rsidP="008B2E24">
      <w:pPr>
        <w:pStyle w:val="ParaNumbering"/>
      </w:pPr>
      <w:r>
        <w:t xml:space="preserve">I accept the </w:t>
      </w:r>
      <w:r w:rsidR="00D347C0">
        <w:t>Minister</w:t>
      </w:r>
      <w:r>
        <w:t>’s submission that the Tribunal’s rejection of the wife’s evidence that she always accompanied him was wrapped up in the rejection, in the Tribunal’s Reasons at [75], of the appellant’s claim that he was constantly accompanied at all times by his wife as being “unrealistic”.</w:t>
      </w:r>
    </w:p>
    <w:p w14:paraId="31F53ABE" w14:textId="06879D92" w:rsidR="009E1D8E" w:rsidRDefault="009E1D8E" w:rsidP="00D30D3E">
      <w:pPr>
        <w:pStyle w:val="ParaNumbering"/>
      </w:pPr>
      <w:r>
        <w:t xml:space="preserve">Finally, I accept the </w:t>
      </w:r>
      <w:r w:rsidR="00D347C0">
        <w:t>Minister</w:t>
      </w:r>
      <w:r w:rsidR="00576B11">
        <w:t>’s</w:t>
      </w:r>
      <w:r>
        <w:t xml:space="preserve"> submission </w:t>
      </w:r>
      <w:r w:rsidR="005E6CD7">
        <w:t>that</w:t>
      </w:r>
      <w:r w:rsidR="00351BBD">
        <w:t>,</w:t>
      </w:r>
      <w:r w:rsidR="005E6CD7">
        <w:t xml:space="preserve"> </w:t>
      </w:r>
      <w:r w:rsidR="00005DFF">
        <w:t>if (contrary to my conclusion)</w:t>
      </w:r>
      <w:r w:rsidR="00351BBD">
        <w:t>,</w:t>
      </w:r>
      <w:r w:rsidR="00005DFF">
        <w:t xml:space="preserve"> the Tribunal failed to consider the appellant’s wife evidence</w:t>
      </w:r>
      <w:r w:rsidR="00351BBD">
        <w:t xml:space="preserve"> that she always accompanied him</w:t>
      </w:r>
      <w:r w:rsidR="00005DFF">
        <w:t xml:space="preserve">, </w:t>
      </w:r>
      <w:r w:rsidR="005E6CD7">
        <w:t>its failure to do so</w:t>
      </w:r>
      <w:r>
        <w:t xml:space="preserve"> </w:t>
      </w:r>
      <w:r w:rsidR="00A834D7">
        <w:t>wa</w:t>
      </w:r>
      <w:r>
        <w:t xml:space="preserve">s not material; that is, there is no realistic possibility the outcome could have been different had the Tribunal taken the evidence into account: </w:t>
      </w:r>
      <w:r w:rsidRPr="000B0A05">
        <w:rPr>
          <w:i/>
        </w:rPr>
        <w:t>Minister for Immigration and Border Protection v SZMTA</w:t>
      </w:r>
      <w:r>
        <w:t xml:space="preserve"> (2019) 264 CLR 421 per Bell, </w:t>
      </w:r>
      <w:proofErr w:type="spellStart"/>
      <w:r>
        <w:t>Gageler</w:t>
      </w:r>
      <w:proofErr w:type="spellEnd"/>
      <w:r>
        <w:t xml:space="preserve"> and Keane</w:t>
      </w:r>
      <w:r w:rsidR="00A02CBE">
        <w:t xml:space="preserve"> </w:t>
      </w:r>
      <w:r>
        <w:t>JJ at [45].  The appellant’s wife</w:t>
      </w:r>
      <w:r w:rsidR="00576B11">
        <w:t>’s</w:t>
      </w:r>
      <w:r w:rsidR="00005DFF">
        <w:t xml:space="preserve"> evidence</w:t>
      </w:r>
      <w:r w:rsidR="00D01117">
        <w:t>,</w:t>
      </w:r>
      <w:r>
        <w:t xml:space="preserve"> as the primary judge found at Primary Decision [</w:t>
      </w:r>
      <w:r w:rsidR="00A834D7">
        <w:t>60]</w:t>
      </w:r>
      <w:r w:rsidR="00D01117">
        <w:t>,</w:t>
      </w:r>
      <w:r w:rsidR="00A834D7">
        <w:t xml:space="preserve"> </w:t>
      </w:r>
      <w:r w:rsidR="00BA18D2">
        <w:t xml:space="preserve">was so </w:t>
      </w:r>
      <w:r w:rsidR="00BA18D2">
        <w:lastRenderedPageBreak/>
        <w:t xml:space="preserve">imprecise and general that it could not have made any difference to the finding </w:t>
      </w:r>
      <w:r w:rsidR="00DA3420">
        <w:t>in the</w:t>
      </w:r>
      <w:r w:rsidR="00BA18D2">
        <w:t xml:space="preserve"> Tribunal</w:t>
      </w:r>
      <w:r w:rsidR="00DA3420">
        <w:t>’s</w:t>
      </w:r>
      <w:r w:rsidR="00BA18D2">
        <w:t xml:space="preserve"> Reasons</w:t>
      </w:r>
      <w:r w:rsidR="00DA3420">
        <w:t xml:space="preserve"> at</w:t>
      </w:r>
      <w:r w:rsidR="00BA18D2">
        <w:t xml:space="preserve"> [75].</w:t>
      </w:r>
    </w:p>
    <w:p w14:paraId="18E609B0" w14:textId="5C822F73" w:rsidR="00BA18D2" w:rsidRDefault="002718F9" w:rsidP="00BA18D2">
      <w:pPr>
        <w:pStyle w:val="Heading1"/>
      </w:pPr>
      <w:r>
        <w:t>DISPOSITION</w:t>
      </w:r>
    </w:p>
    <w:p w14:paraId="48D6EAA8" w14:textId="0BC9AB90" w:rsidR="00BA18D2" w:rsidRDefault="00BA18D2" w:rsidP="00BA18D2">
      <w:pPr>
        <w:pStyle w:val="ParaNumbering"/>
      </w:pPr>
      <w:r>
        <w:t>The name of the first respondent will be amended to “Minister for Immigration, Citizenship and Multicultural Affairs”.</w:t>
      </w:r>
    </w:p>
    <w:p w14:paraId="52C7588D" w14:textId="1373A390" w:rsidR="00BA18D2" w:rsidRDefault="00BA18D2" w:rsidP="00BA18D2">
      <w:pPr>
        <w:pStyle w:val="ParaNumbering"/>
      </w:pPr>
      <w:r>
        <w:t>The appeal will be dismissed with costs.</w:t>
      </w:r>
    </w:p>
    <w:p w14:paraId="565696EA" w14:textId="3BE92E0B" w:rsidR="00442088" w:rsidRPr="007D30A9" w:rsidRDefault="00442088">
      <w:pPr>
        <w:pStyle w:val="ParaNumbering"/>
        <w:rPr>
          <w:sz w:val="22"/>
        </w:rPr>
      </w:pPr>
      <w:r>
        <w:t>The Court recognises the important work of pro bono counsel and wishes to acknowledge the assistance it has received from Ms Elodie Nadon who appeared as pro bono counsel for the app</w:t>
      </w:r>
      <w:r w:rsidR="00503BA5">
        <w:t>ellant</w:t>
      </w:r>
      <w:r>
        <w:t>.</w:t>
      </w:r>
    </w:p>
    <w:p w14:paraId="4BDFE547" w14:textId="77777777" w:rsidR="007D30A9" w:rsidRDefault="007D30A9" w:rsidP="00815065">
      <w:pPr>
        <w:pStyle w:val="BodyText"/>
      </w:pPr>
      <w:bookmarkStart w:id="24" w:name="Certification"/>
    </w:p>
    <w:tbl>
      <w:tblPr>
        <w:tblW w:w="0" w:type="auto"/>
        <w:tblLook w:val="04A0" w:firstRow="1" w:lastRow="0" w:firstColumn="1" w:lastColumn="0" w:noHBand="0" w:noVBand="1"/>
      </w:tblPr>
      <w:tblGrid>
        <w:gridCol w:w="3794"/>
      </w:tblGrid>
      <w:tr w:rsidR="007D30A9" w:rsidRPr="007D30A9" w14:paraId="28CC91E3" w14:textId="77777777">
        <w:tc>
          <w:tcPr>
            <w:tcW w:w="3794" w:type="dxa"/>
            <w:shd w:val="clear" w:color="auto" w:fill="auto"/>
          </w:tcPr>
          <w:p w14:paraId="676BACAF" w14:textId="1F1DF5FF" w:rsidR="007D30A9" w:rsidRPr="007D30A9" w:rsidRDefault="007D30A9" w:rsidP="007D30A9">
            <w:pPr>
              <w:pStyle w:val="Normal1linespace"/>
            </w:pPr>
            <w:r w:rsidRPr="007D30A9">
              <w:t xml:space="preserve">I certify that the preceding </w:t>
            </w:r>
            <w:bookmarkStart w:id="25" w:name="NumberWord"/>
            <w:r>
              <w:t>thirty-eight</w:t>
            </w:r>
            <w:bookmarkEnd w:id="25"/>
            <w:r w:rsidRPr="007D30A9">
              <w:t xml:space="preserve"> (</w:t>
            </w:r>
            <w:bookmarkStart w:id="26" w:name="NumberNumeral"/>
            <w:r>
              <w:t>38</w:t>
            </w:r>
            <w:bookmarkEnd w:id="26"/>
            <w:r w:rsidRPr="007D30A9">
              <w:t xml:space="preserve">) numbered </w:t>
            </w:r>
            <w:bookmarkStart w:id="27" w:name="CertPara"/>
            <w:r>
              <w:t>paragraphs are</w:t>
            </w:r>
            <w:bookmarkEnd w:id="27"/>
            <w:r w:rsidRPr="007D30A9">
              <w:t xml:space="preserve"> a true copy of the Reasons for Judgment of </w:t>
            </w:r>
            <w:bookmarkStart w:id="28" w:name="bkHonourable"/>
            <w:r w:rsidRPr="007D30A9">
              <w:t xml:space="preserve">the Honourable </w:t>
            </w:r>
            <w:bookmarkStart w:id="29" w:name="Justice"/>
            <w:bookmarkEnd w:id="28"/>
            <w:r>
              <w:t>Justice Anderson</w:t>
            </w:r>
            <w:bookmarkEnd w:id="29"/>
            <w:r w:rsidRPr="007D30A9">
              <w:t>.</w:t>
            </w:r>
          </w:p>
        </w:tc>
      </w:tr>
    </w:tbl>
    <w:p w14:paraId="4B0582E9" w14:textId="77777777" w:rsidR="007D30A9" w:rsidRDefault="007D30A9" w:rsidP="00815065">
      <w:pPr>
        <w:pStyle w:val="BodyText"/>
      </w:pPr>
    </w:p>
    <w:p w14:paraId="0B6B2F5E" w14:textId="224CD89A" w:rsidR="007D30A9" w:rsidRDefault="007D30A9" w:rsidP="00815065">
      <w:pPr>
        <w:pStyle w:val="BodyText"/>
      </w:pPr>
    </w:p>
    <w:p w14:paraId="2A04CD6A" w14:textId="5F1A9358" w:rsidR="007D30A9" w:rsidRDefault="007D30A9" w:rsidP="00815065">
      <w:pPr>
        <w:pStyle w:val="BodyText"/>
      </w:pPr>
      <w:r>
        <w:t>Associate:</w:t>
      </w:r>
      <w:r w:rsidR="00F07A2E" w:rsidRPr="00F07A2E">
        <w:rPr>
          <w:noProof/>
          <w:lang w:eastAsia="en-AU"/>
        </w:rPr>
        <w:t xml:space="preserve"> </w:t>
      </w:r>
      <w:bookmarkStart w:id="30" w:name="_GoBack"/>
      <w:bookmarkEnd w:id="30"/>
    </w:p>
    <w:p w14:paraId="1549320E" w14:textId="5559306E" w:rsidR="007D30A9" w:rsidRDefault="007D30A9" w:rsidP="00815065">
      <w:pPr>
        <w:pStyle w:val="BodyText"/>
      </w:pPr>
    </w:p>
    <w:p w14:paraId="3411EEB2" w14:textId="59823E55" w:rsidR="007D30A9" w:rsidRDefault="007D30A9" w:rsidP="00815065">
      <w:pPr>
        <w:pStyle w:val="BodyText"/>
        <w:tabs>
          <w:tab w:val="left" w:pos="1134"/>
        </w:tabs>
      </w:pPr>
      <w:r>
        <w:t>Dated:</w:t>
      </w:r>
      <w:r>
        <w:tab/>
      </w:r>
      <w:bookmarkStart w:id="31" w:name="CertifyDated"/>
      <w:bookmarkEnd w:id="31"/>
      <w:r w:rsidR="00F07A2E">
        <w:t>2 May 2023</w:t>
      </w:r>
    </w:p>
    <w:p w14:paraId="2EFEF191" w14:textId="77777777" w:rsidR="007D30A9" w:rsidRDefault="007D30A9" w:rsidP="00815065">
      <w:pPr>
        <w:pStyle w:val="BodyText"/>
      </w:pPr>
    </w:p>
    <w:bookmarkEnd w:id="24"/>
    <w:p w14:paraId="7B9822CD" w14:textId="77777777" w:rsidR="007D30A9" w:rsidRPr="001C1547" w:rsidRDefault="007D30A9" w:rsidP="007D30A9">
      <w:pPr>
        <w:pStyle w:val="BodyText"/>
      </w:pPr>
    </w:p>
    <w:sectPr w:rsidR="007D30A9" w:rsidRPr="001C1547"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2C832" w14:textId="77777777" w:rsidR="00D96B35" w:rsidRDefault="00D96B35">
      <w:pPr>
        <w:spacing w:line="20" w:lineRule="exact"/>
      </w:pPr>
    </w:p>
    <w:p w14:paraId="4276C7F5" w14:textId="77777777" w:rsidR="00D96B35" w:rsidRDefault="00D96B35"/>
    <w:p w14:paraId="61E1D8C5" w14:textId="77777777" w:rsidR="00D96B35" w:rsidRDefault="00D96B35"/>
  </w:endnote>
  <w:endnote w:type="continuationSeparator" w:id="0">
    <w:p w14:paraId="0459ABF4" w14:textId="77777777" w:rsidR="00D96B35" w:rsidRDefault="00D96B35">
      <w:r>
        <w:t xml:space="preserve"> </w:t>
      </w:r>
    </w:p>
    <w:p w14:paraId="7F266E80" w14:textId="77777777" w:rsidR="00D96B35" w:rsidRDefault="00D96B35"/>
    <w:p w14:paraId="006A33EB" w14:textId="77777777" w:rsidR="00D96B35" w:rsidRDefault="00D96B35"/>
  </w:endnote>
  <w:endnote w:type="continuationNotice" w:id="1">
    <w:p w14:paraId="5E6BF9BF" w14:textId="77777777" w:rsidR="00D96B35" w:rsidRDefault="00D96B35">
      <w:r>
        <w:t xml:space="preserve"> </w:t>
      </w:r>
    </w:p>
    <w:p w14:paraId="6F590B8E" w14:textId="77777777" w:rsidR="00D96B35" w:rsidRDefault="00D96B35"/>
    <w:p w14:paraId="461D2824" w14:textId="77777777" w:rsidR="00D96B35" w:rsidRDefault="00D96B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27834" w14:textId="77777777" w:rsidR="007D30A9" w:rsidRDefault="007D3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6E5A3" w14:textId="17BE330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4F59D2C5" wp14:editId="43F7AEF3">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464CC"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D4D8F">
          <w:rPr>
            <w:bCs/>
            <w:sz w:val="18"/>
            <w:szCs w:val="18"/>
          </w:rPr>
          <w:t>BHG20 v Minister for Immigration, Citizenship and Multicultural Affairs [2023] FCA 391</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7A262" w14:textId="133CE901" w:rsidR="00395B24" w:rsidRPr="007D30A9" w:rsidRDefault="00395B24" w:rsidP="007D30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DE0F" w14:textId="7CFF95F5"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0FFF82E3" wp14:editId="584CF370">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B8D7A4"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47EDD63380D04DA795790E7BC9D65F3D"/>
        </w:placeholder>
        <w:dataBinding w:prefixMappings="xmlns:ns0='http://schemas.globalmacros.com/FCA'" w:xpath="/ns0:root[1]/ns0:Name[1]" w:storeItemID="{687E7CCB-4AA5-44E7-B148-17BA2B6F57C0}"/>
        <w:text w:multiLine="1"/>
      </w:sdtPr>
      <w:sdtEndPr/>
      <w:sdtContent>
        <w:r w:rsidR="00ED4D8F">
          <w:rPr>
            <w:bCs/>
            <w:sz w:val="18"/>
            <w:szCs w:val="18"/>
          </w:rPr>
          <w:t>BHG20 v Minister for Immigration, Citizenship and Multicultural Affairs [2023] FCA 391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C4913" w14:textId="1335EE7F"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1B23F9A4" wp14:editId="4E2CB5E9">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BA3D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07C6CEAB1D64B10A4BF271604C92777"/>
        </w:placeholder>
        <w:dataBinding w:prefixMappings="xmlns:ns0='http://schemas.globalmacros.com/FCA'" w:xpath="/ns0:root[1]/ns0:Name[1]" w:storeItemID="{687E7CCB-4AA5-44E7-B148-17BA2B6F57C0}"/>
        <w:text w:multiLine="1"/>
      </w:sdtPr>
      <w:sdtEndPr/>
      <w:sdtContent>
        <w:r w:rsidR="00ED4D8F">
          <w:rPr>
            <w:bCs/>
            <w:sz w:val="18"/>
            <w:szCs w:val="18"/>
          </w:rPr>
          <w:t>BHG20 v Minister for Immigration, Citizenship and Multicultural Affairs [2023] FCA 391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B06C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716C" w14:textId="7C048AEF"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0808A7AB" wp14:editId="4F1512AD">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D3B3F"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A3168CA8D59A4ABA8250F42C3515B777"/>
        </w:placeholder>
        <w:dataBinding w:prefixMappings="xmlns:ns0='http://schemas.globalmacros.com/FCA'" w:xpath="/ns0:root[1]/ns0:Name[1]" w:storeItemID="{687E7CCB-4AA5-44E7-B148-17BA2B6F57C0}"/>
        <w:text w:multiLine="1"/>
      </w:sdtPr>
      <w:sdtEndPr/>
      <w:sdtContent>
        <w:r w:rsidR="00ED4D8F">
          <w:rPr>
            <w:bCs/>
            <w:sz w:val="18"/>
            <w:szCs w:val="18"/>
          </w:rPr>
          <w:t>BHG20 v Minister for Immigration, Citizenship and Multicultural Affairs [2023] FCA 391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B06CB">
      <w:rPr>
        <w:bCs/>
        <w:noProof/>
        <w:sz w:val="20"/>
      </w:rPr>
      <w:t>8</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9052" w14:textId="276EF830"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767A6297" wp14:editId="502542B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03906"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3735FA2CE268440E9FA420BF70C6C2F0"/>
        </w:placeholder>
        <w:dataBinding w:prefixMappings="xmlns:ns0='http://schemas.globalmacros.com/FCA'" w:xpath="/ns0:root[1]/ns0:Name[1]" w:storeItemID="{687E7CCB-4AA5-44E7-B148-17BA2B6F57C0}"/>
        <w:text w:multiLine="1"/>
      </w:sdtPr>
      <w:sdtEndPr/>
      <w:sdtContent>
        <w:r w:rsidR="00ED4D8F">
          <w:rPr>
            <w:bCs/>
            <w:sz w:val="18"/>
            <w:szCs w:val="18"/>
          </w:rPr>
          <w:t>BHG20 v Minister for Immigration, Citizenship and Multicultural Affairs [2023] FCA 391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DB06C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113AB" w14:textId="77777777" w:rsidR="00D96B35" w:rsidRDefault="00D96B35"/>
  </w:footnote>
  <w:footnote w:type="continuationSeparator" w:id="0">
    <w:p w14:paraId="1B264A88" w14:textId="77777777" w:rsidR="00D96B35" w:rsidRDefault="00D96B35">
      <w:r>
        <w:continuationSeparator/>
      </w:r>
    </w:p>
    <w:p w14:paraId="27060678" w14:textId="77777777" w:rsidR="00D96B35" w:rsidRDefault="00D96B35"/>
    <w:p w14:paraId="2D32F2E0" w14:textId="77777777" w:rsidR="00D96B35" w:rsidRDefault="00D96B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1232D" w14:textId="77777777" w:rsidR="007D30A9" w:rsidRDefault="007D3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F9712" w14:textId="77777777" w:rsidR="007D30A9" w:rsidRDefault="007D3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3DFD" w14:textId="77777777" w:rsidR="007D30A9" w:rsidRDefault="007D30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49AA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E494"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4206"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D5949"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252AF"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2"/>
  </w:num>
  <w:num w:numId="13">
    <w:abstractNumId w:val="20"/>
  </w:num>
  <w:num w:numId="14">
    <w:abstractNumId w:val="21"/>
  </w:num>
  <w:num w:numId="15">
    <w:abstractNumId w:val="24"/>
  </w:num>
  <w:num w:numId="16">
    <w:abstractNumId w:val="13"/>
  </w:num>
  <w:num w:numId="17">
    <w:abstractNumId w:val="23"/>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0"/>
  <w:activeWritingStyle w:appName="MSWord" w:lang="en-US" w:vendorID="64" w:dllVersion="131078"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BHG20 v Minister for Immigration, Citizenship, Migrant Services and_x000d_Multicultural Affairs [2022] FedCFamC2G 324"/>
    <w:docVar w:name="Appellant" w:val="ADMINISTRATIVE APPEALS TRIBUNAL"/>
    <w:docVar w:name="CounsellorName" w:val="Ms K McInnes"/>
    <w:docVar w:name="CounselParties" w:val="Responde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VID271/2022"/>
    <w:docVar w:name="Initiators" w:val="(and another named in the Schedule)"/>
    <w:docVar w:name="Judge" w:val="Anderson"/>
    <w:docVar w:name="JudgeType" w:val="Justice"/>
    <w:docVar w:name="lstEntryList" w:val="-1"/>
    <w:docVar w:name="myEntryList" w:val="Counsel for the Appellant=Ms E Nadon (Pro Bono)"/>
    <w:docVar w:name="NSD" w:val="NSD "/>
    <w:docVar w:name="NumApps" w:val="1"/>
    <w:docVar w:name="NumApps_" w:val="2"/>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TBC"/>
    <w:docVar w:name="RESAndAnother" w:val="True"/>
    <w:docVar w:name="RESAndOthers" w:val="False"/>
    <w:docVar w:name="Respondent" w:val="MINISTER FOR IMMIGRATION, CITIZENSHIP, MIGRANT SERVICES AND MULTICULTURAL AFFAIRS |ADMINISTRATIVE APPEALS TRIBUNAL"/>
    <w:docVar w:name="ResState" w:val="N/A FCFCOA"/>
    <w:docVar w:name="SubArea" w:val="TBC"/>
  </w:docVars>
  <w:rsids>
    <w:rsidRoot w:val="00AA7B9D"/>
    <w:rsid w:val="00000747"/>
    <w:rsid w:val="00005DFF"/>
    <w:rsid w:val="000115C5"/>
    <w:rsid w:val="0001469E"/>
    <w:rsid w:val="00015993"/>
    <w:rsid w:val="00021CCB"/>
    <w:rsid w:val="00022289"/>
    <w:rsid w:val="000237E9"/>
    <w:rsid w:val="00027398"/>
    <w:rsid w:val="0003201A"/>
    <w:rsid w:val="0003207A"/>
    <w:rsid w:val="00032F9F"/>
    <w:rsid w:val="00035B7F"/>
    <w:rsid w:val="00041C07"/>
    <w:rsid w:val="00045BB7"/>
    <w:rsid w:val="00055719"/>
    <w:rsid w:val="0005641B"/>
    <w:rsid w:val="0006196A"/>
    <w:rsid w:val="000650F0"/>
    <w:rsid w:val="00071FB3"/>
    <w:rsid w:val="00077768"/>
    <w:rsid w:val="00081497"/>
    <w:rsid w:val="000831EC"/>
    <w:rsid w:val="00084126"/>
    <w:rsid w:val="00085255"/>
    <w:rsid w:val="000A0050"/>
    <w:rsid w:val="000A2E76"/>
    <w:rsid w:val="000A4807"/>
    <w:rsid w:val="000A4BE4"/>
    <w:rsid w:val="000B0A05"/>
    <w:rsid w:val="000C023E"/>
    <w:rsid w:val="000C0A2A"/>
    <w:rsid w:val="000C405D"/>
    <w:rsid w:val="000C5195"/>
    <w:rsid w:val="000C62EF"/>
    <w:rsid w:val="000D2137"/>
    <w:rsid w:val="000D3FD2"/>
    <w:rsid w:val="000D4B2E"/>
    <w:rsid w:val="000E3FC8"/>
    <w:rsid w:val="000E7BAE"/>
    <w:rsid w:val="000F133D"/>
    <w:rsid w:val="00103C68"/>
    <w:rsid w:val="0010536B"/>
    <w:rsid w:val="0011145C"/>
    <w:rsid w:val="00111770"/>
    <w:rsid w:val="001128BD"/>
    <w:rsid w:val="0011419D"/>
    <w:rsid w:val="00114B02"/>
    <w:rsid w:val="0011582A"/>
    <w:rsid w:val="001176BC"/>
    <w:rsid w:val="001226C0"/>
    <w:rsid w:val="00126EC8"/>
    <w:rsid w:val="0012731C"/>
    <w:rsid w:val="00132054"/>
    <w:rsid w:val="00134964"/>
    <w:rsid w:val="001351B9"/>
    <w:rsid w:val="00155CD2"/>
    <w:rsid w:val="00161F24"/>
    <w:rsid w:val="001727A4"/>
    <w:rsid w:val="0017376C"/>
    <w:rsid w:val="001738AB"/>
    <w:rsid w:val="001765E0"/>
    <w:rsid w:val="00177759"/>
    <w:rsid w:val="00180BB3"/>
    <w:rsid w:val="001819F6"/>
    <w:rsid w:val="00185DD6"/>
    <w:rsid w:val="00185E6B"/>
    <w:rsid w:val="00187BBC"/>
    <w:rsid w:val="001932F3"/>
    <w:rsid w:val="001A2B40"/>
    <w:rsid w:val="001A4309"/>
    <w:rsid w:val="001A46AE"/>
    <w:rsid w:val="001A6C52"/>
    <w:rsid w:val="001B1053"/>
    <w:rsid w:val="001B14AC"/>
    <w:rsid w:val="001B7940"/>
    <w:rsid w:val="001C1547"/>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73E8"/>
    <w:rsid w:val="0020262C"/>
    <w:rsid w:val="00202723"/>
    <w:rsid w:val="00211A3E"/>
    <w:rsid w:val="00213F20"/>
    <w:rsid w:val="00214055"/>
    <w:rsid w:val="00215BCA"/>
    <w:rsid w:val="002160F5"/>
    <w:rsid w:val="00217AC4"/>
    <w:rsid w:val="00221461"/>
    <w:rsid w:val="00224537"/>
    <w:rsid w:val="002274CA"/>
    <w:rsid w:val="00235956"/>
    <w:rsid w:val="00236601"/>
    <w:rsid w:val="00243E5E"/>
    <w:rsid w:val="002467A6"/>
    <w:rsid w:val="00247C9A"/>
    <w:rsid w:val="0025160C"/>
    <w:rsid w:val="002535D0"/>
    <w:rsid w:val="002539B3"/>
    <w:rsid w:val="00256336"/>
    <w:rsid w:val="00257C3E"/>
    <w:rsid w:val="002602C2"/>
    <w:rsid w:val="0026449F"/>
    <w:rsid w:val="002666C9"/>
    <w:rsid w:val="00270136"/>
    <w:rsid w:val="00270FD7"/>
    <w:rsid w:val="002718F9"/>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3779"/>
    <w:rsid w:val="002E5BF9"/>
    <w:rsid w:val="002E6969"/>
    <w:rsid w:val="002E6A7A"/>
    <w:rsid w:val="002F1E49"/>
    <w:rsid w:val="002F4E9C"/>
    <w:rsid w:val="002F6E15"/>
    <w:rsid w:val="00302F4E"/>
    <w:rsid w:val="00303786"/>
    <w:rsid w:val="0031256C"/>
    <w:rsid w:val="00314D6C"/>
    <w:rsid w:val="00316D2A"/>
    <w:rsid w:val="00322A7C"/>
    <w:rsid w:val="00322EEC"/>
    <w:rsid w:val="00323061"/>
    <w:rsid w:val="00326BDF"/>
    <w:rsid w:val="003402D3"/>
    <w:rsid w:val="0034068E"/>
    <w:rsid w:val="00343ABC"/>
    <w:rsid w:val="00344CCC"/>
    <w:rsid w:val="003463FE"/>
    <w:rsid w:val="003472FC"/>
    <w:rsid w:val="00347D41"/>
    <w:rsid w:val="00351BBD"/>
    <w:rsid w:val="003554B3"/>
    <w:rsid w:val="00356423"/>
    <w:rsid w:val="00356632"/>
    <w:rsid w:val="00357C7E"/>
    <w:rsid w:val="003653B6"/>
    <w:rsid w:val="00370327"/>
    <w:rsid w:val="00374CC4"/>
    <w:rsid w:val="003774B2"/>
    <w:rsid w:val="00380F2D"/>
    <w:rsid w:val="00382163"/>
    <w:rsid w:val="00383FBF"/>
    <w:rsid w:val="003845A9"/>
    <w:rsid w:val="003850C9"/>
    <w:rsid w:val="00390883"/>
    <w:rsid w:val="003922F8"/>
    <w:rsid w:val="00395B24"/>
    <w:rsid w:val="003A2D38"/>
    <w:rsid w:val="003A7ECC"/>
    <w:rsid w:val="003B2C72"/>
    <w:rsid w:val="003B58B4"/>
    <w:rsid w:val="003C1333"/>
    <w:rsid w:val="003C20FF"/>
    <w:rsid w:val="003C550A"/>
    <w:rsid w:val="003C6055"/>
    <w:rsid w:val="003D2650"/>
    <w:rsid w:val="003D560C"/>
    <w:rsid w:val="003D5AF0"/>
    <w:rsid w:val="003D5C00"/>
    <w:rsid w:val="003E3154"/>
    <w:rsid w:val="003E5874"/>
    <w:rsid w:val="003E72D3"/>
    <w:rsid w:val="003F193E"/>
    <w:rsid w:val="003F242C"/>
    <w:rsid w:val="003F34F1"/>
    <w:rsid w:val="004031D8"/>
    <w:rsid w:val="004104B6"/>
    <w:rsid w:val="00411AE8"/>
    <w:rsid w:val="00412CD8"/>
    <w:rsid w:val="00413B74"/>
    <w:rsid w:val="004342F3"/>
    <w:rsid w:val="00435C5F"/>
    <w:rsid w:val="00436155"/>
    <w:rsid w:val="00436460"/>
    <w:rsid w:val="00441E98"/>
    <w:rsid w:val="00442088"/>
    <w:rsid w:val="00450F3A"/>
    <w:rsid w:val="004532F7"/>
    <w:rsid w:val="00464D51"/>
    <w:rsid w:val="00472027"/>
    <w:rsid w:val="004804CF"/>
    <w:rsid w:val="00483314"/>
    <w:rsid w:val="00484962"/>
    <w:rsid w:val="00484F6D"/>
    <w:rsid w:val="00484FB7"/>
    <w:rsid w:val="0048554D"/>
    <w:rsid w:val="0049338A"/>
    <w:rsid w:val="0049417F"/>
    <w:rsid w:val="00496D41"/>
    <w:rsid w:val="004A6602"/>
    <w:rsid w:val="004B3EFA"/>
    <w:rsid w:val="004C2A87"/>
    <w:rsid w:val="004C4D7B"/>
    <w:rsid w:val="004C4ED3"/>
    <w:rsid w:val="004C667B"/>
    <w:rsid w:val="004C7ECD"/>
    <w:rsid w:val="004D284F"/>
    <w:rsid w:val="004D2EA5"/>
    <w:rsid w:val="004D32A6"/>
    <w:rsid w:val="004D53E5"/>
    <w:rsid w:val="004D7950"/>
    <w:rsid w:val="004E6DC4"/>
    <w:rsid w:val="004F21C1"/>
    <w:rsid w:val="00501A12"/>
    <w:rsid w:val="0050309C"/>
    <w:rsid w:val="00503BA5"/>
    <w:rsid w:val="0051327C"/>
    <w:rsid w:val="0051346D"/>
    <w:rsid w:val="00513EAE"/>
    <w:rsid w:val="00514132"/>
    <w:rsid w:val="0051434F"/>
    <w:rsid w:val="00516806"/>
    <w:rsid w:val="00517709"/>
    <w:rsid w:val="0052098C"/>
    <w:rsid w:val="00525A49"/>
    <w:rsid w:val="005262D1"/>
    <w:rsid w:val="00530876"/>
    <w:rsid w:val="00535613"/>
    <w:rsid w:val="005359EB"/>
    <w:rsid w:val="00536CF5"/>
    <w:rsid w:val="0054254A"/>
    <w:rsid w:val="00542D57"/>
    <w:rsid w:val="0054500B"/>
    <w:rsid w:val="005466B5"/>
    <w:rsid w:val="00554314"/>
    <w:rsid w:val="00562829"/>
    <w:rsid w:val="005629B3"/>
    <w:rsid w:val="0057128A"/>
    <w:rsid w:val="005724F6"/>
    <w:rsid w:val="00573AC4"/>
    <w:rsid w:val="00576B11"/>
    <w:rsid w:val="005801FC"/>
    <w:rsid w:val="00585BA9"/>
    <w:rsid w:val="00587359"/>
    <w:rsid w:val="00595016"/>
    <w:rsid w:val="00597AAE"/>
    <w:rsid w:val="005A13D7"/>
    <w:rsid w:val="005A222C"/>
    <w:rsid w:val="005A4DF8"/>
    <w:rsid w:val="005A78C8"/>
    <w:rsid w:val="005B1426"/>
    <w:rsid w:val="005C0A8E"/>
    <w:rsid w:val="005C1767"/>
    <w:rsid w:val="005C185C"/>
    <w:rsid w:val="005C42EF"/>
    <w:rsid w:val="005E02F5"/>
    <w:rsid w:val="005E0510"/>
    <w:rsid w:val="005E176E"/>
    <w:rsid w:val="005E218E"/>
    <w:rsid w:val="005E35A0"/>
    <w:rsid w:val="005E6CD7"/>
    <w:rsid w:val="005F0D1B"/>
    <w:rsid w:val="005F1865"/>
    <w:rsid w:val="005F3334"/>
    <w:rsid w:val="005F7231"/>
    <w:rsid w:val="006007BD"/>
    <w:rsid w:val="006013C8"/>
    <w:rsid w:val="0060270D"/>
    <w:rsid w:val="00604342"/>
    <w:rsid w:val="00604611"/>
    <w:rsid w:val="00611586"/>
    <w:rsid w:val="00612D26"/>
    <w:rsid w:val="00614A79"/>
    <w:rsid w:val="00615855"/>
    <w:rsid w:val="00620DA8"/>
    <w:rsid w:val="00621887"/>
    <w:rsid w:val="006230FF"/>
    <w:rsid w:val="00624520"/>
    <w:rsid w:val="006246C3"/>
    <w:rsid w:val="006271F5"/>
    <w:rsid w:val="00627D1C"/>
    <w:rsid w:val="00632300"/>
    <w:rsid w:val="00632BB7"/>
    <w:rsid w:val="00635B36"/>
    <w:rsid w:val="00636871"/>
    <w:rsid w:val="00640EE1"/>
    <w:rsid w:val="00640F4E"/>
    <w:rsid w:val="00643DE0"/>
    <w:rsid w:val="0064437D"/>
    <w:rsid w:val="00644E85"/>
    <w:rsid w:val="006516D8"/>
    <w:rsid w:val="0065289D"/>
    <w:rsid w:val="00652C52"/>
    <w:rsid w:val="0066063F"/>
    <w:rsid w:val="00662BB0"/>
    <w:rsid w:val="00663878"/>
    <w:rsid w:val="006654B3"/>
    <w:rsid w:val="00667773"/>
    <w:rsid w:val="00670743"/>
    <w:rsid w:val="00680A85"/>
    <w:rsid w:val="00681ADF"/>
    <w:rsid w:val="00690EE2"/>
    <w:rsid w:val="00693854"/>
    <w:rsid w:val="00694BEB"/>
    <w:rsid w:val="006A0E20"/>
    <w:rsid w:val="006A24E3"/>
    <w:rsid w:val="006A5695"/>
    <w:rsid w:val="006A77AE"/>
    <w:rsid w:val="006B0439"/>
    <w:rsid w:val="006B3904"/>
    <w:rsid w:val="006B5B7D"/>
    <w:rsid w:val="006B70B5"/>
    <w:rsid w:val="006C5B46"/>
    <w:rsid w:val="006C6E39"/>
    <w:rsid w:val="006D0ECF"/>
    <w:rsid w:val="006D3D5B"/>
    <w:rsid w:val="006D4C92"/>
    <w:rsid w:val="006D4EB6"/>
    <w:rsid w:val="006D7FBC"/>
    <w:rsid w:val="006E35BF"/>
    <w:rsid w:val="006E7850"/>
    <w:rsid w:val="006F19D8"/>
    <w:rsid w:val="006F46D6"/>
    <w:rsid w:val="006F4BBB"/>
    <w:rsid w:val="007028D9"/>
    <w:rsid w:val="00707218"/>
    <w:rsid w:val="00710D04"/>
    <w:rsid w:val="00712B1D"/>
    <w:rsid w:val="00715751"/>
    <w:rsid w:val="007171B8"/>
    <w:rsid w:val="007171BA"/>
    <w:rsid w:val="00717616"/>
    <w:rsid w:val="007325D9"/>
    <w:rsid w:val="0073413F"/>
    <w:rsid w:val="0073583B"/>
    <w:rsid w:val="007360CA"/>
    <w:rsid w:val="0074667B"/>
    <w:rsid w:val="007470BD"/>
    <w:rsid w:val="00760EC0"/>
    <w:rsid w:val="00766B13"/>
    <w:rsid w:val="007711BD"/>
    <w:rsid w:val="0078003A"/>
    <w:rsid w:val="00780771"/>
    <w:rsid w:val="007929CF"/>
    <w:rsid w:val="00797BA8"/>
    <w:rsid w:val="007A081D"/>
    <w:rsid w:val="007A49E7"/>
    <w:rsid w:val="007A6F28"/>
    <w:rsid w:val="007B00C3"/>
    <w:rsid w:val="007B03C6"/>
    <w:rsid w:val="007B0DB1"/>
    <w:rsid w:val="007B4081"/>
    <w:rsid w:val="007B5673"/>
    <w:rsid w:val="007B7238"/>
    <w:rsid w:val="007B76FF"/>
    <w:rsid w:val="007C2E61"/>
    <w:rsid w:val="007C3BF6"/>
    <w:rsid w:val="007C67B3"/>
    <w:rsid w:val="007D0FD2"/>
    <w:rsid w:val="007D2EF8"/>
    <w:rsid w:val="007D30A9"/>
    <w:rsid w:val="007D561F"/>
    <w:rsid w:val="007D7FD2"/>
    <w:rsid w:val="007E13D9"/>
    <w:rsid w:val="007E2AEC"/>
    <w:rsid w:val="007E41BE"/>
    <w:rsid w:val="007E4DB6"/>
    <w:rsid w:val="007E6733"/>
    <w:rsid w:val="007E6B4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2D2"/>
    <w:rsid w:val="00845A83"/>
    <w:rsid w:val="00846BB9"/>
    <w:rsid w:val="008649D5"/>
    <w:rsid w:val="00866B5F"/>
    <w:rsid w:val="008712BB"/>
    <w:rsid w:val="00874EA8"/>
    <w:rsid w:val="008830E7"/>
    <w:rsid w:val="00883286"/>
    <w:rsid w:val="00890EDE"/>
    <w:rsid w:val="00892B38"/>
    <w:rsid w:val="008A1741"/>
    <w:rsid w:val="008A2484"/>
    <w:rsid w:val="008A52F3"/>
    <w:rsid w:val="008B2E24"/>
    <w:rsid w:val="008C26D9"/>
    <w:rsid w:val="008C6D50"/>
    <w:rsid w:val="008C7167"/>
    <w:rsid w:val="008C7503"/>
    <w:rsid w:val="008D1617"/>
    <w:rsid w:val="008D330F"/>
    <w:rsid w:val="008D48C1"/>
    <w:rsid w:val="008E15B5"/>
    <w:rsid w:val="008E6315"/>
    <w:rsid w:val="008F0480"/>
    <w:rsid w:val="008F07FC"/>
    <w:rsid w:val="008F11E0"/>
    <w:rsid w:val="008F3EA7"/>
    <w:rsid w:val="008F78BC"/>
    <w:rsid w:val="008F7B63"/>
    <w:rsid w:val="008F7D6A"/>
    <w:rsid w:val="00901C86"/>
    <w:rsid w:val="00903603"/>
    <w:rsid w:val="009054CB"/>
    <w:rsid w:val="00911B13"/>
    <w:rsid w:val="00911F8D"/>
    <w:rsid w:val="00912F94"/>
    <w:rsid w:val="009171BC"/>
    <w:rsid w:val="0092497E"/>
    <w:rsid w:val="0092590B"/>
    <w:rsid w:val="00925BF3"/>
    <w:rsid w:val="00925E60"/>
    <w:rsid w:val="009264B3"/>
    <w:rsid w:val="00931E4C"/>
    <w:rsid w:val="00932E33"/>
    <w:rsid w:val="009365E0"/>
    <w:rsid w:val="00936AA4"/>
    <w:rsid w:val="00942BA2"/>
    <w:rsid w:val="009432B7"/>
    <w:rsid w:val="00944C86"/>
    <w:rsid w:val="00947C02"/>
    <w:rsid w:val="00950BE6"/>
    <w:rsid w:val="00956F6D"/>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59FB"/>
    <w:rsid w:val="009C6F3B"/>
    <w:rsid w:val="009D1467"/>
    <w:rsid w:val="009D328D"/>
    <w:rsid w:val="009D70FA"/>
    <w:rsid w:val="009E1D8E"/>
    <w:rsid w:val="009E4834"/>
    <w:rsid w:val="009E4FA6"/>
    <w:rsid w:val="009E73A6"/>
    <w:rsid w:val="009E7D93"/>
    <w:rsid w:val="009F3C34"/>
    <w:rsid w:val="009F462C"/>
    <w:rsid w:val="009F5C33"/>
    <w:rsid w:val="009F6AFD"/>
    <w:rsid w:val="00A026F0"/>
    <w:rsid w:val="00A02CBE"/>
    <w:rsid w:val="00A03EAC"/>
    <w:rsid w:val="00A04820"/>
    <w:rsid w:val="00A04DBB"/>
    <w:rsid w:val="00A07EA0"/>
    <w:rsid w:val="00A11CA6"/>
    <w:rsid w:val="00A20C49"/>
    <w:rsid w:val="00A22932"/>
    <w:rsid w:val="00A269CA"/>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581"/>
    <w:rsid w:val="00A61605"/>
    <w:rsid w:val="00A65F97"/>
    <w:rsid w:val="00A6661C"/>
    <w:rsid w:val="00A73B04"/>
    <w:rsid w:val="00A76C13"/>
    <w:rsid w:val="00A834D7"/>
    <w:rsid w:val="00A84FD0"/>
    <w:rsid w:val="00A87761"/>
    <w:rsid w:val="00A92E79"/>
    <w:rsid w:val="00A950B6"/>
    <w:rsid w:val="00A95D45"/>
    <w:rsid w:val="00AA3EA8"/>
    <w:rsid w:val="00AA7B9D"/>
    <w:rsid w:val="00AB41C1"/>
    <w:rsid w:val="00AB4CF2"/>
    <w:rsid w:val="00AB6CCA"/>
    <w:rsid w:val="00AC223F"/>
    <w:rsid w:val="00AC33B1"/>
    <w:rsid w:val="00AD12A8"/>
    <w:rsid w:val="00AE023F"/>
    <w:rsid w:val="00AF3577"/>
    <w:rsid w:val="00AF35F9"/>
    <w:rsid w:val="00B0424C"/>
    <w:rsid w:val="00B05C7D"/>
    <w:rsid w:val="00B060EB"/>
    <w:rsid w:val="00B15D57"/>
    <w:rsid w:val="00B16347"/>
    <w:rsid w:val="00B17D6E"/>
    <w:rsid w:val="00B2435E"/>
    <w:rsid w:val="00B33D45"/>
    <w:rsid w:val="00B346C3"/>
    <w:rsid w:val="00B36B49"/>
    <w:rsid w:val="00B4005C"/>
    <w:rsid w:val="00B4227E"/>
    <w:rsid w:val="00B4471C"/>
    <w:rsid w:val="00B451A6"/>
    <w:rsid w:val="00B56D6E"/>
    <w:rsid w:val="00B64347"/>
    <w:rsid w:val="00B65DC6"/>
    <w:rsid w:val="00B67AC2"/>
    <w:rsid w:val="00B722DE"/>
    <w:rsid w:val="00B751E3"/>
    <w:rsid w:val="00B75BA6"/>
    <w:rsid w:val="00B76C44"/>
    <w:rsid w:val="00B8184A"/>
    <w:rsid w:val="00B82283"/>
    <w:rsid w:val="00B828D8"/>
    <w:rsid w:val="00B83F87"/>
    <w:rsid w:val="00B85D64"/>
    <w:rsid w:val="00B87CDC"/>
    <w:rsid w:val="00B910C1"/>
    <w:rsid w:val="00B93C93"/>
    <w:rsid w:val="00BA18D2"/>
    <w:rsid w:val="00BA2CA4"/>
    <w:rsid w:val="00BA2EFA"/>
    <w:rsid w:val="00BA3DBC"/>
    <w:rsid w:val="00BA707A"/>
    <w:rsid w:val="00BB1AFB"/>
    <w:rsid w:val="00BB27AE"/>
    <w:rsid w:val="00BB2DA2"/>
    <w:rsid w:val="00BB56DC"/>
    <w:rsid w:val="00BE183D"/>
    <w:rsid w:val="00BE66F5"/>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20A"/>
    <w:rsid w:val="00C724D7"/>
    <w:rsid w:val="00C74150"/>
    <w:rsid w:val="00C75594"/>
    <w:rsid w:val="00C85982"/>
    <w:rsid w:val="00C9094D"/>
    <w:rsid w:val="00CA0466"/>
    <w:rsid w:val="00CA246D"/>
    <w:rsid w:val="00CA50D9"/>
    <w:rsid w:val="00CA78FE"/>
    <w:rsid w:val="00CB3054"/>
    <w:rsid w:val="00CB5636"/>
    <w:rsid w:val="00CB5F30"/>
    <w:rsid w:val="00CC3EE5"/>
    <w:rsid w:val="00CC6E47"/>
    <w:rsid w:val="00CD1346"/>
    <w:rsid w:val="00CD34CA"/>
    <w:rsid w:val="00CE26F0"/>
    <w:rsid w:val="00CE425C"/>
    <w:rsid w:val="00CE58AC"/>
    <w:rsid w:val="00CF5A80"/>
    <w:rsid w:val="00D01117"/>
    <w:rsid w:val="00D045EE"/>
    <w:rsid w:val="00D05091"/>
    <w:rsid w:val="00D10CA6"/>
    <w:rsid w:val="00D10F21"/>
    <w:rsid w:val="00D134CF"/>
    <w:rsid w:val="00D1573B"/>
    <w:rsid w:val="00D24806"/>
    <w:rsid w:val="00D31F76"/>
    <w:rsid w:val="00D34040"/>
    <w:rsid w:val="00D347C0"/>
    <w:rsid w:val="00D34E69"/>
    <w:rsid w:val="00D36C78"/>
    <w:rsid w:val="00D375EE"/>
    <w:rsid w:val="00D5018C"/>
    <w:rsid w:val="00D53F75"/>
    <w:rsid w:val="00D55AE8"/>
    <w:rsid w:val="00D56056"/>
    <w:rsid w:val="00D6085F"/>
    <w:rsid w:val="00D62699"/>
    <w:rsid w:val="00D66D04"/>
    <w:rsid w:val="00D76827"/>
    <w:rsid w:val="00D778E9"/>
    <w:rsid w:val="00D812BF"/>
    <w:rsid w:val="00D82620"/>
    <w:rsid w:val="00D85707"/>
    <w:rsid w:val="00D96B35"/>
    <w:rsid w:val="00D9725F"/>
    <w:rsid w:val="00DA01B1"/>
    <w:rsid w:val="00DA11A2"/>
    <w:rsid w:val="00DA14ED"/>
    <w:rsid w:val="00DA26D6"/>
    <w:rsid w:val="00DA3420"/>
    <w:rsid w:val="00DB06CB"/>
    <w:rsid w:val="00DB286A"/>
    <w:rsid w:val="00DB2EF1"/>
    <w:rsid w:val="00DB3DE1"/>
    <w:rsid w:val="00DB5DA0"/>
    <w:rsid w:val="00DB716C"/>
    <w:rsid w:val="00DC5C85"/>
    <w:rsid w:val="00DC7875"/>
    <w:rsid w:val="00DC7C5D"/>
    <w:rsid w:val="00DD4236"/>
    <w:rsid w:val="00DD44F1"/>
    <w:rsid w:val="00DD6957"/>
    <w:rsid w:val="00DD6E7A"/>
    <w:rsid w:val="00DE3067"/>
    <w:rsid w:val="00DF3EEE"/>
    <w:rsid w:val="00DF75E1"/>
    <w:rsid w:val="00E00F2B"/>
    <w:rsid w:val="00E027BC"/>
    <w:rsid w:val="00E045BE"/>
    <w:rsid w:val="00E07C95"/>
    <w:rsid w:val="00E10900"/>
    <w:rsid w:val="00E10F0D"/>
    <w:rsid w:val="00E14EA5"/>
    <w:rsid w:val="00E2070E"/>
    <w:rsid w:val="00E21133"/>
    <w:rsid w:val="00E2327E"/>
    <w:rsid w:val="00E23577"/>
    <w:rsid w:val="00E266EF"/>
    <w:rsid w:val="00E326A8"/>
    <w:rsid w:val="00E47428"/>
    <w:rsid w:val="00E56C8E"/>
    <w:rsid w:val="00E5716B"/>
    <w:rsid w:val="00E57F1F"/>
    <w:rsid w:val="00E66B9F"/>
    <w:rsid w:val="00E70A6A"/>
    <w:rsid w:val="00E710D6"/>
    <w:rsid w:val="00E73DA4"/>
    <w:rsid w:val="00E76E45"/>
    <w:rsid w:val="00E777C9"/>
    <w:rsid w:val="00E81DA6"/>
    <w:rsid w:val="00E83602"/>
    <w:rsid w:val="00E84212"/>
    <w:rsid w:val="00E9086C"/>
    <w:rsid w:val="00E90AAA"/>
    <w:rsid w:val="00E91A0F"/>
    <w:rsid w:val="00E94A71"/>
    <w:rsid w:val="00E94CBF"/>
    <w:rsid w:val="00EA03CE"/>
    <w:rsid w:val="00EA23E5"/>
    <w:rsid w:val="00EA49B5"/>
    <w:rsid w:val="00EA4E2E"/>
    <w:rsid w:val="00EA5196"/>
    <w:rsid w:val="00EB2310"/>
    <w:rsid w:val="00EB2417"/>
    <w:rsid w:val="00EB2CCB"/>
    <w:rsid w:val="00EB7A25"/>
    <w:rsid w:val="00EC0F3E"/>
    <w:rsid w:val="00EC57A7"/>
    <w:rsid w:val="00ED0817"/>
    <w:rsid w:val="00ED4D8F"/>
    <w:rsid w:val="00ED7DD9"/>
    <w:rsid w:val="00EE445B"/>
    <w:rsid w:val="00EF3113"/>
    <w:rsid w:val="00EF3F84"/>
    <w:rsid w:val="00F07A2E"/>
    <w:rsid w:val="00F176AC"/>
    <w:rsid w:val="00F25EF5"/>
    <w:rsid w:val="00F26F28"/>
    <w:rsid w:val="00F27714"/>
    <w:rsid w:val="00F3276E"/>
    <w:rsid w:val="00F33D3C"/>
    <w:rsid w:val="00F37A91"/>
    <w:rsid w:val="00F407B9"/>
    <w:rsid w:val="00F408A0"/>
    <w:rsid w:val="00F45CF5"/>
    <w:rsid w:val="00F47DB0"/>
    <w:rsid w:val="00F50C3F"/>
    <w:rsid w:val="00F50E34"/>
    <w:rsid w:val="00F51AFB"/>
    <w:rsid w:val="00F534E8"/>
    <w:rsid w:val="00F53EF7"/>
    <w:rsid w:val="00F54BF2"/>
    <w:rsid w:val="00F624D0"/>
    <w:rsid w:val="00F733D3"/>
    <w:rsid w:val="00F775AC"/>
    <w:rsid w:val="00F8792F"/>
    <w:rsid w:val="00F9214D"/>
    <w:rsid w:val="00F92355"/>
    <w:rsid w:val="00F93963"/>
    <w:rsid w:val="00F94291"/>
    <w:rsid w:val="00FA298A"/>
    <w:rsid w:val="00FA5B66"/>
    <w:rsid w:val="00FB0B9C"/>
    <w:rsid w:val="00FB30EB"/>
    <w:rsid w:val="00FB7982"/>
    <w:rsid w:val="00FC0734"/>
    <w:rsid w:val="00FC0FC5"/>
    <w:rsid w:val="00FC3D3C"/>
    <w:rsid w:val="00FC588F"/>
    <w:rsid w:val="00FC6879"/>
    <w:rsid w:val="00FD0D0B"/>
    <w:rsid w:val="00FD22FD"/>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4B815D"/>
  <w15:docId w15:val="{A9997447-FDA7-486C-8068-6321660F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B33D4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05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FD06002DE241179EBB4ACCC484DB8B"/>
        <w:category>
          <w:name w:val="General"/>
          <w:gallery w:val="placeholder"/>
        </w:category>
        <w:types>
          <w:type w:val="bbPlcHdr"/>
        </w:types>
        <w:behaviors>
          <w:behavior w:val="content"/>
        </w:behaviors>
        <w:guid w:val="{78BFCB86-BB4B-41C7-A27E-447FAF29FCD3}"/>
      </w:docPartPr>
      <w:docPartBody>
        <w:p w:rsidR="004A5FBC" w:rsidRDefault="004A5FBC">
          <w:pPr>
            <w:pStyle w:val="91FD06002DE241179EBB4ACCC484DB8B"/>
          </w:pPr>
          <w:r>
            <w:rPr>
              <w:rStyle w:val="PlaceholderText"/>
            </w:rPr>
            <w:t>MNC Text</w:t>
          </w:r>
        </w:p>
      </w:docPartBody>
    </w:docPart>
    <w:docPart>
      <w:docPartPr>
        <w:name w:val="47EDD63380D04DA795790E7BC9D65F3D"/>
        <w:category>
          <w:name w:val="General"/>
          <w:gallery w:val="placeholder"/>
        </w:category>
        <w:types>
          <w:type w:val="bbPlcHdr"/>
        </w:types>
        <w:behaviors>
          <w:behavior w:val="content"/>
        </w:behaviors>
        <w:guid w:val="{E351D1CA-F3FF-4BC9-A3AB-58E8BEC4C2CE}"/>
      </w:docPartPr>
      <w:docPartBody>
        <w:p w:rsidR="004A5FBC" w:rsidRDefault="004A5FBC">
          <w:pPr>
            <w:pStyle w:val="47EDD63380D04DA795790E7BC9D65F3D"/>
          </w:pPr>
          <w:r w:rsidRPr="005C44BE">
            <w:rPr>
              <w:rStyle w:val="PlaceholderText"/>
            </w:rPr>
            <w:t>Click or tap here to enter text.</w:t>
          </w:r>
        </w:p>
      </w:docPartBody>
    </w:docPart>
    <w:docPart>
      <w:docPartPr>
        <w:name w:val="907C6CEAB1D64B10A4BF271604C92777"/>
        <w:category>
          <w:name w:val="General"/>
          <w:gallery w:val="placeholder"/>
        </w:category>
        <w:types>
          <w:type w:val="bbPlcHdr"/>
        </w:types>
        <w:behaviors>
          <w:behavior w:val="content"/>
        </w:behaviors>
        <w:guid w:val="{74270134-24B8-4B8C-8DB2-E6775D061C40}"/>
      </w:docPartPr>
      <w:docPartBody>
        <w:p w:rsidR="004A5FBC" w:rsidRDefault="004A5FBC">
          <w:pPr>
            <w:pStyle w:val="907C6CEAB1D64B10A4BF271604C92777"/>
          </w:pPr>
          <w:r w:rsidRPr="005C44BE">
            <w:rPr>
              <w:rStyle w:val="PlaceholderText"/>
            </w:rPr>
            <w:t>Click or tap here to enter text.</w:t>
          </w:r>
        </w:p>
      </w:docPartBody>
    </w:docPart>
    <w:docPart>
      <w:docPartPr>
        <w:name w:val="A3168CA8D59A4ABA8250F42C3515B777"/>
        <w:category>
          <w:name w:val="General"/>
          <w:gallery w:val="placeholder"/>
        </w:category>
        <w:types>
          <w:type w:val="bbPlcHdr"/>
        </w:types>
        <w:behaviors>
          <w:behavior w:val="content"/>
        </w:behaviors>
        <w:guid w:val="{C2EADF61-3B36-4C71-8D47-0839A92B02F9}"/>
      </w:docPartPr>
      <w:docPartBody>
        <w:p w:rsidR="004A5FBC" w:rsidRDefault="004A5FBC">
          <w:pPr>
            <w:pStyle w:val="A3168CA8D59A4ABA8250F42C3515B777"/>
          </w:pPr>
          <w:r w:rsidRPr="005C44BE">
            <w:rPr>
              <w:rStyle w:val="PlaceholderText"/>
            </w:rPr>
            <w:t>Click or tap here to enter text.</w:t>
          </w:r>
        </w:p>
      </w:docPartBody>
    </w:docPart>
    <w:docPart>
      <w:docPartPr>
        <w:name w:val="3735FA2CE268440E9FA420BF70C6C2F0"/>
        <w:category>
          <w:name w:val="General"/>
          <w:gallery w:val="placeholder"/>
        </w:category>
        <w:types>
          <w:type w:val="bbPlcHdr"/>
        </w:types>
        <w:behaviors>
          <w:behavior w:val="content"/>
        </w:behaviors>
        <w:guid w:val="{21ADD9BB-C55E-4DC3-AEDA-89C263DA9A55}"/>
      </w:docPartPr>
      <w:docPartBody>
        <w:p w:rsidR="004A5FBC" w:rsidRDefault="004A5FBC">
          <w:pPr>
            <w:pStyle w:val="3735FA2CE268440E9FA420BF70C6C2F0"/>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BC"/>
    <w:rsid w:val="002B1AE0"/>
    <w:rsid w:val="004A5FBC"/>
    <w:rsid w:val="00727E9C"/>
    <w:rsid w:val="00850E50"/>
    <w:rsid w:val="00991450"/>
    <w:rsid w:val="009E1D74"/>
    <w:rsid w:val="00A44DA3"/>
    <w:rsid w:val="00B01800"/>
    <w:rsid w:val="00F824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1FD06002DE241179EBB4ACCC484DB8B">
    <w:name w:val="91FD06002DE241179EBB4ACCC484DB8B"/>
  </w:style>
  <w:style w:type="paragraph" w:customStyle="1" w:styleId="47EDD63380D04DA795790E7BC9D65F3D">
    <w:name w:val="47EDD63380D04DA795790E7BC9D65F3D"/>
  </w:style>
  <w:style w:type="paragraph" w:customStyle="1" w:styleId="907C6CEAB1D64B10A4BF271604C92777">
    <w:name w:val="907C6CEAB1D64B10A4BF271604C92777"/>
  </w:style>
  <w:style w:type="paragraph" w:customStyle="1" w:styleId="A3168CA8D59A4ABA8250F42C3515B777">
    <w:name w:val="A3168CA8D59A4ABA8250F42C3515B777"/>
  </w:style>
  <w:style w:type="paragraph" w:customStyle="1" w:styleId="3735FA2CE268440E9FA420BF70C6C2F0">
    <w:name w:val="3735FA2CE268440E9FA420BF70C6C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globalmacros.com/FCA">
  <Name>BHG20 v Minister for Immigration, Citizenship and Multicultural Affairs [2023] FCA 391</Name>
</root>
</file>

<file path=customXml/item2.xml><?xml version="1.0" encoding="utf-8"?>
<p:properties xmlns:p="http://schemas.microsoft.com/office/2006/metadata/properties" xmlns:xsi="http://www.w3.org/2001/XMLSchema-instance" xmlns:pc="http://schemas.microsoft.com/office/infopath/2007/PartnerControls">
  <documentManagement>
    <_activity xmlns="3c065062-0d0d-4ad9-887f-a8e82c96a6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3755350CF7954992072A323B8B05DA" ma:contentTypeVersion="15" ma:contentTypeDescription="Create a new document." ma:contentTypeScope="" ma:versionID="c45a86c938a71ac49e8d14ea1a7ff923">
  <xsd:schema xmlns:xsd="http://www.w3.org/2001/XMLSchema" xmlns:xs="http://www.w3.org/2001/XMLSchema" xmlns:p="http://schemas.microsoft.com/office/2006/metadata/properties" xmlns:ns3="3c065062-0d0d-4ad9-887f-a8e82c96a699" xmlns:ns4="bacff3c8-8c39-4d50-b857-639209bddbfc" targetNamespace="http://schemas.microsoft.com/office/2006/metadata/properties" ma:root="true" ma:fieldsID="5328a28f64989d22aac2f2f46558dccd" ns3:_="" ns4:_="">
    <xsd:import namespace="3c065062-0d0d-4ad9-887f-a8e82c96a699"/>
    <xsd:import namespace="bacff3c8-8c39-4d50-b857-639209bddb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65062-0d0d-4ad9-887f-a8e82c96a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cff3c8-8c39-4d50-b857-639209bddb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80B1CF61-5353-4E53-8D1C-E3B97B5F128A}">
  <ds:schemaRefs>
    <ds:schemaRef ds:uri="bacff3c8-8c39-4d50-b857-639209bddbfc"/>
    <ds:schemaRef ds:uri="3c065062-0d0d-4ad9-887f-a8e82c96a69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4995C22-FFFD-40D9-8204-C9E305FAE1F4}">
  <ds:schemaRefs>
    <ds:schemaRef ds:uri="http://schemas.microsoft.com/sharepoint/v3/contenttype/forms"/>
  </ds:schemaRefs>
</ds:datastoreItem>
</file>

<file path=customXml/itemProps4.xml><?xml version="1.0" encoding="utf-8"?>
<ds:datastoreItem xmlns:ds="http://schemas.openxmlformats.org/officeDocument/2006/customXml" ds:itemID="{AF758CB9-1F41-463F-AFEA-72979EF9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65062-0d0d-4ad9-887f-a8e82c96a699"/>
    <ds:schemaRef ds:uri="bacff3c8-8c39-4d50-b857-639209bdd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F30765-4AD1-45F8-A948-23E282D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5</TotalTime>
  <Pages>11</Pages>
  <Words>3588</Words>
  <Characters>18798</Characters>
  <Application>Microsoft Office Word</Application>
  <DocSecurity>0</DocSecurity>
  <Lines>391</Lines>
  <Paragraphs>139</Paragraphs>
  <ScaleCrop>false</ScaleCrop>
  <HeadingPairs>
    <vt:vector size="2" baseType="variant">
      <vt:variant>
        <vt:lpstr>Title</vt:lpstr>
      </vt:variant>
      <vt:variant>
        <vt:i4>1</vt:i4>
      </vt:variant>
    </vt:vector>
  </HeadingPairs>
  <TitlesOfParts>
    <vt:vector size="1" baseType="lpstr">
      <vt:lpstr>BHG20 v Minister for Immigration, Citizenship and Multicultural Affairs [2023] FCA 391 </vt:lpstr>
    </vt:vector>
  </TitlesOfParts>
  <Company>Federal Court of Australia</Company>
  <LinksUpToDate>false</LinksUpToDate>
  <CharactersWithSpaces>22247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BHG20 v Minister for Immigration, Citizenship and Multicultural Affairs [2023] FCA 391</dc:title>
  <dc:creator>Federal Court of Australia</dc:creator>
  <dc:description>v1.3</dc:description>
  <cp:lastModifiedBy>Federal Court of Australia</cp:lastModifiedBy>
  <cp:revision>3</cp:revision>
  <cp:lastPrinted>2006-02-06T01:31:00Z</cp:lastPrinted>
  <dcterms:created xsi:type="dcterms:W3CDTF">2023-05-02T01:24:00Z</dcterms:created>
  <dcterms:modified xsi:type="dcterms:W3CDTF">2023-05-02T01:28:00Z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TBC</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Federal Court of Australia</vt:lpwstr>
  </property>
  <property fmtid="{D5CDD505-2E9C-101B-9397-08002B2CF9AE}" pid="17" name="Sub Area">
    <vt:lpwstr>To be Completed for Commercial and Corporations, and IP NPAs</vt:lpwstr>
  </property>
  <property fmtid="{D5CDD505-2E9C-101B-9397-08002B2CF9AE}" pid="18" name="AppealFrom">
    <vt:lpwstr>BHG20 v Minister for Immigration, Citizenship, Migrant Services and_x000d_
Multicultural Affairs [2022] FedCFamC2G 324</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0x010100E53755350CF7954992072A323B8B05DA</vt:lpwstr>
  </property>
</Properties>
</file>