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C5582" w14:textId="77777777" w:rsidR="00395B24" w:rsidRDefault="00A95C51" w:rsidP="004A670A">
      <w:pPr>
        <w:pStyle w:val="CourtTitle"/>
        <w:spacing w:line="480" w:lineRule="auto"/>
      </w:pPr>
      <w:r>
        <w:fldChar w:fldCharType="begin"/>
      </w:r>
      <w:r>
        <w:instrText xml:space="preserve"> DOCPROPERTY  Court  \* MERGEFORMAT </w:instrText>
      </w:r>
      <w:r>
        <w:fldChar w:fldCharType="separate"/>
      </w:r>
      <w:r w:rsidR="00B77FFE">
        <w:t>Federal Court of Australia</w:t>
      </w:r>
      <w:r>
        <w:fldChar w:fldCharType="end"/>
      </w:r>
    </w:p>
    <w:bookmarkStart w:id="0" w:name="MNC"/>
    <w:p w14:paraId="71FA2FC3" w14:textId="12276D0E" w:rsidR="00374CC4" w:rsidRDefault="009C7890" w:rsidP="001A2B40">
      <w:pPr>
        <w:pStyle w:val="MNC"/>
      </w:pPr>
      <w:sdt>
        <w:sdtPr>
          <w:alias w:val="MNC"/>
          <w:tag w:val="MNC"/>
          <w:id w:val="343289786"/>
          <w:lock w:val="sdtLocked"/>
          <w:placeholder>
            <w:docPart w:val="1B071DE3E54A4824901E08EF60CC78FA"/>
          </w:placeholder>
          <w:dataBinding w:prefixMappings="xmlns:ns0='http://schemas.globalmacros.com/FCA'" w:xpath="/ns0:root[1]/ns0:Name[1]" w:storeItemID="{687E7CCB-4AA5-44E7-B148-17BA2B6F57C0}"/>
          <w:text w:multiLine="1"/>
        </w:sdtPr>
        <w:sdtEndPr/>
        <w:sdtContent>
          <w:r w:rsidR="00B46380">
            <w:t xml:space="preserve"> Burrows v Macpherson and Kelley Lawyer</w:t>
          </w:r>
          <w:r w:rsidR="00E24CC5">
            <w:t>s</w:t>
          </w:r>
          <w:r w:rsidR="005C3E46">
            <w:t xml:space="preserve"> (Sydney) </w:t>
          </w:r>
          <w:r w:rsidR="00E24CC5">
            <w:t>Pty Ltd</w:t>
          </w:r>
          <w:r w:rsidR="005C3E46">
            <w:t xml:space="preserve"> [2023] FCA 622</w:t>
          </w:r>
          <w:r w:rsidR="00B46380">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1559E7" w14:paraId="11CB6469" w14:textId="77777777" w:rsidTr="00692E67">
        <w:tc>
          <w:tcPr>
            <w:tcW w:w="3083" w:type="dxa"/>
            <w:shd w:val="clear" w:color="auto" w:fill="auto"/>
          </w:tcPr>
          <w:p w14:paraId="0202A496" w14:textId="51321FCD" w:rsidR="001559E7" w:rsidRDefault="001559E7" w:rsidP="00663878">
            <w:pPr>
              <w:pStyle w:val="Normal1linespace"/>
              <w:widowControl w:val="0"/>
              <w:jc w:val="left"/>
            </w:pPr>
            <w:r>
              <w:t>Appeal from:</w:t>
            </w:r>
          </w:p>
        </w:tc>
        <w:tc>
          <w:tcPr>
            <w:tcW w:w="5990" w:type="dxa"/>
            <w:shd w:val="clear" w:color="auto" w:fill="auto"/>
          </w:tcPr>
          <w:p w14:paraId="3A70BB3A" w14:textId="715E1FC8" w:rsidR="001559E7" w:rsidRDefault="001559E7" w:rsidP="001559E7">
            <w:pPr>
              <w:pStyle w:val="Normal1linespace"/>
              <w:widowControl w:val="0"/>
              <w:jc w:val="left"/>
            </w:pPr>
            <w:r w:rsidRPr="001559E7">
              <w:rPr>
                <w:i/>
              </w:rPr>
              <w:t>Burrows v Macpherson and Kelley Lawyer (Sydney) NSW</w:t>
            </w:r>
            <w:r>
              <w:t xml:space="preserve"> [2022] FedCFamC2G 1048</w:t>
            </w:r>
          </w:p>
        </w:tc>
      </w:tr>
      <w:tr w:rsidR="001559E7" w14:paraId="04026230" w14:textId="77777777" w:rsidTr="00692E67">
        <w:tc>
          <w:tcPr>
            <w:tcW w:w="3083" w:type="dxa"/>
            <w:shd w:val="clear" w:color="auto" w:fill="auto"/>
          </w:tcPr>
          <w:p w14:paraId="351B2AB6" w14:textId="77777777" w:rsidR="001559E7" w:rsidRDefault="001559E7" w:rsidP="00663878">
            <w:pPr>
              <w:pStyle w:val="Normal1linespace"/>
              <w:widowControl w:val="0"/>
              <w:jc w:val="left"/>
            </w:pPr>
          </w:p>
        </w:tc>
        <w:tc>
          <w:tcPr>
            <w:tcW w:w="5990" w:type="dxa"/>
            <w:shd w:val="clear" w:color="auto" w:fill="auto"/>
          </w:tcPr>
          <w:p w14:paraId="6E4263FA" w14:textId="77777777" w:rsidR="001559E7" w:rsidRDefault="001559E7" w:rsidP="00B77FFE">
            <w:pPr>
              <w:pStyle w:val="Normal1linespace"/>
              <w:jc w:val="left"/>
            </w:pPr>
          </w:p>
        </w:tc>
      </w:tr>
      <w:tr w:rsidR="00395B24" w14:paraId="665EF839" w14:textId="77777777" w:rsidTr="00692E67">
        <w:tc>
          <w:tcPr>
            <w:tcW w:w="3083" w:type="dxa"/>
            <w:shd w:val="clear" w:color="auto" w:fill="auto"/>
          </w:tcPr>
          <w:p w14:paraId="26074EE4" w14:textId="77777777" w:rsidR="00395B24" w:rsidRDefault="002C7385" w:rsidP="00663878">
            <w:pPr>
              <w:pStyle w:val="Normal1linespace"/>
              <w:widowControl w:val="0"/>
              <w:jc w:val="left"/>
            </w:pPr>
            <w:r>
              <w:t>File number(s):</w:t>
            </w:r>
          </w:p>
        </w:tc>
        <w:tc>
          <w:tcPr>
            <w:tcW w:w="5990" w:type="dxa"/>
            <w:shd w:val="clear" w:color="auto" w:fill="auto"/>
          </w:tcPr>
          <w:p w14:paraId="016A4ED5" w14:textId="77777777" w:rsidR="00395B24" w:rsidRPr="00B77FFE" w:rsidRDefault="00A95C51" w:rsidP="00B77FFE">
            <w:pPr>
              <w:pStyle w:val="Normal1linespace"/>
              <w:jc w:val="left"/>
            </w:pPr>
            <w:fldSimple w:instr=" REF  FileNo  \* MERGEFORMAT " w:fldLock="1">
              <w:r w:rsidR="00B77FFE" w:rsidRPr="00B77FFE">
                <w:t>NSD 77 of 2023</w:t>
              </w:r>
            </w:fldSimple>
          </w:p>
        </w:tc>
      </w:tr>
      <w:tr w:rsidR="00395B24" w14:paraId="2FF60137" w14:textId="77777777" w:rsidTr="00692E67">
        <w:tc>
          <w:tcPr>
            <w:tcW w:w="3083" w:type="dxa"/>
            <w:shd w:val="clear" w:color="auto" w:fill="auto"/>
          </w:tcPr>
          <w:p w14:paraId="6465A169" w14:textId="77777777" w:rsidR="00395B24" w:rsidRDefault="00395B24" w:rsidP="00663878">
            <w:pPr>
              <w:pStyle w:val="Normal1linespace"/>
              <w:widowControl w:val="0"/>
              <w:jc w:val="left"/>
            </w:pPr>
          </w:p>
        </w:tc>
        <w:tc>
          <w:tcPr>
            <w:tcW w:w="5990" w:type="dxa"/>
            <w:shd w:val="clear" w:color="auto" w:fill="auto"/>
          </w:tcPr>
          <w:p w14:paraId="29EE245E" w14:textId="77777777" w:rsidR="00395B24" w:rsidRDefault="00395B24" w:rsidP="00663878">
            <w:pPr>
              <w:pStyle w:val="Normal1linespace"/>
              <w:widowControl w:val="0"/>
              <w:jc w:val="left"/>
            </w:pPr>
          </w:p>
        </w:tc>
      </w:tr>
      <w:tr w:rsidR="00395B24" w14:paraId="2498600B" w14:textId="77777777" w:rsidTr="00692E67">
        <w:tc>
          <w:tcPr>
            <w:tcW w:w="3083" w:type="dxa"/>
            <w:shd w:val="clear" w:color="auto" w:fill="auto"/>
          </w:tcPr>
          <w:p w14:paraId="0B99775F"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19852991" w14:textId="77777777" w:rsidR="00395B24" w:rsidRDefault="002C7385" w:rsidP="00663878">
            <w:pPr>
              <w:pStyle w:val="Normal1linespace"/>
              <w:widowControl w:val="0"/>
              <w:jc w:val="left"/>
              <w:rPr>
                <w:b/>
              </w:rPr>
            </w:pPr>
            <w:r w:rsidRPr="00B77FFE">
              <w:rPr>
                <w:b/>
              </w:rPr>
              <w:fldChar w:fldCharType="begin" w:fldLock="1"/>
            </w:r>
            <w:r w:rsidRPr="00B77FFE">
              <w:rPr>
                <w:b/>
              </w:rPr>
              <w:instrText xml:space="preserve"> REF  Judge  \* MERGEFORMAT </w:instrText>
            </w:r>
            <w:r w:rsidRPr="00B77FFE">
              <w:rPr>
                <w:b/>
              </w:rPr>
              <w:fldChar w:fldCharType="separate"/>
            </w:r>
            <w:r w:rsidR="00B77FFE" w:rsidRPr="00B77FFE">
              <w:rPr>
                <w:b/>
                <w:caps/>
                <w:szCs w:val="24"/>
              </w:rPr>
              <w:t>JACKMAN J</w:t>
            </w:r>
            <w:r w:rsidRPr="00B77FFE">
              <w:rPr>
                <w:b/>
              </w:rPr>
              <w:fldChar w:fldCharType="end"/>
            </w:r>
          </w:p>
        </w:tc>
      </w:tr>
      <w:tr w:rsidR="00395B24" w14:paraId="2288363D" w14:textId="77777777" w:rsidTr="00692E67">
        <w:tc>
          <w:tcPr>
            <w:tcW w:w="3083" w:type="dxa"/>
            <w:shd w:val="clear" w:color="auto" w:fill="auto"/>
          </w:tcPr>
          <w:p w14:paraId="04A93A9A" w14:textId="77777777" w:rsidR="00395B24" w:rsidRDefault="00395B24" w:rsidP="00663878">
            <w:pPr>
              <w:pStyle w:val="Normal1linespace"/>
              <w:widowControl w:val="0"/>
              <w:jc w:val="left"/>
            </w:pPr>
          </w:p>
        </w:tc>
        <w:tc>
          <w:tcPr>
            <w:tcW w:w="5990" w:type="dxa"/>
            <w:shd w:val="clear" w:color="auto" w:fill="auto"/>
          </w:tcPr>
          <w:p w14:paraId="6B39C6B0" w14:textId="77777777" w:rsidR="00395B24" w:rsidRDefault="00395B24" w:rsidP="00663878">
            <w:pPr>
              <w:pStyle w:val="Normal1linespace"/>
              <w:widowControl w:val="0"/>
              <w:jc w:val="left"/>
            </w:pPr>
          </w:p>
        </w:tc>
      </w:tr>
      <w:tr w:rsidR="00395B24" w14:paraId="7B76F19E" w14:textId="77777777" w:rsidTr="00692E67">
        <w:tc>
          <w:tcPr>
            <w:tcW w:w="3083" w:type="dxa"/>
            <w:shd w:val="clear" w:color="auto" w:fill="auto"/>
          </w:tcPr>
          <w:p w14:paraId="5E959601" w14:textId="77777777" w:rsidR="00395B24" w:rsidRDefault="002C7385" w:rsidP="00663878">
            <w:pPr>
              <w:pStyle w:val="Normal1linespace"/>
              <w:widowControl w:val="0"/>
              <w:jc w:val="left"/>
            </w:pPr>
            <w:r>
              <w:t>Date of judgment:</w:t>
            </w:r>
          </w:p>
        </w:tc>
        <w:tc>
          <w:tcPr>
            <w:tcW w:w="5990" w:type="dxa"/>
            <w:shd w:val="clear" w:color="auto" w:fill="auto"/>
          </w:tcPr>
          <w:p w14:paraId="2BA88805" w14:textId="543C5B4E" w:rsidR="00395B24" w:rsidRPr="00CC2EC2" w:rsidRDefault="00CC2EC2" w:rsidP="00663878">
            <w:pPr>
              <w:pStyle w:val="Normal1linespace"/>
              <w:widowControl w:val="0"/>
              <w:jc w:val="left"/>
            </w:pPr>
            <w:bookmarkStart w:id="1" w:name="JudgmentDate"/>
            <w:r w:rsidRPr="00CC2EC2">
              <w:t>13</w:t>
            </w:r>
            <w:r w:rsidR="00200EF6" w:rsidRPr="00CC2EC2">
              <w:t xml:space="preserve"> June</w:t>
            </w:r>
            <w:r w:rsidR="00B77FFE" w:rsidRPr="00CC2EC2">
              <w:t xml:space="preserve"> 2023</w:t>
            </w:r>
            <w:bookmarkEnd w:id="1"/>
          </w:p>
        </w:tc>
      </w:tr>
      <w:tr w:rsidR="00395B24" w14:paraId="3478787E" w14:textId="77777777" w:rsidTr="00692E67">
        <w:tc>
          <w:tcPr>
            <w:tcW w:w="3083" w:type="dxa"/>
            <w:shd w:val="clear" w:color="auto" w:fill="auto"/>
          </w:tcPr>
          <w:p w14:paraId="1D203762" w14:textId="77777777" w:rsidR="00395B24" w:rsidRDefault="00395B24" w:rsidP="00663878">
            <w:pPr>
              <w:pStyle w:val="Normal1linespace"/>
              <w:widowControl w:val="0"/>
              <w:jc w:val="left"/>
            </w:pPr>
          </w:p>
        </w:tc>
        <w:tc>
          <w:tcPr>
            <w:tcW w:w="5990" w:type="dxa"/>
            <w:shd w:val="clear" w:color="auto" w:fill="auto"/>
          </w:tcPr>
          <w:p w14:paraId="77F95D2D" w14:textId="77777777" w:rsidR="00395B24" w:rsidRDefault="00395B24" w:rsidP="00663878">
            <w:pPr>
              <w:pStyle w:val="Normal1linespace"/>
              <w:widowControl w:val="0"/>
              <w:jc w:val="left"/>
            </w:pPr>
          </w:p>
        </w:tc>
      </w:tr>
      <w:tr w:rsidR="00395B24" w14:paraId="2146E462" w14:textId="77777777" w:rsidTr="00692E67">
        <w:tc>
          <w:tcPr>
            <w:tcW w:w="3083" w:type="dxa"/>
            <w:shd w:val="clear" w:color="auto" w:fill="auto"/>
          </w:tcPr>
          <w:p w14:paraId="0CB3380B" w14:textId="77777777" w:rsidR="00395B24" w:rsidRDefault="002C7385" w:rsidP="00663878">
            <w:pPr>
              <w:pStyle w:val="Normal1linespace"/>
              <w:widowControl w:val="0"/>
              <w:jc w:val="left"/>
            </w:pPr>
            <w:r>
              <w:t>Catchwords:</w:t>
            </w:r>
          </w:p>
        </w:tc>
        <w:tc>
          <w:tcPr>
            <w:tcW w:w="5990" w:type="dxa"/>
            <w:shd w:val="clear" w:color="auto" w:fill="auto"/>
          </w:tcPr>
          <w:p w14:paraId="7432507C" w14:textId="36B2B12C" w:rsidR="00A446CA" w:rsidRDefault="00A446CA" w:rsidP="00A446CA">
            <w:pPr>
              <w:pStyle w:val="Normal1linespace"/>
              <w:widowControl w:val="0"/>
              <w:jc w:val="left"/>
            </w:pPr>
            <w:bookmarkStart w:id="2" w:name="Catchwords"/>
            <w:r>
              <w:rPr>
                <w:b/>
              </w:rPr>
              <w:t>BANKRUPTCY AND INSOLVENCY</w:t>
            </w:r>
            <w:r>
              <w:t xml:space="preserve"> – appeal against decision concerning application to set aside bankruptcy notice – whether application to set aside bankruptcy notice made in time – where application made more than 21 days from the date of delivery of bankruptcy notice to document exchange and last known address of person, but not more than 21 days from actual notice</w:t>
            </w:r>
            <w:r w:rsidR="00E57380">
              <w:t xml:space="preserve"> – construction of regulation 102 of the </w:t>
            </w:r>
            <w:r w:rsidR="00E57380">
              <w:rPr>
                <w:i/>
              </w:rPr>
              <w:t xml:space="preserve">Bankruptcy Regulations 2021 </w:t>
            </w:r>
            <w:r w:rsidR="00E57380">
              <w:t>(</w:t>
            </w:r>
            <w:proofErr w:type="spellStart"/>
            <w:r w:rsidR="00E57380">
              <w:t>Cth</w:t>
            </w:r>
            <w:proofErr w:type="spellEnd"/>
            <w:r w:rsidR="00E57380">
              <w:t>)</w:t>
            </w:r>
            <w:r w:rsidR="00DF4AE0">
              <w:t xml:space="preserve"> – no “contrary intention” in the </w:t>
            </w:r>
            <w:r w:rsidR="00DF4AE0">
              <w:rPr>
                <w:i/>
              </w:rPr>
              <w:t xml:space="preserve">Bankruptcy Act 1966 </w:t>
            </w:r>
            <w:r w:rsidR="00DF4AE0">
              <w:t>(</w:t>
            </w:r>
            <w:proofErr w:type="spellStart"/>
            <w:r w:rsidR="00DF4AE0">
              <w:t>Cth</w:t>
            </w:r>
            <w:proofErr w:type="spellEnd"/>
            <w:r w:rsidR="00DF4AE0">
              <w:t>) in relation to the service of bankruptcy notices – date of delivery of bankruptcy notice is determinative, not date of receipt</w:t>
            </w:r>
          </w:p>
          <w:p w14:paraId="35D135D7" w14:textId="77777777" w:rsidR="00A446CA" w:rsidRDefault="00A446CA" w:rsidP="00A446CA">
            <w:pPr>
              <w:pStyle w:val="Normal1linespace"/>
              <w:widowControl w:val="0"/>
              <w:jc w:val="left"/>
            </w:pPr>
          </w:p>
          <w:p w14:paraId="5279AF4C" w14:textId="11B42CB6" w:rsidR="00395B24" w:rsidRDefault="00A446CA" w:rsidP="006C1437">
            <w:pPr>
              <w:pStyle w:val="Normal1linespace"/>
              <w:widowControl w:val="0"/>
              <w:jc w:val="left"/>
            </w:pPr>
            <w:r>
              <w:rPr>
                <w:b/>
              </w:rPr>
              <w:t xml:space="preserve">APPEAL AND NEW TRIAL </w:t>
            </w:r>
            <w:r>
              <w:t xml:space="preserve">– where the primary judge made an adverse finding to the appellant in respect of an issue which was not in dispute – appeal should proceed as though the criticised reasoning of the primary judge did not exist – whether the appeal should be referred to a Full Court pursuant to s 25(1AA) of the </w:t>
            </w:r>
            <w:r>
              <w:rPr>
                <w:i/>
              </w:rPr>
              <w:t xml:space="preserve">Federal Court of Australia Act 1976 </w:t>
            </w:r>
            <w:r>
              <w:t>(</w:t>
            </w:r>
            <w:proofErr w:type="spellStart"/>
            <w:r>
              <w:t>Cth</w:t>
            </w:r>
            <w:proofErr w:type="spellEnd"/>
            <w:r>
              <w:t>) – no important question of law arises for determination and referral would prejudice the respondent</w:t>
            </w:r>
            <w:r w:rsidR="002C7385">
              <w:t xml:space="preserve"> </w:t>
            </w:r>
            <w:bookmarkEnd w:id="2"/>
          </w:p>
        </w:tc>
      </w:tr>
      <w:tr w:rsidR="00395B24" w14:paraId="6F7D7BC8" w14:textId="77777777" w:rsidTr="00692E67">
        <w:tc>
          <w:tcPr>
            <w:tcW w:w="3083" w:type="dxa"/>
            <w:shd w:val="clear" w:color="auto" w:fill="auto"/>
          </w:tcPr>
          <w:p w14:paraId="37B43B0D" w14:textId="77777777" w:rsidR="00395B24" w:rsidRDefault="00395B24" w:rsidP="00663878">
            <w:pPr>
              <w:pStyle w:val="Normal1linespace"/>
              <w:widowControl w:val="0"/>
              <w:jc w:val="left"/>
            </w:pPr>
          </w:p>
        </w:tc>
        <w:tc>
          <w:tcPr>
            <w:tcW w:w="5990" w:type="dxa"/>
            <w:shd w:val="clear" w:color="auto" w:fill="auto"/>
          </w:tcPr>
          <w:p w14:paraId="184A2516" w14:textId="77777777" w:rsidR="00395B24" w:rsidRDefault="00395B24" w:rsidP="00663878">
            <w:pPr>
              <w:pStyle w:val="Normal1linespace"/>
              <w:widowControl w:val="0"/>
              <w:jc w:val="left"/>
            </w:pPr>
          </w:p>
        </w:tc>
      </w:tr>
      <w:tr w:rsidR="00395B24" w14:paraId="486C5C6F" w14:textId="77777777" w:rsidTr="00692E67">
        <w:tc>
          <w:tcPr>
            <w:tcW w:w="3083" w:type="dxa"/>
            <w:shd w:val="clear" w:color="auto" w:fill="auto"/>
          </w:tcPr>
          <w:p w14:paraId="3C0289BD" w14:textId="77777777" w:rsidR="00395B24" w:rsidRDefault="002C7385" w:rsidP="00663878">
            <w:pPr>
              <w:pStyle w:val="Normal1linespace"/>
              <w:widowControl w:val="0"/>
              <w:jc w:val="left"/>
            </w:pPr>
            <w:r>
              <w:t>Legislation:</w:t>
            </w:r>
          </w:p>
        </w:tc>
        <w:tc>
          <w:tcPr>
            <w:tcW w:w="5990" w:type="dxa"/>
            <w:shd w:val="clear" w:color="auto" w:fill="auto"/>
          </w:tcPr>
          <w:p w14:paraId="34F13794" w14:textId="2728C774" w:rsidR="00EC2A35" w:rsidRPr="00EC2A35" w:rsidRDefault="001D345C" w:rsidP="00EC2A35">
            <w:pPr>
              <w:pStyle w:val="CasesLegislationAppealFrom"/>
              <w:spacing w:after="60"/>
            </w:pPr>
            <w:bookmarkStart w:id="3" w:name="Legislation"/>
            <w:r w:rsidRPr="00EC2A35">
              <w:rPr>
                <w:i/>
              </w:rPr>
              <w:t>Bankruptcy Act 1966</w:t>
            </w:r>
            <w:r w:rsidRPr="00EC2A35">
              <w:t xml:space="preserve"> (</w:t>
            </w:r>
            <w:proofErr w:type="spellStart"/>
            <w:r w:rsidRPr="00EC2A35">
              <w:t>Cth</w:t>
            </w:r>
            <w:proofErr w:type="spellEnd"/>
            <w:r w:rsidRPr="00EC2A35">
              <w:t>)</w:t>
            </w:r>
            <w:r>
              <w:t xml:space="preserve"> </w:t>
            </w:r>
            <w:proofErr w:type="spellStart"/>
            <w:r>
              <w:t>ss</w:t>
            </w:r>
            <w:proofErr w:type="spellEnd"/>
            <w:r>
              <w:t xml:space="preserve"> 12, </w:t>
            </w:r>
            <w:r w:rsidR="005E7582">
              <w:t xml:space="preserve">30, </w:t>
            </w:r>
            <w:r>
              <w:t xml:space="preserve">40, 41, </w:t>
            </w:r>
            <w:r w:rsidR="005E7582">
              <w:t xml:space="preserve">42, 43, </w:t>
            </w:r>
            <w:r>
              <w:t>81A, 81G, 118, 139ZIE, 139ZM, 139 ZO, 139ZS, 139ZT</w:t>
            </w:r>
          </w:p>
          <w:p w14:paraId="24EE0395" w14:textId="7BF0D888" w:rsidR="00EC2A35" w:rsidRDefault="00EC2A35" w:rsidP="00EC2A35">
            <w:pPr>
              <w:pStyle w:val="CasesLegislationAppealFrom"/>
              <w:spacing w:after="60"/>
            </w:pPr>
            <w:r w:rsidRPr="00EC2A35">
              <w:rPr>
                <w:i/>
              </w:rPr>
              <w:t>Federal Court of Australia Act 1976</w:t>
            </w:r>
            <w:r>
              <w:t xml:space="preserve"> </w:t>
            </w:r>
            <w:r w:rsidRPr="00EC2A35">
              <w:t>(</w:t>
            </w:r>
            <w:proofErr w:type="spellStart"/>
            <w:r w:rsidRPr="00EC2A35">
              <w:t>Cth</w:t>
            </w:r>
            <w:proofErr w:type="spellEnd"/>
            <w:r w:rsidRPr="00EC2A35">
              <w:t>)</w:t>
            </w:r>
            <w:r>
              <w:t xml:space="preserve"> s 25(1AA)</w:t>
            </w:r>
          </w:p>
          <w:p w14:paraId="61AFC826" w14:textId="1A8EDF73" w:rsidR="00EC2A35" w:rsidRDefault="00EC2A35" w:rsidP="00EC2A35">
            <w:pPr>
              <w:pStyle w:val="CasesLegislationAppealFrom"/>
              <w:spacing w:after="60"/>
            </w:pPr>
            <w:r w:rsidRPr="00EC2A35">
              <w:rPr>
                <w:i/>
              </w:rPr>
              <w:t>Bankruptcy Regulations 1996</w:t>
            </w:r>
            <w:r w:rsidRPr="00EC2A35">
              <w:t xml:space="preserve"> (</w:t>
            </w:r>
            <w:proofErr w:type="spellStart"/>
            <w:r w:rsidRPr="00EC2A35">
              <w:t>Cth</w:t>
            </w:r>
            <w:proofErr w:type="spellEnd"/>
            <w:r w:rsidRPr="00EC2A35">
              <w:t>)</w:t>
            </w:r>
            <w:r>
              <w:t xml:space="preserve"> </w:t>
            </w:r>
            <w:proofErr w:type="spellStart"/>
            <w:r>
              <w:t>reg</w:t>
            </w:r>
            <w:proofErr w:type="spellEnd"/>
            <w:r>
              <w:t xml:space="preserve"> 16.01</w:t>
            </w:r>
          </w:p>
          <w:p w14:paraId="486AE8A8" w14:textId="3EC6E502" w:rsidR="00395B24" w:rsidRPr="00EC2A35" w:rsidRDefault="00EC2A35" w:rsidP="00EC2A35">
            <w:pPr>
              <w:pStyle w:val="CasesLegislationAppealFrom"/>
              <w:spacing w:after="60"/>
            </w:pPr>
            <w:r w:rsidRPr="00EC2A35">
              <w:rPr>
                <w:i/>
              </w:rPr>
              <w:t xml:space="preserve">Bankruptcy Regulations 2021 </w:t>
            </w:r>
            <w:r w:rsidRPr="00EC2A35">
              <w:t>(</w:t>
            </w:r>
            <w:proofErr w:type="spellStart"/>
            <w:r w:rsidRPr="00EC2A35">
              <w:t>Cth</w:t>
            </w:r>
            <w:proofErr w:type="spellEnd"/>
            <w:r w:rsidRPr="00EC2A35">
              <w:t>)</w:t>
            </w:r>
            <w:r>
              <w:t xml:space="preserve"> </w:t>
            </w:r>
            <w:proofErr w:type="spellStart"/>
            <w:r>
              <w:t>reg</w:t>
            </w:r>
            <w:proofErr w:type="spellEnd"/>
            <w:r>
              <w:t xml:space="preserve"> 102</w:t>
            </w:r>
            <w:bookmarkEnd w:id="3"/>
          </w:p>
        </w:tc>
      </w:tr>
      <w:tr w:rsidR="00395B24" w14:paraId="28AAB2A9" w14:textId="77777777" w:rsidTr="00692E67">
        <w:tc>
          <w:tcPr>
            <w:tcW w:w="3083" w:type="dxa"/>
            <w:shd w:val="clear" w:color="auto" w:fill="auto"/>
          </w:tcPr>
          <w:p w14:paraId="0022DB48" w14:textId="77777777" w:rsidR="00395B24" w:rsidRDefault="00395B24" w:rsidP="00663878">
            <w:pPr>
              <w:pStyle w:val="Normal1linespace"/>
              <w:widowControl w:val="0"/>
              <w:jc w:val="left"/>
            </w:pPr>
          </w:p>
        </w:tc>
        <w:tc>
          <w:tcPr>
            <w:tcW w:w="5990" w:type="dxa"/>
            <w:shd w:val="clear" w:color="auto" w:fill="auto"/>
          </w:tcPr>
          <w:p w14:paraId="5442FB2C" w14:textId="77777777" w:rsidR="00395B24" w:rsidRDefault="00395B24" w:rsidP="00663878">
            <w:pPr>
              <w:pStyle w:val="Normal1linespace"/>
              <w:widowControl w:val="0"/>
              <w:jc w:val="left"/>
            </w:pPr>
          </w:p>
        </w:tc>
      </w:tr>
      <w:tr w:rsidR="00395B24" w14:paraId="26D232FD" w14:textId="77777777" w:rsidTr="00692E67">
        <w:tc>
          <w:tcPr>
            <w:tcW w:w="3083" w:type="dxa"/>
            <w:shd w:val="clear" w:color="auto" w:fill="auto"/>
          </w:tcPr>
          <w:p w14:paraId="3794BFEF" w14:textId="77777777" w:rsidR="00395B24" w:rsidRDefault="002C7385" w:rsidP="00663878">
            <w:pPr>
              <w:pStyle w:val="Normal1linespace"/>
              <w:widowControl w:val="0"/>
              <w:jc w:val="left"/>
            </w:pPr>
            <w:r>
              <w:t>Cases cited:</w:t>
            </w:r>
          </w:p>
        </w:tc>
        <w:tc>
          <w:tcPr>
            <w:tcW w:w="5990" w:type="dxa"/>
            <w:shd w:val="clear" w:color="auto" w:fill="auto"/>
          </w:tcPr>
          <w:p w14:paraId="44A33193" w14:textId="77777777" w:rsidR="00EC2A35" w:rsidRPr="00EC2A35" w:rsidRDefault="00EC2A35" w:rsidP="00EC2A35">
            <w:pPr>
              <w:pStyle w:val="CasesLegislationAppealFrom"/>
              <w:spacing w:after="60"/>
            </w:pPr>
            <w:bookmarkStart w:id="4" w:name="Cases_Cited"/>
            <w:r w:rsidRPr="00EC2A35">
              <w:rPr>
                <w:i/>
              </w:rPr>
              <w:t>Abu-</w:t>
            </w:r>
            <w:proofErr w:type="spellStart"/>
            <w:r w:rsidRPr="00EC2A35">
              <w:rPr>
                <w:i/>
              </w:rPr>
              <w:t>Amsha</w:t>
            </w:r>
            <w:proofErr w:type="spellEnd"/>
            <w:r w:rsidRPr="00EC2A35">
              <w:rPr>
                <w:i/>
              </w:rPr>
              <w:t xml:space="preserve"> v Wagner</w:t>
            </w:r>
            <w:r w:rsidRPr="00EC2A35">
              <w:t xml:space="preserve"> [2019] FCA 900</w:t>
            </w:r>
          </w:p>
          <w:p w14:paraId="43B19C09" w14:textId="77777777" w:rsidR="00EC2A35" w:rsidRPr="00EC2A35" w:rsidRDefault="00EC2A35" w:rsidP="00EC2A35">
            <w:pPr>
              <w:pStyle w:val="CasesLegislationAppealFrom"/>
              <w:spacing w:after="60"/>
            </w:pPr>
            <w:r w:rsidRPr="00EC2A35">
              <w:rPr>
                <w:i/>
              </w:rPr>
              <w:t xml:space="preserve">ANZ Banking Group Ltd v James </w:t>
            </w:r>
            <w:r w:rsidRPr="00EC2A35">
              <w:t>[2016] FCA 332</w:t>
            </w:r>
          </w:p>
          <w:p w14:paraId="0FBBD1A0" w14:textId="77777777" w:rsidR="00EC2A35" w:rsidRPr="00EC2A35" w:rsidRDefault="00EC2A35" w:rsidP="00EC2A35">
            <w:pPr>
              <w:pStyle w:val="CasesLegislationAppealFrom"/>
              <w:spacing w:after="60"/>
            </w:pPr>
            <w:r w:rsidRPr="00EC2A35">
              <w:rPr>
                <w:i/>
              </w:rPr>
              <w:t>Bishop v Helps</w:t>
            </w:r>
            <w:r w:rsidRPr="00EC2A35">
              <w:t xml:space="preserve"> (1845) 135 ER 857</w:t>
            </w:r>
          </w:p>
          <w:p w14:paraId="33659E20" w14:textId="77777777" w:rsidR="00EC2A35" w:rsidRPr="00EC2A35" w:rsidRDefault="00EC2A35" w:rsidP="00EC2A35">
            <w:pPr>
              <w:pStyle w:val="CasesLegislationAppealFrom"/>
              <w:spacing w:after="60"/>
            </w:pPr>
            <w:r w:rsidRPr="00EC2A35">
              <w:rPr>
                <w:i/>
              </w:rPr>
              <w:lastRenderedPageBreak/>
              <w:t xml:space="preserve">Burrows v Macpherson and Kelley Lawyers (Sydney) Pty Ltd </w:t>
            </w:r>
            <w:r w:rsidRPr="00EC2A35">
              <w:t>[2022] FedCFamC2G 1048</w:t>
            </w:r>
          </w:p>
          <w:p w14:paraId="5C6FF18A" w14:textId="77777777" w:rsidR="00EC2A35" w:rsidRPr="00EC2A35" w:rsidRDefault="00EC2A35" w:rsidP="00EC2A35">
            <w:pPr>
              <w:pStyle w:val="CasesLegislationAppealFrom"/>
              <w:spacing w:after="60"/>
            </w:pPr>
            <w:proofErr w:type="spellStart"/>
            <w:r w:rsidRPr="00EC2A35">
              <w:rPr>
                <w:i/>
              </w:rPr>
              <w:t>Carantinos</w:t>
            </w:r>
            <w:proofErr w:type="spellEnd"/>
            <w:r w:rsidRPr="00EC2A35">
              <w:rPr>
                <w:i/>
              </w:rPr>
              <w:t xml:space="preserve"> v </w:t>
            </w:r>
            <w:proofErr w:type="spellStart"/>
            <w:r w:rsidRPr="00EC2A35">
              <w:rPr>
                <w:i/>
              </w:rPr>
              <w:t>Magafas</w:t>
            </w:r>
            <w:proofErr w:type="spellEnd"/>
            <w:r w:rsidRPr="00EC2A35">
              <w:t xml:space="preserve"> [2009] FCA 627</w:t>
            </w:r>
          </w:p>
          <w:p w14:paraId="4D9212A6" w14:textId="77777777" w:rsidR="00EC2A35" w:rsidRPr="00EC2A35" w:rsidRDefault="00EC2A35" w:rsidP="00EC2A35">
            <w:pPr>
              <w:pStyle w:val="CasesLegislationAppealFrom"/>
              <w:spacing w:after="60"/>
            </w:pPr>
            <w:r w:rsidRPr="00EC2A35">
              <w:rPr>
                <w:i/>
              </w:rPr>
              <w:t xml:space="preserve">Clyne v Deputy Commissioner of Taxation </w:t>
            </w:r>
            <w:r w:rsidRPr="00EC2A35">
              <w:t>(1982) 66 FLR 301</w:t>
            </w:r>
          </w:p>
          <w:p w14:paraId="77E24A23" w14:textId="77777777" w:rsidR="00EC2A35" w:rsidRPr="00EC2A35" w:rsidRDefault="00EC2A35" w:rsidP="00EC2A35">
            <w:pPr>
              <w:pStyle w:val="CasesLegislationAppealFrom"/>
              <w:spacing w:after="60"/>
            </w:pPr>
            <w:r w:rsidRPr="00EC2A35">
              <w:rPr>
                <w:i/>
              </w:rPr>
              <w:t>Coco v The Queen</w:t>
            </w:r>
            <w:r w:rsidRPr="00EC2A35">
              <w:t xml:space="preserve"> (1994) 179 CLR 427</w:t>
            </w:r>
          </w:p>
          <w:p w14:paraId="3F4306C4" w14:textId="77777777" w:rsidR="00EC2A35" w:rsidRPr="00EC2A35" w:rsidRDefault="00EC2A35" w:rsidP="00EC2A35">
            <w:pPr>
              <w:pStyle w:val="CasesLegislationAppealFrom"/>
              <w:spacing w:after="60"/>
            </w:pPr>
            <w:r w:rsidRPr="00EC2A35">
              <w:rPr>
                <w:i/>
              </w:rPr>
              <w:t xml:space="preserve">De </w:t>
            </w:r>
            <w:proofErr w:type="spellStart"/>
            <w:r w:rsidRPr="00EC2A35">
              <w:rPr>
                <w:i/>
              </w:rPr>
              <w:t>Robillard</w:t>
            </w:r>
            <w:proofErr w:type="spellEnd"/>
            <w:r w:rsidRPr="00EC2A35">
              <w:rPr>
                <w:i/>
              </w:rPr>
              <w:t xml:space="preserve"> v Carver</w:t>
            </w:r>
            <w:r w:rsidRPr="00EC2A35">
              <w:t xml:space="preserve"> [2007] FCAFC 73; (2007) 159 FCR 38</w:t>
            </w:r>
          </w:p>
          <w:p w14:paraId="09677655" w14:textId="77777777" w:rsidR="00EC2A35" w:rsidRPr="00EC2A35" w:rsidRDefault="00EC2A35" w:rsidP="00EC2A35">
            <w:pPr>
              <w:pStyle w:val="CasesLegislationAppealFrom"/>
              <w:spacing w:after="60"/>
            </w:pPr>
            <w:r w:rsidRPr="00EC2A35">
              <w:rPr>
                <w:i/>
              </w:rPr>
              <w:t>Deputy Commissioner of Taxation v Mutton</w:t>
            </w:r>
            <w:r w:rsidRPr="00EC2A35">
              <w:t xml:space="preserve"> (1988) 23 NSWCR 104</w:t>
            </w:r>
          </w:p>
          <w:p w14:paraId="61334849" w14:textId="77777777" w:rsidR="00EC2A35" w:rsidRPr="00EC2A35" w:rsidRDefault="00EC2A35" w:rsidP="00EC2A35">
            <w:pPr>
              <w:pStyle w:val="CasesLegislationAppealFrom"/>
              <w:spacing w:after="60"/>
            </w:pPr>
            <w:proofErr w:type="spellStart"/>
            <w:r w:rsidRPr="00EC2A35">
              <w:rPr>
                <w:i/>
              </w:rPr>
              <w:t>Fancourt</w:t>
            </w:r>
            <w:proofErr w:type="spellEnd"/>
            <w:r w:rsidRPr="00EC2A35">
              <w:rPr>
                <w:i/>
              </w:rPr>
              <w:t xml:space="preserve"> v Mercantile Credits Ltd </w:t>
            </w:r>
            <w:r w:rsidRPr="00EC2A35">
              <w:t>(1983) 154 CLR 87</w:t>
            </w:r>
          </w:p>
          <w:p w14:paraId="0768F536" w14:textId="77777777" w:rsidR="00EC2A35" w:rsidRPr="00EC2A35" w:rsidRDefault="00EC2A35" w:rsidP="00EC2A35">
            <w:pPr>
              <w:pStyle w:val="CasesLegislationAppealFrom"/>
              <w:spacing w:after="60"/>
            </w:pPr>
            <w:r w:rsidRPr="00EC2A35">
              <w:rPr>
                <w:i/>
              </w:rPr>
              <w:t>Fuller JR, Re Alford v Alford</w:t>
            </w:r>
            <w:r w:rsidRPr="00EC2A35">
              <w:t xml:space="preserve"> [2017] FCA 782</w:t>
            </w:r>
          </w:p>
          <w:p w14:paraId="6093C02D" w14:textId="77777777" w:rsidR="00EC2A35" w:rsidRPr="00EC2A35" w:rsidRDefault="00EC2A35" w:rsidP="00EC2A35">
            <w:pPr>
              <w:pStyle w:val="CasesLegislationAppealFrom"/>
              <w:spacing w:after="60"/>
            </w:pPr>
            <w:proofErr w:type="spellStart"/>
            <w:r w:rsidRPr="00EC2A35">
              <w:rPr>
                <w:i/>
              </w:rPr>
              <w:t>Howship</w:t>
            </w:r>
            <w:proofErr w:type="spellEnd"/>
            <w:r w:rsidRPr="00EC2A35">
              <w:rPr>
                <w:i/>
              </w:rPr>
              <w:t xml:space="preserve"> Holdings Pty Ltd v Leslie</w:t>
            </w:r>
            <w:r w:rsidRPr="00EC2A35">
              <w:t xml:space="preserve"> (1996) 41 NSWLR 542</w:t>
            </w:r>
          </w:p>
          <w:p w14:paraId="1F407AF5" w14:textId="77777777" w:rsidR="00EC2A35" w:rsidRPr="00EC2A35" w:rsidRDefault="00EC2A35" w:rsidP="00EC2A35">
            <w:pPr>
              <w:pStyle w:val="CasesLegislationAppealFrom"/>
              <w:spacing w:after="60"/>
            </w:pPr>
            <w:proofErr w:type="spellStart"/>
            <w:r w:rsidRPr="00EC2A35">
              <w:rPr>
                <w:i/>
              </w:rPr>
              <w:t>Kioa</w:t>
            </w:r>
            <w:proofErr w:type="spellEnd"/>
            <w:r w:rsidRPr="00EC2A35">
              <w:rPr>
                <w:i/>
              </w:rPr>
              <w:t xml:space="preserve"> v West </w:t>
            </w:r>
            <w:r w:rsidRPr="00EC2A35">
              <w:t>(1985) 159 CLR 550</w:t>
            </w:r>
          </w:p>
          <w:p w14:paraId="07B9BF1B" w14:textId="77777777" w:rsidR="00EC2A35" w:rsidRPr="00EC2A35" w:rsidRDefault="00EC2A35" w:rsidP="00EC2A35">
            <w:pPr>
              <w:pStyle w:val="CasesLegislationAppealFrom"/>
              <w:spacing w:after="60"/>
            </w:pPr>
            <w:proofErr w:type="spellStart"/>
            <w:r w:rsidRPr="00EC2A35">
              <w:rPr>
                <w:i/>
              </w:rPr>
              <w:t>Kuhl</w:t>
            </w:r>
            <w:proofErr w:type="spellEnd"/>
            <w:r w:rsidRPr="00EC2A35">
              <w:rPr>
                <w:i/>
              </w:rPr>
              <w:t xml:space="preserve"> v Zurich Financial Services Australia Ltd </w:t>
            </w:r>
            <w:r w:rsidRPr="00EC2A35">
              <w:t>[2011] HCA 11; (2011) 243 CLR 361</w:t>
            </w:r>
          </w:p>
          <w:p w14:paraId="7BE527D3" w14:textId="77777777" w:rsidR="00EC2A35" w:rsidRPr="00EC2A35" w:rsidRDefault="00EC2A35" w:rsidP="00EC2A35">
            <w:pPr>
              <w:pStyle w:val="CasesLegislationAppealFrom"/>
              <w:spacing w:after="60"/>
            </w:pPr>
            <w:r w:rsidRPr="00EC2A35">
              <w:rPr>
                <w:i/>
              </w:rPr>
              <w:t>Master Education Services Pty Ltd v Ketchell</w:t>
            </w:r>
            <w:r w:rsidRPr="00EC2A35">
              <w:t xml:space="preserve"> [2008] HCA 38; (2008) 236 CLR 101</w:t>
            </w:r>
          </w:p>
          <w:p w14:paraId="2135D2A0" w14:textId="77777777" w:rsidR="00EC2A35" w:rsidRPr="00EC2A35" w:rsidRDefault="00EC2A35" w:rsidP="00EC2A35">
            <w:pPr>
              <w:pStyle w:val="CasesLegislationAppealFrom"/>
              <w:spacing w:after="60"/>
            </w:pPr>
            <w:proofErr w:type="spellStart"/>
            <w:r w:rsidRPr="00EC2A35">
              <w:rPr>
                <w:i/>
              </w:rPr>
              <w:t>Mbuzi</w:t>
            </w:r>
            <w:proofErr w:type="spellEnd"/>
            <w:r w:rsidRPr="00EC2A35">
              <w:rPr>
                <w:i/>
              </w:rPr>
              <w:t xml:space="preserve"> v </w:t>
            </w:r>
            <w:proofErr w:type="spellStart"/>
            <w:r w:rsidRPr="00EC2A35">
              <w:rPr>
                <w:i/>
              </w:rPr>
              <w:t>Favell</w:t>
            </w:r>
            <w:proofErr w:type="spellEnd"/>
            <w:r w:rsidRPr="00EC2A35">
              <w:rPr>
                <w:i/>
              </w:rPr>
              <w:t xml:space="preserve"> (No 2)</w:t>
            </w:r>
            <w:r w:rsidRPr="00EC2A35">
              <w:t xml:space="preserve"> [2012] FCA 311</w:t>
            </w:r>
          </w:p>
          <w:p w14:paraId="28DDF91A" w14:textId="77777777" w:rsidR="00EC2A35" w:rsidRPr="00EC2A35" w:rsidRDefault="00EC2A35" w:rsidP="00EC2A35">
            <w:pPr>
              <w:pStyle w:val="CasesLegislationAppealFrom"/>
              <w:spacing w:after="60"/>
            </w:pPr>
            <w:r w:rsidRPr="00EC2A35">
              <w:rPr>
                <w:i/>
              </w:rPr>
              <w:t xml:space="preserve">Minister for Immigration, Citizenship, Migrant Services and Multicultural Affairs v FAK19 </w:t>
            </w:r>
            <w:r w:rsidRPr="00EC2A35">
              <w:t>[2021] FCAFC 153; (2021) 287 FCR 181</w:t>
            </w:r>
          </w:p>
          <w:p w14:paraId="66AA1E07" w14:textId="77777777" w:rsidR="00EC2A35" w:rsidRPr="00EC2A35" w:rsidRDefault="00EC2A35" w:rsidP="00EC2A35">
            <w:pPr>
              <w:pStyle w:val="CasesLegislationAppealFrom"/>
              <w:spacing w:after="60"/>
            </w:pPr>
            <w:r w:rsidRPr="00EC2A35">
              <w:rPr>
                <w:i/>
              </w:rPr>
              <w:t>Montero v Minister for Immigration and Border Protection</w:t>
            </w:r>
            <w:r w:rsidRPr="00EC2A35">
              <w:t xml:space="preserve"> [2014] FCA 1096</w:t>
            </w:r>
          </w:p>
          <w:p w14:paraId="274EEC9A" w14:textId="00641B54" w:rsidR="00EC2A35" w:rsidRPr="00EC2A35" w:rsidRDefault="00EC2A35" w:rsidP="00EC2A35">
            <w:pPr>
              <w:pStyle w:val="CasesLegislationAppealFrom"/>
              <w:spacing w:after="60"/>
            </w:pPr>
            <w:r w:rsidRPr="00EC2A35">
              <w:rPr>
                <w:i/>
              </w:rPr>
              <w:t>Re Alcan Australia Ltd; Ex parte Federation of Industrial Manufacturing and Engineering Employees</w:t>
            </w:r>
            <w:r w:rsidRPr="00EC2A35">
              <w:t xml:space="preserve"> [1994] HCA 34; (1994) 181 CLR 96</w:t>
            </w:r>
          </w:p>
          <w:p w14:paraId="19D7A5AA" w14:textId="77777777" w:rsidR="00EC2A35" w:rsidRPr="00EC2A35" w:rsidRDefault="00EC2A35" w:rsidP="00EC2A35">
            <w:pPr>
              <w:pStyle w:val="CasesLegislationAppealFrom"/>
              <w:spacing w:after="60"/>
            </w:pPr>
            <w:r w:rsidRPr="00EC2A35">
              <w:rPr>
                <w:i/>
              </w:rPr>
              <w:t xml:space="preserve">Re </w:t>
            </w:r>
            <w:proofErr w:type="spellStart"/>
            <w:r w:rsidRPr="00EC2A35">
              <w:rPr>
                <w:i/>
              </w:rPr>
              <w:t>Ditfort</w:t>
            </w:r>
            <w:proofErr w:type="spellEnd"/>
            <w:r w:rsidRPr="00EC2A35">
              <w:rPr>
                <w:i/>
              </w:rPr>
              <w:t xml:space="preserve">; Ex Parte Deputy Commission of Taxation </w:t>
            </w:r>
            <w:r w:rsidRPr="00EC2A35">
              <w:t>[1988] FCA 490; (1988) 19 FCR 347</w:t>
            </w:r>
          </w:p>
          <w:p w14:paraId="00FB3CCF" w14:textId="77777777" w:rsidR="00EC2A35" w:rsidRPr="00EC2A35" w:rsidRDefault="00EC2A35" w:rsidP="00EC2A35">
            <w:pPr>
              <w:pStyle w:val="CasesLegislationAppealFrom"/>
              <w:spacing w:after="60"/>
            </w:pPr>
            <w:proofErr w:type="spellStart"/>
            <w:r w:rsidRPr="00EC2A35">
              <w:rPr>
                <w:i/>
              </w:rPr>
              <w:t>Shephard</w:t>
            </w:r>
            <w:proofErr w:type="spellEnd"/>
            <w:r w:rsidRPr="00EC2A35">
              <w:rPr>
                <w:i/>
              </w:rPr>
              <w:t xml:space="preserve"> v Chiquita Brands South Pacific Limited</w:t>
            </w:r>
            <w:r w:rsidRPr="00EC2A35">
              <w:t xml:space="preserve"> [2004] FCAFC 76</w:t>
            </w:r>
          </w:p>
          <w:p w14:paraId="415880B4" w14:textId="77777777" w:rsidR="00EC2A35" w:rsidRPr="00EC2A35" w:rsidRDefault="00EC2A35" w:rsidP="00EC2A35">
            <w:pPr>
              <w:pStyle w:val="CasesLegislationAppealFrom"/>
              <w:spacing w:after="60"/>
            </w:pPr>
            <w:proofErr w:type="spellStart"/>
            <w:r w:rsidRPr="00EC2A35">
              <w:rPr>
                <w:i/>
              </w:rPr>
              <w:t>Skalkos</w:t>
            </w:r>
            <w:proofErr w:type="spellEnd"/>
            <w:r w:rsidRPr="00EC2A35">
              <w:rPr>
                <w:i/>
              </w:rPr>
              <w:t xml:space="preserve"> v T &amp; S Recoveries Pty Ltd </w:t>
            </w:r>
            <w:r w:rsidRPr="00EC2A35">
              <w:t>[2004] FCAFC 321; (2004) 141 FCR 107</w:t>
            </w:r>
          </w:p>
          <w:p w14:paraId="7B4E595F" w14:textId="77777777" w:rsidR="00EC2A35" w:rsidRPr="00EC2A35" w:rsidRDefault="00EC2A35" w:rsidP="00EC2A35">
            <w:pPr>
              <w:pStyle w:val="CasesLegislationAppealFrom"/>
              <w:spacing w:after="60"/>
            </w:pPr>
            <w:r w:rsidRPr="00EC2A35">
              <w:rPr>
                <w:i/>
              </w:rPr>
              <w:t>SZKNX v Minister for Immigration and Citizenship</w:t>
            </w:r>
            <w:r w:rsidRPr="00EC2A35">
              <w:t xml:space="preserve"> [2008] FCA 67</w:t>
            </w:r>
          </w:p>
          <w:p w14:paraId="07C790F8" w14:textId="77777777" w:rsidR="00EC2A35" w:rsidRPr="00EC2A35" w:rsidRDefault="00EC2A35" w:rsidP="00EC2A35">
            <w:pPr>
              <w:pStyle w:val="CasesLegislationAppealFrom"/>
              <w:spacing w:after="60"/>
            </w:pPr>
            <w:r w:rsidRPr="00EC2A35">
              <w:rPr>
                <w:i/>
              </w:rPr>
              <w:t>SZOBI v Minister for Immigration and Citizenship</w:t>
            </w:r>
            <w:r w:rsidRPr="00EC2A35">
              <w:t xml:space="preserve"> [2010] FCA 1026</w:t>
            </w:r>
          </w:p>
          <w:p w14:paraId="0E112C86" w14:textId="77777777" w:rsidR="00EC2A35" w:rsidRPr="00EC2A35" w:rsidRDefault="00EC2A35" w:rsidP="00EC2A35">
            <w:pPr>
              <w:pStyle w:val="CasesLegislationAppealFrom"/>
              <w:spacing w:after="60"/>
            </w:pPr>
            <w:proofErr w:type="spellStart"/>
            <w:r w:rsidRPr="00EC2A35">
              <w:rPr>
                <w:i/>
              </w:rPr>
              <w:t>Te</w:t>
            </w:r>
            <w:proofErr w:type="spellEnd"/>
            <w:r w:rsidRPr="00EC2A35">
              <w:rPr>
                <w:i/>
              </w:rPr>
              <w:t xml:space="preserve"> v Minister for Immigration and Ethnic Affairs</w:t>
            </w:r>
            <w:r w:rsidRPr="00EC2A35">
              <w:t xml:space="preserve"> [1999] FCA 111; (1999) 88 FCR 264</w:t>
            </w:r>
          </w:p>
          <w:p w14:paraId="43E5CD86" w14:textId="77777777" w:rsidR="00EC2A35" w:rsidRPr="00EC2A35" w:rsidRDefault="00EC2A35" w:rsidP="00EC2A35">
            <w:pPr>
              <w:pStyle w:val="CasesLegislationAppealFrom"/>
              <w:spacing w:after="60"/>
            </w:pPr>
            <w:r w:rsidRPr="00EC2A35">
              <w:rPr>
                <w:i/>
              </w:rPr>
              <w:t xml:space="preserve">Toyota Finance Australia Limited v </w:t>
            </w:r>
            <w:proofErr w:type="spellStart"/>
            <w:r w:rsidRPr="00EC2A35">
              <w:rPr>
                <w:i/>
              </w:rPr>
              <w:t>Berro</w:t>
            </w:r>
            <w:proofErr w:type="spellEnd"/>
            <w:r w:rsidRPr="00EC2A35">
              <w:t xml:space="preserve"> [2022] FCA 497</w:t>
            </w:r>
          </w:p>
          <w:p w14:paraId="6093F2B0" w14:textId="620A5409" w:rsidR="00395B24" w:rsidRPr="00EC2A35" w:rsidRDefault="00EC2A35" w:rsidP="00EC2A35">
            <w:pPr>
              <w:pStyle w:val="CasesLegislationAppealFrom"/>
              <w:spacing w:after="60"/>
            </w:pPr>
            <w:r w:rsidRPr="00EC2A35">
              <w:rPr>
                <w:i/>
              </w:rPr>
              <w:t xml:space="preserve">Vince (Trustee), Re </w:t>
            </w:r>
            <w:proofErr w:type="spellStart"/>
            <w:r w:rsidRPr="00EC2A35">
              <w:rPr>
                <w:i/>
              </w:rPr>
              <w:t>Sopikiotis</w:t>
            </w:r>
            <w:proofErr w:type="spellEnd"/>
            <w:r w:rsidRPr="00EC2A35">
              <w:rPr>
                <w:i/>
              </w:rPr>
              <w:t xml:space="preserve"> (Bankrupt) v </w:t>
            </w:r>
            <w:proofErr w:type="spellStart"/>
            <w:r w:rsidRPr="00EC2A35">
              <w:rPr>
                <w:i/>
              </w:rPr>
              <w:t>Sopikiotis</w:t>
            </w:r>
            <w:proofErr w:type="spellEnd"/>
            <w:r w:rsidRPr="00EC2A35">
              <w:rPr>
                <w:i/>
              </w:rPr>
              <w:t xml:space="preserve"> (No 2) </w:t>
            </w:r>
            <w:r w:rsidRPr="00EC2A35">
              <w:t>[2012] FCA 1298</w:t>
            </w:r>
            <w:bookmarkEnd w:id="4"/>
          </w:p>
        </w:tc>
      </w:tr>
      <w:tr w:rsidR="00B77FFE" w14:paraId="32C3FFA6" w14:textId="77777777" w:rsidTr="00692E67">
        <w:tc>
          <w:tcPr>
            <w:tcW w:w="3083" w:type="dxa"/>
            <w:shd w:val="clear" w:color="auto" w:fill="auto"/>
          </w:tcPr>
          <w:p w14:paraId="68FAE0B6" w14:textId="77777777" w:rsidR="00B77FFE" w:rsidRDefault="00B77FFE" w:rsidP="004E69EE">
            <w:pPr>
              <w:pStyle w:val="Normal1linespace"/>
              <w:widowControl w:val="0"/>
            </w:pPr>
          </w:p>
        </w:tc>
        <w:tc>
          <w:tcPr>
            <w:tcW w:w="5990" w:type="dxa"/>
            <w:shd w:val="clear" w:color="auto" w:fill="auto"/>
          </w:tcPr>
          <w:p w14:paraId="7B8B86EC" w14:textId="77777777" w:rsidR="00B77FFE" w:rsidRDefault="00B77FFE" w:rsidP="004E69EE">
            <w:pPr>
              <w:pStyle w:val="Normal1linespace"/>
              <w:widowControl w:val="0"/>
              <w:jc w:val="left"/>
            </w:pPr>
          </w:p>
        </w:tc>
      </w:tr>
      <w:tr w:rsidR="00B77FFE" w14:paraId="6587FFEC" w14:textId="77777777" w:rsidTr="00692E67">
        <w:tc>
          <w:tcPr>
            <w:tcW w:w="3083" w:type="dxa"/>
            <w:shd w:val="clear" w:color="auto" w:fill="auto"/>
          </w:tcPr>
          <w:p w14:paraId="24335D25" w14:textId="77777777" w:rsidR="00B77FFE" w:rsidRDefault="00B77FFE" w:rsidP="00501A12">
            <w:pPr>
              <w:pStyle w:val="Normal1linespace"/>
              <w:widowControl w:val="0"/>
            </w:pPr>
            <w:r>
              <w:t>Division:</w:t>
            </w:r>
          </w:p>
        </w:tc>
        <w:tc>
          <w:tcPr>
            <w:tcW w:w="5990" w:type="dxa"/>
            <w:shd w:val="clear" w:color="auto" w:fill="auto"/>
          </w:tcPr>
          <w:p w14:paraId="6189261D" w14:textId="77777777" w:rsidR="00B77FFE" w:rsidRPr="00F17599" w:rsidRDefault="00A95C51" w:rsidP="00501A12">
            <w:pPr>
              <w:pStyle w:val="Normal1linespace"/>
              <w:widowControl w:val="0"/>
              <w:jc w:val="left"/>
            </w:pPr>
            <w:fldSimple w:instr=" DOCPROPERTY  Division ">
              <w:r w:rsidR="00B77FFE">
                <w:t>General Division</w:t>
              </w:r>
            </w:fldSimple>
          </w:p>
        </w:tc>
      </w:tr>
      <w:tr w:rsidR="00B77FFE" w14:paraId="4D765C42" w14:textId="77777777" w:rsidTr="00692E67">
        <w:tc>
          <w:tcPr>
            <w:tcW w:w="3083" w:type="dxa"/>
            <w:shd w:val="clear" w:color="auto" w:fill="auto"/>
          </w:tcPr>
          <w:p w14:paraId="2D71F553" w14:textId="77777777" w:rsidR="00B77FFE" w:rsidRDefault="00B77FFE" w:rsidP="00501A12">
            <w:pPr>
              <w:pStyle w:val="Normal1linespace"/>
              <w:widowControl w:val="0"/>
            </w:pPr>
            <w:bookmarkStart w:id="5" w:name="Registry_rows" w:colFirst="0" w:colLast="1"/>
          </w:p>
        </w:tc>
        <w:tc>
          <w:tcPr>
            <w:tcW w:w="5990" w:type="dxa"/>
            <w:shd w:val="clear" w:color="auto" w:fill="auto"/>
          </w:tcPr>
          <w:p w14:paraId="07DD3CE9" w14:textId="77777777" w:rsidR="00B77FFE" w:rsidRDefault="00B77FFE" w:rsidP="00501A12">
            <w:pPr>
              <w:pStyle w:val="Normal1linespace"/>
              <w:widowControl w:val="0"/>
              <w:jc w:val="left"/>
            </w:pPr>
          </w:p>
        </w:tc>
      </w:tr>
      <w:tr w:rsidR="00B77FFE" w14:paraId="65CC90B1" w14:textId="77777777" w:rsidTr="00692E67">
        <w:tc>
          <w:tcPr>
            <w:tcW w:w="3083" w:type="dxa"/>
            <w:shd w:val="clear" w:color="auto" w:fill="auto"/>
          </w:tcPr>
          <w:p w14:paraId="50BE30DC" w14:textId="77777777" w:rsidR="00B77FFE" w:rsidRDefault="00B77FFE" w:rsidP="00501A12">
            <w:pPr>
              <w:pStyle w:val="Normal1linespace"/>
              <w:widowControl w:val="0"/>
            </w:pPr>
            <w:r>
              <w:lastRenderedPageBreak/>
              <w:t>Registry:</w:t>
            </w:r>
          </w:p>
        </w:tc>
        <w:tc>
          <w:tcPr>
            <w:tcW w:w="5990" w:type="dxa"/>
            <w:shd w:val="clear" w:color="auto" w:fill="auto"/>
          </w:tcPr>
          <w:p w14:paraId="2B653C71" w14:textId="77777777" w:rsidR="00B77FFE" w:rsidRPr="00F17599" w:rsidRDefault="00A95C51" w:rsidP="00501A12">
            <w:pPr>
              <w:pStyle w:val="Normal1linespace"/>
              <w:widowControl w:val="0"/>
              <w:jc w:val="left"/>
            </w:pPr>
            <w:fldSimple w:instr=" DOCPROPERTY  Registry ">
              <w:r w:rsidR="00B77FFE">
                <w:t>New South Wales</w:t>
              </w:r>
            </w:fldSimple>
          </w:p>
        </w:tc>
      </w:tr>
      <w:tr w:rsidR="00B77FFE" w14:paraId="56B8B8C6" w14:textId="77777777" w:rsidTr="00692E67">
        <w:tc>
          <w:tcPr>
            <w:tcW w:w="3083" w:type="dxa"/>
            <w:shd w:val="clear" w:color="auto" w:fill="auto"/>
          </w:tcPr>
          <w:p w14:paraId="73D7C7BD" w14:textId="77777777" w:rsidR="00B77FFE" w:rsidRDefault="00B77FFE" w:rsidP="00501A12">
            <w:pPr>
              <w:pStyle w:val="Normal1linespace"/>
              <w:widowControl w:val="0"/>
            </w:pPr>
            <w:bookmarkStart w:id="6" w:name="NPARow" w:colFirst="0" w:colLast="1"/>
            <w:bookmarkEnd w:id="5"/>
          </w:p>
        </w:tc>
        <w:tc>
          <w:tcPr>
            <w:tcW w:w="5990" w:type="dxa"/>
            <w:shd w:val="clear" w:color="auto" w:fill="auto"/>
          </w:tcPr>
          <w:p w14:paraId="38169E03" w14:textId="77777777" w:rsidR="00B77FFE" w:rsidRPr="00F17599" w:rsidRDefault="00B77FFE" w:rsidP="00501A12">
            <w:pPr>
              <w:pStyle w:val="Normal1linespace"/>
              <w:widowControl w:val="0"/>
              <w:jc w:val="left"/>
              <w:rPr>
                <w:b/>
              </w:rPr>
            </w:pPr>
          </w:p>
        </w:tc>
      </w:tr>
      <w:tr w:rsidR="00B77FFE" w14:paraId="76FD1A10" w14:textId="77777777" w:rsidTr="00692E67">
        <w:tc>
          <w:tcPr>
            <w:tcW w:w="3083" w:type="dxa"/>
            <w:shd w:val="clear" w:color="auto" w:fill="auto"/>
          </w:tcPr>
          <w:p w14:paraId="07955C0D" w14:textId="77777777" w:rsidR="00B77FFE" w:rsidRDefault="00B77FFE" w:rsidP="00501A12">
            <w:pPr>
              <w:pStyle w:val="Normal1linespace"/>
              <w:widowControl w:val="0"/>
            </w:pPr>
            <w:r>
              <w:t>National Practice Area:</w:t>
            </w:r>
          </w:p>
        </w:tc>
        <w:tc>
          <w:tcPr>
            <w:tcW w:w="5990" w:type="dxa"/>
            <w:shd w:val="clear" w:color="auto" w:fill="auto"/>
          </w:tcPr>
          <w:p w14:paraId="07F90337" w14:textId="77777777" w:rsidR="00B77FFE" w:rsidRPr="00F17599" w:rsidRDefault="00A95C51" w:rsidP="004E69EE">
            <w:pPr>
              <w:pStyle w:val="Normal1linespace"/>
              <w:widowControl w:val="0"/>
              <w:jc w:val="left"/>
              <w:rPr>
                <w:b/>
              </w:rPr>
            </w:pPr>
            <w:fldSimple w:instr=" DOCPROPERTY  &quot;Practice Area&quot;  \* MERGEFORMAT ">
              <w:r w:rsidR="00B77FFE">
                <w:t>Commercial and Corporations</w:t>
              </w:r>
            </w:fldSimple>
          </w:p>
        </w:tc>
      </w:tr>
      <w:tr w:rsidR="00B77FFE" w14:paraId="53394D68" w14:textId="77777777" w:rsidTr="00692E67">
        <w:tc>
          <w:tcPr>
            <w:tcW w:w="3083" w:type="dxa"/>
            <w:shd w:val="clear" w:color="auto" w:fill="auto"/>
          </w:tcPr>
          <w:p w14:paraId="66DDC3C8" w14:textId="77777777" w:rsidR="00B77FFE" w:rsidRDefault="00B77FFE" w:rsidP="00501A12">
            <w:pPr>
              <w:pStyle w:val="Normal1linespace"/>
              <w:widowControl w:val="0"/>
            </w:pPr>
            <w:bookmarkStart w:id="7" w:name="SubAreaRow" w:colFirst="0" w:colLast="1"/>
            <w:bookmarkEnd w:id="6"/>
          </w:p>
        </w:tc>
        <w:tc>
          <w:tcPr>
            <w:tcW w:w="5990" w:type="dxa"/>
            <w:shd w:val="clear" w:color="auto" w:fill="auto"/>
          </w:tcPr>
          <w:p w14:paraId="64ACC61E" w14:textId="77777777" w:rsidR="00B77FFE" w:rsidRDefault="00B77FFE" w:rsidP="004E69EE">
            <w:pPr>
              <w:pStyle w:val="Normal1linespace"/>
              <w:widowControl w:val="0"/>
              <w:jc w:val="left"/>
            </w:pPr>
          </w:p>
        </w:tc>
      </w:tr>
      <w:tr w:rsidR="00B77FFE" w14:paraId="04DE2757" w14:textId="77777777" w:rsidTr="00692E67">
        <w:tc>
          <w:tcPr>
            <w:tcW w:w="3083" w:type="dxa"/>
            <w:shd w:val="clear" w:color="auto" w:fill="auto"/>
          </w:tcPr>
          <w:p w14:paraId="585B66D2" w14:textId="77777777" w:rsidR="00B77FFE" w:rsidRDefault="00B77FFE" w:rsidP="00501A12">
            <w:pPr>
              <w:pStyle w:val="Normal1linespace"/>
              <w:widowControl w:val="0"/>
            </w:pPr>
            <w:r>
              <w:t>Sub-area:</w:t>
            </w:r>
          </w:p>
        </w:tc>
        <w:tc>
          <w:tcPr>
            <w:tcW w:w="5990" w:type="dxa"/>
            <w:shd w:val="clear" w:color="auto" w:fill="auto"/>
          </w:tcPr>
          <w:p w14:paraId="4584708A" w14:textId="77777777" w:rsidR="00B77FFE" w:rsidRPr="00837288" w:rsidRDefault="00A95C51" w:rsidP="004E69EE">
            <w:pPr>
              <w:pStyle w:val="Normal1linespace"/>
              <w:widowControl w:val="0"/>
              <w:jc w:val="left"/>
            </w:pPr>
            <w:fldSimple w:instr=" DOCPROPERTY  &quot;Sub Area&quot;  \* MERGEFORMAT ">
              <w:r w:rsidR="00B77FFE" w:rsidRPr="00B77FFE">
                <w:rPr>
                  <w:lang w:val="en-US"/>
                </w:rPr>
                <w:t>General and Personal</w:t>
              </w:r>
              <w:r w:rsidR="00B77FFE">
                <w:t xml:space="preserve"> Insolvency</w:t>
              </w:r>
            </w:fldSimple>
          </w:p>
        </w:tc>
      </w:tr>
      <w:bookmarkEnd w:id="7"/>
      <w:tr w:rsidR="00B77FFE" w14:paraId="7C4C4E72" w14:textId="77777777" w:rsidTr="00692E67">
        <w:tc>
          <w:tcPr>
            <w:tcW w:w="3083" w:type="dxa"/>
            <w:shd w:val="clear" w:color="auto" w:fill="auto"/>
          </w:tcPr>
          <w:p w14:paraId="5997F9D7" w14:textId="77777777" w:rsidR="00B77FFE" w:rsidRDefault="00B77FFE" w:rsidP="00501A12">
            <w:pPr>
              <w:pStyle w:val="Normal1linespace"/>
              <w:widowControl w:val="0"/>
            </w:pPr>
          </w:p>
        </w:tc>
        <w:tc>
          <w:tcPr>
            <w:tcW w:w="5990" w:type="dxa"/>
            <w:shd w:val="clear" w:color="auto" w:fill="auto"/>
          </w:tcPr>
          <w:p w14:paraId="365880A7" w14:textId="77777777" w:rsidR="00B77FFE" w:rsidRDefault="00B77FFE" w:rsidP="00501A12">
            <w:pPr>
              <w:pStyle w:val="Normal1linespace"/>
              <w:widowControl w:val="0"/>
              <w:jc w:val="left"/>
            </w:pPr>
          </w:p>
        </w:tc>
      </w:tr>
      <w:tr w:rsidR="00B77FFE" w14:paraId="77620D24" w14:textId="77777777" w:rsidTr="00692E67">
        <w:tc>
          <w:tcPr>
            <w:tcW w:w="3083" w:type="dxa"/>
            <w:shd w:val="clear" w:color="auto" w:fill="auto"/>
          </w:tcPr>
          <w:p w14:paraId="166A6C12" w14:textId="77777777" w:rsidR="00B77FFE" w:rsidRDefault="00B77FFE" w:rsidP="00501A12">
            <w:pPr>
              <w:pStyle w:val="Normal1linespace"/>
              <w:widowControl w:val="0"/>
            </w:pPr>
            <w:r>
              <w:t>Number of paragraphs:</w:t>
            </w:r>
          </w:p>
        </w:tc>
        <w:tc>
          <w:tcPr>
            <w:tcW w:w="5990" w:type="dxa"/>
            <w:shd w:val="clear" w:color="auto" w:fill="auto"/>
          </w:tcPr>
          <w:p w14:paraId="0BC09D5F" w14:textId="6B814BAF" w:rsidR="00B77FFE" w:rsidRDefault="00692E67" w:rsidP="00501A12">
            <w:pPr>
              <w:pStyle w:val="Normal1linespace"/>
              <w:widowControl w:val="0"/>
              <w:jc w:val="left"/>
            </w:pPr>
            <w:bookmarkStart w:id="8" w:name="PlaceCategoryParagraphs"/>
            <w:r>
              <w:t>41</w:t>
            </w:r>
            <w:bookmarkEnd w:id="8"/>
          </w:p>
        </w:tc>
      </w:tr>
      <w:tr w:rsidR="00B77FFE" w14:paraId="4156E6F5" w14:textId="77777777" w:rsidTr="00692E67">
        <w:tc>
          <w:tcPr>
            <w:tcW w:w="3083" w:type="dxa"/>
            <w:shd w:val="clear" w:color="auto" w:fill="auto"/>
          </w:tcPr>
          <w:p w14:paraId="079F10CC" w14:textId="77777777" w:rsidR="00B77FFE" w:rsidRDefault="00B77FFE" w:rsidP="00B77FFE">
            <w:pPr>
              <w:pStyle w:val="Normal1linespace"/>
              <w:widowControl w:val="0"/>
              <w:jc w:val="left"/>
            </w:pPr>
          </w:p>
        </w:tc>
        <w:tc>
          <w:tcPr>
            <w:tcW w:w="5990" w:type="dxa"/>
            <w:shd w:val="clear" w:color="auto" w:fill="auto"/>
          </w:tcPr>
          <w:p w14:paraId="7C54192E" w14:textId="77777777" w:rsidR="00B77FFE" w:rsidRDefault="00B77FFE" w:rsidP="00B77FFE">
            <w:pPr>
              <w:pStyle w:val="Normal1linespace"/>
              <w:widowControl w:val="0"/>
              <w:jc w:val="left"/>
            </w:pPr>
          </w:p>
        </w:tc>
      </w:tr>
      <w:tr w:rsidR="00B77FFE" w14:paraId="42C58F34" w14:textId="77777777" w:rsidTr="00692E67">
        <w:tc>
          <w:tcPr>
            <w:tcW w:w="3083" w:type="dxa"/>
            <w:shd w:val="clear" w:color="auto" w:fill="auto"/>
          </w:tcPr>
          <w:p w14:paraId="43DD7E5E" w14:textId="77777777" w:rsidR="00B77FFE" w:rsidRDefault="00B77FFE" w:rsidP="00B77FFE">
            <w:pPr>
              <w:pStyle w:val="Normal1linespace"/>
              <w:widowControl w:val="0"/>
              <w:jc w:val="left"/>
            </w:pPr>
            <w:bookmarkStart w:id="9" w:name="CounselDate" w:colFirst="0" w:colLast="2"/>
            <w:r w:rsidRPr="006A24E3">
              <w:t>Date of hearing:</w:t>
            </w:r>
          </w:p>
        </w:tc>
        <w:tc>
          <w:tcPr>
            <w:tcW w:w="5990" w:type="dxa"/>
            <w:shd w:val="clear" w:color="auto" w:fill="auto"/>
          </w:tcPr>
          <w:p w14:paraId="2345AB33" w14:textId="2007AEC8" w:rsidR="00B77FFE" w:rsidRDefault="00AA6E05" w:rsidP="00B77FFE">
            <w:pPr>
              <w:pStyle w:val="Normal1linespace"/>
              <w:widowControl w:val="0"/>
              <w:jc w:val="left"/>
            </w:pPr>
            <w:bookmarkStart w:id="10" w:name="HearingDate"/>
            <w:r>
              <w:t>7 June 2023</w:t>
            </w:r>
            <w:r w:rsidR="00B77FFE">
              <w:t xml:space="preserve"> </w:t>
            </w:r>
            <w:bookmarkEnd w:id="10"/>
          </w:p>
        </w:tc>
      </w:tr>
      <w:tr w:rsidR="00B77FFE" w14:paraId="341D881D" w14:textId="77777777" w:rsidTr="00692E67">
        <w:tc>
          <w:tcPr>
            <w:tcW w:w="3083" w:type="dxa"/>
            <w:shd w:val="clear" w:color="auto" w:fill="auto"/>
          </w:tcPr>
          <w:p w14:paraId="3013A944" w14:textId="77777777" w:rsidR="00B77FFE" w:rsidRDefault="00B77FFE" w:rsidP="00B77FFE">
            <w:pPr>
              <w:pStyle w:val="Normal1linespace"/>
              <w:widowControl w:val="0"/>
              <w:jc w:val="left"/>
            </w:pPr>
          </w:p>
        </w:tc>
        <w:tc>
          <w:tcPr>
            <w:tcW w:w="5990" w:type="dxa"/>
            <w:shd w:val="clear" w:color="auto" w:fill="auto"/>
          </w:tcPr>
          <w:p w14:paraId="7D515457" w14:textId="77777777" w:rsidR="00B77FFE" w:rsidRDefault="00B77FFE" w:rsidP="00B77FFE">
            <w:pPr>
              <w:pStyle w:val="Normal1linespace"/>
              <w:widowControl w:val="0"/>
              <w:jc w:val="left"/>
            </w:pPr>
          </w:p>
        </w:tc>
      </w:tr>
      <w:tr w:rsidR="00692E67" w14:paraId="02A0D019" w14:textId="77777777" w:rsidTr="00692E67">
        <w:tc>
          <w:tcPr>
            <w:tcW w:w="3083" w:type="dxa"/>
            <w:shd w:val="clear" w:color="auto" w:fill="auto"/>
          </w:tcPr>
          <w:p w14:paraId="2BFA5755" w14:textId="6E17A158" w:rsidR="00692E67" w:rsidRDefault="00692E67" w:rsidP="00692E67">
            <w:pPr>
              <w:pStyle w:val="Normal1linespace"/>
              <w:widowControl w:val="0"/>
              <w:jc w:val="left"/>
            </w:pPr>
            <w:bookmarkStart w:id="11" w:name="Counsel" w:colFirst="0" w:colLast="2"/>
            <w:bookmarkEnd w:id="9"/>
            <w:r>
              <w:t>Counsel for the Applicant:</w:t>
            </w:r>
          </w:p>
        </w:tc>
        <w:tc>
          <w:tcPr>
            <w:tcW w:w="5990" w:type="dxa"/>
            <w:shd w:val="clear" w:color="auto" w:fill="auto"/>
          </w:tcPr>
          <w:p w14:paraId="3DF5328B" w14:textId="1B95A5FB" w:rsidR="00692E67" w:rsidRDefault="00692E67" w:rsidP="00692E67">
            <w:pPr>
              <w:pStyle w:val="Normal1linespace"/>
              <w:widowControl w:val="0"/>
              <w:jc w:val="left"/>
            </w:pPr>
            <w:bookmarkStart w:id="12" w:name="AppCounsel"/>
            <w:bookmarkEnd w:id="12"/>
            <w:r>
              <w:t>Mr D A Ward</w:t>
            </w:r>
          </w:p>
        </w:tc>
      </w:tr>
      <w:tr w:rsidR="00692E67" w14:paraId="44DBDD8D" w14:textId="77777777" w:rsidTr="00692E67">
        <w:tc>
          <w:tcPr>
            <w:tcW w:w="3083" w:type="dxa"/>
            <w:shd w:val="clear" w:color="auto" w:fill="auto"/>
          </w:tcPr>
          <w:p w14:paraId="12495718" w14:textId="77777777" w:rsidR="00692E67" w:rsidRDefault="00692E67" w:rsidP="00692E67">
            <w:pPr>
              <w:pStyle w:val="Normal1linespace"/>
              <w:widowControl w:val="0"/>
              <w:jc w:val="left"/>
            </w:pPr>
          </w:p>
        </w:tc>
        <w:tc>
          <w:tcPr>
            <w:tcW w:w="5989" w:type="dxa"/>
            <w:shd w:val="clear" w:color="auto" w:fill="auto"/>
          </w:tcPr>
          <w:p w14:paraId="229EE5A0" w14:textId="77777777" w:rsidR="00692E67" w:rsidRDefault="00692E67" w:rsidP="00692E67">
            <w:pPr>
              <w:pStyle w:val="Normal1linespace"/>
              <w:widowControl w:val="0"/>
              <w:jc w:val="left"/>
            </w:pPr>
          </w:p>
        </w:tc>
      </w:tr>
      <w:tr w:rsidR="00692E67" w14:paraId="6907A9C3" w14:textId="77777777" w:rsidTr="00692E67">
        <w:tc>
          <w:tcPr>
            <w:tcW w:w="3083" w:type="dxa"/>
            <w:shd w:val="clear" w:color="auto" w:fill="auto"/>
          </w:tcPr>
          <w:p w14:paraId="24160200" w14:textId="766EA8EA" w:rsidR="00692E67" w:rsidRDefault="00692E67" w:rsidP="00692E67">
            <w:pPr>
              <w:pStyle w:val="Normal1linespace"/>
              <w:widowControl w:val="0"/>
              <w:jc w:val="left"/>
            </w:pPr>
            <w:r>
              <w:t>Solicitor for the Applicant:</w:t>
            </w:r>
          </w:p>
        </w:tc>
        <w:tc>
          <w:tcPr>
            <w:tcW w:w="5989" w:type="dxa"/>
            <w:shd w:val="clear" w:color="auto" w:fill="auto"/>
          </w:tcPr>
          <w:p w14:paraId="7B578EA1" w14:textId="0E53056F" w:rsidR="00692E67" w:rsidRDefault="00692E67" w:rsidP="00692E67">
            <w:pPr>
              <w:pStyle w:val="Normal1linespace"/>
              <w:widowControl w:val="0"/>
              <w:jc w:val="left"/>
            </w:pPr>
            <w:r>
              <w:t>Ms Burrows was self-represented.</w:t>
            </w:r>
          </w:p>
        </w:tc>
      </w:tr>
      <w:tr w:rsidR="00692E67" w14:paraId="252DBC56" w14:textId="77777777" w:rsidTr="00692E67">
        <w:tc>
          <w:tcPr>
            <w:tcW w:w="3083" w:type="dxa"/>
            <w:shd w:val="clear" w:color="auto" w:fill="auto"/>
          </w:tcPr>
          <w:p w14:paraId="7F73554A" w14:textId="77777777" w:rsidR="00692E67" w:rsidRDefault="00692E67" w:rsidP="00692E67">
            <w:pPr>
              <w:pStyle w:val="Normal1linespace"/>
              <w:widowControl w:val="0"/>
              <w:jc w:val="left"/>
            </w:pPr>
          </w:p>
        </w:tc>
        <w:tc>
          <w:tcPr>
            <w:tcW w:w="5989" w:type="dxa"/>
            <w:shd w:val="clear" w:color="auto" w:fill="auto"/>
          </w:tcPr>
          <w:p w14:paraId="069BE1AF" w14:textId="77777777" w:rsidR="00692E67" w:rsidRDefault="00692E67" w:rsidP="00692E67">
            <w:pPr>
              <w:pStyle w:val="Normal1linespace"/>
              <w:widowControl w:val="0"/>
              <w:jc w:val="left"/>
            </w:pPr>
          </w:p>
        </w:tc>
      </w:tr>
      <w:tr w:rsidR="00692E67" w14:paraId="657D1128" w14:textId="77777777" w:rsidTr="00692E67">
        <w:tc>
          <w:tcPr>
            <w:tcW w:w="3083" w:type="dxa"/>
            <w:shd w:val="clear" w:color="auto" w:fill="auto"/>
          </w:tcPr>
          <w:p w14:paraId="564B0FA4" w14:textId="4156C922" w:rsidR="00692E67" w:rsidRDefault="00692E67" w:rsidP="00692E67">
            <w:pPr>
              <w:pStyle w:val="Normal1linespace"/>
              <w:widowControl w:val="0"/>
              <w:jc w:val="left"/>
            </w:pPr>
            <w:r>
              <w:t>Counsel for the Respondent:</w:t>
            </w:r>
          </w:p>
        </w:tc>
        <w:tc>
          <w:tcPr>
            <w:tcW w:w="5989" w:type="dxa"/>
            <w:shd w:val="clear" w:color="auto" w:fill="auto"/>
          </w:tcPr>
          <w:p w14:paraId="18A3F866" w14:textId="396EEE33" w:rsidR="00692E67" w:rsidRDefault="00692E67" w:rsidP="00692E67">
            <w:pPr>
              <w:pStyle w:val="Normal1linespace"/>
              <w:widowControl w:val="0"/>
              <w:jc w:val="left"/>
            </w:pPr>
            <w:r>
              <w:t xml:space="preserve">Mr D </w:t>
            </w:r>
            <w:proofErr w:type="spellStart"/>
            <w:r>
              <w:t>Neggo</w:t>
            </w:r>
            <w:proofErr w:type="spellEnd"/>
          </w:p>
        </w:tc>
      </w:tr>
      <w:tr w:rsidR="00692E67" w14:paraId="131ACB0F" w14:textId="77777777" w:rsidTr="00692E67">
        <w:tc>
          <w:tcPr>
            <w:tcW w:w="3083" w:type="dxa"/>
            <w:shd w:val="clear" w:color="auto" w:fill="auto"/>
          </w:tcPr>
          <w:p w14:paraId="1D3E96E6" w14:textId="77777777" w:rsidR="00692E67" w:rsidRDefault="00692E67" w:rsidP="00692E67">
            <w:pPr>
              <w:pStyle w:val="Normal1linespace"/>
              <w:widowControl w:val="0"/>
              <w:jc w:val="left"/>
            </w:pPr>
          </w:p>
        </w:tc>
        <w:tc>
          <w:tcPr>
            <w:tcW w:w="5989" w:type="dxa"/>
            <w:shd w:val="clear" w:color="auto" w:fill="auto"/>
          </w:tcPr>
          <w:p w14:paraId="052FBAB8" w14:textId="77777777" w:rsidR="00692E67" w:rsidRDefault="00692E67" w:rsidP="00692E67">
            <w:pPr>
              <w:pStyle w:val="Normal1linespace"/>
              <w:widowControl w:val="0"/>
              <w:jc w:val="left"/>
            </w:pPr>
          </w:p>
        </w:tc>
      </w:tr>
      <w:tr w:rsidR="00692E67" w14:paraId="513C55CA" w14:textId="77777777" w:rsidTr="00692E67">
        <w:tc>
          <w:tcPr>
            <w:tcW w:w="3083" w:type="dxa"/>
            <w:shd w:val="clear" w:color="auto" w:fill="auto"/>
          </w:tcPr>
          <w:p w14:paraId="1A08FCAE" w14:textId="38947BFE" w:rsidR="00692E67" w:rsidRDefault="00692E67" w:rsidP="00692E67">
            <w:pPr>
              <w:pStyle w:val="Normal1linespace"/>
              <w:widowControl w:val="0"/>
              <w:jc w:val="left"/>
            </w:pPr>
            <w:r>
              <w:t>Solicitor for the Respondent:</w:t>
            </w:r>
          </w:p>
        </w:tc>
        <w:tc>
          <w:tcPr>
            <w:tcW w:w="5989" w:type="dxa"/>
            <w:shd w:val="clear" w:color="auto" w:fill="auto"/>
          </w:tcPr>
          <w:p w14:paraId="65D2560E" w14:textId="2FB9997B" w:rsidR="00692E67" w:rsidRDefault="00692E67" w:rsidP="003656FC">
            <w:pPr>
              <w:pStyle w:val="Normal1linespace"/>
              <w:widowControl w:val="0"/>
              <w:jc w:val="left"/>
            </w:pPr>
            <w:r>
              <w:t>M</w:t>
            </w:r>
            <w:r w:rsidR="003656FC">
              <w:t>acpherson Kelley Pty Ltd</w:t>
            </w:r>
          </w:p>
        </w:tc>
      </w:tr>
      <w:bookmarkEnd w:id="11"/>
    </w:tbl>
    <w:p w14:paraId="2E472795" w14:textId="77777777" w:rsidR="007470BD" w:rsidRDefault="007470BD">
      <w:pPr>
        <w:pStyle w:val="Normal1linespace"/>
      </w:pPr>
    </w:p>
    <w:p w14:paraId="7AC65345" w14:textId="77777777" w:rsidR="00E94CBF" w:rsidRDefault="00E94CBF">
      <w:pPr>
        <w:pStyle w:val="Normal1linespace"/>
      </w:pPr>
    </w:p>
    <w:p w14:paraId="25757D99"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2760100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91F361E" w14:textId="77777777" w:rsidTr="00E81DA6">
        <w:tc>
          <w:tcPr>
            <w:tcW w:w="6912" w:type="dxa"/>
            <w:gridSpan w:val="2"/>
          </w:tcPr>
          <w:p w14:paraId="2B54A8C7" w14:textId="77777777" w:rsidR="00A46CCC" w:rsidRPr="001765E0" w:rsidRDefault="00A46CCC" w:rsidP="00525A49">
            <w:pPr>
              <w:pStyle w:val="NormalHeadings"/>
            </w:pPr>
          </w:p>
        </w:tc>
        <w:tc>
          <w:tcPr>
            <w:tcW w:w="2330" w:type="dxa"/>
          </w:tcPr>
          <w:p w14:paraId="69DB9CE7" w14:textId="77777777" w:rsidR="00A46CCC" w:rsidRDefault="00B77FFE" w:rsidP="00F92355">
            <w:pPr>
              <w:pStyle w:val="NormalHeadings"/>
              <w:jc w:val="right"/>
            </w:pPr>
            <w:bookmarkStart w:id="13" w:name="FileNo"/>
            <w:r>
              <w:t>NSD 77 of 2023</w:t>
            </w:r>
            <w:bookmarkEnd w:id="13"/>
          </w:p>
        </w:tc>
      </w:tr>
      <w:tr w:rsidR="00A76C13" w14:paraId="1DCF3169" w14:textId="77777777" w:rsidTr="004E69EE">
        <w:tc>
          <w:tcPr>
            <w:tcW w:w="9242" w:type="dxa"/>
            <w:gridSpan w:val="3"/>
          </w:tcPr>
          <w:p w14:paraId="2D6BDB77" w14:textId="77777777" w:rsidR="00A76C13" w:rsidRPr="00A76C13" w:rsidRDefault="00B77FFE" w:rsidP="00B77FFE">
            <w:pPr>
              <w:pStyle w:val="NormalHeadings"/>
              <w:jc w:val="left"/>
            </w:pPr>
            <w:bookmarkStart w:id="14" w:name="InTheMatterOf"/>
            <w:r>
              <w:t xml:space="preserve"> </w:t>
            </w:r>
            <w:bookmarkEnd w:id="14"/>
          </w:p>
        </w:tc>
      </w:tr>
      <w:tr w:rsidR="00A46CCC" w14:paraId="1E87787C" w14:textId="77777777" w:rsidTr="004E69EE">
        <w:trPr>
          <w:trHeight w:val="386"/>
        </w:trPr>
        <w:tc>
          <w:tcPr>
            <w:tcW w:w="2376" w:type="dxa"/>
          </w:tcPr>
          <w:p w14:paraId="30A74011" w14:textId="77777777" w:rsidR="00A46CCC" w:rsidRDefault="00A46CCC" w:rsidP="004E69EE">
            <w:pPr>
              <w:pStyle w:val="NormalHeadings"/>
              <w:jc w:val="left"/>
              <w:rPr>
                <w:caps/>
                <w:szCs w:val="24"/>
              </w:rPr>
            </w:pPr>
            <w:bookmarkStart w:id="15" w:name="Parties"/>
            <w:r>
              <w:rPr>
                <w:caps/>
                <w:szCs w:val="24"/>
              </w:rPr>
              <w:t>BETWEEN:</w:t>
            </w:r>
          </w:p>
        </w:tc>
        <w:tc>
          <w:tcPr>
            <w:tcW w:w="6866" w:type="dxa"/>
            <w:gridSpan w:val="2"/>
          </w:tcPr>
          <w:p w14:paraId="1B51AB7D" w14:textId="77777777" w:rsidR="00B77FFE" w:rsidRDefault="00B77FFE" w:rsidP="00B77FFE">
            <w:pPr>
              <w:pStyle w:val="NormalHeadings"/>
              <w:jc w:val="left"/>
            </w:pPr>
            <w:bookmarkStart w:id="16" w:name="Applicant"/>
            <w:r>
              <w:t>ZALI BURROWS</w:t>
            </w:r>
          </w:p>
          <w:p w14:paraId="272C8FB0" w14:textId="15729686" w:rsidR="00B77FFE" w:rsidRDefault="00B77FFE" w:rsidP="00B77FFE">
            <w:pPr>
              <w:pStyle w:val="PartyType"/>
            </w:pPr>
            <w:r>
              <w:t>App</w:t>
            </w:r>
            <w:r w:rsidR="008F1629">
              <w:t>ellant</w:t>
            </w:r>
          </w:p>
          <w:bookmarkEnd w:id="16"/>
          <w:p w14:paraId="73910C08" w14:textId="77777777" w:rsidR="00A46CCC" w:rsidRPr="006555B4" w:rsidRDefault="00A46CCC" w:rsidP="004E69EE">
            <w:pPr>
              <w:pStyle w:val="NormalHeadings"/>
              <w:jc w:val="left"/>
            </w:pPr>
          </w:p>
        </w:tc>
      </w:tr>
      <w:tr w:rsidR="00A46CCC" w14:paraId="2CF9EB8D" w14:textId="77777777" w:rsidTr="004E69EE">
        <w:trPr>
          <w:trHeight w:val="386"/>
        </w:trPr>
        <w:tc>
          <w:tcPr>
            <w:tcW w:w="2376" w:type="dxa"/>
          </w:tcPr>
          <w:p w14:paraId="4E25DDF9" w14:textId="77777777" w:rsidR="00A46CCC" w:rsidRDefault="00A46CCC" w:rsidP="004E69EE">
            <w:pPr>
              <w:pStyle w:val="NormalHeadings"/>
              <w:jc w:val="left"/>
              <w:rPr>
                <w:caps/>
                <w:szCs w:val="24"/>
              </w:rPr>
            </w:pPr>
            <w:r>
              <w:rPr>
                <w:caps/>
                <w:szCs w:val="24"/>
              </w:rPr>
              <w:t>AND:</w:t>
            </w:r>
          </w:p>
        </w:tc>
        <w:tc>
          <w:tcPr>
            <w:tcW w:w="6866" w:type="dxa"/>
            <w:gridSpan w:val="2"/>
          </w:tcPr>
          <w:p w14:paraId="1DC18AC0" w14:textId="628A795F" w:rsidR="00B77FFE" w:rsidRDefault="00B77FFE" w:rsidP="00B77FFE">
            <w:pPr>
              <w:pStyle w:val="NormalHeadings"/>
              <w:jc w:val="left"/>
            </w:pPr>
            <w:bookmarkStart w:id="17" w:name="Respondent"/>
            <w:r>
              <w:t xml:space="preserve">MACPHERSON AND KELLEY LAWYERS (SYDNEY) </w:t>
            </w:r>
            <w:r w:rsidR="00E24CC5">
              <w:t>PTY LTD</w:t>
            </w:r>
            <w:r w:rsidR="00A95C51">
              <w:t xml:space="preserve"> ACN 127</w:t>
            </w:r>
            <w:r>
              <w:t xml:space="preserve"> 962 298</w:t>
            </w:r>
          </w:p>
          <w:p w14:paraId="24F4B3CE" w14:textId="77777777" w:rsidR="00B77FFE" w:rsidRDefault="00B77FFE" w:rsidP="00B77FFE">
            <w:pPr>
              <w:pStyle w:val="PartyType"/>
            </w:pPr>
            <w:r>
              <w:t>Respondent</w:t>
            </w:r>
          </w:p>
          <w:bookmarkEnd w:id="17"/>
          <w:p w14:paraId="5AA2A752" w14:textId="77777777" w:rsidR="00A46CCC" w:rsidRPr="006555B4" w:rsidRDefault="00A46CCC" w:rsidP="004E69EE">
            <w:pPr>
              <w:pStyle w:val="NormalHeadings"/>
              <w:jc w:val="left"/>
            </w:pPr>
          </w:p>
        </w:tc>
      </w:tr>
    </w:tbl>
    <w:p w14:paraId="0ACE563E"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158D8393" w14:textId="77777777">
        <w:tc>
          <w:tcPr>
            <w:tcW w:w="2376" w:type="dxa"/>
          </w:tcPr>
          <w:p w14:paraId="28CF5015"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343FFB03" w14:textId="77777777" w:rsidR="00395B24" w:rsidRDefault="00B77FFE">
            <w:pPr>
              <w:pStyle w:val="NormalHeadings"/>
              <w:jc w:val="left"/>
              <w:rPr>
                <w:caps/>
                <w:szCs w:val="24"/>
              </w:rPr>
            </w:pPr>
            <w:bookmarkStart w:id="20" w:name="Judge"/>
            <w:r>
              <w:rPr>
                <w:caps/>
                <w:szCs w:val="24"/>
              </w:rPr>
              <w:t>JACKMAN J</w:t>
            </w:r>
            <w:bookmarkEnd w:id="20"/>
          </w:p>
        </w:tc>
      </w:tr>
      <w:tr w:rsidR="00395B24" w14:paraId="68548C01" w14:textId="77777777">
        <w:tc>
          <w:tcPr>
            <w:tcW w:w="2376" w:type="dxa"/>
          </w:tcPr>
          <w:p w14:paraId="70FD5DF0" w14:textId="77777777" w:rsidR="00395B24" w:rsidRDefault="002C7385">
            <w:pPr>
              <w:pStyle w:val="NormalHeadings"/>
              <w:spacing w:after="120"/>
              <w:jc w:val="left"/>
              <w:rPr>
                <w:caps/>
                <w:szCs w:val="24"/>
              </w:rPr>
            </w:pPr>
            <w:r>
              <w:rPr>
                <w:caps/>
                <w:szCs w:val="24"/>
              </w:rPr>
              <w:t>DATE OF ORDER:</w:t>
            </w:r>
          </w:p>
        </w:tc>
        <w:tc>
          <w:tcPr>
            <w:tcW w:w="6866" w:type="dxa"/>
          </w:tcPr>
          <w:p w14:paraId="4309C197" w14:textId="631F28A3" w:rsidR="00395B24" w:rsidRPr="00CC2EC2" w:rsidRDefault="00CC2EC2">
            <w:pPr>
              <w:pStyle w:val="NormalHeadings"/>
              <w:jc w:val="left"/>
              <w:rPr>
                <w:caps/>
                <w:szCs w:val="24"/>
              </w:rPr>
            </w:pPr>
            <w:bookmarkStart w:id="21" w:name="Judgment_Dated"/>
            <w:r w:rsidRPr="00CC2EC2">
              <w:rPr>
                <w:caps/>
                <w:szCs w:val="24"/>
              </w:rPr>
              <w:t>13</w:t>
            </w:r>
            <w:r w:rsidR="00200EF6" w:rsidRPr="00CC2EC2">
              <w:rPr>
                <w:caps/>
                <w:szCs w:val="24"/>
              </w:rPr>
              <w:t xml:space="preserve"> june</w:t>
            </w:r>
            <w:r w:rsidR="00B77FFE" w:rsidRPr="00CC2EC2">
              <w:rPr>
                <w:caps/>
                <w:szCs w:val="24"/>
              </w:rPr>
              <w:t xml:space="preserve"> 2023</w:t>
            </w:r>
            <w:bookmarkEnd w:id="21"/>
          </w:p>
        </w:tc>
      </w:tr>
    </w:tbl>
    <w:p w14:paraId="0E8BED84" w14:textId="77777777" w:rsidR="00395B24" w:rsidRDefault="00395B24">
      <w:pPr>
        <w:pStyle w:val="NormalHeadings"/>
        <w:rPr>
          <w:b w:val="0"/>
        </w:rPr>
      </w:pPr>
    </w:p>
    <w:p w14:paraId="29238AB1" w14:textId="77777777" w:rsidR="008D1617" w:rsidRDefault="008D1617">
      <w:pPr>
        <w:pStyle w:val="NormalHeadings"/>
        <w:rPr>
          <w:b w:val="0"/>
        </w:rPr>
      </w:pPr>
    </w:p>
    <w:p w14:paraId="538C6272" w14:textId="77777777" w:rsidR="00395B24" w:rsidRDefault="002C7385">
      <w:pPr>
        <w:pStyle w:val="NormalHeadings"/>
      </w:pPr>
      <w:r>
        <w:t>THE COURT ORDERS THAT:</w:t>
      </w:r>
    </w:p>
    <w:p w14:paraId="4BA98774" w14:textId="77777777" w:rsidR="007F60DF" w:rsidRDefault="007F60DF" w:rsidP="00243E5E">
      <w:pPr>
        <w:pStyle w:val="NormalHeadings"/>
      </w:pPr>
    </w:p>
    <w:p w14:paraId="41BE5764" w14:textId="7D547663" w:rsidR="001A6C52" w:rsidRDefault="008F1629" w:rsidP="001A6C52">
      <w:pPr>
        <w:pStyle w:val="Order1"/>
      </w:pPr>
      <w:r>
        <w:t>The appeal be dismissed.</w:t>
      </w:r>
    </w:p>
    <w:p w14:paraId="2C4EB5D1" w14:textId="77E2276C" w:rsidR="008F1629" w:rsidRDefault="008F1629" w:rsidP="001A6C52">
      <w:pPr>
        <w:pStyle w:val="Order1"/>
      </w:pPr>
      <w:r>
        <w:t>The appellant pay the respondent’s costs.</w:t>
      </w:r>
    </w:p>
    <w:p w14:paraId="3E2B6089" w14:textId="77777777" w:rsidR="001A6C52" w:rsidRDefault="001A6C52" w:rsidP="001A6C52">
      <w:pPr>
        <w:pStyle w:val="BodyText"/>
      </w:pPr>
    </w:p>
    <w:p w14:paraId="21232D01" w14:textId="77777777" w:rsidR="00A431E6" w:rsidRDefault="00A431E6" w:rsidP="001A6C52">
      <w:pPr>
        <w:pStyle w:val="BodyText"/>
      </w:pPr>
    </w:p>
    <w:p w14:paraId="5D8252E8" w14:textId="77777777" w:rsidR="0050309C" w:rsidRDefault="00B77FFE"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BB37C6C" w14:textId="77777777" w:rsidR="00E23577" w:rsidRDefault="00E23577" w:rsidP="002B0E91">
      <w:pPr>
        <w:pStyle w:val="BodyText"/>
      </w:pPr>
    </w:p>
    <w:p w14:paraId="5FB93BE2"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603B48A8"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5D5F4306" w14:textId="77777777" w:rsidR="00694BEB" w:rsidRDefault="00B77FFE" w:rsidP="005E0510">
      <w:pPr>
        <w:pStyle w:val="NormalHeadings"/>
        <w:spacing w:line="360" w:lineRule="auto"/>
        <w:jc w:val="left"/>
        <w:rPr>
          <w:sz w:val="26"/>
          <w:szCs w:val="26"/>
        </w:rPr>
      </w:pPr>
      <w:r>
        <w:rPr>
          <w:sz w:val="26"/>
          <w:szCs w:val="26"/>
        </w:rPr>
        <w:t>JACKMAN J</w:t>
      </w:r>
    </w:p>
    <w:p w14:paraId="2A9B2FE6" w14:textId="44080AE9" w:rsidR="00CD1346" w:rsidRDefault="0025168A" w:rsidP="0025168A">
      <w:pPr>
        <w:pStyle w:val="Heading2"/>
      </w:pPr>
      <w:r>
        <w:t>Introduction</w:t>
      </w:r>
    </w:p>
    <w:p w14:paraId="4C621425" w14:textId="5F02BE5C" w:rsidR="0025168A" w:rsidRDefault="0025168A" w:rsidP="00086923">
      <w:pPr>
        <w:pStyle w:val="ParaNumbering"/>
      </w:pPr>
      <w:r>
        <w:t>This is an appeal from the judgment of the primary judge in the Federal Circuit and Family Court of Australia (Division 2) in</w:t>
      </w:r>
      <w:r w:rsidRPr="008F1629">
        <w:rPr>
          <w:i/>
        </w:rPr>
        <w:t xml:space="preserve"> </w:t>
      </w:r>
      <w:r w:rsidRPr="00EC2A35">
        <w:rPr>
          <w:i/>
        </w:rPr>
        <w:t>Burrows</w:t>
      </w:r>
      <w:r w:rsidR="00A95C51">
        <w:rPr>
          <w:i/>
        </w:rPr>
        <w:t xml:space="preserve"> v Macpherson and Kelley Lawyer</w:t>
      </w:r>
      <w:r w:rsidRPr="00EC2A35">
        <w:rPr>
          <w:i/>
        </w:rPr>
        <w:t xml:space="preserve"> (Sydney)</w:t>
      </w:r>
      <w:r w:rsidR="00A95C51">
        <w:rPr>
          <w:i/>
        </w:rPr>
        <w:t xml:space="preserve"> NSW</w:t>
      </w:r>
      <w:r w:rsidRPr="00EC2A35">
        <w:rPr>
          <w:i/>
        </w:rPr>
        <w:t xml:space="preserve"> </w:t>
      </w:r>
      <w:r w:rsidRPr="00EC2A35">
        <w:t>[2022] FedCFamC2G</w:t>
      </w:r>
      <w:r w:rsidR="008F1629" w:rsidRPr="00EC2A35">
        <w:t xml:space="preserve"> </w:t>
      </w:r>
      <w:r w:rsidRPr="00EC2A35">
        <w:t>1048</w:t>
      </w:r>
      <w:r w:rsidR="00D96CA9" w:rsidRPr="008F1629">
        <w:rPr>
          <w:i/>
        </w:rPr>
        <w:t>.</w:t>
      </w:r>
      <w:r w:rsidR="00D96CA9" w:rsidRPr="00D96CA9">
        <w:rPr>
          <w:i/>
        </w:rPr>
        <w:t xml:space="preserve"> </w:t>
      </w:r>
      <w:r>
        <w:t>In those proceedings, Ms Burrows applied to set aside a bankruptcy notice that was issued on 20 April 2022</w:t>
      </w:r>
      <w:r w:rsidR="008F1629">
        <w:t xml:space="preserve"> </w:t>
      </w:r>
      <w:r w:rsidR="008F1629" w:rsidRPr="008F1629">
        <w:rPr>
          <w:b/>
        </w:rPr>
        <w:t>(Bankruptcy Notic</w:t>
      </w:r>
      <w:r w:rsidR="008F1629">
        <w:rPr>
          <w:b/>
        </w:rPr>
        <w:t>e</w:t>
      </w:r>
      <w:r w:rsidR="008F1629">
        <w:t>)</w:t>
      </w:r>
      <w:r>
        <w:t xml:space="preserve"> on the application of Macpherson &amp; Kelley Lawyers (Sydney) Pty Ltd </w:t>
      </w:r>
      <w:r w:rsidRPr="008F1629">
        <w:rPr>
          <w:b/>
        </w:rPr>
        <w:t>(MK</w:t>
      </w:r>
      <w:r>
        <w:rPr>
          <w:b/>
        </w:rPr>
        <w:t>L</w:t>
      </w:r>
      <w:r>
        <w:t>). The bankruptcy notice demanded that Ms Burrows pay $130,000 to MKL, representing the amount of costs the District Court of New South Wales ordered Ms Burrows to</w:t>
      </w:r>
      <w:r w:rsidR="008F1629">
        <w:t xml:space="preserve"> pay to MKL on 28 February 2020.</w:t>
      </w:r>
    </w:p>
    <w:p w14:paraId="63C11F3C" w14:textId="34E5CFD2" w:rsidR="0025168A" w:rsidRDefault="0025168A" w:rsidP="0025168A">
      <w:pPr>
        <w:pStyle w:val="ParaNumbering"/>
      </w:pPr>
      <w:r>
        <w:t>At first instance, there was a dispute as to the merits of the grounds relied upon by Ms Burrows to set aside the Bankruptcy Notice. However, MKL also submitted that the Bankruptcy Notice was served on Ms Burrows on 24 May 2022, but she failed to apply to set aside the Bankruptcy Notice before the 21 days for compliance with its requirements had expired</w:t>
      </w:r>
      <w:r w:rsidR="008F1629">
        <w:t xml:space="preserve"> on 14 June 2022</w:t>
      </w:r>
      <w:r>
        <w:t xml:space="preserve">. For that reason, MKL </w:t>
      </w:r>
      <w:r w:rsidR="008F1629">
        <w:t xml:space="preserve">successfully </w:t>
      </w:r>
      <w:r>
        <w:t>submitted that the Court did not have jurisdiction to consider Ms Burrows’ application to set aside the Bankruptcy Notice</w:t>
      </w:r>
      <w:r w:rsidR="008F1629">
        <w:t xml:space="preserve"> or to extend </w:t>
      </w:r>
      <w:r w:rsidR="00A51A90">
        <w:t xml:space="preserve">the </w:t>
      </w:r>
      <w:r w:rsidR="008F1629">
        <w:t>time for compliance</w:t>
      </w:r>
      <w:r>
        <w:t xml:space="preserve">. In this appeal, Ms Burrows challenges the findings as to </w:t>
      </w:r>
      <w:r w:rsidR="00435679">
        <w:t xml:space="preserve">the service of the Bankruptcy Notice and the expiry of the time for compliance with it before Ms </w:t>
      </w:r>
      <w:proofErr w:type="gramStart"/>
      <w:r w:rsidR="00435679">
        <w:t>Burrows</w:t>
      </w:r>
      <w:proofErr w:type="gramEnd"/>
      <w:r w:rsidR="00435679">
        <w:t xml:space="preserve"> commenced proceedings (Grounds 1-6). In the event that those arguments are successful, Ms Burrows contends that sufficient grounds exist to set aside the Bankruptcy Notice (Grounds 7-10).</w:t>
      </w:r>
    </w:p>
    <w:p w14:paraId="75AFAEE7" w14:textId="1D8C81AC" w:rsidR="00435679" w:rsidRDefault="00435679" w:rsidP="00435679">
      <w:pPr>
        <w:pStyle w:val="Heading2"/>
      </w:pPr>
      <w:r>
        <w:t>The Reasoning of the Primary Judge</w:t>
      </w:r>
    </w:p>
    <w:p w14:paraId="57D5643F" w14:textId="7C45F5BD" w:rsidR="00435679" w:rsidRDefault="00435679" w:rsidP="00435679">
      <w:pPr>
        <w:pStyle w:val="ParaNumbering"/>
      </w:pPr>
      <w:r>
        <w:t>To the extent</w:t>
      </w:r>
      <w:r w:rsidR="00ED798C">
        <w:t xml:space="preserve"> that it is relevant to the issues concerning service of the Bankruptcy Notice, the reasoning of the primary judge was as follows.</w:t>
      </w:r>
    </w:p>
    <w:p w14:paraId="22F15A75" w14:textId="66E71EDF" w:rsidR="00ED798C" w:rsidRDefault="00ED798C" w:rsidP="00435679">
      <w:pPr>
        <w:pStyle w:val="ParaNumbering"/>
      </w:pPr>
      <w:r>
        <w:t xml:space="preserve">The Bankruptcy Notice identified Ms Burrows’ address as “L 1 299 Elizabeth St, Sydney, NSW, </w:t>
      </w:r>
      <w:proofErr w:type="gramStart"/>
      <w:r>
        <w:t>Australia</w:t>
      </w:r>
      <w:proofErr w:type="gramEnd"/>
      <w:r>
        <w:t xml:space="preserve">”. MKL engaged Mr </w:t>
      </w:r>
      <w:proofErr w:type="spellStart"/>
      <w:r>
        <w:t>Khoury</w:t>
      </w:r>
      <w:proofErr w:type="spellEnd"/>
      <w:r>
        <w:t xml:space="preserve"> to serve the Bankruptcy Notice on Ms Burrows. In his affid</w:t>
      </w:r>
      <w:r w:rsidR="008F1629">
        <w:t xml:space="preserve">avit of service, Mr </w:t>
      </w:r>
      <w:proofErr w:type="spellStart"/>
      <w:r w:rsidR="008F1629">
        <w:t>Khoury</w:t>
      </w:r>
      <w:proofErr w:type="spellEnd"/>
      <w:r w:rsidR="008F1629">
        <w:t xml:space="preserve"> said that </w:t>
      </w:r>
      <w:r>
        <w:t>at 9.00 am on 24 May 2022, he handed the Bankruptcy Notice to a person at Level 1, 299 Elizabeth Street, Sydney, during which he had the following conversation:</w:t>
      </w:r>
    </w:p>
    <w:p w14:paraId="76EF8636" w14:textId="77777777" w:rsidR="0035352B" w:rsidRDefault="002B7BD0" w:rsidP="0035352B">
      <w:pPr>
        <w:pStyle w:val="Quote1"/>
        <w:spacing w:after="0"/>
      </w:pPr>
      <w:r>
        <w:t xml:space="preserve">Mr </w:t>
      </w:r>
      <w:proofErr w:type="spellStart"/>
      <w:r>
        <w:t>Khoury</w:t>
      </w:r>
      <w:proofErr w:type="spellEnd"/>
      <w:r>
        <w:t xml:space="preserve">: Can you accept service of these documents on behalf of </w:t>
      </w:r>
      <w:proofErr w:type="spellStart"/>
      <w:r>
        <w:t>Zali</w:t>
      </w:r>
      <w:proofErr w:type="spellEnd"/>
      <w:r>
        <w:t xml:space="preserve"> Burrows?</w:t>
      </w:r>
    </w:p>
    <w:p w14:paraId="44ADA428" w14:textId="77777777" w:rsidR="0035352B" w:rsidRDefault="0035352B" w:rsidP="0035352B">
      <w:pPr>
        <w:pStyle w:val="Quote1"/>
        <w:spacing w:after="0"/>
      </w:pPr>
    </w:p>
    <w:p w14:paraId="772D2CD2" w14:textId="0D1E806A" w:rsidR="002B7BD0" w:rsidRDefault="002B7BD0" w:rsidP="0035352B">
      <w:pPr>
        <w:pStyle w:val="Quote1"/>
        <w:spacing w:after="0"/>
      </w:pPr>
      <w:r>
        <w:lastRenderedPageBreak/>
        <w:t>Person: Yes, I am authorised to accept and can pass them on to Ms Burrows.</w:t>
      </w:r>
    </w:p>
    <w:p w14:paraId="66310978" w14:textId="77777777" w:rsidR="0035352B" w:rsidRDefault="0035352B" w:rsidP="0035352B">
      <w:pPr>
        <w:pStyle w:val="Quote1"/>
        <w:spacing w:after="0"/>
      </w:pPr>
    </w:p>
    <w:p w14:paraId="7C588038" w14:textId="76F75F4D" w:rsidR="002B7BD0" w:rsidRDefault="002B7BD0" w:rsidP="002B7BD0">
      <w:pPr>
        <w:pStyle w:val="Quote1"/>
        <w:spacing w:after="0"/>
      </w:pPr>
      <w:r>
        <w:t xml:space="preserve">Mr </w:t>
      </w:r>
      <w:proofErr w:type="spellStart"/>
      <w:r>
        <w:t>Khoury</w:t>
      </w:r>
      <w:proofErr w:type="spellEnd"/>
      <w:r>
        <w:t>: May I have your name?</w:t>
      </w:r>
    </w:p>
    <w:p w14:paraId="0B0FFF04" w14:textId="77777777" w:rsidR="0035352B" w:rsidRDefault="0035352B" w:rsidP="002B7BD0">
      <w:pPr>
        <w:pStyle w:val="Quote1"/>
        <w:spacing w:after="0"/>
      </w:pPr>
    </w:p>
    <w:p w14:paraId="1080A077" w14:textId="1540AD33" w:rsidR="002B7BD0" w:rsidRDefault="002B7BD0" w:rsidP="002B7BD0">
      <w:pPr>
        <w:pStyle w:val="Quote1"/>
        <w:spacing w:after="0"/>
      </w:pPr>
      <w:r>
        <w:t>Person: “</w:t>
      </w:r>
      <w:proofErr w:type="spellStart"/>
      <w:r>
        <w:t>Vai</w:t>
      </w:r>
      <w:proofErr w:type="spellEnd"/>
      <w:r>
        <w:t>”</w:t>
      </w:r>
      <w:r w:rsidR="008F1629">
        <w:t>.</w:t>
      </w:r>
    </w:p>
    <w:p w14:paraId="75C85A8D" w14:textId="459B118F" w:rsidR="002B7BD0" w:rsidRDefault="002B7BD0" w:rsidP="002B7BD0">
      <w:pPr>
        <w:pStyle w:val="ParaNumbering"/>
      </w:pPr>
      <w:r>
        <w:t xml:space="preserve">Mr </w:t>
      </w:r>
      <w:proofErr w:type="spellStart"/>
      <w:r>
        <w:t>Khoury</w:t>
      </w:r>
      <w:proofErr w:type="spellEnd"/>
      <w:r>
        <w:t xml:space="preserve"> also deposed to the following:</w:t>
      </w:r>
    </w:p>
    <w:p w14:paraId="68FD8053" w14:textId="4B983797" w:rsidR="002B7BD0" w:rsidRDefault="002B7BD0" w:rsidP="002B7BD0">
      <w:pPr>
        <w:pStyle w:val="Quote1"/>
      </w:pPr>
      <w:r>
        <w:t>In accordance with Regulation 102 of the Bankruptcy Regulation 2021 (</w:t>
      </w:r>
      <w:proofErr w:type="spellStart"/>
      <w:r>
        <w:t>Cth</w:t>
      </w:r>
      <w:proofErr w:type="spellEnd"/>
      <w:r>
        <w:t>), I place</w:t>
      </w:r>
      <w:r w:rsidR="008F1629">
        <w:t>d</w:t>
      </w:r>
      <w:r>
        <w:t xml:space="preserve"> the documents in a sealed envelope address</w:t>
      </w:r>
      <w:r w:rsidR="008F1629">
        <w:t>ed</w:t>
      </w:r>
      <w:r>
        <w:t xml:space="preserve"> to </w:t>
      </w:r>
      <w:proofErr w:type="spellStart"/>
      <w:r>
        <w:t>Zali</w:t>
      </w:r>
      <w:proofErr w:type="spellEnd"/>
      <w:r>
        <w:t xml:space="preserve"> Burrows and marked “Private &amp; Confidential” and left </w:t>
      </w:r>
      <w:r w:rsidR="005416FC">
        <w:t>them with the female at the Debtor’s last known business address.</w:t>
      </w:r>
    </w:p>
    <w:p w14:paraId="606DFDEB" w14:textId="2CC2DB1B" w:rsidR="005416FC" w:rsidRDefault="005416FC" w:rsidP="005416FC">
      <w:pPr>
        <w:pStyle w:val="ParaNumbering"/>
      </w:pPr>
      <w:r>
        <w:t xml:space="preserve">In evidence given in cross-examination, Mr </w:t>
      </w:r>
      <w:proofErr w:type="spellStart"/>
      <w:r>
        <w:t>Khoury</w:t>
      </w:r>
      <w:proofErr w:type="spellEnd"/>
      <w:r>
        <w:t xml:space="preserve"> said he had placed the Bankruptcy Notice in the envelope and sealed the envelope before he arrived at Level 1, 299 Elizabeth Street, Sydney: [35].</w:t>
      </w:r>
    </w:p>
    <w:p w14:paraId="4A5C61FE" w14:textId="61265046" w:rsidR="0031001B" w:rsidRDefault="0031001B" w:rsidP="005416FC">
      <w:pPr>
        <w:pStyle w:val="ParaNumbering"/>
      </w:pPr>
      <w:r>
        <w:t>The primary judge then referred to the evidence given by Ms Burrows relating to the circums</w:t>
      </w:r>
      <w:r w:rsidR="008F1629">
        <w:t xml:space="preserve">tances in which Ms Burrows said </w:t>
      </w:r>
      <w:r>
        <w:t xml:space="preserve">she first received the Bankruptcy Notice: </w:t>
      </w:r>
    </w:p>
    <w:p w14:paraId="7BEDB267" w14:textId="2FDC058E" w:rsidR="0031001B" w:rsidRDefault="0031001B" w:rsidP="0031001B">
      <w:pPr>
        <w:pStyle w:val="Quote1"/>
      </w:pPr>
      <w:r>
        <w:t>On 16 June 2022 at 4.05 pm, an envelope containing documents was couriered to my residential address by Crisis Courier from Genesis Office that is located at 1, 299 Elizabeth Street Sydney NSW 2000. Genesis Office is a document exchange to send and receive documents for me. It is the usual course of business that Genesis Office couriers or express posts me documents sometime after they are received. Accordingly, I personally became aware of the Bankruptcy Notice after 21 days had lapsed from the date of service.</w:t>
      </w:r>
    </w:p>
    <w:p w14:paraId="196AEE18" w14:textId="267A4DF7" w:rsidR="00E66E19" w:rsidRDefault="00F20610" w:rsidP="00E66E19">
      <w:pPr>
        <w:pStyle w:val="ParaNumbering"/>
      </w:pPr>
      <w:r>
        <w:t>The primary judge said that Ms Burrows did not identify the documents that she said were contained in the envelope</w:t>
      </w:r>
      <w:r w:rsidR="008F1629">
        <w:t>,</w:t>
      </w:r>
      <w:r>
        <w:t xml:space="preserve"> and the email from Genesis </w:t>
      </w:r>
      <w:r w:rsidR="008F1629">
        <w:t>Offices that was</w:t>
      </w:r>
      <w:r>
        <w:t xml:space="preserve"> annexed to Ms Burro</w:t>
      </w:r>
      <w:r w:rsidR="008F1629">
        <w:t>ws’ affidavit only referred to Crisis C</w:t>
      </w:r>
      <w:r>
        <w:t>ourier hav</w:t>
      </w:r>
      <w:r w:rsidR="008F1629">
        <w:t>ing left the parcel comprising one</w:t>
      </w:r>
      <w:r>
        <w:t xml:space="preserve"> B4 envelope with mail at her front door. The primary judge noted that Ms Burrows appeared to intend to convey that the Bankruptcy Notice was included in the envelope that was delivered to her residence on 16 June 2022: [37]</w:t>
      </w:r>
      <w:r w:rsidR="00E66E19">
        <w:t>. However, the primary judge was not prepared to find that the envelope that was delivered to Ms Burrows’ address on 16 June</w:t>
      </w:r>
      <w:r w:rsidR="008F1629">
        <w:t xml:space="preserve"> 2022</w:t>
      </w:r>
      <w:r w:rsidR="00E66E19">
        <w:t xml:space="preserve"> was the envelope Mr </w:t>
      </w:r>
      <w:proofErr w:type="spellStart"/>
      <w:r w:rsidR="00E66E19">
        <w:t>Khoury</w:t>
      </w:r>
      <w:proofErr w:type="spellEnd"/>
      <w:r w:rsidR="00E66E19">
        <w:t xml:space="preserve"> </w:t>
      </w:r>
      <w:r w:rsidR="008015FA">
        <w:t>deposed</w:t>
      </w:r>
      <w:r w:rsidR="00562CC9">
        <w:t xml:space="preserve"> to hav</w:t>
      </w:r>
      <w:r w:rsidR="008F1629">
        <w:t>ing le</w:t>
      </w:r>
      <w:r w:rsidR="00E66E19">
        <w:t>ft at Level 1, 299 Elizabeth Street on 24 May 2022: [38]. The primary judge reasoned that if the envelope did in fact contain the Bankruptcy Notice, it was reasonable to expect that Ms Burrows would have so stated in her affidavit, and there was no evidence to explain why it took Genesis Offices 22 days to arrange to courier the envelope to Ms Burrows.</w:t>
      </w:r>
    </w:p>
    <w:p w14:paraId="60DCC262" w14:textId="26CDE6BD" w:rsidR="00C0016B" w:rsidRDefault="00E66E19" w:rsidP="00E66E19">
      <w:pPr>
        <w:pStyle w:val="ParaNumbering"/>
      </w:pPr>
      <w:r>
        <w:t>The primary judge found that the Bankruptcy Notice was left with a person at the premises situated at Level 1, 299 Eli</w:t>
      </w:r>
      <w:r w:rsidR="00C0016B">
        <w:t xml:space="preserve">zabeth Street on 24 May 2022 (the </w:t>
      </w:r>
      <w:r w:rsidR="00C0016B">
        <w:rPr>
          <w:b/>
        </w:rPr>
        <w:t>Premises</w:t>
      </w:r>
      <w:r w:rsidR="00C0016B">
        <w:t>). The primary</w:t>
      </w:r>
      <w:r w:rsidR="008F1629">
        <w:t xml:space="preserve"> judge found that the Premises we</w:t>
      </w:r>
      <w:r w:rsidR="00C0016B">
        <w:t>re used as a document exchange o</w:t>
      </w:r>
      <w:r w:rsidR="008F1629">
        <w:t>perated by an entity that traded</w:t>
      </w:r>
      <w:r w:rsidR="00C0016B">
        <w:t xml:space="preserve"> </w:t>
      </w:r>
      <w:r w:rsidR="00C0016B">
        <w:lastRenderedPageBreak/>
        <w:t>under the name “Genesis Office” which, in its us</w:t>
      </w:r>
      <w:r w:rsidR="008F1629">
        <w:t>ual course of business, couriered</w:t>
      </w:r>
      <w:r w:rsidR="00C0016B">
        <w:t xml:space="preserve"> or se</w:t>
      </w:r>
      <w:r w:rsidR="008F1629">
        <w:t>nt</w:t>
      </w:r>
      <w:r w:rsidR="00C0016B">
        <w:t xml:space="preserve"> by express post to Ms Burrows, documents ad</w:t>
      </w:r>
      <w:r w:rsidR="00804EA6">
        <w:t>dressed to Ms Burrows that we</w:t>
      </w:r>
      <w:r w:rsidR="00C0016B">
        <w:t xml:space="preserve">re left at the </w:t>
      </w:r>
      <w:r w:rsidR="008015FA">
        <w:t>Premises</w:t>
      </w:r>
      <w:r w:rsidR="00C0016B">
        <w:t>: [50].</w:t>
      </w:r>
    </w:p>
    <w:p w14:paraId="2DD9AC23" w14:textId="111D5ADF" w:rsidR="00C0016B" w:rsidRDefault="00C0016B" w:rsidP="00E66E19">
      <w:pPr>
        <w:pStyle w:val="ParaNumbering"/>
      </w:pPr>
      <w:r>
        <w:t xml:space="preserve">The primary judge referred to </w:t>
      </w:r>
      <w:proofErr w:type="spellStart"/>
      <w:r w:rsidR="000C1D09" w:rsidRPr="00EC2A35">
        <w:t>reg</w:t>
      </w:r>
      <w:proofErr w:type="spellEnd"/>
      <w:r w:rsidR="000C1D09" w:rsidRPr="00EC2A35">
        <w:t xml:space="preserve"> </w:t>
      </w:r>
      <w:r w:rsidR="00804EA6" w:rsidRPr="00EC2A35">
        <w:t>1</w:t>
      </w:r>
      <w:r w:rsidRPr="00EC2A35">
        <w:t xml:space="preserve">02 of the </w:t>
      </w:r>
      <w:r w:rsidRPr="00EC2A35">
        <w:rPr>
          <w:i/>
        </w:rPr>
        <w:t>Bankruptcy Regulations 2021</w:t>
      </w:r>
      <w:r w:rsidR="000C1D09" w:rsidRPr="00EC2A35">
        <w:rPr>
          <w:i/>
        </w:rPr>
        <w:t xml:space="preserve"> </w:t>
      </w:r>
      <w:r w:rsidRPr="00EC2A35">
        <w:t>(</w:t>
      </w:r>
      <w:proofErr w:type="spellStart"/>
      <w:r w:rsidRPr="00EC2A35">
        <w:t>Cth</w:t>
      </w:r>
      <w:proofErr w:type="spellEnd"/>
      <w:r w:rsidRPr="00EC2A35">
        <w:t>)</w:t>
      </w:r>
      <w:r>
        <w:t xml:space="preserve"> (</w:t>
      </w:r>
      <w:r>
        <w:rPr>
          <w:b/>
        </w:rPr>
        <w:t>Regulations</w:t>
      </w:r>
      <w:r>
        <w:t>), which provide</w:t>
      </w:r>
      <w:r w:rsidR="00804EA6">
        <w:t>s relevantly</w:t>
      </w:r>
      <w:r>
        <w:t>:</w:t>
      </w:r>
    </w:p>
    <w:p w14:paraId="4B9101D5" w14:textId="002A85FC" w:rsidR="00A17FFD" w:rsidRPr="00561B9D" w:rsidRDefault="00A17FFD" w:rsidP="00561B9D">
      <w:pPr>
        <w:pStyle w:val="Quote1"/>
        <w:numPr>
          <w:ilvl w:val="0"/>
          <w:numId w:val="33"/>
        </w:numPr>
      </w:pPr>
      <w:r w:rsidRPr="00561B9D">
        <w:t>Unless the contrary intention appears, if a document is required or permitted by the Act or this instrument to be given or sent to, or served on, a p</w:t>
      </w:r>
      <w:r w:rsidR="003C29A6">
        <w:t>erson (other than the Inspector</w:t>
      </w:r>
      <w:r w:rsidRPr="00561B9D">
        <w:t>–General, the Official Receiver or the Offic</w:t>
      </w:r>
      <w:r w:rsidR="00804EA6" w:rsidRPr="00561B9D">
        <w:t>ial</w:t>
      </w:r>
      <w:r w:rsidRPr="00561B9D">
        <w:t xml:space="preserve"> Trustee)</w:t>
      </w:r>
      <w:r w:rsidR="00465D08">
        <w:t>,</w:t>
      </w:r>
      <w:r w:rsidRPr="00561B9D">
        <w:t xml:space="preserve"> the document may be:</w:t>
      </w:r>
    </w:p>
    <w:p w14:paraId="5C2FD351" w14:textId="47F96FBF" w:rsidR="00A17FFD" w:rsidRDefault="00561B9D" w:rsidP="009C7890">
      <w:pPr>
        <w:pStyle w:val="Quote2"/>
        <w:ind w:left="2160" w:hanging="720"/>
      </w:pPr>
      <w:r>
        <w:t>(a)</w:t>
      </w:r>
      <w:r>
        <w:tab/>
      </w:r>
      <w:proofErr w:type="gramStart"/>
      <w:r w:rsidR="00A17FFD">
        <w:t>sent</w:t>
      </w:r>
      <w:proofErr w:type="gramEnd"/>
      <w:r w:rsidR="00A17FFD">
        <w:t xml:space="preserve"> by a courier service to the person at the address of the person last </w:t>
      </w:r>
      <w:r w:rsidR="00804EA6">
        <w:t>known</w:t>
      </w:r>
      <w:r w:rsidR="00A17FFD">
        <w:t xml:space="preserve"> to </w:t>
      </w:r>
      <w:r w:rsidR="00804EA6">
        <w:t>the person serving the document</w:t>
      </w:r>
      <w:r w:rsidR="00A17FFD">
        <w:t>; or</w:t>
      </w:r>
    </w:p>
    <w:p w14:paraId="5615E3EE" w14:textId="22DE5879" w:rsidR="00A17FFD" w:rsidRDefault="00561B9D" w:rsidP="009C7890">
      <w:pPr>
        <w:pStyle w:val="Quote2"/>
        <w:ind w:left="2160" w:hanging="720"/>
      </w:pPr>
      <w:r>
        <w:t xml:space="preserve">(b) </w:t>
      </w:r>
      <w:r>
        <w:tab/>
      </w:r>
      <w:proofErr w:type="gramStart"/>
      <w:r w:rsidR="00A17FFD">
        <w:t>left</w:t>
      </w:r>
      <w:proofErr w:type="gramEnd"/>
      <w:r w:rsidR="00A17FFD">
        <w:t>, in an envelope or similar packaging marked with a person’s name and any relevant document exchange number, a</w:t>
      </w:r>
      <w:r w:rsidR="00804EA6">
        <w:t>t</w:t>
      </w:r>
      <w:r w:rsidR="00A17FFD">
        <w:t xml:space="preserve"> a document exchange where the person maintains a document facility.</w:t>
      </w:r>
    </w:p>
    <w:p w14:paraId="1B36FC91" w14:textId="401F9944" w:rsidR="00A17FFD" w:rsidRDefault="00561B9D" w:rsidP="00561B9D">
      <w:pPr>
        <w:pStyle w:val="Quote1"/>
        <w:ind w:left="1440" w:hanging="703"/>
      </w:pPr>
      <w:r>
        <w:t>(2)</w:t>
      </w:r>
      <w:r>
        <w:tab/>
      </w:r>
      <w:r w:rsidR="00A17FFD">
        <w:t>In the absence of proof to the contrary, the document is taken to have been received by, or served on, the person when the document would, in the due course of business practice, be delivered to that address or document exchange.</w:t>
      </w:r>
    </w:p>
    <w:p w14:paraId="0E5A6F23" w14:textId="563AF8D6" w:rsidR="00D10DBE" w:rsidRDefault="00D10DBE" w:rsidP="00A17FFD">
      <w:pPr>
        <w:pStyle w:val="ParaNumbering"/>
      </w:pPr>
      <w:r>
        <w:t xml:space="preserve">The primary judge found that the address of the Premises was the address of Ms Burrows that was last known to MKL as at 24 May 2022, being the day on which Mr </w:t>
      </w:r>
      <w:proofErr w:type="spellStart"/>
      <w:r>
        <w:t>Khoury</w:t>
      </w:r>
      <w:proofErr w:type="spellEnd"/>
      <w:r>
        <w:t xml:space="preserve"> left at the Premises the envelope containing the Bankruptcy Notice: [51]. The primary ju</w:t>
      </w:r>
      <w:r w:rsidR="007C248C">
        <w:t xml:space="preserve">dge also found that Mr </w:t>
      </w:r>
      <w:proofErr w:type="spellStart"/>
      <w:r w:rsidR="007C248C">
        <w:t>Khoury</w:t>
      </w:r>
      <w:proofErr w:type="spellEnd"/>
      <w:r w:rsidR="007C248C">
        <w:t xml:space="preserve"> </w:t>
      </w:r>
      <w:r>
        <w:t xml:space="preserve">delivering the Bankruptcy Notice to the Premises constituted the provision of a courier service to MKL, and MKL engaging Mr </w:t>
      </w:r>
      <w:proofErr w:type="spellStart"/>
      <w:r>
        <w:t>Khoury</w:t>
      </w:r>
      <w:proofErr w:type="spellEnd"/>
      <w:r>
        <w:t xml:space="preserve"> to so deliver the Bankruptcy Notice t</w:t>
      </w:r>
      <w:r w:rsidR="007C248C">
        <w:t>o the Premises constituted MKL</w:t>
      </w:r>
      <w:r>
        <w:t xml:space="preserve"> serving the Bankruptcy Notice by a courier service within th</w:t>
      </w:r>
      <w:r w:rsidR="007C248C">
        <w:t xml:space="preserve">e meaning of </w:t>
      </w:r>
      <w:proofErr w:type="spellStart"/>
      <w:r w:rsidR="007C248C">
        <w:t>r</w:t>
      </w:r>
      <w:r>
        <w:t>eg</w:t>
      </w:r>
      <w:proofErr w:type="spellEnd"/>
      <w:r>
        <w:t xml:space="preserve"> 102(1)(a): [51]</w:t>
      </w:r>
      <w:r w:rsidR="00086923">
        <w:rPr>
          <w:i/>
        </w:rPr>
        <w:t xml:space="preserve">. </w:t>
      </w:r>
      <w:r w:rsidR="00C0016B">
        <w:t xml:space="preserve">    </w:t>
      </w:r>
    </w:p>
    <w:p w14:paraId="031D9282" w14:textId="11F9B94C" w:rsidR="00CD6F62" w:rsidRDefault="00D10DBE" w:rsidP="00A17FFD">
      <w:pPr>
        <w:pStyle w:val="ParaNumbering"/>
      </w:pPr>
      <w:r>
        <w:t xml:space="preserve">The primary judge rejected an argument by Ms Burrows that there was no </w:t>
      </w:r>
      <w:r w:rsidR="008015FA">
        <w:t>evidence</w:t>
      </w:r>
      <w:r>
        <w:t xml:space="preserve"> that Mr </w:t>
      </w:r>
      <w:proofErr w:type="spellStart"/>
      <w:r>
        <w:t>Khoury</w:t>
      </w:r>
      <w:proofErr w:type="spellEnd"/>
      <w:r>
        <w:t xml:space="preserve"> brought to the attention of the person with whom he le</w:t>
      </w:r>
      <w:r w:rsidR="00DA6769">
        <w:t>f</w:t>
      </w:r>
      <w:r>
        <w:t>t</w:t>
      </w:r>
      <w:r w:rsidR="00DA6769">
        <w:t xml:space="preserve"> the envelope</w:t>
      </w:r>
      <w:r>
        <w:t xml:space="preserve"> the specific nature of the documents, saying that while that was </w:t>
      </w:r>
      <w:r w:rsidR="00DA6769">
        <w:t>f</w:t>
      </w:r>
      <w:r>
        <w:t xml:space="preserve">actually true, </w:t>
      </w:r>
      <w:proofErr w:type="spellStart"/>
      <w:r>
        <w:t>reg</w:t>
      </w:r>
      <w:proofErr w:type="spellEnd"/>
      <w:r>
        <w:t xml:space="preserve"> 102(1</w:t>
      </w:r>
      <w:proofErr w:type="gramStart"/>
      <w:r>
        <w:t>)(</w:t>
      </w:r>
      <w:proofErr w:type="gramEnd"/>
      <w:r>
        <w:t>a) did not contain any</w:t>
      </w:r>
      <w:r w:rsidR="00DA6769">
        <w:t xml:space="preserve"> such requirement: </w:t>
      </w:r>
      <w:r>
        <w:t>[52]. The primary judge also rejected an argument that the circumstance</w:t>
      </w:r>
      <w:r w:rsidR="00CD6F62">
        <w:t xml:space="preserve">s in which Mr </w:t>
      </w:r>
      <w:proofErr w:type="spellStart"/>
      <w:r w:rsidR="00CD6F62">
        <w:t>Khoury</w:t>
      </w:r>
      <w:proofErr w:type="spellEnd"/>
      <w:r w:rsidR="00CD6F62">
        <w:t xml:space="preserve"> left the Bankruptcy Notice at the Premises w</w:t>
      </w:r>
      <w:r w:rsidR="00DA6769">
        <w:t>ere</w:t>
      </w:r>
      <w:r w:rsidR="00CD6F62">
        <w:t xml:space="preserve"> similar to the circumstances that led Lockhart J in </w:t>
      </w:r>
      <w:r w:rsidR="00CD6F62" w:rsidRPr="00EC2A35">
        <w:rPr>
          <w:i/>
        </w:rPr>
        <w:t xml:space="preserve">Clyne v Deputy Commissioner of Taxation </w:t>
      </w:r>
      <w:r w:rsidR="00CD6F62" w:rsidRPr="00EC2A35">
        <w:t xml:space="preserve">(1982) </w:t>
      </w:r>
      <w:r w:rsidR="00DA6769" w:rsidRPr="00EC2A35">
        <w:t>66 FLR 301</w:t>
      </w:r>
      <w:r w:rsidR="00DA6769">
        <w:t xml:space="preserve"> to set aside a bankruptcy n</w:t>
      </w:r>
      <w:r w:rsidR="00CD6F62">
        <w:t>otice. In that case, an orde</w:t>
      </w:r>
      <w:r w:rsidR="00DA6769">
        <w:t>r was made permitting service of the bankruptcy n</w:t>
      </w:r>
      <w:r w:rsidR="00CD6F62">
        <w:t>otice by post, and the order provided that the service was to be deemed to have been effected “upon the expiration of fourteen (14) days from the date of posting the said documents pursuant to these orders”. Lockhart J found that there was no way the debtor could have</w:t>
      </w:r>
      <w:r w:rsidR="00DA6769">
        <w:t xml:space="preserve"> known when the bankruptcy n</w:t>
      </w:r>
      <w:r w:rsidR="00CD6F62">
        <w:t xml:space="preserve">otice was posted and accordingly said it was not possible </w:t>
      </w:r>
      <w:r w:rsidR="00CD6F62">
        <w:lastRenderedPageBreak/>
        <w:t>for the debtor to calculate the time by which he w</w:t>
      </w:r>
      <w:r w:rsidR="00DA6769">
        <w:t>as required to comply with the b</w:t>
      </w:r>
      <w:r w:rsidR="00CD6F62">
        <w:t xml:space="preserve">ankruptcy </w:t>
      </w:r>
      <w:r w:rsidR="00DA6769">
        <w:t>n</w:t>
      </w:r>
      <w:r w:rsidR="00CD6F62">
        <w:t xml:space="preserve">otice. However, the Bankruptcy Notice in the present case required Ms Burrows to comply with it “within 21 days after service”, not after the date of posting, and the date of service pursuant to </w:t>
      </w:r>
      <w:proofErr w:type="spellStart"/>
      <w:r w:rsidR="00CD6F62">
        <w:t>reg</w:t>
      </w:r>
      <w:proofErr w:type="spellEnd"/>
      <w:r w:rsidR="00CD6F62">
        <w:t xml:space="preserve"> 102(1</w:t>
      </w:r>
      <w:proofErr w:type="gramStart"/>
      <w:r w:rsidR="00CD6F62">
        <w:t>)(</w:t>
      </w:r>
      <w:proofErr w:type="gramEnd"/>
      <w:r w:rsidR="00CD6F62">
        <w:t>a) was 24 May 2022: [54]. Ms Burrows, however, purported to apply to set as</w:t>
      </w:r>
      <w:r w:rsidR="00DA6769">
        <w:t>ide the Bankruptcy Notice by f</w:t>
      </w:r>
      <w:r w:rsidR="00CD6F62">
        <w:t>iling her application to set aside the Bankruptcy Notice on 21 June 2022, whereas the 21 day period expired on 14 June 2022.</w:t>
      </w:r>
    </w:p>
    <w:p w14:paraId="52204ADD" w14:textId="1FABDEBC" w:rsidR="00CD6F62" w:rsidRDefault="00CD6F62" w:rsidP="00A17FFD">
      <w:pPr>
        <w:pStyle w:val="ParaNumbering"/>
      </w:pPr>
      <w:r>
        <w:t xml:space="preserve">The primary judge referred to the power which the Court has to extend the time for compliance with 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
      <w:proofErr w:type="spellEnd"/>
      <w:r w:rsidRPr="00EC2A35">
        <w:t>)</w:t>
      </w:r>
      <w:r>
        <w:t xml:space="preserve"> (the </w:t>
      </w:r>
      <w:r>
        <w:rPr>
          <w:b/>
        </w:rPr>
        <w:t>Act</w:t>
      </w:r>
      <w:r>
        <w:t>), which provides:</w:t>
      </w:r>
    </w:p>
    <w:p w14:paraId="1BBB522D" w14:textId="26ECD684" w:rsidR="00CD6F62" w:rsidRPr="00CD6F62" w:rsidRDefault="00CD6F62" w:rsidP="00CD6F62">
      <w:pPr>
        <w:pStyle w:val="Quote1"/>
        <w:rPr>
          <w:szCs w:val="22"/>
        </w:rPr>
      </w:pPr>
      <w:r w:rsidRPr="00CD6F62">
        <w:rPr>
          <w:szCs w:val="22"/>
        </w:rPr>
        <w:t xml:space="preserve">Where, before the expiration of the time fixed for compliance with a </w:t>
      </w:r>
      <w:r w:rsidR="007569C3">
        <w:rPr>
          <w:szCs w:val="22"/>
        </w:rPr>
        <w:t>b</w:t>
      </w:r>
      <w:r w:rsidRPr="00CD6F62">
        <w:rPr>
          <w:szCs w:val="22"/>
        </w:rPr>
        <w:t xml:space="preserve">ankruptcy </w:t>
      </w:r>
      <w:r w:rsidR="007569C3">
        <w:rPr>
          <w:szCs w:val="22"/>
        </w:rPr>
        <w:t>n</w:t>
      </w:r>
      <w:r w:rsidRPr="00CD6F62">
        <w:rPr>
          <w:szCs w:val="22"/>
        </w:rPr>
        <w:t xml:space="preserve">otice: </w:t>
      </w:r>
    </w:p>
    <w:p w14:paraId="4C999A9D" w14:textId="5D1DD71F" w:rsidR="00CD6F62" w:rsidRPr="00CD6F62" w:rsidRDefault="00CD6F62" w:rsidP="00CD6F62">
      <w:pPr>
        <w:pStyle w:val="ListNo2"/>
        <w:spacing w:line="240" w:lineRule="auto"/>
        <w:rPr>
          <w:sz w:val="22"/>
          <w:szCs w:val="22"/>
        </w:rPr>
      </w:pPr>
      <w:r w:rsidRPr="00CD6F62">
        <w:rPr>
          <w:sz w:val="22"/>
          <w:szCs w:val="22"/>
        </w:rPr>
        <w:t xml:space="preserve">proceedings to set aside a judgment or order in respect of which the </w:t>
      </w:r>
      <w:r w:rsidR="007569C3">
        <w:rPr>
          <w:sz w:val="22"/>
          <w:szCs w:val="22"/>
        </w:rPr>
        <w:t>b</w:t>
      </w:r>
      <w:r w:rsidRPr="00CD6F62">
        <w:rPr>
          <w:sz w:val="22"/>
          <w:szCs w:val="22"/>
        </w:rPr>
        <w:t xml:space="preserve">ankruptcy </w:t>
      </w:r>
      <w:r w:rsidR="007569C3">
        <w:rPr>
          <w:sz w:val="22"/>
          <w:szCs w:val="22"/>
        </w:rPr>
        <w:t>n</w:t>
      </w:r>
      <w:r w:rsidRPr="00CD6F62">
        <w:rPr>
          <w:sz w:val="22"/>
          <w:szCs w:val="22"/>
        </w:rPr>
        <w:t>otice was issued have been instituted by the debtor; or</w:t>
      </w:r>
    </w:p>
    <w:p w14:paraId="5D76F5D8" w14:textId="18E42CCC" w:rsidR="00CD6F62" w:rsidRPr="00CD6F62" w:rsidRDefault="00CD6F62" w:rsidP="00CD6F62">
      <w:pPr>
        <w:pStyle w:val="ListNo2"/>
        <w:spacing w:line="240" w:lineRule="auto"/>
        <w:rPr>
          <w:sz w:val="22"/>
          <w:szCs w:val="22"/>
        </w:rPr>
      </w:pPr>
      <w:r w:rsidRPr="00CD6F62">
        <w:rPr>
          <w:sz w:val="22"/>
          <w:szCs w:val="22"/>
        </w:rPr>
        <w:t xml:space="preserve">an application has been made to the Court to set aside the </w:t>
      </w:r>
      <w:r w:rsidR="007569C3">
        <w:rPr>
          <w:sz w:val="22"/>
          <w:szCs w:val="22"/>
        </w:rPr>
        <w:t>b</w:t>
      </w:r>
      <w:r w:rsidRPr="00CD6F62">
        <w:rPr>
          <w:sz w:val="22"/>
          <w:szCs w:val="22"/>
        </w:rPr>
        <w:t xml:space="preserve">ankruptcy </w:t>
      </w:r>
      <w:r w:rsidR="007569C3">
        <w:rPr>
          <w:sz w:val="22"/>
          <w:szCs w:val="22"/>
        </w:rPr>
        <w:t>n</w:t>
      </w:r>
      <w:r w:rsidRPr="00CD6F62">
        <w:rPr>
          <w:sz w:val="22"/>
          <w:szCs w:val="22"/>
        </w:rPr>
        <w:t>otice;</w:t>
      </w:r>
    </w:p>
    <w:p w14:paraId="4622DD3F" w14:textId="3C652A84" w:rsidR="00CD6F62" w:rsidRPr="00CD6F62" w:rsidRDefault="00CD6F62" w:rsidP="00DA6769">
      <w:pPr>
        <w:pStyle w:val="ListNo2"/>
        <w:numPr>
          <w:ilvl w:val="0"/>
          <w:numId w:val="0"/>
        </w:numPr>
        <w:spacing w:line="240" w:lineRule="auto"/>
        <w:ind w:left="720"/>
        <w:rPr>
          <w:sz w:val="22"/>
          <w:szCs w:val="22"/>
        </w:rPr>
      </w:pPr>
      <w:proofErr w:type="gramStart"/>
      <w:r w:rsidRPr="00CD6F62">
        <w:rPr>
          <w:sz w:val="22"/>
          <w:szCs w:val="22"/>
        </w:rPr>
        <w:t>the</w:t>
      </w:r>
      <w:proofErr w:type="gramEnd"/>
      <w:r w:rsidRPr="00CD6F62">
        <w:rPr>
          <w:sz w:val="22"/>
          <w:szCs w:val="22"/>
        </w:rPr>
        <w:t xml:space="preserve"> Court may, subject to subsection (6C), extend the time for compliance with the </w:t>
      </w:r>
      <w:r w:rsidR="007569C3">
        <w:rPr>
          <w:sz w:val="22"/>
          <w:szCs w:val="22"/>
        </w:rPr>
        <w:t>b</w:t>
      </w:r>
      <w:r w:rsidRPr="00CD6F62">
        <w:rPr>
          <w:sz w:val="22"/>
          <w:szCs w:val="22"/>
        </w:rPr>
        <w:t xml:space="preserve">ankruptcy </w:t>
      </w:r>
      <w:r w:rsidR="007569C3">
        <w:rPr>
          <w:sz w:val="22"/>
          <w:szCs w:val="22"/>
        </w:rPr>
        <w:t>n</w:t>
      </w:r>
      <w:r w:rsidRPr="00CD6F62">
        <w:rPr>
          <w:sz w:val="22"/>
          <w:szCs w:val="22"/>
        </w:rPr>
        <w:t>otice.</w:t>
      </w:r>
    </w:p>
    <w:p w14:paraId="59503DDC" w14:textId="5C5810DC" w:rsidR="00B76105" w:rsidRDefault="00CD6F62" w:rsidP="00CD6F62">
      <w:pPr>
        <w:pStyle w:val="ParaNumbering"/>
      </w:pPr>
      <w:r>
        <w:t xml:space="preserve">The primary judge observed that there is no “statutory grant of power to extend the time for compliance except in accordance with the requirements of s 41(6A) of the Act”, and that “the only possible source of authority for the order made by the primary Judge in the present case is s 41(6A)”: </w:t>
      </w:r>
      <w:proofErr w:type="spellStart"/>
      <w:r w:rsidRPr="00EC2A35">
        <w:rPr>
          <w:i/>
        </w:rPr>
        <w:t>Shephard</w:t>
      </w:r>
      <w:proofErr w:type="spellEnd"/>
      <w:r w:rsidRPr="00EC2A35">
        <w:rPr>
          <w:i/>
        </w:rPr>
        <w:t xml:space="preserve"> v Chiquita Brands South Pacific L</w:t>
      </w:r>
      <w:r w:rsidR="007569C3" w:rsidRPr="00EC2A35">
        <w:rPr>
          <w:i/>
        </w:rPr>
        <w:t>imi</w:t>
      </w:r>
      <w:r w:rsidRPr="00EC2A35">
        <w:rPr>
          <w:i/>
        </w:rPr>
        <w:t>t</w:t>
      </w:r>
      <w:r w:rsidR="007569C3" w:rsidRPr="00EC2A35">
        <w:rPr>
          <w:i/>
        </w:rPr>
        <w:t>e</w:t>
      </w:r>
      <w:r w:rsidRPr="00EC2A35">
        <w:rPr>
          <w:i/>
        </w:rPr>
        <w:t>d</w:t>
      </w:r>
      <w:r w:rsidRPr="00EC2A35">
        <w:t xml:space="preserve"> [2004] FCAFC 76</w:t>
      </w:r>
      <w:r>
        <w:t xml:space="preserve"> at [48] (Sackville J). In light of the conclusion that the Bankruptcy Notice was served on Ms Burrows on 24 May 2022, and that Ms Burrows did not apply to set aside the Bankruptcy Notice b</w:t>
      </w:r>
      <w:r w:rsidR="00DA6769">
        <w:t>y</w:t>
      </w:r>
      <w:r>
        <w:t xml:space="preserve"> 14 June 2022, </w:t>
      </w:r>
      <w:r w:rsidR="00B76105">
        <w:t xml:space="preserve">being the time </w:t>
      </w:r>
      <w:r w:rsidR="008015FA">
        <w:t>fixed</w:t>
      </w:r>
      <w:r w:rsidR="00B76105">
        <w:t xml:space="preserve"> by the Bankruptcy Notice for compliance with its requirements, the primary judge concluded that the Court did not have power to set aside the Bankruptcy Notice: [56]. Accordingly, the primary judge dismissed Ms Burrows’ application to set aside the Bankruptcy Notice.</w:t>
      </w:r>
    </w:p>
    <w:p w14:paraId="65C8D3EB" w14:textId="6D47BF71" w:rsidR="004A670A" w:rsidRDefault="00B76105" w:rsidP="00CD6F62">
      <w:pPr>
        <w:pStyle w:val="ParaNumbering"/>
      </w:pPr>
      <w:r>
        <w:t>The primary jud</w:t>
      </w:r>
      <w:r w:rsidR="0079268B">
        <w:t>ge then considered each of the grounds on which Ms Burrows relied, on the assumption that his Honour was incorrect in concluding that the Court did not have such power: [57]-[121]. The primary judge was not persuaded that the grounds relied upon by Ms Burrows had sufficient merit to justify an exercise of discretion in her favour pursuant to s 41(6A) of the Act to extend the time for complying with the requirements of the Bankruptcy Notice</w:t>
      </w:r>
      <w:r w:rsidR="00DA6769">
        <w:t xml:space="preserve"> or to set it aside</w:t>
      </w:r>
      <w:r w:rsidR="00086923">
        <w:rPr>
          <w:i/>
        </w:rPr>
        <w:t xml:space="preserve">. </w:t>
      </w:r>
    </w:p>
    <w:p w14:paraId="3CCA7A7A" w14:textId="77777777" w:rsidR="004A670A" w:rsidRDefault="004A670A" w:rsidP="004A670A">
      <w:pPr>
        <w:pStyle w:val="Heading2"/>
      </w:pPr>
      <w:r>
        <w:lastRenderedPageBreak/>
        <w:t>Grounds 1 and 2</w:t>
      </w:r>
    </w:p>
    <w:p w14:paraId="5C5090D6" w14:textId="02528835" w:rsidR="004A670A" w:rsidRDefault="004A670A" w:rsidP="004A670A">
      <w:pPr>
        <w:pStyle w:val="ParaNumbering"/>
      </w:pPr>
      <w:r>
        <w:t xml:space="preserve">Grounds 1 and 2 challenge the reasoning of the primary judge at [37]-[38] to the effect that the evidence was insufficient for a finding that the envelope that was delivered to Ms Burrows’ address on 16 June 2022 was the envelope </w:t>
      </w:r>
      <w:r w:rsidR="00870F3C">
        <w:t>c</w:t>
      </w:r>
      <w:r w:rsidR="003C29A6">
        <w:t>ontaining the Bankruptcy Notice which</w:t>
      </w:r>
      <w:r w:rsidR="00870F3C">
        <w:t xml:space="preserve"> </w:t>
      </w:r>
      <w:r>
        <w:t xml:space="preserve">Mr </w:t>
      </w:r>
      <w:proofErr w:type="spellStart"/>
      <w:r>
        <w:t>Khoury</w:t>
      </w:r>
      <w:proofErr w:type="spellEnd"/>
      <w:r>
        <w:t xml:space="preserve"> </w:t>
      </w:r>
      <w:r w:rsidR="003C29A6">
        <w:t>deposed to having</w:t>
      </w:r>
      <w:r>
        <w:t xml:space="preserve"> left at the Premises on 24 May 2022</w:t>
      </w:r>
      <w:r w:rsidR="00870F3C">
        <w:t>.</w:t>
      </w:r>
    </w:p>
    <w:p w14:paraId="4DCC8B83" w14:textId="622DC5B2" w:rsidR="004A670A" w:rsidRDefault="004A670A" w:rsidP="004A670A">
      <w:pPr>
        <w:pStyle w:val="ParaNumbering"/>
      </w:pPr>
      <w:r>
        <w:t xml:space="preserve">While there is some ambiguity in the way in which Ms Burrows expressed herself in her affidavit, the primary judge correctly observed that Ms Burrows intended to convey that the Bankruptcy Notice was included in the envelope that was delivered to her residence on 16 June 2022. Moreover, it appears to have been common ground at the hearing at first instance that that was the effect of Ms Burrows’ evidence. Counsel for Ms Burrows submitted at the outset of the hearing that Ms Burrows said that she did not get the Bankruptcy Notice until 16 June 2022, and counsel for MKL </w:t>
      </w:r>
      <w:r w:rsidR="00870F3C">
        <w:t>did not dispute that proposition</w:t>
      </w:r>
      <w:r w:rsidR="0078773E">
        <w:t>,</w:t>
      </w:r>
      <w:r w:rsidR="00870F3C">
        <w:t xml:space="preserve"> </w:t>
      </w:r>
      <w:r w:rsidR="0078773E">
        <w:t>saying</w:t>
      </w:r>
      <w:r>
        <w:t xml:space="preserve"> in answer to a question from the primary judge that it was no part of his case that Ms Burrows received actual notice on 24 May 2022 and </w:t>
      </w:r>
      <w:r w:rsidR="00DE09E9">
        <w:t xml:space="preserve">that he </w:t>
      </w:r>
      <w:r>
        <w:t xml:space="preserve">would not be cross examining her about that: T3.1-17. </w:t>
      </w:r>
      <w:r w:rsidR="0048341C">
        <w:t xml:space="preserve">Mr </w:t>
      </w:r>
      <w:proofErr w:type="spellStart"/>
      <w:r w:rsidR="0048341C">
        <w:t>Neggo</w:t>
      </w:r>
      <w:proofErr w:type="spellEnd"/>
      <w:r w:rsidR="0048341C">
        <w:t xml:space="preserve"> on behalf of MKL properly conceded that no issue was raised by MKL in the Court below as to Ms Burrows having actually received the Bankruptcy Notice before 16 June 2022. </w:t>
      </w:r>
      <w:r w:rsidR="001D0CDD">
        <w:t>Mr Ward on behalf of</w:t>
      </w:r>
      <w:r>
        <w:t xml:space="preserve"> Ms Burrows submits, and I accept, that in the absence of any challenge from the cross-examiner to the frankness and completeness of Ms Burrows’ evidence, it was incumbent on the trial judge, if his conclusion that Ms Burrows had not been frank and complete was to play a role in his decision adverse to Ms Burrows, to make the challenge himself: </w:t>
      </w:r>
      <w:proofErr w:type="spellStart"/>
      <w:r w:rsidRPr="00EC2A35">
        <w:rPr>
          <w:i/>
        </w:rPr>
        <w:t>Kuhl</w:t>
      </w:r>
      <w:proofErr w:type="spellEnd"/>
      <w:r w:rsidRPr="00EC2A35">
        <w:rPr>
          <w:i/>
        </w:rPr>
        <w:t xml:space="preserve"> v Zurich Financial Services Australia Ltd </w:t>
      </w:r>
      <w:r w:rsidRPr="00EC2A35">
        <w:t>[2011] HCA 11; (2011) 243 CLR 361</w:t>
      </w:r>
      <w:r>
        <w:t xml:space="preserve"> at [75] (</w:t>
      </w:r>
      <w:proofErr w:type="spellStart"/>
      <w:r>
        <w:t>Heydon</w:t>
      </w:r>
      <w:proofErr w:type="spellEnd"/>
      <w:r>
        <w:t xml:space="preserve">, </w:t>
      </w:r>
      <w:proofErr w:type="spellStart"/>
      <w:r>
        <w:t>Crennan</w:t>
      </w:r>
      <w:proofErr w:type="spellEnd"/>
      <w:r>
        <w:t xml:space="preserve"> and Bell JJ). Further, as counsel for Ms Burrows submits, and I accept, the Court in hearing this appeal should proceed as though the trial judge’s reasoning which has been criticised did not exist: </w:t>
      </w:r>
      <w:proofErr w:type="spellStart"/>
      <w:r>
        <w:rPr>
          <w:i/>
        </w:rPr>
        <w:t>Kuhl</w:t>
      </w:r>
      <w:proofErr w:type="spellEnd"/>
      <w:r>
        <w:t xml:space="preserve"> at [77]. Accordingly, in my view, it is appropriate to find as a fact that Ms Burrows did receive the envelope containing the Bankruptcy Notice on 16 June 2022, given that that is the unchallenged evidence.</w:t>
      </w:r>
    </w:p>
    <w:p w14:paraId="68B534E3" w14:textId="274A4BBB" w:rsidR="004A670A" w:rsidRDefault="004A670A" w:rsidP="004A670A">
      <w:pPr>
        <w:pStyle w:val="ParaNumbering"/>
      </w:pPr>
      <w:r>
        <w:t>However, for the reasons which follow, that finding is not sufficient to disturb the orders made by the primary judge, which depend upon the correctness on the primary judg</w:t>
      </w:r>
      <w:r w:rsidR="00870F3C">
        <w:t xml:space="preserve">e’s application of </w:t>
      </w:r>
      <w:proofErr w:type="spellStart"/>
      <w:r w:rsidR="00870F3C">
        <w:t>reg</w:t>
      </w:r>
      <w:proofErr w:type="spellEnd"/>
      <w:r w:rsidR="00870F3C">
        <w:t xml:space="preserve"> 102</w:t>
      </w:r>
      <w:r w:rsidR="00115818">
        <w:t xml:space="preserve"> of the Regulations</w:t>
      </w:r>
      <w:r>
        <w:t xml:space="preserve"> to the question of when the Bankruptcy Notice was served on Ms Burrows.</w:t>
      </w:r>
    </w:p>
    <w:p w14:paraId="64599B03" w14:textId="77777777" w:rsidR="004A670A" w:rsidRDefault="004A670A" w:rsidP="004A670A">
      <w:pPr>
        <w:pStyle w:val="Heading2"/>
      </w:pPr>
      <w:r>
        <w:lastRenderedPageBreak/>
        <w:t>Grounds 3 to 6</w:t>
      </w:r>
    </w:p>
    <w:p w14:paraId="3E2DAD02" w14:textId="7CFA6FF4" w:rsidR="00C024C1" w:rsidRDefault="00C024C1" w:rsidP="00C024C1">
      <w:pPr>
        <w:pStyle w:val="ParaNumbering"/>
      </w:pPr>
      <w:r>
        <w:t>Grounds 3 to 6 challenge the primary judge’s finding that the Bankruptcy Notice was served on Ms Burrows on 24 May 2022, rather than on 16 June 2022, and the consequential reasoning of the primary judge that the Court thus did not have power to set aside the Bankruptcy Notice or extend</w:t>
      </w:r>
      <w:r w:rsidR="00870F3C">
        <w:t xml:space="preserve"> the</w:t>
      </w:r>
      <w:r>
        <w:t xml:space="preserve"> time for compliance with the Bankruptcy Notice.</w:t>
      </w:r>
    </w:p>
    <w:p w14:paraId="1074458F" w14:textId="457461D8" w:rsidR="00C024C1" w:rsidRDefault="00C024C1" w:rsidP="00C024C1">
      <w:pPr>
        <w:pStyle w:val="ParaNumbering"/>
      </w:pPr>
      <w:r>
        <w:t xml:space="preserve">In mounting that challenge, Ms Burrows faces the very substantial obstacles of two Full Court decisions against her, and seven decisions at first instance which have unhesitatingly followed the construction of </w:t>
      </w:r>
      <w:proofErr w:type="spellStart"/>
      <w:r>
        <w:t>reg</w:t>
      </w:r>
      <w:proofErr w:type="spellEnd"/>
      <w:r>
        <w:t xml:space="preserve"> 102 and its predecessor which </w:t>
      </w:r>
      <w:r w:rsidR="00870F3C">
        <w:t xml:space="preserve">were </w:t>
      </w:r>
      <w:r>
        <w:t xml:space="preserve">adopted </w:t>
      </w:r>
      <w:r w:rsidR="00870F3C">
        <w:t>in those</w:t>
      </w:r>
      <w:r>
        <w:t xml:space="preserve"> Full Court</w:t>
      </w:r>
      <w:r w:rsidR="00870F3C">
        <w:t xml:space="preserve"> decisions</w:t>
      </w:r>
      <w:r>
        <w:t xml:space="preserve">, over a period of almost twenty years. That </w:t>
      </w:r>
      <w:r w:rsidR="00870F3C">
        <w:t>phalanx</w:t>
      </w:r>
      <w:r>
        <w:t xml:space="preserve"> of a</w:t>
      </w:r>
      <w:r w:rsidR="00870F3C">
        <w:t>uthority has never been doubted in any judicial reasoning.</w:t>
      </w:r>
    </w:p>
    <w:p w14:paraId="52EECA3F" w14:textId="4D0284EA" w:rsidR="00C024C1" w:rsidRDefault="00C024C1" w:rsidP="00C024C1">
      <w:pPr>
        <w:pStyle w:val="ParaNumbering"/>
      </w:pPr>
      <w:r>
        <w:t xml:space="preserve">At one time, service of a bankruptcy notice had to be effected on the debtor by delivering to the debtor personally a copy of the bankruptcy notice, unless </w:t>
      </w:r>
      <w:r w:rsidR="006A3B4B">
        <w:t xml:space="preserve">substituted service was </w:t>
      </w:r>
      <w:r>
        <w:t>otherwise ordered by the cour</w:t>
      </w:r>
      <w:r w:rsidR="006A3B4B">
        <w:t>t: s</w:t>
      </w:r>
      <w:r>
        <w:t xml:space="preserve">ee </w:t>
      </w:r>
      <w:r w:rsidRPr="00EC2A35">
        <w:rPr>
          <w:i/>
        </w:rPr>
        <w:t xml:space="preserve">Re </w:t>
      </w:r>
      <w:proofErr w:type="spellStart"/>
      <w:r w:rsidRPr="00EC2A35">
        <w:rPr>
          <w:i/>
        </w:rPr>
        <w:t>Ditfort</w:t>
      </w:r>
      <w:proofErr w:type="spellEnd"/>
      <w:r w:rsidRPr="00EC2A35">
        <w:rPr>
          <w:i/>
        </w:rPr>
        <w:t xml:space="preserve">; Ex Parte Deputy Commission of Taxation </w:t>
      </w:r>
      <w:r w:rsidR="00FB2B5E" w:rsidRPr="00EC2A35">
        <w:t xml:space="preserve">[1988] FCA 490; </w:t>
      </w:r>
      <w:r w:rsidRPr="00EC2A35">
        <w:t>(1988) 19 FCR 347</w:t>
      </w:r>
      <w:r>
        <w:t xml:space="preserve"> at 358 (</w:t>
      </w:r>
      <w:proofErr w:type="spellStart"/>
      <w:r>
        <w:t>Gummow</w:t>
      </w:r>
      <w:proofErr w:type="spellEnd"/>
      <w:r>
        <w:t xml:space="preserve"> J). However, </w:t>
      </w:r>
      <w:proofErr w:type="spellStart"/>
      <w:r w:rsidRPr="00EC2A35">
        <w:t>reg</w:t>
      </w:r>
      <w:proofErr w:type="spellEnd"/>
      <w:r w:rsidRPr="00EC2A35">
        <w:t xml:space="preserve"> 16.01 of the </w:t>
      </w:r>
      <w:r w:rsidRPr="00EC2A35">
        <w:rPr>
          <w:i/>
        </w:rPr>
        <w:t>Bankruptcy Regulations 1996</w:t>
      </w:r>
      <w:r w:rsidRPr="00EC2A35">
        <w:t xml:space="preserve"> (</w:t>
      </w:r>
      <w:proofErr w:type="spellStart"/>
      <w:r w:rsidRPr="00EC2A35">
        <w:t>Cth</w:t>
      </w:r>
      <w:proofErr w:type="spellEnd"/>
      <w:r w:rsidRPr="00EC2A35">
        <w:t>)</w:t>
      </w:r>
      <w:r>
        <w:t xml:space="preserve"> </w:t>
      </w:r>
      <w:r w:rsidR="002C1852">
        <w:t xml:space="preserve">(the </w:t>
      </w:r>
      <w:r w:rsidR="002C1852">
        <w:rPr>
          <w:b/>
        </w:rPr>
        <w:t>1996 Regulations</w:t>
      </w:r>
      <w:r w:rsidR="002C1852">
        <w:t xml:space="preserve">) </w:t>
      </w:r>
      <w:r>
        <w:t>provided as follows:</w:t>
      </w:r>
    </w:p>
    <w:p w14:paraId="39B09534" w14:textId="2B2C69BA" w:rsidR="00C024C1" w:rsidRDefault="006A3B4B" w:rsidP="006A3B4B">
      <w:pPr>
        <w:pStyle w:val="Quote1"/>
        <w:ind w:left="1440" w:hanging="703"/>
      </w:pPr>
      <w:r>
        <w:t>(1)</w:t>
      </w:r>
      <w:r>
        <w:tab/>
        <w:t>U</w:t>
      </w:r>
      <w:r w:rsidR="00C024C1">
        <w:t>nless the contrary intention appears, where a document is required or</w:t>
      </w:r>
      <w:r w:rsidR="00F71631">
        <w:t xml:space="preserve"> permitted by the Act or these R</w:t>
      </w:r>
      <w:r w:rsidR="00C024C1">
        <w:t>egulations to be given or sent to, or served on, a person</w:t>
      </w:r>
      <w:r w:rsidR="00F71631">
        <w:t xml:space="preserve"> (other than a person mentioned in regulation 16.02),</w:t>
      </w:r>
      <w:r w:rsidR="00C024C1">
        <w:t xml:space="preserve"> the document may be:</w:t>
      </w:r>
    </w:p>
    <w:p w14:paraId="2BF77199" w14:textId="43D5119B" w:rsidR="00C024C1" w:rsidRDefault="009011EB" w:rsidP="009C7890">
      <w:pPr>
        <w:pStyle w:val="Quote2"/>
        <w:ind w:left="2160" w:hanging="720"/>
      </w:pPr>
      <w:r>
        <w:t>(a)</w:t>
      </w:r>
      <w:r>
        <w:tab/>
      </w:r>
      <w:proofErr w:type="gramStart"/>
      <w:r w:rsidR="00C024C1">
        <w:t>sent</w:t>
      </w:r>
      <w:proofErr w:type="gramEnd"/>
      <w:r w:rsidR="00C024C1">
        <w:t xml:space="preserve"> by post, or by a courier service, to the person at</w:t>
      </w:r>
      <w:r w:rsidR="006A3B4B">
        <w:t xml:space="preserve"> his or her last-known address</w:t>
      </w:r>
      <w:r w:rsidR="00F71631">
        <w:t>; or</w:t>
      </w:r>
    </w:p>
    <w:p w14:paraId="60114C63" w14:textId="6B25F78C" w:rsidR="00F71631" w:rsidRDefault="00F71631" w:rsidP="009C7890">
      <w:pPr>
        <w:pStyle w:val="Quote2"/>
        <w:ind w:left="2160" w:hanging="720"/>
      </w:pPr>
      <w:r>
        <w:t>(b)</w:t>
      </w:r>
      <w:r>
        <w:tab/>
        <w:t>left, in an envelope or similar packaging marked with the person’s name and any relevant document exchange number, at a document exchange where the person maintains a document exchange facility; or</w:t>
      </w:r>
    </w:p>
    <w:p w14:paraId="2A969FCF" w14:textId="64A83207" w:rsidR="00F71631" w:rsidRDefault="00F71631" w:rsidP="009C7890">
      <w:pPr>
        <w:pStyle w:val="Quote2"/>
        <w:ind w:left="2160" w:hanging="720"/>
      </w:pPr>
      <w:r>
        <w:t>(c)</w:t>
      </w:r>
      <w:r>
        <w:tab/>
      </w:r>
      <w:proofErr w:type="gramStart"/>
      <w:r>
        <w:t>left</w:t>
      </w:r>
      <w:proofErr w:type="gramEnd"/>
      <w:r>
        <w:t>, in an envelope or similar packaging marked with the person’s name, at the last-known address of the person; or</w:t>
      </w:r>
    </w:p>
    <w:p w14:paraId="239412A2" w14:textId="0FF6AD3C" w:rsidR="00F71631" w:rsidRDefault="00F71631" w:rsidP="009C7890">
      <w:pPr>
        <w:pStyle w:val="Quote2"/>
        <w:ind w:left="2160" w:hanging="720"/>
      </w:pPr>
      <w:r>
        <w:t>(d)</w:t>
      </w:r>
      <w:r>
        <w:tab/>
      </w:r>
      <w:proofErr w:type="gramStart"/>
      <w:r>
        <w:t>personally</w:t>
      </w:r>
      <w:proofErr w:type="gramEnd"/>
      <w:r>
        <w:t xml:space="preserve"> delivered to the person; or</w:t>
      </w:r>
    </w:p>
    <w:p w14:paraId="0560925E" w14:textId="520F63A0" w:rsidR="00F71631" w:rsidRDefault="00F71631" w:rsidP="009C7890">
      <w:pPr>
        <w:pStyle w:val="Quote2"/>
        <w:ind w:left="2160" w:hanging="720"/>
      </w:pPr>
      <w:r>
        <w:t xml:space="preserve">(e) </w:t>
      </w:r>
      <w:r>
        <w:tab/>
      </w:r>
      <w:proofErr w:type="gramStart"/>
      <w:r>
        <w:t>sent</w:t>
      </w:r>
      <w:proofErr w:type="gramEnd"/>
      <w:r>
        <w:t xml:space="preserve"> by facsimile transmission or another mode of electronic transmission:</w:t>
      </w:r>
    </w:p>
    <w:p w14:paraId="336DDC80" w14:textId="280DC7BB" w:rsidR="00F71631" w:rsidRDefault="00F71631" w:rsidP="009C7890">
      <w:pPr>
        <w:pStyle w:val="Quote3"/>
        <w:ind w:left="2880" w:hanging="720"/>
      </w:pPr>
      <w:r>
        <w:t>(</w:t>
      </w:r>
      <w:proofErr w:type="spellStart"/>
      <w:r>
        <w:t>i</w:t>
      </w:r>
      <w:proofErr w:type="spellEnd"/>
      <w:r>
        <w:t>)</w:t>
      </w:r>
      <w:r>
        <w:tab/>
      </w:r>
      <w:proofErr w:type="gramStart"/>
      <w:r>
        <w:t>to</w:t>
      </w:r>
      <w:proofErr w:type="gramEnd"/>
      <w:r>
        <w:t xml:space="preserve"> a facility maintained by the person for receipt of electronically transmitted documents; or</w:t>
      </w:r>
    </w:p>
    <w:p w14:paraId="33B41A5D" w14:textId="13D1507A" w:rsidR="00DA21C1" w:rsidRDefault="00DA21C1" w:rsidP="009C7890">
      <w:pPr>
        <w:pStyle w:val="Quote3"/>
        <w:ind w:left="2880" w:hanging="720"/>
      </w:pPr>
      <w:r>
        <w:t>(ii)</w:t>
      </w:r>
      <w:r>
        <w:tab/>
      </w:r>
      <w:proofErr w:type="gramStart"/>
      <w:r>
        <w:t>in</w:t>
      </w:r>
      <w:proofErr w:type="gramEnd"/>
      <w:r>
        <w:t xml:space="preserve"> such manner (for example, by electronic mail) that the document should, in the ordinary course of events, be received by the person.</w:t>
      </w:r>
    </w:p>
    <w:p w14:paraId="472CD403" w14:textId="11063494" w:rsidR="00C024C1" w:rsidRDefault="009011EB" w:rsidP="009011EB">
      <w:pPr>
        <w:pStyle w:val="Quote1"/>
        <w:ind w:left="1440" w:hanging="703"/>
      </w:pPr>
      <w:r>
        <w:t>(2)</w:t>
      </w:r>
      <w:r>
        <w:tab/>
      </w:r>
      <w:r w:rsidR="006A3B4B">
        <w:t>A</w:t>
      </w:r>
      <w:r>
        <w:t xml:space="preserve"> </w:t>
      </w:r>
      <w:r w:rsidR="00C024C1">
        <w:t xml:space="preserve">document given or sent to, or served on, a person in accordance with </w:t>
      </w:r>
      <w:proofErr w:type="spellStart"/>
      <w:r w:rsidR="00C024C1">
        <w:t>subregulation</w:t>
      </w:r>
      <w:proofErr w:type="spellEnd"/>
      <w:r w:rsidR="00C024C1">
        <w:t xml:space="preserve"> (1) is taken, in the absence of proof to the contrary, to have been </w:t>
      </w:r>
      <w:r w:rsidR="00C024C1">
        <w:lastRenderedPageBreak/>
        <w:t>received by, or served on, the person:</w:t>
      </w:r>
    </w:p>
    <w:p w14:paraId="428657D7" w14:textId="43636CF6" w:rsidR="00C024C1" w:rsidRDefault="009011EB" w:rsidP="009011EB">
      <w:pPr>
        <w:pStyle w:val="Quote2"/>
        <w:ind w:left="2160" w:hanging="720"/>
      </w:pPr>
      <w:r>
        <w:t>(</w:t>
      </w:r>
      <w:r w:rsidR="00DA21C1">
        <w:t>a</w:t>
      </w:r>
      <w:r>
        <w:t>)</w:t>
      </w:r>
      <w:r>
        <w:tab/>
      </w:r>
      <w:proofErr w:type="gramStart"/>
      <w:r w:rsidR="00C024C1">
        <w:t>in</w:t>
      </w:r>
      <w:proofErr w:type="gramEnd"/>
      <w:r w:rsidR="00C024C1">
        <w:t xml:space="preserve"> the case of service in accordance with paragraph (1)(a)</w:t>
      </w:r>
      <w:r w:rsidR="00811925">
        <w:t xml:space="preserve"> or (b) – </w:t>
      </w:r>
      <w:r w:rsidR="00C024C1">
        <w:t xml:space="preserve">when the document would, in the due course of post or business practice, </w:t>
      </w:r>
      <w:r w:rsidR="005D2DD1">
        <w:t>as the case requires, be deli</w:t>
      </w:r>
      <w:r w:rsidR="00DA21C1">
        <w:t>vered to the person’s address</w:t>
      </w:r>
      <w:r w:rsidR="00811925">
        <w:t xml:space="preserve"> or document exchange facility</w:t>
      </w:r>
      <w:r w:rsidR="00DA21C1">
        <w:t>; and</w:t>
      </w:r>
    </w:p>
    <w:p w14:paraId="3EAEE3C7" w14:textId="425A2E81" w:rsidR="00DA21C1" w:rsidRDefault="00DA21C1" w:rsidP="009011EB">
      <w:pPr>
        <w:pStyle w:val="Quote2"/>
        <w:ind w:left="2160" w:hanging="720"/>
      </w:pPr>
      <w:r>
        <w:t>(b)</w:t>
      </w:r>
      <w:r>
        <w:tab/>
      </w:r>
      <w:proofErr w:type="gramStart"/>
      <w:r>
        <w:t>in</w:t>
      </w:r>
      <w:proofErr w:type="gramEnd"/>
      <w:r>
        <w:t xml:space="preserve"> the case of service in accordance with paragraph 1(c), (d) or (e) – when the document is left, delivered or transmitted, as the case requires.</w:t>
      </w:r>
    </w:p>
    <w:p w14:paraId="614E419C" w14:textId="361BCF5C" w:rsidR="00EF20BE" w:rsidRDefault="00B511BF" w:rsidP="00EF20BE">
      <w:pPr>
        <w:pStyle w:val="ParaNumbering"/>
      </w:pPr>
      <w:r>
        <w:t xml:space="preserve">In </w:t>
      </w:r>
      <w:proofErr w:type="spellStart"/>
      <w:r w:rsidRPr="00EC2A35">
        <w:rPr>
          <w:i/>
        </w:rPr>
        <w:t>Skalkos</w:t>
      </w:r>
      <w:proofErr w:type="spellEnd"/>
      <w:r w:rsidRPr="00EC2A35">
        <w:rPr>
          <w:i/>
        </w:rPr>
        <w:t xml:space="preserve"> v T</w:t>
      </w:r>
      <w:r w:rsidR="003D3359" w:rsidRPr="00EC2A35">
        <w:rPr>
          <w:i/>
        </w:rPr>
        <w:t xml:space="preserve"> </w:t>
      </w:r>
      <w:r w:rsidRPr="00EC2A35">
        <w:rPr>
          <w:i/>
        </w:rPr>
        <w:t>&amp;</w:t>
      </w:r>
      <w:r w:rsidR="003D3359" w:rsidRPr="00EC2A35">
        <w:rPr>
          <w:i/>
        </w:rPr>
        <w:t xml:space="preserve"> </w:t>
      </w:r>
      <w:r w:rsidRPr="00EC2A35">
        <w:rPr>
          <w:i/>
        </w:rPr>
        <w:t xml:space="preserve">S Recoveries Pty Ltd </w:t>
      </w:r>
      <w:r w:rsidRPr="00EC2A35">
        <w:t>[2004] FCAFC 321; (2004) 141 FCR 107</w:t>
      </w:r>
      <w:r>
        <w:t xml:space="preserve">, the Full Court comprising </w:t>
      </w:r>
      <w:proofErr w:type="spellStart"/>
      <w:r>
        <w:t>Sundberg</w:t>
      </w:r>
      <w:proofErr w:type="spellEnd"/>
      <w:r>
        <w:t xml:space="preserve">, Finkelstein and </w:t>
      </w:r>
      <w:proofErr w:type="spellStart"/>
      <w:r>
        <w:t>Hely</w:t>
      </w:r>
      <w:proofErr w:type="spellEnd"/>
      <w:r>
        <w:t xml:space="preserve"> JJ held in relation to </w:t>
      </w:r>
      <w:proofErr w:type="spellStart"/>
      <w:r>
        <w:t>reg</w:t>
      </w:r>
      <w:proofErr w:type="spellEnd"/>
      <w:r>
        <w:t xml:space="preserve"> 16.01(2) that the words “proof to the contrary” did not permit proof of non-receipt,</w:t>
      </w:r>
      <w:r w:rsidR="00193D4A">
        <w:t xml:space="preserve"> as opposed to non-delivery: [25]. As to the words “unless the contrary intention appears” in </w:t>
      </w:r>
      <w:proofErr w:type="spellStart"/>
      <w:r w:rsidR="00193D4A">
        <w:t>reg</w:t>
      </w:r>
      <w:proofErr w:type="spellEnd"/>
      <w:r w:rsidR="00193D4A">
        <w:t xml:space="preserve"> 16.01(1), the Full Court held that a contrary intention must appear from the Act or the </w:t>
      </w:r>
      <w:r w:rsidR="002C1852">
        <w:t xml:space="preserve">1996 </w:t>
      </w:r>
      <w:r w:rsidR="00193D4A">
        <w:t>Regulations or from some other legislation, and cannot appear from assertions such as the likely inaccuracy or change of a “last-known address” of people under</w:t>
      </w:r>
      <w:r w:rsidR="001A6186">
        <w:t xml:space="preserve"> financial pressure: [29]. The Full C</w:t>
      </w:r>
      <w:r w:rsidR="00193D4A">
        <w:t>ourt held that a contrary intention does not appear from the propositions (despite their accuracy) that non-compliance with a bankruptcy notice is an act of bankruptcy available to found a bankruptcy petition</w:t>
      </w:r>
      <w:r w:rsidR="0048341C">
        <w:t xml:space="preserve"> (paraphrasing </w:t>
      </w:r>
      <w:r w:rsidR="0048341C" w:rsidRPr="00EC2A35">
        <w:t>s 40(1)(g)</w:t>
      </w:r>
      <w:r w:rsidR="007614E9" w:rsidRPr="00EC2A35">
        <w:t xml:space="preserve"> of the Act</w:t>
      </w:r>
      <w:r w:rsidR="0048341C">
        <w:t>)</w:t>
      </w:r>
      <w:r w:rsidR="00193D4A">
        <w:t xml:space="preserve">, </w:t>
      </w:r>
      <w:r w:rsidR="001A6186">
        <w:t xml:space="preserve">that </w:t>
      </w:r>
      <w:r w:rsidR="00193D4A">
        <w:t xml:space="preserve">an act of bankruptcy must be specifically and clearly proved, </w:t>
      </w:r>
      <w:r w:rsidR="001A6186">
        <w:t xml:space="preserve">that </w:t>
      </w:r>
      <w:r w:rsidR="00193D4A">
        <w:t xml:space="preserve">there is no requirement in </w:t>
      </w:r>
      <w:proofErr w:type="spellStart"/>
      <w:r w:rsidR="00193D4A">
        <w:t>reg</w:t>
      </w:r>
      <w:proofErr w:type="spellEnd"/>
      <w:r w:rsidR="00193D4A">
        <w:t xml:space="preserve"> 16</w:t>
      </w:r>
      <w:r w:rsidR="001A6186">
        <w:t>.01</w:t>
      </w:r>
      <w:r w:rsidR="006D1BF3">
        <w:t xml:space="preserve"> of the 1996 Regulations</w:t>
      </w:r>
      <w:r w:rsidR="001A6186">
        <w:t xml:space="preserve"> </w:t>
      </w:r>
      <w:r w:rsidR="00193D4A">
        <w:t>that if the lette</w:t>
      </w:r>
      <w:r w:rsidR="001A6186">
        <w:t>r is returned marked “Not known at this address” or “R</w:t>
      </w:r>
      <w:r w:rsidR="00193D4A">
        <w:t xml:space="preserve">eturn to sender” that fact must be disclosed to the </w:t>
      </w:r>
      <w:r w:rsidR="00D454E9">
        <w:t>C</w:t>
      </w:r>
      <w:r w:rsidR="00193D4A">
        <w:t xml:space="preserve">ourt, and </w:t>
      </w:r>
      <w:r w:rsidR="001A6186">
        <w:t xml:space="preserve">that </w:t>
      </w:r>
      <w:r w:rsidR="00193D4A">
        <w:t xml:space="preserve">the regulation does not distinguish between a last-known address that is relatively current and one that is long out of date: [29]. The Full Court said that </w:t>
      </w:r>
      <w:proofErr w:type="spellStart"/>
      <w:r w:rsidR="001A6186">
        <w:t>reg</w:t>
      </w:r>
      <w:proofErr w:type="spellEnd"/>
      <w:r w:rsidR="001A6186">
        <w:t xml:space="preserve"> 16.01 contemplates </w:t>
      </w:r>
      <w:r w:rsidR="00193D4A">
        <w:t xml:space="preserve">the possibility of something less than actual receipt by the person to be served, </w:t>
      </w:r>
      <w:r w:rsidR="001A6186">
        <w:t>and</w:t>
      </w:r>
      <w:r w:rsidR="00193D4A">
        <w:t xml:space="preserve"> it was probably considered that public convenience would be promoted by that provision, and that its ad</w:t>
      </w:r>
      <w:r w:rsidR="00B03636">
        <w:t>vantages would greatly outweigh</w:t>
      </w:r>
      <w:r w:rsidR="00193D4A">
        <w:t xml:space="preserve"> the inconvenience which, in some few cases, might possibly arise from it: [29], citing </w:t>
      </w:r>
      <w:r w:rsidR="00193D4A" w:rsidRPr="00193D4A">
        <w:t>Tindal CJ</w:t>
      </w:r>
      <w:r w:rsidR="00193D4A">
        <w:rPr>
          <w:i/>
        </w:rPr>
        <w:t xml:space="preserve"> </w:t>
      </w:r>
      <w:r w:rsidR="00193D4A" w:rsidRPr="00193D4A">
        <w:t xml:space="preserve">in </w:t>
      </w:r>
      <w:r w:rsidR="00193D4A" w:rsidRPr="00EC2A35">
        <w:rPr>
          <w:i/>
        </w:rPr>
        <w:t>Bishop v Helps</w:t>
      </w:r>
      <w:r w:rsidR="00193D4A" w:rsidRPr="00EC2A35">
        <w:t xml:space="preserve"> (1845) 135 ER 857</w:t>
      </w:r>
      <w:r w:rsidR="00193D4A" w:rsidRPr="00193D4A">
        <w:t xml:space="preserve"> at 862 (being a passage quoted by the High Court in </w:t>
      </w:r>
      <w:proofErr w:type="spellStart"/>
      <w:r w:rsidR="00193D4A" w:rsidRPr="00EC2A35">
        <w:rPr>
          <w:i/>
        </w:rPr>
        <w:t>Fancourt</w:t>
      </w:r>
      <w:proofErr w:type="spellEnd"/>
      <w:r w:rsidR="00193D4A" w:rsidRPr="00EC2A35">
        <w:rPr>
          <w:i/>
        </w:rPr>
        <w:t xml:space="preserve"> v Mercantile Credits Ltd </w:t>
      </w:r>
      <w:r w:rsidR="00193D4A" w:rsidRPr="00EC2A35">
        <w:t>(1983) 154 CLR 87</w:t>
      </w:r>
      <w:r w:rsidR="00193D4A">
        <w:t>).</w:t>
      </w:r>
      <w:r w:rsidR="00C53F04">
        <w:t xml:space="preserve"> The Full C</w:t>
      </w:r>
      <w:r w:rsidR="00D25BC0">
        <w:t xml:space="preserve">ourt expressed the view that the fact that in some cases </w:t>
      </w:r>
      <w:proofErr w:type="spellStart"/>
      <w:r w:rsidR="00D25BC0">
        <w:t>reg</w:t>
      </w:r>
      <w:proofErr w:type="spellEnd"/>
      <w:r w:rsidR="00D25BC0">
        <w:t xml:space="preserve"> 16.01 can produce harsh results, does not constitute a contrary intention for the</w:t>
      </w:r>
      <w:r w:rsidR="00C53F04">
        <w:t xml:space="preserve"> purposes of </w:t>
      </w:r>
      <w:proofErr w:type="spellStart"/>
      <w:r w:rsidR="00C53F04">
        <w:t>reg</w:t>
      </w:r>
      <w:proofErr w:type="spellEnd"/>
      <w:r w:rsidR="00C53F04">
        <w:t xml:space="preserve"> 16.01(1). The Full C</w:t>
      </w:r>
      <w:r w:rsidR="00D25BC0">
        <w:t>ourt observed that several of the factors relied upon wrongly assumed that it was open to a debtor to prove non-receipt of the notice: namely</w:t>
      </w:r>
      <w:r w:rsidR="00C53F04">
        <w:t>,</w:t>
      </w:r>
      <w:r w:rsidR="00D25BC0">
        <w:t xml:space="preserve"> that an alleged debtor who did not receive the notice would not become aware of it until served with a petition, at which stage it would frequently be too late to do anything; that the effect of the regulation is that once the letter is posted the onus is on the debtor to prove that he did not receive it, </w:t>
      </w:r>
      <w:r w:rsidR="00C53F04">
        <w:t>which</w:t>
      </w:r>
      <w:r w:rsidR="00D25BC0">
        <w:t xml:space="preserve"> onus may be difficult to discharge; and that the issue on a bankruptcy petition based on a bankruptcy notice </w:t>
      </w:r>
      <w:r w:rsidR="00D25BC0">
        <w:lastRenderedPageBreak/>
        <w:t>is whether the debtor has failed to pay the debt notwithstanding having been given a last chance, and should not become a credit issue as to whether or not the notice ever came to the notice of the debtor: [29].</w:t>
      </w:r>
      <w:r w:rsidR="00EF20BE">
        <w:t xml:space="preserve"> The Full Court confirmed that the mode of service for which </w:t>
      </w:r>
      <w:proofErr w:type="spellStart"/>
      <w:r w:rsidR="00EF20BE">
        <w:t>reg</w:t>
      </w:r>
      <w:proofErr w:type="spellEnd"/>
      <w:r w:rsidR="00EF20BE">
        <w:t xml:space="preserve"> 16.01(1)(a) provides was available for the service of the bankruptcy notice (contrasting the position of service of a bankruptcy petition), and accordingly the question was whether the bankruptcy notice in that case was sent by post to the debtor’s last-known address: [31].</w:t>
      </w:r>
    </w:p>
    <w:p w14:paraId="10ACAB26" w14:textId="63EEBBBC" w:rsidR="00DA7DA0" w:rsidRDefault="00DA7DA0" w:rsidP="00EF20BE">
      <w:pPr>
        <w:pStyle w:val="ParaNumbering"/>
      </w:pPr>
      <w:r>
        <w:t xml:space="preserve">In </w:t>
      </w:r>
      <w:r w:rsidRPr="00EC2A35">
        <w:rPr>
          <w:i/>
        </w:rPr>
        <w:t xml:space="preserve">De </w:t>
      </w:r>
      <w:proofErr w:type="spellStart"/>
      <w:r w:rsidRPr="00EC2A35">
        <w:rPr>
          <w:i/>
        </w:rPr>
        <w:t>Robillard</w:t>
      </w:r>
      <w:proofErr w:type="spellEnd"/>
      <w:r w:rsidRPr="00EC2A35">
        <w:rPr>
          <w:i/>
        </w:rPr>
        <w:t xml:space="preserve"> v Carver</w:t>
      </w:r>
      <w:r w:rsidRPr="00EC2A35">
        <w:t xml:space="preserve"> [2007] FCAFC 73; (2007) 159 FCR 38</w:t>
      </w:r>
      <w:r>
        <w:t xml:space="preserve">, a Full Court comprising Moore, Conti and Buchanan JJ held that </w:t>
      </w:r>
      <w:proofErr w:type="spellStart"/>
      <w:r>
        <w:t>reg</w:t>
      </w:r>
      <w:proofErr w:type="spellEnd"/>
      <w:r>
        <w:t xml:space="preserve"> 16.01(2) permits proof of a different date of delivery (or perhaps non-delivery), although it does not permit reliance simply on alleged non-receipt, citing </w:t>
      </w:r>
      <w:proofErr w:type="spellStart"/>
      <w:r w:rsidR="001675D6" w:rsidRPr="001675D6">
        <w:rPr>
          <w:i/>
        </w:rPr>
        <w:t>Skalkos</w:t>
      </w:r>
      <w:proofErr w:type="spellEnd"/>
      <w:r w:rsidR="0048341C">
        <w:t>: at [46] (Buchanan J, with whom Moore and Conti JJ agreed at [1]).  Buchanan J (with whom Moore and Conti JJ agreed)</w:t>
      </w:r>
      <w:r>
        <w:t xml:space="preserve"> observed that before the introduction of </w:t>
      </w:r>
      <w:proofErr w:type="spellStart"/>
      <w:r>
        <w:t>reg</w:t>
      </w:r>
      <w:proofErr w:type="spellEnd"/>
      <w:r>
        <w:t xml:space="preserve"> 16.01 bankruptcy notices were required to be served personally unless an order for substituted service was made, </w:t>
      </w:r>
      <w:r w:rsidR="00C53F04">
        <w:t>and</w:t>
      </w:r>
      <w:r>
        <w:t xml:space="preserve"> the introduction of </w:t>
      </w:r>
      <w:proofErr w:type="spellStart"/>
      <w:r>
        <w:t>reg</w:t>
      </w:r>
      <w:proofErr w:type="spellEnd"/>
      <w:r>
        <w:t xml:space="preserve"> 16.01 removed the need for </w:t>
      </w:r>
      <w:r w:rsidR="0048341C">
        <w:t>personal or substituted service; h</w:t>
      </w:r>
      <w:r>
        <w:t xml:space="preserve">owever, </w:t>
      </w:r>
      <w:r w:rsidR="0048341C">
        <w:t>a</w:t>
      </w:r>
      <w:r>
        <w:t xml:space="preserve"> strict approach to the satisfaction of the elements of service remained appropriate: [67].</w:t>
      </w:r>
    </w:p>
    <w:p w14:paraId="7911EBDA" w14:textId="46AC94C3" w:rsidR="00DA7DA0" w:rsidRDefault="00C53F04" w:rsidP="00EF20BE">
      <w:pPr>
        <w:pStyle w:val="ParaNumbering"/>
      </w:pPr>
      <w:r>
        <w:t>I am grateful for</w:t>
      </w:r>
      <w:r w:rsidR="00682406">
        <w:t xml:space="preserve"> the research of </w:t>
      </w:r>
      <w:r>
        <w:t xml:space="preserve">Mr </w:t>
      </w:r>
      <w:proofErr w:type="spellStart"/>
      <w:r>
        <w:t>Neggo</w:t>
      </w:r>
      <w:proofErr w:type="spellEnd"/>
      <w:r>
        <w:t xml:space="preserve">, </w:t>
      </w:r>
      <w:r w:rsidR="00682406">
        <w:t>counsel for MKL, who cite</w:t>
      </w:r>
      <w:r>
        <w:t>s</w:t>
      </w:r>
      <w:r w:rsidR="00682406">
        <w:t xml:space="preserve"> in </w:t>
      </w:r>
      <w:r w:rsidR="00EC61F4">
        <w:t>his submissions</w:t>
      </w:r>
      <w:r w:rsidR="00682406">
        <w:t xml:space="preserve"> a number of cases in this Court which have followed </w:t>
      </w:r>
      <w:proofErr w:type="spellStart"/>
      <w:r w:rsidR="001675D6" w:rsidRPr="001675D6">
        <w:rPr>
          <w:i/>
        </w:rPr>
        <w:t>Skalkos</w:t>
      </w:r>
      <w:proofErr w:type="spellEnd"/>
      <w:r w:rsidR="00682406">
        <w:t xml:space="preserve">: </w:t>
      </w:r>
      <w:proofErr w:type="spellStart"/>
      <w:r w:rsidR="00682406" w:rsidRPr="00EC2A35">
        <w:rPr>
          <w:i/>
        </w:rPr>
        <w:t>Carantinos</w:t>
      </w:r>
      <w:proofErr w:type="spellEnd"/>
      <w:r w:rsidR="00682406" w:rsidRPr="00EC2A35">
        <w:rPr>
          <w:i/>
        </w:rPr>
        <w:t xml:space="preserve"> v </w:t>
      </w:r>
      <w:proofErr w:type="spellStart"/>
      <w:r w:rsidR="00682406" w:rsidRPr="00EC2A35">
        <w:rPr>
          <w:i/>
        </w:rPr>
        <w:t>Magafas</w:t>
      </w:r>
      <w:proofErr w:type="spellEnd"/>
      <w:r w:rsidR="00682406" w:rsidRPr="00EC2A35">
        <w:t xml:space="preserve"> [2009] FCA 627</w:t>
      </w:r>
      <w:r w:rsidR="00682406">
        <w:t xml:space="preserve"> at [5] (Perram J); </w:t>
      </w:r>
      <w:proofErr w:type="spellStart"/>
      <w:r w:rsidR="00682406" w:rsidRPr="00EC2A35">
        <w:rPr>
          <w:i/>
        </w:rPr>
        <w:t>Mbuzi</w:t>
      </w:r>
      <w:proofErr w:type="spellEnd"/>
      <w:r w:rsidR="00682406" w:rsidRPr="00EC2A35">
        <w:rPr>
          <w:i/>
        </w:rPr>
        <w:t xml:space="preserve"> v </w:t>
      </w:r>
      <w:proofErr w:type="spellStart"/>
      <w:r w:rsidR="00682406" w:rsidRPr="00EC2A35">
        <w:rPr>
          <w:i/>
        </w:rPr>
        <w:t>Favell</w:t>
      </w:r>
      <w:proofErr w:type="spellEnd"/>
      <w:r w:rsidR="00682406" w:rsidRPr="00EC2A35">
        <w:rPr>
          <w:i/>
        </w:rPr>
        <w:t xml:space="preserve"> (No 2)</w:t>
      </w:r>
      <w:r w:rsidR="00682406" w:rsidRPr="00EC2A35">
        <w:t xml:space="preserve"> [2012] FCA 311</w:t>
      </w:r>
      <w:r w:rsidR="00682406">
        <w:t xml:space="preserve"> at [26]-[27] (Collier J); </w:t>
      </w:r>
      <w:r w:rsidR="00682406" w:rsidRPr="00EC2A35">
        <w:rPr>
          <w:i/>
        </w:rPr>
        <w:t xml:space="preserve">Vince (Trustee), Re </w:t>
      </w:r>
      <w:proofErr w:type="spellStart"/>
      <w:r w:rsidR="00682406" w:rsidRPr="00EC2A35">
        <w:rPr>
          <w:i/>
        </w:rPr>
        <w:t>Sopikiotis</w:t>
      </w:r>
      <w:proofErr w:type="spellEnd"/>
      <w:r w:rsidR="00682406" w:rsidRPr="00EC2A35">
        <w:rPr>
          <w:i/>
        </w:rPr>
        <w:t xml:space="preserve"> (Bankrupt) v </w:t>
      </w:r>
      <w:proofErr w:type="spellStart"/>
      <w:r w:rsidR="00682406" w:rsidRPr="00EC2A35">
        <w:rPr>
          <w:i/>
        </w:rPr>
        <w:t>Sopikiotis</w:t>
      </w:r>
      <w:proofErr w:type="spellEnd"/>
      <w:r w:rsidR="00682406" w:rsidRPr="00EC2A35">
        <w:rPr>
          <w:i/>
        </w:rPr>
        <w:t xml:space="preserve"> (No 2) </w:t>
      </w:r>
      <w:r w:rsidR="00682406" w:rsidRPr="00EC2A35">
        <w:t>[2012] FCA 1298</w:t>
      </w:r>
      <w:r w:rsidR="00682406">
        <w:t xml:space="preserve"> at [21] (Bromberg J); </w:t>
      </w:r>
      <w:r w:rsidR="00682406" w:rsidRPr="00EC2A35">
        <w:rPr>
          <w:i/>
        </w:rPr>
        <w:t>ANZ Banking Group Ltd v J</w:t>
      </w:r>
      <w:r w:rsidRPr="00EC2A35">
        <w:rPr>
          <w:i/>
        </w:rPr>
        <w:t>am</w:t>
      </w:r>
      <w:r w:rsidR="00682406" w:rsidRPr="00EC2A35">
        <w:rPr>
          <w:i/>
        </w:rPr>
        <w:t xml:space="preserve">es </w:t>
      </w:r>
      <w:r w:rsidR="00682406" w:rsidRPr="00EC2A35">
        <w:t>[2016] FCA 332</w:t>
      </w:r>
      <w:r w:rsidR="00682406">
        <w:t xml:space="preserve"> at [34] (Katzmann J); </w:t>
      </w:r>
      <w:r w:rsidR="00682406" w:rsidRPr="00EC2A35">
        <w:rPr>
          <w:i/>
        </w:rPr>
        <w:t>Fuller</w:t>
      </w:r>
      <w:r w:rsidR="00895CB5" w:rsidRPr="00EC2A35">
        <w:rPr>
          <w:i/>
        </w:rPr>
        <w:t xml:space="preserve"> JR, Re Alford</w:t>
      </w:r>
      <w:r w:rsidR="00682406" w:rsidRPr="00EC2A35">
        <w:rPr>
          <w:i/>
        </w:rPr>
        <w:t xml:space="preserve"> v Alford</w:t>
      </w:r>
      <w:r w:rsidR="00682406" w:rsidRPr="00EC2A35">
        <w:t xml:space="preserve"> [2017] FCA 782</w:t>
      </w:r>
      <w:r w:rsidR="00682406">
        <w:t xml:space="preserve">; (2017) 252 FCR 168 at [71] (Perry J); </w:t>
      </w:r>
      <w:r>
        <w:t xml:space="preserve">and </w:t>
      </w:r>
      <w:r w:rsidR="00682406" w:rsidRPr="00EC2A35">
        <w:rPr>
          <w:i/>
        </w:rPr>
        <w:t>Abu-</w:t>
      </w:r>
      <w:proofErr w:type="spellStart"/>
      <w:r w:rsidR="00682406" w:rsidRPr="00EC2A35">
        <w:rPr>
          <w:i/>
        </w:rPr>
        <w:t>Amsha</w:t>
      </w:r>
      <w:proofErr w:type="spellEnd"/>
      <w:r w:rsidR="00682406" w:rsidRPr="00EC2A35">
        <w:rPr>
          <w:i/>
        </w:rPr>
        <w:t xml:space="preserve"> v Wagner</w:t>
      </w:r>
      <w:r w:rsidR="00682406" w:rsidRPr="00EC2A35">
        <w:t xml:space="preserve"> [2019] FCA 900</w:t>
      </w:r>
      <w:r w:rsidR="00682406">
        <w:t xml:space="preserve"> at [33] (Banks-Smith J).</w:t>
      </w:r>
    </w:p>
    <w:p w14:paraId="64547FB9" w14:textId="58A507CB" w:rsidR="0038476A" w:rsidRDefault="0038476A" w:rsidP="00EF20BE">
      <w:pPr>
        <w:pStyle w:val="ParaNumbering"/>
      </w:pPr>
      <w:r>
        <w:t xml:space="preserve">Mr </w:t>
      </w:r>
      <w:proofErr w:type="spellStart"/>
      <w:r>
        <w:t>Neggo</w:t>
      </w:r>
      <w:proofErr w:type="spellEnd"/>
      <w:r>
        <w:t xml:space="preserve"> on behalf of MKL submits, and I accept, that the adoption of the substance of the former </w:t>
      </w:r>
      <w:proofErr w:type="spellStart"/>
      <w:r>
        <w:t>reg</w:t>
      </w:r>
      <w:proofErr w:type="spellEnd"/>
      <w:r>
        <w:t xml:space="preserve"> 16.01 in the new </w:t>
      </w:r>
      <w:proofErr w:type="spellStart"/>
      <w:r>
        <w:t>reg</w:t>
      </w:r>
      <w:proofErr w:type="spellEnd"/>
      <w:r>
        <w:t xml:space="preserve"> 102 supports the conclusion that it was intended that the new regulation would operate</w:t>
      </w:r>
      <w:r w:rsidR="00FD279E">
        <w:t xml:space="preserve"> consistently with the judicial interpretation of the old regulation: </w:t>
      </w:r>
      <w:r w:rsidR="00FD279E" w:rsidRPr="00EC2A35">
        <w:rPr>
          <w:i/>
        </w:rPr>
        <w:t xml:space="preserve">Re Alcan Australia Ltd; Ex </w:t>
      </w:r>
      <w:r w:rsidR="00CF7DD6" w:rsidRPr="00EC2A35">
        <w:rPr>
          <w:i/>
        </w:rPr>
        <w:t>p</w:t>
      </w:r>
      <w:r w:rsidR="00FD279E" w:rsidRPr="00EC2A35">
        <w:rPr>
          <w:i/>
        </w:rPr>
        <w:t>arte Federation of Industrial Manufacturing and Engineering Employees</w:t>
      </w:r>
      <w:r w:rsidR="00FD279E" w:rsidRPr="00EC2A35">
        <w:t xml:space="preserve"> [1994] HCA 34; (1994) 181 CLR 96</w:t>
      </w:r>
      <w:r w:rsidR="00FD279E">
        <w:t xml:space="preserve"> at [20] (Mason CJ, Brennan, Deane, Dawson, </w:t>
      </w:r>
      <w:proofErr w:type="spellStart"/>
      <w:r w:rsidR="00FD279E">
        <w:t>Toohey</w:t>
      </w:r>
      <w:proofErr w:type="spellEnd"/>
      <w:r w:rsidR="00FD279E">
        <w:t xml:space="preserve">, </w:t>
      </w:r>
      <w:proofErr w:type="spellStart"/>
      <w:r w:rsidR="00FD279E">
        <w:t>Gaudron</w:t>
      </w:r>
      <w:proofErr w:type="spellEnd"/>
      <w:r w:rsidR="00FD279E">
        <w:t xml:space="preserve"> and McHugh JJ); </w:t>
      </w:r>
      <w:proofErr w:type="spellStart"/>
      <w:r w:rsidR="00FD279E" w:rsidRPr="00EC2A35">
        <w:rPr>
          <w:i/>
        </w:rPr>
        <w:t>T</w:t>
      </w:r>
      <w:r w:rsidR="00C53F04" w:rsidRPr="00EC2A35">
        <w:rPr>
          <w:i/>
        </w:rPr>
        <w:t>e</w:t>
      </w:r>
      <w:proofErr w:type="spellEnd"/>
      <w:r w:rsidR="00FD279E" w:rsidRPr="00EC2A35">
        <w:rPr>
          <w:i/>
        </w:rPr>
        <w:t xml:space="preserve"> v Minister for Immigration and Ethnic Affairs</w:t>
      </w:r>
      <w:r w:rsidR="00FD279E" w:rsidRPr="00EC2A35">
        <w:t xml:space="preserve"> [1999] FCA 111; (1999) 88 FCR 264</w:t>
      </w:r>
      <w:r w:rsidR="00FD279E">
        <w:t xml:space="preserve"> at [29]-[30] (Sackville, North and Merkel JJ). If a diffe</w:t>
      </w:r>
      <w:r w:rsidR="00C53F04">
        <w:t xml:space="preserve">rent construction of </w:t>
      </w:r>
      <w:proofErr w:type="spellStart"/>
      <w:r w:rsidR="00C53F04">
        <w:t>reg</w:t>
      </w:r>
      <w:proofErr w:type="spellEnd"/>
      <w:r w:rsidR="00C53F04">
        <w:t xml:space="preserve"> 102 were</w:t>
      </w:r>
      <w:r w:rsidR="00FD279E">
        <w:t xml:space="preserve"> intended, then it </w:t>
      </w:r>
      <w:r w:rsidR="00C53F04">
        <w:t>would</w:t>
      </w:r>
      <w:r w:rsidR="00FD279E">
        <w:t xml:space="preserve"> be expected </w:t>
      </w:r>
      <w:r w:rsidR="00433F08">
        <w:t>that in amending the regulations that intention would have been expressed clearly</w:t>
      </w:r>
      <w:r w:rsidR="00C53F04">
        <w:t>, for example by</w:t>
      </w:r>
      <w:r w:rsidR="00433F08">
        <w:t xml:space="preserve"> insert</w:t>
      </w:r>
      <w:r w:rsidR="00C53F04">
        <w:t>ing</w:t>
      </w:r>
      <w:r w:rsidR="00433F08">
        <w:t xml:space="preserve"> a rule or regulation requiring that bankruptcy notices be served personally.</w:t>
      </w:r>
    </w:p>
    <w:p w14:paraId="0FE29944" w14:textId="080838B0" w:rsidR="00433F08" w:rsidRDefault="00433F08" w:rsidP="00EF20BE">
      <w:pPr>
        <w:pStyle w:val="ParaNumbering"/>
      </w:pPr>
      <w:r>
        <w:lastRenderedPageBreak/>
        <w:t xml:space="preserve">Mr </w:t>
      </w:r>
      <w:proofErr w:type="spellStart"/>
      <w:r>
        <w:t>Neggo</w:t>
      </w:r>
      <w:proofErr w:type="spellEnd"/>
      <w:r>
        <w:t xml:space="preserve"> also draws attention to the decision in </w:t>
      </w:r>
      <w:r w:rsidRPr="00EC2A35">
        <w:rPr>
          <w:i/>
        </w:rPr>
        <w:t>Toyota Finance Australia L</w:t>
      </w:r>
      <w:r w:rsidR="00E86B81" w:rsidRPr="00EC2A35">
        <w:rPr>
          <w:i/>
        </w:rPr>
        <w:t>imi</w:t>
      </w:r>
      <w:r w:rsidRPr="00EC2A35">
        <w:rPr>
          <w:i/>
        </w:rPr>
        <w:t>t</w:t>
      </w:r>
      <w:r w:rsidR="00E86B81" w:rsidRPr="00EC2A35">
        <w:rPr>
          <w:i/>
        </w:rPr>
        <w:t>e</w:t>
      </w:r>
      <w:r w:rsidRPr="00EC2A35">
        <w:rPr>
          <w:i/>
        </w:rPr>
        <w:t xml:space="preserve">d v </w:t>
      </w:r>
      <w:proofErr w:type="spellStart"/>
      <w:r w:rsidRPr="00EC2A35">
        <w:rPr>
          <w:i/>
        </w:rPr>
        <w:t>Berro</w:t>
      </w:r>
      <w:proofErr w:type="spellEnd"/>
      <w:r w:rsidRPr="00EC2A35">
        <w:t xml:space="preserve"> [2022] FCA 497</w:t>
      </w:r>
      <w:r>
        <w:t xml:space="preserve"> at [38]-[46], in which Burley J </w:t>
      </w:r>
      <w:r w:rsidR="00C53F04">
        <w:t xml:space="preserve">reached </w:t>
      </w:r>
      <w:r>
        <w:t xml:space="preserve">the same conclusion that </w:t>
      </w:r>
      <w:proofErr w:type="spellStart"/>
      <w:r>
        <w:t>reg</w:t>
      </w:r>
      <w:proofErr w:type="spellEnd"/>
      <w:r>
        <w:t xml:space="preserve"> 102</w:t>
      </w:r>
      <w:r w:rsidR="00C53F04">
        <w:t xml:space="preserve"> applies</w:t>
      </w:r>
      <w:r>
        <w:t xml:space="preserve"> to the service of bankruptcy not</w:t>
      </w:r>
      <w:r w:rsidR="00C53F04">
        <w:t xml:space="preserve">ices, but without citing </w:t>
      </w:r>
      <w:proofErr w:type="spellStart"/>
      <w:r w:rsidR="00C53F04">
        <w:rPr>
          <w:i/>
        </w:rPr>
        <w:t>Skalkos</w:t>
      </w:r>
      <w:proofErr w:type="spellEnd"/>
      <w:r w:rsidR="00C53F04">
        <w:rPr>
          <w:i/>
        </w:rPr>
        <w:t>.</w:t>
      </w:r>
    </w:p>
    <w:p w14:paraId="1C3E6754" w14:textId="4E28D12F" w:rsidR="00433F08" w:rsidRDefault="00433F08" w:rsidP="00EF20BE">
      <w:pPr>
        <w:pStyle w:val="ParaNumbering"/>
      </w:pPr>
      <w:r>
        <w:t>Mr Ward</w:t>
      </w:r>
      <w:r w:rsidR="003A6E16">
        <w:t xml:space="preserve"> advances two lines of argument in an endeavour to demonstrate that that body of authority </w:t>
      </w:r>
      <w:r w:rsidR="00C53F04">
        <w:t xml:space="preserve">(and specifically the Full Court’s decision in </w:t>
      </w:r>
      <w:proofErr w:type="spellStart"/>
      <w:r w:rsidR="00C53F04">
        <w:rPr>
          <w:i/>
        </w:rPr>
        <w:t>Skalkos</w:t>
      </w:r>
      <w:proofErr w:type="spellEnd"/>
      <w:r w:rsidR="00C53F04">
        <w:t xml:space="preserve">) </w:t>
      </w:r>
      <w:r w:rsidR="003A6E16">
        <w:t xml:space="preserve">is wrong. </w:t>
      </w:r>
      <w:r w:rsidR="003A6E16" w:rsidRPr="002A7220">
        <w:rPr>
          <w:i/>
        </w:rPr>
        <w:t>First</w:t>
      </w:r>
      <w:r w:rsidR="003A6E16">
        <w:t xml:space="preserve">, Mr Ward submits that if the proper construction of </w:t>
      </w:r>
      <w:proofErr w:type="spellStart"/>
      <w:r w:rsidR="003A6E16">
        <w:t>r</w:t>
      </w:r>
      <w:r w:rsidR="00C53F04">
        <w:t>eg</w:t>
      </w:r>
      <w:proofErr w:type="spellEnd"/>
      <w:r w:rsidR="003A6E16">
        <w:t xml:space="preserve"> 102(2) is that evidence of when Ms Burrows received</w:t>
      </w:r>
      <w:r w:rsidR="00C53F04">
        <w:t>,</w:t>
      </w:r>
      <w:r w:rsidR="003A6E16">
        <w:t xml:space="preserve"> or had actual notice of, the Bankruptcy Notice is irrelevant to the question of when service was effected, then the Act manifests a “contrary intention” (as contemplated by </w:t>
      </w:r>
      <w:proofErr w:type="spellStart"/>
      <w:r w:rsidR="003A6E16">
        <w:t>r</w:t>
      </w:r>
      <w:r w:rsidR="003C29A6">
        <w:t>eg</w:t>
      </w:r>
      <w:proofErr w:type="spellEnd"/>
      <w:r w:rsidR="003A6E16">
        <w:t xml:space="preserve"> 102(1)) concerning what needs to be done in order to serve a bankruptcy notice, namely a “contrary intention” that service of a bankruptcy notice be effected </w:t>
      </w:r>
      <w:r w:rsidR="00C53F04">
        <w:t xml:space="preserve">so as to </w:t>
      </w:r>
      <w:r w:rsidR="003A6E16">
        <w:t>bring</w:t>
      </w:r>
      <w:r w:rsidR="00C53F04">
        <w:t xml:space="preserve"> </w:t>
      </w:r>
      <w:r w:rsidR="003A6E16">
        <w:t xml:space="preserve">it to the actual notice of the debtor. The </w:t>
      </w:r>
      <w:r w:rsidR="003A6E16" w:rsidRPr="002A7220">
        <w:rPr>
          <w:i/>
        </w:rPr>
        <w:t>second</w:t>
      </w:r>
      <w:r w:rsidR="003A6E16">
        <w:t xml:space="preserve"> line of argument, in the alternative, is th</w:t>
      </w:r>
      <w:r w:rsidR="00C53F04">
        <w:t xml:space="preserve">at the proper construction of </w:t>
      </w:r>
      <w:proofErr w:type="spellStart"/>
      <w:r w:rsidR="00C53F04">
        <w:t>reg</w:t>
      </w:r>
      <w:proofErr w:type="spellEnd"/>
      <w:r w:rsidR="00C53F04">
        <w:t xml:space="preserve"> </w:t>
      </w:r>
      <w:r w:rsidR="003A6E16">
        <w:t xml:space="preserve">102(2) is that it permits an individual to prove that a document was not in fact received on a particular date or was not given actual notice of it. </w:t>
      </w:r>
    </w:p>
    <w:p w14:paraId="4B326DAF" w14:textId="39AE24C4" w:rsidR="006F0BCD" w:rsidRDefault="006F0BCD" w:rsidP="006F0BCD">
      <w:pPr>
        <w:pStyle w:val="Heading3"/>
      </w:pPr>
      <w:r>
        <w:t xml:space="preserve">The construction of </w:t>
      </w:r>
      <w:proofErr w:type="spellStart"/>
      <w:r>
        <w:t>reg</w:t>
      </w:r>
      <w:proofErr w:type="spellEnd"/>
      <w:r>
        <w:t xml:space="preserve"> 102(1)</w:t>
      </w:r>
    </w:p>
    <w:p w14:paraId="388ACA1E" w14:textId="7B3C36D9" w:rsidR="003A6E16" w:rsidRDefault="003A6E16" w:rsidP="00EF20BE">
      <w:pPr>
        <w:pStyle w:val="ParaNumbering"/>
      </w:pPr>
      <w:r>
        <w:t xml:space="preserve">Mr Ward developed the first line of argument by pointing out that the consequence of </w:t>
      </w:r>
      <w:proofErr w:type="spellStart"/>
      <w:r w:rsidR="001675D6" w:rsidRPr="001675D6">
        <w:rPr>
          <w:i/>
        </w:rPr>
        <w:t>Skalkos</w:t>
      </w:r>
      <w:proofErr w:type="spellEnd"/>
      <w:r>
        <w:t xml:space="preserve"> is that the law regards a debtor as having been “served” with a bankruptcy notice by its delivery to the debtor’s last known address, even where the debtor remains completely ignorant of the existence of the bankruptcy notice and hence of the claims contained in it. If that state </w:t>
      </w:r>
      <w:r w:rsidR="008015FA">
        <w:t>of</w:t>
      </w:r>
      <w:r>
        <w:t xml:space="preserve"> ignorance lasts for 21 days or more (see </w:t>
      </w:r>
      <w:r w:rsidRPr="00EC2A35">
        <w:t>s 41(2A) of the Act</w:t>
      </w:r>
      <w:r>
        <w:t>), then the debtor wi</w:t>
      </w:r>
      <w:r w:rsidR="00C53F04">
        <w:t>ll commit an act of bankruptcy</w:t>
      </w:r>
      <w:r>
        <w:t xml:space="preserve"> (see </w:t>
      </w:r>
      <w:r w:rsidRPr="00EC2A35">
        <w:t>s 40(1)(g) of the Act</w:t>
      </w:r>
      <w:r>
        <w:t>) without ever knowing that he or she was in jeopardy of doing so. A debtor, it is submitted, may be in that position by reason of hospitalisation, itinerant work, seeking refuge from domestic violence, eviction by a landlord, marital breakdown, or for myriad other reasons.</w:t>
      </w:r>
    </w:p>
    <w:p w14:paraId="51D9B163" w14:textId="4DF30027" w:rsidR="003A6E16" w:rsidRDefault="00830E83" w:rsidP="00EF20BE">
      <w:pPr>
        <w:pStyle w:val="ParaNumbering"/>
      </w:pPr>
      <w:r>
        <w:t xml:space="preserve">Mr Ward submits that the Full Court’s reasoning as to there being no “contrary intention” in relation to the service of a bankruptcy notice contains five errors. </w:t>
      </w:r>
      <w:r w:rsidRPr="00595E2F">
        <w:rPr>
          <w:i/>
        </w:rPr>
        <w:t>F</w:t>
      </w:r>
      <w:r w:rsidR="00552E74" w:rsidRPr="00595E2F">
        <w:rPr>
          <w:i/>
        </w:rPr>
        <w:t>irst</w:t>
      </w:r>
      <w:r w:rsidR="00552E74">
        <w:t>, Mr Ward submits that the Full C</w:t>
      </w:r>
      <w:r>
        <w:t xml:space="preserve">ourt did not examine any provision of the Act to ascertain whether the statute manifested a “contrary intention” as to the manner in which a bankruptcy notice could be served. </w:t>
      </w:r>
      <w:r w:rsidRPr="00180EBC">
        <w:rPr>
          <w:i/>
        </w:rPr>
        <w:t>Second</w:t>
      </w:r>
      <w:r>
        <w:t xml:space="preserve">, Mr Ward submits that the </w:t>
      </w:r>
      <w:r w:rsidR="00552E74">
        <w:t xml:space="preserve">two </w:t>
      </w:r>
      <w:r w:rsidR="0048341C">
        <w:t>decisions</w:t>
      </w:r>
      <w:r w:rsidR="00552E74">
        <w:t xml:space="preserve"> upon which the Full C</w:t>
      </w:r>
      <w:r>
        <w:t xml:space="preserve">ourt relied for its conclusion did not support it. </w:t>
      </w:r>
      <w:r w:rsidRPr="00180EBC">
        <w:rPr>
          <w:i/>
        </w:rPr>
        <w:t>T</w:t>
      </w:r>
      <w:r w:rsidR="00552E74" w:rsidRPr="00180EBC">
        <w:rPr>
          <w:i/>
        </w:rPr>
        <w:t>hird</w:t>
      </w:r>
      <w:r w:rsidR="00552E74">
        <w:t>, it is submitted that the F</w:t>
      </w:r>
      <w:r>
        <w:t xml:space="preserve">ull </w:t>
      </w:r>
      <w:r w:rsidR="00552E74">
        <w:t>C</w:t>
      </w:r>
      <w:r>
        <w:t>ourt wrongly drew sup</w:t>
      </w:r>
      <w:r w:rsidR="00D87913">
        <w:t>port from the dictum of</w:t>
      </w:r>
      <w:r w:rsidR="00D87913" w:rsidRPr="00D87913">
        <w:t xml:space="preserve"> Tindal CJ</w:t>
      </w:r>
      <w:r w:rsidR="00AF3F71">
        <w:t xml:space="preserve"> in </w:t>
      </w:r>
      <w:r w:rsidR="00AF3F71">
        <w:rPr>
          <w:i/>
        </w:rPr>
        <w:t>Bishop</w:t>
      </w:r>
      <w:r w:rsidR="00552E74">
        <w:t xml:space="preserve">, which was said to be </w:t>
      </w:r>
      <w:r w:rsidR="00867BD9">
        <w:t>question-begging as to the true intention of the legislature, and concerned a very different statutory regime dealing with notices of objection to enrolment</w:t>
      </w:r>
      <w:r w:rsidR="00552E74">
        <w:t xml:space="preserve"> of voters in a parish, </w:t>
      </w:r>
      <w:r w:rsidR="00867BD9">
        <w:t xml:space="preserve">which was treated as a “very special” provision </w:t>
      </w:r>
      <w:r w:rsidR="00867BD9">
        <w:lastRenderedPageBreak/>
        <w:t xml:space="preserve">concerning service. </w:t>
      </w:r>
      <w:r w:rsidR="00867BD9" w:rsidRPr="00180EBC">
        <w:rPr>
          <w:i/>
        </w:rPr>
        <w:t>Fourth</w:t>
      </w:r>
      <w:r w:rsidR="00867BD9">
        <w:t>, Mr Ward submitted that the Act manifest</w:t>
      </w:r>
      <w:r w:rsidR="00552E74">
        <w:t>s</w:t>
      </w:r>
      <w:r w:rsidR="00867BD9">
        <w:t xml:space="preserve"> a “contrary intention” by endowing debtors with certain rights, the exercise of which depend upon the debtor being served with the bankruptcy notice in the ordinary common law sense of “service”, namely bringing </w:t>
      </w:r>
      <w:r w:rsidR="00B23D0D">
        <w:t>the</w:t>
      </w:r>
      <w:r w:rsidR="00867BD9">
        <w:t xml:space="preserve"> document to the person’s actual notice, and in the absence of service in the sense of actual notice, those statutory rights were </w:t>
      </w:r>
      <w:r w:rsidR="00552E74">
        <w:t>il</w:t>
      </w:r>
      <w:r w:rsidR="00867BD9">
        <w:t xml:space="preserve">lusory. Those rights include the right to invalidate the bankruptcy notice on the ground of misstatement of the amount claimed to be due (s 41(5)), the right to invoke the </w:t>
      </w:r>
      <w:r w:rsidR="0087332B">
        <w:t>C</w:t>
      </w:r>
      <w:r w:rsidR="00867BD9">
        <w:t xml:space="preserve">ourt’s discretion to extend time for compliance with the bankruptcy notice (s 41(6A)), the right to a deemed extension of time for compliance with the bankruptcy notice (s 41(7)), the right to invoke the </w:t>
      </w:r>
      <w:r w:rsidR="0087332B">
        <w:t>C</w:t>
      </w:r>
      <w:r w:rsidR="00867BD9">
        <w:t xml:space="preserve">ourt’s discretion to set aside the bankruptcy notice </w:t>
      </w:r>
      <w:r w:rsidR="00552E74">
        <w:t>(</w:t>
      </w:r>
      <w:proofErr w:type="spellStart"/>
      <w:r w:rsidR="00867BD9">
        <w:t>ss</w:t>
      </w:r>
      <w:proofErr w:type="spellEnd"/>
      <w:r w:rsidR="00867BD9">
        <w:t xml:space="preserve"> 30(1)(b), 41(6A), (7)</w:t>
      </w:r>
      <w:r w:rsidR="00552E74">
        <w:t>)</w:t>
      </w:r>
      <w:r w:rsidR="00867BD9">
        <w:t xml:space="preserve">, the right to comply with the bankruptcy notice by making particular forms of payment (s 42(1)), </w:t>
      </w:r>
      <w:r w:rsidR="00552E74">
        <w:t>and</w:t>
      </w:r>
      <w:r w:rsidR="00867BD9">
        <w:t xml:space="preserve"> the right to prevent enlivenment of the </w:t>
      </w:r>
      <w:r w:rsidR="0087332B">
        <w:t>C</w:t>
      </w:r>
      <w:r w:rsidR="00867BD9">
        <w:t>ourt’s jurisdiction to make a sequestration order by complying with the bankruptcy notice and thereby avoiding commission of an act of bankruptcy (</w:t>
      </w:r>
      <w:proofErr w:type="spellStart"/>
      <w:r w:rsidR="00867BD9">
        <w:t>ss</w:t>
      </w:r>
      <w:proofErr w:type="spellEnd"/>
      <w:r w:rsidR="00867BD9">
        <w:t xml:space="preserve"> 40(1)(g), 43(1)(a)). </w:t>
      </w:r>
      <w:r w:rsidR="00867BD9" w:rsidRPr="00180EBC">
        <w:rPr>
          <w:i/>
        </w:rPr>
        <w:t>Fifth</w:t>
      </w:r>
      <w:r w:rsidR="00867BD9">
        <w:t>, Mr Ward submi</w:t>
      </w:r>
      <w:r w:rsidR="00552E74">
        <w:t>ts that the Full C</w:t>
      </w:r>
      <w:r w:rsidR="00867BD9">
        <w:t xml:space="preserve">ourt in </w:t>
      </w:r>
      <w:proofErr w:type="spellStart"/>
      <w:r w:rsidR="001675D6" w:rsidRPr="001675D6">
        <w:rPr>
          <w:i/>
        </w:rPr>
        <w:t>Skalkos</w:t>
      </w:r>
      <w:proofErr w:type="spellEnd"/>
      <w:r w:rsidR="00867BD9">
        <w:t xml:space="preserve"> was wrong to describe the outcome merely as producing “harsh” results because it is said that the effect is to deprive debtors of rights, being the very rights that the Act confers upon them.</w:t>
      </w:r>
    </w:p>
    <w:p w14:paraId="13D5801E" w14:textId="7E59AE1B" w:rsidR="00417D05" w:rsidRDefault="000D4BC0" w:rsidP="0048341C">
      <w:pPr>
        <w:pStyle w:val="ParaNumbering"/>
      </w:pPr>
      <w:r>
        <w:t>Despite the able way in which the argument was advanced</w:t>
      </w:r>
      <w:r w:rsidR="00552E74">
        <w:t xml:space="preserve"> by Mr Ward</w:t>
      </w:r>
      <w:r>
        <w:t xml:space="preserve">, I am unable to accept these submissions. A bankruptcy notice is a document which the Act contemplates will be “served”: see in particular </w:t>
      </w:r>
      <w:proofErr w:type="spellStart"/>
      <w:r>
        <w:t>ss</w:t>
      </w:r>
      <w:proofErr w:type="spellEnd"/>
      <w:r>
        <w:t xml:space="preserve"> 40(1</w:t>
      </w:r>
      <w:proofErr w:type="gramStart"/>
      <w:r>
        <w:t>)(</w:t>
      </w:r>
      <w:proofErr w:type="gramEnd"/>
      <w:r>
        <w:t>g), 41(2A). The provisions referred to in the argument advanced on behalf of Ms Burrows</w:t>
      </w:r>
      <w:r w:rsidR="00552E74">
        <w:t>,</w:t>
      </w:r>
      <w:r>
        <w:t xml:space="preserve"> namely </w:t>
      </w:r>
      <w:proofErr w:type="spellStart"/>
      <w:r w:rsidRPr="00EC2A35">
        <w:t>ss</w:t>
      </w:r>
      <w:proofErr w:type="spellEnd"/>
      <w:r w:rsidRPr="00EC2A35">
        <w:t xml:space="preserve"> 30, 40, 41, 42 and 43 of the Act</w:t>
      </w:r>
      <w:r w:rsidR="00552E74">
        <w:t>,</w:t>
      </w:r>
      <w:r>
        <w:t xml:space="preserve"> do not make any reference to personal service of bankruptcy notices</w:t>
      </w:r>
      <w:r w:rsidR="00552E74">
        <w:t xml:space="preserve"> or actual receipt of a bankruptcy notice by the debtor,</w:t>
      </w:r>
      <w:r>
        <w:t xml:space="preserve"> as distinct from </w:t>
      </w:r>
      <w:r w:rsidR="0048341C">
        <w:t xml:space="preserve">the </w:t>
      </w:r>
      <w:r>
        <w:t>unqualified reference to service</w:t>
      </w:r>
      <w:r w:rsidR="00B23D0D">
        <w:t xml:space="preserve"> generally</w:t>
      </w:r>
      <w:r>
        <w:t xml:space="preserve">. </w:t>
      </w:r>
      <w:r w:rsidR="00417D05">
        <w:t xml:space="preserve">Those provisions do not deal with the mode of </w:t>
      </w:r>
      <w:proofErr w:type="gramStart"/>
      <w:r w:rsidR="00417D05">
        <w:t>service, that</w:t>
      </w:r>
      <w:proofErr w:type="gramEnd"/>
      <w:r w:rsidR="00417D05">
        <w:t xml:space="preserve"> being a matter left to the Regulations. </w:t>
      </w:r>
      <w:r>
        <w:t>As I have mentioned above, it used to be the case that personal service of bankruptcy n</w:t>
      </w:r>
      <w:r w:rsidR="00552E74">
        <w:t>otices was required unless the C</w:t>
      </w:r>
      <w:r>
        <w:t xml:space="preserve">ourt made an order for substituted service. But there is nothing in the former </w:t>
      </w:r>
      <w:proofErr w:type="spellStart"/>
      <w:r>
        <w:t>reg</w:t>
      </w:r>
      <w:proofErr w:type="spellEnd"/>
      <w:r>
        <w:t xml:space="preserve"> 16.01 or the present </w:t>
      </w:r>
      <w:proofErr w:type="spellStart"/>
      <w:r>
        <w:t>reg</w:t>
      </w:r>
      <w:proofErr w:type="spellEnd"/>
      <w:r>
        <w:t xml:space="preserve"> 102 w</w:t>
      </w:r>
      <w:r w:rsidR="00552E74">
        <w:t>hich indicates any int</w:t>
      </w:r>
      <w:r>
        <w:t>ention of reviving any requirement of personal service. The argument as to the exercise of rights by the debtor which depend upon the debtor’s receipt of actual knowledge of a bankruptcy notice was substantially similar to the argu</w:t>
      </w:r>
      <w:r w:rsidR="007261AF">
        <w:t xml:space="preserve">ment raised and rejected in </w:t>
      </w:r>
      <w:proofErr w:type="spellStart"/>
      <w:r w:rsidR="007261AF">
        <w:rPr>
          <w:i/>
        </w:rPr>
        <w:t>Skalkos</w:t>
      </w:r>
      <w:proofErr w:type="spellEnd"/>
      <w:r w:rsidR="0048341C">
        <w:t xml:space="preserve">, particularly the argument recorded in </w:t>
      </w:r>
      <w:proofErr w:type="spellStart"/>
      <w:r w:rsidR="0048341C">
        <w:rPr>
          <w:i/>
        </w:rPr>
        <w:t>Skalkos</w:t>
      </w:r>
      <w:proofErr w:type="spellEnd"/>
      <w:r w:rsidR="0048341C">
        <w:t xml:space="preserve"> at [28(a)] as to the commission of an act of bankruptcy </w:t>
      </w:r>
      <w:r w:rsidR="00417D05">
        <w:t>by non-compliance with a bankruptcy notice within</w:t>
      </w:r>
      <w:r w:rsidR="0048341C">
        <w:t xml:space="preserve"> 2</w:t>
      </w:r>
      <w:r w:rsidR="00417D05">
        <w:t>1 days from the date of service, and the argument recorded at [28(d)] as to an alleged debtor who did not receive the notice not becoming aware of it until served with a petition, at which stage it would frequently be too late to do anything.</w:t>
      </w:r>
      <w:r w:rsidR="0048341C">
        <w:t xml:space="preserve"> </w:t>
      </w:r>
      <w:r w:rsidR="007261AF">
        <w:t xml:space="preserve">In my view, it is wrong </w:t>
      </w:r>
      <w:r w:rsidR="007261AF">
        <w:lastRenderedPageBreak/>
        <w:t>to contend that the construct</w:t>
      </w:r>
      <w:r w:rsidR="007261AF" w:rsidRPr="008A751D">
        <w:t xml:space="preserve">ion of </w:t>
      </w:r>
      <w:proofErr w:type="spellStart"/>
      <w:r w:rsidR="007261AF" w:rsidRPr="008A751D">
        <w:t>reg</w:t>
      </w:r>
      <w:proofErr w:type="spellEnd"/>
      <w:r w:rsidR="007261AF" w:rsidRPr="008A751D">
        <w:t xml:space="preserve"> 16.01 adopted in </w:t>
      </w:r>
      <w:proofErr w:type="spellStart"/>
      <w:r w:rsidR="007261AF" w:rsidRPr="008A751D">
        <w:rPr>
          <w:i/>
        </w:rPr>
        <w:t>Skalkos</w:t>
      </w:r>
      <w:proofErr w:type="spellEnd"/>
      <w:r w:rsidR="007261AF" w:rsidRPr="008A751D">
        <w:t xml:space="preserve"> deprives </w:t>
      </w:r>
      <w:r w:rsidR="00B13616" w:rsidRPr="008A751D">
        <w:t>debtors</w:t>
      </w:r>
      <w:r w:rsidR="007261AF" w:rsidRPr="008A751D">
        <w:t xml:space="preserve"> of rights. That construction does identify a date from which periods of time begin to run</w:t>
      </w:r>
      <w:r w:rsidR="00552E74" w:rsidRPr="008A751D">
        <w:t>,</w:t>
      </w:r>
      <w:r w:rsidR="007261AF" w:rsidRPr="008A751D">
        <w:t xml:space="preserve"> and opens up </w:t>
      </w:r>
      <w:r w:rsidR="0048341C" w:rsidRPr="008A751D">
        <w:t xml:space="preserve">as </w:t>
      </w:r>
      <w:r w:rsidR="007261AF" w:rsidRPr="008A751D">
        <w:t>no more than a possib</w:t>
      </w:r>
      <w:r w:rsidR="007261AF">
        <w:t>ility that one reason why that period may run without any action being taken is that the debtor did not receive actual notice of the bankruptcy notice. That outcome represents a clear decision by the legislature as to how to strike a balance between, on the one hand, protecting the interests of debtors, and, on the other hand</w:t>
      </w:r>
      <w:r w:rsidR="00552E74">
        <w:t>,</w:t>
      </w:r>
      <w:r w:rsidR="007261AF">
        <w:t xml:space="preserve"> providing creditors with a rule of convenience, no doubt taking into account the common experience that judgment debtors can be difficult to locate.</w:t>
      </w:r>
      <w:r w:rsidR="00552E74">
        <w:t xml:space="preserve"> The potential for “</w:t>
      </w:r>
      <w:r w:rsidR="007261AF">
        <w:t>harsh</w:t>
      </w:r>
      <w:r w:rsidR="00552E74">
        <w:t xml:space="preserve"> results” </w:t>
      </w:r>
      <w:r w:rsidR="007261AF">
        <w:t xml:space="preserve">seems to me to be an apt way of describing the possible position of a debtor who has not received actual notice of the bankruptcy notice, despite the creditor adopting the rule of convenience provided by </w:t>
      </w:r>
      <w:proofErr w:type="spellStart"/>
      <w:r w:rsidR="007261AF">
        <w:t>reg</w:t>
      </w:r>
      <w:proofErr w:type="spellEnd"/>
      <w:r w:rsidR="00552E74">
        <w:t xml:space="preserve"> 102. </w:t>
      </w:r>
    </w:p>
    <w:p w14:paraId="292AAD2C" w14:textId="51794F1F" w:rsidR="0048341C" w:rsidRDefault="00552E74" w:rsidP="0048341C">
      <w:pPr>
        <w:pStyle w:val="ParaNumbering"/>
      </w:pPr>
      <w:r>
        <w:t>I am unable to ascertain</w:t>
      </w:r>
      <w:r w:rsidR="007261AF">
        <w:t xml:space="preserve"> any provision of the Act or Regulations</w:t>
      </w:r>
      <w:r>
        <w:t>, or any element of</w:t>
      </w:r>
      <w:r w:rsidR="007261AF">
        <w:t xml:space="preserve"> </w:t>
      </w:r>
      <w:r w:rsidR="00B23D0D">
        <w:t>the general character of that legislation</w:t>
      </w:r>
      <w:r w:rsidR="00E629B2">
        <w:t>,</w:t>
      </w:r>
      <w:r w:rsidR="00B23D0D">
        <w:t xml:space="preserve"> </w:t>
      </w:r>
      <w:r w:rsidR="007261AF">
        <w:t xml:space="preserve">which manifests a contrary intention to </w:t>
      </w:r>
      <w:proofErr w:type="spellStart"/>
      <w:r w:rsidR="007261AF">
        <w:t>reg</w:t>
      </w:r>
      <w:proofErr w:type="spellEnd"/>
      <w:r w:rsidR="007261AF">
        <w:t xml:space="preserve"> 102(1)</w:t>
      </w:r>
      <w:r>
        <w:t xml:space="preserve"> in relation to the service of bankruptcy notices.</w:t>
      </w:r>
      <w:r w:rsidR="0048341C">
        <w:t xml:space="preserve"> Nor is a contrary intention manifested on the basis that, if the presumption created by </w:t>
      </w:r>
      <w:proofErr w:type="spellStart"/>
      <w:r w:rsidR="0048341C">
        <w:t>reg</w:t>
      </w:r>
      <w:proofErr w:type="spellEnd"/>
      <w:r w:rsidR="0048341C">
        <w:t xml:space="preserve"> 102 were undisturbed, the procedure established by the Act’s sections would not work appropriately, or the relevant sections would operate in a way which clearly the legislature did not intend: see </w:t>
      </w:r>
      <w:r w:rsidR="0048341C" w:rsidRPr="00EC2A35">
        <w:rPr>
          <w:i/>
        </w:rPr>
        <w:t>Deputy Commissioner of Taxation v Mutton</w:t>
      </w:r>
      <w:r w:rsidR="0048341C" w:rsidRPr="00EC2A35">
        <w:t xml:space="preserve"> (1988) 23 NSWCR 104</w:t>
      </w:r>
      <w:r w:rsidR="0048341C">
        <w:t xml:space="preserve"> at 108 (Mahoney JA).</w:t>
      </w:r>
    </w:p>
    <w:p w14:paraId="3899EB79" w14:textId="35DD4848" w:rsidR="0048341C" w:rsidRDefault="0048341C" w:rsidP="0048341C">
      <w:pPr>
        <w:pStyle w:val="ParaNumbering"/>
      </w:pPr>
      <w:r>
        <w:t xml:space="preserve">Mr Ward also submitted that </w:t>
      </w:r>
      <w:proofErr w:type="spellStart"/>
      <w:r>
        <w:rPr>
          <w:i/>
        </w:rPr>
        <w:t>Skalkos</w:t>
      </w:r>
      <w:proofErr w:type="spellEnd"/>
      <w:r>
        <w:t xml:space="preserve"> should be distinguished by reason of changes in the statutory language since it was decided. Reliance was placed on the amendment effected by s 41(2A) of the Act, whereby the primary legislation emphasises the concept of service, rather than leaving that to the prescribed form of bankruptcy notice. Mr Ward also relies on the change in </w:t>
      </w:r>
      <w:r w:rsidR="00200651">
        <w:t>s</w:t>
      </w:r>
      <w:r w:rsidR="00613DCA">
        <w:t>yntax</w:t>
      </w:r>
      <w:r w:rsidR="00200651">
        <w:t xml:space="preserve"> </w:t>
      </w:r>
      <w:r>
        <w:t xml:space="preserve">from </w:t>
      </w:r>
      <w:proofErr w:type="spellStart"/>
      <w:r>
        <w:t>reg</w:t>
      </w:r>
      <w:proofErr w:type="spellEnd"/>
      <w:r>
        <w:t xml:space="preserve"> 16.01(2) </w:t>
      </w:r>
      <w:r w:rsidR="00C16F3A">
        <w:t xml:space="preserve">of the 1996 Regulations </w:t>
      </w:r>
      <w:r>
        <w:t xml:space="preserve">to </w:t>
      </w:r>
      <w:proofErr w:type="spellStart"/>
      <w:r>
        <w:t>reg</w:t>
      </w:r>
      <w:proofErr w:type="spellEnd"/>
      <w:r>
        <w:t xml:space="preserve"> 102(2)</w:t>
      </w:r>
      <w:r w:rsidR="00C16F3A">
        <w:t xml:space="preserve"> of the Regulations</w:t>
      </w:r>
      <w:r>
        <w:t xml:space="preserve"> of the expression “in the absence of proof to the contrary”. I do not think either aspect of this argument makes any material difference to the</w:t>
      </w:r>
      <w:r w:rsidR="006236C1">
        <w:t xml:space="preserve"> applicability of the reasoning in </w:t>
      </w:r>
      <w:proofErr w:type="spellStart"/>
      <w:r w:rsidR="006236C1">
        <w:rPr>
          <w:i/>
        </w:rPr>
        <w:t>Skalkos</w:t>
      </w:r>
      <w:proofErr w:type="spellEnd"/>
      <w:r w:rsidR="006236C1">
        <w:t xml:space="preserve"> to </w:t>
      </w:r>
      <w:proofErr w:type="spellStart"/>
      <w:r w:rsidR="006236C1">
        <w:t>reg</w:t>
      </w:r>
      <w:proofErr w:type="spellEnd"/>
      <w:r w:rsidR="006236C1">
        <w:t xml:space="preserve"> 102.</w:t>
      </w:r>
    </w:p>
    <w:p w14:paraId="00D679FA" w14:textId="59FF4E25" w:rsidR="006F0BCD" w:rsidRDefault="006F0BCD" w:rsidP="006F0BCD">
      <w:pPr>
        <w:pStyle w:val="Heading3"/>
      </w:pPr>
      <w:r>
        <w:t xml:space="preserve">The construction of </w:t>
      </w:r>
      <w:proofErr w:type="spellStart"/>
      <w:r>
        <w:t>reg</w:t>
      </w:r>
      <w:proofErr w:type="spellEnd"/>
      <w:r>
        <w:t xml:space="preserve"> 102(2)</w:t>
      </w:r>
    </w:p>
    <w:p w14:paraId="4A11B026" w14:textId="02E77055" w:rsidR="00200651" w:rsidRDefault="00A84436" w:rsidP="008A751D">
      <w:pPr>
        <w:pStyle w:val="ParaNumbering"/>
      </w:pPr>
      <w:r>
        <w:t xml:space="preserve">The second, and alternative, line of argument advanced on behalf of Ms Burrows concerns the words in </w:t>
      </w:r>
      <w:proofErr w:type="spellStart"/>
      <w:r>
        <w:t>reg</w:t>
      </w:r>
      <w:proofErr w:type="spellEnd"/>
      <w:r>
        <w:t xml:space="preserve"> 102(2)</w:t>
      </w:r>
      <w:r w:rsidR="00200651">
        <w:t xml:space="preserve"> of the Regulations</w:t>
      </w:r>
      <w:r>
        <w:t xml:space="preserve">, “in the absence of proof to the contrary”, and it is submitted that those words permit Ms Burrows to prove that she did not in fact receive the Bankruptcy Notice until 16 June 2022. Mr Ward submits that the presumption that receipt or service took place at a particular time can be rebutted by proof that receipt or service did not in fact take place at that particular time. </w:t>
      </w:r>
      <w:r w:rsidR="00F016DD">
        <w:t xml:space="preserve">Mr Ward submits that </w:t>
      </w:r>
      <w:proofErr w:type="spellStart"/>
      <w:r w:rsidR="00F016DD">
        <w:t>reg</w:t>
      </w:r>
      <w:proofErr w:type="spellEnd"/>
      <w:r w:rsidR="00F016DD">
        <w:t xml:space="preserve"> 102(1) treats as interchangeable whether a document is “given” or “served”, pointing out that </w:t>
      </w:r>
      <w:proofErr w:type="spellStart"/>
      <w:r w:rsidR="00F016DD">
        <w:t>reg</w:t>
      </w:r>
      <w:proofErr w:type="spellEnd"/>
      <w:r w:rsidR="00F016DD">
        <w:t xml:space="preserve"> 102(1)(a) </w:t>
      </w:r>
      <w:r w:rsidR="00F016DD">
        <w:lastRenderedPageBreak/>
        <w:t>uses the phrase “</w:t>
      </w:r>
      <w:r w:rsidR="00417D05">
        <w:t xml:space="preserve">last known </w:t>
      </w:r>
      <w:r w:rsidR="00F016DD">
        <w:t xml:space="preserve">to the person serving the document” as applying to all three concepts in the preamble of “given or sent to, or served on”. </w:t>
      </w:r>
      <w:r>
        <w:t xml:space="preserve">Mr Ward submits that the word “service” is undefined and therefore </w:t>
      </w:r>
      <w:r w:rsidR="00F43883">
        <w:t>b</w:t>
      </w:r>
      <w:r w:rsidR="00E159CB">
        <w:t>ear</w:t>
      </w:r>
      <w:r>
        <w:t>s its ordin</w:t>
      </w:r>
      <w:r w:rsidR="00E159CB">
        <w:t xml:space="preserve">ary meaning of personal service, which means that the document in question must come to the notice </w:t>
      </w:r>
      <w:r w:rsidR="00552E74">
        <w:t xml:space="preserve">or attention </w:t>
      </w:r>
      <w:r w:rsidR="00E159CB">
        <w:t xml:space="preserve">of the person for whom it is intended: see </w:t>
      </w:r>
      <w:proofErr w:type="spellStart"/>
      <w:r w:rsidR="00552E74" w:rsidRPr="00EC2A35">
        <w:rPr>
          <w:i/>
        </w:rPr>
        <w:t>Ho</w:t>
      </w:r>
      <w:r w:rsidR="00E159CB" w:rsidRPr="00EC2A35">
        <w:rPr>
          <w:i/>
        </w:rPr>
        <w:t>wship</w:t>
      </w:r>
      <w:proofErr w:type="spellEnd"/>
      <w:r w:rsidR="00E159CB" w:rsidRPr="00EC2A35">
        <w:rPr>
          <w:i/>
        </w:rPr>
        <w:t xml:space="preserve"> Holdings Pty Ltd v Leslie</w:t>
      </w:r>
      <w:r w:rsidR="00E159CB" w:rsidRPr="00EC2A35">
        <w:t xml:space="preserve"> (1996) 41 NSWLR 542</w:t>
      </w:r>
      <w:r w:rsidR="00E159CB">
        <w:t xml:space="preserve"> at 544B (Young J). Mr Ward submits that a debtor can rebut the presumption that he or she was served with a bankruptcy notice at a particular time by proving that he or she received actual notice of it at a different time, or not at all. To the extent that there is any ambiguity in </w:t>
      </w:r>
      <w:proofErr w:type="spellStart"/>
      <w:r w:rsidR="00E159CB">
        <w:t>reg</w:t>
      </w:r>
      <w:proofErr w:type="spellEnd"/>
      <w:r w:rsidR="00E159CB">
        <w:t xml:space="preserve"> 102(2), Mr Ward submits that that ambiguity should be resolved in favour of a construction that preserves fundamental common law rights: </w:t>
      </w:r>
      <w:r w:rsidR="001806C7" w:rsidRPr="00EC2A35">
        <w:rPr>
          <w:i/>
        </w:rPr>
        <w:t>Coco v The Queen</w:t>
      </w:r>
      <w:r w:rsidR="001806C7" w:rsidRPr="00EC2A35">
        <w:t xml:space="preserve"> (1994) 179 CLR 427</w:t>
      </w:r>
      <w:r w:rsidR="001806C7">
        <w:t xml:space="preserve"> at 437 (Mason CJ, Brennan, </w:t>
      </w:r>
      <w:proofErr w:type="spellStart"/>
      <w:r w:rsidR="001806C7">
        <w:t>Gaudron</w:t>
      </w:r>
      <w:proofErr w:type="spellEnd"/>
      <w:r w:rsidR="001806C7">
        <w:t xml:space="preserve"> and McHugh JJ). Mr Ward then relies upon the fundamental rule of the common law doctrine of natural justice that a person is entitled to know the case</w:t>
      </w:r>
      <w:r w:rsidR="00552E74">
        <w:t xml:space="preserve"> s</w:t>
      </w:r>
      <w:r w:rsidR="001806C7">
        <w:t>ought to be made against him or her</w:t>
      </w:r>
      <w:r w:rsidR="00552E74">
        <w:t>,</w:t>
      </w:r>
      <w:r w:rsidR="001806C7">
        <w:t xml:space="preserve"> and to be given an opportunity of replying to it: </w:t>
      </w:r>
      <w:proofErr w:type="spellStart"/>
      <w:r w:rsidR="001806C7" w:rsidRPr="00EC2A35">
        <w:rPr>
          <w:i/>
        </w:rPr>
        <w:t>Kioa</w:t>
      </w:r>
      <w:proofErr w:type="spellEnd"/>
      <w:r w:rsidR="001806C7" w:rsidRPr="00EC2A35">
        <w:rPr>
          <w:i/>
        </w:rPr>
        <w:t xml:space="preserve"> v West </w:t>
      </w:r>
      <w:r w:rsidR="001806C7" w:rsidRPr="00EC2A35">
        <w:t>(1985) 159 CLR 550</w:t>
      </w:r>
      <w:r w:rsidR="001806C7">
        <w:t xml:space="preserve"> at 582 (Mason J). Accordingly, it is submitted that any ambiguity in </w:t>
      </w:r>
      <w:proofErr w:type="spellStart"/>
      <w:r w:rsidR="001806C7">
        <w:t>reg</w:t>
      </w:r>
      <w:proofErr w:type="spellEnd"/>
      <w:r w:rsidR="001806C7">
        <w:t xml:space="preserve"> 102(2) should be resolved in favour of a construction that preserves a debtor’s entitlement to know what debt the creditor alleges h</w:t>
      </w:r>
      <w:r w:rsidR="00552E74">
        <w:t>e</w:t>
      </w:r>
      <w:r w:rsidR="001806C7">
        <w:t xml:space="preserve"> or </w:t>
      </w:r>
      <w:r w:rsidR="00552E74">
        <w:t xml:space="preserve">she </w:t>
      </w:r>
      <w:r w:rsidR="001806C7">
        <w:t>owe</w:t>
      </w:r>
      <w:r w:rsidR="00552E74">
        <w:t>s</w:t>
      </w:r>
      <w:r w:rsidR="001806C7">
        <w:t>, and hence to dispute the debtor’s claims by the statutory means provided.</w:t>
      </w:r>
      <w:r w:rsidR="00417D05" w:rsidRPr="00417D05">
        <w:t xml:space="preserve"> </w:t>
      </w:r>
      <w:r w:rsidR="00417D05">
        <w:t xml:space="preserve">Further, Mr Ward points to the amendment to the Act set out in </w:t>
      </w:r>
      <w:r w:rsidR="00417D05" w:rsidRPr="00EC2A35">
        <w:t>s 41(2A)</w:t>
      </w:r>
      <w:r w:rsidR="00417D05">
        <w:t xml:space="preserve"> and also to the alteration in syntax from the previous </w:t>
      </w:r>
      <w:proofErr w:type="spellStart"/>
      <w:r w:rsidR="00417D05">
        <w:t>reg</w:t>
      </w:r>
      <w:proofErr w:type="spellEnd"/>
      <w:r w:rsidR="00417D05">
        <w:t xml:space="preserve"> 16.01(2) to the new </w:t>
      </w:r>
      <w:proofErr w:type="spellStart"/>
      <w:r w:rsidR="00417D05">
        <w:t>reg</w:t>
      </w:r>
      <w:proofErr w:type="spellEnd"/>
      <w:r w:rsidR="00417D05">
        <w:t xml:space="preserve"> 102(2), in particular the location of the phrase “in the absence of proof to the contrary”, which has now been moved to the beginning of </w:t>
      </w:r>
      <w:proofErr w:type="spellStart"/>
      <w:r w:rsidR="00417D05">
        <w:t>reg</w:t>
      </w:r>
      <w:proofErr w:type="spellEnd"/>
      <w:r w:rsidR="00417D05">
        <w:t xml:space="preserve"> 102(2). As with the first line of argument, I am unable to see that any significance attaches to those changes</w:t>
      </w:r>
      <w:r w:rsidR="00200651">
        <w:t>.</w:t>
      </w:r>
    </w:p>
    <w:p w14:paraId="4242D22E" w14:textId="3A66CF38" w:rsidR="001806C7" w:rsidRDefault="001806C7" w:rsidP="00A84436">
      <w:pPr>
        <w:pStyle w:val="ParaNumbering"/>
      </w:pPr>
      <w:r>
        <w:t xml:space="preserve">Further, it is said that the reasoning in </w:t>
      </w:r>
      <w:proofErr w:type="spellStart"/>
      <w:r>
        <w:rPr>
          <w:i/>
        </w:rPr>
        <w:t>Skalkos</w:t>
      </w:r>
      <w:proofErr w:type="spellEnd"/>
      <w:r>
        <w:t xml:space="preserve"> on this point contains four errors. </w:t>
      </w:r>
      <w:r w:rsidRPr="00CE2542">
        <w:rPr>
          <w:i/>
        </w:rPr>
        <w:t>First</w:t>
      </w:r>
      <w:r>
        <w:t>, it is said that the</w:t>
      </w:r>
      <w:r w:rsidR="00552E74">
        <w:t xml:space="preserve"> F</w:t>
      </w:r>
      <w:r>
        <w:t xml:space="preserve">ull </w:t>
      </w:r>
      <w:r w:rsidR="00552E74">
        <w:t>C</w:t>
      </w:r>
      <w:r>
        <w:t xml:space="preserve">ourt’s reliance on </w:t>
      </w:r>
      <w:proofErr w:type="spellStart"/>
      <w:r>
        <w:rPr>
          <w:i/>
        </w:rPr>
        <w:t>Fancourt</w:t>
      </w:r>
      <w:proofErr w:type="spellEnd"/>
      <w:r>
        <w:t xml:space="preserve"> was erroneous because the provision considered in </w:t>
      </w:r>
      <w:proofErr w:type="spellStart"/>
      <w:r w:rsidRPr="001806C7">
        <w:rPr>
          <w:i/>
        </w:rPr>
        <w:t>Fancourt</w:t>
      </w:r>
      <w:proofErr w:type="spellEnd"/>
      <w:r w:rsidRPr="001806C7">
        <w:rPr>
          <w:i/>
        </w:rPr>
        <w:t xml:space="preserve"> </w:t>
      </w:r>
      <w:r>
        <w:t>made no mention of “receipt” of the document in question, as distinct from “delivery”</w:t>
      </w:r>
      <w:r w:rsidR="00D96CA9" w:rsidRPr="00D96CA9">
        <w:rPr>
          <w:i/>
        </w:rPr>
        <w:t xml:space="preserve">. </w:t>
      </w:r>
      <w:r w:rsidR="00FE2D3B" w:rsidRPr="007F0BB4">
        <w:rPr>
          <w:i/>
        </w:rPr>
        <w:t>Second</w:t>
      </w:r>
      <w:r w:rsidR="00FE2D3B">
        <w:t xml:space="preserve">, </w:t>
      </w:r>
      <w:r w:rsidR="00552E74">
        <w:t>it is said that the o</w:t>
      </w:r>
      <w:r w:rsidR="00FE2D3B">
        <w:t>ther authorities</w:t>
      </w:r>
      <w:r w:rsidR="00552E74">
        <w:t xml:space="preserve"> relied on by the Full Court</w:t>
      </w:r>
      <w:r w:rsidR="00FE2D3B">
        <w:t xml:space="preserve"> concerned provisions modelled on similar provisions to that considered in </w:t>
      </w:r>
      <w:proofErr w:type="spellStart"/>
      <w:r w:rsidR="00FE2D3B">
        <w:rPr>
          <w:i/>
        </w:rPr>
        <w:t>Fancourt</w:t>
      </w:r>
      <w:proofErr w:type="spellEnd"/>
      <w:r w:rsidR="00FE2D3B">
        <w:t xml:space="preserve">. </w:t>
      </w:r>
      <w:r w:rsidR="00FE2D3B" w:rsidRPr="007F0BB4">
        <w:rPr>
          <w:i/>
        </w:rPr>
        <w:t>Third</w:t>
      </w:r>
      <w:r w:rsidR="00FE2D3B">
        <w:t xml:space="preserve">, </w:t>
      </w:r>
      <w:r w:rsidR="00F016DD">
        <w:t xml:space="preserve">it is said that </w:t>
      </w:r>
      <w:r w:rsidR="00FE2D3B">
        <w:t xml:space="preserve">the </w:t>
      </w:r>
      <w:r w:rsidR="00552E74">
        <w:t>F</w:t>
      </w:r>
      <w:r w:rsidR="00FE2D3B">
        <w:t xml:space="preserve">ull </w:t>
      </w:r>
      <w:r w:rsidR="00552E74">
        <w:t>C</w:t>
      </w:r>
      <w:r w:rsidR="00FE2D3B">
        <w:t xml:space="preserve">ourt in </w:t>
      </w:r>
      <w:proofErr w:type="spellStart"/>
      <w:r w:rsidR="00FE2D3B">
        <w:rPr>
          <w:i/>
        </w:rPr>
        <w:t>Skalkos</w:t>
      </w:r>
      <w:proofErr w:type="spellEnd"/>
      <w:r w:rsidR="003A6A68">
        <w:t xml:space="preserve"> did not advert to the principle of resolving ambiguity in favour of the construction that preserves fundamental common law right</w:t>
      </w:r>
      <w:r w:rsidR="00552E74">
        <w:t xml:space="preserve">s. </w:t>
      </w:r>
      <w:r w:rsidR="00552E74" w:rsidRPr="007F0BB4">
        <w:rPr>
          <w:i/>
        </w:rPr>
        <w:t>Fourth</w:t>
      </w:r>
      <w:r w:rsidR="00552E74">
        <w:t>, it is said that the F</w:t>
      </w:r>
      <w:r w:rsidR="003A6A68">
        <w:t xml:space="preserve">ull </w:t>
      </w:r>
      <w:r w:rsidR="00552E74">
        <w:t>C</w:t>
      </w:r>
      <w:r w:rsidR="003A6A68">
        <w:t xml:space="preserve">ourt in </w:t>
      </w:r>
      <w:proofErr w:type="spellStart"/>
      <w:r w:rsidR="003A6A68">
        <w:rPr>
          <w:i/>
        </w:rPr>
        <w:t>Skalkos</w:t>
      </w:r>
      <w:proofErr w:type="spellEnd"/>
      <w:r w:rsidR="003A6A68">
        <w:rPr>
          <w:i/>
        </w:rPr>
        <w:t xml:space="preserve"> </w:t>
      </w:r>
      <w:r w:rsidR="003A6A68">
        <w:t>w</w:t>
      </w:r>
      <w:r w:rsidR="00552E74">
        <w:t>rongly</w:t>
      </w:r>
      <w:r w:rsidR="003A6A68">
        <w:t xml:space="preserve"> regarded the purpose of </w:t>
      </w:r>
      <w:proofErr w:type="spellStart"/>
      <w:r w:rsidR="003A6A68">
        <w:t>reg</w:t>
      </w:r>
      <w:proofErr w:type="spellEnd"/>
      <w:r w:rsidR="003A6A68">
        <w:t xml:space="preserve"> 16.01(2) as being to provide a date certain from whic</w:t>
      </w:r>
      <w:r w:rsidR="0082524D">
        <w:t xml:space="preserve">h periods of time commenced </w:t>
      </w:r>
      <w:r w:rsidR="00F460F7">
        <w:t>t</w:t>
      </w:r>
      <w:r w:rsidR="00552E74">
        <w:t>o</w:t>
      </w:r>
      <w:r w:rsidR="0082524D">
        <w:t xml:space="preserve"> </w:t>
      </w:r>
      <w:r w:rsidR="003A6A68">
        <w:t>run, whereas it is argued that the fundamental purpose of service is to ensure that the contents of the document come to the notice of the person for whom it is intended.</w:t>
      </w:r>
    </w:p>
    <w:p w14:paraId="48A54AB5" w14:textId="052ABAD7" w:rsidR="009D5B6D" w:rsidRDefault="005A7905" w:rsidP="00A84436">
      <w:pPr>
        <w:pStyle w:val="ParaNumbering"/>
      </w:pPr>
      <w:r>
        <w:lastRenderedPageBreak/>
        <w:t>I am unable to accept these submissions</w:t>
      </w:r>
      <w:r w:rsidR="00F016DD">
        <w:t xml:space="preserve">, recognising again the skill with which they were developed. </w:t>
      </w:r>
      <w:r>
        <w:t>Reg</w:t>
      </w:r>
      <w:r w:rsidR="00562CF0">
        <w:t>ulation</w:t>
      </w:r>
      <w:r>
        <w:t xml:space="preserve"> 102(2) does refer to the document being taken to have been received by, or served on, the relevant person, but these are clearly expressed as alternatives, the applicability of which will depend upon whether the relevant substantive provision uses the concept of receipt or the concept of service. The reference in </w:t>
      </w:r>
      <w:proofErr w:type="spellStart"/>
      <w:r>
        <w:t>reg</w:t>
      </w:r>
      <w:proofErr w:type="spellEnd"/>
      <w:r>
        <w:t xml:space="preserve"> 102(2) to “</w:t>
      </w:r>
      <w:proofErr w:type="gramStart"/>
      <w:r>
        <w:t>served</w:t>
      </w:r>
      <w:proofErr w:type="gramEnd"/>
      <w:r>
        <w:t xml:space="preserve"> on” plainly relates back to the reference to “served on” in </w:t>
      </w:r>
      <w:proofErr w:type="spellStart"/>
      <w:r>
        <w:t>reg</w:t>
      </w:r>
      <w:proofErr w:type="spellEnd"/>
      <w:r>
        <w:t xml:space="preserve"> 102(1)</w:t>
      </w:r>
      <w:r w:rsidR="00552E74">
        <w:t>.</w:t>
      </w:r>
      <w:r w:rsidR="00DA21C1">
        <w:t xml:space="preserve"> Similarly, the reference in </w:t>
      </w:r>
      <w:proofErr w:type="spellStart"/>
      <w:r w:rsidR="00DA21C1">
        <w:t>reg</w:t>
      </w:r>
      <w:proofErr w:type="spellEnd"/>
      <w:r w:rsidR="00DA21C1">
        <w:t xml:space="preserve"> 102(2) to “received by” is a reference back to “given to” in </w:t>
      </w:r>
      <w:proofErr w:type="spellStart"/>
      <w:r w:rsidR="00DA21C1">
        <w:t>reg</w:t>
      </w:r>
      <w:proofErr w:type="spellEnd"/>
      <w:r w:rsidR="00DA21C1">
        <w:t xml:space="preserve"> 102(1)</w:t>
      </w:r>
      <w:r w:rsidR="007C5210">
        <w:t>,</w:t>
      </w:r>
      <w:r w:rsidR="00F016DD">
        <w:t xml:space="preserve"> as Mr Ward acknowledged</w:t>
      </w:r>
      <w:r w:rsidR="007C5210">
        <w:t>.</w:t>
      </w:r>
      <w:r w:rsidR="00DA21C1">
        <w:t xml:space="preserve"> The provisions dealing with bankruptcy notices (particularly </w:t>
      </w:r>
      <w:proofErr w:type="spellStart"/>
      <w:r w:rsidR="00DA21C1">
        <w:t>ss</w:t>
      </w:r>
      <w:proofErr w:type="spellEnd"/>
      <w:r w:rsidR="00DA21C1">
        <w:t xml:space="preserve"> 40(1</w:t>
      </w:r>
      <w:proofErr w:type="gramStart"/>
      <w:r w:rsidR="00DA21C1">
        <w:t>)(</w:t>
      </w:r>
      <w:proofErr w:type="gramEnd"/>
      <w:r w:rsidR="00DA21C1">
        <w:t xml:space="preserve">g) and 41(2A) of the Act) require that the debtor be “served” with the notice. </w:t>
      </w:r>
      <w:r w:rsidR="007C5210">
        <w:t xml:space="preserve">By contrast, there are many provisions in the Act which adopt the concept of “giving” notice: see, for example, </w:t>
      </w:r>
      <w:proofErr w:type="spellStart"/>
      <w:r w:rsidR="007C5210" w:rsidRPr="00EC2A35">
        <w:t>ss</w:t>
      </w:r>
      <w:proofErr w:type="spellEnd"/>
      <w:r w:rsidR="007C5210" w:rsidRPr="00EC2A35">
        <w:t xml:space="preserve"> 12(2C), 118(5), (6) and (8), </w:t>
      </w:r>
      <w:proofErr w:type="gramStart"/>
      <w:r w:rsidR="007C5210" w:rsidRPr="00EC2A35">
        <w:t>81A(</w:t>
      </w:r>
      <w:proofErr w:type="gramEnd"/>
      <w:r w:rsidR="007C5210" w:rsidRPr="00EC2A35">
        <w:t>2), 81G(2), 139ZIE(1), (3) and (6), 139ZM(1A), 139ZO, 139ZS(1A) and 139ZT</w:t>
      </w:r>
      <w:r w:rsidR="007C5210">
        <w:t xml:space="preserve">. </w:t>
      </w:r>
      <w:r w:rsidR="00DA21C1">
        <w:t xml:space="preserve">Accordingly, the concept of service is the relevant concept in </w:t>
      </w:r>
      <w:proofErr w:type="spellStart"/>
      <w:r w:rsidR="00DA21C1">
        <w:t>reg</w:t>
      </w:r>
      <w:proofErr w:type="spellEnd"/>
      <w:r w:rsidR="00DA21C1">
        <w:t xml:space="preserve"> 102(1) and (2) in relation to bankruptcy notices. R</w:t>
      </w:r>
      <w:r>
        <w:t>eg</w:t>
      </w:r>
      <w:r w:rsidR="00CA2851">
        <w:t>ulation</w:t>
      </w:r>
      <w:r>
        <w:t xml:space="preserve"> 102(2) does not create any requirement for personal service where there is no such requirement in </w:t>
      </w:r>
      <w:proofErr w:type="spellStart"/>
      <w:r>
        <w:t>reg</w:t>
      </w:r>
      <w:proofErr w:type="spellEnd"/>
      <w:r>
        <w:t xml:space="preserve"> 102(1)</w:t>
      </w:r>
      <w:r w:rsidR="00552E74">
        <w:t xml:space="preserve"> or in the substantive provision</w:t>
      </w:r>
      <w:r w:rsidR="00B23D0D">
        <w:t xml:space="preserve">s dealing with bankruptcy notices to which </w:t>
      </w:r>
      <w:proofErr w:type="spellStart"/>
      <w:r w:rsidR="00B23D0D">
        <w:t>reg</w:t>
      </w:r>
      <w:proofErr w:type="spellEnd"/>
      <w:r w:rsidR="00B23D0D">
        <w:t xml:space="preserve"> 102 is to be applied</w:t>
      </w:r>
      <w:r>
        <w:t xml:space="preserve">. </w:t>
      </w:r>
      <w:r w:rsidR="007C5210">
        <w:t>The use of the word “serving” in the phrase “</w:t>
      </w:r>
      <w:r w:rsidR="00417D05">
        <w:t xml:space="preserve">last known </w:t>
      </w:r>
      <w:r w:rsidR="007C5210">
        <w:t xml:space="preserve">to the person serving the document” in </w:t>
      </w:r>
      <w:proofErr w:type="spellStart"/>
      <w:r w:rsidR="007C5210">
        <w:t>reg</w:t>
      </w:r>
      <w:proofErr w:type="spellEnd"/>
      <w:r w:rsidR="007C5210">
        <w:t xml:space="preserve"> 102(1</w:t>
      </w:r>
      <w:proofErr w:type="gramStart"/>
      <w:r w:rsidR="007C5210">
        <w:t>)(</w:t>
      </w:r>
      <w:proofErr w:type="gramEnd"/>
      <w:r w:rsidR="007C5210">
        <w:t xml:space="preserve">a) is slightly inelegant shorthand for “giving, sending or serving” the document, but does not have the effect of conveying equivalence of meaning or interchangeability of “giving” and “serving” the document, when read naturally in the context of </w:t>
      </w:r>
      <w:proofErr w:type="spellStart"/>
      <w:r w:rsidR="007C5210">
        <w:t>reg</w:t>
      </w:r>
      <w:proofErr w:type="spellEnd"/>
      <w:r w:rsidR="007C5210">
        <w:t xml:space="preserve"> 102 as a whole. Moreover, the Regulations should be placed in the</w:t>
      </w:r>
      <w:r w:rsidR="00417D05">
        <w:t>ir</w:t>
      </w:r>
      <w:r w:rsidR="007C5210">
        <w:t xml:space="preserve"> statutory context and construed consistently with the Act under which they were made: </w:t>
      </w:r>
      <w:r w:rsidR="007C5210" w:rsidRPr="00EC2A35">
        <w:rPr>
          <w:i/>
        </w:rPr>
        <w:t>Master Education Services Pty Ltd v Ketchell</w:t>
      </w:r>
      <w:r w:rsidR="007C5210" w:rsidRPr="00EC2A35">
        <w:t xml:space="preserve"> [2008] HCA 38</w:t>
      </w:r>
      <w:r w:rsidR="00417D05" w:rsidRPr="00EC2A35">
        <w:t>;</w:t>
      </w:r>
      <w:r w:rsidR="007C5210" w:rsidRPr="00EC2A35">
        <w:t xml:space="preserve"> (2008) 236 CLR 101</w:t>
      </w:r>
      <w:r w:rsidR="007C5210">
        <w:t xml:space="preserve"> at [19] (</w:t>
      </w:r>
      <w:proofErr w:type="spellStart"/>
      <w:r w:rsidR="007C5210">
        <w:t>Gummow</w:t>
      </w:r>
      <w:proofErr w:type="spellEnd"/>
      <w:r w:rsidR="007C5210">
        <w:t xml:space="preserve"> ACJ, Kirby, Hayne, </w:t>
      </w:r>
      <w:proofErr w:type="spellStart"/>
      <w:r w:rsidR="007C5210">
        <w:t>Crennan</w:t>
      </w:r>
      <w:proofErr w:type="spellEnd"/>
      <w:r w:rsidR="007C5210">
        <w:t xml:space="preserve"> and </w:t>
      </w:r>
      <w:proofErr w:type="spellStart"/>
      <w:r w:rsidR="007C5210">
        <w:t>Kiefel</w:t>
      </w:r>
      <w:proofErr w:type="spellEnd"/>
      <w:r w:rsidR="007C5210">
        <w:t xml:space="preserve"> JJ). The Act clearly distinguishes between provisions requiring notice to be “given” and those requiring notice to be</w:t>
      </w:r>
      <w:r w:rsidR="00417D05">
        <w:t xml:space="preserve"> “served”, and that distinction was clearly intended to be preserved by </w:t>
      </w:r>
      <w:proofErr w:type="spellStart"/>
      <w:r w:rsidR="00417D05">
        <w:t>reg</w:t>
      </w:r>
      <w:proofErr w:type="spellEnd"/>
      <w:r w:rsidR="00417D05">
        <w:t xml:space="preserve"> 102.</w:t>
      </w:r>
    </w:p>
    <w:p w14:paraId="7646A26A" w14:textId="14DBA804" w:rsidR="003A6A68" w:rsidRDefault="005A7905" w:rsidP="00A84436">
      <w:pPr>
        <w:pStyle w:val="ParaNumbering"/>
      </w:pPr>
      <w:r>
        <w:t xml:space="preserve">The discussion in </w:t>
      </w:r>
      <w:proofErr w:type="spellStart"/>
      <w:r>
        <w:rPr>
          <w:i/>
        </w:rPr>
        <w:t>Skalkos</w:t>
      </w:r>
      <w:proofErr w:type="spellEnd"/>
      <w:r>
        <w:t xml:space="preserve"> was focused on delivery by post as a means of service, that being a permitted method of service under </w:t>
      </w:r>
      <w:proofErr w:type="spellStart"/>
      <w:r>
        <w:t>reg</w:t>
      </w:r>
      <w:proofErr w:type="spellEnd"/>
      <w:r>
        <w:t xml:space="preserve"> 16.01(1</w:t>
      </w:r>
      <w:proofErr w:type="gramStart"/>
      <w:r>
        <w:t>)(</w:t>
      </w:r>
      <w:proofErr w:type="gramEnd"/>
      <w:r>
        <w:t xml:space="preserve">a). </w:t>
      </w:r>
      <w:r w:rsidR="00B23D0D">
        <w:t xml:space="preserve">Similarly, </w:t>
      </w:r>
      <w:proofErr w:type="spellStart"/>
      <w:r w:rsidR="00B23D0D">
        <w:rPr>
          <w:i/>
        </w:rPr>
        <w:t>Fancourt</w:t>
      </w:r>
      <w:proofErr w:type="spellEnd"/>
      <w:r w:rsidR="00B23D0D">
        <w:t xml:space="preserve"> concerned a statutory presumption (unless the contrary was proved) as to when delivery by </w:t>
      </w:r>
      <w:r w:rsidR="009D5B6D">
        <w:t xml:space="preserve">post </w:t>
      </w:r>
      <w:r w:rsidR="00B23D0D">
        <w:t xml:space="preserve">was deemed to have been effected. </w:t>
      </w:r>
      <w:r w:rsidR="00417D05">
        <w:t>T</w:t>
      </w:r>
      <w:r>
        <w:t xml:space="preserve">he </w:t>
      </w:r>
      <w:r w:rsidR="00552E74">
        <w:t>analysis</w:t>
      </w:r>
      <w:r>
        <w:t xml:space="preserve"> in </w:t>
      </w:r>
      <w:proofErr w:type="spellStart"/>
      <w:r>
        <w:rPr>
          <w:i/>
        </w:rPr>
        <w:t>Skalkos</w:t>
      </w:r>
      <w:proofErr w:type="spellEnd"/>
      <w:r>
        <w:rPr>
          <w:i/>
        </w:rPr>
        <w:t xml:space="preserve"> </w:t>
      </w:r>
      <w:r w:rsidR="00114854">
        <w:t>made clear that it wa</w:t>
      </w:r>
      <w:r>
        <w:t xml:space="preserve">s delivery, not </w:t>
      </w:r>
      <w:proofErr w:type="gramStart"/>
      <w:r>
        <w:t>receipt, that</w:t>
      </w:r>
      <w:proofErr w:type="gramEnd"/>
      <w:r>
        <w:t xml:space="preserve"> </w:t>
      </w:r>
      <w:r w:rsidR="009D5B6D">
        <w:t xml:space="preserve">was </w:t>
      </w:r>
      <w:r>
        <w:t>determinative of service</w:t>
      </w:r>
      <w:r w:rsidR="00B23D0D">
        <w:t xml:space="preserve"> of a bankruptcy notice</w:t>
      </w:r>
      <w:r w:rsidR="00417D05">
        <w:t xml:space="preserve">, and the word “delivered” is still used in </w:t>
      </w:r>
      <w:proofErr w:type="spellStart"/>
      <w:r w:rsidR="00417D05">
        <w:t>reg</w:t>
      </w:r>
      <w:proofErr w:type="spellEnd"/>
      <w:r w:rsidR="00417D05">
        <w:t xml:space="preserve"> 102(2).</w:t>
      </w:r>
      <w:r w:rsidR="001F52C2">
        <w:t xml:space="preserve"> That reasoning remains applicable to the present case, although the Bankruptcy Notice in this case was no</w:t>
      </w:r>
      <w:r w:rsidR="00552E74">
        <w:t>t delivered by post. The Full C</w:t>
      </w:r>
      <w:r w:rsidR="001F52C2">
        <w:t xml:space="preserve">ourt in </w:t>
      </w:r>
      <w:r w:rsidR="001F52C2" w:rsidRPr="001F52C2">
        <w:rPr>
          <w:i/>
        </w:rPr>
        <w:t xml:space="preserve">De </w:t>
      </w:r>
      <w:proofErr w:type="spellStart"/>
      <w:r w:rsidR="001F52C2" w:rsidRPr="001F52C2">
        <w:rPr>
          <w:i/>
        </w:rPr>
        <w:t>Robillard</w:t>
      </w:r>
      <w:proofErr w:type="spellEnd"/>
      <w:r w:rsidR="001F52C2">
        <w:t xml:space="preserve"> at [46] confirmed that </w:t>
      </w:r>
      <w:proofErr w:type="spellStart"/>
      <w:r w:rsidR="001F52C2">
        <w:t>reg</w:t>
      </w:r>
      <w:proofErr w:type="spellEnd"/>
      <w:r w:rsidR="001F52C2">
        <w:t xml:space="preserve"> 16.01(2) permits proof of a different date of del</w:t>
      </w:r>
      <w:r w:rsidR="00552E74">
        <w:t xml:space="preserve">ivery (or perhaps non-delivery), </w:t>
      </w:r>
      <w:r w:rsidR="001F52C2">
        <w:t xml:space="preserve">although it does not permit reliance simply on alleged non-receipt, citing </w:t>
      </w:r>
      <w:proofErr w:type="spellStart"/>
      <w:r w:rsidR="001F52C2">
        <w:rPr>
          <w:i/>
        </w:rPr>
        <w:t>Skalkos</w:t>
      </w:r>
      <w:proofErr w:type="spellEnd"/>
      <w:r w:rsidR="00D6507E">
        <w:t xml:space="preserve">. In my view, that is also </w:t>
      </w:r>
      <w:r w:rsidR="00D6507E">
        <w:lastRenderedPageBreak/>
        <w:t xml:space="preserve">the proper construction of </w:t>
      </w:r>
      <w:proofErr w:type="spellStart"/>
      <w:r w:rsidR="00D6507E">
        <w:t>reg</w:t>
      </w:r>
      <w:proofErr w:type="spellEnd"/>
      <w:r w:rsidR="00D6507E">
        <w:t xml:space="preserve"> 102(2). It is the date of delivery </w:t>
      </w:r>
      <w:r w:rsidR="00552E74">
        <w:t xml:space="preserve">of a bankruptcy notice </w:t>
      </w:r>
      <w:r w:rsidR="00D6507E">
        <w:t xml:space="preserve">which is determinative. In the present case, there was no evidence of delivery on any date other than 24 May 2022, the relevant act of delivery being the sending of the Bankruptcy Notice by a courier service to the person at the address of the person last known to the person serving the documents. In my view there is no ambiguity in the proper construction of </w:t>
      </w:r>
      <w:proofErr w:type="spellStart"/>
      <w:r w:rsidR="00D6507E">
        <w:t>reg</w:t>
      </w:r>
      <w:proofErr w:type="spellEnd"/>
      <w:r w:rsidR="00D6507E">
        <w:t xml:space="preserve"> 102(2), and therefore no occasion to invoke the principle that ambiguity should be resolved in favour of a construction that preserves fundamental common law rights. While the issue of a bankruptcy</w:t>
      </w:r>
      <w:r w:rsidR="006B57FD">
        <w:t xml:space="preserve"> notice </w:t>
      </w:r>
      <w:r w:rsidR="00417D05">
        <w:t>has the potential to affect a</w:t>
      </w:r>
      <w:r w:rsidR="006B57FD">
        <w:t>dversely</w:t>
      </w:r>
      <w:r w:rsidR="00D6507E">
        <w:t xml:space="preserve"> an individual’s interests, the legislat</w:t>
      </w:r>
      <w:r w:rsidR="006B57FD">
        <w:t>ure has clearly chosen not to re</w:t>
      </w:r>
      <w:r w:rsidR="00D6507E">
        <w:t>quire personal service of a bankruptcy notice.</w:t>
      </w:r>
    </w:p>
    <w:p w14:paraId="634DD94F" w14:textId="55DA7D99" w:rsidR="00D6507E" w:rsidRDefault="00D6507E" w:rsidP="00A84436">
      <w:pPr>
        <w:pStyle w:val="ParaNumbering"/>
      </w:pPr>
      <w:r>
        <w:t xml:space="preserve">In my view, the reasoning in </w:t>
      </w:r>
      <w:proofErr w:type="spellStart"/>
      <w:r>
        <w:rPr>
          <w:i/>
        </w:rPr>
        <w:t>Skalkos</w:t>
      </w:r>
      <w:proofErr w:type="spellEnd"/>
      <w:r>
        <w:t xml:space="preserve"> is entirely correct</w:t>
      </w:r>
      <w:r w:rsidR="006B57FD">
        <w:t xml:space="preserve"> and applicable to </w:t>
      </w:r>
      <w:proofErr w:type="spellStart"/>
      <w:r w:rsidR="006B57FD">
        <w:t>reg</w:t>
      </w:r>
      <w:proofErr w:type="spellEnd"/>
      <w:r w:rsidR="006B57FD">
        <w:t xml:space="preserve"> 102</w:t>
      </w:r>
      <w:r w:rsidR="00B23D0D">
        <w:t xml:space="preserve"> in the context of service of a bankruptcy notice</w:t>
      </w:r>
      <w:r>
        <w:t>.</w:t>
      </w:r>
      <w:r w:rsidR="004E69EE">
        <w:t xml:space="preserve"> Even if I had not been of that view, I am certainly not persuaded that </w:t>
      </w:r>
      <w:proofErr w:type="spellStart"/>
      <w:r w:rsidR="004E69EE">
        <w:rPr>
          <w:i/>
        </w:rPr>
        <w:t>Skalkos</w:t>
      </w:r>
      <w:proofErr w:type="spellEnd"/>
      <w:r w:rsidR="004E69EE">
        <w:t xml:space="preserve"> is “plainly wrong”, which would require a strong conviction as to the incorrectness of the earlier decision</w:t>
      </w:r>
      <w:r w:rsidR="006B57FD">
        <w:t>,</w:t>
      </w:r>
      <w:r w:rsidR="004E69EE">
        <w:t xml:space="preserve"> having regard also to whether the earlier decision rested on principle carefully worked out and whether the earlier decision has been otherwise acted upon: </w:t>
      </w:r>
      <w:r w:rsidR="004E69EE" w:rsidRPr="00EC2A35">
        <w:rPr>
          <w:i/>
        </w:rPr>
        <w:t xml:space="preserve">Minister for Immigration, Citizenship, Migrant Services </w:t>
      </w:r>
      <w:r w:rsidR="006B57FD" w:rsidRPr="00EC2A35">
        <w:rPr>
          <w:i/>
        </w:rPr>
        <w:t>and Multicultural Affairs v FAK</w:t>
      </w:r>
      <w:r w:rsidR="004E69EE" w:rsidRPr="00EC2A35">
        <w:rPr>
          <w:i/>
        </w:rPr>
        <w:t xml:space="preserve">19 </w:t>
      </w:r>
      <w:r w:rsidR="004E69EE" w:rsidRPr="00EC2A35">
        <w:t>[2021] FCAFC 153; (2021) 287 FCR 181</w:t>
      </w:r>
      <w:r w:rsidR="004E69EE">
        <w:t xml:space="preserve"> at [</w:t>
      </w:r>
      <w:r w:rsidR="006B57FD">
        <w:t>2</w:t>
      </w:r>
      <w:r w:rsidR="004E69EE">
        <w:t>]-[14] (Allsop CJ).</w:t>
      </w:r>
    </w:p>
    <w:p w14:paraId="3A112F5F" w14:textId="2511FC33" w:rsidR="00EF7BF5" w:rsidRDefault="00EF7BF5" w:rsidP="00EF7BF5">
      <w:pPr>
        <w:pStyle w:val="Heading3"/>
      </w:pPr>
      <w:r>
        <w:t xml:space="preserve">Other </w:t>
      </w:r>
      <w:proofErr w:type="spellStart"/>
      <w:r>
        <w:t>isses</w:t>
      </w:r>
      <w:proofErr w:type="spellEnd"/>
    </w:p>
    <w:p w14:paraId="097680D7" w14:textId="534E84EC" w:rsidR="004E69EE" w:rsidRPr="001F1FD9" w:rsidRDefault="006B57FD" w:rsidP="00A84436">
      <w:pPr>
        <w:pStyle w:val="ParaNumbering"/>
        <w:rPr>
          <w:i/>
        </w:rPr>
      </w:pPr>
      <w:r>
        <w:t xml:space="preserve">Ms Burrows </w:t>
      </w:r>
      <w:r w:rsidR="004E69EE">
        <w:t xml:space="preserve">also makes an application for this appeal to be referred to a Full Court pursuant to </w:t>
      </w:r>
      <w:r w:rsidR="004E69EE" w:rsidRPr="00EC2A35">
        <w:t xml:space="preserve">s 25(1AA) of the </w:t>
      </w:r>
      <w:r w:rsidR="004E69EE" w:rsidRPr="00EC2A35">
        <w:rPr>
          <w:i/>
        </w:rPr>
        <w:t>Federal Court of Australia Act 1976</w:t>
      </w:r>
      <w:r w:rsidR="004E69EE" w:rsidRPr="00EC2A35">
        <w:t xml:space="preserve"> (</w:t>
      </w:r>
      <w:proofErr w:type="spellStart"/>
      <w:r w:rsidR="004E69EE" w:rsidRPr="00EC2A35">
        <w:t>Cth</w:t>
      </w:r>
      <w:proofErr w:type="spellEnd"/>
      <w:r w:rsidR="004E69EE" w:rsidRPr="00EC2A35">
        <w:t>)</w:t>
      </w:r>
      <w:r w:rsidR="004E69EE">
        <w:t xml:space="preserve">. Mr Ward relies upon </w:t>
      </w:r>
      <w:r w:rsidR="004E69EE" w:rsidRPr="00EC2A35">
        <w:rPr>
          <w:i/>
        </w:rPr>
        <w:t>Montero v Minister for Immigration and Border Protection</w:t>
      </w:r>
      <w:r w:rsidR="004E69EE" w:rsidRPr="00EC2A35">
        <w:t xml:space="preserve"> [2014] FCA 1096</w:t>
      </w:r>
      <w:r w:rsidR="004E69EE">
        <w:t>, although in that case Logan J observed at [8] that the application was not opposed.</w:t>
      </w:r>
      <w:r w:rsidR="001F1FD9">
        <w:t xml:space="preserve"> Mr Ward also relies upon </w:t>
      </w:r>
      <w:r w:rsidR="001F1FD9" w:rsidRPr="00EC2A35">
        <w:rPr>
          <w:i/>
        </w:rPr>
        <w:t>SZKNX v Minister for Immigration and Citizenship</w:t>
      </w:r>
      <w:r w:rsidR="001F1FD9" w:rsidRPr="00EC2A35">
        <w:t xml:space="preserve"> [2008] FCA 67</w:t>
      </w:r>
      <w:r w:rsidR="001F1FD9">
        <w:t xml:space="preserve">, in which Tracey J at [9] referred a matter to a Full Court in view of the complex and novel argument which was advanced, observing also that there was no right of appeal from the Court constituted by a single Judge. Mr Ward points out that an order referring the matter to a </w:t>
      </w:r>
      <w:r>
        <w:t>Full C</w:t>
      </w:r>
      <w:r w:rsidR="001F1FD9">
        <w:t xml:space="preserve">ourt may be made even where a single </w:t>
      </w:r>
      <w:r w:rsidR="005716B6">
        <w:t>j</w:t>
      </w:r>
      <w:r w:rsidR="001F1FD9">
        <w:t xml:space="preserve">udge of the Court has commenced to exercise appellate jurisdiction: </w:t>
      </w:r>
      <w:r w:rsidR="001F1FD9" w:rsidRPr="00EC2A35">
        <w:rPr>
          <w:i/>
        </w:rPr>
        <w:t>SZOBI v Minister for Immigration and Citizenship</w:t>
      </w:r>
      <w:r w:rsidR="001F1FD9" w:rsidRPr="00EC2A35">
        <w:t xml:space="preserve"> [2010] FCA 1026</w:t>
      </w:r>
      <w:r w:rsidR="001F1FD9">
        <w:t xml:space="preserve"> at [6] (Bromberg J). In that case, Bromberg J observed at [8] that two relevant factors in exercising the discretion were whether an important question of law arose for determination, and whether there was any prejudice to either party or to the disposition of the appeal.</w:t>
      </w:r>
    </w:p>
    <w:p w14:paraId="7F6E294E" w14:textId="064E4221" w:rsidR="001F1FD9" w:rsidRPr="001F1FD9" w:rsidRDefault="001F1FD9" w:rsidP="00A84436">
      <w:pPr>
        <w:pStyle w:val="ParaNumbering"/>
        <w:rPr>
          <w:i/>
        </w:rPr>
      </w:pPr>
      <w:r>
        <w:t xml:space="preserve">In my view, there </w:t>
      </w:r>
      <w:r w:rsidR="006B57FD">
        <w:t>would be</w:t>
      </w:r>
      <w:r>
        <w:t xml:space="preserve"> no utilit</w:t>
      </w:r>
      <w:r w:rsidR="006B57FD">
        <w:t>y in referring the matter to a Full C</w:t>
      </w:r>
      <w:r>
        <w:t xml:space="preserve">ourt. The substance of the language used in </w:t>
      </w:r>
      <w:proofErr w:type="spellStart"/>
      <w:r>
        <w:t>reg</w:t>
      </w:r>
      <w:proofErr w:type="spellEnd"/>
      <w:r>
        <w:t xml:space="preserve"> 102 has already been considered by two Full Courts by reference to </w:t>
      </w:r>
      <w:r>
        <w:lastRenderedPageBreak/>
        <w:t xml:space="preserve">the substantially similar language used in </w:t>
      </w:r>
      <w:proofErr w:type="spellStart"/>
      <w:r>
        <w:t>reg</w:t>
      </w:r>
      <w:proofErr w:type="spellEnd"/>
      <w:r>
        <w:t xml:space="preserve"> 16.01, and there is no conflict between those judgments requiri</w:t>
      </w:r>
      <w:r w:rsidR="006B57FD">
        <w:t>ng further guidance by another F</w:t>
      </w:r>
      <w:r>
        <w:t xml:space="preserve">ull </w:t>
      </w:r>
      <w:r w:rsidR="006B57FD">
        <w:t>C</w:t>
      </w:r>
      <w:r>
        <w:t xml:space="preserve">ourt. The decision in </w:t>
      </w:r>
      <w:proofErr w:type="spellStart"/>
      <w:r>
        <w:rPr>
          <w:i/>
        </w:rPr>
        <w:t>Skalkos</w:t>
      </w:r>
      <w:proofErr w:type="spellEnd"/>
      <w:r>
        <w:t xml:space="preserve"> has been followed </w:t>
      </w:r>
      <w:r w:rsidR="006B57FD">
        <w:t>many times over</w:t>
      </w:r>
      <w:r>
        <w:t xml:space="preserve"> almost twenty years, without any </w:t>
      </w:r>
      <w:r w:rsidR="00BC3DA5">
        <w:t>j</w:t>
      </w:r>
      <w:r>
        <w:t>udge of this Court expressing any doubt concerning the reasoning in it. Furt</w:t>
      </w:r>
      <w:r w:rsidR="006B57FD">
        <w:t>her, referring the matter to a Full C</w:t>
      </w:r>
      <w:r>
        <w:t>ourt would inevitably lead to further delay</w:t>
      </w:r>
      <w:r w:rsidR="006B57FD">
        <w:t xml:space="preserve"> and expense</w:t>
      </w:r>
      <w:r>
        <w:t xml:space="preserve"> in this litigation. In my view, that constitutes </w:t>
      </w:r>
      <w:r w:rsidR="006B57FD">
        <w:t>substantial</w:t>
      </w:r>
      <w:r>
        <w:t xml:space="preserve"> prejudice to MKL. Further, in my view it would be an unwarranted use of the resources of this Court to require two </w:t>
      </w:r>
      <w:r w:rsidR="006B57FD">
        <w:t xml:space="preserve">(or possibly four) </w:t>
      </w:r>
      <w:r>
        <w:t>additional judges to hear and decide the appeal.</w:t>
      </w:r>
      <w:r w:rsidR="006B57FD">
        <w:t xml:space="preserve"> Accordingly, I refuse the application for referral to a Full Court.</w:t>
      </w:r>
    </w:p>
    <w:p w14:paraId="5540E705" w14:textId="36DCA9D5" w:rsidR="001F1FD9" w:rsidRDefault="001F1FD9" w:rsidP="001F1FD9">
      <w:pPr>
        <w:pStyle w:val="Heading2"/>
      </w:pPr>
      <w:r>
        <w:t>Grounds 7 to 10</w:t>
      </w:r>
    </w:p>
    <w:p w14:paraId="4A6C1E74" w14:textId="3FAF1E30" w:rsidR="001F1FD9" w:rsidRDefault="001F1FD9" w:rsidP="001F1FD9">
      <w:pPr>
        <w:pStyle w:val="ParaNumbering"/>
      </w:pPr>
      <w:r>
        <w:t>It is common ground that Grounds 7 to 10 do not arise unless the Court finds that the primary judge did have power to set aside the Bankruptcy Notice. As I am of the view that the primary judge correctly concluded that there was no such power, given the lapse of 21 days from service of the Bankruptcy Notice without an application having been made by Ms Burrows</w:t>
      </w:r>
      <w:r w:rsidR="006B57FD">
        <w:t xml:space="preserve"> to set aside the Bankruptcy Notice</w:t>
      </w:r>
      <w:r>
        <w:t>, there is no need to consider Grounds 7 to 10.</w:t>
      </w:r>
      <w:r w:rsidR="00114854">
        <w:t xml:space="preserve"> Nor is there any need to deal with the issue of the appropriate form of relief in the event of the appeal being allowed.</w:t>
      </w:r>
    </w:p>
    <w:p w14:paraId="4F6750ED" w14:textId="26A06AD9" w:rsidR="001F1FD9" w:rsidRDefault="001F1FD9" w:rsidP="001F1FD9">
      <w:pPr>
        <w:pStyle w:val="Heading2"/>
      </w:pPr>
      <w:r>
        <w:t>Conclusion</w:t>
      </w:r>
    </w:p>
    <w:p w14:paraId="5A7F466C" w14:textId="77777777" w:rsidR="00692E67" w:rsidRDefault="001F1FD9" w:rsidP="00692E67">
      <w:pPr>
        <w:pStyle w:val="ParaNumbering"/>
      </w:pPr>
      <w:r>
        <w:t>Accordingly, the appeal should be dismissed, and the appellant should be ordered to pay the respondent’s costs.</w:t>
      </w:r>
    </w:p>
    <w:p w14:paraId="6DD0A237" w14:textId="77777777" w:rsidR="00692E67" w:rsidRDefault="00692E67" w:rsidP="00815065">
      <w:pPr>
        <w:pStyle w:val="BodyText"/>
      </w:pPr>
      <w:bookmarkStart w:id="24" w:name="Certification"/>
    </w:p>
    <w:tbl>
      <w:tblPr>
        <w:tblW w:w="0" w:type="auto"/>
        <w:tblLook w:val="04A0" w:firstRow="1" w:lastRow="0" w:firstColumn="1" w:lastColumn="0" w:noHBand="0" w:noVBand="1"/>
      </w:tblPr>
      <w:tblGrid>
        <w:gridCol w:w="3794"/>
      </w:tblGrid>
      <w:tr w:rsidR="00692E67" w:rsidRPr="00692E67" w14:paraId="35604C4E" w14:textId="77777777">
        <w:tc>
          <w:tcPr>
            <w:tcW w:w="3794" w:type="dxa"/>
            <w:shd w:val="clear" w:color="auto" w:fill="auto"/>
          </w:tcPr>
          <w:p w14:paraId="77EC0A9E" w14:textId="4A126959" w:rsidR="00692E67" w:rsidRPr="00692E67" w:rsidRDefault="00692E67" w:rsidP="00692E67">
            <w:pPr>
              <w:pStyle w:val="Normal1linespace"/>
            </w:pPr>
            <w:r w:rsidRPr="00692E67">
              <w:t xml:space="preserve">I certify that the preceding </w:t>
            </w:r>
            <w:bookmarkStart w:id="25" w:name="NumberWord"/>
            <w:r>
              <w:t>forty-one</w:t>
            </w:r>
            <w:bookmarkEnd w:id="25"/>
            <w:r w:rsidRPr="00692E67">
              <w:t xml:space="preserve"> (</w:t>
            </w:r>
            <w:bookmarkStart w:id="26" w:name="NumberNumeral"/>
            <w:r>
              <w:t>41</w:t>
            </w:r>
            <w:bookmarkEnd w:id="26"/>
            <w:r w:rsidRPr="00692E67">
              <w:t xml:space="preserve">) numbered </w:t>
            </w:r>
            <w:bookmarkStart w:id="27" w:name="CertPara"/>
            <w:r>
              <w:t>paragraphs are</w:t>
            </w:r>
            <w:bookmarkEnd w:id="27"/>
            <w:r w:rsidRPr="00692E67">
              <w:t xml:space="preserve"> a true copy of the Reasons for Judgment of </w:t>
            </w:r>
            <w:bookmarkStart w:id="28" w:name="bkHonourable"/>
            <w:r w:rsidRPr="00692E67">
              <w:t xml:space="preserve">the Honourable </w:t>
            </w:r>
            <w:bookmarkStart w:id="29" w:name="Justice"/>
            <w:bookmarkEnd w:id="28"/>
            <w:r>
              <w:t>Justice Jackman</w:t>
            </w:r>
            <w:bookmarkEnd w:id="29"/>
            <w:r w:rsidRPr="00692E67">
              <w:t>.</w:t>
            </w:r>
          </w:p>
        </w:tc>
      </w:tr>
    </w:tbl>
    <w:p w14:paraId="4A5C1E62" w14:textId="77777777" w:rsidR="00692E67" w:rsidRDefault="00692E67" w:rsidP="00815065">
      <w:pPr>
        <w:pStyle w:val="BodyText"/>
      </w:pPr>
    </w:p>
    <w:p w14:paraId="03E38D65" w14:textId="212094A7" w:rsidR="00692E67" w:rsidRDefault="00692E67" w:rsidP="00815065">
      <w:pPr>
        <w:pStyle w:val="BodyText"/>
      </w:pPr>
      <w:bookmarkStart w:id="30" w:name="_GoBack"/>
      <w:bookmarkEnd w:id="30"/>
      <w:r>
        <w:t xml:space="preserve">Associate: </w:t>
      </w:r>
    </w:p>
    <w:p w14:paraId="4BB4160F" w14:textId="77777777" w:rsidR="00692E67" w:rsidRDefault="00692E67" w:rsidP="00815065">
      <w:pPr>
        <w:pStyle w:val="BodyText"/>
      </w:pPr>
    </w:p>
    <w:p w14:paraId="56BF2A65" w14:textId="28AF5CBE" w:rsidR="00692E67" w:rsidRDefault="00692E67" w:rsidP="00815065">
      <w:pPr>
        <w:pStyle w:val="BodyText"/>
        <w:tabs>
          <w:tab w:val="left" w:pos="1134"/>
        </w:tabs>
      </w:pPr>
      <w:r>
        <w:t>Dated:</w:t>
      </w:r>
      <w:r>
        <w:tab/>
      </w:r>
      <w:bookmarkStart w:id="31" w:name="CertifyDated"/>
      <w:r>
        <w:t>13 June 2023</w:t>
      </w:r>
      <w:bookmarkEnd w:id="31"/>
    </w:p>
    <w:p w14:paraId="7ECA4293" w14:textId="77777777" w:rsidR="00692E67" w:rsidRDefault="00692E67" w:rsidP="00815065">
      <w:pPr>
        <w:pStyle w:val="BodyText"/>
      </w:pPr>
    </w:p>
    <w:bookmarkEnd w:id="24"/>
    <w:p w14:paraId="789A909B" w14:textId="75ED49D4" w:rsidR="00E66E19" w:rsidRPr="00435679" w:rsidRDefault="00C0016B" w:rsidP="00692E67">
      <w:pPr>
        <w:pStyle w:val="BodyText"/>
      </w:pPr>
      <w:r>
        <w:t xml:space="preserve">                                           </w:t>
      </w:r>
    </w:p>
    <w:sectPr w:rsidR="00E66E19" w:rsidRPr="00435679"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C7D00" w14:textId="77777777" w:rsidR="00086923" w:rsidRDefault="00086923">
      <w:pPr>
        <w:spacing w:line="20" w:lineRule="exact"/>
      </w:pPr>
    </w:p>
    <w:p w14:paraId="21841B82" w14:textId="77777777" w:rsidR="00086923" w:rsidRDefault="00086923"/>
    <w:p w14:paraId="641FFEAD" w14:textId="77777777" w:rsidR="00086923" w:rsidRDefault="00086923"/>
  </w:endnote>
  <w:endnote w:type="continuationSeparator" w:id="0">
    <w:p w14:paraId="782003C7" w14:textId="77777777" w:rsidR="00086923" w:rsidRDefault="00086923">
      <w:r>
        <w:t xml:space="preserve"> </w:t>
      </w:r>
    </w:p>
    <w:p w14:paraId="7F3DE2C0" w14:textId="77777777" w:rsidR="00086923" w:rsidRDefault="00086923"/>
    <w:p w14:paraId="0430CA87" w14:textId="77777777" w:rsidR="00086923" w:rsidRDefault="00086923"/>
  </w:endnote>
  <w:endnote w:type="continuationNotice" w:id="1">
    <w:p w14:paraId="5DF01A97" w14:textId="77777777" w:rsidR="00086923" w:rsidRDefault="00086923">
      <w:r>
        <w:t xml:space="preserve"> </w:t>
      </w:r>
    </w:p>
    <w:p w14:paraId="5F390B43" w14:textId="77777777" w:rsidR="00086923" w:rsidRDefault="00086923"/>
    <w:p w14:paraId="2A720593" w14:textId="77777777" w:rsidR="00086923" w:rsidRDefault="00086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BDCE" w14:textId="448EE258" w:rsidR="00086923" w:rsidRPr="00C47B9D" w:rsidRDefault="00086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878854E" wp14:editId="629EB64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A649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24CC5">
          <w:rPr>
            <w:bCs/>
            <w:sz w:val="18"/>
            <w:szCs w:val="18"/>
          </w:rPr>
          <w:t xml:space="preserve"> Burrows v Macpherson and Kelley Lawyers (Sydney) Pty Ltd [2023] FCA 622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DF17" w14:textId="3F9632A8" w:rsidR="00086923" w:rsidRPr="00C47B9D" w:rsidRDefault="0008692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DC4DEA5" wp14:editId="049E5A0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8AFA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A61CB9C83D14D84A25239CD2CAAEADD"/>
        </w:placeholder>
        <w:dataBinding w:prefixMappings="xmlns:ns0='http://schemas.globalmacros.com/FCA'" w:xpath="/ns0:root[1]/ns0:Name[1]" w:storeItemID="{687E7CCB-4AA5-44E7-B148-17BA2B6F57C0}"/>
        <w:text w:multiLine="1"/>
      </w:sdtPr>
      <w:sdtEndPr/>
      <w:sdtContent>
        <w:r w:rsidR="00E24CC5">
          <w:rPr>
            <w:bCs/>
            <w:sz w:val="18"/>
            <w:szCs w:val="18"/>
          </w:rPr>
          <w:t xml:space="preserve"> Burrows v Macpherson and Kelley Lawyers (Sydney) Pty Ltd [2023] FCA 622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75A6" w14:textId="1A64F436" w:rsidR="00086923" w:rsidRPr="00C47B9D" w:rsidRDefault="00086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49EF87CB" wp14:editId="05394FC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0AB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E3E20E34251B4740B41E3D1396AE57F0"/>
        </w:placeholder>
        <w:dataBinding w:prefixMappings="xmlns:ns0='http://schemas.globalmacros.com/FCA'" w:xpath="/ns0:root[1]/ns0:Name[1]" w:storeItemID="{687E7CCB-4AA5-44E7-B148-17BA2B6F57C0}"/>
        <w:text w:multiLine="1"/>
      </w:sdtPr>
      <w:sdtEndPr/>
      <w:sdtContent>
        <w:r w:rsidR="00E24CC5">
          <w:rPr>
            <w:bCs/>
            <w:sz w:val="18"/>
            <w:szCs w:val="18"/>
          </w:rPr>
          <w:t xml:space="preserve"> Burrows v Macpherson and Kelley Lawyers (Sydney) Pty Ltd [2023] FCA 622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C7890">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4D75" w14:textId="3CD2D5DE" w:rsidR="00086923" w:rsidRPr="00C47B9D" w:rsidRDefault="00086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E1AA09F" wp14:editId="1E90CE3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37ED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28E99A0462E4C34B709FF009DCF26A5"/>
        </w:placeholder>
        <w:dataBinding w:prefixMappings="xmlns:ns0='http://schemas.globalmacros.com/FCA'" w:xpath="/ns0:root[1]/ns0:Name[1]" w:storeItemID="{687E7CCB-4AA5-44E7-B148-17BA2B6F57C0}"/>
        <w:text w:multiLine="1"/>
      </w:sdtPr>
      <w:sdtEndPr/>
      <w:sdtContent>
        <w:r w:rsidR="00E24CC5">
          <w:rPr>
            <w:bCs/>
            <w:sz w:val="18"/>
            <w:szCs w:val="18"/>
          </w:rPr>
          <w:t xml:space="preserve"> Burrows v Macpherson and Kelley Lawyers (Sydney) Pty Ltd [2023] FCA 622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C7890">
      <w:rPr>
        <w:bCs/>
        <w:noProof/>
        <w:sz w:val="20"/>
      </w:rPr>
      <w:t>14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A880" w14:textId="561372C9" w:rsidR="00086923" w:rsidRPr="00C47B9D" w:rsidRDefault="00086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4435D95" wp14:editId="1769FBE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1C53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B3B9DD4A8E04FBDA0EF5063DD5920B3"/>
        </w:placeholder>
        <w:dataBinding w:prefixMappings="xmlns:ns0='http://schemas.globalmacros.com/FCA'" w:xpath="/ns0:root[1]/ns0:Name[1]" w:storeItemID="{687E7CCB-4AA5-44E7-B148-17BA2B6F57C0}"/>
        <w:text w:multiLine="1"/>
      </w:sdtPr>
      <w:sdtEndPr/>
      <w:sdtContent>
        <w:r w:rsidR="00E24CC5">
          <w:rPr>
            <w:bCs/>
            <w:sz w:val="18"/>
            <w:szCs w:val="18"/>
          </w:rPr>
          <w:t xml:space="preserve"> Burrows v Macpherson and Kelley Lawyers (Sydney) Pty Ltd [2023] FCA 622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C789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34C2" w14:textId="77777777" w:rsidR="00086923" w:rsidRDefault="00086923"/>
  </w:footnote>
  <w:footnote w:type="continuationSeparator" w:id="0">
    <w:p w14:paraId="0F0205D3" w14:textId="77777777" w:rsidR="00086923" w:rsidRDefault="00086923">
      <w:r>
        <w:continuationSeparator/>
      </w:r>
    </w:p>
    <w:p w14:paraId="5BA62CA5" w14:textId="77777777" w:rsidR="00086923" w:rsidRDefault="00086923"/>
    <w:p w14:paraId="110B8A3D" w14:textId="77777777" w:rsidR="00086923" w:rsidRDefault="000869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E1AA" w14:textId="77777777" w:rsidR="00086923" w:rsidRDefault="0008692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FDC6" w14:textId="77777777" w:rsidR="00086923" w:rsidRDefault="0008692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518C" w14:textId="77777777" w:rsidR="00086923" w:rsidRDefault="0008692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1F72" w14:textId="77777777" w:rsidR="00086923" w:rsidRDefault="0008692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3F33" w14:textId="77777777" w:rsidR="00086923" w:rsidRDefault="0008692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46BA9D54"/>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9E84B14"/>
    <w:multiLevelType w:val="hybridMultilevel"/>
    <w:tmpl w:val="056A3328"/>
    <w:lvl w:ilvl="0" w:tplc="1CA4154A">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3"/>
  </w:num>
  <w:num w:numId="17">
    <w:abstractNumId w:val="24"/>
  </w:num>
  <w:num w:numId="18">
    <w:abstractNumId w:val="11"/>
  </w:num>
  <w:num w:numId="19">
    <w:abstractNumId w:val="18"/>
  </w:num>
  <w:num w:numId="20">
    <w:abstractNumId w:val="15"/>
    <w:lvlOverride w:ilvl="2">
      <w:lvl w:ilvl="2">
        <w:start w:val="1"/>
        <w:numFmt w:val="lowerRoman"/>
        <w:pStyle w:val="Order3"/>
        <w:lvlText w:val="(%3)"/>
        <w:lvlJc w:val="left"/>
        <w:pPr>
          <w:tabs>
            <w:tab w:val="num" w:pos="1440"/>
          </w:tabs>
          <w:ind w:left="2160" w:hanging="720"/>
        </w:pPr>
        <w:rPr>
          <w:rFonts w:hint="default"/>
        </w:rPr>
      </w:lvl>
    </w:lvlOverride>
  </w:num>
  <w:num w:numId="21">
    <w:abstractNumId w:val="16"/>
  </w:num>
  <w:num w:numId="22">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5"/>
  </w:num>
  <w:num w:numId="3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Zali Burrows"/>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77 of 2023"/>
    <w:docVar w:name="Initiators" w:val="(and another named in the Schedule)"/>
    <w:docVar w:name="Judgdate" w:val="13 June 2023"/>
    <w:docVar w:name="Judge" w:val="JACKMAN"/>
    <w:docVar w:name="JudgeType" w:val="Justice"/>
    <w:docVar w:name="lstEntryList" w:val="-1"/>
    <w:docVar w:name="myEntryList" w:val="Counsel for the Applicant=Mr D A Ward|Solicitor for the Applicant=Ms Burrows was self-represented.|Counsel for the Respondent=Mr D Neggo|Solicitor for the Respondent=M&amp;K Lawyers Group Pty Ltd"/>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Macpherson and Kelley Lawyers (Sydney) NSW ACN 172 962 298"/>
    <w:docVar w:name="ResState" w:val="New South Wales"/>
    <w:docVar w:name="SubArea" w:val="General and Personal Insolvency (C &amp; C)"/>
  </w:docVars>
  <w:rsids>
    <w:rsidRoot w:val="00B77FFE"/>
    <w:rsid w:val="00000747"/>
    <w:rsid w:val="00006647"/>
    <w:rsid w:val="000115C5"/>
    <w:rsid w:val="0001469E"/>
    <w:rsid w:val="00015993"/>
    <w:rsid w:val="00021CCB"/>
    <w:rsid w:val="00022289"/>
    <w:rsid w:val="000225D7"/>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86923"/>
    <w:rsid w:val="000A2D2F"/>
    <w:rsid w:val="000A2E76"/>
    <w:rsid w:val="000A4807"/>
    <w:rsid w:val="000A4BE4"/>
    <w:rsid w:val="000A56FD"/>
    <w:rsid w:val="000C023E"/>
    <w:rsid w:val="000C1D09"/>
    <w:rsid w:val="000C405D"/>
    <w:rsid w:val="000C5195"/>
    <w:rsid w:val="000C62EF"/>
    <w:rsid w:val="000D2137"/>
    <w:rsid w:val="000D3FD2"/>
    <w:rsid w:val="000D4B2E"/>
    <w:rsid w:val="000D4BC0"/>
    <w:rsid w:val="000E33F5"/>
    <w:rsid w:val="000E3FC8"/>
    <w:rsid w:val="000E7BAE"/>
    <w:rsid w:val="000F133D"/>
    <w:rsid w:val="0010536B"/>
    <w:rsid w:val="0011145C"/>
    <w:rsid w:val="001128BD"/>
    <w:rsid w:val="0011419D"/>
    <w:rsid w:val="00114854"/>
    <w:rsid w:val="00114B02"/>
    <w:rsid w:val="00115818"/>
    <w:rsid w:val="001226C0"/>
    <w:rsid w:val="00126EC8"/>
    <w:rsid w:val="0012731C"/>
    <w:rsid w:val="00132054"/>
    <w:rsid w:val="00134964"/>
    <w:rsid w:val="001351B9"/>
    <w:rsid w:val="001559E7"/>
    <w:rsid w:val="00155CD2"/>
    <w:rsid w:val="001675D6"/>
    <w:rsid w:val="001727A4"/>
    <w:rsid w:val="0017376C"/>
    <w:rsid w:val="001738AB"/>
    <w:rsid w:val="00174996"/>
    <w:rsid w:val="001765E0"/>
    <w:rsid w:val="00177759"/>
    <w:rsid w:val="001806C7"/>
    <w:rsid w:val="00180BB3"/>
    <w:rsid w:val="00180EBC"/>
    <w:rsid w:val="00185DD6"/>
    <w:rsid w:val="00185E6B"/>
    <w:rsid w:val="00187BBC"/>
    <w:rsid w:val="001932F3"/>
    <w:rsid w:val="00193D4A"/>
    <w:rsid w:val="001944E9"/>
    <w:rsid w:val="001A2B40"/>
    <w:rsid w:val="001A4309"/>
    <w:rsid w:val="001A46AE"/>
    <w:rsid w:val="001A6186"/>
    <w:rsid w:val="001A6C52"/>
    <w:rsid w:val="001B1053"/>
    <w:rsid w:val="001B14AC"/>
    <w:rsid w:val="001B7940"/>
    <w:rsid w:val="001C171A"/>
    <w:rsid w:val="001C2FE0"/>
    <w:rsid w:val="001C37CA"/>
    <w:rsid w:val="001C4085"/>
    <w:rsid w:val="001D0CDD"/>
    <w:rsid w:val="001D345C"/>
    <w:rsid w:val="001D4303"/>
    <w:rsid w:val="001D6746"/>
    <w:rsid w:val="001E0C61"/>
    <w:rsid w:val="001E3B49"/>
    <w:rsid w:val="001E4A05"/>
    <w:rsid w:val="001E6A19"/>
    <w:rsid w:val="001E7388"/>
    <w:rsid w:val="001F13DD"/>
    <w:rsid w:val="001F1FD9"/>
    <w:rsid w:val="001F2473"/>
    <w:rsid w:val="001F2DBC"/>
    <w:rsid w:val="001F52C2"/>
    <w:rsid w:val="001F7236"/>
    <w:rsid w:val="001F73E8"/>
    <w:rsid w:val="00200651"/>
    <w:rsid w:val="00200EF6"/>
    <w:rsid w:val="0020262C"/>
    <w:rsid w:val="00202723"/>
    <w:rsid w:val="002044FD"/>
    <w:rsid w:val="00207FB4"/>
    <w:rsid w:val="00211A3E"/>
    <w:rsid w:val="00213F20"/>
    <w:rsid w:val="00214055"/>
    <w:rsid w:val="00215BCA"/>
    <w:rsid w:val="002160F5"/>
    <w:rsid w:val="00217AC4"/>
    <w:rsid w:val="00221461"/>
    <w:rsid w:val="00224537"/>
    <w:rsid w:val="00235956"/>
    <w:rsid w:val="00243E5E"/>
    <w:rsid w:val="002467A6"/>
    <w:rsid w:val="00247C9A"/>
    <w:rsid w:val="0025160C"/>
    <w:rsid w:val="0025168A"/>
    <w:rsid w:val="002535D0"/>
    <w:rsid w:val="002539B3"/>
    <w:rsid w:val="00256336"/>
    <w:rsid w:val="00257C3E"/>
    <w:rsid w:val="002602C2"/>
    <w:rsid w:val="00263CCF"/>
    <w:rsid w:val="002666C9"/>
    <w:rsid w:val="00270136"/>
    <w:rsid w:val="00270FD7"/>
    <w:rsid w:val="00274F5B"/>
    <w:rsid w:val="00280836"/>
    <w:rsid w:val="00282E1A"/>
    <w:rsid w:val="002840F1"/>
    <w:rsid w:val="00285922"/>
    <w:rsid w:val="00290E1E"/>
    <w:rsid w:val="0029113B"/>
    <w:rsid w:val="002934C0"/>
    <w:rsid w:val="00293E1F"/>
    <w:rsid w:val="0029764C"/>
    <w:rsid w:val="002A1B50"/>
    <w:rsid w:val="002A7220"/>
    <w:rsid w:val="002B0E91"/>
    <w:rsid w:val="002B132C"/>
    <w:rsid w:val="002B3F23"/>
    <w:rsid w:val="002B4EB5"/>
    <w:rsid w:val="002B5AF5"/>
    <w:rsid w:val="002B6779"/>
    <w:rsid w:val="002B71C0"/>
    <w:rsid w:val="002B7A34"/>
    <w:rsid w:val="002B7BD0"/>
    <w:rsid w:val="002C1852"/>
    <w:rsid w:val="002C31AD"/>
    <w:rsid w:val="002C7385"/>
    <w:rsid w:val="002D2DBB"/>
    <w:rsid w:val="002D37D8"/>
    <w:rsid w:val="002D54A6"/>
    <w:rsid w:val="002E3779"/>
    <w:rsid w:val="002E5BF9"/>
    <w:rsid w:val="002E6A7A"/>
    <w:rsid w:val="002F1E49"/>
    <w:rsid w:val="002F4E9C"/>
    <w:rsid w:val="002F6E15"/>
    <w:rsid w:val="00302F4E"/>
    <w:rsid w:val="0031001B"/>
    <w:rsid w:val="0031256C"/>
    <w:rsid w:val="00314D6C"/>
    <w:rsid w:val="00315A53"/>
    <w:rsid w:val="00316D2A"/>
    <w:rsid w:val="00322A7C"/>
    <w:rsid w:val="00322EEC"/>
    <w:rsid w:val="00323061"/>
    <w:rsid w:val="003402D3"/>
    <w:rsid w:val="0034068E"/>
    <w:rsid w:val="00343ABC"/>
    <w:rsid w:val="003463FE"/>
    <w:rsid w:val="003472FC"/>
    <w:rsid w:val="00347D41"/>
    <w:rsid w:val="0035352B"/>
    <w:rsid w:val="003554B3"/>
    <w:rsid w:val="00356632"/>
    <w:rsid w:val="00357C7E"/>
    <w:rsid w:val="00363DE3"/>
    <w:rsid w:val="003653B6"/>
    <w:rsid w:val="003656FC"/>
    <w:rsid w:val="00370327"/>
    <w:rsid w:val="00374CC4"/>
    <w:rsid w:val="003774B2"/>
    <w:rsid w:val="00380F2D"/>
    <w:rsid w:val="00381C33"/>
    <w:rsid w:val="003845A9"/>
    <w:rsid w:val="0038476A"/>
    <w:rsid w:val="003850C9"/>
    <w:rsid w:val="00390883"/>
    <w:rsid w:val="003922F8"/>
    <w:rsid w:val="00395B24"/>
    <w:rsid w:val="003A2D38"/>
    <w:rsid w:val="003A6A68"/>
    <w:rsid w:val="003A6E16"/>
    <w:rsid w:val="003A7ECC"/>
    <w:rsid w:val="003B2C72"/>
    <w:rsid w:val="003B58B4"/>
    <w:rsid w:val="003C1333"/>
    <w:rsid w:val="003C20FF"/>
    <w:rsid w:val="003C29A6"/>
    <w:rsid w:val="003C550A"/>
    <w:rsid w:val="003C6055"/>
    <w:rsid w:val="003D2650"/>
    <w:rsid w:val="003D3359"/>
    <w:rsid w:val="003D560C"/>
    <w:rsid w:val="003D5C00"/>
    <w:rsid w:val="003E3154"/>
    <w:rsid w:val="003E5874"/>
    <w:rsid w:val="003E72D3"/>
    <w:rsid w:val="003F193E"/>
    <w:rsid w:val="003F242C"/>
    <w:rsid w:val="003F34F1"/>
    <w:rsid w:val="004031D8"/>
    <w:rsid w:val="004104B6"/>
    <w:rsid w:val="00411AE8"/>
    <w:rsid w:val="00413B74"/>
    <w:rsid w:val="00417D05"/>
    <w:rsid w:val="00433F08"/>
    <w:rsid w:val="004342F3"/>
    <w:rsid w:val="00435679"/>
    <w:rsid w:val="00435C5F"/>
    <w:rsid w:val="00436155"/>
    <w:rsid w:val="00436460"/>
    <w:rsid w:val="00441E98"/>
    <w:rsid w:val="00450F3A"/>
    <w:rsid w:val="004532F7"/>
    <w:rsid w:val="00462924"/>
    <w:rsid w:val="00464D51"/>
    <w:rsid w:val="00465D08"/>
    <w:rsid w:val="00472027"/>
    <w:rsid w:val="004804CF"/>
    <w:rsid w:val="00483314"/>
    <w:rsid w:val="0048341C"/>
    <w:rsid w:val="00484962"/>
    <w:rsid w:val="00484F6D"/>
    <w:rsid w:val="00484FB7"/>
    <w:rsid w:val="0048554D"/>
    <w:rsid w:val="0049338A"/>
    <w:rsid w:val="0049417F"/>
    <w:rsid w:val="00496D41"/>
    <w:rsid w:val="004A6602"/>
    <w:rsid w:val="004A670A"/>
    <w:rsid w:val="004B0F1D"/>
    <w:rsid w:val="004B3EFA"/>
    <w:rsid w:val="004C0542"/>
    <w:rsid w:val="004C2A87"/>
    <w:rsid w:val="004C4D7B"/>
    <w:rsid w:val="004C4ED3"/>
    <w:rsid w:val="004C667B"/>
    <w:rsid w:val="004C7ECD"/>
    <w:rsid w:val="004D2EA5"/>
    <w:rsid w:val="004D32A6"/>
    <w:rsid w:val="004D53E5"/>
    <w:rsid w:val="004D7950"/>
    <w:rsid w:val="004E69EE"/>
    <w:rsid w:val="004E6DC4"/>
    <w:rsid w:val="004F21C1"/>
    <w:rsid w:val="004F4B6F"/>
    <w:rsid w:val="00501A12"/>
    <w:rsid w:val="0050309C"/>
    <w:rsid w:val="0051327C"/>
    <w:rsid w:val="0051346D"/>
    <w:rsid w:val="00513EAE"/>
    <w:rsid w:val="0051434F"/>
    <w:rsid w:val="00516806"/>
    <w:rsid w:val="0052098C"/>
    <w:rsid w:val="00525A49"/>
    <w:rsid w:val="005262D1"/>
    <w:rsid w:val="00530876"/>
    <w:rsid w:val="00535613"/>
    <w:rsid w:val="005359EB"/>
    <w:rsid w:val="005416FC"/>
    <w:rsid w:val="0054254A"/>
    <w:rsid w:val="0054500B"/>
    <w:rsid w:val="005466B5"/>
    <w:rsid w:val="0055132E"/>
    <w:rsid w:val="00552E74"/>
    <w:rsid w:val="00554314"/>
    <w:rsid w:val="00561B9D"/>
    <w:rsid w:val="00562829"/>
    <w:rsid w:val="005629B3"/>
    <w:rsid w:val="00562AD4"/>
    <w:rsid w:val="00562CC9"/>
    <w:rsid w:val="00562CF0"/>
    <w:rsid w:val="005668FD"/>
    <w:rsid w:val="0057128A"/>
    <w:rsid w:val="005716B6"/>
    <w:rsid w:val="005724F6"/>
    <w:rsid w:val="00573AC4"/>
    <w:rsid w:val="005801FC"/>
    <w:rsid w:val="00585BA9"/>
    <w:rsid w:val="00587359"/>
    <w:rsid w:val="00595016"/>
    <w:rsid w:val="00595E2F"/>
    <w:rsid w:val="00597AAE"/>
    <w:rsid w:val="00597CDA"/>
    <w:rsid w:val="005A222C"/>
    <w:rsid w:val="005A44D6"/>
    <w:rsid w:val="005A4DF8"/>
    <w:rsid w:val="005A78C8"/>
    <w:rsid w:val="005A7905"/>
    <w:rsid w:val="005B0C55"/>
    <w:rsid w:val="005B1426"/>
    <w:rsid w:val="005B2B43"/>
    <w:rsid w:val="005C0A8E"/>
    <w:rsid w:val="005C1767"/>
    <w:rsid w:val="005C185C"/>
    <w:rsid w:val="005C3E46"/>
    <w:rsid w:val="005C42EF"/>
    <w:rsid w:val="005D2DD1"/>
    <w:rsid w:val="005E02F5"/>
    <w:rsid w:val="005E0510"/>
    <w:rsid w:val="005E176E"/>
    <w:rsid w:val="005E218E"/>
    <w:rsid w:val="005E35A0"/>
    <w:rsid w:val="005E7582"/>
    <w:rsid w:val="005F0D1B"/>
    <w:rsid w:val="005F1865"/>
    <w:rsid w:val="006007BD"/>
    <w:rsid w:val="006013C8"/>
    <w:rsid w:val="0060270D"/>
    <w:rsid w:val="00602F44"/>
    <w:rsid w:val="00604342"/>
    <w:rsid w:val="00604611"/>
    <w:rsid w:val="00611586"/>
    <w:rsid w:val="00612D26"/>
    <w:rsid w:val="00613078"/>
    <w:rsid w:val="00613DCA"/>
    <w:rsid w:val="00615855"/>
    <w:rsid w:val="00620DA8"/>
    <w:rsid w:val="00621887"/>
    <w:rsid w:val="006236C1"/>
    <w:rsid w:val="00624520"/>
    <w:rsid w:val="006271F5"/>
    <w:rsid w:val="00632300"/>
    <w:rsid w:val="00632BB7"/>
    <w:rsid w:val="00635B36"/>
    <w:rsid w:val="00636871"/>
    <w:rsid w:val="00640EE1"/>
    <w:rsid w:val="00640F4E"/>
    <w:rsid w:val="00643DE0"/>
    <w:rsid w:val="0064437D"/>
    <w:rsid w:val="00644E85"/>
    <w:rsid w:val="006451D4"/>
    <w:rsid w:val="006516D8"/>
    <w:rsid w:val="00652C52"/>
    <w:rsid w:val="0066063F"/>
    <w:rsid w:val="00662BB0"/>
    <w:rsid w:val="00663878"/>
    <w:rsid w:val="00667773"/>
    <w:rsid w:val="00670743"/>
    <w:rsid w:val="0067227E"/>
    <w:rsid w:val="00680A85"/>
    <w:rsid w:val="00681ADF"/>
    <w:rsid w:val="00682406"/>
    <w:rsid w:val="006863A5"/>
    <w:rsid w:val="00690EE2"/>
    <w:rsid w:val="00692E67"/>
    <w:rsid w:val="00693854"/>
    <w:rsid w:val="00694BEB"/>
    <w:rsid w:val="006A0E20"/>
    <w:rsid w:val="006A24E3"/>
    <w:rsid w:val="006A3B4B"/>
    <w:rsid w:val="006A5695"/>
    <w:rsid w:val="006B0439"/>
    <w:rsid w:val="006B3904"/>
    <w:rsid w:val="006B57FD"/>
    <w:rsid w:val="006B5B7D"/>
    <w:rsid w:val="006C1437"/>
    <w:rsid w:val="006C5B46"/>
    <w:rsid w:val="006C6E39"/>
    <w:rsid w:val="006D0ECF"/>
    <w:rsid w:val="006D1BF3"/>
    <w:rsid w:val="006D3D5B"/>
    <w:rsid w:val="006D4C92"/>
    <w:rsid w:val="006D4EB6"/>
    <w:rsid w:val="006D7FBC"/>
    <w:rsid w:val="006E35BF"/>
    <w:rsid w:val="006E7850"/>
    <w:rsid w:val="006F0BCD"/>
    <w:rsid w:val="006F19D8"/>
    <w:rsid w:val="006F46D6"/>
    <w:rsid w:val="006F4BBB"/>
    <w:rsid w:val="007028D9"/>
    <w:rsid w:val="00707218"/>
    <w:rsid w:val="00710D04"/>
    <w:rsid w:val="00712B1D"/>
    <w:rsid w:val="00713802"/>
    <w:rsid w:val="00715751"/>
    <w:rsid w:val="007171BA"/>
    <w:rsid w:val="00717616"/>
    <w:rsid w:val="007261AF"/>
    <w:rsid w:val="007325D9"/>
    <w:rsid w:val="0073413F"/>
    <w:rsid w:val="0073583B"/>
    <w:rsid w:val="007360CA"/>
    <w:rsid w:val="0074667B"/>
    <w:rsid w:val="007470BD"/>
    <w:rsid w:val="007569C3"/>
    <w:rsid w:val="00760EC0"/>
    <w:rsid w:val="007614E9"/>
    <w:rsid w:val="007711BD"/>
    <w:rsid w:val="0078003A"/>
    <w:rsid w:val="00780771"/>
    <w:rsid w:val="0078773E"/>
    <w:rsid w:val="0079268B"/>
    <w:rsid w:val="007929CF"/>
    <w:rsid w:val="00797BA8"/>
    <w:rsid w:val="007A081D"/>
    <w:rsid w:val="007A49E7"/>
    <w:rsid w:val="007A6F28"/>
    <w:rsid w:val="007B03C6"/>
    <w:rsid w:val="007B0DB1"/>
    <w:rsid w:val="007B5673"/>
    <w:rsid w:val="007B7238"/>
    <w:rsid w:val="007B76FF"/>
    <w:rsid w:val="007C248C"/>
    <w:rsid w:val="007C3BF6"/>
    <w:rsid w:val="007C5210"/>
    <w:rsid w:val="007C67B3"/>
    <w:rsid w:val="007D0FD2"/>
    <w:rsid w:val="007D2EF8"/>
    <w:rsid w:val="007D561F"/>
    <w:rsid w:val="007D7FD2"/>
    <w:rsid w:val="007E13D9"/>
    <w:rsid w:val="007E2AEC"/>
    <w:rsid w:val="007E41BE"/>
    <w:rsid w:val="007E4DB6"/>
    <w:rsid w:val="007E6733"/>
    <w:rsid w:val="007E7CD4"/>
    <w:rsid w:val="007F0BB4"/>
    <w:rsid w:val="007F12AC"/>
    <w:rsid w:val="007F4501"/>
    <w:rsid w:val="007F60DF"/>
    <w:rsid w:val="008015FA"/>
    <w:rsid w:val="00801800"/>
    <w:rsid w:val="00801861"/>
    <w:rsid w:val="00801B5B"/>
    <w:rsid w:val="00804EA6"/>
    <w:rsid w:val="00805A30"/>
    <w:rsid w:val="00811925"/>
    <w:rsid w:val="008216E7"/>
    <w:rsid w:val="0082524D"/>
    <w:rsid w:val="00825BE6"/>
    <w:rsid w:val="008276B4"/>
    <w:rsid w:val="00830E83"/>
    <w:rsid w:val="00831927"/>
    <w:rsid w:val="00837288"/>
    <w:rsid w:val="00841BD3"/>
    <w:rsid w:val="0084273D"/>
    <w:rsid w:val="00844E3F"/>
    <w:rsid w:val="00845A83"/>
    <w:rsid w:val="00846BB9"/>
    <w:rsid w:val="008649D5"/>
    <w:rsid w:val="00867BD9"/>
    <w:rsid w:val="00870F3C"/>
    <w:rsid w:val="008712BB"/>
    <w:rsid w:val="0087332B"/>
    <w:rsid w:val="008830E7"/>
    <w:rsid w:val="00890EDE"/>
    <w:rsid w:val="00892B38"/>
    <w:rsid w:val="00895CB5"/>
    <w:rsid w:val="008A1741"/>
    <w:rsid w:val="008A22CB"/>
    <w:rsid w:val="008A2484"/>
    <w:rsid w:val="008A52F3"/>
    <w:rsid w:val="008A751D"/>
    <w:rsid w:val="008C26D9"/>
    <w:rsid w:val="008C6D50"/>
    <w:rsid w:val="008C7167"/>
    <w:rsid w:val="008C7503"/>
    <w:rsid w:val="008D1617"/>
    <w:rsid w:val="008D330F"/>
    <w:rsid w:val="008D48C1"/>
    <w:rsid w:val="008E6315"/>
    <w:rsid w:val="008F0480"/>
    <w:rsid w:val="008F07FC"/>
    <w:rsid w:val="008F11E0"/>
    <w:rsid w:val="008F1629"/>
    <w:rsid w:val="008F3EA7"/>
    <w:rsid w:val="008F78BC"/>
    <w:rsid w:val="008F7B63"/>
    <w:rsid w:val="008F7D6A"/>
    <w:rsid w:val="009011EB"/>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0D0"/>
    <w:rsid w:val="009B046C"/>
    <w:rsid w:val="009B13FA"/>
    <w:rsid w:val="009B1E2D"/>
    <w:rsid w:val="009C18F6"/>
    <w:rsid w:val="009C34EC"/>
    <w:rsid w:val="009C59FB"/>
    <w:rsid w:val="009C6F3B"/>
    <w:rsid w:val="009C7890"/>
    <w:rsid w:val="009D1467"/>
    <w:rsid w:val="009D328D"/>
    <w:rsid w:val="009D5B6D"/>
    <w:rsid w:val="009E4FA6"/>
    <w:rsid w:val="009E67A0"/>
    <w:rsid w:val="009E7D93"/>
    <w:rsid w:val="009F3C34"/>
    <w:rsid w:val="009F462C"/>
    <w:rsid w:val="009F5C33"/>
    <w:rsid w:val="00A026F0"/>
    <w:rsid w:val="00A03EAC"/>
    <w:rsid w:val="00A04DBB"/>
    <w:rsid w:val="00A07EA0"/>
    <w:rsid w:val="00A11CA6"/>
    <w:rsid w:val="00A175E4"/>
    <w:rsid w:val="00A17FFD"/>
    <w:rsid w:val="00A20C49"/>
    <w:rsid w:val="00A22932"/>
    <w:rsid w:val="00A269CA"/>
    <w:rsid w:val="00A336EE"/>
    <w:rsid w:val="00A33F46"/>
    <w:rsid w:val="00A3427E"/>
    <w:rsid w:val="00A359AC"/>
    <w:rsid w:val="00A40F83"/>
    <w:rsid w:val="00A410FB"/>
    <w:rsid w:val="00A41413"/>
    <w:rsid w:val="00A431E6"/>
    <w:rsid w:val="00A436E8"/>
    <w:rsid w:val="00A446CA"/>
    <w:rsid w:val="00A45FB1"/>
    <w:rsid w:val="00A46A0F"/>
    <w:rsid w:val="00A46CCC"/>
    <w:rsid w:val="00A47996"/>
    <w:rsid w:val="00A51A90"/>
    <w:rsid w:val="00A51CFE"/>
    <w:rsid w:val="00A5204D"/>
    <w:rsid w:val="00A5380F"/>
    <w:rsid w:val="00A56E77"/>
    <w:rsid w:val="00A61605"/>
    <w:rsid w:val="00A65F97"/>
    <w:rsid w:val="00A73B04"/>
    <w:rsid w:val="00A76C13"/>
    <w:rsid w:val="00A805CA"/>
    <w:rsid w:val="00A84436"/>
    <w:rsid w:val="00A84FD0"/>
    <w:rsid w:val="00A92E79"/>
    <w:rsid w:val="00A950B6"/>
    <w:rsid w:val="00A95C51"/>
    <w:rsid w:val="00A95D45"/>
    <w:rsid w:val="00AA3EA8"/>
    <w:rsid w:val="00AA6E05"/>
    <w:rsid w:val="00AA7495"/>
    <w:rsid w:val="00AB41C1"/>
    <w:rsid w:val="00AB4CF2"/>
    <w:rsid w:val="00AB6CCA"/>
    <w:rsid w:val="00AC223F"/>
    <w:rsid w:val="00AC33B1"/>
    <w:rsid w:val="00AD12A8"/>
    <w:rsid w:val="00AE023F"/>
    <w:rsid w:val="00AE1A4E"/>
    <w:rsid w:val="00AF3577"/>
    <w:rsid w:val="00AF35F9"/>
    <w:rsid w:val="00AF3F71"/>
    <w:rsid w:val="00B03636"/>
    <w:rsid w:val="00B0424C"/>
    <w:rsid w:val="00B05C7D"/>
    <w:rsid w:val="00B13616"/>
    <w:rsid w:val="00B15D57"/>
    <w:rsid w:val="00B16347"/>
    <w:rsid w:val="00B17D6E"/>
    <w:rsid w:val="00B23D0D"/>
    <w:rsid w:val="00B2435E"/>
    <w:rsid w:val="00B346C3"/>
    <w:rsid w:val="00B4005C"/>
    <w:rsid w:val="00B4227E"/>
    <w:rsid w:val="00B4471C"/>
    <w:rsid w:val="00B451A6"/>
    <w:rsid w:val="00B46380"/>
    <w:rsid w:val="00B511BF"/>
    <w:rsid w:val="00B56D6E"/>
    <w:rsid w:val="00B64347"/>
    <w:rsid w:val="00B65DC6"/>
    <w:rsid w:val="00B67AC2"/>
    <w:rsid w:val="00B722DE"/>
    <w:rsid w:val="00B751E3"/>
    <w:rsid w:val="00B75BA6"/>
    <w:rsid w:val="00B76105"/>
    <w:rsid w:val="00B76C44"/>
    <w:rsid w:val="00B77FFE"/>
    <w:rsid w:val="00B8184A"/>
    <w:rsid w:val="00B82283"/>
    <w:rsid w:val="00B828D8"/>
    <w:rsid w:val="00B83F87"/>
    <w:rsid w:val="00B87CDC"/>
    <w:rsid w:val="00B910C1"/>
    <w:rsid w:val="00B967E5"/>
    <w:rsid w:val="00BA2CA4"/>
    <w:rsid w:val="00BA2EFA"/>
    <w:rsid w:val="00BA3DBC"/>
    <w:rsid w:val="00BA707A"/>
    <w:rsid w:val="00BA7E4E"/>
    <w:rsid w:val="00BB1AFB"/>
    <w:rsid w:val="00BB27AE"/>
    <w:rsid w:val="00BB2DA2"/>
    <w:rsid w:val="00BB56DC"/>
    <w:rsid w:val="00BC3DA5"/>
    <w:rsid w:val="00BD494F"/>
    <w:rsid w:val="00BE183D"/>
    <w:rsid w:val="00BF24C2"/>
    <w:rsid w:val="00BF2922"/>
    <w:rsid w:val="00BF5D7A"/>
    <w:rsid w:val="00C0016B"/>
    <w:rsid w:val="00C01C2E"/>
    <w:rsid w:val="00C024C1"/>
    <w:rsid w:val="00C02D33"/>
    <w:rsid w:val="00C04B53"/>
    <w:rsid w:val="00C1232C"/>
    <w:rsid w:val="00C16F3A"/>
    <w:rsid w:val="00C27C6B"/>
    <w:rsid w:val="00C30564"/>
    <w:rsid w:val="00C3594D"/>
    <w:rsid w:val="00C36442"/>
    <w:rsid w:val="00C400CE"/>
    <w:rsid w:val="00C410FD"/>
    <w:rsid w:val="00C457DE"/>
    <w:rsid w:val="00C47DD3"/>
    <w:rsid w:val="00C5316F"/>
    <w:rsid w:val="00C53562"/>
    <w:rsid w:val="00C539FB"/>
    <w:rsid w:val="00C53F04"/>
    <w:rsid w:val="00C57799"/>
    <w:rsid w:val="00C66AA3"/>
    <w:rsid w:val="00C66E57"/>
    <w:rsid w:val="00C724D7"/>
    <w:rsid w:val="00C74150"/>
    <w:rsid w:val="00C75594"/>
    <w:rsid w:val="00C85982"/>
    <w:rsid w:val="00CA0466"/>
    <w:rsid w:val="00CA246D"/>
    <w:rsid w:val="00CA2851"/>
    <w:rsid w:val="00CA50D9"/>
    <w:rsid w:val="00CB3054"/>
    <w:rsid w:val="00CB5636"/>
    <w:rsid w:val="00CB5F30"/>
    <w:rsid w:val="00CC2EC2"/>
    <w:rsid w:val="00CC3EE5"/>
    <w:rsid w:val="00CC6E47"/>
    <w:rsid w:val="00CD1346"/>
    <w:rsid w:val="00CD6F62"/>
    <w:rsid w:val="00CE2542"/>
    <w:rsid w:val="00CE425C"/>
    <w:rsid w:val="00CE58AC"/>
    <w:rsid w:val="00CF5A80"/>
    <w:rsid w:val="00CF7DD6"/>
    <w:rsid w:val="00D045EE"/>
    <w:rsid w:val="00D05091"/>
    <w:rsid w:val="00D10CA6"/>
    <w:rsid w:val="00D10DBE"/>
    <w:rsid w:val="00D10F21"/>
    <w:rsid w:val="00D134CF"/>
    <w:rsid w:val="00D1573B"/>
    <w:rsid w:val="00D24806"/>
    <w:rsid w:val="00D25BC0"/>
    <w:rsid w:val="00D34040"/>
    <w:rsid w:val="00D34E69"/>
    <w:rsid w:val="00D36C78"/>
    <w:rsid w:val="00D375EE"/>
    <w:rsid w:val="00D454E9"/>
    <w:rsid w:val="00D55AE8"/>
    <w:rsid w:val="00D56056"/>
    <w:rsid w:val="00D6085F"/>
    <w:rsid w:val="00D62699"/>
    <w:rsid w:val="00D6507E"/>
    <w:rsid w:val="00D778E9"/>
    <w:rsid w:val="00D812BF"/>
    <w:rsid w:val="00D82620"/>
    <w:rsid w:val="00D85707"/>
    <w:rsid w:val="00D87913"/>
    <w:rsid w:val="00D96CA9"/>
    <w:rsid w:val="00D9725F"/>
    <w:rsid w:val="00DA01B1"/>
    <w:rsid w:val="00DA11A2"/>
    <w:rsid w:val="00DA14ED"/>
    <w:rsid w:val="00DA21C1"/>
    <w:rsid w:val="00DA26D6"/>
    <w:rsid w:val="00DA6769"/>
    <w:rsid w:val="00DA6F72"/>
    <w:rsid w:val="00DA7DA0"/>
    <w:rsid w:val="00DB2EF1"/>
    <w:rsid w:val="00DB3DE1"/>
    <w:rsid w:val="00DB5DA0"/>
    <w:rsid w:val="00DB716C"/>
    <w:rsid w:val="00DC5C85"/>
    <w:rsid w:val="00DC7C5D"/>
    <w:rsid w:val="00DD4236"/>
    <w:rsid w:val="00DD42FA"/>
    <w:rsid w:val="00DD44F1"/>
    <w:rsid w:val="00DD6957"/>
    <w:rsid w:val="00DD6E7A"/>
    <w:rsid w:val="00DE09E9"/>
    <w:rsid w:val="00DE3067"/>
    <w:rsid w:val="00DF3EEE"/>
    <w:rsid w:val="00DF4AE0"/>
    <w:rsid w:val="00DF75E1"/>
    <w:rsid w:val="00E027BC"/>
    <w:rsid w:val="00E045BE"/>
    <w:rsid w:val="00E10F0D"/>
    <w:rsid w:val="00E14EA5"/>
    <w:rsid w:val="00E159CB"/>
    <w:rsid w:val="00E2070E"/>
    <w:rsid w:val="00E21133"/>
    <w:rsid w:val="00E22C73"/>
    <w:rsid w:val="00E2327E"/>
    <w:rsid w:val="00E23577"/>
    <w:rsid w:val="00E24CC5"/>
    <w:rsid w:val="00E266EF"/>
    <w:rsid w:val="00E326A8"/>
    <w:rsid w:val="00E37083"/>
    <w:rsid w:val="00E47428"/>
    <w:rsid w:val="00E56C8E"/>
    <w:rsid w:val="00E5716B"/>
    <w:rsid w:val="00E57380"/>
    <w:rsid w:val="00E57F1F"/>
    <w:rsid w:val="00E629B2"/>
    <w:rsid w:val="00E66B9F"/>
    <w:rsid w:val="00E66E19"/>
    <w:rsid w:val="00E70A6A"/>
    <w:rsid w:val="00E710D6"/>
    <w:rsid w:val="00E73DA4"/>
    <w:rsid w:val="00E76E45"/>
    <w:rsid w:val="00E777C9"/>
    <w:rsid w:val="00E77988"/>
    <w:rsid w:val="00E81DA6"/>
    <w:rsid w:val="00E84212"/>
    <w:rsid w:val="00E86B81"/>
    <w:rsid w:val="00E9086C"/>
    <w:rsid w:val="00E90AAA"/>
    <w:rsid w:val="00E91A0F"/>
    <w:rsid w:val="00E94A71"/>
    <w:rsid w:val="00E94CBF"/>
    <w:rsid w:val="00EA03CE"/>
    <w:rsid w:val="00EA0D7E"/>
    <w:rsid w:val="00EA23E5"/>
    <w:rsid w:val="00EA4E2E"/>
    <w:rsid w:val="00EB2417"/>
    <w:rsid w:val="00EB2CCB"/>
    <w:rsid w:val="00EB7A25"/>
    <w:rsid w:val="00EC0267"/>
    <w:rsid w:val="00EC0F3E"/>
    <w:rsid w:val="00EC2A35"/>
    <w:rsid w:val="00EC57A7"/>
    <w:rsid w:val="00EC61F4"/>
    <w:rsid w:val="00ED0817"/>
    <w:rsid w:val="00ED798C"/>
    <w:rsid w:val="00ED7DD9"/>
    <w:rsid w:val="00EE445B"/>
    <w:rsid w:val="00EF1B01"/>
    <w:rsid w:val="00EF20BE"/>
    <w:rsid w:val="00EF3113"/>
    <w:rsid w:val="00EF3F84"/>
    <w:rsid w:val="00EF7BF5"/>
    <w:rsid w:val="00F015CD"/>
    <w:rsid w:val="00F016DD"/>
    <w:rsid w:val="00F03291"/>
    <w:rsid w:val="00F176AC"/>
    <w:rsid w:val="00F20610"/>
    <w:rsid w:val="00F2352D"/>
    <w:rsid w:val="00F26F28"/>
    <w:rsid w:val="00F27714"/>
    <w:rsid w:val="00F30EA7"/>
    <w:rsid w:val="00F3276E"/>
    <w:rsid w:val="00F33D3C"/>
    <w:rsid w:val="00F37A91"/>
    <w:rsid w:val="00F408A0"/>
    <w:rsid w:val="00F43883"/>
    <w:rsid w:val="00F45CF5"/>
    <w:rsid w:val="00F460F7"/>
    <w:rsid w:val="00F47DB0"/>
    <w:rsid w:val="00F50C3F"/>
    <w:rsid w:val="00F50E34"/>
    <w:rsid w:val="00F51AFB"/>
    <w:rsid w:val="00F53EF7"/>
    <w:rsid w:val="00F54BF2"/>
    <w:rsid w:val="00F71631"/>
    <w:rsid w:val="00F775AC"/>
    <w:rsid w:val="00F8792F"/>
    <w:rsid w:val="00F9214D"/>
    <w:rsid w:val="00F92355"/>
    <w:rsid w:val="00F93963"/>
    <w:rsid w:val="00F94291"/>
    <w:rsid w:val="00F9738E"/>
    <w:rsid w:val="00FA298A"/>
    <w:rsid w:val="00FA5B66"/>
    <w:rsid w:val="00FB0B9C"/>
    <w:rsid w:val="00FB2B5E"/>
    <w:rsid w:val="00FB30EB"/>
    <w:rsid w:val="00FB7982"/>
    <w:rsid w:val="00FC0734"/>
    <w:rsid w:val="00FC0FC5"/>
    <w:rsid w:val="00FC588F"/>
    <w:rsid w:val="00FC6879"/>
    <w:rsid w:val="00FC6CB7"/>
    <w:rsid w:val="00FD279E"/>
    <w:rsid w:val="00FD43C2"/>
    <w:rsid w:val="00FD57CC"/>
    <w:rsid w:val="00FE1B30"/>
    <w:rsid w:val="00FE2D3B"/>
    <w:rsid w:val="00FE45B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B5BD97"/>
  <w15:docId w15:val="{6AE36D38-78F7-4356-8D74-73F0419A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35"/>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071DE3E54A4824901E08EF60CC78FA"/>
        <w:category>
          <w:name w:val="General"/>
          <w:gallery w:val="placeholder"/>
        </w:category>
        <w:types>
          <w:type w:val="bbPlcHdr"/>
        </w:types>
        <w:behaviors>
          <w:behavior w:val="content"/>
        </w:behaviors>
        <w:guid w:val="{9787863D-305D-4953-ABFF-E8EC603F6B5A}"/>
      </w:docPartPr>
      <w:docPartBody>
        <w:p w:rsidR="0046059F" w:rsidRDefault="0046059F">
          <w:pPr>
            <w:pStyle w:val="1B071DE3E54A4824901E08EF60CC78FA"/>
          </w:pPr>
          <w:r>
            <w:rPr>
              <w:rStyle w:val="PlaceholderText"/>
            </w:rPr>
            <w:t>MNC Text</w:t>
          </w:r>
        </w:p>
      </w:docPartBody>
    </w:docPart>
    <w:docPart>
      <w:docPartPr>
        <w:name w:val="4A61CB9C83D14D84A25239CD2CAAEADD"/>
        <w:category>
          <w:name w:val="General"/>
          <w:gallery w:val="placeholder"/>
        </w:category>
        <w:types>
          <w:type w:val="bbPlcHdr"/>
        </w:types>
        <w:behaviors>
          <w:behavior w:val="content"/>
        </w:behaviors>
        <w:guid w:val="{0A90CEBC-835D-4DE4-92F6-72BA5B4E34A5}"/>
      </w:docPartPr>
      <w:docPartBody>
        <w:p w:rsidR="0046059F" w:rsidRDefault="0046059F">
          <w:pPr>
            <w:pStyle w:val="4A61CB9C83D14D84A25239CD2CAAEADD"/>
          </w:pPr>
          <w:r w:rsidRPr="005C44BE">
            <w:rPr>
              <w:rStyle w:val="PlaceholderText"/>
            </w:rPr>
            <w:t>Click or tap here to enter text.</w:t>
          </w:r>
        </w:p>
      </w:docPartBody>
    </w:docPart>
    <w:docPart>
      <w:docPartPr>
        <w:name w:val="E3E20E34251B4740B41E3D1396AE57F0"/>
        <w:category>
          <w:name w:val="General"/>
          <w:gallery w:val="placeholder"/>
        </w:category>
        <w:types>
          <w:type w:val="bbPlcHdr"/>
        </w:types>
        <w:behaviors>
          <w:behavior w:val="content"/>
        </w:behaviors>
        <w:guid w:val="{293A5444-6AAC-4B68-A0C9-F15E32B95380}"/>
      </w:docPartPr>
      <w:docPartBody>
        <w:p w:rsidR="0046059F" w:rsidRDefault="0046059F">
          <w:pPr>
            <w:pStyle w:val="E3E20E34251B4740B41E3D1396AE57F0"/>
          </w:pPr>
          <w:r w:rsidRPr="005C44BE">
            <w:rPr>
              <w:rStyle w:val="PlaceholderText"/>
            </w:rPr>
            <w:t>Click or tap here to enter text.</w:t>
          </w:r>
        </w:p>
      </w:docPartBody>
    </w:docPart>
    <w:docPart>
      <w:docPartPr>
        <w:name w:val="D28E99A0462E4C34B709FF009DCF26A5"/>
        <w:category>
          <w:name w:val="General"/>
          <w:gallery w:val="placeholder"/>
        </w:category>
        <w:types>
          <w:type w:val="bbPlcHdr"/>
        </w:types>
        <w:behaviors>
          <w:behavior w:val="content"/>
        </w:behaviors>
        <w:guid w:val="{A3D88ABB-D63E-4969-8255-DAEE4FFCA91B}"/>
      </w:docPartPr>
      <w:docPartBody>
        <w:p w:rsidR="0046059F" w:rsidRDefault="0046059F">
          <w:pPr>
            <w:pStyle w:val="D28E99A0462E4C34B709FF009DCF26A5"/>
          </w:pPr>
          <w:r w:rsidRPr="005C44BE">
            <w:rPr>
              <w:rStyle w:val="PlaceholderText"/>
            </w:rPr>
            <w:t>Click or tap here to enter text.</w:t>
          </w:r>
        </w:p>
      </w:docPartBody>
    </w:docPart>
    <w:docPart>
      <w:docPartPr>
        <w:name w:val="FB3B9DD4A8E04FBDA0EF5063DD5920B3"/>
        <w:category>
          <w:name w:val="General"/>
          <w:gallery w:val="placeholder"/>
        </w:category>
        <w:types>
          <w:type w:val="bbPlcHdr"/>
        </w:types>
        <w:behaviors>
          <w:behavior w:val="content"/>
        </w:behaviors>
        <w:guid w:val="{9F70552D-69F7-4EB9-A6E9-2DE16CDBE8AD}"/>
      </w:docPartPr>
      <w:docPartBody>
        <w:p w:rsidR="0046059F" w:rsidRDefault="0046059F">
          <w:pPr>
            <w:pStyle w:val="FB3B9DD4A8E04FBDA0EF5063DD5920B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9F"/>
    <w:rsid w:val="00216916"/>
    <w:rsid w:val="00460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071DE3E54A4824901E08EF60CC78FA">
    <w:name w:val="1B071DE3E54A4824901E08EF60CC78FA"/>
  </w:style>
  <w:style w:type="paragraph" w:customStyle="1" w:styleId="4A61CB9C83D14D84A25239CD2CAAEADD">
    <w:name w:val="4A61CB9C83D14D84A25239CD2CAAEADD"/>
  </w:style>
  <w:style w:type="paragraph" w:customStyle="1" w:styleId="E3E20E34251B4740B41E3D1396AE57F0">
    <w:name w:val="E3E20E34251B4740B41E3D1396AE57F0"/>
  </w:style>
  <w:style w:type="paragraph" w:customStyle="1" w:styleId="D28E99A0462E4C34B709FF009DCF26A5">
    <w:name w:val="D28E99A0462E4C34B709FF009DCF26A5"/>
  </w:style>
  <w:style w:type="paragraph" w:customStyle="1" w:styleId="FB3B9DD4A8E04FBDA0EF5063DD5920B3">
    <w:name w:val="FB3B9DD4A8E04FBDA0EF5063DD592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 Burrows v Macpherson and Kelley Lawyers (Sydney) Pty Ltd [2023] FCA 622 </Name>
</root>
</file>

<file path=customXml/item2.xml><?xml version="1.0" encoding="utf-8"?>
<p:properties xmlns:p="http://schemas.microsoft.com/office/2006/metadata/properties" xmlns:xsi="http://www.w3.org/2001/XMLSchema-instance" xmlns:pc="http://schemas.microsoft.com/office/infopath/2007/PartnerControls">
  <documentManagement>
    <_activity xmlns="5062b7e4-7037-45d1-85cf-670eb0e518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D60134C5363847B44EE878741A1074" ma:contentTypeVersion="13" ma:contentTypeDescription="Create a new document." ma:contentTypeScope="" ma:versionID="036a89ceac46270de243105d80075da8">
  <xsd:schema xmlns:xsd="http://www.w3.org/2001/XMLSchema" xmlns:xs="http://www.w3.org/2001/XMLSchema" xmlns:p="http://schemas.microsoft.com/office/2006/metadata/properties" xmlns:ns3="7d265d66-3f75-4f28-92a7-5d35747f6e28" xmlns:ns4="5062b7e4-7037-45d1-85cf-670eb0e518f7" targetNamespace="http://schemas.microsoft.com/office/2006/metadata/properties" ma:root="true" ma:fieldsID="644e1ad9df74096507fefde1c9c29208" ns3:_="" ns4:_="">
    <xsd:import namespace="7d265d66-3f75-4f28-92a7-5d35747f6e28"/>
    <xsd:import namespace="5062b7e4-7037-45d1-85cf-670eb0e518f7"/>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5d66-3f75-4f28-92a7-5d35747f6e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b7e4-7037-45d1-85cf-670eb0e518f7"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E55646-B0EA-40DA-9400-0676F526D1F1}">
  <ds:schemaRefs>
    <ds:schemaRef ds:uri="http://schemas.microsoft.com/office/2006/metadata/properties"/>
    <ds:schemaRef ds:uri="5062b7e4-7037-45d1-85cf-670eb0e518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d265d66-3f75-4f28-92a7-5d35747f6e28"/>
    <ds:schemaRef ds:uri="http://www.w3.org/XML/1998/namespace"/>
    <ds:schemaRef ds:uri="http://purl.org/dc/dcmitype/"/>
  </ds:schemaRefs>
</ds:datastoreItem>
</file>

<file path=customXml/itemProps3.xml><?xml version="1.0" encoding="utf-8"?>
<ds:datastoreItem xmlns:ds="http://schemas.openxmlformats.org/officeDocument/2006/customXml" ds:itemID="{4E4721C1-5993-4916-AD0F-B7CD44E7421C}">
  <ds:schemaRefs>
    <ds:schemaRef ds:uri="http://schemas.microsoft.com/sharepoint/v3/contenttype/forms"/>
  </ds:schemaRefs>
</ds:datastoreItem>
</file>

<file path=customXml/itemProps4.xml><?xml version="1.0" encoding="utf-8"?>
<ds:datastoreItem xmlns:ds="http://schemas.openxmlformats.org/officeDocument/2006/customXml" ds:itemID="{BF925605-BC97-4595-88D1-2496091A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5d66-3f75-4f28-92a7-5d35747f6e28"/>
    <ds:schemaRef ds:uri="5062b7e4-7037-45d1-85cf-670eb0e51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09D798-D51F-4A61-BD0A-A7476423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19</Pages>
  <Words>7528</Words>
  <Characters>36605</Characters>
  <Application>Microsoft Office Word</Application>
  <DocSecurity>0</DocSecurity>
  <Lines>653</Lines>
  <Paragraphs>196</Paragraphs>
  <ScaleCrop>false</ScaleCrop>
  <HeadingPairs>
    <vt:vector size="2" baseType="variant">
      <vt:variant>
        <vt:lpstr>Title</vt:lpstr>
      </vt:variant>
      <vt:variant>
        <vt:i4>1</vt:i4>
      </vt:variant>
    </vt:vector>
  </HeadingPairs>
  <TitlesOfParts>
    <vt:vector size="1" baseType="lpstr">
      <vt:lpstr>Burrows v Macpherson and Kelley Lawyers (Sydney) Pty Ltd [2023] FCA 622  </vt:lpstr>
    </vt:vector>
  </TitlesOfParts>
  <Company>Federal Court of Australia</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Burrows v Macpherson and Kelley Lawyers (Sydney) Pty Ltd [2023] FCA 622</dc:title>
  <dc:creator>Federal Court of Australia</dc:creator>
  <dc:description>v1.3</dc:description>
  <cp:lastModifiedBy>Federal Court of Australia</cp:lastModifiedBy>
  <cp:revision>3</cp:revision>
  <cp:lastPrinted>2023-06-08T06:56:00Z</cp:lastPrinted>
  <dcterms:created xsi:type="dcterms:W3CDTF">2023-06-13T00:19:00Z</dcterms:created>
  <dcterms:modified xsi:type="dcterms:W3CDTF">2023-06-13T00:22:00Z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General and Personal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0x010100DED60134C5363847B44EE878741A1074</vt:lpwstr>
  </property>
</Properties>
</file>