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6367" w14:textId="77777777" w:rsidR="00395B24" w:rsidRDefault="00D56C0C" w:rsidP="00A22932">
      <w:pPr>
        <w:pStyle w:val="CourtTitle"/>
      </w:pPr>
      <w:r>
        <w:fldChar w:fldCharType="begin"/>
      </w:r>
      <w:r>
        <w:instrText xml:space="preserve"> DOCPROPERTY  Court  \* MERGEFORMAT </w:instrText>
      </w:r>
      <w:r>
        <w:fldChar w:fldCharType="separate"/>
      </w:r>
      <w:r w:rsidR="00AD7ACE">
        <w:t>Federal Court of Australia</w:t>
      </w:r>
      <w:r>
        <w:fldChar w:fldCharType="end"/>
      </w:r>
    </w:p>
    <w:p w14:paraId="577A5A08" w14:textId="77777777" w:rsidR="004D7950" w:rsidRDefault="004D7950">
      <w:pPr>
        <w:pStyle w:val="NormalHeadings"/>
        <w:jc w:val="center"/>
        <w:rPr>
          <w:sz w:val="32"/>
        </w:rPr>
      </w:pPr>
    </w:p>
    <w:bookmarkStart w:id="0" w:name="MNC"/>
    <w:p w14:paraId="0BDCC93D" w14:textId="07F36577" w:rsidR="00374CC4" w:rsidRDefault="00D609E9" w:rsidP="001A2B40">
      <w:pPr>
        <w:pStyle w:val="MNC"/>
      </w:pPr>
      <w:sdt>
        <w:sdtPr>
          <w:alias w:val="MNC"/>
          <w:tag w:val="MNC"/>
          <w:id w:val="343289786"/>
          <w:lock w:val="sdtLocked"/>
          <w:placeholder>
            <w:docPart w:val="D0C4C47FA913474F90707738B9ACF91A"/>
          </w:placeholder>
          <w:dataBinding w:prefixMappings="xmlns:ns0='http://schemas.globalmacros.com/FCA'" w:xpath="/ns0:root[1]/ns0:Name[1]" w:storeItemID="{687E7CCB-4AA5-44E7-B148-17BA2B6F57C0}"/>
          <w:text w:multiLine="1"/>
        </w:sdtPr>
        <w:sdtEndPr/>
        <w:sdtContent>
          <w:r w:rsidR="00AD7ACE">
            <w:t xml:space="preserve">Omani v Minister for Immigration, Citizenship and Multicultural Affairs [2024] FCA </w:t>
          </w:r>
          <w:r w:rsidR="003F7762">
            <w:t>376</w:t>
          </w:r>
          <w:r w:rsidR="00693854">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AD7ACE" w14:paraId="7FAB09B7" w14:textId="77777777" w:rsidTr="006F6CF6">
        <w:tc>
          <w:tcPr>
            <w:tcW w:w="3083" w:type="dxa"/>
            <w:shd w:val="clear" w:color="auto" w:fill="auto"/>
          </w:tcPr>
          <w:p w14:paraId="3020E4F4" w14:textId="77777777" w:rsidR="00AD7ACE" w:rsidRDefault="00AD7ACE"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78FC3C87" w14:textId="77777777" w:rsidR="00AD7ACE" w:rsidRDefault="00EA1765" w:rsidP="002539B3">
            <w:pPr>
              <w:pStyle w:val="CasesLegislationAppealFrom"/>
              <w:spacing w:after="60"/>
            </w:pPr>
            <w:fldSimple w:instr=" DOCPROPERTY  AppealFrom  \* MERGEFORMAT ">
              <w:r w:rsidR="00AD7ACE" w:rsidRPr="00AD7ACE">
                <w:rPr>
                  <w:i/>
                  <w:iCs/>
                </w:rPr>
                <w:t>Omani v Minister for Immigration, Citizenship and Multicultural Affairs (Migration)</w:t>
              </w:r>
              <w:r w:rsidR="00AD7ACE">
                <w:t xml:space="preserve"> [2023] AATA 4119</w:t>
              </w:r>
            </w:fldSimple>
          </w:p>
        </w:tc>
      </w:tr>
      <w:tr w:rsidR="00AD7ACE" w14:paraId="4BF3CE64" w14:textId="77777777" w:rsidTr="006F6CF6">
        <w:tc>
          <w:tcPr>
            <w:tcW w:w="3083" w:type="dxa"/>
            <w:shd w:val="clear" w:color="auto" w:fill="auto"/>
          </w:tcPr>
          <w:p w14:paraId="5FA0A94A" w14:textId="77777777" w:rsidR="00AD7ACE" w:rsidRDefault="00AD7ACE" w:rsidP="00663878">
            <w:pPr>
              <w:pStyle w:val="Normal1linespace"/>
              <w:widowControl w:val="0"/>
              <w:jc w:val="left"/>
            </w:pPr>
          </w:p>
        </w:tc>
        <w:tc>
          <w:tcPr>
            <w:tcW w:w="5989" w:type="dxa"/>
            <w:shd w:val="clear" w:color="auto" w:fill="auto"/>
          </w:tcPr>
          <w:p w14:paraId="318B66CF" w14:textId="77777777" w:rsidR="00AD7ACE" w:rsidRDefault="00AD7ACE" w:rsidP="00663878">
            <w:pPr>
              <w:pStyle w:val="Normal1linespace"/>
              <w:widowControl w:val="0"/>
              <w:jc w:val="left"/>
            </w:pPr>
          </w:p>
        </w:tc>
      </w:tr>
      <w:bookmarkEnd w:id="1"/>
      <w:tr w:rsidR="00395B24" w14:paraId="757289DC" w14:textId="77777777" w:rsidTr="006F6CF6">
        <w:tc>
          <w:tcPr>
            <w:tcW w:w="3083" w:type="dxa"/>
            <w:shd w:val="clear" w:color="auto" w:fill="auto"/>
          </w:tcPr>
          <w:p w14:paraId="6341BF32" w14:textId="77777777" w:rsidR="00395B24" w:rsidRDefault="002C7385" w:rsidP="00663878">
            <w:pPr>
              <w:pStyle w:val="Normal1linespace"/>
              <w:widowControl w:val="0"/>
              <w:jc w:val="left"/>
            </w:pPr>
            <w:r>
              <w:t>File number(s):</w:t>
            </w:r>
          </w:p>
        </w:tc>
        <w:tc>
          <w:tcPr>
            <w:tcW w:w="5989" w:type="dxa"/>
            <w:shd w:val="clear" w:color="auto" w:fill="auto"/>
          </w:tcPr>
          <w:p w14:paraId="6C50DE71" w14:textId="77777777" w:rsidR="00395B24" w:rsidRPr="00AD7ACE" w:rsidRDefault="00EA1765" w:rsidP="00AD7ACE">
            <w:pPr>
              <w:pStyle w:val="Normal1linespace"/>
              <w:jc w:val="left"/>
            </w:pPr>
            <w:fldSimple w:instr=" REF  FileNo  \* MERGEFORMAT " w:fldLock="1">
              <w:r w:rsidR="00AD7ACE" w:rsidRPr="00AD7ACE">
                <w:t>NSD 1542 of 2023</w:t>
              </w:r>
            </w:fldSimple>
          </w:p>
        </w:tc>
      </w:tr>
      <w:tr w:rsidR="00395B24" w14:paraId="2F9198D0" w14:textId="77777777" w:rsidTr="006F6CF6">
        <w:tc>
          <w:tcPr>
            <w:tcW w:w="3083" w:type="dxa"/>
            <w:shd w:val="clear" w:color="auto" w:fill="auto"/>
          </w:tcPr>
          <w:p w14:paraId="461FC404" w14:textId="77777777" w:rsidR="00395B24" w:rsidRDefault="00395B24" w:rsidP="00663878">
            <w:pPr>
              <w:pStyle w:val="Normal1linespace"/>
              <w:widowControl w:val="0"/>
              <w:jc w:val="left"/>
            </w:pPr>
          </w:p>
        </w:tc>
        <w:tc>
          <w:tcPr>
            <w:tcW w:w="5989" w:type="dxa"/>
            <w:shd w:val="clear" w:color="auto" w:fill="auto"/>
          </w:tcPr>
          <w:p w14:paraId="4BAFBA79" w14:textId="77777777" w:rsidR="00395B24" w:rsidRDefault="00395B24" w:rsidP="00663878">
            <w:pPr>
              <w:pStyle w:val="Normal1linespace"/>
              <w:widowControl w:val="0"/>
              <w:jc w:val="left"/>
            </w:pPr>
          </w:p>
        </w:tc>
      </w:tr>
      <w:tr w:rsidR="00395B24" w14:paraId="4EC26E64" w14:textId="77777777" w:rsidTr="006F6CF6">
        <w:tc>
          <w:tcPr>
            <w:tcW w:w="3083" w:type="dxa"/>
            <w:shd w:val="clear" w:color="auto" w:fill="auto"/>
          </w:tcPr>
          <w:p w14:paraId="7FA029C4"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E6F4BF9" w14:textId="77777777" w:rsidR="00395B24" w:rsidRDefault="002C7385" w:rsidP="00663878">
            <w:pPr>
              <w:pStyle w:val="Normal1linespace"/>
              <w:widowControl w:val="0"/>
              <w:jc w:val="left"/>
              <w:rPr>
                <w:b/>
              </w:rPr>
            </w:pPr>
            <w:r w:rsidRPr="00AD7ACE">
              <w:rPr>
                <w:b/>
              </w:rPr>
              <w:fldChar w:fldCharType="begin" w:fldLock="1"/>
            </w:r>
            <w:r w:rsidRPr="00AD7ACE">
              <w:rPr>
                <w:b/>
              </w:rPr>
              <w:instrText xml:space="preserve"> REF  Judge  \* MERGEFORMAT </w:instrText>
            </w:r>
            <w:r w:rsidRPr="00AD7ACE">
              <w:rPr>
                <w:b/>
              </w:rPr>
              <w:fldChar w:fldCharType="separate"/>
            </w:r>
            <w:r w:rsidR="00AD7ACE" w:rsidRPr="00AD7ACE">
              <w:rPr>
                <w:b/>
                <w:caps/>
                <w:szCs w:val="24"/>
              </w:rPr>
              <w:t>GOODMAN J</w:t>
            </w:r>
            <w:r w:rsidRPr="00AD7ACE">
              <w:rPr>
                <w:b/>
              </w:rPr>
              <w:fldChar w:fldCharType="end"/>
            </w:r>
          </w:p>
        </w:tc>
      </w:tr>
      <w:tr w:rsidR="00395B24" w14:paraId="7C25F7DF" w14:textId="77777777" w:rsidTr="006F6CF6">
        <w:tc>
          <w:tcPr>
            <w:tcW w:w="3083" w:type="dxa"/>
            <w:shd w:val="clear" w:color="auto" w:fill="auto"/>
          </w:tcPr>
          <w:p w14:paraId="1411D17D" w14:textId="77777777" w:rsidR="00395B24" w:rsidRDefault="00395B24" w:rsidP="00663878">
            <w:pPr>
              <w:pStyle w:val="Normal1linespace"/>
              <w:widowControl w:val="0"/>
              <w:jc w:val="left"/>
            </w:pPr>
          </w:p>
        </w:tc>
        <w:tc>
          <w:tcPr>
            <w:tcW w:w="5989" w:type="dxa"/>
            <w:shd w:val="clear" w:color="auto" w:fill="auto"/>
          </w:tcPr>
          <w:p w14:paraId="0A9E761D" w14:textId="77777777" w:rsidR="00395B24" w:rsidRDefault="00395B24" w:rsidP="00663878">
            <w:pPr>
              <w:pStyle w:val="Normal1linespace"/>
              <w:widowControl w:val="0"/>
              <w:jc w:val="left"/>
            </w:pPr>
          </w:p>
        </w:tc>
      </w:tr>
      <w:tr w:rsidR="00395B24" w14:paraId="485EFB0A" w14:textId="77777777" w:rsidTr="006F6CF6">
        <w:tc>
          <w:tcPr>
            <w:tcW w:w="3083" w:type="dxa"/>
            <w:shd w:val="clear" w:color="auto" w:fill="auto"/>
          </w:tcPr>
          <w:p w14:paraId="57A30ED6" w14:textId="77777777" w:rsidR="00395B24" w:rsidRDefault="002C7385" w:rsidP="00663878">
            <w:pPr>
              <w:pStyle w:val="Normal1linespace"/>
              <w:widowControl w:val="0"/>
              <w:jc w:val="left"/>
            </w:pPr>
            <w:r>
              <w:t>Date of judgment:</w:t>
            </w:r>
          </w:p>
        </w:tc>
        <w:tc>
          <w:tcPr>
            <w:tcW w:w="5989" w:type="dxa"/>
            <w:shd w:val="clear" w:color="auto" w:fill="auto"/>
          </w:tcPr>
          <w:p w14:paraId="257D0614" w14:textId="42A9B8A0" w:rsidR="00395B24" w:rsidRDefault="004A5C95" w:rsidP="00663878">
            <w:pPr>
              <w:pStyle w:val="Normal1linespace"/>
              <w:widowControl w:val="0"/>
              <w:jc w:val="left"/>
            </w:pPr>
            <w:r>
              <w:t>15</w:t>
            </w:r>
            <w:r w:rsidR="00176785">
              <w:t xml:space="preserve"> April 2024</w:t>
            </w:r>
          </w:p>
        </w:tc>
      </w:tr>
      <w:tr w:rsidR="00176785" w14:paraId="5F8F4B6F" w14:textId="77777777" w:rsidTr="006F6CF6">
        <w:tc>
          <w:tcPr>
            <w:tcW w:w="3083" w:type="dxa"/>
            <w:shd w:val="clear" w:color="auto" w:fill="auto"/>
          </w:tcPr>
          <w:p w14:paraId="457585C9" w14:textId="77777777" w:rsidR="00176785" w:rsidRDefault="00176785" w:rsidP="00663878">
            <w:pPr>
              <w:pStyle w:val="Normal1linespace"/>
              <w:widowControl w:val="0"/>
              <w:jc w:val="left"/>
            </w:pPr>
          </w:p>
        </w:tc>
        <w:tc>
          <w:tcPr>
            <w:tcW w:w="5989" w:type="dxa"/>
            <w:shd w:val="clear" w:color="auto" w:fill="auto"/>
          </w:tcPr>
          <w:p w14:paraId="489A3926" w14:textId="77777777" w:rsidR="00176785" w:rsidRDefault="00176785" w:rsidP="00663878">
            <w:pPr>
              <w:pStyle w:val="Normal1linespace"/>
              <w:widowControl w:val="0"/>
              <w:jc w:val="left"/>
            </w:pPr>
          </w:p>
        </w:tc>
      </w:tr>
      <w:tr w:rsidR="00176785" w14:paraId="34BE3D60" w14:textId="77777777" w:rsidTr="006F6CF6">
        <w:tc>
          <w:tcPr>
            <w:tcW w:w="3083" w:type="dxa"/>
            <w:shd w:val="clear" w:color="auto" w:fill="auto"/>
          </w:tcPr>
          <w:p w14:paraId="439C7B16" w14:textId="27C74A6A" w:rsidR="00176785" w:rsidRDefault="00176785" w:rsidP="00663878">
            <w:pPr>
              <w:pStyle w:val="Normal1linespace"/>
              <w:widowControl w:val="0"/>
              <w:jc w:val="left"/>
            </w:pPr>
            <w:r>
              <w:t>Date of publication of reasons:</w:t>
            </w:r>
          </w:p>
        </w:tc>
        <w:tc>
          <w:tcPr>
            <w:tcW w:w="5989" w:type="dxa"/>
            <w:shd w:val="clear" w:color="auto" w:fill="auto"/>
          </w:tcPr>
          <w:p w14:paraId="652AC46C" w14:textId="2482466B" w:rsidR="00176785" w:rsidRDefault="004A5C95" w:rsidP="00663878">
            <w:pPr>
              <w:pStyle w:val="Normal1linespace"/>
              <w:widowControl w:val="0"/>
              <w:jc w:val="left"/>
            </w:pPr>
            <w:r>
              <w:t>16</w:t>
            </w:r>
            <w:r w:rsidR="00176785">
              <w:t xml:space="preserve"> April 2024</w:t>
            </w:r>
          </w:p>
        </w:tc>
      </w:tr>
      <w:tr w:rsidR="00395B24" w14:paraId="09D8067C" w14:textId="77777777" w:rsidTr="006F6CF6">
        <w:tc>
          <w:tcPr>
            <w:tcW w:w="3083" w:type="dxa"/>
            <w:shd w:val="clear" w:color="auto" w:fill="auto"/>
          </w:tcPr>
          <w:p w14:paraId="7ED19D4C" w14:textId="77777777" w:rsidR="00395B24" w:rsidRDefault="00395B24" w:rsidP="00663878">
            <w:pPr>
              <w:pStyle w:val="Normal1linespace"/>
              <w:widowControl w:val="0"/>
              <w:jc w:val="left"/>
            </w:pPr>
          </w:p>
        </w:tc>
        <w:tc>
          <w:tcPr>
            <w:tcW w:w="5989" w:type="dxa"/>
            <w:shd w:val="clear" w:color="auto" w:fill="auto"/>
          </w:tcPr>
          <w:p w14:paraId="4A8C77AD" w14:textId="77777777" w:rsidR="00395B24" w:rsidRDefault="00395B24" w:rsidP="00663878">
            <w:pPr>
              <w:pStyle w:val="Normal1linespace"/>
              <w:widowControl w:val="0"/>
              <w:jc w:val="left"/>
            </w:pPr>
          </w:p>
        </w:tc>
      </w:tr>
      <w:tr w:rsidR="00395B24" w14:paraId="3FDAD104" w14:textId="77777777" w:rsidTr="006F6CF6">
        <w:tc>
          <w:tcPr>
            <w:tcW w:w="3083" w:type="dxa"/>
            <w:shd w:val="clear" w:color="auto" w:fill="auto"/>
          </w:tcPr>
          <w:p w14:paraId="3F7D8655" w14:textId="77777777" w:rsidR="00395B24" w:rsidRDefault="002C7385" w:rsidP="00663878">
            <w:pPr>
              <w:pStyle w:val="Normal1linespace"/>
              <w:widowControl w:val="0"/>
              <w:jc w:val="left"/>
            </w:pPr>
            <w:r>
              <w:t>Catchwords:</w:t>
            </w:r>
          </w:p>
        </w:tc>
        <w:tc>
          <w:tcPr>
            <w:tcW w:w="5989" w:type="dxa"/>
            <w:shd w:val="clear" w:color="auto" w:fill="auto"/>
          </w:tcPr>
          <w:p w14:paraId="4D974910" w14:textId="636A0854" w:rsidR="00395B24" w:rsidRDefault="00AD7ACE" w:rsidP="00663878">
            <w:pPr>
              <w:pStyle w:val="Normal1linespace"/>
              <w:widowControl w:val="0"/>
              <w:jc w:val="left"/>
            </w:pPr>
            <w:bookmarkStart w:id="2" w:name="Catchwords"/>
            <w:r>
              <w:rPr>
                <w:b/>
                <w:bCs/>
              </w:rPr>
              <w:t>MIGRATION</w:t>
            </w:r>
            <w:r>
              <w:t xml:space="preserve"> – </w:t>
            </w:r>
            <w:r w:rsidR="00C43DBF">
              <w:t>application for judicial review of a decision of the Administrative Appeals Tribunal concerning a visa cancellation decision</w:t>
            </w:r>
            <w:r>
              <w:t xml:space="preserve"> – Minister conceded jurisdictional error – proposed consent orders – jurisdictional error established to the satisfaction of the Court – relief granted</w:t>
            </w:r>
            <w:r w:rsidR="00715751">
              <w:t xml:space="preserve">  </w:t>
            </w:r>
            <w:r w:rsidR="002C7385">
              <w:t xml:space="preserve"> </w:t>
            </w:r>
            <w:bookmarkEnd w:id="2"/>
          </w:p>
        </w:tc>
      </w:tr>
      <w:tr w:rsidR="00395B24" w14:paraId="08EA3C52" w14:textId="77777777" w:rsidTr="006F6CF6">
        <w:tc>
          <w:tcPr>
            <w:tcW w:w="3083" w:type="dxa"/>
            <w:shd w:val="clear" w:color="auto" w:fill="auto"/>
          </w:tcPr>
          <w:p w14:paraId="48915700" w14:textId="77777777" w:rsidR="00395B24" w:rsidRDefault="00395B24" w:rsidP="00663878">
            <w:pPr>
              <w:pStyle w:val="Normal1linespace"/>
              <w:widowControl w:val="0"/>
              <w:jc w:val="left"/>
            </w:pPr>
          </w:p>
        </w:tc>
        <w:tc>
          <w:tcPr>
            <w:tcW w:w="5989" w:type="dxa"/>
            <w:shd w:val="clear" w:color="auto" w:fill="auto"/>
          </w:tcPr>
          <w:p w14:paraId="0AC37EF5" w14:textId="77777777" w:rsidR="00395B24" w:rsidRDefault="00395B24" w:rsidP="00663878">
            <w:pPr>
              <w:pStyle w:val="Normal1linespace"/>
              <w:widowControl w:val="0"/>
              <w:jc w:val="left"/>
            </w:pPr>
          </w:p>
        </w:tc>
      </w:tr>
      <w:tr w:rsidR="00395B24" w14:paraId="3B1AC60A" w14:textId="77777777" w:rsidTr="006F6CF6">
        <w:tc>
          <w:tcPr>
            <w:tcW w:w="3083" w:type="dxa"/>
            <w:shd w:val="clear" w:color="auto" w:fill="auto"/>
          </w:tcPr>
          <w:p w14:paraId="1D18DBED" w14:textId="77777777" w:rsidR="00395B24" w:rsidRDefault="002C7385" w:rsidP="00663878">
            <w:pPr>
              <w:pStyle w:val="Normal1linespace"/>
              <w:widowControl w:val="0"/>
              <w:jc w:val="left"/>
            </w:pPr>
            <w:r>
              <w:t>Legislation:</w:t>
            </w:r>
          </w:p>
        </w:tc>
        <w:tc>
          <w:tcPr>
            <w:tcW w:w="5989" w:type="dxa"/>
            <w:shd w:val="clear" w:color="auto" w:fill="auto"/>
          </w:tcPr>
          <w:p w14:paraId="5DB9C72C" w14:textId="505C0973" w:rsidR="006F6CF6" w:rsidRPr="006F6CF6" w:rsidRDefault="006F6CF6" w:rsidP="006F6CF6">
            <w:pPr>
              <w:pStyle w:val="CasesLegislationAppealFrom"/>
              <w:spacing w:after="60"/>
            </w:pPr>
            <w:bookmarkStart w:id="3" w:name="Legislation"/>
            <w:r w:rsidRPr="00934B3C">
              <w:rPr>
                <w:i/>
                <w:iCs/>
              </w:rPr>
              <w:t xml:space="preserve">Migration Act </w:t>
            </w:r>
            <w:r w:rsidRPr="006F6CF6">
              <w:rPr>
                <w:i/>
                <w:iCs/>
              </w:rPr>
              <w:t>1958</w:t>
            </w:r>
            <w:r w:rsidRPr="006F6CF6">
              <w:t xml:space="preserve"> (Cth)</w:t>
            </w:r>
            <w:r>
              <w:t>, ss 499, 501</w:t>
            </w:r>
            <w:bookmarkEnd w:id="3"/>
          </w:p>
        </w:tc>
      </w:tr>
      <w:tr w:rsidR="00395B24" w14:paraId="7CCB4CA8" w14:textId="77777777" w:rsidTr="006F6CF6">
        <w:tc>
          <w:tcPr>
            <w:tcW w:w="3083" w:type="dxa"/>
            <w:shd w:val="clear" w:color="auto" w:fill="auto"/>
          </w:tcPr>
          <w:p w14:paraId="0D2C4C6C" w14:textId="77777777" w:rsidR="00395B24" w:rsidRDefault="00395B24" w:rsidP="00663878">
            <w:pPr>
              <w:pStyle w:val="Normal1linespace"/>
              <w:widowControl w:val="0"/>
              <w:jc w:val="left"/>
            </w:pPr>
          </w:p>
        </w:tc>
        <w:tc>
          <w:tcPr>
            <w:tcW w:w="5989" w:type="dxa"/>
            <w:shd w:val="clear" w:color="auto" w:fill="auto"/>
          </w:tcPr>
          <w:p w14:paraId="777C7617" w14:textId="77777777" w:rsidR="00395B24" w:rsidRDefault="00395B24" w:rsidP="00663878">
            <w:pPr>
              <w:pStyle w:val="Normal1linespace"/>
              <w:widowControl w:val="0"/>
              <w:jc w:val="left"/>
            </w:pPr>
          </w:p>
        </w:tc>
      </w:tr>
      <w:tr w:rsidR="00395B24" w14:paraId="79BB859B" w14:textId="77777777" w:rsidTr="006F6CF6">
        <w:tc>
          <w:tcPr>
            <w:tcW w:w="3083" w:type="dxa"/>
            <w:shd w:val="clear" w:color="auto" w:fill="auto"/>
          </w:tcPr>
          <w:p w14:paraId="1E48D66C" w14:textId="77777777" w:rsidR="00395B24" w:rsidRDefault="002C7385" w:rsidP="00663878">
            <w:pPr>
              <w:pStyle w:val="Normal1linespace"/>
              <w:widowControl w:val="0"/>
              <w:jc w:val="left"/>
            </w:pPr>
            <w:r>
              <w:t>Cases cited:</w:t>
            </w:r>
          </w:p>
        </w:tc>
        <w:tc>
          <w:tcPr>
            <w:tcW w:w="5989" w:type="dxa"/>
            <w:shd w:val="clear" w:color="auto" w:fill="auto"/>
          </w:tcPr>
          <w:p w14:paraId="54EDA63A" w14:textId="77777777" w:rsidR="005C70FB" w:rsidRPr="005C70FB" w:rsidRDefault="005C70FB" w:rsidP="005C70FB">
            <w:pPr>
              <w:pStyle w:val="CasesLegislationAppealFrom"/>
              <w:spacing w:after="60"/>
            </w:pPr>
            <w:bookmarkStart w:id="4" w:name="Cases_Cited"/>
            <w:r w:rsidRPr="005C70FB">
              <w:rPr>
                <w:i/>
                <w:iCs/>
              </w:rPr>
              <w:t xml:space="preserve">Garland v Minister for Immigration, Citizenship and Multicultural Affairs </w:t>
            </w:r>
            <w:r w:rsidRPr="005C70FB">
              <w:t>[2023] FCAFC 144; (2023) 298 FCR 476</w:t>
            </w:r>
          </w:p>
          <w:p w14:paraId="3C0EE233" w14:textId="77777777" w:rsidR="005C70FB" w:rsidRPr="005C70FB" w:rsidRDefault="005C70FB" w:rsidP="005C70FB">
            <w:pPr>
              <w:pStyle w:val="CasesLegislationAppealFrom"/>
              <w:spacing w:after="60"/>
            </w:pPr>
            <w:r w:rsidRPr="005C70FB">
              <w:rPr>
                <w:i/>
                <w:iCs/>
              </w:rPr>
              <w:t xml:space="preserve">Kovalev v Minister for Immigration &amp; Multicultural Affairs </w:t>
            </w:r>
            <w:r w:rsidRPr="005C70FB">
              <w:t>[1999] FCA 557; (1999) 100 FCR 323</w:t>
            </w:r>
          </w:p>
          <w:p w14:paraId="2208A448" w14:textId="77777777" w:rsidR="005C70FB" w:rsidRPr="005C70FB" w:rsidRDefault="005C70FB" w:rsidP="005C70FB">
            <w:pPr>
              <w:pStyle w:val="CasesLegislationAppealFrom"/>
              <w:spacing w:after="60"/>
            </w:pPr>
            <w:r w:rsidRPr="005C70FB">
              <w:rPr>
                <w:i/>
                <w:iCs/>
              </w:rPr>
              <w:t xml:space="preserve">LPDT v Minister for Immigration, Citizenship, Migrant Services and Multicultural Affairs </w:t>
            </w:r>
            <w:r w:rsidRPr="005C70FB">
              <w:t>[2024] HCA 12</w:t>
            </w:r>
          </w:p>
          <w:p w14:paraId="40932B42" w14:textId="77777777" w:rsidR="005C70FB" w:rsidRPr="005C70FB" w:rsidRDefault="005C70FB" w:rsidP="005C70FB">
            <w:pPr>
              <w:pStyle w:val="CasesLegislationAppealFrom"/>
              <w:spacing w:after="60"/>
            </w:pPr>
            <w:r w:rsidRPr="005C70FB">
              <w:rPr>
                <w:i/>
                <w:iCs/>
              </w:rPr>
              <w:t>Omani v Minister for Immigration, Citizenship and Multicultural Affairs (Migration)</w:t>
            </w:r>
            <w:r w:rsidRPr="005C70FB">
              <w:t xml:space="preserve"> [2023] AATA 4119</w:t>
            </w:r>
          </w:p>
          <w:p w14:paraId="6B56BDC8" w14:textId="68EF594B" w:rsidR="005C70FB" w:rsidRPr="005C70FB" w:rsidRDefault="005C70FB" w:rsidP="005C70FB">
            <w:pPr>
              <w:pStyle w:val="CasesLegislationAppealFrom"/>
              <w:spacing w:after="60"/>
            </w:pPr>
            <w:r w:rsidRPr="005C70FB">
              <w:rPr>
                <w:i/>
                <w:iCs/>
              </w:rPr>
              <w:t xml:space="preserve">VNPC v Minister for Immigration, Citizenship, Migrant Services and Multicultural Affairs </w:t>
            </w:r>
            <w:r w:rsidRPr="005C70FB">
              <w:t>[2022] FCA 921; (2022) 181 ALD 49</w:t>
            </w:r>
            <w:bookmarkEnd w:id="4"/>
          </w:p>
        </w:tc>
      </w:tr>
      <w:tr w:rsidR="00AD7ACE" w14:paraId="06CCDC1C" w14:textId="77777777" w:rsidTr="006F6CF6">
        <w:tc>
          <w:tcPr>
            <w:tcW w:w="3083" w:type="dxa"/>
            <w:shd w:val="clear" w:color="auto" w:fill="auto"/>
          </w:tcPr>
          <w:p w14:paraId="2A019780" w14:textId="77777777" w:rsidR="00AD7ACE" w:rsidRDefault="00AD7ACE" w:rsidP="002F7154">
            <w:pPr>
              <w:pStyle w:val="Normal1linespace"/>
              <w:widowControl w:val="0"/>
            </w:pPr>
          </w:p>
        </w:tc>
        <w:tc>
          <w:tcPr>
            <w:tcW w:w="5989" w:type="dxa"/>
            <w:shd w:val="clear" w:color="auto" w:fill="auto"/>
          </w:tcPr>
          <w:p w14:paraId="1A1DDDA6" w14:textId="77777777" w:rsidR="00AD7ACE" w:rsidRDefault="00AD7ACE" w:rsidP="002F7154">
            <w:pPr>
              <w:pStyle w:val="Normal1linespace"/>
              <w:widowControl w:val="0"/>
              <w:jc w:val="left"/>
            </w:pPr>
          </w:p>
        </w:tc>
      </w:tr>
      <w:tr w:rsidR="00AD7ACE" w14:paraId="3FD2F9AF" w14:textId="77777777" w:rsidTr="006F6CF6">
        <w:tc>
          <w:tcPr>
            <w:tcW w:w="3083" w:type="dxa"/>
            <w:shd w:val="clear" w:color="auto" w:fill="auto"/>
          </w:tcPr>
          <w:p w14:paraId="7C24D77D" w14:textId="77777777" w:rsidR="00AD7ACE" w:rsidRDefault="00AD7ACE" w:rsidP="00501A12">
            <w:pPr>
              <w:pStyle w:val="Normal1linespace"/>
              <w:widowControl w:val="0"/>
            </w:pPr>
            <w:r>
              <w:t>Division:</w:t>
            </w:r>
          </w:p>
        </w:tc>
        <w:tc>
          <w:tcPr>
            <w:tcW w:w="5989" w:type="dxa"/>
            <w:shd w:val="clear" w:color="auto" w:fill="auto"/>
          </w:tcPr>
          <w:p w14:paraId="2C6BD4E4" w14:textId="77777777" w:rsidR="00AD7ACE" w:rsidRPr="00F17599" w:rsidRDefault="00EA1765" w:rsidP="00501A12">
            <w:pPr>
              <w:pStyle w:val="Normal1linespace"/>
              <w:widowControl w:val="0"/>
              <w:jc w:val="left"/>
            </w:pPr>
            <w:fldSimple w:instr=" DOCPROPERTY  Division ">
              <w:r w:rsidR="00AD7ACE">
                <w:t>General Division</w:t>
              </w:r>
            </w:fldSimple>
          </w:p>
        </w:tc>
      </w:tr>
      <w:tr w:rsidR="00AD7ACE" w14:paraId="09645664" w14:textId="77777777" w:rsidTr="006F6CF6">
        <w:tc>
          <w:tcPr>
            <w:tcW w:w="3083" w:type="dxa"/>
            <w:shd w:val="clear" w:color="auto" w:fill="auto"/>
          </w:tcPr>
          <w:p w14:paraId="1BC173A9" w14:textId="77777777" w:rsidR="00AD7ACE" w:rsidRDefault="00AD7ACE" w:rsidP="00501A12">
            <w:pPr>
              <w:pStyle w:val="Normal1linespace"/>
              <w:widowControl w:val="0"/>
            </w:pPr>
            <w:bookmarkStart w:id="5" w:name="Registry_rows" w:colFirst="0" w:colLast="1"/>
          </w:p>
        </w:tc>
        <w:tc>
          <w:tcPr>
            <w:tcW w:w="5989" w:type="dxa"/>
            <w:shd w:val="clear" w:color="auto" w:fill="auto"/>
          </w:tcPr>
          <w:p w14:paraId="677EE000" w14:textId="77777777" w:rsidR="00AD7ACE" w:rsidRDefault="00AD7ACE" w:rsidP="00501A12">
            <w:pPr>
              <w:pStyle w:val="Normal1linespace"/>
              <w:widowControl w:val="0"/>
              <w:jc w:val="left"/>
            </w:pPr>
          </w:p>
        </w:tc>
      </w:tr>
      <w:tr w:rsidR="00AD7ACE" w14:paraId="7B1AB20D" w14:textId="77777777" w:rsidTr="006F6CF6">
        <w:tc>
          <w:tcPr>
            <w:tcW w:w="3083" w:type="dxa"/>
            <w:shd w:val="clear" w:color="auto" w:fill="auto"/>
          </w:tcPr>
          <w:p w14:paraId="6952ED81" w14:textId="77777777" w:rsidR="00AD7ACE" w:rsidRDefault="00AD7ACE" w:rsidP="00501A12">
            <w:pPr>
              <w:pStyle w:val="Normal1linespace"/>
              <w:widowControl w:val="0"/>
            </w:pPr>
            <w:r>
              <w:t>Registry:</w:t>
            </w:r>
          </w:p>
        </w:tc>
        <w:tc>
          <w:tcPr>
            <w:tcW w:w="5989" w:type="dxa"/>
            <w:shd w:val="clear" w:color="auto" w:fill="auto"/>
          </w:tcPr>
          <w:p w14:paraId="2D6E4A07" w14:textId="77777777" w:rsidR="00AD7ACE" w:rsidRPr="00F17599" w:rsidRDefault="00EA1765" w:rsidP="00501A12">
            <w:pPr>
              <w:pStyle w:val="Normal1linespace"/>
              <w:widowControl w:val="0"/>
              <w:jc w:val="left"/>
            </w:pPr>
            <w:fldSimple w:instr=" DOCPROPERTY  Registry ">
              <w:r w:rsidR="00AD7ACE">
                <w:t>New South Wales</w:t>
              </w:r>
            </w:fldSimple>
          </w:p>
        </w:tc>
      </w:tr>
      <w:tr w:rsidR="00AD7ACE" w14:paraId="14305918" w14:textId="77777777" w:rsidTr="006F6CF6">
        <w:tc>
          <w:tcPr>
            <w:tcW w:w="3083" w:type="dxa"/>
            <w:shd w:val="clear" w:color="auto" w:fill="auto"/>
          </w:tcPr>
          <w:p w14:paraId="4A2D8FD0" w14:textId="77777777" w:rsidR="00AD7ACE" w:rsidRDefault="00AD7ACE" w:rsidP="00501A12">
            <w:pPr>
              <w:pStyle w:val="Normal1linespace"/>
              <w:widowControl w:val="0"/>
            </w:pPr>
            <w:bookmarkStart w:id="6" w:name="NPARow" w:colFirst="0" w:colLast="1"/>
            <w:bookmarkEnd w:id="5"/>
          </w:p>
        </w:tc>
        <w:tc>
          <w:tcPr>
            <w:tcW w:w="5989" w:type="dxa"/>
            <w:shd w:val="clear" w:color="auto" w:fill="auto"/>
          </w:tcPr>
          <w:p w14:paraId="50F2F867" w14:textId="77777777" w:rsidR="00AD7ACE" w:rsidRPr="00F17599" w:rsidRDefault="00AD7ACE" w:rsidP="00501A12">
            <w:pPr>
              <w:pStyle w:val="Normal1linespace"/>
              <w:widowControl w:val="0"/>
              <w:jc w:val="left"/>
              <w:rPr>
                <w:b/>
              </w:rPr>
            </w:pPr>
          </w:p>
        </w:tc>
      </w:tr>
      <w:tr w:rsidR="00AD7ACE" w14:paraId="61028BC9" w14:textId="77777777" w:rsidTr="006F6CF6">
        <w:tc>
          <w:tcPr>
            <w:tcW w:w="3083" w:type="dxa"/>
            <w:shd w:val="clear" w:color="auto" w:fill="auto"/>
          </w:tcPr>
          <w:p w14:paraId="1DD6A0BF" w14:textId="77777777" w:rsidR="00AD7ACE" w:rsidRDefault="00AD7ACE" w:rsidP="00501A12">
            <w:pPr>
              <w:pStyle w:val="Normal1linespace"/>
              <w:widowControl w:val="0"/>
            </w:pPr>
            <w:r>
              <w:t>National Practice Area:</w:t>
            </w:r>
          </w:p>
        </w:tc>
        <w:tc>
          <w:tcPr>
            <w:tcW w:w="5989" w:type="dxa"/>
            <w:shd w:val="clear" w:color="auto" w:fill="auto"/>
          </w:tcPr>
          <w:p w14:paraId="4DE18D9D" w14:textId="77777777" w:rsidR="00AD7ACE" w:rsidRPr="00F17599" w:rsidRDefault="00EA1765" w:rsidP="00171DBB">
            <w:pPr>
              <w:pStyle w:val="Normal1linespace"/>
              <w:widowControl w:val="0"/>
              <w:jc w:val="left"/>
              <w:rPr>
                <w:b/>
              </w:rPr>
            </w:pPr>
            <w:fldSimple w:instr=" DOCPROPERTY  &quot;Practice Area&quot;  \* MERGEFORMAT ">
              <w:r w:rsidR="00AD7ACE">
                <w:t>Administrative and Constitutional Law and Human Rights</w:t>
              </w:r>
            </w:fldSimple>
          </w:p>
        </w:tc>
      </w:tr>
      <w:bookmarkEnd w:id="6"/>
      <w:tr w:rsidR="00AD7ACE" w14:paraId="2B0656DB" w14:textId="77777777" w:rsidTr="006F6CF6">
        <w:tc>
          <w:tcPr>
            <w:tcW w:w="3083" w:type="dxa"/>
            <w:shd w:val="clear" w:color="auto" w:fill="auto"/>
          </w:tcPr>
          <w:p w14:paraId="39B9905C" w14:textId="77777777" w:rsidR="00AD7ACE" w:rsidRDefault="00AD7ACE" w:rsidP="00501A12">
            <w:pPr>
              <w:pStyle w:val="Normal1linespace"/>
              <w:widowControl w:val="0"/>
            </w:pPr>
          </w:p>
        </w:tc>
        <w:tc>
          <w:tcPr>
            <w:tcW w:w="5989" w:type="dxa"/>
            <w:shd w:val="clear" w:color="auto" w:fill="auto"/>
          </w:tcPr>
          <w:p w14:paraId="1EE3FA4E" w14:textId="77777777" w:rsidR="00AD7ACE" w:rsidRDefault="00AD7ACE" w:rsidP="00501A12">
            <w:pPr>
              <w:pStyle w:val="Normal1linespace"/>
              <w:widowControl w:val="0"/>
              <w:jc w:val="left"/>
            </w:pPr>
          </w:p>
        </w:tc>
      </w:tr>
      <w:tr w:rsidR="00AD7ACE" w14:paraId="503CF215" w14:textId="77777777" w:rsidTr="006F6CF6">
        <w:tc>
          <w:tcPr>
            <w:tcW w:w="3083" w:type="dxa"/>
            <w:shd w:val="clear" w:color="auto" w:fill="auto"/>
          </w:tcPr>
          <w:p w14:paraId="2D3EE534" w14:textId="77777777" w:rsidR="00AD7ACE" w:rsidRDefault="00AD7ACE" w:rsidP="00501A12">
            <w:pPr>
              <w:pStyle w:val="Normal1linespace"/>
              <w:widowControl w:val="0"/>
            </w:pPr>
            <w:r>
              <w:t>Number of paragraphs:</w:t>
            </w:r>
          </w:p>
        </w:tc>
        <w:tc>
          <w:tcPr>
            <w:tcW w:w="5989" w:type="dxa"/>
            <w:shd w:val="clear" w:color="auto" w:fill="auto"/>
          </w:tcPr>
          <w:p w14:paraId="60EBC6F8" w14:textId="09B6B311" w:rsidR="00AD7ACE" w:rsidRDefault="009279B1" w:rsidP="00501A12">
            <w:pPr>
              <w:pStyle w:val="Normal1linespace"/>
              <w:widowControl w:val="0"/>
              <w:jc w:val="left"/>
            </w:pPr>
            <w:bookmarkStart w:id="7" w:name="PlaceCategoryParagraphs"/>
            <w:r>
              <w:t>11</w:t>
            </w:r>
            <w:bookmarkEnd w:id="7"/>
          </w:p>
        </w:tc>
      </w:tr>
      <w:tr w:rsidR="00AD7ACE" w14:paraId="26F64DAD" w14:textId="77777777" w:rsidTr="006F6CF6">
        <w:tc>
          <w:tcPr>
            <w:tcW w:w="3083" w:type="dxa"/>
            <w:shd w:val="clear" w:color="auto" w:fill="auto"/>
          </w:tcPr>
          <w:p w14:paraId="4D1FEF3D" w14:textId="77777777" w:rsidR="00AD7ACE" w:rsidRDefault="00AD7ACE" w:rsidP="00AD7ACE">
            <w:pPr>
              <w:pStyle w:val="Normal1linespace"/>
              <w:widowControl w:val="0"/>
              <w:jc w:val="left"/>
            </w:pPr>
          </w:p>
        </w:tc>
        <w:tc>
          <w:tcPr>
            <w:tcW w:w="5989" w:type="dxa"/>
            <w:shd w:val="clear" w:color="auto" w:fill="auto"/>
          </w:tcPr>
          <w:p w14:paraId="5D29C84E" w14:textId="77777777" w:rsidR="00AD7ACE" w:rsidRDefault="00AD7ACE" w:rsidP="00AD7ACE">
            <w:pPr>
              <w:pStyle w:val="Normal1linespace"/>
              <w:widowControl w:val="0"/>
              <w:jc w:val="left"/>
            </w:pPr>
          </w:p>
        </w:tc>
      </w:tr>
      <w:tr w:rsidR="00AD7ACE" w14:paraId="18E8AF47" w14:textId="77777777" w:rsidTr="006F6CF6">
        <w:tc>
          <w:tcPr>
            <w:tcW w:w="3083" w:type="dxa"/>
            <w:shd w:val="clear" w:color="auto" w:fill="auto"/>
          </w:tcPr>
          <w:p w14:paraId="6C9714E0" w14:textId="77777777" w:rsidR="00AD7ACE" w:rsidRDefault="00AD7ACE" w:rsidP="00AD7ACE">
            <w:pPr>
              <w:pStyle w:val="Normal1linespace"/>
              <w:widowControl w:val="0"/>
              <w:jc w:val="left"/>
            </w:pPr>
            <w:bookmarkStart w:id="8" w:name="CounselDate" w:colFirst="0" w:colLast="2"/>
            <w:r w:rsidRPr="006A24E3">
              <w:t>Date of hearing:</w:t>
            </w:r>
          </w:p>
        </w:tc>
        <w:tc>
          <w:tcPr>
            <w:tcW w:w="5989" w:type="dxa"/>
            <w:shd w:val="clear" w:color="auto" w:fill="auto"/>
          </w:tcPr>
          <w:p w14:paraId="7B08BA86" w14:textId="382C472A" w:rsidR="00AD7ACE" w:rsidRDefault="00AD7ACE" w:rsidP="00AD7ACE">
            <w:pPr>
              <w:pStyle w:val="Normal1linespace"/>
              <w:widowControl w:val="0"/>
              <w:jc w:val="left"/>
            </w:pPr>
            <w:bookmarkStart w:id="9" w:name="HearingDate"/>
            <w:r>
              <w:t xml:space="preserve">Determined on the papers </w:t>
            </w:r>
            <w:bookmarkEnd w:id="9"/>
          </w:p>
        </w:tc>
      </w:tr>
      <w:tr w:rsidR="00AD7ACE" w14:paraId="19088E9E" w14:textId="77777777" w:rsidTr="006F6CF6">
        <w:tc>
          <w:tcPr>
            <w:tcW w:w="3083" w:type="dxa"/>
            <w:shd w:val="clear" w:color="auto" w:fill="auto"/>
          </w:tcPr>
          <w:p w14:paraId="3198EF5D" w14:textId="77777777" w:rsidR="00AD7ACE" w:rsidRDefault="00AD7ACE" w:rsidP="00AD7ACE">
            <w:pPr>
              <w:pStyle w:val="Normal1linespace"/>
              <w:widowControl w:val="0"/>
              <w:jc w:val="left"/>
            </w:pPr>
          </w:p>
        </w:tc>
        <w:tc>
          <w:tcPr>
            <w:tcW w:w="5989" w:type="dxa"/>
            <w:shd w:val="clear" w:color="auto" w:fill="auto"/>
          </w:tcPr>
          <w:p w14:paraId="5323A1F1" w14:textId="77777777" w:rsidR="00AD7ACE" w:rsidRDefault="00AD7ACE" w:rsidP="00AD7ACE">
            <w:pPr>
              <w:pStyle w:val="Normal1linespace"/>
              <w:widowControl w:val="0"/>
              <w:jc w:val="left"/>
            </w:pPr>
          </w:p>
        </w:tc>
      </w:tr>
      <w:tr w:rsidR="00AD7ACE" w14:paraId="0D792254" w14:textId="77777777" w:rsidTr="006F6CF6">
        <w:tc>
          <w:tcPr>
            <w:tcW w:w="3083" w:type="dxa"/>
            <w:shd w:val="clear" w:color="auto" w:fill="auto"/>
          </w:tcPr>
          <w:p w14:paraId="076926AF" w14:textId="32E537B2" w:rsidR="00AD7ACE" w:rsidRDefault="00AD7ACE" w:rsidP="00AD7ACE">
            <w:pPr>
              <w:pStyle w:val="Normal1linespace"/>
              <w:widowControl w:val="0"/>
              <w:jc w:val="left"/>
            </w:pPr>
            <w:bookmarkStart w:id="10" w:name="Counsel" w:colFirst="0" w:colLast="2"/>
            <w:bookmarkEnd w:id="8"/>
            <w:r>
              <w:t>Counsel for the Applicant:</w:t>
            </w:r>
          </w:p>
        </w:tc>
        <w:tc>
          <w:tcPr>
            <w:tcW w:w="5989" w:type="dxa"/>
            <w:shd w:val="clear" w:color="auto" w:fill="auto"/>
          </w:tcPr>
          <w:p w14:paraId="67FDC4F0" w14:textId="1E96779D" w:rsidR="00AD7ACE" w:rsidRDefault="00AD7ACE" w:rsidP="00AD7ACE">
            <w:pPr>
              <w:pStyle w:val="Normal1linespace"/>
              <w:widowControl w:val="0"/>
              <w:jc w:val="left"/>
            </w:pPr>
            <w:bookmarkStart w:id="11" w:name="AppCounsel"/>
            <w:bookmarkEnd w:id="11"/>
            <w:r>
              <w:t>Dr J Donnelly</w:t>
            </w:r>
          </w:p>
        </w:tc>
      </w:tr>
      <w:tr w:rsidR="00AD7ACE" w14:paraId="27C015C8" w14:textId="77777777" w:rsidTr="006F6CF6">
        <w:tc>
          <w:tcPr>
            <w:tcW w:w="3083" w:type="dxa"/>
            <w:shd w:val="clear" w:color="auto" w:fill="auto"/>
          </w:tcPr>
          <w:p w14:paraId="1A44305B" w14:textId="77777777" w:rsidR="00AD7ACE" w:rsidRDefault="00AD7ACE" w:rsidP="00AD7ACE">
            <w:pPr>
              <w:pStyle w:val="Normal1linespace"/>
              <w:widowControl w:val="0"/>
              <w:jc w:val="left"/>
            </w:pPr>
          </w:p>
        </w:tc>
        <w:tc>
          <w:tcPr>
            <w:tcW w:w="5989" w:type="dxa"/>
            <w:shd w:val="clear" w:color="auto" w:fill="auto"/>
          </w:tcPr>
          <w:p w14:paraId="44FFE34F" w14:textId="77777777" w:rsidR="00AD7ACE" w:rsidRDefault="00AD7ACE" w:rsidP="00AD7ACE">
            <w:pPr>
              <w:pStyle w:val="Normal1linespace"/>
              <w:widowControl w:val="0"/>
              <w:jc w:val="left"/>
            </w:pPr>
          </w:p>
        </w:tc>
      </w:tr>
      <w:tr w:rsidR="00AD7ACE" w14:paraId="2A69F6F0" w14:textId="77777777" w:rsidTr="006F6CF6">
        <w:tc>
          <w:tcPr>
            <w:tcW w:w="3083" w:type="dxa"/>
            <w:shd w:val="clear" w:color="auto" w:fill="auto"/>
          </w:tcPr>
          <w:p w14:paraId="3CE9913E" w14:textId="3E33201E" w:rsidR="00AD7ACE" w:rsidRDefault="00AD7ACE" w:rsidP="00AD7ACE">
            <w:pPr>
              <w:pStyle w:val="Normal1linespace"/>
              <w:widowControl w:val="0"/>
              <w:jc w:val="left"/>
            </w:pPr>
            <w:r>
              <w:t>Solicitor for the Applicant:</w:t>
            </w:r>
          </w:p>
        </w:tc>
        <w:tc>
          <w:tcPr>
            <w:tcW w:w="5989" w:type="dxa"/>
            <w:shd w:val="clear" w:color="auto" w:fill="auto"/>
          </w:tcPr>
          <w:p w14:paraId="6775B9E8" w14:textId="4A63EAF3" w:rsidR="00AD7ACE" w:rsidRDefault="00AD7ACE" w:rsidP="00AD7ACE">
            <w:pPr>
              <w:pStyle w:val="Normal1linespace"/>
              <w:widowControl w:val="0"/>
              <w:jc w:val="left"/>
            </w:pPr>
            <w:r>
              <w:t>Zarifi Lawyers</w:t>
            </w:r>
          </w:p>
        </w:tc>
      </w:tr>
      <w:tr w:rsidR="00AD7ACE" w14:paraId="18D05B16" w14:textId="77777777" w:rsidTr="006F6CF6">
        <w:tc>
          <w:tcPr>
            <w:tcW w:w="3083" w:type="dxa"/>
            <w:shd w:val="clear" w:color="auto" w:fill="auto"/>
          </w:tcPr>
          <w:p w14:paraId="65621A0E" w14:textId="77777777" w:rsidR="00AD7ACE" w:rsidRDefault="00AD7ACE" w:rsidP="00AD7ACE">
            <w:pPr>
              <w:pStyle w:val="Normal1linespace"/>
              <w:widowControl w:val="0"/>
              <w:jc w:val="left"/>
            </w:pPr>
          </w:p>
        </w:tc>
        <w:tc>
          <w:tcPr>
            <w:tcW w:w="5989" w:type="dxa"/>
            <w:shd w:val="clear" w:color="auto" w:fill="auto"/>
          </w:tcPr>
          <w:p w14:paraId="7F8E7FF8" w14:textId="77777777" w:rsidR="00AD7ACE" w:rsidRDefault="00AD7ACE" w:rsidP="00AD7ACE">
            <w:pPr>
              <w:pStyle w:val="Normal1linespace"/>
              <w:widowControl w:val="0"/>
              <w:jc w:val="left"/>
            </w:pPr>
          </w:p>
        </w:tc>
      </w:tr>
      <w:tr w:rsidR="00AD7ACE" w14:paraId="34C04285" w14:textId="77777777" w:rsidTr="006F6CF6">
        <w:tc>
          <w:tcPr>
            <w:tcW w:w="3083" w:type="dxa"/>
            <w:shd w:val="clear" w:color="auto" w:fill="auto"/>
          </w:tcPr>
          <w:p w14:paraId="21662D49" w14:textId="77D4E576" w:rsidR="00AD7ACE" w:rsidRDefault="00AD7ACE" w:rsidP="00AD7ACE">
            <w:pPr>
              <w:pStyle w:val="Normal1linespace"/>
              <w:widowControl w:val="0"/>
              <w:jc w:val="left"/>
            </w:pPr>
            <w:r>
              <w:t>Solicitor for the First Respondent:</w:t>
            </w:r>
          </w:p>
        </w:tc>
        <w:tc>
          <w:tcPr>
            <w:tcW w:w="5989" w:type="dxa"/>
            <w:shd w:val="clear" w:color="auto" w:fill="auto"/>
          </w:tcPr>
          <w:p w14:paraId="67E419D7" w14:textId="6B3A02A5" w:rsidR="00AD7ACE" w:rsidRDefault="00AD7ACE" w:rsidP="00AD7ACE">
            <w:pPr>
              <w:pStyle w:val="Normal1linespace"/>
              <w:widowControl w:val="0"/>
              <w:jc w:val="left"/>
            </w:pPr>
            <w:r>
              <w:t>Mr J Fyfe of Minter Ellison</w:t>
            </w:r>
          </w:p>
        </w:tc>
      </w:tr>
      <w:tr w:rsidR="00AD7ACE" w14:paraId="31E1DBA1" w14:textId="77777777" w:rsidTr="006F6CF6">
        <w:tc>
          <w:tcPr>
            <w:tcW w:w="3083" w:type="dxa"/>
            <w:shd w:val="clear" w:color="auto" w:fill="auto"/>
          </w:tcPr>
          <w:p w14:paraId="6CC6352F" w14:textId="77777777" w:rsidR="00AD7ACE" w:rsidRDefault="00AD7ACE" w:rsidP="00AD7ACE">
            <w:pPr>
              <w:pStyle w:val="Normal1linespace"/>
              <w:widowControl w:val="0"/>
              <w:jc w:val="left"/>
            </w:pPr>
          </w:p>
        </w:tc>
        <w:tc>
          <w:tcPr>
            <w:tcW w:w="5989" w:type="dxa"/>
            <w:shd w:val="clear" w:color="auto" w:fill="auto"/>
          </w:tcPr>
          <w:p w14:paraId="0AF34670" w14:textId="77777777" w:rsidR="00AD7ACE" w:rsidRDefault="00AD7ACE" w:rsidP="00AD7ACE">
            <w:pPr>
              <w:pStyle w:val="Normal1linespace"/>
              <w:widowControl w:val="0"/>
              <w:jc w:val="left"/>
            </w:pPr>
          </w:p>
        </w:tc>
      </w:tr>
      <w:tr w:rsidR="00AD7ACE" w14:paraId="6885E209" w14:textId="77777777" w:rsidTr="006F6CF6">
        <w:tc>
          <w:tcPr>
            <w:tcW w:w="3083" w:type="dxa"/>
            <w:shd w:val="clear" w:color="auto" w:fill="auto"/>
          </w:tcPr>
          <w:p w14:paraId="4750D715" w14:textId="3271F62F" w:rsidR="00AD7ACE" w:rsidRDefault="00AD7ACE" w:rsidP="00AD7ACE">
            <w:pPr>
              <w:pStyle w:val="Normal1linespace"/>
              <w:widowControl w:val="0"/>
              <w:jc w:val="left"/>
            </w:pPr>
            <w:r>
              <w:t>Solicitor for the Second Respondent:</w:t>
            </w:r>
          </w:p>
        </w:tc>
        <w:tc>
          <w:tcPr>
            <w:tcW w:w="5989" w:type="dxa"/>
            <w:shd w:val="clear" w:color="auto" w:fill="auto"/>
          </w:tcPr>
          <w:p w14:paraId="03582B68" w14:textId="6353B7FF" w:rsidR="00AD7ACE" w:rsidRPr="00FE002A" w:rsidRDefault="00FE002A" w:rsidP="00AD7ACE">
            <w:pPr>
              <w:pStyle w:val="Normal1linespace"/>
              <w:widowControl w:val="0"/>
              <w:jc w:val="left"/>
            </w:pPr>
            <w:r w:rsidRPr="00FE002A">
              <w:t>The second respondent did not appear</w:t>
            </w:r>
          </w:p>
        </w:tc>
      </w:tr>
      <w:bookmarkEnd w:id="10"/>
    </w:tbl>
    <w:p w14:paraId="4A46891F" w14:textId="77777777" w:rsidR="007470BD" w:rsidRDefault="007470BD">
      <w:pPr>
        <w:pStyle w:val="Normal1linespace"/>
      </w:pPr>
    </w:p>
    <w:p w14:paraId="0F07489A" w14:textId="77777777" w:rsidR="00E94CBF" w:rsidRDefault="00E94CBF">
      <w:pPr>
        <w:pStyle w:val="Normal1linespace"/>
      </w:pPr>
    </w:p>
    <w:p w14:paraId="2578E35C" w14:textId="77777777" w:rsidR="00395B24" w:rsidRDefault="00395B24">
      <w:pPr>
        <w:pStyle w:val="Normal1linespace"/>
        <w:sectPr w:rsidR="00395B24" w:rsidSect="00EB721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29B708BB"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8BCC788" w14:textId="77777777" w:rsidTr="00E81DA6">
        <w:tc>
          <w:tcPr>
            <w:tcW w:w="6912" w:type="dxa"/>
            <w:gridSpan w:val="2"/>
          </w:tcPr>
          <w:p w14:paraId="6DD6AC45" w14:textId="77777777" w:rsidR="00A46CCC" w:rsidRPr="001765E0" w:rsidRDefault="00A46CCC" w:rsidP="00525A49">
            <w:pPr>
              <w:pStyle w:val="NormalHeadings"/>
            </w:pPr>
          </w:p>
        </w:tc>
        <w:tc>
          <w:tcPr>
            <w:tcW w:w="2330" w:type="dxa"/>
          </w:tcPr>
          <w:p w14:paraId="5F9BD810" w14:textId="77777777" w:rsidR="00A46CCC" w:rsidRDefault="00AD7ACE" w:rsidP="00F92355">
            <w:pPr>
              <w:pStyle w:val="NormalHeadings"/>
              <w:jc w:val="right"/>
            </w:pPr>
            <w:bookmarkStart w:id="12" w:name="FileNo"/>
            <w:r>
              <w:t>NSD 1542 of 2023</w:t>
            </w:r>
            <w:bookmarkEnd w:id="12"/>
          </w:p>
        </w:tc>
      </w:tr>
      <w:tr w:rsidR="00A76C13" w14:paraId="107FBAF8" w14:textId="77777777" w:rsidTr="00F461A4">
        <w:tc>
          <w:tcPr>
            <w:tcW w:w="9242" w:type="dxa"/>
            <w:gridSpan w:val="3"/>
          </w:tcPr>
          <w:p w14:paraId="7D3FB7EB" w14:textId="77777777" w:rsidR="00A76C13" w:rsidRPr="00A76C13" w:rsidRDefault="00AD7ACE" w:rsidP="00AD7ACE">
            <w:pPr>
              <w:pStyle w:val="NormalHeadings"/>
              <w:jc w:val="left"/>
            </w:pPr>
            <w:bookmarkStart w:id="13" w:name="InTheMatterOf"/>
            <w:r>
              <w:t xml:space="preserve"> </w:t>
            </w:r>
            <w:bookmarkEnd w:id="13"/>
          </w:p>
        </w:tc>
      </w:tr>
      <w:tr w:rsidR="00A46CCC" w14:paraId="510057FC" w14:textId="77777777" w:rsidTr="005041F0">
        <w:trPr>
          <w:trHeight w:val="386"/>
        </w:trPr>
        <w:tc>
          <w:tcPr>
            <w:tcW w:w="2376" w:type="dxa"/>
          </w:tcPr>
          <w:p w14:paraId="0F3474AB"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6A6C7CEA" w14:textId="77777777" w:rsidR="00AD7ACE" w:rsidRDefault="00AD7ACE" w:rsidP="00AD7ACE">
            <w:pPr>
              <w:pStyle w:val="NormalHeadings"/>
              <w:jc w:val="left"/>
            </w:pPr>
            <w:bookmarkStart w:id="15" w:name="Applicant"/>
            <w:r>
              <w:t>MA'AKE LLAIAKIMI TAUKOL OMANI</w:t>
            </w:r>
          </w:p>
          <w:p w14:paraId="5F011112" w14:textId="77777777" w:rsidR="00AD7ACE" w:rsidRDefault="00AD7ACE" w:rsidP="00AD7ACE">
            <w:pPr>
              <w:pStyle w:val="PartyType"/>
            </w:pPr>
            <w:r>
              <w:t>Applicant</w:t>
            </w:r>
          </w:p>
          <w:bookmarkEnd w:id="15"/>
          <w:p w14:paraId="46F8C73D" w14:textId="77777777" w:rsidR="00A46CCC" w:rsidRPr="006555B4" w:rsidRDefault="00A46CCC" w:rsidP="005041F0">
            <w:pPr>
              <w:pStyle w:val="NormalHeadings"/>
              <w:jc w:val="left"/>
            </w:pPr>
          </w:p>
        </w:tc>
      </w:tr>
      <w:tr w:rsidR="00A46CCC" w14:paraId="066434FE" w14:textId="77777777" w:rsidTr="005041F0">
        <w:trPr>
          <w:trHeight w:val="386"/>
        </w:trPr>
        <w:tc>
          <w:tcPr>
            <w:tcW w:w="2376" w:type="dxa"/>
          </w:tcPr>
          <w:p w14:paraId="153C3CCF" w14:textId="77777777" w:rsidR="00A46CCC" w:rsidRDefault="00A46CCC" w:rsidP="005041F0">
            <w:pPr>
              <w:pStyle w:val="NormalHeadings"/>
              <w:jc w:val="left"/>
              <w:rPr>
                <w:caps/>
                <w:szCs w:val="24"/>
              </w:rPr>
            </w:pPr>
            <w:r>
              <w:rPr>
                <w:caps/>
                <w:szCs w:val="24"/>
              </w:rPr>
              <w:t>AND:</w:t>
            </w:r>
          </w:p>
        </w:tc>
        <w:tc>
          <w:tcPr>
            <w:tcW w:w="6866" w:type="dxa"/>
            <w:gridSpan w:val="2"/>
          </w:tcPr>
          <w:p w14:paraId="42F59802" w14:textId="77777777" w:rsidR="00AD7ACE" w:rsidRDefault="00AD7ACE" w:rsidP="00AD7ACE">
            <w:pPr>
              <w:pStyle w:val="NormalHeadings"/>
              <w:jc w:val="left"/>
            </w:pPr>
            <w:bookmarkStart w:id="16" w:name="Respondent"/>
            <w:r>
              <w:t>MINISTER FOR IMMIGRATION, CITIZENSHIP AND MULTICULTURAL AFFAIRS</w:t>
            </w:r>
          </w:p>
          <w:p w14:paraId="62D55127" w14:textId="77777777" w:rsidR="00AD7ACE" w:rsidRDefault="00AD7ACE" w:rsidP="00AD7ACE">
            <w:pPr>
              <w:pStyle w:val="PartyType"/>
            </w:pPr>
            <w:r>
              <w:t>First Respondent</w:t>
            </w:r>
          </w:p>
          <w:p w14:paraId="2C972980" w14:textId="77777777" w:rsidR="00AD7ACE" w:rsidRDefault="00AD7ACE" w:rsidP="005041F0">
            <w:pPr>
              <w:pStyle w:val="NormalHeadings"/>
              <w:jc w:val="left"/>
              <w:rPr>
                <w:szCs w:val="24"/>
              </w:rPr>
            </w:pPr>
          </w:p>
          <w:p w14:paraId="3E1FCF4B" w14:textId="77777777" w:rsidR="00AD7ACE" w:rsidRDefault="00AD7ACE" w:rsidP="00AD7ACE">
            <w:pPr>
              <w:pStyle w:val="NormalHeadings"/>
              <w:jc w:val="left"/>
            </w:pPr>
            <w:r>
              <w:t>ADMINISTRATIVE APPEALS TRIBUNAL</w:t>
            </w:r>
          </w:p>
          <w:p w14:paraId="65604823" w14:textId="77777777" w:rsidR="00AD7ACE" w:rsidRDefault="00AD7ACE" w:rsidP="00AD7ACE">
            <w:pPr>
              <w:pStyle w:val="PartyType"/>
            </w:pPr>
            <w:r>
              <w:t>Second Respondent</w:t>
            </w:r>
          </w:p>
          <w:bookmarkEnd w:id="16"/>
          <w:p w14:paraId="39BC4307" w14:textId="77777777" w:rsidR="00A46CCC" w:rsidRPr="006555B4" w:rsidRDefault="00A46CCC" w:rsidP="005041F0">
            <w:pPr>
              <w:pStyle w:val="NormalHeadings"/>
              <w:jc w:val="left"/>
            </w:pPr>
          </w:p>
        </w:tc>
      </w:tr>
    </w:tbl>
    <w:p w14:paraId="4D51B8C2"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53BEA061" w14:textId="77777777">
        <w:tc>
          <w:tcPr>
            <w:tcW w:w="2376" w:type="dxa"/>
          </w:tcPr>
          <w:p w14:paraId="5329C510"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479E7CF" w14:textId="77777777" w:rsidR="00395B24" w:rsidRDefault="00AD7ACE">
            <w:pPr>
              <w:pStyle w:val="NormalHeadings"/>
              <w:jc w:val="left"/>
              <w:rPr>
                <w:caps/>
                <w:szCs w:val="24"/>
              </w:rPr>
            </w:pPr>
            <w:bookmarkStart w:id="19" w:name="Judge"/>
            <w:r>
              <w:rPr>
                <w:caps/>
                <w:szCs w:val="24"/>
              </w:rPr>
              <w:t>GOODMAN J</w:t>
            </w:r>
            <w:bookmarkEnd w:id="19"/>
          </w:p>
        </w:tc>
      </w:tr>
      <w:tr w:rsidR="00395B24" w14:paraId="5B3ECD0E" w14:textId="77777777">
        <w:tc>
          <w:tcPr>
            <w:tcW w:w="2376" w:type="dxa"/>
          </w:tcPr>
          <w:p w14:paraId="531B7B36" w14:textId="77777777" w:rsidR="00395B24" w:rsidRDefault="002C7385">
            <w:pPr>
              <w:pStyle w:val="NormalHeadings"/>
              <w:spacing w:after="120"/>
              <w:jc w:val="left"/>
              <w:rPr>
                <w:caps/>
                <w:szCs w:val="24"/>
              </w:rPr>
            </w:pPr>
            <w:r>
              <w:rPr>
                <w:caps/>
                <w:szCs w:val="24"/>
              </w:rPr>
              <w:t>DATE OF ORDER:</w:t>
            </w:r>
          </w:p>
        </w:tc>
        <w:tc>
          <w:tcPr>
            <w:tcW w:w="6866" w:type="dxa"/>
          </w:tcPr>
          <w:p w14:paraId="60529584" w14:textId="5D50B643" w:rsidR="00395B24" w:rsidRDefault="004A5C95">
            <w:pPr>
              <w:pStyle w:val="NormalHeadings"/>
              <w:jc w:val="left"/>
              <w:rPr>
                <w:caps/>
                <w:szCs w:val="24"/>
              </w:rPr>
            </w:pPr>
            <w:r>
              <w:rPr>
                <w:caps/>
                <w:szCs w:val="24"/>
              </w:rPr>
              <w:t>15 april 2024</w:t>
            </w:r>
          </w:p>
        </w:tc>
      </w:tr>
    </w:tbl>
    <w:p w14:paraId="134D85B4" w14:textId="77777777" w:rsidR="00395B24" w:rsidRDefault="00395B24">
      <w:pPr>
        <w:pStyle w:val="NormalHeadings"/>
        <w:rPr>
          <w:b w:val="0"/>
        </w:rPr>
      </w:pPr>
    </w:p>
    <w:p w14:paraId="200F0849" w14:textId="77777777" w:rsidR="008D1617" w:rsidRDefault="008D1617">
      <w:pPr>
        <w:pStyle w:val="NormalHeadings"/>
        <w:rPr>
          <w:b w:val="0"/>
        </w:rPr>
      </w:pPr>
    </w:p>
    <w:p w14:paraId="7BBD8D57" w14:textId="2872CEE9" w:rsidR="00395B24" w:rsidRDefault="00E540AD">
      <w:pPr>
        <w:pStyle w:val="NormalHeadings"/>
      </w:pPr>
      <w:r>
        <w:t xml:space="preserve">BY CONSENT, </w:t>
      </w:r>
      <w:r w:rsidR="002C7385">
        <w:t>THE COURT ORDERS THAT:</w:t>
      </w:r>
    </w:p>
    <w:p w14:paraId="31E444FB" w14:textId="77777777" w:rsidR="007F60DF" w:rsidRDefault="007F60DF" w:rsidP="00243E5E">
      <w:pPr>
        <w:pStyle w:val="NormalHeadings"/>
      </w:pPr>
    </w:p>
    <w:p w14:paraId="1D372D20" w14:textId="67541523" w:rsidR="001A6C52" w:rsidRDefault="00E540AD" w:rsidP="001A6C52">
      <w:pPr>
        <w:pStyle w:val="Order1"/>
      </w:pPr>
      <w:r>
        <w:t>The hearing listed on 17 April 2024 be vacated.</w:t>
      </w:r>
    </w:p>
    <w:p w14:paraId="288CC4F7" w14:textId="77777777" w:rsidR="00E540AD" w:rsidRPr="002C73B6" w:rsidRDefault="00E540AD" w:rsidP="00E540AD">
      <w:pPr>
        <w:pStyle w:val="Order1"/>
      </w:pPr>
      <w:r w:rsidRPr="002C73B6">
        <w:t xml:space="preserve">A writ in the nature of certiorari issue directed to the second respondent quashing its decision dated 28 November 2023 (2023/6611). </w:t>
      </w:r>
    </w:p>
    <w:p w14:paraId="3B6CF386" w14:textId="77777777" w:rsidR="00E540AD" w:rsidRPr="002C73B6" w:rsidRDefault="00E540AD" w:rsidP="00E540AD">
      <w:pPr>
        <w:pStyle w:val="Order1"/>
      </w:pPr>
      <w:r w:rsidRPr="002C73B6">
        <w:t xml:space="preserve">A writ in the nature of mandamus issue directed to the second respondent requiring it to determine according to law the review of the decision of the delegate of the first respondent, dated 5 September 2023. </w:t>
      </w:r>
    </w:p>
    <w:p w14:paraId="0DC1D622" w14:textId="5DC73392" w:rsidR="00E540AD" w:rsidRDefault="00E540AD" w:rsidP="00E540AD">
      <w:pPr>
        <w:pStyle w:val="Order1"/>
      </w:pPr>
      <w:r w:rsidRPr="002C73B6">
        <w:t xml:space="preserve">The first respondent pay the applicant's costs of and incidental to the application for </w:t>
      </w:r>
      <w:r>
        <w:t xml:space="preserve">judicial </w:t>
      </w:r>
      <w:r w:rsidRPr="002C73B6">
        <w:t>review</w:t>
      </w:r>
      <w:r>
        <w:t>,</w:t>
      </w:r>
      <w:r w:rsidRPr="002C73B6">
        <w:t xml:space="preserve"> to be </w:t>
      </w:r>
      <w:r>
        <w:t>taxed</w:t>
      </w:r>
      <w:r w:rsidRPr="002C73B6">
        <w:t xml:space="preserve"> </w:t>
      </w:r>
      <w:r>
        <w:t>if not agreed</w:t>
      </w:r>
      <w:r w:rsidRPr="002C73B6">
        <w:t>.</w:t>
      </w:r>
    </w:p>
    <w:p w14:paraId="24AE6F2E" w14:textId="29EDF897" w:rsidR="00E540AD" w:rsidRDefault="00E540AD" w:rsidP="00E540AD">
      <w:pPr>
        <w:pStyle w:val="OrdersHeading1"/>
      </w:pPr>
      <w:r>
        <w:t>THE COURT NOTES THAT:</w:t>
      </w:r>
    </w:p>
    <w:p w14:paraId="6067D552" w14:textId="2465A332" w:rsidR="00E540AD" w:rsidRPr="002C73B6" w:rsidRDefault="00E540AD" w:rsidP="00E540AD">
      <w:pPr>
        <w:pStyle w:val="Order1"/>
        <w:numPr>
          <w:ilvl w:val="0"/>
          <w:numId w:val="31"/>
        </w:numPr>
      </w:pPr>
      <w:r w:rsidRPr="002C73B6">
        <w:t>The first respondent concedes that the decision of the second respondent (</w:t>
      </w:r>
      <w:r w:rsidRPr="00E540AD">
        <w:rPr>
          <w:b/>
          <w:bCs/>
        </w:rPr>
        <w:t>Tribunal</w:t>
      </w:r>
      <w:r w:rsidRPr="002C73B6">
        <w:t xml:space="preserve">) is affected by jurisdictional error of the kind identified in </w:t>
      </w:r>
      <w:r w:rsidRPr="00D71D8B">
        <w:rPr>
          <w:b/>
          <w:bCs/>
          <w:i/>
          <w:iCs/>
        </w:rPr>
        <w:t>Garland</w:t>
      </w:r>
      <w:r w:rsidRPr="00E540AD">
        <w:rPr>
          <w:i/>
          <w:iCs/>
        </w:rPr>
        <w:t xml:space="preserve"> v Minister for Immigration, Citizenship and Multicultural Affairs </w:t>
      </w:r>
      <w:r w:rsidR="00D71D8B">
        <w:t xml:space="preserve">[2023] FCAFC 144; </w:t>
      </w:r>
      <w:r w:rsidRPr="002C73B6">
        <w:t>(2023) 298 FCR 476. Specifically, the Tribunal misconstrued subparagraph 8.1.1</w:t>
      </w:r>
      <w:r w:rsidR="00595F0A">
        <w:t>(1)</w:t>
      </w:r>
      <w:r w:rsidRPr="002C73B6">
        <w:t xml:space="preserve">(b)(ii) of </w:t>
      </w:r>
      <w:r w:rsidRPr="00E540AD">
        <w:rPr>
          <w:i/>
          <w:iCs/>
        </w:rPr>
        <w:t>Direction No. 99 – Visa refusal and cancellation under section 501 and revocation of a mandatory cancellation of a visa under section 501CA</w:t>
      </w:r>
      <w:r w:rsidRPr="002C73B6">
        <w:t xml:space="preserve"> in finding that the </w:t>
      </w:r>
      <w:r>
        <w:t>a</w:t>
      </w:r>
      <w:r w:rsidRPr="002C73B6">
        <w:t xml:space="preserve">pplicant committed offences against a vulnerable member of the community (at [21] and [58]). </w:t>
      </w:r>
    </w:p>
    <w:p w14:paraId="0A6F9F15" w14:textId="0A4820B5" w:rsidR="00E540AD" w:rsidRPr="002C73B6" w:rsidRDefault="00E540AD" w:rsidP="00883992">
      <w:pPr>
        <w:pStyle w:val="Order1"/>
        <w:numPr>
          <w:ilvl w:val="0"/>
          <w:numId w:val="31"/>
        </w:numPr>
      </w:pPr>
      <w:r w:rsidRPr="002C73B6">
        <w:lastRenderedPageBreak/>
        <w:t xml:space="preserve">As the Full Court </w:t>
      </w:r>
      <w:r>
        <w:t xml:space="preserve">of the Federal Court of Australia </w:t>
      </w:r>
      <w:r w:rsidRPr="002C73B6">
        <w:t xml:space="preserve">explained in </w:t>
      </w:r>
      <w:r w:rsidRPr="00883992">
        <w:rPr>
          <w:i/>
          <w:iCs/>
        </w:rPr>
        <w:t>Garland</w:t>
      </w:r>
      <w:r w:rsidRPr="002C73B6">
        <w:t xml:space="preserve"> (at</w:t>
      </w:r>
      <w:r w:rsidR="00895BB0">
        <w:t xml:space="preserve"> 486</w:t>
      </w:r>
      <w:r w:rsidRPr="002C73B6">
        <w:t xml:space="preserve"> [48]), the phrase “</w:t>
      </w:r>
      <w:r w:rsidRPr="00883992">
        <w:rPr>
          <w:i/>
          <w:iCs/>
        </w:rPr>
        <w:t>vulnerable members of the community…means members of vulnerable groups in the community; it does not encompass an individual who has physical characteristics or particular circumstances that make them vulnerable vis</w:t>
      </w:r>
      <w:r w:rsidRPr="00883992">
        <w:rPr>
          <w:i/>
          <w:iCs/>
        </w:rPr>
        <w:noBreakHyphen/>
        <w:t>à</w:t>
      </w:r>
      <w:r w:rsidRPr="00883992">
        <w:rPr>
          <w:i/>
          <w:iCs/>
        </w:rPr>
        <w:noBreakHyphen/>
        <w:t>vis a particular perpetrator but whose physical characteristics or particular circumstances do not identify the individual as a member of a recognised vulnerable group within the community</w:t>
      </w:r>
      <w:r w:rsidRPr="002C73B6">
        <w:t>…</w:t>
      </w:r>
      <w:r w:rsidR="00CD7A60">
        <w:t>”</w:t>
      </w:r>
      <w:r w:rsidRPr="002C73B6">
        <w:t xml:space="preserve">. </w:t>
      </w:r>
    </w:p>
    <w:p w14:paraId="5C4DA868" w14:textId="44EDE164" w:rsidR="00E540AD" w:rsidRPr="00E540AD" w:rsidRDefault="00E540AD" w:rsidP="00883992">
      <w:pPr>
        <w:pStyle w:val="Order1"/>
        <w:numPr>
          <w:ilvl w:val="0"/>
          <w:numId w:val="31"/>
        </w:numPr>
      </w:pPr>
      <w:r w:rsidRPr="002C73B6">
        <w:t xml:space="preserve">The Tribunal found that the victim was vulnerable, at least in part, because of the applicant's </w:t>
      </w:r>
      <w:r w:rsidR="00CD7A60">
        <w:rPr>
          <w:i/>
          <w:iCs/>
        </w:rPr>
        <w:t>“</w:t>
      </w:r>
      <w:r w:rsidRPr="00CD7A60">
        <w:rPr>
          <w:i/>
          <w:iCs/>
        </w:rPr>
        <w:t>sheer size</w:t>
      </w:r>
      <w:r w:rsidR="00CD7A60">
        <w:rPr>
          <w:i/>
          <w:iCs/>
        </w:rPr>
        <w:t>”</w:t>
      </w:r>
      <w:r>
        <w:t xml:space="preserve"> </w:t>
      </w:r>
      <w:r w:rsidRPr="002C73B6">
        <w:t xml:space="preserve">(at [21]). This finding misconstrues the meaning of </w:t>
      </w:r>
      <w:r w:rsidRPr="005D0F60">
        <w:rPr>
          <w:i/>
          <w:iCs/>
        </w:rPr>
        <w:t>“vulnerable members of the community”</w:t>
      </w:r>
      <w:r w:rsidRPr="002C73B6">
        <w:t xml:space="preserve"> in the manner considered in </w:t>
      </w:r>
      <w:r w:rsidRPr="00043D4E">
        <w:rPr>
          <w:i/>
          <w:iCs/>
        </w:rPr>
        <w:t>Garland</w:t>
      </w:r>
      <w:r>
        <w:t xml:space="preserve"> as it focuses on the comparative physical characteristics of the applicant and victim</w:t>
      </w:r>
      <w:r w:rsidRPr="002C73B6">
        <w:t xml:space="preserve">. The first respondent concedes that this error was material: </w:t>
      </w:r>
      <w:r w:rsidRPr="002C73B6">
        <w:rPr>
          <w:i/>
          <w:iCs/>
        </w:rPr>
        <w:t>LPDT v Minister for Immigration, Citizenship, Migrant Services and Multicultural Affairs</w:t>
      </w:r>
      <w:r w:rsidRPr="002C73B6">
        <w:t xml:space="preserve"> [2024] HCA 12.</w:t>
      </w:r>
    </w:p>
    <w:p w14:paraId="68CAD33A" w14:textId="77777777" w:rsidR="001A6C52" w:rsidRDefault="001A6C52" w:rsidP="001A6C52">
      <w:pPr>
        <w:pStyle w:val="BodyText"/>
      </w:pPr>
    </w:p>
    <w:p w14:paraId="48165786" w14:textId="77777777" w:rsidR="00A431E6" w:rsidRDefault="00A431E6" w:rsidP="001A6C52">
      <w:pPr>
        <w:pStyle w:val="BodyText"/>
      </w:pPr>
    </w:p>
    <w:p w14:paraId="1C288866" w14:textId="77777777" w:rsidR="0050309C" w:rsidRDefault="00AD7ACE"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5A0566ED" w14:textId="77777777" w:rsidR="00E23577" w:rsidRDefault="00E23577" w:rsidP="002B0E91">
      <w:pPr>
        <w:pStyle w:val="BodyText"/>
      </w:pPr>
    </w:p>
    <w:p w14:paraId="1C4A82F1" w14:textId="77777777" w:rsidR="00395B24" w:rsidRDefault="00395B24">
      <w:pPr>
        <w:pStyle w:val="NormalHeadings"/>
        <w:spacing w:before="240" w:after="120"/>
        <w:rPr>
          <w:b w:val="0"/>
        </w:rPr>
        <w:sectPr w:rsidR="00395B24" w:rsidSect="00EB721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718E2027"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747478BE" w14:textId="2F2A4CC2" w:rsidR="00694BEB" w:rsidRDefault="000A04E2" w:rsidP="005E0510">
      <w:pPr>
        <w:pStyle w:val="NormalHeadings"/>
        <w:spacing w:line="360" w:lineRule="auto"/>
        <w:jc w:val="left"/>
        <w:rPr>
          <w:sz w:val="26"/>
          <w:szCs w:val="26"/>
        </w:rPr>
      </w:pPr>
      <w:r>
        <w:rPr>
          <w:sz w:val="26"/>
          <w:szCs w:val="26"/>
        </w:rPr>
        <w:t>GOODMAN J</w:t>
      </w:r>
    </w:p>
    <w:p w14:paraId="04CF89AB" w14:textId="77777777" w:rsidR="000A04E2" w:rsidRDefault="000A04E2" w:rsidP="000A04E2">
      <w:pPr>
        <w:pStyle w:val="Heading1"/>
      </w:pPr>
      <w:r>
        <w:t>A.</w:t>
      </w:r>
      <w:r>
        <w:tab/>
        <w:t>Introduction</w:t>
      </w:r>
    </w:p>
    <w:p w14:paraId="28E11AC6" w14:textId="2A7D35F2" w:rsidR="000A04E2" w:rsidRDefault="000A04E2" w:rsidP="000A04E2">
      <w:pPr>
        <w:pStyle w:val="ParaNumbering"/>
      </w:pPr>
      <w:r>
        <w:t xml:space="preserve">This proceeding was scheduled for hearing </w:t>
      </w:r>
      <w:r w:rsidR="00895BB0">
        <w:t>on 17 April 2024</w:t>
      </w:r>
      <w:r>
        <w:t xml:space="preserve">. On 15 April 2024, I made orders by consent for the issue of: (1) a writ of certiorari directed to the </w:t>
      </w:r>
      <w:r w:rsidR="004A5C95">
        <w:t>second respondent</w:t>
      </w:r>
      <w:r w:rsidR="00FA16DB">
        <w:t xml:space="preserve"> </w:t>
      </w:r>
      <w:r w:rsidR="00FA16DB">
        <w:rPr>
          <w:b/>
          <w:bCs/>
        </w:rPr>
        <w:t>Tribunal</w:t>
      </w:r>
      <w:r>
        <w:t xml:space="preserve"> quashing its decision dated 28 November 2023; and (2) a writ of mandamus directed to the Tribunal requiring it to determine the application made to it for review of the decision of a delegate of the first respondent </w:t>
      </w:r>
      <w:r>
        <w:rPr>
          <w:b/>
          <w:bCs/>
        </w:rPr>
        <w:t>Minister</w:t>
      </w:r>
      <w:r>
        <w:t xml:space="preserve"> dated 5 September 2023 according to law. </w:t>
      </w:r>
    </w:p>
    <w:p w14:paraId="5ECCD380" w14:textId="22192D66" w:rsidR="000A04E2" w:rsidRPr="00FE3FB2" w:rsidRDefault="000A04E2" w:rsidP="000A04E2">
      <w:pPr>
        <w:pStyle w:val="ParaNumbering"/>
      </w:pPr>
      <w:r>
        <w:t xml:space="preserve">Before making those orders I satisfied myself by reference to the materials filed on this application that the Tribunal had made a jurisdictional error. It is appropriate, despite the Minister’s consent to the orders made, that I set out my reasons for reaching that conclusion: see, e.g., </w:t>
      </w:r>
      <w:r w:rsidRPr="00176785">
        <w:rPr>
          <w:i/>
          <w:iCs/>
        </w:rPr>
        <w:t xml:space="preserve">Kovalev v Minister for Immigration &amp; Multicultural Affairs </w:t>
      </w:r>
      <w:r w:rsidRPr="00176785">
        <w:t>[1999] FCA 557; (1999) 100 FCR 323</w:t>
      </w:r>
      <w:r>
        <w:t xml:space="preserve"> at 327 [12] (French J, as his Honour then was); </w:t>
      </w:r>
      <w:r w:rsidRPr="003F7762">
        <w:rPr>
          <w:i/>
          <w:iCs/>
        </w:rPr>
        <w:t xml:space="preserve">VNPC v Minister for Immigration, Citizenship, Migrant Services and Multicultural Affairs </w:t>
      </w:r>
      <w:r w:rsidRPr="003F7762">
        <w:t>[2022] FCA 921</w:t>
      </w:r>
      <w:r w:rsidR="006C13F9" w:rsidRPr="003F7762">
        <w:t>; (2022) 181 ALD 49</w:t>
      </w:r>
      <w:r>
        <w:t xml:space="preserve"> at</w:t>
      </w:r>
      <w:r w:rsidR="0093293E">
        <w:t xml:space="preserve"> 50</w:t>
      </w:r>
      <w:r>
        <w:t xml:space="preserve"> [3] to [6] (Colvin J). </w:t>
      </w:r>
    </w:p>
    <w:p w14:paraId="72DAD0D4" w14:textId="77777777" w:rsidR="000A04E2" w:rsidRDefault="000A04E2" w:rsidP="000A04E2">
      <w:pPr>
        <w:pStyle w:val="Heading1"/>
      </w:pPr>
      <w:r>
        <w:t>B.</w:t>
      </w:r>
      <w:r>
        <w:tab/>
        <w:t>Background</w:t>
      </w:r>
    </w:p>
    <w:p w14:paraId="5604D428" w14:textId="34B87FF1" w:rsidR="000A04E2" w:rsidRDefault="0047606E" w:rsidP="000A04E2">
      <w:pPr>
        <w:pStyle w:val="ParaNumbering"/>
      </w:pPr>
      <w:r>
        <w:t>The applicant is a male citizen of New Zealand who was granted a temporary visa and arrived in Australia</w:t>
      </w:r>
      <w:r w:rsidR="00A36C78">
        <w:t xml:space="preserve"> in February 2021.</w:t>
      </w:r>
    </w:p>
    <w:p w14:paraId="1BE3835D" w14:textId="2D5D19A4" w:rsidR="00A36C78" w:rsidRDefault="00A36C78" w:rsidP="000A04E2">
      <w:pPr>
        <w:pStyle w:val="ParaNumbering"/>
      </w:pPr>
      <w:r>
        <w:t xml:space="preserve">On 6 December 2022, the applicant’s visa was mandatorily cancelled under s </w:t>
      </w:r>
      <w:r w:rsidRPr="006F6CF6">
        <w:t xml:space="preserve">501(3A) of the </w:t>
      </w:r>
      <w:r w:rsidRPr="006F6CF6">
        <w:rPr>
          <w:b/>
          <w:bCs/>
          <w:i/>
          <w:iCs/>
        </w:rPr>
        <w:t>Migration Act</w:t>
      </w:r>
      <w:r w:rsidRPr="006F6CF6">
        <w:rPr>
          <w:i/>
          <w:iCs/>
        </w:rPr>
        <w:t xml:space="preserve"> 1958</w:t>
      </w:r>
      <w:r w:rsidRPr="006F6CF6">
        <w:t xml:space="preserve"> (Cth)</w:t>
      </w:r>
      <w:r w:rsidR="00444B39">
        <w:t xml:space="preserve"> (</w:t>
      </w:r>
      <w:r w:rsidR="00444B39">
        <w:rPr>
          <w:b/>
          <w:bCs/>
        </w:rPr>
        <w:t>cancellation decision</w:t>
      </w:r>
      <w:r w:rsidR="00444B39">
        <w:t>)</w:t>
      </w:r>
      <w:r>
        <w:t>. The applicant made representations requesting the revocation of the cancellation decision.</w:t>
      </w:r>
    </w:p>
    <w:p w14:paraId="2C76E10D" w14:textId="748B91BD" w:rsidR="00A36C78" w:rsidRDefault="00A36C78" w:rsidP="000A04E2">
      <w:pPr>
        <w:pStyle w:val="ParaNumbering"/>
      </w:pPr>
      <w:r>
        <w:t>On 5 September 2023, the Minister, via a delegate, made a decision not to revoke the cancellation decision.</w:t>
      </w:r>
      <w:r w:rsidR="00FA16DB">
        <w:t xml:space="preserve"> </w:t>
      </w:r>
      <w:r>
        <w:t xml:space="preserve">The applicant </w:t>
      </w:r>
      <w:r w:rsidR="00FA16DB">
        <w:t xml:space="preserve">then </w:t>
      </w:r>
      <w:r>
        <w:t>sought review of the 5 September 2023</w:t>
      </w:r>
      <w:r w:rsidR="004B227B">
        <w:t xml:space="preserve"> decision b</w:t>
      </w:r>
      <w:r w:rsidR="00013876">
        <w:t>y the Tribunal.</w:t>
      </w:r>
    </w:p>
    <w:p w14:paraId="4F31FCBE" w14:textId="765BF155" w:rsidR="00013876" w:rsidRDefault="00775008" w:rsidP="000A04E2">
      <w:pPr>
        <w:pStyle w:val="ParaNumbering"/>
      </w:pPr>
      <w:r>
        <w:t xml:space="preserve">The Tribunal undertook a review of that decision. In undertaking </w:t>
      </w:r>
      <w:r w:rsidR="00FA16DB">
        <w:t>its</w:t>
      </w:r>
      <w:r>
        <w:t xml:space="preserve"> review, the Tribunal </w:t>
      </w:r>
      <w:r w:rsidRPr="00267BB5">
        <w:t xml:space="preserve">was required to have regard to the considerations </w:t>
      </w:r>
      <w:r w:rsidR="00FA16DB">
        <w:t>set out</w:t>
      </w:r>
      <w:r w:rsidRPr="00267BB5">
        <w:t xml:space="preserve"> in </w:t>
      </w:r>
      <w:r w:rsidRPr="00917BC8">
        <w:rPr>
          <w:b/>
          <w:bCs/>
          <w:i/>
          <w:iCs/>
        </w:rPr>
        <w:t>Direction No</w:t>
      </w:r>
      <w:r w:rsidR="004B028A">
        <w:rPr>
          <w:b/>
          <w:bCs/>
          <w:i/>
          <w:iCs/>
        </w:rPr>
        <w:t>.</w:t>
      </w:r>
      <w:r w:rsidRPr="00917BC8">
        <w:rPr>
          <w:b/>
          <w:bCs/>
          <w:i/>
          <w:iCs/>
        </w:rPr>
        <w:t xml:space="preserve"> 9</w:t>
      </w:r>
      <w:r w:rsidR="00FA16DB" w:rsidRPr="00917BC8">
        <w:rPr>
          <w:b/>
          <w:bCs/>
          <w:i/>
          <w:iCs/>
        </w:rPr>
        <w:t>9</w:t>
      </w:r>
      <w:r w:rsidRPr="00267BB5">
        <w:rPr>
          <w:i/>
          <w:iCs/>
        </w:rPr>
        <w:t xml:space="preserve"> – Visa refusal and cancellation under section 501 and revocation of a mandatory cancellation of a visa under section 501CA</w:t>
      </w:r>
      <w:r w:rsidRPr="00267BB5">
        <w:t xml:space="preserve">, made under s 499 of the </w:t>
      </w:r>
      <w:r w:rsidRPr="00444392">
        <w:t xml:space="preserve">Migration Act </w:t>
      </w:r>
      <w:r>
        <w:t xml:space="preserve"> including,</w:t>
      </w:r>
      <w:r w:rsidR="00F87C1D">
        <w:t xml:space="preserve"> </w:t>
      </w:r>
      <w:r w:rsidR="00F87C1D" w:rsidRPr="00ED290B">
        <w:t xml:space="preserve">under paragraph 8.1.1 of Direction </w:t>
      </w:r>
      <w:r w:rsidR="00917BC8">
        <w:t>No</w:t>
      </w:r>
      <w:r w:rsidR="004B028A">
        <w:t>.</w:t>
      </w:r>
      <w:r w:rsidR="00917BC8">
        <w:t xml:space="preserve"> </w:t>
      </w:r>
      <w:r w:rsidR="00F87C1D" w:rsidRPr="00ED290B">
        <w:t>99</w:t>
      </w:r>
      <w:r w:rsidR="00A7265C" w:rsidRPr="00ED290B">
        <w:t>, the nature and seriousness of the applicant’s criminal conduct</w:t>
      </w:r>
      <w:r w:rsidR="003E2AA3">
        <w:t xml:space="preserve">. </w:t>
      </w:r>
      <w:r w:rsidR="009E6B7B">
        <w:t>A</w:t>
      </w:r>
      <w:r w:rsidR="00A7265C" w:rsidRPr="00ED290B">
        <w:t xml:space="preserve">s part of that exercise, </w:t>
      </w:r>
      <w:r w:rsidR="009E6B7B">
        <w:t>the Tribunal was required</w:t>
      </w:r>
      <w:r w:rsidR="001C65FA">
        <w:t xml:space="preserve"> by dint of subparagraph 8.1.1</w:t>
      </w:r>
      <w:r w:rsidR="00C24DE9">
        <w:t>(1)</w:t>
      </w:r>
      <w:r w:rsidR="001C65FA">
        <w:t>(b)(ii)</w:t>
      </w:r>
      <w:r w:rsidR="009E6B7B">
        <w:t xml:space="preserve"> </w:t>
      </w:r>
      <w:r w:rsidR="00A7265C" w:rsidRPr="00ED290B">
        <w:t xml:space="preserve">to have regard to </w:t>
      </w:r>
      <w:r w:rsidR="00ED290B">
        <w:rPr>
          <w:i/>
          <w:iCs/>
        </w:rPr>
        <w:lastRenderedPageBreak/>
        <w:t>“crimes committed against vulnerable members of the community (such as the elderly and the disabled) ...”</w:t>
      </w:r>
      <w:r w:rsidR="00ED290B">
        <w:t>.</w:t>
      </w:r>
    </w:p>
    <w:p w14:paraId="0415A973" w14:textId="4194E443" w:rsidR="008E76D4" w:rsidRDefault="008E76D4" w:rsidP="000A04E2">
      <w:pPr>
        <w:pStyle w:val="ParaNumbering"/>
      </w:pPr>
      <w:r>
        <w:t>On 28 November 2023, the Tribunal affirmed the Minister’s decision to not revoke the mandatory cancellation of the applicant’s visa. In its reasons for decision, published on 8</w:t>
      </w:r>
      <w:r w:rsidR="006F6CF6">
        <w:t> </w:t>
      </w:r>
      <w:r>
        <w:t>December 2023</w:t>
      </w:r>
      <w:r w:rsidR="002118F4">
        <w:t xml:space="preserve"> (</w:t>
      </w:r>
      <w:r w:rsidR="002118F4" w:rsidRPr="002118F4">
        <w:rPr>
          <w:highlight w:val="cyan"/>
        </w:rPr>
        <w:fldChar w:fldCharType="begin"/>
      </w:r>
      <w:r w:rsidR="002118F4" w:rsidRPr="002118F4">
        <w:rPr>
          <w:highlight w:val="cyan"/>
        </w:rPr>
        <w:instrText xml:space="preserve"> DOCPROPERTY  AppealFrom  \* MERGEFORMAT </w:instrText>
      </w:r>
      <w:r w:rsidR="002118F4" w:rsidRPr="002118F4">
        <w:rPr>
          <w:highlight w:val="cyan"/>
        </w:rPr>
        <w:fldChar w:fldCharType="separate"/>
      </w:r>
      <w:r w:rsidR="002118F4" w:rsidRPr="005C70FB">
        <w:rPr>
          <w:i/>
          <w:iCs/>
        </w:rPr>
        <w:t>Omani v Minister for Immigration, Citizenship and Multicultural Affairs (Migration)</w:t>
      </w:r>
      <w:r w:rsidR="002118F4" w:rsidRPr="005C70FB">
        <w:t xml:space="preserve"> [2023] AATA 4119</w:t>
      </w:r>
      <w:r w:rsidR="002118F4" w:rsidRPr="002118F4">
        <w:rPr>
          <w:highlight w:val="cyan"/>
        </w:rPr>
        <w:fldChar w:fldCharType="end"/>
      </w:r>
      <w:r w:rsidR="002118F4">
        <w:t>)</w:t>
      </w:r>
      <w:r>
        <w:t xml:space="preserve">, the Tribunal </w:t>
      </w:r>
      <w:r w:rsidR="004B028A">
        <w:t>stated</w:t>
      </w:r>
      <w:r>
        <w:t xml:space="preserve"> at [20], [21]</w:t>
      </w:r>
      <w:r w:rsidR="00BA2BEA">
        <w:t xml:space="preserve">, </w:t>
      </w:r>
      <w:r>
        <w:t>[58]</w:t>
      </w:r>
      <w:r w:rsidR="00BA2BEA">
        <w:t>, [67] and [68]</w:t>
      </w:r>
      <w:r>
        <w:t>:</w:t>
      </w:r>
    </w:p>
    <w:p w14:paraId="6A75269D" w14:textId="1F26AD72" w:rsidR="008E76D4" w:rsidRDefault="00590046" w:rsidP="00590046">
      <w:pPr>
        <w:pStyle w:val="Quote1"/>
        <w:ind w:left="1457" w:hanging="720"/>
      </w:pPr>
      <w:r>
        <w:t>20.</w:t>
      </w:r>
      <w:r>
        <w:tab/>
      </w:r>
      <w:r w:rsidR="00B626ED">
        <w:rPr>
          <w:b/>
          <w:bCs/>
        </w:rPr>
        <w:t>Sub-p</w:t>
      </w:r>
      <w:r w:rsidR="00B626ED" w:rsidRPr="00091DD3">
        <w:rPr>
          <w:b/>
          <w:bCs/>
        </w:rPr>
        <w:t>aragraph 8.1.1(1)(</w:t>
      </w:r>
      <w:r w:rsidR="00B626ED">
        <w:rPr>
          <w:b/>
          <w:bCs/>
        </w:rPr>
        <w:t>b</w:t>
      </w:r>
      <w:r w:rsidR="00B626ED" w:rsidRPr="00091DD3">
        <w:rPr>
          <w:b/>
          <w:bCs/>
        </w:rPr>
        <w:t>)</w:t>
      </w:r>
      <w:r w:rsidR="00B626ED">
        <w:t xml:space="preserve">: this portion of the Direction refers to the sorts of crimes or conduct that may be seen as serious by the Australian Government and the community. The Applicant’s offending does not fall within the realm of the types of offences described in sub-paragraph (i) or (iv). In relation to sub-paragraph (iii) the Applicant’s conduct does not ground a finding that he does not pass an aspect of the character test which may be </w:t>
      </w:r>
      <w:proofErr w:type="spellStart"/>
      <w:r w:rsidR="00B626ED">
        <w:t>dependant</w:t>
      </w:r>
      <w:proofErr w:type="spellEnd"/>
      <w:r w:rsidR="00B626ED">
        <w:t xml:space="preserve"> on this decision-maker’s opinion.</w:t>
      </w:r>
    </w:p>
    <w:p w14:paraId="705B6C03" w14:textId="285771C7" w:rsidR="00590046" w:rsidRDefault="00590046" w:rsidP="00590046">
      <w:pPr>
        <w:pStyle w:val="Quote1"/>
        <w:ind w:left="1457" w:hanging="720"/>
      </w:pPr>
      <w:r>
        <w:t>21.</w:t>
      </w:r>
      <w:r>
        <w:tab/>
      </w:r>
      <w:r w:rsidR="00BD1BFC">
        <w:t>The Applicant has, however, committed offences against what was arguably a vulnerable person, the subject of the assaults which led to the Applicant’s incarceration. By his own admission in oral evidence, the Applicant agreed that his victim did not understand him when he was demanding an apology for having cut him off in traffic. This was later disclosed to have been that the victim did not speak English.</w:t>
      </w:r>
      <w:r w:rsidR="00BD1BFC" w:rsidRPr="00BA2BEA">
        <w:rPr>
          <w:u w:val="single"/>
        </w:rPr>
        <w:t xml:space="preserve"> </w:t>
      </w:r>
      <w:r w:rsidR="006A7DF7" w:rsidRPr="00BA2BEA">
        <w:rPr>
          <w:u w:val="single"/>
        </w:rPr>
        <w:t>In addition, the Applicant</w:t>
      </w:r>
      <w:r w:rsidR="00F46183" w:rsidRPr="00BA2BEA">
        <w:rPr>
          <w:u w:val="single"/>
        </w:rPr>
        <w:t xml:space="preserve"> acknowledged that his sheer size would have been most intimidating to the victim.</w:t>
      </w:r>
      <w:r w:rsidR="00DB277E" w:rsidRPr="00BA2BEA">
        <w:rPr>
          <w:u w:val="single"/>
        </w:rPr>
        <w:t xml:space="preserve"> Given this, I am of the view that the victim of the Applicant’s assault could reasonably be viewed as vulnerable, thus the Applicant’s offending would also be caught by the provision in sub-paragraph (ii)</w:t>
      </w:r>
      <w:r w:rsidR="00DB277E">
        <w:t>.</w:t>
      </w:r>
    </w:p>
    <w:p w14:paraId="4ADF3FDE" w14:textId="77777777" w:rsidR="00573CB3" w:rsidRDefault="00573CB3" w:rsidP="00590046">
      <w:pPr>
        <w:pStyle w:val="Quote1"/>
        <w:ind w:left="1457" w:hanging="720"/>
      </w:pPr>
      <w:r>
        <w:t>...</w:t>
      </w:r>
    </w:p>
    <w:p w14:paraId="03C7A309" w14:textId="36F407E2" w:rsidR="00DB277E" w:rsidRDefault="00DB277E" w:rsidP="00590046">
      <w:pPr>
        <w:pStyle w:val="Quote1"/>
        <w:ind w:left="1457" w:hanging="720"/>
      </w:pPr>
      <w:r>
        <w:t>58.</w:t>
      </w:r>
      <w:r>
        <w:tab/>
      </w:r>
      <w:r w:rsidR="00573CB3">
        <w:t>As stated in the above reasons,</w:t>
      </w:r>
      <w:r w:rsidR="00573CB3" w:rsidRPr="00566674">
        <w:rPr>
          <w:u w:val="single"/>
        </w:rPr>
        <w:t xml:space="preserve"> in considering Primary Consideration 1, </w:t>
      </w:r>
      <w:r w:rsidR="00573CB3" w:rsidRPr="00BA2BEA">
        <w:rPr>
          <w:u w:val="single"/>
        </w:rPr>
        <w:t>I have considered the assault victim to be a vulnerable member of the community, based on the inequality of size (the Applicant is of imposing stature)</w:t>
      </w:r>
      <w:r w:rsidR="00573CB3">
        <w:t xml:space="preserve">, and the fact that the victim was harbouring under a limited capacity of the English language. Consequently, in the circumstances, the Australian community would expect that the Australian Government can, </w:t>
      </w:r>
      <w:r w:rsidR="00573CB3" w:rsidRPr="003A55AC">
        <w:t>and should, revoke the Applicant’s visa.</w:t>
      </w:r>
    </w:p>
    <w:p w14:paraId="6CBB7DCF" w14:textId="438A3E0D" w:rsidR="00BA2BEA" w:rsidRDefault="00BA2BEA" w:rsidP="00590046">
      <w:pPr>
        <w:pStyle w:val="Quote1"/>
        <w:ind w:left="1457" w:hanging="720"/>
      </w:pPr>
      <w:r>
        <w:t>...</w:t>
      </w:r>
    </w:p>
    <w:p w14:paraId="7C93BF0A" w14:textId="43E298EA" w:rsidR="00BA2BEA" w:rsidRDefault="00BA2BEA" w:rsidP="00590046">
      <w:pPr>
        <w:pStyle w:val="Quote1"/>
        <w:ind w:left="1457" w:hanging="720"/>
      </w:pPr>
      <w:r>
        <w:t>67.</w:t>
      </w:r>
      <w:r>
        <w:tab/>
      </w:r>
      <w:r w:rsidR="00CC1238">
        <w:t>In considering whether I am satisfied if there is another reason to revoke the mandatory visa cancellation decision, I have had regard to the considerations referred to in the Direction. I find as follows:</w:t>
      </w:r>
    </w:p>
    <w:p w14:paraId="48A3131A" w14:textId="77777777" w:rsidR="00896CA0" w:rsidRDefault="00896CA0" w:rsidP="00896CA0">
      <w:pPr>
        <w:pStyle w:val="Quote2Bullet"/>
        <w:rPr>
          <w:u w:val="single"/>
          <w:lang w:eastAsia="ja-JP"/>
        </w:rPr>
      </w:pPr>
      <w:r w:rsidRPr="00566674">
        <w:rPr>
          <w:u w:val="single"/>
        </w:rPr>
        <w:t>Primary Consideration 1: is to be allocated a heavy weight against revoking the mandatory cancellation of the Applicant’s Visa</w:t>
      </w:r>
      <w:r>
        <w:t>.</w:t>
      </w:r>
    </w:p>
    <w:p w14:paraId="3320A0D1" w14:textId="77777777" w:rsidR="00896CA0" w:rsidRDefault="00896CA0" w:rsidP="00896CA0">
      <w:pPr>
        <w:pStyle w:val="Quote2Bullet"/>
        <w:rPr>
          <w:u w:val="single"/>
        </w:rPr>
      </w:pPr>
      <w:r>
        <w:t>Primary Consideration 2: is to be allocated a neutral weight.</w:t>
      </w:r>
    </w:p>
    <w:p w14:paraId="05C639A3" w14:textId="77777777" w:rsidR="00896CA0" w:rsidRDefault="00896CA0" w:rsidP="00896CA0">
      <w:pPr>
        <w:pStyle w:val="Quote2Bullet"/>
        <w:rPr>
          <w:u w:val="single"/>
        </w:rPr>
      </w:pPr>
      <w:r>
        <w:t>Primary Consideration 3: is to be allocated a very limited weight in favour of revoking the mandatory cancellation of the Applicant’s Visa.</w:t>
      </w:r>
    </w:p>
    <w:p w14:paraId="209DCF2D" w14:textId="77777777" w:rsidR="00896CA0" w:rsidRDefault="00896CA0" w:rsidP="00896CA0">
      <w:pPr>
        <w:pStyle w:val="Quote2Bullet"/>
        <w:rPr>
          <w:u w:val="single"/>
        </w:rPr>
      </w:pPr>
      <w:r>
        <w:t>Primary Consideration 4: is to be allocated a slight weight in favour of revoking the mandatory cancellation of the Applicant’s Visa.</w:t>
      </w:r>
    </w:p>
    <w:p w14:paraId="164D7DB3" w14:textId="6121A439" w:rsidR="00CC1238" w:rsidRDefault="00896CA0" w:rsidP="00896CA0">
      <w:pPr>
        <w:pStyle w:val="Quote2Bullet"/>
      </w:pPr>
      <w:r>
        <w:lastRenderedPageBreak/>
        <w:t>Primary Consideration 5: is to be allocated a heavy weight against revoking the mandatory cancellation of the Applicant’s Visa.</w:t>
      </w:r>
      <w:r w:rsidR="00CC1238">
        <w:t xml:space="preserve"> </w:t>
      </w:r>
    </w:p>
    <w:p w14:paraId="25E14139" w14:textId="74D19D01" w:rsidR="00CC1238" w:rsidRDefault="005900D0" w:rsidP="00590046">
      <w:pPr>
        <w:pStyle w:val="Quote1"/>
        <w:ind w:left="1457" w:hanging="720"/>
      </w:pPr>
      <w:r>
        <w:t>68.</w:t>
      </w:r>
      <w:r>
        <w:tab/>
        <w:t>I have found that the combined weights I have allocated to Primary Considerations 1 and 5 respectively, are sufficient to outweigh the combined weights I have allocated to Primary Considerations 2, 3 and 4.</w:t>
      </w:r>
    </w:p>
    <w:p w14:paraId="22ACA5A1" w14:textId="24ADD51A" w:rsidR="005900D0" w:rsidRPr="005900D0" w:rsidRDefault="005900D0" w:rsidP="00590046">
      <w:pPr>
        <w:pStyle w:val="Quote1"/>
        <w:ind w:left="1457" w:hanging="720"/>
        <w:rPr>
          <w:sz w:val="24"/>
          <w:szCs w:val="24"/>
        </w:rPr>
      </w:pPr>
      <w:r w:rsidRPr="005900D0">
        <w:rPr>
          <w:sz w:val="24"/>
          <w:szCs w:val="24"/>
        </w:rPr>
        <w:t>(bold emphasis in original; underline emphasis added)</w:t>
      </w:r>
    </w:p>
    <w:p w14:paraId="65E3E297" w14:textId="77777777" w:rsidR="008466CE" w:rsidRDefault="008466CE" w:rsidP="008466CE">
      <w:pPr>
        <w:pStyle w:val="Heading1"/>
      </w:pPr>
      <w:r>
        <w:t>C.</w:t>
      </w:r>
      <w:r>
        <w:tab/>
        <w:t>Consideration</w:t>
      </w:r>
    </w:p>
    <w:p w14:paraId="4529903C" w14:textId="0E6DFD44" w:rsidR="00724211" w:rsidRDefault="00724211" w:rsidP="00724211">
      <w:pPr>
        <w:pStyle w:val="ParaNumbering"/>
      </w:pPr>
      <w:r>
        <w:t xml:space="preserve">In </w:t>
      </w:r>
      <w:r w:rsidRPr="006F6CF6">
        <w:rPr>
          <w:b/>
          <w:bCs/>
          <w:i/>
          <w:iCs/>
        </w:rPr>
        <w:t>Garland</w:t>
      </w:r>
      <w:r w:rsidRPr="006F6CF6">
        <w:rPr>
          <w:i/>
          <w:iCs/>
        </w:rPr>
        <w:t xml:space="preserve"> </w:t>
      </w:r>
      <w:r w:rsidR="0027242A" w:rsidRPr="006F6CF6">
        <w:rPr>
          <w:i/>
          <w:iCs/>
        </w:rPr>
        <w:t>v</w:t>
      </w:r>
      <w:r w:rsidR="00D03091" w:rsidRPr="006F6CF6">
        <w:rPr>
          <w:i/>
          <w:iCs/>
        </w:rPr>
        <w:t xml:space="preserve"> Minister for Immigration, Citizenship and Multicultural Affairs </w:t>
      </w:r>
      <w:r w:rsidR="00D03091" w:rsidRPr="006F6CF6">
        <w:t xml:space="preserve">[2023] FCAFC 144; </w:t>
      </w:r>
      <w:r w:rsidR="006B6D09" w:rsidRPr="006F6CF6">
        <w:t>(2023) 298 FCR 476</w:t>
      </w:r>
      <w:r w:rsidR="006B6D09">
        <w:t xml:space="preserve"> the Full Court of this Court (Stewart, Feutrill and Hespe JJ) considered an appeal from the dismissal o</w:t>
      </w:r>
      <w:r w:rsidR="00294A47">
        <w:t xml:space="preserve">f an application for judicial review of a decision of the Tribunal </w:t>
      </w:r>
      <w:r w:rsidR="00566674">
        <w:t>in which the Tribunal</w:t>
      </w:r>
      <w:r w:rsidR="00294A47">
        <w:t xml:space="preserve"> found that the victim of the offending in that case was </w:t>
      </w:r>
      <w:r w:rsidR="00294A47">
        <w:rPr>
          <w:i/>
          <w:iCs/>
        </w:rPr>
        <w:t>“vulnerable”</w:t>
      </w:r>
      <w:r w:rsidR="00294A47">
        <w:t xml:space="preserve"> because the perpetrator was </w:t>
      </w:r>
      <w:r w:rsidR="00294A47">
        <w:rPr>
          <w:i/>
          <w:iCs/>
        </w:rPr>
        <w:t>“much larger”</w:t>
      </w:r>
      <w:r w:rsidR="00294A47">
        <w:t xml:space="preserve"> than the victim. The appeal was upheld. Stewart and Hespe JJ (with whom Feutrill J agreed) explained at 486 [48]</w:t>
      </w:r>
      <w:r w:rsidR="00E445FE">
        <w:t xml:space="preserve"> and 487 [53]</w:t>
      </w:r>
      <w:r w:rsidR="00294A47">
        <w:t>:</w:t>
      </w:r>
    </w:p>
    <w:p w14:paraId="2122ED20" w14:textId="4A807F78" w:rsidR="00294A47" w:rsidRDefault="00E445FE" w:rsidP="00E445FE">
      <w:pPr>
        <w:pStyle w:val="Quote1"/>
        <w:ind w:left="1457" w:hanging="720"/>
      </w:pPr>
      <w:r>
        <w:t>48.</w:t>
      </w:r>
      <w:r>
        <w:tab/>
      </w:r>
      <w:r w:rsidR="00D15B34" w:rsidRPr="00D15B34">
        <w:t xml:space="preserve">It is also noteworthy that the Direction identiﬁes as “primary” considerations in the decision-making process whether the conduct engaged in constituted family violence and the best interests of minor children in Australia. Those primary considerations, taken together with the focus of concern in the Direction on identiﬁed vulnerable groups, namely women, children, the elderly and the disabled, and on exploitative crimes against vulnerable people (family violence, forced marriage, human trafficking and smuggling, and worker exploitation), suggest that </w:t>
      </w:r>
      <w:r w:rsidR="00D15B34" w:rsidRPr="006A7C51">
        <w:rPr>
          <w:b/>
          <w:bCs/>
        </w:rPr>
        <w:t>where the Direction uses the phrase “vulnerable members of the community” it means members of vulnerable groups in the community; it does not encompass an individual who has physical characteristics or particular circumstances that make them vulnerable vis-à-vis a particular perpetrator but whose physical characteristics or particular circumstances do not identify the individual as a member of a recognised vulnerable group within the community. That is to say, the victim’s membership of a vulnerable group within the community is covered by the relevant phrase, and not a victim’s vulnerability measured with reference to or by way of comparison with the perpetrator</w:t>
      </w:r>
      <w:r w:rsidR="00D15B34" w:rsidRPr="00D15B34">
        <w:t>.</w:t>
      </w:r>
    </w:p>
    <w:p w14:paraId="174F4299" w14:textId="04124CD5" w:rsidR="006A7C51" w:rsidRDefault="006A7C51" w:rsidP="00E445FE">
      <w:pPr>
        <w:pStyle w:val="Quote1"/>
        <w:ind w:left="1457" w:hanging="720"/>
      </w:pPr>
      <w:r>
        <w:t>...</w:t>
      </w:r>
    </w:p>
    <w:p w14:paraId="02CF2F8B" w14:textId="51F1864E" w:rsidR="006A7C51" w:rsidRDefault="006A7C51" w:rsidP="00E445FE">
      <w:pPr>
        <w:pStyle w:val="Quote1"/>
        <w:ind w:left="1457" w:hanging="720"/>
      </w:pPr>
      <w:r>
        <w:t>53.</w:t>
      </w:r>
      <w:r>
        <w:tab/>
      </w:r>
      <w:r w:rsidRPr="006A7C51">
        <w:t xml:space="preserve">It can be seen that in that context, the statement in question does not detract from the meaning of “vulnerable members of the community” developed above. That is to say, “vulnerable members of the community” means members of identiﬁable vulnerable groups within the community. </w:t>
      </w:r>
      <w:r w:rsidRPr="00825EBA">
        <w:rPr>
          <w:b/>
          <w:bCs/>
        </w:rPr>
        <w:t>The “nature” of the victim, being such characteristics or circumstances that mean that they are part of an identiﬁable vulnerable group, remains at the centre of the inquiry. The physical characteristics of the perpetrator relative to the victim are not what require the victim to be recognised as a vulnerable member of the community</w:t>
      </w:r>
      <w:r w:rsidRPr="006A7C51">
        <w:t>.</w:t>
      </w:r>
    </w:p>
    <w:p w14:paraId="3A55BD89" w14:textId="2F8C75B7" w:rsidR="006A7C51" w:rsidRPr="006A7C51" w:rsidRDefault="006A7C51" w:rsidP="00E445FE">
      <w:pPr>
        <w:pStyle w:val="Quote1"/>
        <w:ind w:left="1457" w:hanging="720"/>
        <w:rPr>
          <w:sz w:val="24"/>
          <w:szCs w:val="24"/>
        </w:rPr>
      </w:pPr>
      <w:r w:rsidRPr="006A7C51">
        <w:rPr>
          <w:sz w:val="24"/>
          <w:szCs w:val="24"/>
        </w:rPr>
        <w:t>(emphasis added)</w:t>
      </w:r>
    </w:p>
    <w:p w14:paraId="134A8E33" w14:textId="51E07B8A" w:rsidR="000A04E2" w:rsidRDefault="008466CE" w:rsidP="000A04E2">
      <w:pPr>
        <w:pStyle w:val="ParaNumbering"/>
      </w:pPr>
      <w:r>
        <w:lastRenderedPageBreak/>
        <w:t xml:space="preserve">The findings made by the Tribunal </w:t>
      </w:r>
      <w:r w:rsidR="00825EBA">
        <w:t xml:space="preserve">which are set out at [7] above </w:t>
      </w:r>
      <w:r w:rsidR="00CC44A0">
        <w:t xml:space="preserve">were based upon a construction </w:t>
      </w:r>
      <w:r>
        <w:t>of subparagraph 8.1.1</w:t>
      </w:r>
      <w:r w:rsidR="00622472">
        <w:t>(1)</w:t>
      </w:r>
      <w:r>
        <w:t xml:space="preserve">(b)(ii) of Direction </w:t>
      </w:r>
      <w:r w:rsidR="004B028A">
        <w:t xml:space="preserve">No. </w:t>
      </w:r>
      <w:r>
        <w:t xml:space="preserve">99 which is contrary to the proper construction of that subparagraph, as explained in </w:t>
      </w:r>
      <w:r>
        <w:rPr>
          <w:i/>
          <w:iCs/>
        </w:rPr>
        <w:t>Garland</w:t>
      </w:r>
      <w:r>
        <w:t>.</w:t>
      </w:r>
    </w:p>
    <w:p w14:paraId="5DBE7E1E" w14:textId="7EAF555F" w:rsidR="00CC44A0" w:rsidRDefault="00CC44A0" w:rsidP="000A04E2">
      <w:pPr>
        <w:pStyle w:val="ParaNumbering"/>
      </w:pPr>
      <w:r>
        <w:t>This is an error of law. When regard is had to the Tribunal’s reasons as a whole</w:t>
      </w:r>
      <w:r w:rsidR="002805A3">
        <w:t>,</w:t>
      </w:r>
      <w:r w:rsidR="00A46E65">
        <w:t xml:space="preserve"> and in particular to paragraphs [21], [58], [67] and [68] of those reasons</w:t>
      </w:r>
      <w:r>
        <w:t xml:space="preserve">, the error is clearly material in the manner recently explained by the High Court of Australia in </w:t>
      </w:r>
      <w:r w:rsidRPr="006F6CF6">
        <w:rPr>
          <w:i/>
          <w:iCs/>
        </w:rPr>
        <w:t xml:space="preserve">LPDT </w:t>
      </w:r>
      <w:r w:rsidR="001D2C94" w:rsidRPr="006F6CF6">
        <w:rPr>
          <w:i/>
          <w:iCs/>
        </w:rPr>
        <w:t xml:space="preserve">v Minister for Immigration, Citizenship, Migrant Services and Multicultural Affairs </w:t>
      </w:r>
      <w:r w:rsidR="001D2C94" w:rsidRPr="006F6CF6">
        <w:t>[2024] HCA 12</w:t>
      </w:r>
      <w:r w:rsidR="00D71086">
        <w:t>.</w:t>
      </w:r>
      <w:r w:rsidR="00A46E65">
        <w:t xml:space="preserve"> Thus, the error is jurisdictional.</w:t>
      </w:r>
    </w:p>
    <w:p w14:paraId="2E3DF8CB" w14:textId="77777777" w:rsidR="000A04E2" w:rsidRDefault="000A04E2" w:rsidP="000A04E2">
      <w:pPr>
        <w:pStyle w:val="Heading1"/>
      </w:pPr>
      <w:r>
        <w:t>D.</w:t>
      </w:r>
      <w:r>
        <w:tab/>
        <w:t>Conclusion</w:t>
      </w:r>
    </w:p>
    <w:p w14:paraId="3349058A" w14:textId="79C5CE8A" w:rsidR="00CD1346" w:rsidRDefault="000A04E2" w:rsidP="00CD1346">
      <w:pPr>
        <w:pStyle w:val="ParaNumbering"/>
      </w:pPr>
      <w:r>
        <w:t>For the above reasons, I concluded that the Tribunal had made a jurisdictional error, and I made the orders sought by the applicant and the Minister.</w:t>
      </w:r>
    </w:p>
    <w:p w14:paraId="64FD167D" w14:textId="77777777" w:rsidR="006F6CF6" w:rsidRDefault="006F6CF6" w:rsidP="00815065">
      <w:pPr>
        <w:pStyle w:val="BodyText"/>
      </w:pPr>
      <w:bookmarkStart w:id="22" w:name="Certification"/>
    </w:p>
    <w:tbl>
      <w:tblPr>
        <w:tblW w:w="0" w:type="auto"/>
        <w:tblLook w:val="04A0" w:firstRow="1" w:lastRow="0" w:firstColumn="1" w:lastColumn="0" w:noHBand="0" w:noVBand="1"/>
      </w:tblPr>
      <w:tblGrid>
        <w:gridCol w:w="3794"/>
      </w:tblGrid>
      <w:tr w:rsidR="006F6CF6" w:rsidRPr="006F6CF6" w14:paraId="38421AA4" w14:textId="77777777">
        <w:tc>
          <w:tcPr>
            <w:tcW w:w="3794" w:type="dxa"/>
            <w:shd w:val="clear" w:color="auto" w:fill="auto"/>
          </w:tcPr>
          <w:p w14:paraId="5C54B21E" w14:textId="63325558" w:rsidR="006F6CF6" w:rsidRPr="006F6CF6" w:rsidRDefault="006F6CF6" w:rsidP="006F6CF6">
            <w:pPr>
              <w:pStyle w:val="Normal1linespace"/>
            </w:pPr>
            <w:r w:rsidRPr="006F6CF6">
              <w:t xml:space="preserve">I certify that the preceding </w:t>
            </w:r>
            <w:bookmarkStart w:id="23" w:name="NumberWord"/>
            <w:r w:rsidR="009279B1">
              <w:t>eleven</w:t>
            </w:r>
            <w:bookmarkEnd w:id="23"/>
            <w:r w:rsidRPr="006F6CF6">
              <w:t xml:space="preserve"> (</w:t>
            </w:r>
            <w:bookmarkStart w:id="24" w:name="NumberNumeral"/>
            <w:r w:rsidR="009279B1">
              <w:t>11</w:t>
            </w:r>
            <w:bookmarkEnd w:id="24"/>
            <w:r w:rsidRPr="006F6CF6">
              <w:t xml:space="preserve">) numbered </w:t>
            </w:r>
            <w:bookmarkStart w:id="25" w:name="CertPara"/>
            <w:r w:rsidR="009279B1">
              <w:t>paragraphs are</w:t>
            </w:r>
            <w:bookmarkEnd w:id="25"/>
            <w:r w:rsidRPr="006F6CF6">
              <w:t xml:space="preserve"> a true copy of the Reasons for Judgment of </w:t>
            </w:r>
            <w:bookmarkStart w:id="26" w:name="bkHonourable"/>
            <w:r w:rsidRPr="006F6CF6">
              <w:t xml:space="preserve">the Honourable </w:t>
            </w:r>
            <w:bookmarkStart w:id="27" w:name="Justice"/>
            <w:bookmarkEnd w:id="26"/>
            <w:r w:rsidR="009279B1">
              <w:t>Justice Goodman</w:t>
            </w:r>
            <w:bookmarkEnd w:id="27"/>
            <w:r w:rsidRPr="006F6CF6">
              <w:t>.</w:t>
            </w:r>
          </w:p>
        </w:tc>
      </w:tr>
    </w:tbl>
    <w:p w14:paraId="5B04D513" w14:textId="77777777" w:rsidR="006F6CF6" w:rsidRDefault="006F6CF6" w:rsidP="00815065">
      <w:pPr>
        <w:pStyle w:val="BodyText"/>
      </w:pPr>
    </w:p>
    <w:p w14:paraId="636F2F63" w14:textId="77777777" w:rsidR="006F6CF6" w:rsidRDefault="006F6CF6" w:rsidP="00815065">
      <w:pPr>
        <w:pStyle w:val="BodyText"/>
      </w:pPr>
    </w:p>
    <w:p w14:paraId="3B79E1FA" w14:textId="77777777" w:rsidR="006F6CF6" w:rsidRDefault="006F6CF6" w:rsidP="00815065">
      <w:pPr>
        <w:pStyle w:val="BodyText"/>
      </w:pPr>
    </w:p>
    <w:p w14:paraId="4DDEF4B5" w14:textId="2F26C533" w:rsidR="006F6CF6" w:rsidRDefault="006F6CF6" w:rsidP="00815065">
      <w:pPr>
        <w:pStyle w:val="BodyText"/>
      </w:pPr>
      <w:r>
        <w:t>Associate:</w:t>
      </w:r>
      <w:r w:rsidR="00D56C0C">
        <w:t xml:space="preserve">  </w:t>
      </w:r>
    </w:p>
    <w:p w14:paraId="7D5EA921" w14:textId="77777777" w:rsidR="006F6CF6" w:rsidRDefault="006F6CF6" w:rsidP="00815065">
      <w:pPr>
        <w:pStyle w:val="BodyText"/>
      </w:pPr>
    </w:p>
    <w:p w14:paraId="338B4DFA" w14:textId="209547AA" w:rsidR="006F6CF6" w:rsidRDefault="006F6CF6" w:rsidP="00815065">
      <w:pPr>
        <w:pStyle w:val="BodyText"/>
        <w:tabs>
          <w:tab w:val="left" w:pos="1134"/>
        </w:tabs>
      </w:pPr>
      <w:r>
        <w:t>Dated:</w:t>
      </w:r>
      <w:r>
        <w:tab/>
      </w:r>
      <w:r w:rsidR="009279B1">
        <w:t>16 April 2024</w:t>
      </w:r>
    </w:p>
    <w:p w14:paraId="023B3462" w14:textId="77777777" w:rsidR="006F6CF6" w:rsidRDefault="006F6CF6" w:rsidP="00815065">
      <w:pPr>
        <w:pStyle w:val="BodyText"/>
      </w:pPr>
    </w:p>
    <w:bookmarkEnd w:id="22"/>
    <w:p w14:paraId="4DC82667" w14:textId="77777777" w:rsidR="006F6CF6" w:rsidRDefault="006F6CF6" w:rsidP="006F6CF6">
      <w:pPr>
        <w:pStyle w:val="BodyText"/>
      </w:pPr>
    </w:p>
    <w:sectPr w:rsidR="006F6CF6" w:rsidSect="00EB721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C881" w14:textId="77777777" w:rsidR="000F59B3" w:rsidRDefault="000F59B3">
      <w:pPr>
        <w:spacing w:line="20" w:lineRule="exact"/>
      </w:pPr>
    </w:p>
    <w:p w14:paraId="2E26AAF2" w14:textId="77777777" w:rsidR="000F59B3" w:rsidRDefault="000F59B3"/>
    <w:p w14:paraId="1C78D497" w14:textId="77777777" w:rsidR="000F59B3" w:rsidRDefault="000F59B3"/>
  </w:endnote>
  <w:endnote w:type="continuationSeparator" w:id="0">
    <w:p w14:paraId="74F116B3" w14:textId="77777777" w:rsidR="000F59B3" w:rsidRDefault="000F59B3">
      <w:r>
        <w:t xml:space="preserve"> </w:t>
      </w:r>
    </w:p>
    <w:p w14:paraId="6000B428" w14:textId="77777777" w:rsidR="000F59B3" w:rsidRDefault="000F59B3"/>
    <w:p w14:paraId="160C485D" w14:textId="77777777" w:rsidR="000F59B3" w:rsidRDefault="000F59B3"/>
  </w:endnote>
  <w:endnote w:type="continuationNotice" w:id="1">
    <w:p w14:paraId="7FE544F7" w14:textId="77777777" w:rsidR="000F59B3" w:rsidRDefault="000F59B3">
      <w:r>
        <w:t xml:space="preserve"> </w:t>
      </w:r>
    </w:p>
    <w:p w14:paraId="1993C1FA" w14:textId="77777777" w:rsidR="000F59B3" w:rsidRDefault="000F59B3"/>
    <w:p w14:paraId="54854C3E" w14:textId="77777777" w:rsidR="000F59B3" w:rsidRDefault="000F5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1EA2" w14:textId="77777777" w:rsidR="00BA4C07" w:rsidRDefault="00BA4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5230" w14:textId="4B1D03C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16E76921" wp14:editId="46B8C34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9AF4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F7762">
          <w:rPr>
            <w:bCs/>
            <w:sz w:val="18"/>
            <w:szCs w:val="18"/>
          </w:rPr>
          <w:t xml:space="preserve">Omani v Minister for Immigration, Citizenship and Multicultural Affairs [2024] FCA 376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7CCC" w14:textId="2F5E60EB" w:rsidR="00395B24" w:rsidRPr="00BA4C07" w:rsidRDefault="00395B24" w:rsidP="00BA4C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3543" w14:textId="60FEBA7A"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7216" behindDoc="0" locked="0" layoutInCell="1" allowOverlap="1" wp14:anchorId="39281551" wp14:editId="51C6A9C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46995"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271C1C383DA04C98BDE409A761DF8FA0"/>
        </w:placeholder>
        <w:dataBinding w:prefixMappings="xmlns:ns0='http://schemas.globalmacros.com/FCA'" w:xpath="/ns0:root[1]/ns0:Name[1]" w:storeItemID="{687E7CCB-4AA5-44E7-B148-17BA2B6F57C0}"/>
        <w:text w:multiLine="1"/>
      </w:sdtPr>
      <w:sdtEndPr/>
      <w:sdtContent>
        <w:r w:rsidR="003F7762">
          <w:rPr>
            <w:bCs/>
            <w:sz w:val="18"/>
            <w:szCs w:val="18"/>
          </w:rPr>
          <w:t xml:space="preserve">Omani v Minister for Immigration, Citizenship and Multicultural Affairs [2024] FCA 376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9C5C" w14:textId="11EE588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4144" behindDoc="0" locked="0" layoutInCell="1" allowOverlap="1" wp14:anchorId="4D6D1475" wp14:editId="6CB6B76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C0222"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7BE817478DE744D09282EC28211FEAAF"/>
        </w:placeholder>
        <w:dataBinding w:prefixMappings="xmlns:ns0='http://schemas.globalmacros.com/FCA'" w:xpath="/ns0:root[1]/ns0:Name[1]" w:storeItemID="{687E7CCB-4AA5-44E7-B148-17BA2B6F57C0}"/>
        <w:text w:multiLine="1"/>
      </w:sdtPr>
      <w:sdtEndPr/>
      <w:sdtContent>
        <w:r w:rsidR="003F7762">
          <w:rPr>
            <w:bCs/>
            <w:sz w:val="18"/>
            <w:szCs w:val="18"/>
          </w:rPr>
          <w:t xml:space="preserve">Omani v Minister for Immigration, Citizenship and Multicultural Affairs [2024] FCA 376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29EF" w14:textId="65D4CBA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409A1EED" wp14:editId="73A1386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7411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49EA394C88944F2D8590405E64407245"/>
        </w:placeholder>
        <w:dataBinding w:prefixMappings="xmlns:ns0='http://schemas.globalmacros.com/FCA'" w:xpath="/ns0:root[1]/ns0:Name[1]" w:storeItemID="{687E7CCB-4AA5-44E7-B148-17BA2B6F57C0}"/>
        <w:text w:multiLine="1"/>
      </w:sdtPr>
      <w:sdtEndPr/>
      <w:sdtContent>
        <w:r w:rsidR="003F7762">
          <w:rPr>
            <w:bCs/>
            <w:sz w:val="18"/>
            <w:szCs w:val="18"/>
          </w:rPr>
          <w:t xml:space="preserve">Omani v Minister for Immigration, Citizenship and Multicultural Affairs [2024] FCA 376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A5BD" w14:textId="0F87097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0288" behindDoc="0" locked="0" layoutInCell="1" allowOverlap="1" wp14:anchorId="0AFD73C7" wp14:editId="384F6126">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B383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10CE83E40CCF4ADD8867F42F7D8228D6"/>
        </w:placeholder>
        <w:dataBinding w:prefixMappings="xmlns:ns0='http://schemas.globalmacros.com/FCA'" w:xpath="/ns0:root[1]/ns0:Name[1]" w:storeItemID="{687E7CCB-4AA5-44E7-B148-17BA2B6F57C0}"/>
        <w:text w:multiLine="1"/>
      </w:sdtPr>
      <w:sdtEndPr/>
      <w:sdtContent>
        <w:r w:rsidR="003F7762">
          <w:rPr>
            <w:bCs/>
            <w:sz w:val="18"/>
            <w:szCs w:val="18"/>
          </w:rPr>
          <w:t xml:space="preserve">Omani v Minister for Immigration, Citizenship and Multicultural Affairs [2024] FCA 376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F1DC" w14:textId="77777777" w:rsidR="000F59B3" w:rsidRDefault="000F59B3"/>
  </w:footnote>
  <w:footnote w:type="continuationSeparator" w:id="0">
    <w:p w14:paraId="4AB2E6FF" w14:textId="77777777" w:rsidR="000F59B3" w:rsidRDefault="000F59B3">
      <w:r>
        <w:continuationSeparator/>
      </w:r>
    </w:p>
    <w:p w14:paraId="4C54B1E2" w14:textId="77777777" w:rsidR="000F59B3" w:rsidRDefault="000F59B3"/>
    <w:p w14:paraId="6838FE7F" w14:textId="77777777" w:rsidR="000F59B3" w:rsidRDefault="000F5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CB8" w14:textId="77777777" w:rsidR="00BA4C07" w:rsidRDefault="00BA4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294A" w14:textId="77777777" w:rsidR="00BA4C07" w:rsidRDefault="00BA4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82D1" w14:textId="77777777" w:rsidR="00BA4C07" w:rsidRDefault="00BA4C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C392"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F0EE"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B8A6"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159"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8534"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8CA5CEB"/>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5EA5588"/>
    <w:multiLevelType w:val="hybridMultilevel"/>
    <w:tmpl w:val="FF585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C95644A"/>
    <w:multiLevelType w:val="multilevel"/>
    <w:tmpl w:val="FFFFFFFF"/>
    <w:styleLink w:val="Bullets"/>
    <w:lvl w:ilvl="0">
      <w:start w:val="1"/>
      <w:numFmt w:val="bullet"/>
      <w:lvlText w:val=""/>
      <w:lvlJc w:val="left"/>
      <w:pPr>
        <w:tabs>
          <w:tab w:val="num" w:pos="1276"/>
        </w:tabs>
        <w:ind w:left="709" w:hanging="709"/>
      </w:pPr>
      <w:rPr>
        <w:rFonts w:ascii="Symbol" w:hAnsi="Symbol"/>
        <w:b w:val="0"/>
        <w:i w:val="0"/>
        <w:color w:val="auto"/>
        <w:sz w:val="24"/>
      </w:rPr>
    </w:lvl>
    <w:lvl w:ilvl="1">
      <w:start w:val="1"/>
      <w:numFmt w:val="bullet"/>
      <w:lvlRestart w:val="0"/>
      <w:lvlText w:val="o"/>
      <w:lvlJc w:val="left"/>
      <w:pPr>
        <w:tabs>
          <w:tab w:val="num" w:pos="1843"/>
        </w:tabs>
        <w:ind w:left="1418" w:hanging="709"/>
      </w:pPr>
      <w:rPr>
        <w:rFonts w:ascii="Courier New" w:hAnsi="Courier New"/>
        <w:color w:val="auto"/>
      </w:rPr>
    </w:lvl>
    <w:lvl w:ilvl="2">
      <w:start w:val="1"/>
      <w:numFmt w:val="bullet"/>
      <w:lvlRestart w:val="0"/>
      <w:lvlText w:val=""/>
      <w:lvlJc w:val="left"/>
      <w:pPr>
        <w:tabs>
          <w:tab w:val="num" w:pos="2410"/>
        </w:tabs>
        <w:ind w:left="2410" w:hanging="567"/>
      </w:pPr>
      <w:rPr>
        <w:rFonts w:ascii="Symbol" w:hAnsi="Symbol"/>
        <w:color w:val="auto"/>
      </w:rPr>
    </w:lvl>
    <w:lvl w:ilvl="3">
      <w:start w:val="1"/>
      <w:numFmt w:val="bullet"/>
      <w:lvlRestart w:val="0"/>
      <w:lvlText w:val=""/>
      <w:lvlJc w:val="left"/>
      <w:pPr>
        <w:tabs>
          <w:tab w:val="num" w:pos="2977"/>
        </w:tabs>
        <w:ind w:left="2977" w:hanging="567"/>
      </w:pPr>
      <w:rPr>
        <w:rFonts w:ascii="Symbol" w:hAnsi="Symbol"/>
        <w:color w:val="auto"/>
      </w:rPr>
    </w:lvl>
    <w:lvl w:ilvl="4">
      <w:start w:val="1"/>
      <w:numFmt w:val="bullet"/>
      <w:lvlRestart w:val="0"/>
      <w:lvlText w:val=""/>
      <w:lvlJc w:val="left"/>
      <w:pPr>
        <w:tabs>
          <w:tab w:val="num" w:pos="3544"/>
        </w:tabs>
        <w:ind w:left="3544" w:hanging="567"/>
      </w:pPr>
      <w:rPr>
        <w:rFonts w:ascii="Symbol" w:hAnsi="Symbol"/>
        <w:color w:val="auto"/>
      </w:rPr>
    </w:lvl>
    <w:lvl w:ilvl="5">
      <w:start w:val="1"/>
      <w:numFmt w:val="bullet"/>
      <w:lvlRestart w:val="0"/>
      <w:lvlText w:val=""/>
      <w:lvlJc w:val="left"/>
      <w:pPr>
        <w:tabs>
          <w:tab w:val="num" w:pos="4111"/>
        </w:tabs>
        <w:ind w:left="4111" w:hanging="567"/>
      </w:pPr>
      <w:rPr>
        <w:rFonts w:ascii="Symbol" w:hAnsi="Symbol"/>
        <w:color w:val="auto"/>
      </w:rPr>
    </w:lvl>
    <w:lvl w:ilvl="6">
      <w:start w:val="1"/>
      <w:numFmt w:val="bullet"/>
      <w:lvlRestart w:val="0"/>
      <w:lvlText w:val=""/>
      <w:lvlJc w:val="left"/>
      <w:pPr>
        <w:tabs>
          <w:tab w:val="num" w:pos="4678"/>
        </w:tabs>
        <w:ind w:left="4678" w:hanging="567"/>
      </w:pPr>
      <w:rPr>
        <w:rFonts w:ascii="Symbol" w:hAnsi="Symbol"/>
        <w:color w:val="auto"/>
      </w:rPr>
    </w:lvl>
    <w:lvl w:ilvl="7">
      <w:start w:val="1"/>
      <w:numFmt w:val="bullet"/>
      <w:lvlRestart w:val="0"/>
      <w:lvlText w:val=""/>
      <w:lvlJc w:val="left"/>
      <w:pPr>
        <w:tabs>
          <w:tab w:val="num" w:pos="5245"/>
        </w:tabs>
        <w:ind w:left="5245" w:hanging="567"/>
      </w:pPr>
      <w:rPr>
        <w:rFonts w:ascii="Symbol" w:hAnsi="Symbol"/>
        <w:color w:val="auto"/>
      </w:rPr>
    </w:lvl>
    <w:lvl w:ilvl="8">
      <w:start w:val="1"/>
      <w:numFmt w:val="bullet"/>
      <w:lvlRestart w:val="0"/>
      <w:lvlText w:val=""/>
      <w:lvlJc w:val="left"/>
      <w:pPr>
        <w:tabs>
          <w:tab w:val="num" w:pos="5812"/>
        </w:tabs>
        <w:ind w:left="5812" w:hanging="567"/>
      </w:pPr>
      <w:rPr>
        <w:rFonts w:ascii="Symbol" w:hAnsi="Symbol"/>
        <w:color w:val="auto"/>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41E12EB"/>
    <w:multiLevelType w:val="multilevel"/>
    <w:tmpl w:val="FFFFFFFF"/>
    <w:numStyleLink w:val="Bullets"/>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650477347">
    <w:abstractNumId w:val="16"/>
  </w:num>
  <w:num w:numId="2" w16cid:durableId="976376694">
    <w:abstractNumId w:val="9"/>
  </w:num>
  <w:num w:numId="3" w16cid:durableId="881020854">
    <w:abstractNumId w:val="7"/>
  </w:num>
  <w:num w:numId="4" w16cid:durableId="1345399898">
    <w:abstractNumId w:val="6"/>
  </w:num>
  <w:num w:numId="5" w16cid:durableId="141847844">
    <w:abstractNumId w:val="5"/>
  </w:num>
  <w:num w:numId="6" w16cid:durableId="1243367240">
    <w:abstractNumId w:val="4"/>
  </w:num>
  <w:num w:numId="7" w16cid:durableId="1430348125">
    <w:abstractNumId w:val="8"/>
  </w:num>
  <w:num w:numId="8" w16cid:durableId="95058251">
    <w:abstractNumId w:val="3"/>
  </w:num>
  <w:num w:numId="9" w16cid:durableId="638993973">
    <w:abstractNumId w:val="2"/>
  </w:num>
  <w:num w:numId="10" w16cid:durableId="1779258495">
    <w:abstractNumId w:val="1"/>
  </w:num>
  <w:num w:numId="11" w16cid:durableId="1106265894">
    <w:abstractNumId w:val="0"/>
  </w:num>
  <w:num w:numId="12" w16cid:durableId="392046367">
    <w:abstractNumId w:val="26"/>
  </w:num>
  <w:num w:numId="13" w16cid:durableId="427384031">
    <w:abstractNumId w:val="23"/>
  </w:num>
  <w:num w:numId="14" w16cid:durableId="1731615909">
    <w:abstractNumId w:val="24"/>
  </w:num>
  <w:num w:numId="15" w16cid:durableId="1425494246">
    <w:abstractNumId w:val="28"/>
  </w:num>
  <w:num w:numId="16" w16cid:durableId="1960408498">
    <w:abstractNumId w:val="15"/>
  </w:num>
  <w:num w:numId="17" w16cid:durableId="861670367">
    <w:abstractNumId w:val="27"/>
  </w:num>
  <w:num w:numId="18" w16cid:durableId="1747805346">
    <w:abstractNumId w:val="12"/>
  </w:num>
  <w:num w:numId="19" w16cid:durableId="1447966859">
    <w:abstractNumId w:val="20"/>
  </w:num>
  <w:num w:numId="20" w16cid:durableId="429204999">
    <w:abstractNumId w:val="17"/>
  </w:num>
  <w:num w:numId="21" w16cid:durableId="1726562703">
    <w:abstractNumId w:val="18"/>
  </w:num>
  <w:num w:numId="22" w16cid:durableId="1616212388">
    <w:abstractNumId w:val="22"/>
  </w:num>
  <w:num w:numId="23" w16cid:durableId="454954567">
    <w:abstractNumId w:val="10"/>
  </w:num>
  <w:num w:numId="24" w16cid:durableId="999886001">
    <w:abstractNumId w:val="10"/>
  </w:num>
  <w:num w:numId="25" w16cid:durableId="2029210914">
    <w:abstractNumId w:val="14"/>
  </w:num>
  <w:num w:numId="26" w16cid:durableId="26882457">
    <w:abstractNumId w:val="19"/>
  </w:num>
  <w:num w:numId="27" w16cid:durableId="339164448">
    <w:abstractNumId w:val="19"/>
  </w:num>
  <w:num w:numId="28" w16cid:durableId="2129620282">
    <w:abstractNumId w:val="19"/>
  </w:num>
  <w:num w:numId="29" w16cid:durableId="197475077">
    <w:abstractNumId w:val="13"/>
  </w:num>
  <w:num w:numId="30" w16cid:durableId="856695696">
    <w:abstractNumId w:val="11"/>
  </w:num>
  <w:num w:numId="31" w16cid:durableId="1499492255">
    <w:abstractNumId w:val="17"/>
    <w:lvlOverride w:ilvl="0">
      <w:startOverride w:val="1"/>
    </w:lvlOverride>
  </w:num>
  <w:num w:numId="32" w16cid:durableId="1371565090">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812216401">
    <w:abstractNumId w:val="25"/>
  </w:num>
  <w:num w:numId="34" w16cid:durableId="13507692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Omani v Minister for Immigration, Citizenship and Multicultural Affairs (Migration) [2023] AATA 4119"/>
    <w:docVar w:name="Applicant" w:val="Ma'ake Llaiakimi Taukol Omani"/>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542 of 2023"/>
    <w:docVar w:name="Initiators" w:val="(and another named in the Schedule)"/>
    <w:docVar w:name="Judgdate" w:val="##"/>
    <w:docVar w:name="Judge" w:val="Goodman "/>
    <w:docVar w:name="JudgeType" w:val="Justice"/>
    <w:docVar w:name="lstEntryList" w:val="-1"/>
    <w:docVar w:name="myEntryList" w:val="Counsel for the Applicant=Dr J Donnelly|Solicitor for the Applicant=Zarifi Lawyers|Solicitor for the Respondents=Mr J Fyfe of Minter Ellison"/>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and Multicultural Affairs|Administrative Appeals Tribunal"/>
    <w:docVar w:name="ResState" w:val="New South Wales"/>
    <w:docVar w:name="SubArea" w:val="(none)"/>
  </w:docVars>
  <w:rsids>
    <w:rsidRoot w:val="00AD7ACE"/>
    <w:rsid w:val="00000747"/>
    <w:rsid w:val="000115C5"/>
    <w:rsid w:val="00013876"/>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A04E2"/>
    <w:rsid w:val="000A2E76"/>
    <w:rsid w:val="000A4807"/>
    <w:rsid w:val="000A4BE4"/>
    <w:rsid w:val="000C023E"/>
    <w:rsid w:val="000C405D"/>
    <w:rsid w:val="000C5195"/>
    <w:rsid w:val="000C62EF"/>
    <w:rsid w:val="000D2137"/>
    <w:rsid w:val="000D3FD2"/>
    <w:rsid w:val="000D4B2E"/>
    <w:rsid w:val="000E2430"/>
    <w:rsid w:val="000E3FC8"/>
    <w:rsid w:val="000E7BAE"/>
    <w:rsid w:val="000F133D"/>
    <w:rsid w:val="000F59B3"/>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6785"/>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C4D61"/>
    <w:rsid w:val="001C65FA"/>
    <w:rsid w:val="001D2C94"/>
    <w:rsid w:val="001D4303"/>
    <w:rsid w:val="001D6746"/>
    <w:rsid w:val="001E0C61"/>
    <w:rsid w:val="001E3B49"/>
    <w:rsid w:val="001E4A05"/>
    <w:rsid w:val="001E6A19"/>
    <w:rsid w:val="001E7388"/>
    <w:rsid w:val="001F13DD"/>
    <w:rsid w:val="001F2473"/>
    <w:rsid w:val="001F2DBC"/>
    <w:rsid w:val="001F73E8"/>
    <w:rsid w:val="0020262C"/>
    <w:rsid w:val="00202723"/>
    <w:rsid w:val="002118F4"/>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242A"/>
    <w:rsid w:val="00274F5B"/>
    <w:rsid w:val="002805A3"/>
    <w:rsid w:val="00280836"/>
    <w:rsid w:val="00282E1A"/>
    <w:rsid w:val="002840F1"/>
    <w:rsid w:val="00285922"/>
    <w:rsid w:val="0029113B"/>
    <w:rsid w:val="002934C0"/>
    <w:rsid w:val="00293E1F"/>
    <w:rsid w:val="00294A47"/>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2340"/>
    <w:rsid w:val="002F4E9C"/>
    <w:rsid w:val="002F6E15"/>
    <w:rsid w:val="00302F4E"/>
    <w:rsid w:val="00303279"/>
    <w:rsid w:val="0031256C"/>
    <w:rsid w:val="00314D6C"/>
    <w:rsid w:val="00316D2A"/>
    <w:rsid w:val="00322A7C"/>
    <w:rsid w:val="00322EEC"/>
    <w:rsid w:val="00323061"/>
    <w:rsid w:val="003236F9"/>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6793"/>
    <w:rsid w:val="003A7ECC"/>
    <w:rsid w:val="003B2C72"/>
    <w:rsid w:val="003B58B4"/>
    <w:rsid w:val="003C1333"/>
    <w:rsid w:val="003C20FF"/>
    <w:rsid w:val="003C550A"/>
    <w:rsid w:val="003C6055"/>
    <w:rsid w:val="003D2650"/>
    <w:rsid w:val="003D560C"/>
    <w:rsid w:val="003D5C00"/>
    <w:rsid w:val="003E2AA3"/>
    <w:rsid w:val="003E3154"/>
    <w:rsid w:val="003E5874"/>
    <w:rsid w:val="003E72D3"/>
    <w:rsid w:val="003F193E"/>
    <w:rsid w:val="003F242C"/>
    <w:rsid w:val="003F34F1"/>
    <w:rsid w:val="003F7762"/>
    <w:rsid w:val="004031D8"/>
    <w:rsid w:val="004104B6"/>
    <w:rsid w:val="00411AE8"/>
    <w:rsid w:val="00413B74"/>
    <w:rsid w:val="004342F3"/>
    <w:rsid w:val="00435711"/>
    <w:rsid w:val="00435C5F"/>
    <w:rsid w:val="00436155"/>
    <w:rsid w:val="00436460"/>
    <w:rsid w:val="00441E98"/>
    <w:rsid w:val="00442D39"/>
    <w:rsid w:val="00444B39"/>
    <w:rsid w:val="00450F3A"/>
    <w:rsid w:val="004530AD"/>
    <w:rsid w:val="004532F7"/>
    <w:rsid w:val="00464D51"/>
    <w:rsid w:val="00472027"/>
    <w:rsid w:val="0047606E"/>
    <w:rsid w:val="004804CF"/>
    <w:rsid w:val="00483314"/>
    <w:rsid w:val="00484962"/>
    <w:rsid w:val="00484F6D"/>
    <w:rsid w:val="00484FB7"/>
    <w:rsid w:val="0048554D"/>
    <w:rsid w:val="0049338A"/>
    <w:rsid w:val="0049417F"/>
    <w:rsid w:val="00496D41"/>
    <w:rsid w:val="004A5C95"/>
    <w:rsid w:val="004A6602"/>
    <w:rsid w:val="004B028A"/>
    <w:rsid w:val="004B227B"/>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5EB8"/>
    <w:rsid w:val="005466B5"/>
    <w:rsid w:val="00554314"/>
    <w:rsid w:val="00562829"/>
    <w:rsid w:val="005629B3"/>
    <w:rsid w:val="00566674"/>
    <w:rsid w:val="0057128A"/>
    <w:rsid w:val="005724F6"/>
    <w:rsid w:val="00573AC4"/>
    <w:rsid w:val="00573CB3"/>
    <w:rsid w:val="005801FC"/>
    <w:rsid w:val="00585BA9"/>
    <w:rsid w:val="00587359"/>
    <w:rsid w:val="00590046"/>
    <w:rsid w:val="005900D0"/>
    <w:rsid w:val="00594164"/>
    <w:rsid w:val="00595016"/>
    <w:rsid w:val="00595F0A"/>
    <w:rsid w:val="00597AAE"/>
    <w:rsid w:val="005A222C"/>
    <w:rsid w:val="005A4DF8"/>
    <w:rsid w:val="005A78C8"/>
    <w:rsid w:val="005B1426"/>
    <w:rsid w:val="005C0A8E"/>
    <w:rsid w:val="005C1767"/>
    <w:rsid w:val="005C185C"/>
    <w:rsid w:val="005C42EF"/>
    <w:rsid w:val="005C70FB"/>
    <w:rsid w:val="005D0F60"/>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2472"/>
    <w:rsid w:val="00624520"/>
    <w:rsid w:val="006271F5"/>
    <w:rsid w:val="00632300"/>
    <w:rsid w:val="00632BB7"/>
    <w:rsid w:val="00635B36"/>
    <w:rsid w:val="00636871"/>
    <w:rsid w:val="00640EE1"/>
    <w:rsid w:val="00640F4E"/>
    <w:rsid w:val="0064170B"/>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A7C51"/>
    <w:rsid w:val="006A7DF7"/>
    <w:rsid w:val="006B0439"/>
    <w:rsid w:val="006B3904"/>
    <w:rsid w:val="006B5B7D"/>
    <w:rsid w:val="006B6D09"/>
    <w:rsid w:val="006C13F9"/>
    <w:rsid w:val="006C5B46"/>
    <w:rsid w:val="006C6E39"/>
    <w:rsid w:val="006D0ECF"/>
    <w:rsid w:val="006D3D5B"/>
    <w:rsid w:val="006D4C92"/>
    <w:rsid w:val="006D4EB6"/>
    <w:rsid w:val="006D7FBC"/>
    <w:rsid w:val="006E35BF"/>
    <w:rsid w:val="006E7850"/>
    <w:rsid w:val="006F19D8"/>
    <w:rsid w:val="006F46D6"/>
    <w:rsid w:val="006F4BBB"/>
    <w:rsid w:val="006F6CF6"/>
    <w:rsid w:val="007028D9"/>
    <w:rsid w:val="00707218"/>
    <w:rsid w:val="00710D04"/>
    <w:rsid w:val="00712B1D"/>
    <w:rsid w:val="00715751"/>
    <w:rsid w:val="007171BA"/>
    <w:rsid w:val="00717616"/>
    <w:rsid w:val="00724211"/>
    <w:rsid w:val="007325D9"/>
    <w:rsid w:val="0073413F"/>
    <w:rsid w:val="0073583B"/>
    <w:rsid w:val="007360CA"/>
    <w:rsid w:val="0074667B"/>
    <w:rsid w:val="007470BD"/>
    <w:rsid w:val="00760EC0"/>
    <w:rsid w:val="007711BD"/>
    <w:rsid w:val="00775008"/>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5EBA"/>
    <w:rsid w:val="008276B4"/>
    <w:rsid w:val="00831927"/>
    <w:rsid w:val="00837288"/>
    <w:rsid w:val="00841BD3"/>
    <w:rsid w:val="0084273D"/>
    <w:rsid w:val="00844E3F"/>
    <w:rsid w:val="00845A83"/>
    <w:rsid w:val="008466CE"/>
    <w:rsid w:val="00846BB9"/>
    <w:rsid w:val="008649D5"/>
    <w:rsid w:val="008712BB"/>
    <w:rsid w:val="008830E7"/>
    <w:rsid w:val="00883992"/>
    <w:rsid w:val="00890EDE"/>
    <w:rsid w:val="00892B38"/>
    <w:rsid w:val="00895BB0"/>
    <w:rsid w:val="00896CA0"/>
    <w:rsid w:val="008A1741"/>
    <w:rsid w:val="008A2484"/>
    <w:rsid w:val="008A52F3"/>
    <w:rsid w:val="008C26D9"/>
    <w:rsid w:val="008C6D50"/>
    <w:rsid w:val="008C7167"/>
    <w:rsid w:val="008C7503"/>
    <w:rsid w:val="008D1617"/>
    <w:rsid w:val="008D330F"/>
    <w:rsid w:val="008D48C1"/>
    <w:rsid w:val="008E6315"/>
    <w:rsid w:val="008E76D4"/>
    <w:rsid w:val="008F0480"/>
    <w:rsid w:val="008F07FC"/>
    <w:rsid w:val="008F11E0"/>
    <w:rsid w:val="008F3EA7"/>
    <w:rsid w:val="008F78BC"/>
    <w:rsid w:val="008F7B63"/>
    <w:rsid w:val="008F7D6A"/>
    <w:rsid w:val="00901C86"/>
    <w:rsid w:val="00903603"/>
    <w:rsid w:val="009054CB"/>
    <w:rsid w:val="00911F8D"/>
    <w:rsid w:val="00912F94"/>
    <w:rsid w:val="009141C8"/>
    <w:rsid w:val="009171BC"/>
    <w:rsid w:val="00917BC8"/>
    <w:rsid w:val="0092497E"/>
    <w:rsid w:val="0092590B"/>
    <w:rsid w:val="00925BF3"/>
    <w:rsid w:val="00925E60"/>
    <w:rsid w:val="009264B3"/>
    <w:rsid w:val="009279B1"/>
    <w:rsid w:val="00931E4C"/>
    <w:rsid w:val="0093293E"/>
    <w:rsid w:val="00934B3C"/>
    <w:rsid w:val="009365E0"/>
    <w:rsid w:val="00942BA2"/>
    <w:rsid w:val="009432B7"/>
    <w:rsid w:val="00944C86"/>
    <w:rsid w:val="00947C02"/>
    <w:rsid w:val="00950BE6"/>
    <w:rsid w:val="00957DE8"/>
    <w:rsid w:val="00960ECB"/>
    <w:rsid w:val="009615D6"/>
    <w:rsid w:val="00967855"/>
    <w:rsid w:val="00971CD1"/>
    <w:rsid w:val="00974709"/>
    <w:rsid w:val="009766BB"/>
    <w:rsid w:val="009801AE"/>
    <w:rsid w:val="00980736"/>
    <w:rsid w:val="00981A39"/>
    <w:rsid w:val="00982D56"/>
    <w:rsid w:val="00983DBF"/>
    <w:rsid w:val="00987097"/>
    <w:rsid w:val="00991123"/>
    <w:rsid w:val="00991CAB"/>
    <w:rsid w:val="00994FEE"/>
    <w:rsid w:val="009A3A9C"/>
    <w:rsid w:val="009B046C"/>
    <w:rsid w:val="009B13FA"/>
    <w:rsid w:val="009B1E2D"/>
    <w:rsid w:val="009C59FB"/>
    <w:rsid w:val="009C6F3B"/>
    <w:rsid w:val="009D1467"/>
    <w:rsid w:val="009D328D"/>
    <w:rsid w:val="009E4FA6"/>
    <w:rsid w:val="009E6B7B"/>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0C7"/>
    <w:rsid w:val="00A3427E"/>
    <w:rsid w:val="00A359AC"/>
    <w:rsid w:val="00A36C78"/>
    <w:rsid w:val="00A40F83"/>
    <w:rsid w:val="00A410FB"/>
    <w:rsid w:val="00A41413"/>
    <w:rsid w:val="00A41AA1"/>
    <w:rsid w:val="00A431E6"/>
    <w:rsid w:val="00A436E8"/>
    <w:rsid w:val="00A45FB1"/>
    <w:rsid w:val="00A46A0F"/>
    <w:rsid w:val="00A46CCC"/>
    <w:rsid w:val="00A46E65"/>
    <w:rsid w:val="00A47996"/>
    <w:rsid w:val="00A51CFE"/>
    <w:rsid w:val="00A5204D"/>
    <w:rsid w:val="00A56E77"/>
    <w:rsid w:val="00A61605"/>
    <w:rsid w:val="00A65F97"/>
    <w:rsid w:val="00A7265C"/>
    <w:rsid w:val="00A73B04"/>
    <w:rsid w:val="00A76C13"/>
    <w:rsid w:val="00A84FD0"/>
    <w:rsid w:val="00A92E79"/>
    <w:rsid w:val="00A950B6"/>
    <w:rsid w:val="00A95D45"/>
    <w:rsid w:val="00AA3EA8"/>
    <w:rsid w:val="00AB41C1"/>
    <w:rsid w:val="00AB4CF2"/>
    <w:rsid w:val="00AB6CCA"/>
    <w:rsid w:val="00AC223F"/>
    <w:rsid w:val="00AC33B1"/>
    <w:rsid w:val="00AD12A8"/>
    <w:rsid w:val="00AD7ACE"/>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26ED"/>
    <w:rsid w:val="00B64347"/>
    <w:rsid w:val="00B65DC6"/>
    <w:rsid w:val="00B67AC2"/>
    <w:rsid w:val="00B722DE"/>
    <w:rsid w:val="00B751E3"/>
    <w:rsid w:val="00B75BA6"/>
    <w:rsid w:val="00B76C44"/>
    <w:rsid w:val="00B8184A"/>
    <w:rsid w:val="00B82283"/>
    <w:rsid w:val="00B828D8"/>
    <w:rsid w:val="00B83F87"/>
    <w:rsid w:val="00B85711"/>
    <w:rsid w:val="00B87CDC"/>
    <w:rsid w:val="00B910C1"/>
    <w:rsid w:val="00BA2BEA"/>
    <w:rsid w:val="00BA2CA4"/>
    <w:rsid w:val="00BA2EFA"/>
    <w:rsid w:val="00BA3DBC"/>
    <w:rsid w:val="00BA4C07"/>
    <w:rsid w:val="00BA707A"/>
    <w:rsid w:val="00BB1AFB"/>
    <w:rsid w:val="00BB27AE"/>
    <w:rsid w:val="00BB2DA2"/>
    <w:rsid w:val="00BB56DC"/>
    <w:rsid w:val="00BD1BFC"/>
    <w:rsid w:val="00BD2234"/>
    <w:rsid w:val="00BE183D"/>
    <w:rsid w:val="00BF24C2"/>
    <w:rsid w:val="00BF2922"/>
    <w:rsid w:val="00BF5D7A"/>
    <w:rsid w:val="00C01C2E"/>
    <w:rsid w:val="00C02D33"/>
    <w:rsid w:val="00C04B53"/>
    <w:rsid w:val="00C1232C"/>
    <w:rsid w:val="00C24DE9"/>
    <w:rsid w:val="00C27C6B"/>
    <w:rsid w:val="00C3594D"/>
    <w:rsid w:val="00C36442"/>
    <w:rsid w:val="00C400CE"/>
    <w:rsid w:val="00C410FD"/>
    <w:rsid w:val="00C43DBF"/>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1238"/>
    <w:rsid w:val="00CC3EE5"/>
    <w:rsid w:val="00CC44A0"/>
    <w:rsid w:val="00CC6E47"/>
    <w:rsid w:val="00CD1346"/>
    <w:rsid w:val="00CD7A60"/>
    <w:rsid w:val="00CE425C"/>
    <w:rsid w:val="00CE58AC"/>
    <w:rsid w:val="00CF5A80"/>
    <w:rsid w:val="00D03091"/>
    <w:rsid w:val="00D045EE"/>
    <w:rsid w:val="00D05091"/>
    <w:rsid w:val="00D10CA6"/>
    <w:rsid w:val="00D10F21"/>
    <w:rsid w:val="00D134CF"/>
    <w:rsid w:val="00D1573B"/>
    <w:rsid w:val="00D15B34"/>
    <w:rsid w:val="00D24806"/>
    <w:rsid w:val="00D34040"/>
    <w:rsid w:val="00D34E69"/>
    <w:rsid w:val="00D36C78"/>
    <w:rsid w:val="00D375EE"/>
    <w:rsid w:val="00D44994"/>
    <w:rsid w:val="00D50B5B"/>
    <w:rsid w:val="00D55AE8"/>
    <w:rsid w:val="00D56056"/>
    <w:rsid w:val="00D56C0C"/>
    <w:rsid w:val="00D6085F"/>
    <w:rsid w:val="00D609E9"/>
    <w:rsid w:val="00D62699"/>
    <w:rsid w:val="00D71086"/>
    <w:rsid w:val="00D71D8B"/>
    <w:rsid w:val="00D778E9"/>
    <w:rsid w:val="00D812BF"/>
    <w:rsid w:val="00D82620"/>
    <w:rsid w:val="00D85707"/>
    <w:rsid w:val="00D9725F"/>
    <w:rsid w:val="00DA01B1"/>
    <w:rsid w:val="00DA11A2"/>
    <w:rsid w:val="00DA14ED"/>
    <w:rsid w:val="00DA26D6"/>
    <w:rsid w:val="00DB277E"/>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326A8"/>
    <w:rsid w:val="00E420F7"/>
    <w:rsid w:val="00E445FE"/>
    <w:rsid w:val="00E47428"/>
    <w:rsid w:val="00E540AD"/>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1765"/>
    <w:rsid w:val="00EA23E5"/>
    <w:rsid w:val="00EA4E2E"/>
    <w:rsid w:val="00EB2417"/>
    <w:rsid w:val="00EB2CCB"/>
    <w:rsid w:val="00EB5122"/>
    <w:rsid w:val="00EB7212"/>
    <w:rsid w:val="00EB7A25"/>
    <w:rsid w:val="00EC0F3E"/>
    <w:rsid w:val="00EC57A7"/>
    <w:rsid w:val="00ED0817"/>
    <w:rsid w:val="00ED290B"/>
    <w:rsid w:val="00ED6C1B"/>
    <w:rsid w:val="00ED7DD9"/>
    <w:rsid w:val="00EE445B"/>
    <w:rsid w:val="00EF3113"/>
    <w:rsid w:val="00EF3F84"/>
    <w:rsid w:val="00F176AC"/>
    <w:rsid w:val="00F26F28"/>
    <w:rsid w:val="00F27714"/>
    <w:rsid w:val="00F3276E"/>
    <w:rsid w:val="00F33D3C"/>
    <w:rsid w:val="00F342CF"/>
    <w:rsid w:val="00F37A91"/>
    <w:rsid w:val="00F408A0"/>
    <w:rsid w:val="00F45CF5"/>
    <w:rsid w:val="00F46183"/>
    <w:rsid w:val="00F47DB0"/>
    <w:rsid w:val="00F50C3F"/>
    <w:rsid w:val="00F50E34"/>
    <w:rsid w:val="00F51AFB"/>
    <w:rsid w:val="00F53EF7"/>
    <w:rsid w:val="00F54BF2"/>
    <w:rsid w:val="00F775AC"/>
    <w:rsid w:val="00F8792F"/>
    <w:rsid w:val="00F87C1D"/>
    <w:rsid w:val="00F9214D"/>
    <w:rsid w:val="00F92355"/>
    <w:rsid w:val="00F93963"/>
    <w:rsid w:val="00F94291"/>
    <w:rsid w:val="00FA16DB"/>
    <w:rsid w:val="00FA298A"/>
    <w:rsid w:val="00FA5B66"/>
    <w:rsid w:val="00FB0B9C"/>
    <w:rsid w:val="00FB30EB"/>
    <w:rsid w:val="00FB7982"/>
    <w:rsid w:val="00FC0734"/>
    <w:rsid w:val="00FC0FC5"/>
    <w:rsid w:val="00FC588F"/>
    <w:rsid w:val="00FC6879"/>
    <w:rsid w:val="00FD43C2"/>
    <w:rsid w:val="00FD57CC"/>
    <w:rsid w:val="00FE002A"/>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7B228"/>
  <w15:docId w15:val="{C3E5BCBE-6914-4FB9-9D7E-75362FAF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qFormat/>
    <w:rsid w:val="00635B36"/>
    <w:pPr>
      <w:outlineLvl w:val="7"/>
    </w:pPr>
    <w:rPr>
      <w:smallCaps w:val="0"/>
    </w:rPr>
  </w:style>
  <w:style w:type="paragraph" w:styleId="Heading9">
    <w:name w:val="heading 9"/>
    <w:basedOn w:val="fcHeading5"/>
    <w:next w:val="ParaNumbering"/>
    <w:qFormat/>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uiPriority w:val="99"/>
    <w:semiHidden/>
    <w:qFormat/>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MELegal1">
    <w:name w:val="ME Legal 1"/>
    <w:basedOn w:val="Normal"/>
    <w:qFormat/>
    <w:rsid w:val="00E540AD"/>
    <w:pPr>
      <w:spacing w:before="120" w:after="240"/>
      <w:jc w:val="left"/>
      <w:outlineLvl w:val="0"/>
    </w:pPr>
    <w:rPr>
      <w:rFonts w:eastAsia="Calibri"/>
      <w:szCs w:val="22"/>
    </w:rPr>
  </w:style>
  <w:style w:type="character" w:customStyle="1" w:styleId="Heading6Char">
    <w:name w:val="Heading 6 Char"/>
    <w:basedOn w:val="DefaultParagraphFont"/>
    <w:link w:val="Heading6"/>
    <w:rsid w:val="00E540AD"/>
    <w:rPr>
      <w:b/>
      <w:sz w:val="24"/>
      <w:lang w:eastAsia="en-US"/>
    </w:rPr>
  </w:style>
  <w:style w:type="character" w:customStyle="1" w:styleId="Heading1Char">
    <w:name w:val="Heading 1 Char"/>
    <w:basedOn w:val="DefaultParagraphFont"/>
    <w:link w:val="Heading1"/>
    <w:rsid w:val="000A04E2"/>
    <w:rPr>
      <w:b/>
      <w:caps/>
      <w:kern w:val="28"/>
      <w:sz w:val="24"/>
      <w:lang w:eastAsia="en-US"/>
    </w:rPr>
  </w:style>
  <w:style w:type="character" w:customStyle="1" w:styleId="charsectno">
    <w:name w:val="charsectno"/>
    <w:basedOn w:val="DefaultParagraphFont"/>
    <w:rsid w:val="000A04E2"/>
  </w:style>
  <w:style w:type="numbering" w:customStyle="1" w:styleId="Bullets">
    <w:name w:val="Bullets"/>
    <w:rsid w:val="00896CA0"/>
    <w:pPr>
      <w:numPr>
        <w:numId w:val="34"/>
      </w:numPr>
    </w:pPr>
  </w:style>
  <w:style w:type="paragraph" w:styleId="Revision">
    <w:name w:val="Revision"/>
    <w:hidden/>
    <w:uiPriority w:val="99"/>
    <w:semiHidden/>
    <w:rsid w:val="00D50B5B"/>
    <w:rPr>
      <w:sz w:val="24"/>
      <w:lang w:eastAsia="en-US"/>
    </w:rPr>
  </w:style>
  <w:style w:type="character" w:styleId="UnresolvedMention">
    <w:name w:val="Unresolved Mention"/>
    <w:basedOn w:val="DefaultParagraphFont"/>
    <w:uiPriority w:val="99"/>
    <w:semiHidden/>
    <w:unhideWhenUsed/>
    <w:rsid w:val="001C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C4C47FA913474F90707738B9ACF91A"/>
        <w:category>
          <w:name w:val="General"/>
          <w:gallery w:val="placeholder"/>
        </w:category>
        <w:types>
          <w:type w:val="bbPlcHdr"/>
        </w:types>
        <w:behaviors>
          <w:behavior w:val="content"/>
        </w:behaviors>
        <w:guid w:val="{E6DA969D-8B68-46B0-9AB3-14556434CFBA}"/>
      </w:docPartPr>
      <w:docPartBody>
        <w:p w:rsidR="00507293" w:rsidRDefault="00B85135">
          <w:pPr>
            <w:pStyle w:val="D0C4C47FA913474F90707738B9ACF91A"/>
          </w:pPr>
          <w:r>
            <w:rPr>
              <w:rStyle w:val="PlaceholderText"/>
            </w:rPr>
            <w:t>MNC Text</w:t>
          </w:r>
        </w:p>
      </w:docPartBody>
    </w:docPart>
    <w:docPart>
      <w:docPartPr>
        <w:name w:val="271C1C383DA04C98BDE409A761DF8FA0"/>
        <w:category>
          <w:name w:val="General"/>
          <w:gallery w:val="placeholder"/>
        </w:category>
        <w:types>
          <w:type w:val="bbPlcHdr"/>
        </w:types>
        <w:behaviors>
          <w:behavior w:val="content"/>
        </w:behaviors>
        <w:guid w:val="{65A318BB-FB5C-4D14-83C5-0127BFC263B3}"/>
      </w:docPartPr>
      <w:docPartBody>
        <w:p w:rsidR="00507293" w:rsidRDefault="00B85135">
          <w:pPr>
            <w:pStyle w:val="271C1C383DA04C98BDE409A761DF8FA0"/>
          </w:pPr>
          <w:r w:rsidRPr="005C44BE">
            <w:rPr>
              <w:rStyle w:val="PlaceholderText"/>
            </w:rPr>
            <w:t>Click or tap here to enter text.</w:t>
          </w:r>
        </w:p>
      </w:docPartBody>
    </w:docPart>
    <w:docPart>
      <w:docPartPr>
        <w:name w:val="7BE817478DE744D09282EC28211FEAAF"/>
        <w:category>
          <w:name w:val="General"/>
          <w:gallery w:val="placeholder"/>
        </w:category>
        <w:types>
          <w:type w:val="bbPlcHdr"/>
        </w:types>
        <w:behaviors>
          <w:behavior w:val="content"/>
        </w:behaviors>
        <w:guid w:val="{9A92076B-3BF0-4C7F-8762-90006638E775}"/>
      </w:docPartPr>
      <w:docPartBody>
        <w:p w:rsidR="00507293" w:rsidRDefault="00B85135">
          <w:pPr>
            <w:pStyle w:val="7BE817478DE744D09282EC28211FEAAF"/>
          </w:pPr>
          <w:r w:rsidRPr="005C44BE">
            <w:rPr>
              <w:rStyle w:val="PlaceholderText"/>
            </w:rPr>
            <w:t>Click or tap here to enter text.</w:t>
          </w:r>
        </w:p>
      </w:docPartBody>
    </w:docPart>
    <w:docPart>
      <w:docPartPr>
        <w:name w:val="49EA394C88944F2D8590405E64407245"/>
        <w:category>
          <w:name w:val="General"/>
          <w:gallery w:val="placeholder"/>
        </w:category>
        <w:types>
          <w:type w:val="bbPlcHdr"/>
        </w:types>
        <w:behaviors>
          <w:behavior w:val="content"/>
        </w:behaviors>
        <w:guid w:val="{8536B1AE-DF09-481B-942D-A3C29BF5FB35}"/>
      </w:docPartPr>
      <w:docPartBody>
        <w:p w:rsidR="00507293" w:rsidRDefault="00B85135">
          <w:pPr>
            <w:pStyle w:val="49EA394C88944F2D8590405E64407245"/>
          </w:pPr>
          <w:r w:rsidRPr="005C44BE">
            <w:rPr>
              <w:rStyle w:val="PlaceholderText"/>
            </w:rPr>
            <w:t>Click or tap here to enter text.</w:t>
          </w:r>
        </w:p>
      </w:docPartBody>
    </w:docPart>
    <w:docPart>
      <w:docPartPr>
        <w:name w:val="10CE83E40CCF4ADD8867F42F7D8228D6"/>
        <w:category>
          <w:name w:val="General"/>
          <w:gallery w:val="placeholder"/>
        </w:category>
        <w:types>
          <w:type w:val="bbPlcHdr"/>
        </w:types>
        <w:behaviors>
          <w:behavior w:val="content"/>
        </w:behaviors>
        <w:guid w:val="{6498B217-3930-4B14-B5E8-F2AF2ADBAEBE}"/>
      </w:docPartPr>
      <w:docPartBody>
        <w:p w:rsidR="00507293" w:rsidRDefault="00B85135">
          <w:pPr>
            <w:pStyle w:val="10CE83E40CCF4ADD8867F42F7D8228D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4E"/>
    <w:rsid w:val="00085487"/>
    <w:rsid w:val="000A545D"/>
    <w:rsid w:val="001B2AFF"/>
    <w:rsid w:val="00426A4E"/>
    <w:rsid w:val="00507293"/>
    <w:rsid w:val="0094729D"/>
    <w:rsid w:val="009E4597"/>
    <w:rsid w:val="00B85135"/>
    <w:rsid w:val="00CA33F7"/>
    <w:rsid w:val="00DA59F9"/>
    <w:rsid w:val="00F545C7"/>
    <w:rsid w:val="00FB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C4C47FA913474F90707738B9ACF91A">
    <w:name w:val="D0C4C47FA913474F90707738B9ACF91A"/>
  </w:style>
  <w:style w:type="paragraph" w:customStyle="1" w:styleId="271C1C383DA04C98BDE409A761DF8FA0">
    <w:name w:val="271C1C383DA04C98BDE409A761DF8FA0"/>
  </w:style>
  <w:style w:type="paragraph" w:customStyle="1" w:styleId="7BE817478DE744D09282EC28211FEAAF">
    <w:name w:val="7BE817478DE744D09282EC28211FEAAF"/>
  </w:style>
  <w:style w:type="paragraph" w:customStyle="1" w:styleId="49EA394C88944F2D8590405E64407245">
    <w:name w:val="49EA394C88944F2D8590405E64407245"/>
  </w:style>
  <w:style w:type="paragraph" w:customStyle="1" w:styleId="10CE83E40CCF4ADD8867F42F7D8228D6">
    <w:name w:val="10CE83E40CCF4ADD8867F42F7D822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Omani v Minister for Immigration, Citizenship and Multicultural Affairs [2024] FCA 376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8</Pages>
  <Words>2058</Words>
  <Characters>11373</Characters>
  <Application>Microsoft Office Word</Application>
  <DocSecurity>0</DocSecurity>
  <Lines>299</Lines>
  <Paragraphs>122</Paragraphs>
  <ScaleCrop>false</ScaleCrop>
  <HeadingPairs>
    <vt:vector size="2" baseType="variant">
      <vt:variant>
        <vt:lpstr>Title</vt:lpstr>
      </vt:variant>
      <vt:variant>
        <vt:i4>1</vt:i4>
      </vt:variant>
    </vt:vector>
  </HeadingPairs>
  <TitlesOfParts>
    <vt:vector size="1" baseType="lpstr">
      <vt:lpstr>Omani v Minister for Immigration, Citizenship and Multicultural Affairs [2024] FCA 376  </vt:lpstr>
    </vt:vector>
  </TitlesOfParts>
  <Company>Federal Court of Australia</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Omani v Minister for Immigration, Citizenship and Multicultural Affairs [2024] FCA 376</dc:title>
  <dc:creator>Sandra Casey</dc:creator>
  <dc:description>v1.3</dc:description>
  <cp:lastModifiedBy>Sandra Casey</cp:lastModifiedBy>
  <cp:revision>3</cp:revision>
  <cp:lastPrinted>2024-04-15T22:15:00Z</cp:lastPrinted>
  <dcterms:created xsi:type="dcterms:W3CDTF">2024-04-16T00:39:00Z</dcterms:created>
  <dcterms:modified xsi:type="dcterms:W3CDTF">2024-04-16T00:40:00Z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Omani v Minister for Immigration, Citizenship and Multicultural Affairs (Migration) [2023] AATA 4119</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