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1CD" w:rsidRDefault="005271CD">
      <w:pPr>
        <w:pStyle w:val="NormalHeadings"/>
        <w:jc w:val="center"/>
        <w:rPr>
          <w:sz w:val="32"/>
        </w:rPr>
      </w:pPr>
      <w:bookmarkStart w:id="0" w:name="_GoBack"/>
      <w:bookmarkEnd w:id="0"/>
      <w:r>
        <w:rPr>
          <w:sz w:val="32"/>
        </w:rPr>
        <w:t xml:space="preserve">FEDERAL COURT OF </w:t>
      </w:r>
      <w:smartTag w:uri="urn:schemas-microsoft-com:office:smarttags" w:element="place">
        <w:smartTag w:uri="urn:schemas-microsoft-com:office:smarttags" w:element="country-region">
          <w:r>
            <w:rPr>
              <w:sz w:val="32"/>
            </w:rPr>
            <w:t>AUSTRALIA</w:t>
          </w:r>
        </w:smartTag>
      </w:smartTag>
    </w:p>
    <w:p w:rsidR="005271CD" w:rsidRDefault="005271CD">
      <w:pPr>
        <w:pStyle w:val="NormalHeadings"/>
        <w:jc w:val="center"/>
        <w:rPr>
          <w:sz w:val="32"/>
        </w:rPr>
      </w:pPr>
    </w:p>
    <w:p w:rsidR="005271CD" w:rsidRDefault="00E92225">
      <w:pPr>
        <w:pStyle w:val="MediaNeutralStyle"/>
      </w:pPr>
      <w:bookmarkStart w:id="1" w:name="MNC"/>
      <w:r>
        <w:t xml:space="preserve">RPL Central Pty Ltd v </w:t>
      </w:r>
      <w:r w:rsidR="00D71E20">
        <w:t xml:space="preserve">Commissioner of Patents </w:t>
      </w:r>
      <w:r>
        <w:t xml:space="preserve">[2013] FCA </w:t>
      </w:r>
      <w:r w:rsidR="001B036F">
        <w:t>871</w:t>
      </w:r>
      <w:bookmarkEnd w:id="1"/>
    </w:p>
    <w:p w:rsidR="00005647" w:rsidRPr="00005647" w:rsidRDefault="00005647" w:rsidP="00005647">
      <w:pPr>
        <w:pStyle w:val="Normal1linespace"/>
      </w:pPr>
    </w:p>
    <w:tbl>
      <w:tblPr>
        <w:tblW w:w="0" w:type="auto"/>
        <w:tblLook w:val="01E0" w:firstRow="1" w:lastRow="1" w:firstColumn="1" w:lastColumn="1" w:noHBand="0" w:noVBand="0"/>
      </w:tblPr>
      <w:tblGrid>
        <w:gridCol w:w="3062"/>
        <w:gridCol w:w="23"/>
        <w:gridCol w:w="5954"/>
      </w:tblGrid>
      <w:tr w:rsidR="008679F6" w:rsidTr="00DC7F50">
        <w:tc>
          <w:tcPr>
            <w:tcW w:w="3085" w:type="dxa"/>
            <w:gridSpan w:val="2"/>
            <w:shd w:val="clear" w:color="auto" w:fill="auto"/>
          </w:tcPr>
          <w:p w:rsidR="008679F6" w:rsidRDefault="008679F6" w:rsidP="00DC7F50">
            <w:pPr>
              <w:pStyle w:val="Normal1linespace"/>
              <w:widowControl w:val="0"/>
            </w:pPr>
            <w:r>
              <w:t>Citation:</w:t>
            </w:r>
          </w:p>
        </w:tc>
        <w:tc>
          <w:tcPr>
            <w:tcW w:w="5954" w:type="dxa"/>
            <w:shd w:val="clear" w:color="auto" w:fill="auto"/>
          </w:tcPr>
          <w:p w:rsidR="008679F6" w:rsidRDefault="00E92225" w:rsidP="00DC7F50">
            <w:pPr>
              <w:pStyle w:val="Normal1linespace"/>
              <w:widowControl w:val="0"/>
              <w:jc w:val="left"/>
            </w:pPr>
            <w:r>
              <w:t xml:space="preserve">RPL Central Pty Ltd v </w:t>
            </w:r>
            <w:r w:rsidR="00D71E20">
              <w:t xml:space="preserve">Commissioner of Patents </w:t>
            </w:r>
            <w:r>
              <w:t xml:space="preserve">[2013] FCA </w:t>
            </w:r>
            <w:r w:rsidR="001B036F">
              <w:t>871</w:t>
            </w:r>
          </w:p>
        </w:tc>
      </w:tr>
      <w:tr w:rsidR="008679F6" w:rsidTr="00DC7F50">
        <w:tc>
          <w:tcPr>
            <w:tcW w:w="3085" w:type="dxa"/>
            <w:gridSpan w:val="2"/>
            <w:shd w:val="clear" w:color="auto" w:fill="auto"/>
          </w:tcPr>
          <w:p w:rsidR="008679F6" w:rsidRDefault="008679F6" w:rsidP="00DC7F50">
            <w:pPr>
              <w:pStyle w:val="Normal1linespace"/>
              <w:widowControl w:val="0"/>
            </w:pPr>
          </w:p>
        </w:tc>
        <w:tc>
          <w:tcPr>
            <w:tcW w:w="5954" w:type="dxa"/>
            <w:shd w:val="clear" w:color="auto" w:fill="auto"/>
          </w:tcPr>
          <w:p w:rsidR="008679F6" w:rsidRDefault="008679F6"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Parties:</w:t>
            </w:r>
          </w:p>
        </w:tc>
        <w:tc>
          <w:tcPr>
            <w:tcW w:w="5954" w:type="dxa"/>
            <w:shd w:val="clear" w:color="auto" w:fill="auto"/>
          </w:tcPr>
          <w:p w:rsidR="008679F6" w:rsidRPr="00DC7F50" w:rsidRDefault="00E92225" w:rsidP="00DC7F50">
            <w:pPr>
              <w:pStyle w:val="Normal1linespace"/>
              <w:widowControl w:val="0"/>
              <w:jc w:val="left"/>
              <w:rPr>
                <w:b/>
              </w:rPr>
            </w:pPr>
            <w:bookmarkStart w:id="2" w:name="JudgmentFP"/>
            <w:r w:rsidRPr="00DC7F50">
              <w:rPr>
                <w:b/>
              </w:rPr>
              <w:t xml:space="preserve">RPL CENTRAL PTY LTD (ACN 136 181 989) v </w:t>
            </w:r>
            <w:bookmarkEnd w:id="2"/>
            <w:r w:rsidR="003E3237" w:rsidRPr="00DC7F50">
              <w:rPr>
                <w:b/>
              </w:rPr>
              <w:t>COMMISSIONER OF PATENTS</w:t>
            </w:r>
          </w:p>
        </w:tc>
      </w:tr>
      <w:tr w:rsidR="008679F6" w:rsidTr="00DC7F50">
        <w:tc>
          <w:tcPr>
            <w:tcW w:w="3085" w:type="dxa"/>
            <w:gridSpan w:val="2"/>
            <w:shd w:val="clear" w:color="auto" w:fill="auto"/>
          </w:tcPr>
          <w:p w:rsidR="008679F6" w:rsidRDefault="008679F6" w:rsidP="00DC7F50">
            <w:pPr>
              <w:pStyle w:val="Normal1linespace"/>
              <w:widowControl w:val="0"/>
            </w:pPr>
          </w:p>
        </w:tc>
        <w:tc>
          <w:tcPr>
            <w:tcW w:w="5954" w:type="dxa"/>
            <w:shd w:val="clear" w:color="auto" w:fill="auto"/>
          </w:tcPr>
          <w:p w:rsidR="008679F6" w:rsidRDefault="008679F6"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File number:</w:t>
            </w:r>
          </w:p>
        </w:tc>
        <w:tc>
          <w:tcPr>
            <w:tcW w:w="5954" w:type="dxa"/>
            <w:shd w:val="clear" w:color="auto" w:fill="auto"/>
          </w:tcPr>
          <w:p w:rsidR="008679F6" w:rsidRPr="00012E32" w:rsidRDefault="008679F6" w:rsidP="00DC7F50">
            <w:pPr>
              <w:pStyle w:val="Normal1linespace"/>
              <w:widowControl w:val="0"/>
              <w:jc w:val="left"/>
            </w:pPr>
            <w:r w:rsidRPr="00DC7F50">
              <w:rPr>
                <w:szCs w:val="24"/>
              </w:rPr>
              <w:fldChar w:fldCharType="begin" w:fldLock="1"/>
            </w:r>
            <w:r w:rsidRPr="00DC7F50">
              <w:rPr>
                <w:szCs w:val="24"/>
              </w:rPr>
              <w:instrText xml:space="preserve"> REF  Num  \* MERGEFORMAT </w:instrText>
            </w:r>
            <w:r w:rsidRPr="00DC7F50">
              <w:rPr>
                <w:szCs w:val="24"/>
              </w:rPr>
              <w:fldChar w:fldCharType="separate"/>
            </w:r>
            <w:r w:rsidR="00E92225" w:rsidRPr="00DC7F50">
              <w:rPr>
                <w:szCs w:val="24"/>
              </w:rPr>
              <w:t>VID 817 of 2011</w:t>
            </w:r>
            <w:r w:rsidRPr="00DC7F50">
              <w:rPr>
                <w:szCs w:val="24"/>
              </w:rPr>
              <w:fldChar w:fldCharType="end"/>
            </w:r>
          </w:p>
        </w:tc>
      </w:tr>
      <w:tr w:rsidR="008679F6" w:rsidTr="00DC7F50">
        <w:tc>
          <w:tcPr>
            <w:tcW w:w="3085" w:type="dxa"/>
            <w:gridSpan w:val="2"/>
            <w:shd w:val="clear" w:color="auto" w:fill="auto"/>
          </w:tcPr>
          <w:p w:rsidR="008679F6" w:rsidRDefault="008679F6" w:rsidP="00DC7F50">
            <w:pPr>
              <w:pStyle w:val="Normal1linespace"/>
              <w:widowControl w:val="0"/>
            </w:pPr>
          </w:p>
        </w:tc>
        <w:tc>
          <w:tcPr>
            <w:tcW w:w="5954" w:type="dxa"/>
            <w:shd w:val="clear" w:color="auto" w:fill="auto"/>
          </w:tcPr>
          <w:p w:rsidR="008679F6" w:rsidRDefault="008679F6"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Judge:</w:t>
            </w:r>
          </w:p>
        </w:tc>
        <w:tc>
          <w:tcPr>
            <w:tcW w:w="5954" w:type="dxa"/>
            <w:shd w:val="clear" w:color="auto" w:fill="auto"/>
          </w:tcPr>
          <w:p w:rsidR="008679F6" w:rsidRPr="00DC7F50" w:rsidRDefault="008679F6" w:rsidP="00DC7F50">
            <w:pPr>
              <w:pStyle w:val="Normal1linespace"/>
              <w:widowControl w:val="0"/>
              <w:jc w:val="left"/>
              <w:rPr>
                <w:b/>
              </w:rPr>
            </w:pPr>
            <w:r w:rsidRPr="00DC7F50">
              <w:rPr>
                <w:b/>
              </w:rPr>
              <w:fldChar w:fldCharType="begin" w:fldLock="1"/>
            </w:r>
            <w:r w:rsidRPr="00DC7F50">
              <w:rPr>
                <w:b/>
              </w:rPr>
              <w:instrText xml:space="preserve"> REF  Judge  \* MERGEFORMAT </w:instrText>
            </w:r>
            <w:r w:rsidRPr="00DC7F50">
              <w:rPr>
                <w:b/>
              </w:rPr>
              <w:fldChar w:fldCharType="separate"/>
            </w:r>
            <w:r w:rsidR="00E92225" w:rsidRPr="00DC7F50">
              <w:rPr>
                <w:b/>
                <w:caps/>
                <w:szCs w:val="24"/>
              </w:rPr>
              <w:t>MIDDLETON J</w:t>
            </w:r>
            <w:r w:rsidRPr="00DC7F50">
              <w:rPr>
                <w:b/>
              </w:rPr>
              <w:fldChar w:fldCharType="end"/>
            </w:r>
          </w:p>
        </w:tc>
      </w:tr>
      <w:tr w:rsidR="008679F6" w:rsidTr="00DC7F50">
        <w:tc>
          <w:tcPr>
            <w:tcW w:w="3085" w:type="dxa"/>
            <w:gridSpan w:val="2"/>
            <w:shd w:val="clear" w:color="auto" w:fill="auto"/>
          </w:tcPr>
          <w:p w:rsidR="008679F6" w:rsidRDefault="008679F6" w:rsidP="00DC7F50">
            <w:pPr>
              <w:pStyle w:val="Normal1linespace"/>
              <w:widowControl w:val="0"/>
            </w:pPr>
          </w:p>
        </w:tc>
        <w:tc>
          <w:tcPr>
            <w:tcW w:w="5954" w:type="dxa"/>
            <w:shd w:val="clear" w:color="auto" w:fill="auto"/>
          </w:tcPr>
          <w:p w:rsidR="008679F6" w:rsidRDefault="008679F6" w:rsidP="00DC7F50">
            <w:pPr>
              <w:pStyle w:val="Normal1linespace"/>
              <w:widowControl w:val="0"/>
              <w:jc w:val="left"/>
            </w:pPr>
          </w:p>
        </w:tc>
      </w:tr>
      <w:tr w:rsidR="0005174A" w:rsidTr="00DC7F50">
        <w:tc>
          <w:tcPr>
            <w:tcW w:w="3085" w:type="dxa"/>
            <w:gridSpan w:val="2"/>
            <w:shd w:val="clear" w:color="auto" w:fill="auto"/>
          </w:tcPr>
          <w:p w:rsidR="0005174A" w:rsidRDefault="0005174A" w:rsidP="00DC7F50">
            <w:pPr>
              <w:pStyle w:val="Normal1linespace"/>
              <w:widowControl w:val="0"/>
            </w:pPr>
            <w:r>
              <w:t>Date of judgment:</w:t>
            </w:r>
          </w:p>
        </w:tc>
        <w:tc>
          <w:tcPr>
            <w:tcW w:w="5954" w:type="dxa"/>
            <w:shd w:val="clear" w:color="auto" w:fill="auto"/>
          </w:tcPr>
          <w:p w:rsidR="0005174A" w:rsidRDefault="00D71E20" w:rsidP="00DC7F50">
            <w:pPr>
              <w:pStyle w:val="Normal1linespace"/>
              <w:widowControl w:val="0"/>
              <w:jc w:val="left"/>
            </w:pPr>
            <w:bookmarkStart w:id="3" w:name="JudgmentDate"/>
            <w:r>
              <w:t>30 August 2013</w:t>
            </w:r>
            <w:bookmarkEnd w:id="3"/>
          </w:p>
        </w:tc>
      </w:tr>
      <w:tr w:rsidR="0005174A" w:rsidTr="00DC7F50">
        <w:tc>
          <w:tcPr>
            <w:tcW w:w="3085" w:type="dxa"/>
            <w:gridSpan w:val="2"/>
            <w:shd w:val="clear" w:color="auto" w:fill="auto"/>
          </w:tcPr>
          <w:p w:rsidR="0005174A" w:rsidRDefault="0005174A" w:rsidP="00DC7F50">
            <w:pPr>
              <w:pStyle w:val="Normal1linespace"/>
              <w:widowControl w:val="0"/>
            </w:pPr>
          </w:p>
        </w:tc>
        <w:tc>
          <w:tcPr>
            <w:tcW w:w="5954" w:type="dxa"/>
            <w:shd w:val="clear" w:color="auto" w:fill="auto"/>
          </w:tcPr>
          <w:p w:rsidR="0005174A" w:rsidRDefault="0005174A"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Catchwords:</w:t>
            </w:r>
          </w:p>
        </w:tc>
        <w:tc>
          <w:tcPr>
            <w:tcW w:w="5954" w:type="dxa"/>
            <w:shd w:val="clear" w:color="auto" w:fill="auto"/>
          </w:tcPr>
          <w:p w:rsidR="008679F6" w:rsidRDefault="00D62555" w:rsidP="00DC7F50">
            <w:pPr>
              <w:pStyle w:val="Normal1linespace"/>
              <w:widowControl w:val="0"/>
              <w:jc w:val="left"/>
            </w:pPr>
            <w:bookmarkStart w:id="4" w:name="Catchwords"/>
            <w:r w:rsidRPr="00DC7F50">
              <w:rPr>
                <w:b/>
              </w:rPr>
              <w:t>INTELLECTUAL PROPERTY</w:t>
            </w:r>
            <w:r>
              <w:t xml:space="preserve"> – </w:t>
            </w:r>
            <w:r w:rsidR="00A82BEF">
              <w:t>patents</w:t>
            </w:r>
            <w:r>
              <w:t xml:space="preserve"> – Section 18(1A)(a) of the </w:t>
            </w:r>
            <w:r w:rsidRPr="00DC7F50">
              <w:rPr>
                <w:i/>
              </w:rPr>
              <w:t>Patents Act 1990</w:t>
            </w:r>
            <w:r>
              <w:t xml:space="preserve"> (Cth) – </w:t>
            </w:r>
            <w:r w:rsidR="004D0C34">
              <w:t xml:space="preserve">Appeal from decision of Commissioner of Patents – </w:t>
            </w:r>
            <w:r>
              <w:t xml:space="preserve">Whether claimed invention is a manner of manufacture within the meaning of s 6 of the </w:t>
            </w:r>
            <w:r w:rsidRPr="00DC7F50">
              <w:rPr>
                <w:i/>
              </w:rPr>
              <w:t>Statute of Monopolies 1623</w:t>
            </w:r>
            <w:r w:rsidR="004D0C34">
              <w:t xml:space="preserve"> (Imp</w:t>
            </w:r>
            <w:r>
              <w:t>) –</w:t>
            </w:r>
            <w:r w:rsidR="004D0C34">
              <w:t xml:space="preserve"> Requirement of physical effect in manner of manufacture inquiry in Australian law</w:t>
            </w:r>
            <w:bookmarkEnd w:id="4"/>
          </w:p>
        </w:tc>
      </w:tr>
      <w:tr w:rsidR="00905900" w:rsidTr="00DC7F50">
        <w:tc>
          <w:tcPr>
            <w:tcW w:w="3085" w:type="dxa"/>
            <w:gridSpan w:val="2"/>
            <w:shd w:val="clear" w:color="auto" w:fill="auto"/>
          </w:tcPr>
          <w:p w:rsidR="00905900" w:rsidRDefault="00905900" w:rsidP="00DC7F50">
            <w:pPr>
              <w:pStyle w:val="Normal1linespace"/>
              <w:widowControl w:val="0"/>
            </w:pPr>
          </w:p>
        </w:tc>
        <w:tc>
          <w:tcPr>
            <w:tcW w:w="5954" w:type="dxa"/>
            <w:shd w:val="clear" w:color="auto" w:fill="auto"/>
          </w:tcPr>
          <w:p w:rsidR="00905900" w:rsidRDefault="00905900"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Legislation:</w:t>
            </w:r>
          </w:p>
        </w:tc>
        <w:tc>
          <w:tcPr>
            <w:tcW w:w="5954" w:type="dxa"/>
            <w:shd w:val="clear" w:color="auto" w:fill="auto"/>
          </w:tcPr>
          <w:p w:rsidR="00D876B1" w:rsidRPr="00DC7F50" w:rsidRDefault="00D876B1" w:rsidP="00DC7F50">
            <w:pPr>
              <w:pStyle w:val="Normal1linespace"/>
              <w:widowControl w:val="0"/>
              <w:jc w:val="left"/>
              <w:rPr>
                <w:i/>
              </w:rPr>
            </w:pPr>
            <w:bookmarkStart w:id="5" w:name="Legislation"/>
            <w:r w:rsidRPr="00DC7F50">
              <w:rPr>
                <w:i/>
              </w:rPr>
              <w:t>Patents Act 1952</w:t>
            </w:r>
            <w:r>
              <w:t xml:space="preserve"> (Cth)</w:t>
            </w:r>
            <w:r w:rsidRPr="00DC7F50">
              <w:rPr>
                <w:i/>
              </w:rPr>
              <w:t xml:space="preserve"> </w:t>
            </w:r>
          </w:p>
          <w:p w:rsidR="00D876B1" w:rsidRDefault="00D876B1" w:rsidP="00DC7F50">
            <w:pPr>
              <w:pStyle w:val="Normal1linespace"/>
              <w:widowControl w:val="0"/>
              <w:jc w:val="left"/>
            </w:pPr>
            <w:r w:rsidRPr="00DC7F50">
              <w:rPr>
                <w:i/>
              </w:rPr>
              <w:t>Patents Act 1977</w:t>
            </w:r>
            <w:r>
              <w:t xml:space="preserve"> (</w:t>
            </w:r>
            <w:smartTag w:uri="urn:schemas-microsoft-com:office:smarttags" w:element="place">
              <w:smartTag w:uri="urn:schemas-microsoft-com:office:smarttags" w:element="country-region">
                <w:r>
                  <w:t>UK</w:t>
                </w:r>
              </w:smartTag>
            </w:smartTag>
            <w:r>
              <w:t>)</w:t>
            </w:r>
          </w:p>
          <w:p w:rsidR="008679F6" w:rsidRDefault="00D876B1" w:rsidP="00DC7F50">
            <w:pPr>
              <w:pStyle w:val="Normal1linespace"/>
              <w:widowControl w:val="0"/>
              <w:jc w:val="left"/>
            </w:pPr>
            <w:r w:rsidRPr="00DC7F50">
              <w:rPr>
                <w:i/>
              </w:rPr>
              <w:t>Patents Act 1990</w:t>
            </w:r>
            <w:r>
              <w:t xml:space="preserve"> (Cth)</w:t>
            </w:r>
            <w:r w:rsidRPr="00DC7F50">
              <w:rPr>
                <w:i/>
              </w:rPr>
              <w:t xml:space="preserve"> </w:t>
            </w:r>
            <w:r>
              <w:t xml:space="preserve"> </w:t>
            </w:r>
            <w:bookmarkEnd w:id="5"/>
          </w:p>
        </w:tc>
      </w:tr>
      <w:tr w:rsidR="008679F6" w:rsidTr="00DC7F50">
        <w:tc>
          <w:tcPr>
            <w:tcW w:w="3085" w:type="dxa"/>
            <w:gridSpan w:val="2"/>
            <w:shd w:val="clear" w:color="auto" w:fill="auto"/>
          </w:tcPr>
          <w:p w:rsidR="008679F6" w:rsidRDefault="008679F6" w:rsidP="00DC7F50">
            <w:pPr>
              <w:pStyle w:val="Normal1linespace"/>
              <w:widowControl w:val="0"/>
            </w:pPr>
          </w:p>
        </w:tc>
        <w:tc>
          <w:tcPr>
            <w:tcW w:w="5954" w:type="dxa"/>
            <w:shd w:val="clear" w:color="auto" w:fill="auto"/>
          </w:tcPr>
          <w:p w:rsidR="008679F6" w:rsidRDefault="008679F6" w:rsidP="00DC7F50">
            <w:pPr>
              <w:pStyle w:val="Normal1linespace"/>
              <w:widowControl w:val="0"/>
              <w:jc w:val="left"/>
            </w:pPr>
          </w:p>
        </w:tc>
      </w:tr>
      <w:tr w:rsidR="008679F6" w:rsidTr="00DC7F50">
        <w:tc>
          <w:tcPr>
            <w:tcW w:w="3085" w:type="dxa"/>
            <w:gridSpan w:val="2"/>
            <w:shd w:val="clear" w:color="auto" w:fill="auto"/>
          </w:tcPr>
          <w:p w:rsidR="008679F6" w:rsidRDefault="008679F6" w:rsidP="00DC7F50">
            <w:pPr>
              <w:pStyle w:val="Normal1linespace"/>
              <w:widowControl w:val="0"/>
            </w:pPr>
            <w:r>
              <w:t>Cases cited:</w:t>
            </w:r>
          </w:p>
        </w:tc>
        <w:tc>
          <w:tcPr>
            <w:tcW w:w="5954" w:type="dxa"/>
            <w:shd w:val="clear" w:color="auto" w:fill="auto"/>
          </w:tcPr>
          <w:p w:rsidR="004835E5" w:rsidRDefault="004835E5" w:rsidP="00DC7F50">
            <w:pPr>
              <w:pStyle w:val="Normal1linespace"/>
              <w:widowControl w:val="0"/>
              <w:jc w:val="left"/>
            </w:pPr>
            <w:bookmarkStart w:id="6" w:name="Cases_Cited"/>
            <w:r w:rsidRPr="00DC7F50">
              <w:rPr>
                <w:i/>
              </w:rPr>
              <w:t xml:space="preserve">AT&amp;T Corp v Excel Communications Inc </w:t>
            </w:r>
            <w:r>
              <w:t>172 F.3d 1352 (Fed. Cir. 1999)</w:t>
            </w:r>
          </w:p>
          <w:p w:rsidR="00655E46" w:rsidRPr="00DC7F50" w:rsidRDefault="00655E46" w:rsidP="00DC7F50">
            <w:pPr>
              <w:pStyle w:val="Normal1linespace"/>
              <w:widowControl w:val="0"/>
              <w:jc w:val="left"/>
              <w:rPr>
                <w:i/>
              </w:rPr>
            </w:pPr>
            <w:r w:rsidRPr="00DC7F50">
              <w:rPr>
                <w:i/>
              </w:rPr>
              <w:t xml:space="preserve">Bancorp </w:t>
            </w:r>
            <w:smartTag w:uri="urn:schemas-microsoft-com:office:smarttags" w:element="PersonName">
              <w:r w:rsidRPr="00DC7F50">
                <w:rPr>
                  <w:i/>
                </w:rPr>
                <w:t>Service</w:t>
              </w:r>
            </w:smartTag>
            <w:r w:rsidRPr="00DC7F50">
              <w:rPr>
                <w:i/>
              </w:rPr>
              <w:t>s LLC v Sun Life Assurance Company of Canada (US)</w:t>
            </w:r>
            <w:r>
              <w:t xml:space="preserve"> 687 F.3d 1266 (Fed. Cir. 2012)</w:t>
            </w:r>
            <w:r w:rsidRPr="00DC7F50">
              <w:rPr>
                <w:i/>
              </w:rPr>
              <w:t xml:space="preserve"> </w:t>
            </w:r>
          </w:p>
          <w:p w:rsidR="00655E46" w:rsidRPr="00DC7F50" w:rsidRDefault="00655E46" w:rsidP="00DC7F50">
            <w:pPr>
              <w:pStyle w:val="Normal1linespace"/>
              <w:widowControl w:val="0"/>
              <w:jc w:val="left"/>
              <w:rPr>
                <w:i/>
              </w:rPr>
            </w:pPr>
            <w:r w:rsidRPr="00DC7F50">
              <w:rPr>
                <w:i/>
              </w:rPr>
              <w:t>Bilski v Kappos</w:t>
            </w:r>
            <w:r>
              <w:t xml:space="preserve"> 130 S.Ct. 3218 (2010)</w:t>
            </w:r>
            <w:r w:rsidRPr="00DC7F50">
              <w:rPr>
                <w:i/>
              </w:rPr>
              <w:t xml:space="preserve"> </w:t>
            </w:r>
          </w:p>
          <w:p w:rsidR="00655E46" w:rsidRDefault="00655E46" w:rsidP="00DC7F50">
            <w:pPr>
              <w:pStyle w:val="Normal1linespace"/>
              <w:widowControl w:val="0"/>
              <w:jc w:val="left"/>
            </w:pPr>
            <w:r w:rsidRPr="00DC7F50">
              <w:rPr>
                <w:i/>
              </w:rPr>
              <w:t>Cancer Voices Australia v Myriad Genetics Inc</w:t>
            </w:r>
            <w:r>
              <w:t xml:space="preserve"> (2013) 99 IPR 567 </w:t>
            </w:r>
          </w:p>
          <w:p w:rsidR="00655E46" w:rsidRDefault="00655E46" w:rsidP="00DC7F50">
            <w:pPr>
              <w:pStyle w:val="Normal1linespace"/>
              <w:widowControl w:val="0"/>
              <w:jc w:val="left"/>
            </w:pPr>
            <w:r w:rsidRPr="00DC7F50">
              <w:rPr>
                <w:i/>
              </w:rPr>
              <w:t>CCOM Pty Ltd v Jiejing Pty Ltd</w:t>
            </w:r>
            <w:r>
              <w:t xml:space="preserve"> (1994) 51 FCR 260 </w:t>
            </w:r>
          </w:p>
          <w:p w:rsidR="00655E46" w:rsidRDefault="00655E46" w:rsidP="00DC7F50">
            <w:pPr>
              <w:pStyle w:val="Normal1linespace"/>
              <w:widowControl w:val="0"/>
              <w:jc w:val="left"/>
            </w:pPr>
            <w:r w:rsidRPr="00DC7F50">
              <w:rPr>
                <w:i/>
              </w:rPr>
              <w:t>CLS Bank International v Alice Corporation Pty Ltd</w:t>
            </w:r>
            <w:r>
              <w:t xml:space="preserve"> 685 F.3d 1341 </w:t>
            </w:r>
            <w:r w:rsidR="004835E5">
              <w:t>(Fed. Cir. 2012)</w:t>
            </w:r>
          </w:p>
          <w:p w:rsidR="00655E46" w:rsidRDefault="00655E46" w:rsidP="00DC7F50">
            <w:pPr>
              <w:pStyle w:val="Normal1linespace"/>
              <w:widowControl w:val="0"/>
              <w:jc w:val="left"/>
            </w:pPr>
            <w:r w:rsidRPr="00DC7F50">
              <w:rPr>
                <w:i/>
              </w:rPr>
              <w:t>Commissioner of Patents v Lee</w:t>
            </w:r>
            <w:r>
              <w:t xml:space="preserve"> (1913) 16 CLR 138 </w:t>
            </w:r>
          </w:p>
          <w:p w:rsidR="00655E46" w:rsidRPr="00DC7F50" w:rsidRDefault="00655E46" w:rsidP="00DC7F50">
            <w:pPr>
              <w:pStyle w:val="Normal1linespace"/>
              <w:widowControl w:val="0"/>
              <w:jc w:val="left"/>
              <w:rPr>
                <w:i/>
              </w:rPr>
            </w:pPr>
            <w:r w:rsidRPr="00DC7F50">
              <w:rPr>
                <w:i/>
              </w:rPr>
              <w:t>Commissioner of Patents v Microcell Ltd</w:t>
            </w:r>
            <w:r>
              <w:t xml:space="preserve"> (1959) 102 CLR 232</w:t>
            </w:r>
            <w:r w:rsidRPr="00DC7F50">
              <w:rPr>
                <w:i/>
              </w:rPr>
              <w:t xml:space="preserve"> </w:t>
            </w:r>
          </w:p>
          <w:p w:rsidR="00655E46" w:rsidRDefault="00655E46" w:rsidP="00DC7F50">
            <w:pPr>
              <w:pStyle w:val="Normal1linespace"/>
              <w:widowControl w:val="0"/>
              <w:jc w:val="left"/>
            </w:pPr>
            <w:r w:rsidRPr="00DC7F50">
              <w:rPr>
                <w:i/>
              </w:rPr>
              <w:t>Compagnies Reunies des Glaces et Verres Speciaux du Nord de la France Application</w:t>
            </w:r>
            <w:r>
              <w:t xml:space="preserve"> (1931) 48 RPC 185 </w:t>
            </w:r>
          </w:p>
          <w:p w:rsidR="00655E46" w:rsidRDefault="00655E46" w:rsidP="00DC7F50">
            <w:pPr>
              <w:pStyle w:val="Normal1linespace"/>
              <w:widowControl w:val="0"/>
              <w:jc w:val="left"/>
            </w:pPr>
            <w:r w:rsidRPr="00DC7F50">
              <w:rPr>
                <w:i/>
              </w:rPr>
              <w:t>Cybersource Corporation v Retail Decisions Inc</w:t>
            </w:r>
            <w:r>
              <w:t xml:space="preserve"> 654 F.3d 1366 </w:t>
            </w:r>
            <w:r w:rsidR="004835E5">
              <w:t>(Fed. Cir. 2011)</w:t>
            </w:r>
          </w:p>
          <w:p w:rsidR="00655E46" w:rsidRDefault="00655E46" w:rsidP="00DC7F50">
            <w:pPr>
              <w:pStyle w:val="Normal1linespace"/>
              <w:jc w:val="left"/>
            </w:pPr>
            <w:r w:rsidRPr="00DC7F50">
              <w:rPr>
                <w:i/>
              </w:rPr>
              <w:t>Dynamite Games Pty Ltd v Aruze Gaming Australia Pty Ltd</w:t>
            </w:r>
            <w:r>
              <w:t xml:space="preserve"> (2013) 100 IPR 86; [2013] FCA 163  </w:t>
            </w:r>
          </w:p>
          <w:p w:rsidR="00655E46" w:rsidRPr="00DC7F50" w:rsidRDefault="00655E46" w:rsidP="00DC7F50">
            <w:pPr>
              <w:pStyle w:val="Normal1linespace"/>
              <w:widowControl w:val="0"/>
              <w:jc w:val="left"/>
              <w:rPr>
                <w:i/>
              </w:rPr>
            </w:pPr>
            <w:r w:rsidRPr="00DC7F50">
              <w:rPr>
                <w:i/>
              </w:rPr>
              <w:t>F Hoffman-La Roche AG v New England Biolabs Inc</w:t>
            </w:r>
            <w:r>
              <w:t xml:space="preserve"> (2000) 99 FCR 56</w:t>
            </w:r>
            <w:r w:rsidRPr="00DC7F50">
              <w:rPr>
                <w:i/>
              </w:rPr>
              <w:t xml:space="preserve"> </w:t>
            </w:r>
          </w:p>
          <w:p w:rsidR="00655E46" w:rsidRDefault="00655E46" w:rsidP="00DC7F50">
            <w:pPr>
              <w:pStyle w:val="Normal1linespace"/>
              <w:widowControl w:val="0"/>
              <w:jc w:val="left"/>
            </w:pPr>
            <w:r w:rsidRPr="00DC7F50">
              <w:rPr>
                <w:i/>
              </w:rPr>
              <w:lastRenderedPageBreak/>
              <w:t>Grant v Commissioner of Patents</w:t>
            </w:r>
            <w:r>
              <w:t xml:space="preserve"> (2006) 154 FCR 62 </w:t>
            </w:r>
          </w:p>
          <w:p w:rsidR="00655E46" w:rsidRDefault="00655E46" w:rsidP="00DC7F50">
            <w:pPr>
              <w:pStyle w:val="Normal1linespace"/>
              <w:widowControl w:val="0"/>
              <w:jc w:val="left"/>
            </w:pPr>
            <w:r w:rsidRPr="00DC7F50">
              <w:rPr>
                <w:i/>
              </w:rPr>
              <w:t>International Business Machines Corporation v Commissioner of Patents</w:t>
            </w:r>
            <w:r>
              <w:t xml:space="preserve"> (1991) 33 FCR 218 </w:t>
            </w:r>
          </w:p>
          <w:p w:rsidR="00655E46" w:rsidRPr="00DC7F50" w:rsidRDefault="00655E46" w:rsidP="00DC7F50">
            <w:pPr>
              <w:pStyle w:val="Normal1linespace"/>
              <w:widowControl w:val="0"/>
              <w:jc w:val="left"/>
              <w:rPr>
                <w:i/>
              </w:rPr>
            </w:pPr>
            <w:r w:rsidRPr="00DC7F50">
              <w:rPr>
                <w:i/>
              </w:rPr>
              <w:t>Merck &amp; Co Inc v Sankyo Co Ltd</w:t>
            </w:r>
            <w:r>
              <w:t xml:space="preserve"> (1992) 23 IPR 415</w:t>
            </w:r>
            <w:r w:rsidRPr="00DC7F50">
              <w:rPr>
                <w:i/>
              </w:rPr>
              <w:t xml:space="preserve"> </w:t>
            </w:r>
          </w:p>
          <w:p w:rsidR="00655E46" w:rsidRDefault="00655E46" w:rsidP="00DC7F50">
            <w:pPr>
              <w:pStyle w:val="Normal1linespace"/>
              <w:widowControl w:val="0"/>
              <w:jc w:val="left"/>
            </w:pPr>
            <w:r w:rsidRPr="00DC7F50">
              <w:rPr>
                <w:i/>
              </w:rPr>
              <w:t>Myall Australia Pty Ltd v RPL Central Pty Ltd</w:t>
            </w:r>
            <w:r>
              <w:t xml:space="preserve"> (2011) 93 IPR 1 </w:t>
            </w:r>
          </w:p>
          <w:p w:rsidR="00655E46" w:rsidRDefault="00655E46" w:rsidP="00DC7F50">
            <w:pPr>
              <w:pStyle w:val="Normal1linespace"/>
              <w:widowControl w:val="0"/>
              <w:jc w:val="left"/>
            </w:pPr>
            <w:r w:rsidRPr="00DC7F50">
              <w:rPr>
                <w:i/>
              </w:rPr>
              <w:t>National Research Development Corporation v Commissioner of Patents</w:t>
            </w:r>
            <w:r>
              <w:t xml:space="preserve"> (1959) 102 CLR 252 </w:t>
            </w:r>
          </w:p>
          <w:p w:rsidR="00655E46" w:rsidRDefault="00655E46" w:rsidP="00DC7F50">
            <w:pPr>
              <w:pStyle w:val="Normal1linespace"/>
              <w:widowControl w:val="0"/>
              <w:jc w:val="left"/>
            </w:pPr>
            <w:r w:rsidRPr="00DC7F50">
              <w:rPr>
                <w:i/>
              </w:rPr>
              <w:t>Neilson v The Minister of Public Works for NSW</w:t>
            </w:r>
            <w:r>
              <w:t xml:space="preserve"> (1914) 18 CLR 423 </w:t>
            </w:r>
          </w:p>
          <w:p w:rsidR="00655E46" w:rsidRDefault="00655E46" w:rsidP="00DC7F50">
            <w:pPr>
              <w:pStyle w:val="Normal1linespace"/>
              <w:widowControl w:val="0"/>
              <w:jc w:val="left"/>
            </w:pPr>
            <w:r w:rsidRPr="00DC7F50">
              <w:rPr>
                <w:i/>
              </w:rPr>
              <w:t>R v Australian Broadcasting Tribunal; ex parte Hardiman</w:t>
            </w:r>
            <w:r>
              <w:t xml:space="preserve"> (1980) 144 CLR 13 </w:t>
            </w:r>
          </w:p>
          <w:p w:rsidR="004835E5" w:rsidRDefault="004835E5" w:rsidP="00DC7F50">
            <w:pPr>
              <w:pStyle w:val="Normal1linespace"/>
              <w:widowControl w:val="0"/>
              <w:jc w:val="left"/>
            </w:pPr>
            <w:r w:rsidRPr="00DC7F50">
              <w:rPr>
                <w:i/>
              </w:rPr>
              <w:t>Re</w:t>
            </w:r>
            <w:r>
              <w:t xml:space="preserve"> </w:t>
            </w:r>
            <w:r w:rsidRPr="00DC7F50">
              <w:rPr>
                <w:i/>
              </w:rPr>
              <w:t xml:space="preserve">Bilski </w:t>
            </w:r>
            <w:r>
              <w:t>545 F.3d 943 (Fed. Cir. 2008)</w:t>
            </w:r>
          </w:p>
          <w:p w:rsidR="00655E46" w:rsidRPr="00DC7F50" w:rsidRDefault="00655E46" w:rsidP="00DC7F50">
            <w:pPr>
              <w:pStyle w:val="Normal1linespace"/>
              <w:widowControl w:val="0"/>
              <w:jc w:val="left"/>
              <w:rPr>
                <w:i/>
              </w:rPr>
            </w:pPr>
            <w:r w:rsidRPr="00DC7F50">
              <w:rPr>
                <w:i/>
              </w:rPr>
              <w:t>Re Brown</w:t>
            </w:r>
            <w:r>
              <w:t xml:space="preserve"> (1899) 5 ALR 81</w:t>
            </w:r>
            <w:r w:rsidRPr="00DC7F50">
              <w:rPr>
                <w:i/>
              </w:rPr>
              <w:t xml:space="preserve"> </w:t>
            </w:r>
          </w:p>
          <w:p w:rsidR="00655E46" w:rsidRPr="00DC7F50" w:rsidRDefault="00655E46" w:rsidP="00DC7F50">
            <w:pPr>
              <w:pStyle w:val="Normal1linespace"/>
              <w:widowControl w:val="0"/>
              <w:jc w:val="left"/>
              <w:rPr>
                <w:i/>
              </w:rPr>
            </w:pPr>
            <w:r w:rsidRPr="00DC7F50">
              <w:rPr>
                <w:i/>
              </w:rPr>
              <w:t>Research Affiliates LLC v Commissioner of Patents</w:t>
            </w:r>
            <w:r>
              <w:t xml:space="preserve"> [2013] FCA 71</w:t>
            </w:r>
            <w:r w:rsidRPr="00DC7F50">
              <w:rPr>
                <w:i/>
              </w:rPr>
              <w:t xml:space="preserve"> </w:t>
            </w:r>
          </w:p>
          <w:p w:rsidR="00655E46" w:rsidRDefault="00655E46" w:rsidP="00DC7F50">
            <w:pPr>
              <w:pStyle w:val="Normal1linespace"/>
              <w:widowControl w:val="0"/>
              <w:jc w:val="left"/>
            </w:pPr>
            <w:smartTag w:uri="urn:schemas-microsoft-com:office:smarttags" w:element="place">
              <w:smartTag w:uri="urn:schemas-microsoft-com:office:smarttags" w:element="City">
                <w:r w:rsidRPr="00DC7F50">
                  <w:rPr>
                    <w:i/>
                  </w:rPr>
                  <w:t>Rogers</w:t>
                </w:r>
              </w:smartTag>
            </w:smartTag>
            <w:r w:rsidRPr="00DC7F50">
              <w:rPr>
                <w:i/>
              </w:rPr>
              <w:t xml:space="preserve"> v Commissioner of Patents</w:t>
            </w:r>
            <w:r>
              <w:t xml:space="preserve"> (1910) 10 CLR 701 </w:t>
            </w:r>
          </w:p>
          <w:p w:rsidR="00655E46" w:rsidRPr="00DC7F50" w:rsidRDefault="00655E46" w:rsidP="00DC7F50">
            <w:pPr>
              <w:pStyle w:val="Normal1linespace"/>
              <w:widowControl w:val="0"/>
              <w:jc w:val="left"/>
              <w:rPr>
                <w:i/>
              </w:rPr>
            </w:pPr>
            <w:r w:rsidRPr="00DC7F50">
              <w:rPr>
                <w:i/>
              </w:rPr>
              <w:t>Rolls-Royce Ltd’s Application</w:t>
            </w:r>
            <w:r>
              <w:t xml:space="preserve"> [1963] RPC 251</w:t>
            </w:r>
            <w:r w:rsidRPr="00DC7F50">
              <w:rPr>
                <w:i/>
              </w:rPr>
              <w:t xml:space="preserve"> </w:t>
            </w:r>
          </w:p>
          <w:p w:rsidR="00655E46" w:rsidRDefault="00655E46" w:rsidP="00DC7F50">
            <w:pPr>
              <w:pStyle w:val="Normal1linespace"/>
              <w:widowControl w:val="0"/>
              <w:jc w:val="left"/>
            </w:pPr>
            <w:r w:rsidRPr="00DC7F50">
              <w:rPr>
                <w:i/>
              </w:rPr>
              <w:t>State Street Bank &amp; Trust Co v Signature Financial Group</w:t>
            </w:r>
            <w:r>
              <w:t xml:space="preserve"> (1998) 149 F.3d 1368 </w:t>
            </w:r>
          </w:p>
          <w:p w:rsidR="008679F6" w:rsidRDefault="004835E5" w:rsidP="00DC7F50">
            <w:pPr>
              <w:pStyle w:val="Normal1linespace"/>
              <w:widowControl w:val="0"/>
              <w:jc w:val="left"/>
            </w:pPr>
            <w:r w:rsidRPr="00DC7F50">
              <w:rPr>
                <w:i/>
              </w:rPr>
              <w:t>Welcome</w:t>
            </w:r>
            <w:r>
              <w:t xml:space="preserve"> </w:t>
            </w:r>
            <w:r w:rsidRPr="00DC7F50">
              <w:rPr>
                <w:i/>
              </w:rPr>
              <w:t>Real-Time SA v Catuity Inc</w:t>
            </w:r>
            <w:r>
              <w:t xml:space="preserve"> (2001) 113 FCR 110 </w:t>
            </w:r>
            <w:bookmarkEnd w:id="6"/>
          </w:p>
        </w:tc>
      </w:tr>
      <w:tr w:rsidR="00D71E20" w:rsidTr="00DC7F50">
        <w:tblPrEx>
          <w:tblCellSpacing w:w="8" w:type="dxa"/>
        </w:tblPrEx>
        <w:trPr>
          <w:tblCellSpacing w:w="8" w:type="dxa"/>
        </w:trPr>
        <w:tc>
          <w:tcPr>
            <w:tcW w:w="3062" w:type="dxa"/>
            <w:shd w:val="clear" w:color="auto" w:fill="auto"/>
          </w:tcPr>
          <w:p w:rsidR="00D71E20" w:rsidRDefault="00D71E20">
            <w:pPr>
              <w:pStyle w:val="Counsel"/>
            </w:pPr>
          </w:p>
        </w:tc>
        <w:tc>
          <w:tcPr>
            <w:tcW w:w="5977" w:type="dxa"/>
            <w:gridSpan w:val="2"/>
            <w:shd w:val="clear" w:color="auto" w:fill="auto"/>
          </w:tcPr>
          <w:p w:rsidR="00D71E20" w:rsidRDefault="00D71E20" w:rsidP="00DC7F50">
            <w:pPr>
              <w:pStyle w:val="Counsel"/>
              <w:jc w:val="left"/>
            </w:pP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bookmarkStart w:id="7" w:name="CounselDate"/>
            <w:r>
              <w:t>Date of hearing:</w:t>
            </w:r>
          </w:p>
        </w:tc>
        <w:tc>
          <w:tcPr>
            <w:tcW w:w="5977" w:type="dxa"/>
            <w:gridSpan w:val="2"/>
            <w:shd w:val="clear" w:color="auto" w:fill="auto"/>
          </w:tcPr>
          <w:p w:rsidR="00D71E20" w:rsidRDefault="00D71E20" w:rsidP="00DC7F50">
            <w:pPr>
              <w:pStyle w:val="Counsel"/>
              <w:jc w:val="left"/>
            </w:pPr>
            <w:bookmarkStart w:id="8" w:name="HearingDate"/>
            <w:r>
              <w:t>7 December 2012</w:t>
            </w:r>
            <w:bookmarkEnd w:id="8"/>
          </w:p>
        </w:tc>
      </w:tr>
      <w:tr w:rsidR="00D71E20" w:rsidTr="00DC7F50">
        <w:tblPrEx>
          <w:tblCellSpacing w:w="8" w:type="dxa"/>
        </w:tblPrEx>
        <w:trPr>
          <w:tblCellSpacing w:w="8" w:type="dxa"/>
        </w:trPr>
        <w:tc>
          <w:tcPr>
            <w:tcW w:w="3062" w:type="dxa"/>
            <w:shd w:val="clear" w:color="auto" w:fill="auto"/>
          </w:tcPr>
          <w:p w:rsidR="00D71E20" w:rsidRDefault="00D71E20">
            <w:pPr>
              <w:pStyle w:val="Counsel"/>
            </w:pPr>
          </w:p>
        </w:tc>
        <w:tc>
          <w:tcPr>
            <w:tcW w:w="5977" w:type="dxa"/>
            <w:gridSpan w:val="2"/>
            <w:shd w:val="clear" w:color="auto" w:fill="auto"/>
          </w:tcPr>
          <w:p w:rsidR="00D71E20" w:rsidRDefault="00D71E20" w:rsidP="00DC7F50">
            <w:pPr>
              <w:pStyle w:val="Counsel"/>
              <w:jc w:val="left"/>
            </w:pPr>
          </w:p>
        </w:tc>
      </w:tr>
      <w:bookmarkEnd w:id="7"/>
      <w:tr w:rsidR="00D71E20" w:rsidTr="00DC7F50">
        <w:tblPrEx>
          <w:tblCellSpacing w:w="8" w:type="dxa"/>
        </w:tblPrEx>
        <w:trPr>
          <w:tblCellSpacing w:w="8" w:type="dxa"/>
        </w:trPr>
        <w:tc>
          <w:tcPr>
            <w:tcW w:w="3062" w:type="dxa"/>
            <w:shd w:val="clear" w:color="auto" w:fill="auto"/>
          </w:tcPr>
          <w:p w:rsidR="00D71E20" w:rsidRDefault="00D71E20">
            <w:pPr>
              <w:pStyle w:val="Counsel"/>
            </w:pPr>
            <w:r>
              <w:t>Place:</w:t>
            </w:r>
          </w:p>
        </w:tc>
        <w:tc>
          <w:tcPr>
            <w:tcW w:w="5977" w:type="dxa"/>
            <w:gridSpan w:val="2"/>
            <w:shd w:val="clear" w:color="auto" w:fill="auto"/>
          </w:tcPr>
          <w:p w:rsidR="00D71E20" w:rsidRPr="00905900" w:rsidRDefault="00D71E20">
            <w:pPr>
              <w:pStyle w:val="Counsel"/>
            </w:pPr>
            <w:fldSimple w:instr=" DOCVARIABLE  Place_SentenceCase  \* MERGEFORMAT ">
              <w:r>
                <w:t>Melbourne</w:t>
              </w:r>
            </w:fldSimple>
          </w:p>
        </w:tc>
      </w:tr>
      <w:tr w:rsidR="00D71E20" w:rsidTr="00DC7F50">
        <w:tblPrEx>
          <w:tblCellSpacing w:w="8" w:type="dxa"/>
        </w:tblPrEx>
        <w:trPr>
          <w:tblCellSpacing w:w="8" w:type="dxa"/>
        </w:trPr>
        <w:tc>
          <w:tcPr>
            <w:tcW w:w="3062" w:type="dxa"/>
            <w:shd w:val="clear" w:color="auto" w:fill="auto"/>
          </w:tcPr>
          <w:p w:rsidR="00D71E20" w:rsidRDefault="00D71E20">
            <w:pPr>
              <w:pStyle w:val="Counsel"/>
            </w:pPr>
          </w:p>
        </w:tc>
        <w:tc>
          <w:tcPr>
            <w:tcW w:w="5977" w:type="dxa"/>
            <w:gridSpan w:val="2"/>
            <w:shd w:val="clear" w:color="auto" w:fill="auto"/>
          </w:tcPr>
          <w:p w:rsidR="00D71E20" w:rsidRDefault="00D71E20">
            <w:pPr>
              <w:pStyle w:val="Counsel"/>
            </w:pP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r>
              <w:t>Division:</w:t>
            </w:r>
          </w:p>
        </w:tc>
        <w:tc>
          <w:tcPr>
            <w:tcW w:w="5977" w:type="dxa"/>
            <w:gridSpan w:val="2"/>
            <w:shd w:val="clear" w:color="auto" w:fill="auto"/>
          </w:tcPr>
          <w:p w:rsidR="00D71E20" w:rsidRDefault="00D71E20">
            <w:pPr>
              <w:pStyle w:val="Counsel"/>
            </w:pPr>
            <w:r>
              <w:fldChar w:fldCharType="begin"/>
            </w:r>
            <w:r>
              <w:instrText xml:space="preserve"> REF  Division </w:instrText>
            </w:r>
            <w:r>
              <w:fldChar w:fldCharType="separate"/>
            </w:r>
            <w:r w:rsidR="0094726A" w:rsidRPr="00DC7F50">
              <w:rPr>
                <w:caps/>
                <w:szCs w:val="24"/>
              </w:rPr>
              <w:t>GENERAL DIVISION</w:t>
            </w:r>
            <w:r>
              <w:fldChar w:fldCharType="end"/>
            </w: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p>
        </w:tc>
        <w:tc>
          <w:tcPr>
            <w:tcW w:w="5977" w:type="dxa"/>
            <w:gridSpan w:val="2"/>
            <w:shd w:val="clear" w:color="auto" w:fill="auto"/>
          </w:tcPr>
          <w:p w:rsidR="00D71E20" w:rsidRDefault="00D71E20">
            <w:pPr>
              <w:pStyle w:val="Counsel"/>
            </w:pP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r>
              <w:t>Category:</w:t>
            </w:r>
          </w:p>
        </w:tc>
        <w:tc>
          <w:tcPr>
            <w:tcW w:w="5977" w:type="dxa"/>
            <w:gridSpan w:val="2"/>
            <w:shd w:val="clear" w:color="auto" w:fill="auto"/>
          </w:tcPr>
          <w:p w:rsidR="00D71E20" w:rsidRDefault="00655E46">
            <w:pPr>
              <w:pStyle w:val="Counsel"/>
            </w:pPr>
            <w:r>
              <w:t>Catchwords</w:t>
            </w: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p>
        </w:tc>
        <w:tc>
          <w:tcPr>
            <w:tcW w:w="5977" w:type="dxa"/>
            <w:gridSpan w:val="2"/>
            <w:shd w:val="clear" w:color="auto" w:fill="auto"/>
          </w:tcPr>
          <w:p w:rsidR="00D71E20" w:rsidRDefault="00D71E20">
            <w:pPr>
              <w:pStyle w:val="Counsel"/>
            </w:pPr>
          </w:p>
        </w:tc>
      </w:tr>
      <w:tr w:rsidR="00D71E20" w:rsidTr="00DC7F50">
        <w:tblPrEx>
          <w:tblCellSpacing w:w="8" w:type="dxa"/>
        </w:tblPrEx>
        <w:trPr>
          <w:tblCellSpacing w:w="8" w:type="dxa"/>
        </w:trPr>
        <w:tc>
          <w:tcPr>
            <w:tcW w:w="3062" w:type="dxa"/>
            <w:shd w:val="clear" w:color="auto" w:fill="auto"/>
          </w:tcPr>
          <w:p w:rsidR="00D71E20" w:rsidRDefault="00D71E20">
            <w:pPr>
              <w:pStyle w:val="Counsel"/>
            </w:pPr>
            <w:r>
              <w:t>Number of paragraphs:</w:t>
            </w:r>
          </w:p>
        </w:tc>
        <w:tc>
          <w:tcPr>
            <w:tcW w:w="5977" w:type="dxa"/>
            <w:gridSpan w:val="2"/>
            <w:shd w:val="clear" w:color="auto" w:fill="auto"/>
          </w:tcPr>
          <w:p w:rsidR="00D71E20" w:rsidRDefault="00D71E20">
            <w:pPr>
              <w:pStyle w:val="Counsel"/>
            </w:pPr>
            <w:bookmarkStart w:id="9" w:name="PlaceCategoryParagraphs"/>
            <w:r>
              <w:t>174</w:t>
            </w:r>
            <w:bookmarkEnd w:id="9"/>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p>
        </w:tc>
        <w:tc>
          <w:tcPr>
            <w:tcW w:w="5977" w:type="dxa"/>
            <w:gridSpan w:val="2"/>
            <w:shd w:val="clear" w:color="auto" w:fill="auto"/>
          </w:tcPr>
          <w:p w:rsidR="00D71E20" w:rsidRDefault="00D71E20" w:rsidP="00DC7F50">
            <w:pPr>
              <w:pStyle w:val="Counsel"/>
              <w:jc w:val="left"/>
            </w:pP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bookmarkStart w:id="10" w:name="Counsel"/>
            <w:r>
              <w:t>Counsel for the Applicant:</w:t>
            </w:r>
          </w:p>
        </w:tc>
        <w:tc>
          <w:tcPr>
            <w:tcW w:w="5977" w:type="dxa"/>
            <w:gridSpan w:val="2"/>
            <w:shd w:val="clear" w:color="auto" w:fill="auto"/>
          </w:tcPr>
          <w:p w:rsidR="00D71E20" w:rsidRDefault="00D71E20" w:rsidP="00DC7F50">
            <w:pPr>
              <w:pStyle w:val="Counsel"/>
              <w:jc w:val="left"/>
            </w:pPr>
            <w:bookmarkStart w:id="11" w:name="AppCounsel"/>
            <w:bookmarkEnd w:id="11"/>
            <w:r>
              <w:t>Mr AJ Ryan SC with Mr IP Horak</w:t>
            </w: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p>
        </w:tc>
        <w:tc>
          <w:tcPr>
            <w:tcW w:w="5977" w:type="dxa"/>
            <w:gridSpan w:val="2"/>
            <w:shd w:val="clear" w:color="auto" w:fill="auto"/>
          </w:tcPr>
          <w:p w:rsidR="00D71E20" w:rsidRDefault="00D71E20" w:rsidP="00DC7F50">
            <w:pPr>
              <w:pStyle w:val="Counsel"/>
              <w:jc w:val="left"/>
            </w:pP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r>
              <w:t>Solicitor for the Applicant:</w:t>
            </w:r>
          </w:p>
        </w:tc>
        <w:tc>
          <w:tcPr>
            <w:tcW w:w="5977" w:type="dxa"/>
            <w:gridSpan w:val="2"/>
            <w:shd w:val="clear" w:color="auto" w:fill="auto"/>
          </w:tcPr>
          <w:p w:rsidR="00D71E20" w:rsidRDefault="00D71E20" w:rsidP="00DC7F50">
            <w:pPr>
              <w:pStyle w:val="Counsel"/>
              <w:jc w:val="left"/>
            </w:pPr>
            <w:r>
              <w:t>Watermark Intellectual Property Lawyers</w:t>
            </w: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p>
        </w:tc>
        <w:tc>
          <w:tcPr>
            <w:tcW w:w="5977" w:type="dxa"/>
            <w:gridSpan w:val="2"/>
            <w:shd w:val="clear" w:color="auto" w:fill="auto"/>
          </w:tcPr>
          <w:p w:rsidR="00D71E20" w:rsidRDefault="00D71E20" w:rsidP="00DC7F50">
            <w:pPr>
              <w:pStyle w:val="Counsel"/>
              <w:jc w:val="left"/>
            </w:pP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r>
              <w:t>Counsel for the Respondent:</w:t>
            </w:r>
          </w:p>
        </w:tc>
        <w:tc>
          <w:tcPr>
            <w:tcW w:w="5977" w:type="dxa"/>
            <w:gridSpan w:val="2"/>
            <w:shd w:val="clear" w:color="auto" w:fill="auto"/>
          </w:tcPr>
          <w:p w:rsidR="00D71E20" w:rsidRDefault="00D71E20" w:rsidP="00DC7F50">
            <w:pPr>
              <w:pStyle w:val="Counsel"/>
              <w:jc w:val="left"/>
            </w:pPr>
            <w:r>
              <w:t>Mr B Fitzpatrick</w:t>
            </w: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p>
        </w:tc>
        <w:tc>
          <w:tcPr>
            <w:tcW w:w="5977" w:type="dxa"/>
            <w:gridSpan w:val="2"/>
            <w:shd w:val="clear" w:color="auto" w:fill="auto"/>
          </w:tcPr>
          <w:p w:rsidR="00D71E20" w:rsidRDefault="00D71E20" w:rsidP="00DC7F50">
            <w:pPr>
              <w:pStyle w:val="Counsel"/>
              <w:jc w:val="left"/>
            </w:pPr>
          </w:p>
        </w:tc>
      </w:tr>
      <w:tr w:rsidR="00D71E20" w:rsidTr="00DC7F50">
        <w:tblPrEx>
          <w:tblCellSpacing w:w="8" w:type="dxa"/>
        </w:tblPrEx>
        <w:trPr>
          <w:tblCellSpacing w:w="8" w:type="dxa"/>
        </w:trPr>
        <w:tc>
          <w:tcPr>
            <w:tcW w:w="3062" w:type="dxa"/>
            <w:shd w:val="clear" w:color="auto" w:fill="auto"/>
          </w:tcPr>
          <w:p w:rsidR="00D71E20" w:rsidRDefault="00D71E20" w:rsidP="00DC7F50">
            <w:pPr>
              <w:pStyle w:val="Counsel"/>
              <w:jc w:val="left"/>
            </w:pPr>
            <w:r>
              <w:t>Solicitor for the Respondent:</w:t>
            </w:r>
          </w:p>
        </w:tc>
        <w:tc>
          <w:tcPr>
            <w:tcW w:w="5977" w:type="dxa"/>
            <w:gridSpan w:val="2"/>
            <w:shd w:val="clear" w:color="auto" w:fill="auto"/>
          </w:tcPr>
          <w:p w:rsidR="00D71E20" w:rsidRDefault="00D71E20" w:rsidP="00DC7F50">
            <w:pPr>
              <w:pStyle w:val="Counsel"/>
              <w:jc w:val="left"/>
            </w:pPr>
            <w:r>
              <w:t>Australian Government Solicitor</w:t>
            </w:r>
          </w:p>
        </w:tc>
      </w:tr>
      <w:bookmarkEnd w:id="10"/>
    </w:tbl>
    <w:p w:rsidR="005271CD" w:rsidRDefault="005271CD">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774869" w:rsidTr="00DC7F50">
        <w:tc>
          <w:tcPr>
            <w:tcW w:w="3050" w:type="dxa"/>
            <w:shd w:val="clear" w:color="auto" w:fill="auto"/>
          </w:tcPr>
          <w:p w:rsidR="00774869" w:rsidRPr="00223FB4" w:rsidRDefault="00774869" w:rsidP="00DC7F50">
            <w:pPr>
              <w:pStyle w:val="Normal1linespace"/>
              <w:jc w:val="left"/>
              <w:rPr>
                <w:b/>
              </w:rPr>
            </w:pPr>
            <w:r w:rsidRPr="00223FB4">
              <w:rPr>
                <w:b/>
              </w:rPr>
              <w:t>Table of Corrections</w:t>
            </w:r>
          </w:p>
        </w:tc>
        <w:tc>
          <w:tcPr>
            <w:tcW w:w="5989" w:type="dxa"/>
            <w:shd w:val="clear" w:color="auto" w:fill="auto"/>
          </w:tcPr>
          <w:p w:rsidR="00774869" w:rsidRDefault="00774869" w:rsidP="00DC7F50">
            <w:pPr>
              <w:pStyle w:val="Normal1linespace"/>
              <w:widowControl w:val="0"/>
              <w:jc w:val="left"/>
              <w:rPr>
                <w:b/>
              </w:rPr>
            </w:pPr>
          </w:p>
        </w:tc>
      </w:tr>
      <w:tr w:rsidR="00774869" w:rsidTr="00DC7F50">
        <w:tc>
          <w:tcPr>
            <w:tcW w:w="3050" w:type="dxa"/>
            <w:shd w:val="clear" w:color="auto" w:fill="auto"/>
          </w:tcPr>
          <w:p w:rsidR="00774869" w:rsidRDefault="00774869" w:rsidP="00DC7F50">
            <w:pPr>
              <w:pStyle w:val="Normal1linespace"/>
              <w:widowControl w:val="0"/>
              <w:jc w:val="left"/>
            </w:pPr>
          </w:p>
        </w:tc>
        <w:tc>
          <w:tcPr>
            <w:tcW w:w="5989" w:type="dxa"/>
            <w:shd w:val="clear" w:color="auto" w:fill="auto"/>
          </w:tcPr>
          <w:p w:rsidR="00774869" w:rsidRDefault="00774869" w:rsidP="00DC7F50">
            <w:pPr>
              <w:pStyle w:val="Normal1linespace"/>
              <w:widowControl w:val="0"/>
              <w:jc w:val="left"/>
            </w:pPr>
          </w:p>
        </w:tc>
      </w:tr>
      <w:tr w:rsidR="00774869" w:rsidTr="00DC7F50">
        <w:tc>
          <w:tcPr>
            <w:tcW w:w="3050" w:type="dxa"/>
            <w:shd w:val="clear" w:color="auto" w:fill="auto"/>
          </w:tcPr>
          <w:p w:rsidR="00774869" w:rsidRDefault="00C47E79" w:rsidP="00DC7F50">
            <w:pPr>
              <w:pStyle w:val="Normal1linespace"/>
              <w:widowControl w:val="0"/>
              <w:jc w:val="left"/>
            </w:pPr>
            <w:bookmarkStart w:id="12" w:name="SelectMe"/>
            <w:bookmarkEnd w:id="12"/>
            <w:r>
              <w:t>26 October 2016</w:t>
            </w:r>
          </w:p>
        </w:tc>
        <w:tc>
          <w:tcPr>
            <w:tcW w:w="5989" w:type="dxa"/>
            <w:shd w:val="clear" w:color="auto" w:fill="auto"/>
          </w:tcPr>
          <w:p w:rsidR="00774869" w:rsidRDefault="00C47E79" w:rsidP="00DC7F50">
            <w:pPr>
              <w:pStyle w:val="Normal1linespace"/>
              <w:widowControl w:val="0"/>
              <w:jc w:val="left"/>
            </w:pPr>
            <w:r>
              <w:t>In paragraph 30, “208” has been replaced with “218”</w:t>
            </w:r>
          </w:p>
        </w:tc>
      </w:tr>
    </w:tbl>
    <w:p w:rsidR="00774869" w:rsidRDefault="00774869">
      <w:pPr>
        <w:pStyle w:val="Normal1linespace"/>
      </w:pPr>
    </w:p>
    <w:p w:rsidR="00A823A9" w:rsidRDefault="00A823A9">
      <w:pPr>
        <w:pStyle w:val="Normal1linespace"/>
      </w:pPr>
    </w:p>
    <w:p w:rsidR="005271CD" w:rsidRDefault="005271CD" w:rsidP="00E8791E">
      <w:pPr>
        <w:pStyle w:val="Normal1linespace"/>
        <w:sectPr w:rsidR="005271CD">
          <w:headerReference w:type="default" r:id="rId8"/>
          <w:endnotePr>
            <w:numFmt w:val="decimal"/>
          </w:endnotePr>
          <w:type w:val="continuous"/>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blPrEx>
          <w:tblCellMar>
            <w:top w:w="0" w:type="dxa"/>
            <w:bottom w:w="0" w:type="dxa"/>
          </w:tblCellMar>
        </w:tblPrEx>
        <w:tc>
          <w:tcPr>
            <w:tcW w:w="6771" w:type="dxa"/>
          </w:tcPr>
          <w:p w:rsidR="005271CD" w:rsidRPr="00B76E4F" w:rsidRDefault="005271CD">
            <w:pPr>
              <w:pStyle w:val="NormalHeadings"/>
              <w:spacing w:after="120"/>
              <w:jc w:val="left"/>
              <w:rPr>
                <w:caps/>
                <w:szCs w:val="24"/>
              </w:rPr>
            </w:pPr>
            <w:r w:rsidRPr="00B76E4F">
              <w:rPr>
                <w:caps/>
                <w:szCs w:val="24"/>
              </w:rPr>
              <w:lastRenderedPageBreak/>
              <w:t xml:space="preserve">IN THE FEDERAL COURT OF </w:t>
            </w:r>
            <w:smartTag w:uri="urn:schemas-microsoft-com:office:smarttags" w:element="place">
              <w:smartTag w:uri="urn:schemas-microsoft-com:office:smarttags" w:element="country-region">
                <w:r w:rsidRPr="00B76E4F">
                  <w:rPr>
                    <w:caps/>
                    <w:szCs w:val="24"/>
                  </w:rPr>
                  <w:t>AUSTRALIA</w:t>
                </w:r>
              </w:smartTag>
            </w:smartTag>
          </w:p>
        </w:tc>
        <w:tc>
          <w:tcPr>
            <w:tcW w:w="2471" w:type="dxa"/>
          </w:tcPr>
          <w:p w:rsidR="005271CD" w:rsidRPr="00B76E4F" w:rsidRDefault="005271CD">
            <w:pPr>
              <w:pStyle w:val="NormalHeadings"/>
              <w:jc w:val="left"/>
              <w:rPr>
                <w:caps/>
                <w:szCs w:val="24"/>
              </w:rPr>
            </w:pPr>
          </w:p>
        </w:tc>
      </w:tr>
      <w:tr w:rsidR="005271CD">
        <w:tblPrEx>
          <w:tblCellMar>
            <w:top w:w="0" w:type="dxa"/>
            <w:bottom w:w="0" w:type="dxa"/>
          </w:tblCellMar>
        </w:tblPrEx>
        <w:tc>
          <w:tcPr>
            <w:tcW w:w="6771" w:type="dxa"/>
          </w:tcPr>
          <w:p w:rsidR="005271CD" w:rsidRPr="00B76E4F" w:rsidRDefault="00E92225">
            <w:pPr>
              <w:pStyle w:val="NormalHeadings"/>
              <w:spacing w:after="120"/>
              <w:jc w:val="left"/>
              <w:rPr>
                <w:caps/>
                <w:szCs w:val="24"/>
              </w:rPr>
            </w:pPr>
            <w:bookmarkStart w:id="13" w:name="State"/>
            <w:smartTag w:uri="urn:schemas-microsoft-com:office:smarttags" w:element="place">
              <w:smartTag w:uri="urn:schemas-microsoft-com:office:smarttags" w:element="State">
                <w:r>
                  <w:rPr>
                    <w:caps/>
                    <w:szCs w:val="24"/>
                  </w:rPr>
                  <w:t>VICTORIA</w:t>
                </w:r>
              </w:smartTag>
            </w:smartTag>
            <w:bookmarkEnd w:id="13"/>
            <w:r w:rsidR="00EC74B1">
              <w:rPr>
                <w:caps/>
                <w:szCs w:val="24"/>
              </w:rPr>
              <w:t xml:space="preserve"> </w:t>
            </w:r>
            <w:r w:rsidR="005271CD" w:rsidRPr="00B76E4F">
              <w:rPr>
                <w:caps/>
                <w:szCs w:val="24"/>
              </w:rPr>
              <w:t>DISTRICT REGISTRY</w:t>
            </w:r>
          </w:p>
        </w:tc>
        <w:tc>
          <w:tcPr>
            <w:tcW w:w="2471" w:type="dxa"/>
          </w:tcPr>
          <w:p w:rsidR="005271CD" w:rsidRPr="00145F70" w:rsidRDefault="005271CD">
            <w:pPr>
              <w:pStyle w:val="NormalHeadings"/>
              <w:tabs>
                <w:tab w:val="right" w:pos="3609"/>
              </w:tabs>
              <w:jc w:val="right"/>
              <w:rPr>
                <w:szCs w:val="24"/>
              </w:rPr>
            </w:pPr>
          </w:p>
        </w:tc>
      </w:tr>
      <w:tr w:rsidR="000E43D1">
        <w:tblPrEx>
          <w:tblCellMar>
            <w:top w:w="0" w:type="dxa"/>
            <w:bottom w:w="0" w:type="dxa"/>
          </w:tblCellMar>
        </w:tblPrEx>
        <w:tc>
          <w:tcPr>
            <w:tcW w:w="6771" w:type="dxa"/>
          </w:tcPr>
          <w:p w:rsidR="000E43D1" w:rsidRDefault="00E92225">
            <w:pPr>
              <w:pStyle w:val="NormalHeadings"/>
              <w:spacing w:after="120"/>
              <w:jc w:val="left"/>
              <w:rPr>
                <w:caps/>
                <w:szCs w:val="24"/>
              </w:rPr>
            </w:pPr>
            <w:bookmarkStart w:id="14" w:name="Division"/>
            <w:r>
              <w:rPr>
                <w:caps/>
                <w:szCs w:val="24"/>
              </w:rPr>
              <w:t>GENERAL DIVISION</w:t>
            </w:r>
            <w:bookmarkEnd w:id="14"/>
          </w:p>
        </w:tc>
        <w:tc>
          <w:tcPr>
            <w:tcW w:w="2471" w:type="dxa"/>
          </w:tcPr>
          <w:p w:rsidR="001932FA" w:rsidRPr="00145F70" w:rsidRDefault="00E92225" w:rsidP="00EE76E8">
            <w:pPr>
              <w:pStyle w:val="NormalHeadings"/>
              <w:tabs>
                <w:tab w:val="right" w:pos="3609"/>
              </w:tabs>
              <w:jc w:val="right"/>
              <w:rPr>
                <w:szCs w:val="24"/>
              </w:rPr>
            </w:pPr>
            <w:bookmarkStart w:id="15" w:name="Num"/>
            <w:r>
              <w:rPr>
                <w:szCs w:val="24"/>
              </w:rPr>
              <w:t>VID 817 of 2011</w:t>
            </w:r>
            <w:bookmarkEnd w:id="15"/>
          </w:p>
        </w:tc>
      </w:tr>
    </w:tbl>
    <w:p w:rsidR="00EA7506" w:rsidRDefault="00D97E3B" w:rsidP="00867153">
      <w:pPr>
        <w:pStyle w:val="AppealTable"/>
      </w:pPr>
      <w:bookmarkStart w:id="16" w:name="AppealTable"/>
      <w:r>
        <w:t xml:space="preserve"> </w:t>
      </w:r>
      <w:bookmarkEnd w:id="16"/>
    </w:p>
    <w:tbl>
      <w:tblPr>
        <w:tblW w:w="0" w:type="auto"/>
        <w:tblLayout w:type="fixed"/>
        <w:tblLook w:val="0000" w:firstRow="0" w:lastRow="0" w:firstColumn="0" w:lastColumn="0" w:noHBand="0" w:noVBand="0"/>
      </w:tblPr>
      <w:tblGrid>
        <w:gridCol w:w="2376"/>
        <w:gridCol w:w="6866"/>
      </w:tblGrid>
      <w:tr w:rsidR="00C741C6">
        <w:tblPrEx>
          <w:tblCellMar>
            <w:top w:w="0" w:type="dxa"/>
            <w:bottom w:w="0" w:type="dxa"/>
          </w:tblCellMar>
        </w:tblPrEx>
        <w:trPr>
          <w:trHeight w:val="386"/>
        </w:trPr>
        <w:tc>
          <w:tcPr>
            <w:tcW w:w="2376" w:type="dxa"/>
          </w:tcPr>
          <w:p w:rsidR="00EE405D" w:rsidRPr="00B76E4F" w:rsidRDefault="00C741C6" w:rsidP="00EE405D">
            <w:pPr>
              <w:pStyle w:val="NormalHeadings"/>
              <w:jc w:val="left"/>
              <w:rPr>
                <w:caps/>
                <w:szCs w:val="24"/>
              </w:rPr>
            </w:pPr>
            <w:bookmarkStart w:id="17" w:name="Parties"/>
            <w:r w:rsidRPr="00B76E4F">
              <w:rPr>
                <w:caps/>
                <w:szCs w:val="24"/>
              </w:rPr>
              <w:t>BETWEEN:</w:t>
            </w:r>
          </w:p>
        </w:tc>
        <w:tc>
          <w:tcPr>
            <w:tcW w:w="6866" w:type="dxa"/>
          </w:tcPr>
          <w:p w:rsidR="00E92225" w:rsidRDefault="00E92225" w:rsidP="00EC74B1">
            <w:pPr>
              <w:pStyle w:val="NormalHeadings"/>
              <w:jc w:val="left"/>
              <w:rPr>
                <w:szCs w:val="24"/>
              </w:rPr>
            </w:pPr>
            <w:bookmarkStart w:id="18" w:name="Applicant"/>
            <w:r>
              <w:rPr>
                <w:szCs w:val="24"/>
              </w:rPr>
              <w:t>RPL CENTRAL PTY LTD (ACN 136 181 989)</w:t>
            </w:r>
          </w:p>
          <w:p w:rsidR="00E92225" w:rsidRDefault="00E92225" w:rsidP="00EC74B1">
            <w:pPr>
              <w:pStyle w:val="NormalHeadings"/>
              <w:jc w:val="left"/>
              <w:rPr>
                <w:szCs w:val="24"/>
              </w:rPr>
            </w:pPr>
            <w:r>
              <w:rPr>
                <w:szCs w:val="24"/>
              </w:rPr>
              <w:t>Applicant</w:t>
            </w:r>
          </w:p>
          <w:bookmarkEnd w:id="18"/>
          <w:p w:rsidR="00C741C6" w:rsidRPr="0026717E" w:rsidRDefault="00C741C6" w:rsidP="00EC74B1">
            <w:pPr>
              <w:pStyle w:val="NormalHeadings"/>
              <w:jc w:val="left"/>
              <w:rPr>
                <w:szCs w:val="24"/>
              </w:rPr>
            </w:pPr>
          </w:p>
        </w:tc>
      </w:tr>
      <w:tr w:rsidR="00C741C6">
        <w:tblPrEx>
          <w:tblCellMar>
            <w:top w:w="0" w:type="dxa"/>
            <w:bottom w:w="0" w:type="dxa"/>
          </w:tblCellMar>
        </w:tblPrEx>
        <w:trPr>
          <w:trHeight w:val="386"/>
        </w:trPr>
        <w:tc>
          <w:tcPr>
            <w:tcW w:w="2376" w:type="dxa"/>
          </w:tcPr>
          <w:p w:rsidR="00C741C6" w:rsidRPr="00B76E4F" w:rsidRDefault="00C741C6" w:rsidP="00EE405D">
            <w:pPr>
              <w:pStyle w:val="NormalHeadings"/>
              <w:jc w:val="left"/>
              <w:rPr>
                <w:caps/>
                <w:szCs w:val="24"/>
              </w:rPr>
            </w:pPr>
            <w:r w:rsidRPr="00B76E4F">
              <w:rPr>
                <w:caps/>
                <w:szCs w:val="24"/>
              </w:rPr>
              <w:t>AND:</w:t>
            </w:r>
          </w:p>
        </w:tc>
        <w:tc>
          <w:tcPr>
            <w:tcW w:w="6866" w:type="dxa"/>
          </w:tcPr>
          <w:p w:rsidR="00E92225" w:rsidRPr="003E3237" w:rsidRDefault="003E3237" w:rsidP="00000427">
            <w:pPr>
              <w:pStyle w:val="NormalHeadings"/>
              <w:jc w:val="left"/>
              <w:rPr>
                <w:szCs w:val="24"/>
              </w:rPr>
            </w:pPr>
            <w:bookmarkStart w:id="19" w:name="Respondent"/>
            <w:r w:rsidRPr="003E3237">
              <w:t>COMMISSIONER OF PATENTS</w:t>
            </w:r>
          </w:p>
          <w:p w:rsidR="00E92225" w:rsidRDefault="00E92225" w:rsidP="00000427">
            <w:pPr>
              <w:pStyle w:val="NormalHeadings"/>
              <w:jc w:val="left"/>
              <w:rPr>
                <w:szCs w:val="24"/>
              </w:rPr>
            </w:pPr>
            <w:r>
              <w:rPr>
                <w:szCs w:val="24"/>
              </w:rPr>
              <w:t>Respondent</w:t>
            </w:r>
          </w:p>
          <w:bookmarkEnd w:id="19"/>
          <w:p w:rsidR="00C741C6" w:rsidRPr="0026717E" w:rsidRDefault="00C741C6" w:rsidP="00000427">
            <w:pPr>
              <w:pStyle w:val="NormalHeadings"/>
              <w:jc w:val="left"/>
              <w:rPr>
                <w:szCs w:val="24"/>
              </w:rPr>
            </w:pPr>
          </w:p>
        </w:tc>
      </w:tr>
      <w:bookmarkEnd w:id="17"/>
    </w:tbl>
    <w:p w:rsidR="00C741C6" w:rsidRDefault="00C741C6">
      <w:pPr>
        <w:pStyle w:val="NormalHeadings"/>
      </w:pP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c>
          <w:tcPr>
            <w:tcW w:w="2376" w:type="dxa"/>
          </w:tcPr>
          <w:p w:rsidR="005271CD" w:rsidRPr="00B76E4F" w:rsidRDefault="00E92225" w:rsidP="008E1FE0">
            <w:pPr>
              <w:pStyle w:val="NormalHeadings"/>
              <w:spacing w:after="120"/>
              <w:jc w:val="left"/>
              <w:rPr>
                <w:caps/>
                <w:szCs w:val="24"/>
              </w:rPr>
            </w:pPr>
            <w:bookmarkStart w:id="20" w:name="JudgeText"/>
            <w:r>
              <w:rPr>
                <w:caps/>
                <w:szCs w:val="24"/>
              </w:rPr>
              <w:t>JUDGE</w:t>
            </w:r>
            <w:bookmarkEnd w:id="20"/>
            <w:r w:rsidR="005271CD" w:rsidRPr="00B76E4F">
              <w:rPr>
                <w:caps/>
                <w:szCs w:val="24"/>
              </w:rPr>
              <w:t>:</w:t>
            </w:r>
          </w:p>
        </w:tc>
        <w:tc>
          <w:tcPr>
            <w:tcW w:w="6866" w:type="dxa"/>
          </w:tcPr>
          <w:p w:rsidR="005271CD" w:rsidRPr="00B76E4F" w:rsidRDefault="00D71E20" w:rsidP="008E1FE0">
            <w:pPr>
              <w:pStyle w:val="NormalHeadings"/>
              <w:jc w:val="left"/>
              <w:rPr>
                <w:caps/>
                <w:szCs w:val="24"/>
              </w:rPr>
            </w:pPr>
            <w:bookmarkStart w:id="21" w:name="Judge"/>
            <w:r>
              <w:rPr>
                <w:caps/>
                <w:szCs w:val="24"/>
              </w:rPr>
              <w:t>MIDDLETON J</w:t>
            </w:r>
            <w:bookmarkEnd w:id="21"/>
          </w:p>
        </w:tc>
      </w:tr>
      <w:tr w:rsidR="005271CD">
        <w:tblPrEx>
          <w:tblCellMar>
            <w:top w:w="0" w:type="dxa"/>
            <w:bottom w:w="0" w:type="dxa"/>
          </w:tblCellMar>
        </w:tblPrEx>
        <w:tc>
          <w:tcPr>
            <w:tcW w:w="2376" w:type="dxa"/>
          </w:tcPr>
          <w:p w:rsidR="005271CD" w:rsidRPr="00B76E4F" w:rsidRDefault="005271CD">
            <w:pPr>
              <w:pStyle w:val="NormalHeadings"/>
              <w:spacing w:after="120"/>
              <w:jc w:val="left"/>
              <w:rPr>
                <w:caps/>
                <w:szCs w:val="24"/>
              </w:rPr>
            </w:pPr>
            <w:r w:rsidRPr="00B76E4F">
              <w:rPr>
                <w:caps/>
                <w:szCs w:val="24"/>
              </w:rPr>
              <w:t>DATE OF ORDER:</w:t>
            </w:r>
          </w:p>
        </w:tc>
        <w:tc>
          <w:tcPr>
            <w:tcW w:w="6866" w:type="dxa"/>
          </w:tcPr>
          <w:p w:rsidR="005271CD" w:rsidRPr="00B76E4F" w:rsidRDefault="00D71E20">
            <w:pPr>
              <w:pStyle w:val="NormalHeadings"/>
              <w:jc w:val="left"/>
              <w:rPr>
                <w:caps/>
                <w:szCs w:val="24"/>
              </w:rPr>
            </w:pPr>
            <w:bookmarkStart w:id="22" w:name="Judgment_Dated"/>
            <w:r>
              <w:rPr>
                <w:caps/>
                <w:szCs w:val="24"/>
              </w:rPr>
              <w:t>30 AUGUST 2013</w:t>
            </w:r>
            <w:bookmarkEnd w:id="22"/>
          </w:p>
        </w:tc>
      </w:tr>
      <w:tr w:rsidR="005271CD">
        <w:tblPrEx>
          <w:tblCellMar>
            <w:top w:w="0" w:type="dxa"/>
            <w:bottom w:w="0" w:type="dxa"/>
          </w:tblCellMar>
        </w:tblPrEx>
        <w:tc>
          <w:tcPr>
            <w:tcW w:w="2376" w:type="dxa"/>
          </w:tcPr>
          <w:p w:rsidR="005271CD" w:rsidRPr="00B76E4F" w:rsidRDefault="005271CD">
            <w:pPr>
              <w:pStyle w:val="NormalHeadings"/>
              <w:spacing w:after="120"/>
              <w:jc w:val="left"/>
              <w:rPr>
                <w:caps/>
                <w:szCs w:val="24"/>
              </w:rPr>
            </w:pPr>
            <w:r w:rsidRPr="00B76E4F">
              <w:rPr>
                <w:caps/>
                <w:szCs w:val="24"/>
              </w:rPr>
              <w:t>WHERE MADE:</w:t>
            </w:r>
          </w:p>
        </w:tc>
        <w:tc>
          <w:tcPr>
            <w:tcW w:w="6866" w:type="dxa"/>
          </w:tcPr>
          <w:p w:rsidR="005271CD" w:rsidRPr="00012E32" w:rsidRDefault="00E92225">
            <w:pPr>
              <w:pStyle w:val="NormalHeadings"/>
              <w:jc w:val="left"/>
              <w:rPr>
                <w:caps/>
                <w:szCs w:val="24"/>
              </w:rPr>
            </w:pPr>
            <w:bookmarkStart w:id="23" w:name="Place"/>
            <w:smartTag w:uri="urn:schemas-microsoft-com:office:smarttags" w:element="place">
              <w:smartTag w:uri="urn:schemas-microsoft-com:office:smarttags" w:element="City">
                <w:r>
                  <w:rPr>
                    <w:caps/>
                    <w:szCs w:val="24"/>
                  </w:rPr>
                  <w:t>MELBOURNE</w:t>
                </w:r>
              </w:smartTag>
            </w:smartTag>
            <w:bookmarkEnd w:id="23"/>
          </w:p>
        </w:tc>
      </w:tr>
    </w:tbl>
    <w:p w:rsidR="005271CD" w:rsidRDefault="005271CD">
      <w:pPr>
        <w:pStyle w:val="NormalHeadings"/>
        <w:rPr>
          <w:b w:val="0"/>
        </w:rPr>
      </w:pPr>
    </w:p>
    <w:p w:rsidR="005271CD" w:rsidRDefault="005271CD">
      <w:pPr>
        <w:pStyle w:val="NormalHeadings"/>
      </w:pPr>
      <w:r>
        <w:t>THE COURT ORDERS THAT:</w:t>
      </w:r>
    </w:p>
    <w:p w:rsidR="00587D14" w:rsidRDefault="00587D14">
      <w:pPr>
        <w:pStyle w:val="NormalHeadings"/>
      </w:pPr>
    </w:p>
    <w:p w:rsidR="005271CD" w:rsidRDefault="00EB7A26" w:rsidP="00617B48">
      <w:pPr>
        <w:numPr>
          <w:ilvl w:val="0"/>
          <w:numId w:val="2"/>
        </w:numPr>
        <w:tabs>
          <w:tab w:val="clear" w:pos="720"/>
        </w:tabs>
        <w:spacing w:before="60" w:after="60"/>
      </w:pPr>
      <w:bookmarkStart w:id="24" w:name="Order_Start_Text"/>
      <w:r>
        <w:t>The parties confer and file a joint</w:t>
      </w:r>
      <w:r w:rsidR="00685AFB">
        <w:t>ly</w:t>
      </w:r>
      <w:r>
        <w:t xml:space="preserve"> prepared minute of order (including as to costs) giving effect to these reasons for judgment</w:t>
      </w:r>
      <w:r w:rsidR="00685AFB">
        <w:t xml:space="preserve"> by 4:00 pm on </w:t>
      </w:r>
      <w:r w:rsidR="00A540D1">
        <w:t>13 September 2013</w:t>
      </w:r>
      <w:r>
        <w:t>, or, if the parties cannot agree, each file and serve such a minute of order</w:t>
      </w:r>
      <w:r w:rsidR="00685AFB">
        <w:t xml:space="preserve"> by this time</w:t>
      </w:r>
      <w:r>
        <w:t>.</w:t>
      </w:r>
      <w:r w:rsidR="001932FA">
        <w:t xml:space="preserve"> </w:t>
      </w:r>
      <w:bookmarkEnd w:id="24"/>
    </w:p>
    <w:p w:rsidR="00F21406" w:rsidRDefault="00F21406" w:rsidP="00F21406">
      <w:pPr>
        <w:spacing w:before="60" w:after="60"/>
      </w:pPr>
    </w:p>
    <w:p w:rsidR="00D71E20" w:rsidRDefault="00D71E20" w:rsidP="00F21406">
      <w:pPr>
        <w:spacing w:before="60" w:after="60"/>
      </w:pPr>
    </w:p>
    <w:p w:rsidR="00D71E20" w:rsidRDefault="00D71E20" w:rsidP="00F21406">
      <w:pPr>
        <w:spacing w:before="60" w:after="60"/>
      </w:pPr>
    </w:p>
    <w:p w:rsidR="00D71E20" w:rsidRDefault="00D71E20" w:rsidP="00F21406">
      <w:pPr>
        <w:spacing w:before="60" w:after="60"/>
      </w:pPr>
    </w:p>
    <w:p w:rsidR="00F21406" w:rsidRDefault="00F21406" w:rsidP="00F21406">
      <w:pPr>
        <w:spacing w:before="60" w:after="60"/>
      </w:pPr>
    </w:p>
    <w:p w:rsidR="00B221C9" w:rsidRPr="00875372" w:rsidRDefault="00B221C9" w:rsidP="00B221C9">
      <w:pPr>
        <w:ind w:left="708" w:hangingChars="322" w:hanging="708"/>
        <w:rPr>
          <w:sz w:val="22"/>
          <w:szCs w:val="22"/>
        </w:rPr>
      </w:pPr>
      <w:r w:rsidRPr="00875372">
        <w:rPr>
          <w:sz w:val="22"/>
          <w:szCs w:val="22"/>
        </w:rPr>
        <w:t>Note:</w:t>
      </w:r>
      <w:r w:rsidRPr="00875372">
        <w:rPr>
          <w:sz w:val="22"/>
          <w:szCs w:val="22"/>
        </w:rPr>
        <w:tab/>
        <w:t xml:space="preserve">Entry of orders is dealt with in Rule 39.32 of the </w:t>
      </w:r>
      <w:r w:rsidRPr="00AE74CE">
        <w:rPr>
          <w:i/>
          <w:sz w:val="22"/>
          <w:szCs w:val="22"/>
        </w:rPr>
        <w:t>Federal Court Rules 2011</w:t>
      </w:r>
      <w:r w:rsidRPr="00875372">
        <w:rPr>
          <w:sz w:val="22"/>
          <w:szCs w:val="22"/>
        </w:rPr>
        <w:t>.</w:t>
      </w:r>
    </w:p>
    <w:p w:rsidR="008916D1" w:rsidRDefault="008916D1"/>
    <w:p w:rsidR="00DD54E8" w:rsidRDefault="00DD54E8"/>
    <w:p w:rsidR="005271CD" w:rsidRDefault="005271CD">
      <w:pPr>
        <w:pStyle w:val="NormalHeadings"/>
        <w:spacing w:before="240" w:after="120"/>
        <w:rPr>
          <w:b w:val="0"/>
        </w:rPr>
        <w:sectPr w:rsidR="005271CD">
          <w:headerReference w:type="default" r:id="rId9"/>
          <w:headerReference w:type="first" r:id="rId10"/>
          <w:endnotePr>
            <w:numFmt w:val="decimal"/>
          </w:endnotePr>
          <w:pgSz w:w="11907" w:h="16840" w:code="9"/>
          <w:pgMar w:top="1440" w:right="1440" w:bottom="1440" w:left="1440" w:header="851" w:footer="851" w:gutter="0"/>
          <w:pgNumType w:start="1"/>
          <w:cols w:space="720"/>
          <w:noEndnote/>
          <w:titlePg/>
        </w:sectPr>
      </w:pPr>
    </w:p>
    <w:tbl>
      <w:tblPr>
        <w:tblW w:w="0" w:type="auto"/>
        <w:tblLayout w:type="fixed"/>
        <w:tblLook w:val="0000" w:firstRow="0" w:lastRow="0" w:firstColumn="0" w:lastColumn="0" w:noHBand="0" w:noVBand="0"/>
      </w:tblPr>
      <w:tblGrid>
        <w:gridCol w:w="6771"/>
        <w:gridCol w:w="2471"/>
      </w:tblGrid>
      <w:tr w:rsidR="005271CD">
        <w:tblPrEx>
          <w:tblCellMar>
            <w:top w:w="0" w:type="dxa"/>
            <w:bottom w:w="0" w:type="dxa"/>
          </w:tblCellMar>
        </w:tblPrEx>
        <w:tc>
          <w:tcPr>
            <w:tcW w:w="6771" w:type="dxa"/>
          </w:tcPr>
          <w:p w:rsidR="005271CD" w:rsidRPr="00884B15" w:rsidRDefault="005271CD">
            <w:pPr>
              <w:pStyle w:val="NormalHeadings"/>
              <w:spacing w:after="120"/>
              <w:jc w:val="left"/>
              <w:rPr>
                <w:caps/>
                <w:szCs w:val="24"/>
              </w:rPr>
            </w:pPr>
            <w:bookmarkStart w:id="25" w:name="ReasonsPage"/>
            <w:bookmarkEnd w:id="25"/>
            <w:r w:rsidRPr="00884B15">
              <w:rPr>
                <w:caps/>
                <w:szCs w:val="24"/>
              </w:rPr>
              <w:lastRenderedPageBreak/>
              <w:t xml:space="preserve">IN THE FEDERAL COURT OF </w:t>
            </w:r>
            <w:smartTag w:uri="urn:schemas-microsoft-com:office:smarttags" w:element="place">
              <w:smartTag w:uri="urn:schemas-microsoft-com:office:smarttags" w:element="country-region">
                <w:r w:rsidRPr="00884B15">
                  <w:rPr>
                    <w:caps/>
                    <w:szCs w:val="24"/>
                  </w:rPr>
                  <w:t>AUSTRALIA</w:t>
                </w:r>
              </w:smartTag>
            </w:smartTag>
          </w:p>
        </w:tc>
        <w:tc>
          <w:tcPr>
            <w:tcW w:w="2471" w:type="dxa"/>
          </w:tcPr>
          <w:p w:rsidR="005271CD" w:rsidRDefault="005271CD">
            <w:pPr>
              <w:pStyle w:val="NormalHeadings"/>
            </w:pPr>
          </w:p>
        </w:tc>
      </w:tr>
      <w:tr w:rsidR="005271CD">
        <w:tblPrEx>
          <w:tblCellMar>
            <w:top w:w="0" w:type="dxa"/>
            <w:bottom w:w="0" w:type="dxa"/>
          </w:tblCellMar>
        </w:tblPrEx>
        <w:tc>
          <w:tcPr>
            <w:tcW w:w="6771"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State</w:instrText>
            </w:r>
            <w:r w:rsidR="00884B15">
              <w:rPr>
                <w:caps/>
                <w:szCs w:val="24"/>
              </w:rPr>
              <w:instrText xml:space="preserve"> \* MERGEFORMAT </w:instrText>
            </w:r>
            <w:r w:rsidR="00E1678F">
              <w:rPr>
                <w:caps/>
                <w:szCs w:val="24"/>
              </w:rPr>
              <w:fldChar w:fldCharType="separate"/>
            </w:r>
            <w:r w:rsidR="00E92225">
              <w:rPr>
                <w:caps/>
                <w:szCs w:val="24"/>
              </w:rPr>
              <w:t>VICTORIA</w:t>
            </w:r>
            <w:r w:rsidRPr="00884B15">
              <w:rPr>
                <w:caps/>
                <w:szCs w:val="24"/>
              </w:rPr>
              <w:fldChar w:fldCharType="end"/>
            </w:r>
            <w:r w:rsidRPr="00884B15">
              <w:rPr>
                <w:caps/>
                <w:szCs w:val="24"/>
              </w:rPr>
              <w:t xml:space="preserve"> </w:t>
            </w:r>
            <w:r w:rsidR="005271CD" w:rsidRPr="00884B15">
              <w:rPr>
                <w:caps/>
                <w:szCs w:val="24"/>
              </w:rPr>
              <w:t>DISTRICT REGISTRY</w:t>
            </w:r>
          </w:p>
        </w:tc>
        <w:tc>
          <w:tcPr>
            <w:tcW w:w="2471" w:type="dxa"/>
          </w:tcPr>
          <w:p w:rsidR="005271CD" w:rsidRPr="00145F70" w:rsidRDefault="005271CD">
            <w:pPr>
              <w:pStyle w:val="NormalHeadings"/>
              <w:tabs>
                <w:tab w:val="right" w:pos="3609"/>
              </w:tabs>
              <w:jc w:val="right"/>
              <w:rPr>
                <w:caps/>
                <w:szCs w:val="24"/>
              </w:rPr>
            </w:pPr>
          </w:p>
        </w:tc>
      </w:tr>
      <w:tr w:rsidR="00923905">
        <w:tblPrEx>
          <w:tblCellMar>
            <w:top w:w="0" w:type="dxa"/>
            <w:bottom w:w="0" w:type="dxa"/>
          </w:tblCellMar>
        </w:tblPrEx>
        <w:tc>
          <w:tcPr>
            <w:tcW w:w="6771" w:type="dxa"/>
          </w:tcPr>
          <w:p w:rsidR="00923905" w:rsidRPr="00884B15" w:rsidRDefault="00923905">
            <w:pPr>
              <w:pStyle w:val="NormalHeadings"/>
              <w:spacing w:after="120"/>
              <w:jc w:val="left"/>
              <w:rPr>
                <w:caps/>
                <w:szCs w:val="24"/>
              </w:rPr>
            </w:pPr>
            <w:r>
              <w:rPr>
                <w:caps/>
                <w:szCs w:val="24"/>
              </w:rPr>
              <w:fldChar w:fldCharType="begin" w:fldLock="1"/>
            </w:r>
            <w:r>
              <w:rPr>
                <w:caps/>
                <w:szCs w:val="24"/>
              </w:rPr>
              <w:instrText xml:space="preserve"> REF  Division \* MERGEFORMAT </w:instrText>
            </w:r>
            <w:r>
              <w:rPr>
                <w:caps/>
                <w:szCs w:val="24"/>
              </w:rPr>
              <w:fldChar w:fldCharType="separate"/>
            </w:r>
            <w:r w:rsidR="00E92225">
              <w:rPr>
                <w:caps/>
                <w:szCs w:val="24"/>
              </w:rPr>
              <w:t>GENERAL DIVISION</w:t>
            </w:r>
            <w:r>
              <w:rPr>
                <w:caps/>
                <w:szCs w:val="24"/>
              </w:rPr>
              <w:fldChar w:fldCharType="end"/>
            </w:r>
          </w:p>
        </w:tc>
        <w:tc>
          <w:tcPr>
            <w:tcW w:w="2471" w:type="dxa"/>
          </w:tcPr>
          <w:p w:rsidR="00923905" w:rsidRPr="00145F70" w:rsidRDefault="00923905" w:rsidP="00EE76E8">
            <w:pPr>
              <w:pStyle w:val="NormalHeadings"/>
              <w:tabs>
                <w:tab w:val="right" w:pos="3609"/>
              </w:tabs>
              <w:jc w:val="right"/>
              <w:rPr>
                <w:caps/>
                <w:szCs w:val="24"/>
              </w:rPr>
            </w:pPr>
            <w:r w:rsidRPr="00145F70">
              <w:rPr>
                <w:caps/>
                <w:szCs w:val="24"/>
              </w:rPr>
              <w:fldChar w:fldCharType="begin" w:fldLock="1"/>
            </w:r>
            <w:r w:rsidRPr="00145F70">
              <w:rPr>
                <w:caps/>
                <w:szCs w:val="24"/>
              </w:rPr>
              <w:instrText xml:space="preserve"> REF  Num </w:instrText>
            </w:r>
            <w:r>
              <w:rPr>
                <w:caps/>
                <w:szCs w:val="24"/>
              </w:rPr>
              <w:instrText xml:space="preserve"> \* MERGEFORMAT </w:instrText>
            </w:r>
            <w:r w:rsidRPr="00145F70">
              <w:rPr>
                <w:caps/>
                <w:szCs w:val="24"/>
              </w:rPr>
              <w:fldChar w:fldCharType="separate"/>
            </w:r>
            <w:r w:rsidR="00E92225" w:rsidRPr="00E92225">
              <w:rPr>
                <w:caps/>
                <w:szCs w:val="24"/>
              </w:rPr>
              <w:t>VID</w:t>
            </w:r>
            <w:r w:rsidR="00E92225">
              <w:rPr>
                <w:szCs w:val="24"/>
              </w:rPr>
              <w:t xml:space="preserve"> 817 of 2011</w:t>
            </w:r>
            <w:r w:rsidRPr="00145F70">
              <w:rPr>
                <w:caps/>
                <w:szCs w:val="24"/>
              </w:rPr>
              <w:fldChar w:fldCharType="end"/>
            </w:r>
          </w:p>
        </w:tc>
      </w:tr>
    </w:tbl>
    <w:p w:rsidR="005271CD" w:rsidRDefault="00EF4F7D" w:rsidP="00867153">
      <w:pPr>
        <w:pStyle w:val="AppealTable"/>
      </w:pPr>
      <w:r>
        <w:fldChar w:fldCharType="begin" w:fldLock="1"/>
      </w:r>
      <w:r>
        <w:instrText xml:space="preserve"> Ref AppealTable </w:instrText>
      </w:r>
      <w:r w:rsidR="00867153">
        <w:instrText xml:space="preserve"> \* MERGEFORMAT </w:instrText>
      </w:r>
      <w:r w:rsidR="00E92225">
        <w:fldChar w:fldCharType="separate"/>
      </w:r>
      <w:r w:rsidR="00E92225">
        <w:t xml:space="preserve"> </w:t>
      </w:r>
      <w:r>
        <w:fldChar w:fldCharType="end"/>
      </w: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rPr>
          <w:trHeight w:val="386"/>
        </w:trPr>
        <w:tc>
          <w:tcPr>
            <w:tcW w:w="2376" w:type="dxa"/>
          </w:tcPr>
          <w:p w:rsidR="005271CD" w:rsidRPr="00B76E4F" w:rsidRDefault="005271CD" w:rsidP="00E04ACD">
            <w:pPr>
              <w:pStyle w:val="NormalHeadings"/>
              <w:jc w:val="left"/>
              <w:rPr>
                <w:caps/>
                <w:szCs w:val="24"/>
              </w:rPr>
            </w:pPr>
            <w:r w:rsidRPr="00B76E4F">
              <w:rPr>
                <w:caps/>
                <w:szCs w:val="24"/>
              </w:rPr>
              <w:t>BETWEEN:</w:t>
            </w:r>
          </w:p>
        </w:tc>
        <w:tc>
          <w:tcPr>
            <w:tcW w:w="6866" w:type="dxa"/>
          </w:tcPr>
          <w:p w:rsidR="00E92225" w:rsidRDefault="00C741C6" w:rsidP="00EC74B1">
            <w:pPr>
              <w:pStyle w:val="NormalHeadings"/>
              <w:jc w:val="left"/>
              <w:rPr>
                <w:szCs w:val="24"/>
              </w:rPr>
            </w:pPr>
            <w:r w:rsidRPr="00884B15">
              <w:rPr>
                <w:caps/>
                <w:szCs w:val="24"/>
              </w:rPr>
              <w:fldChar w:fldCharType="begin" w:fldLock="1"/>
            </w:r>
            <w:r w:rsidRPr="00884B15">
              <w:rPr>
                <w:caps/>
                <w:szCs w:val="24"/>
              </w:rPr>
              <w:instrText xml:space="preserve"> REF Applicant </w:instrText>
            </w:r>
            <w:r w:rsidR="00884B15">
              <w:rPr>
                <w:caps/>
                <w:szCs w:val="24"/>
              </w:rPr>
              <w:instrText xml:space="preserve"> \* MERGEFORMAT </w:instrText>
            </w:r>
            <w:r w:rsidR="00E1678F">
              <w:rPr>
                <w:caps/>
                <w:szCs w:val="24"/>
              </w:rPr>
              <w:fldChar w:fldCharType="separate"/>
            </w:r>
            <w:r w:rsidR="00E92225" w:rsidRPr="00E92225">
              <w:rPr>
                <w:caps/>
                <w:szCs w:val="24"/>
              </w:rPr>
              <w:t>RPL</w:t>
            </w:r>
            <w:r w:rsidR="00E92225">
              <w:rPr>
                <w:szCs w:val="24"/>
              </w:rPr>
              <w:t xml:space="preserve"> CENTRAL PTY LTD (ACN 136 181 989)</w:t>
            </w:r>
          </w:p>
          <w:p w:rsidR="00E92225" w:rsidRDefault="00E92225" w:rsidP="00EC74B1">
            <w:pPr>
              <w:pStyle w:val="NormalHeadings"/>
              <w:jc w:val="left"/>
              <w:rPr>
                <w:szCs w:val="24"/>
              </w:rPr>
            </w:pPr>
            <w:r>
              <w:rPr>
                <w:szCs w:val="24"/>
              </w:rPr>
              <w:t>Applicant</w:t>
            </w:r>
          </w:p>
          <w:p w:rsidR="005271CD" w:rsidRPr="00884B15" w:rsidRDefault="00C741C6">
            <w:pPr>
              <w:pStyle w:val="NormalHeadings"/>
              <w:jc w:val="left"/>
              <w:rPr>
                <w:caps/>
                <w:szCs w:val="24"/>
              </w:rPr>
            </w:pPr>
            <w:r w:rsidRPr="00884B15">
              <w:rPr>
                <w:caps/>
                <w:szCs w:val="24"/>
              </w:rPr>
              <w:fldChar w:fldCharType="end"/>
            </w:r>
          </w:p>
        </w:tc>
      </w:tr>
      <w:tr w:rsidR="005271CD">
        <w:tblPrEx>
          <w:tblCellMar>
            <w:top w:w="0" w:type="dxa"/>
            <w:bottom w:w="0" w:type="dxa"/>
          </w:tblCellMar>
        </w:tblPrEx>
        <w:trPr>
          <w:trHeight w:val="386"/>
        </w:trPr>
        <w:tc>
          <w:tcPr>
            <w:tcW w:w="2376" w:type="dxa"/>
          </w:tcPr>
          <w:p w:rsidR="005271CD" w:rsidRPr="00B76E4F" w:rsidRDefault="005271CD" w:rsidP="00E04ACD">
            <w:pPr>
              <w:pStyle w:val="NormalHeadings"/>
              <w:jc w:val="left"/>
              <w:rPr>
                <w:caps/>
                <w:szCs w:val="24"/>
              </w:rPr>
            </w:pPr>
            <w:r w:rsidRPr="00B76E4F">
              <w:rPr>
                <w:caps/>
                <w:szCs w:val="24"/>
              </w:rPr>
              <w:t>AND:</w:t>
            </w:r>
          </w:p>
        </w:tc>
        <w:tc>
          <w:tcPr>
            <w:tcW w:w="6866" w:type="dxa"/>
          </w:tcPr>
          <w:p w:rsidR="00E92225" w:rsidRPr="003E3237" w:rsidRDefault="00C741C6" w:rsidP="00000427">
            <w:pPr>
              <w:pStyle w:val="NormalHeadings"/>
              <w:jc w:val="left"/>
              <w:rPr>
                <w:szCs w:val="24"/>
              </w:rPr>
            </w:pPr>
            <w:r w:rsidRPr="003E3237">
              <w:rPr>
                <w:caps/>
                <w:szCs w:val="24"/>
              </w:rPr>
              <w:fldChar w:fldCharType="begin" w:fldLock="1"/>
            </w:r>
            <w:r w:rsidRPr="003E3237">
              <w:rPr>
                <w:caps/>
                <w:szCs w:val="24"/>
              </w:rPr>
              <w:instrText xml:space="preserve"> REF Respondent </w:instrText>
            </w:r>
            <w:r w:rsidR="00884B15" w:rsidRPr="003E3237">
              <w:rPr>
                <w:caps/>
                <w:szCs w:val="24"/>
              </w:rPr>
              <w:instrText xml:space="preserve"> \* MERGEFORMAT </w:instrText>
            </w:r>
            <w:r w:rsidR="00E1678F" w:rsidRPr="003E3237">
              <w:rPr>
                <w:caps/>
                <w:szCs w:val="24"/>
              </w:rPr>
              <w:fldChar w:fldCharType="separate"/>
            </w:r>
            <w:r w:rsidR="003E3237" w:rsidRPr="003E3237">
              <w:t>COMMISSIONER OF PATENTS</w:t>
            </w:r>
          </w:p>
          <w:p w:rsidR="00E92225" w:rsidRPr="003E3237" w:rsidRDefault="00E92225" w:rsidP="00000427">
            <w:pPr>
              <w:pStyle w:val="NormalHeadings"/>
              <w:jc w:val="left"/>
              <w:rPr>
                <w:szCs w:val="24"/>
              </w:rPr>
            </w:pPr>
            <w:r w:rsidRPr="003E3237">
              <w:rPr>
                <w:szCs w:val="24"/>
              </w:rPr>
              <w:t>Respondent</w:t>
            </w:r>
          </w:p>
          <w:p w:rsidR="005271CD" w:rsidRPr="00884B15" w:rsidRDefault="00C741C6">
            <w:pPr>
              <w:pStyle w:val="NormalHeadings"/>
              <w:jc w:val="left"/>
              <w:rPr>
                <w:caps/>
                <w:szCs w:val="24"/>
              </w:rPr>
            </w:pPr>
            <w:r w:rsidRPr="003E3237">
              <w:rPr>
                <w:caps/>
                <w:szCs w:val="24"/>
              </w:rPr>
              <w:fldChar w:fldCharType="end"/>
            </w:r>
          </w:p>
        </w:tc>
      </w:tr>
    </w:tbl>
    <w:p w:rsidR="005271CD" w:rsidRDefault="005271CD">
      <w:pPr>
        <w:pStyle w:val="NormalHeadings"/>
      </w:pPr>
    </w:p>
    <w:tbl>
      <w:tblPr>
        <w:tblW w:w="0" w:type="auto"/>
        <w:tblLayout w:type="fixed"/>
        <w:tblLook w:val="0000" w:firstRow="0" w:lastRow="0" w:firstColumn="0" w:lastColumn="0" w:noHBand="0" w:noVBand="0"/>
      </w:tblPr>
      <w:tblGrid>
        <w:gridCol w:w="2376"/>
        <w:gridCol w:w="6866"/>
      </w:tblGrid>
      <w:tr w:rsidR="005271CD">
        <w:tblPrEx>
          <w:tblCellMar>
            <w:top w:w="0" w:type="dxa"/>
            <w:bottom w:w="0" w:type="dxa"/>
          </w:tblCellMar>
        </w:tblPrEx>
        <w:tc>
          <w:tcPr>
            <w:tcW w:w="2376" w:type="dxa"/>
          </w:tcPr>
          <w:p w:rsidR="005271CD" w:rsidRPr="00884B15" w:rsidRDefault="00C741C6">
            <w:pPr>
              <w:pStyle w:val="NormalHeadings"/>
              <w:spacing w:after="120"/>
              <w:jc w:val="left"/>
              <w:rPr>
                <w:caps/>
                <w:szCs w:val="24"/>
              </w:rPr>
            </w:pPr>
            <w:r w:rsidRPr="00884B15">
              <w:rPr>
                <w:caps/>
                <w:szCs w:val="24"/>
              </w:rPr>
              <w:fldChar w:fldCharType="begin" w:fldLock="1"/>
            </w:r>
            <w:r w:rsidRPr="00884B15">
              <w:rPr>
                <w:caps/>
                <w:szCs w:val="24"/>
              </w:rPr>
              <w:instrText xml:space="preserve"> REF JudgeText </w:instrText>
            </w:r>
            <w:r w:rsidR="00884B15" w:rsidRPr="00884B15">
              <w:rPr>
                <w:caps/>
                <w:szCs w:val="24"/>
              </w:rPr>
              <w:instrText xml:space="preserve"> \* MERGEFORMAT </w:instrText>
            </w:r>
            <w:r w:rsidR="00E1678F">
              <w:rPr>
                <w:caps/>
                <w:szCs w:val="24"/>
              </w:rPr>
              <w:fldChar w:fldCharType="separate"/>
            </w:r>
            <w:r w:rsidR="00E92225">
              <w:rPr>
                <w:caps/>
                <w:szCs w:val="24"/>
              </w:rPr>
              <w:t>JUDGE</w:t>
            </w:r>
            <w:r w:rsidRPr="00884B15">
              <w:rPr>
                <w:caps/>
                <w:szCs w:val="24"/>
              </w:rPr>
              <w:fldChar w:fldCharType="end"/>
            </w:r>
            <w:r w:rsidR="005271CD" w:rsidRPr="00884B15">
              <w:rPr>
                <w:caps/>
                <w:szCs w:val="24"/>
              </w:rPr>
              <w:t>:</w:t>
            </w:r>
          </w:p>
        </w:tc>
        <w:tc>
          <w:tcPr>
            <w:tcW w:w="6866" w:type="dxa"/>
          </w:tcPr>
          <w:p w:rsidR="005271CD" w:rsidRPr="00884B15" w:rsidRDefault="004E2080">
            <w:pPr>
              <w:pStyle w:val="NormalHeadings"/>
              <w:rPr>
                <w:caps/>
                <w:szCs w:val="24"/>
              </w:rPr>
            </w:pPr>
            <w:r>
              <w:rPr>
                <w:caps/>
                <w:szCs w:val="24"/>
              </w:rPr>
              <w:fldChar w:fldCharType="begin" w:fldLock="1"/>
            </w:r>
            <w:r>
              <w:rPr>
                <w:caps/>
                <w:szCs w:val="24"/>
              </w:rPr>
              <w:instrText xml:space="preserve"> REF  Judge  \* MERGEFORMAT </w:instrText>
            </w:r>
            <w:r>
              <w:rPr>
                <w:caps/>
                <w:szCs w:val="24"/>
              </w:rPr>
              <w:fldChar w:fldCharType="separate"/>
            </w:r>
            <w:r w:rsidR="00E92225">
              <w:rPr>
                <w:caps/>
                <w:szCs w:val="24"/>
              </w:rPr>
              <w:t>MIDDLETON J</w:t>
            </w:r>
            <w:r>
              <w:rPr>
                <w:caps/>
                <w:szCs w:val="24"/>
              </w:rPr>
              <w:fldChar w:fldCharType="end"/>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szCs w:val="24"/>
              </w:rPr>
            </w:pPr>
            <w:r w:rsidRPr="00884B15">
              <w:rPr>
                <w:caps/>
                <w:szCs w:val="24"/>
              </w:rPr>
              <w:t>DATE:</w:t>
            </w:r>
          </w:p>
        </w:tc>
        <w:tc>
          <w:tcPr>
            <w:tcW w:w="6866" w:type="dxa"/>
          </w:tcPr>
          <w:p w:rsidR="005271CD" w:rsidRPr="00884B15" w:rsidRDefault="00A540D1">
            <w:pPr>
              <w:pStyle w:val="NormalHeadings"/>
              <w:rPr>
                <w:caps/>
                <w:szCs w:val="24"/>
              </w:rPr>
            </w:pPr>
            <w:r>
              <w:rPr>
                <w:caps/>
                <w:szCs w:val="24"/>
              </w:rPr>
              <w:t>30 August 2013</w:t>
            </w:r>
          </w:p>
        </w:tc>
      </w:tr>
      <w:tr w:rsidR="005271CD">
        <w:tblPrEx>
          <w:tblCellMar>
            <w:top w:w="0" w:type="dxa"/>
            <w:bottom w:w="0" w:type="dxa"/>
          </w:tblCellMar>
        </w:tblPrEx>
        <w:tc>
          <w:tcPr>
            <w:tcW w:w="2376" w:type="dxa"/>
          </w:tcPr>
          <w:p w:rsidR="005271CD" w:rsidRPr="00884B15" w:rsidRDefault="005271CD">
            <w:pPr>
              <w:pStyle w:val="NormalHeadings"/>
              <w:spacing w:after="120"/>
              <w:jc w:val="left"/>
              <w:rPr>
                <w:caps/>
                <w:szCs w:val="24"/>
              </w:rPr>
            </w:pPr>
            <w:r w:rsidRPr="00884B15">
              <w:rPr>
                <w:caps/>
                <w:szCs w:val="24"/>
              </w:rPr>
              <w:t>PLACE:</w:t>
            </w:r>
          </w:p>
        </w:tc>
        <w:tc>
          <w:tcPr>
            <w:tcW w:w="6866" w:type="dxa"/>
          </w:tcPr>
          <w:p w:rsidR="005271CD" w:rsidRPr="00012E32" w:rsidRDefault="00C741C6">
            <w:pPr>
              <w:pStyle w:val="NormalHeadings"/>
              <w:rPr>
                <w:caps/>
                <w:szCs w:val="24"/>
              </w:rPr>
            </w:pPr>
            <w:r w:rsidRPr="00012E32">
              <w:rPr>
                <w:caps/>
                <w:szCs w:val="24"/>
              </w:rPr>
              <w:fldChar w:fldCharType="begin" w:fldLock="1"/>
            </w:r>
            <w:r w:rsidRPr="00012E32">
              <w:rPr>
                <w:caps/>
                <w:szCs w:val="24"/>
              </w:rPr>
              <w:instrText xml:space="preserve"> REF Place </w:instrText>
            </w:r>
            <w:r w:rsidR="00884B15" w:rsidRPr="00012E32">
              <w:rPr>
                <w:caps/>
                <w:szCs w:val="24"/>
              </w:rPr>
              <w:instrText xml:space="preserve"> \* MERGEFORMAT </w:instrText>
            </w:r>
            <w:r w:rsidR="00E1678F" w:rsidRPr="00012E32">
              <w:rPr>
                <w:caps/>
                <w:szCs w:val="24"/>
              </w:rPr>
              <w:fldChar w:fldCharType="separate"/>
            </w:r>
            <w:r w:rsidR="00E92225">
              <w:rPr>
                <w:caps/>
                <w:szCs w:val="24"/>
              </w:rPr>
              <w:t>MELBOURNE</w:t>
            </w:r>
            <w:r w:rsidRPr="00012E32">
              <w:rPr>
                <w:caps/>
                <w:szCs w:val="24"/>
              </w:rPr>
              <w:fldChar w:fldCharType="end"/>
            </w:r>
          </w:p>
        </w:tc>
      </w:tr>
    </w:tbl>
    <w:p w:rsidR="005271CD" w:rsidRDefault="005271CD"/>
    <w:p w:rsidR="005271CD" w:rsidRDefault="005271CD" w:rsidP="00E116B6">
      <w:pPr>
        <w:pStyle w:val="StyleBold"/>
        <w:jc w:val="center"/>
        <w:rPr>
          <w:b/>
        </w:rPr>
      </w:pPr>
      <w:r w:rsidRPr="00687B23">
        <w:rPr>
          <w:b/>
        </w:rPr>
        <w:t>REASONS FOR JUDGMENT</w:t>
      </w:r>
    </w:p>
    <w:p w:rsidR="006873C4" w:rsidRDefault="006C39B4" w:rsidP="006C39B4">
      <w:pPr>
        <w:pStyle w:val="Heading1"/>
      </w:pPr>
      <w:r>
        <w:t>INTRODUCTION</w:t>
      </w:r>
    </w:p>
    <w:p w:rsidR="00FC7183" w:rsidRDefault="00A72128" w:rsidP="00A72128">
      <w:pPr>
        <w:pStyle w:val="ParaNumbering"/>
      </w:pPr>
      <w:r w:rsidRPr="00A72128">
        <w:t>Th</w:t>
      </w:r>
      <w:r w:rsidR="00EB7A26">
        <w:t>e</w:t>
      </w:r>
      <w:r w:rsidRPr="00A72128">
        <w:t xml:space="preserve"> </w:t>
      </w:r>
      <w:r w:rsidR="007A7CBB">
        <w:t xml:space="preserve">principal question for determination in this </w:t>
      </w:r>
      <w:r w:rsidRPr="00A72128">
        <w:t xml:space="preserve">appeal is whether the invention </w:t>
      </w:r>
      <w:r w:rsidR="00102214">
        <w:t xml:space="preserve">that is the subject </w:t>
      </w:r>
      <w:r w:rsidRPr="00A72128">
        <w:t xml:space="preserve">of </w:t>
      </w:r>
      <w:r>
        <w:t xml:space="preserve">Australian </w:t>
      </w:r>
      <w:r w:rsidRPr="00A72128">
        <w:t xml:space="preserve">Innovation Patent No. 2009100601 </w:t>
      </w:r>
      <w:r>
        <w:t xml:space="preserve">(entitled </w:t>
      </w:r>
      <w:r w:rsidR="00B221C9">
        <w:t>“</w:t>
      </w:r>
      <w:r>
        <w:t>Method and System for Automated Collection of Evidence of Skills and Knowledge</w:t>
      </w:r>
      <w:r w:rsidR="00B221C9">
        <w:t>”</w:t>
      </w:r>
      <w:r>
        <w:t>)</w:t>
      </w:r>
      <w:r w:rsidR="00B45CA8">
        <w:t xml:space="preserve"> (</w:t>
      </w:r>
      <w:r w:rsidR="00B221C9">
        <w:t>‘</w:t>
      </w:r>
      <w:r w:rsidR="00B45CA8">
        <w:t>Patent</w:t>
      </w:r>
      <w:r w:rsidR="00B221C9">
        <w:t>’</w:t>
      </w:r>
      <w:r w:rsidR="00B45CA8">
        <w:t>)</w:t>
      </w:r>
      <w:r>
        <w:t xml:space="preserve"> </w:t>
      </w:r>
      <w:r w:rsidRPr="00A72128">
        <w:t>is a manner of manufacture within the meaning of s 18(1</w:t>
      </w:r>
      <w:r>
        <w:t>A</w:t>
      </w:r>
      <w:r w:rsidRPr="00A72128">
        <w:t xml:space="preserve">)(a) of the </w:t>
      </w:r>
      <w:r w:rsidRPr="00A72128">
        <w:rPr>
          <w:i/>
        </w:rPr>
        <w:t>Patents Act 1990</w:t>
      </w:r>
      <w:r w:rsidRPr="00A72128">
        <w:t xml:space="preserve"> (Cth) (</w:t>
      </w:r>
      <w:r w:rsidR="00B221C9">
        <w:t>‘</w:t>
      </w:r>
      <w:r w:rsidRPr="00A72128">
        <w:t>the Act</w:t>
      </w:r>
      <w:r w:rsidR="00B221C9">
        <w:t>’</w:t>
      </w:r>
      <w:r w:rsidRPr="00A72128">
        <w:t xml:space="preserve">). </w:t>
      </w:r>
      <w:r>
        <w:t xml:space="preserve"> </w:t>
      </w:r>
    </w:p>
    <w:p w:rsidR="000C6693" w:rsidRDefault="00EB7A26" w:rsidP="00A72128">
      <w:pPr>
        <w:pStyle w:val="ParaNumbering"/>
      </w:pPr>
      <w:r>
        <w:t>The procedural history</w:t>
      </w:r>
      <w:r w:rsidR="00A540D1">
        <w:t xml:space="preserve"> of this appeal</w:t>
      </w:r>
      <w:r>
        <w:t xml:space="preserve"> has no significance, other than </w:t>
      </w:r>
      <w:r w:rsidR="00546558">
        <w:t xml:space="preserve">insofar as </w:t>
      </w:r>
      <w:r>
        <w:t>this proceeding is an appeal from a decision by</w:t>
      </w:r>
      <w:r w:rsidR="00F37596">
        <w:t xml:space="preserve"> the Commissioner</w:t>
      </w:r>
      <w:r>
        <w:t xml:space="preserve"> </w:t>
      </w:r>
      <w:r w:rsidR="00546558">
        <w:t xml:space="preserve">of Patents (‘Commissioner’) </w:t>
      </w:r>
      <w:r>
        <w:t xml:space="preserve">to the effect that none of the claims of the invention constitute a manner of manufacture (but that they </w:t>
      </w:r>
      <w:r w:rsidR="00F64874">
        <w:t>are</w:t>
      </w:r>
      <w:r>
        <w:t xml:space="preserve"> novel</w:t>
      </w:r>
      <w:r w:rsidR="001F4381">
        <w:t xml:space="preserve"> and inventive</w:t>
      </w:r>
      <w:r>
        <w:t xml:space="preserve">).  This proceeding initially involved another party </w:t>
      </w:r>
      <w:r w:rsidR="00F64874">
        <w:t xml:space="preserve">who was </w:t>
      </w:r>
      <w:r>
        <w:t xml:space="preserve">opposing the grant of the Patent.  That party withdrew from this proceeding shortly after its commencement.  </w:t>
      </w:r>
      <w:r w:rsidR="00F64874">
        <w:t>The Commissioner was then substituted as respondent</w:t>
      </w:r>
      <w:r w:rsidR="00F37596">
        <w:t xml:space="preserve"> to the proceeding</w:t>
      </w:r>
      <w:r w:rsidR="00F64874">
        <w:t>.</w:t>
      </w:r>
    </w:p>
    <w:p w:rsidR="00970092" w:rsidRDefault="00A067F6" w:rsidP="00A72128">
      <w:pPr>
        <w:pStyle w:val="ParaNumbering"/>
      </w:pPr>
      <w:r>
        <w:t>It is convenient to commence</w:t>
      </w:r>
      <w:r w:rsidR="009637BE">
        <w:t xml:space="preserve"> by setting out how the invention works</w:t>
      </w:r>
      <w:r w:rsidR="005A63C3">
        <w:t>, as described in the Patent</w:t>
      </w:r>
      <w:r w:rsidR="009637BE">
        <w:t>.</w:t>
      </w:r>
    </w:p>
    <w:p w:rsidR="00FC7183" w:rsidRDefault="00FC7183" w:rsidP="00FC7183">
      <w:pPr>
        <w:pStyle w:val="Heading1"/>
      </w:pPr>
      <w:r>
        <w:t>THE CLAIMED INVENTION</w:t>
      </w:r>
    </w:p>
    <w:p w:rsidR="00B60C10" w:rsidRDefault="00536966" w:rsidP="00A919FB">
      <w:pPr>
        <w:pStyle w:val="ParaNumbering"/>
      </w:pPr>
      <w:r>
        <w:t xml:space="preserve">Broadly, the claimed invention </w:t>
      </w:r>
      <w:r w:rsidR="0089212F" w:rsidRPr="0089212F">
        <w:t xml:space="preserve">relates to </w:t>
      </w:r>
      <w:r w:rsidR="00A919FB">
        <w:t xml:space="preserve">the assessment of </w:t>
      </w:r>
      <w:r w:rsidR="0089212F">
        <w:t xml:space="preserve">the </w:t>
      </w:r>
      <w:r w:rsidR="0089212F" w:rsidRPr="0089212F">
        <w:t>competency or qualification</w:t>
      </w:r>
      <w:r w:rsidR="0089212F">
        <w:t>s</w:t>
      </w:r>
      <w:r w:rsidR="0089212F" w:rsidRPr="0089212F">
        <w:t xml:space="preserve"> of individuals with respect to recognised standards. </w:t>
      </w:r>
      <w:r w:rsidR="0089212F">
        <w:t xml:space="preserve"> </w:t>
      </w:r>
      <w:r w:rsidR="00B60C10">
        <w:t xml:space="preserve">The Patent specification </w:t>
      </w:r>
      <w:r w:rsidR="00B60C10">
        <w:lastRenderedPageBreak/>
        <w:t xml:space="preserve">sets out the background to the invention.  </w:t>
      </w:r>
      <w:r w:rsidR="00A067F6">
        <w:t xml:space="preserve">For convenience, I </w:t>
      </w:r>
      <w:r w:rsidR="00B60C10">
        <w:t xml:space="preserve">reproduce </w:t>
      </w:r>
      <w:r w:rsidR="00F37596">
        <w:t xml:space="preserve">the key elements of </w:t>
      </w:r>
      <w:r w:rsidR="00B60C10">
        <w:t>that material here.</w:t>
      </w:r>
      <w:r w:rsidR="0099577A">
        <w:t xml:space="preserve">  </w:t>
      </w:r>
    </w:p>
    <w:p w:rsidR="002D7167" w:rsidRDefault="00A337FD" w:rsidP="00A337FD">
      <w:pPr>
        <w:pStyle w:val="Heading2"/>
      </w:pPr>
      <w:r>
        <w:t>Background</w:t>
      </w:r>
    </w:p>
    <w:p w:rsidR="009C4BBF" w:rsidRPr="009C4BBF" w:rsidRDefault="002D7167" w:rsidP="009C4BBF">
      <w:pPr>
        <w:pStyle w:val="ParaNumbering"/>
      </w:pPr>
      <w:r>
        <w:t>By way of specific example, the specification refers to the system for Recognition of Prior Learning (</w:t>
      </w:r>
      <w:r w:rsidR="00B221C9">
        <w:t>‘</w:t>
      </w:r>
      <w:r>
        <w:t>RPL</w:t>
      </w:r>
      <w:r w:rsidR="00B221C9">
        <w:t>’</w:t>
      </w:r>
      <w:r>
        <w:t>) within the Australian Vocational Education and Training (</w:t>
      </w:r>
      <w:r w:rsidR="00B221C9">
        <w:t>‘</w:t>
      </w:r>
      <w:r>
        <w:t>VET</w:t>
      </w:r>
      <w:r w:rsidR="00B221C9">
        <w:t>’</w:t>
      </w:r>
      <w:r>
        <w:t xml:space="preserve">) sector. </w:t>
      </w:r>
      <w:r w:rsidR="009C4BBF">
        <w:t xml:space="preserve"> </w:t>
      </w:r>
      <w:r w:rsidR="006F377C">
        <w:t>However, d</w:t>
      </w:r>
      <w:r w:rsidR="009C4BBF">
        <w:t>espite being particularly well-suited to achieving improvements within this system, the specification states that the invention is not necessarily limited to this application.</w:t>
      </w:r>
    </w:p>
    <w:p w:rsidR="00B60C10" w:rsidRDefault="00B60C10" w:rsidP="00B60C10">
      <w:pPr>
        <w:pStyle w:val="ParaNumbering"/>
      </w:pPr>
      <w:r>
        <w:t xml:space="preserve">Currently in </w:t>
      </w:r>
      <w:smartTag w:uri="urn:schemas-microsoft-com:office:smarttags" w:element="country-region">
        <w:r>
          <w:t>Australia</w:t>
        </w:r>
      </w:smartTag>
      <w:r>
        <w:t>, a prospective student can complete a training course at a Registered Training Organisation (</w:t>
      </w:r>
      <w:r w:rsidR="00B221C9">
        <w:t>‘</w:t>
      </w:r>
      <w:r>
        <w:t>RTO</w:t>
      </w:r>
      <w:r w:rsidR="00B221C9">
        <w:t>’</w:t>
      </w:r>
      <w:r>
        <w:t xml:space="preserve">) or a </w:t>
      </w:r>
      <w:smartTag w:uri="urn:schemas-microsoft-com:office:smarttags" w:element="place">
        <w:smartTag w:uri="urn:schemas-microsoft-com:office:smarttags" w:element="PlaceType">
          <w:r>
            <w:t>College</w:t>
          </w:r>
        </w:smartTag>
        <w:r>
          <w:t xml:space="preserve"> of </w:t>
        </w:r>
        <w:smartTag w:uri="urn:schemas-microsoft-com:office:smarttags" w:element="PlaceName">
          <w:r>
            <w:t>Technical</w:t>
          </w:r>
        </w:smartTag>
      </w:smartTag>
      <w:r>
        <w:t xml:space="preserve"> and Further Education (</w:t>
      </w:r>
      <w:r w:rsidR="00B221C9">
        <w:t>‘</w:t>
      </w:r>
      <w:r>
        <w:t>TAFE</w:t>
      </w:r>
      <w:r w:rsidR="00B221C9">
        <w:t>’</w:t>
      </w:r>
      <w:r w:rsidR="004E4E81">
        <w:t>)</w:t>
      </w:r>
      <w:r>
        <w:t xml:space="preserve"> in order to gain a nationally accredited Unit of Competency certificate, diploma or advanced diploma qualification. </w:t>
      </w:r>
      <w:r w:rsidR="00ED35F4">
        <w:t xml:space="preserve"> </w:t>
      </w:r>
      <w:r>
        <w:t xml:space="preserve">It is also possible, although less common, for an individual to request that an RTO or TAFE assess their current competency relative to the requirements of such a training course, so as to determine whether they are entitled to obtain the qualification without participating in the course. </w:t>
      </w:r>
      <w:r w:rsidR="00536966">
        <w:t xml:space="preserve"> </w:t>
      </w:r>
      <w:r>
        <w:t xml:space="preserve">This </w:t>
      </w:r>
      <w:r w:rsidR="00536966">
        <w:t xml:space="preserve">is </w:t>
      </w:r>
      <w:r w:rsidR="004E4E81">
        <w:t xml:space="preserve">known as </w:t>
      </w:r>
      <w:r w:rsidR="00536966">
        <w:t xml:space="preserve">the </w:t>
      </w:r>
      <w:r w:rsidR="00B221C9">
        <w:t>“</w:t>
      </w:r>
      <w:r w:rsidR="004E4E81">
        <w:t xml:space="preserve">RPL </w:t>
      </w:r>
      <w:r>
        <w:t>process</w:t>
      </w:r>
      <w:r w:rsidR="00B221C9">
        <w:t>”</w:t>
      </w:r>
      <w:r>
        <w:t>.</w:t>
      </w:r>
    </w:p>
    <w:p w:rsidR="00B60C10" w:rsidRDefault="00B60C10" w:rsidP="00B60C10">
      <w:pPr>
        <w:pStyle w:val="ParaNumbering"/>
      </w:pPr>
      <w:r>
        <w:t xml:space="preserve">In order to complete the RPL assessment, a training organisation (eg </w:t>
      </w:r>
      <w:r w:rsidR="004E4E81">
        <w:t xml:space="preserve">an </w:t>
      </w:r>
      <w:r>
        <w:t xml:space="preserve">RTO or TAFE) assesses evidence of </w:t>
      </w:r>
      <w:r w:rsidR="006F377C">
        <w:t xml:space="preserve">an </w:t>
      </w:r>
      <w:r>
        <w:t>individual</w:t>
      </w:r>
      <w:r w:rsidR="00B221C9">
        <w:t>’</w:t>
      </w:r>
      <w:r>
        <w:t>s competency to determine whether they are able to meet the requ</w:t>
      </w:r>
      <w:r w:rsidR="008A0BB7">
        <w:t xml:space="preserve">irements, skills, knowledge </w:t>
      </w:r>
      <w:r>
        <w:t xml:space="preserve">or other expectations of a person who has completed the equivalent training course, or who has gained relevant practical experience in the workforce. </w:t>
      </w:r>
      <w:r w:rsidR="004E4E81">
        <w:t xml:space="preserve"> </w:t>
      </w:r>
      <w:r>
        <w:t xml:space="preserve">If so, the individual may be awarded the equivalent qualification, or Statement of Attainment, by the training organisation. </w:t>
      </w:r>
    </w:p>
    <w:p w:rsidR="00B60C10" w:rsidRDefault="00F37596" w:rsidP="00ED35F4">
      <w:pPr>
        <w:pStyle w:val="ParaNumbering"/>
      </w:pPr>
      <w:r>
        <w:t>However, f</w:t>
      </w:r>
      <w:r w:rsidR="004E4E81">
        <w:t xml:space="preserve">or individuals there are </w:t>
      </w:r>
      <w:r w:rsidR="00B60C10" w:rsidRPr="004E4E81">
        <w:t>a number of barriers to access to the RPL processes within the existing VET system</w:t>
      </w:r>
      <w:r w:rsidR="00B60C10">
        <w:t xml:space="preserve">. </w:t>
      </w:r>
      <w:r w:rsidR="00ED35F4">
        <w:t xml:space="preserve"> </w:t>
      </w:r>
      <w:r w:rsidR="00B60C10">
        <w:t xml:space="preserve">One is that there is no single point of access to RPL in </w:t>
      </w:r>
      <w:smartTag w:uri="urn:schemas-microsoft-com:office:smarttags" w:element="place">
        <w:smartTag w:uri="urn:schemas-microsoft-com:office:smarttags" w:element="country-region">
          <w:r w:rsidR="00B60C10">
            <w:t>Australia</w:t>
          </w:r>
        </w:smartTag>
      </w:smartTag>
      <w:r w:rsidR="00B60C10">
        <w:t xml:space="preserve">. </w:t>
      </w:r>
      <w:r w:rsidR="00ED35F4">
        <w:t xml:space="preserve"> </w:t>
      </w:r>
      <w:r w:rsidR="00B60C10">
        <w:t>This is because a training organisation, such as an RTO or TAFE, is only legally entitled to issue a qualification o</w:t>
      </w:r>
      <w:r w:rsidR="00EA52FB">
        <w:t>r Statement of Attainment if that</w:t>
      </w:r>
      <w:r w:rsidR="00B60C10">
        <w:t xml:space="preserve"> organisation has been approved to deliver and assess the corres</w:t>
      </w:r>
      <w:r w:rsidR="00EA52FB">
        <w:t>ponding training course or unit</w:t>
      </w:r>
      <w:r w:rsidR="00B60C10">
        <w:t xml:space="preserve"> and this </w:t>
      </w:r>
      <w:r w:rsidR="00EA52FB">
        <w:t xml:space="preserve">is specified in the </w:t>
      </w:r>
      <w:r w:rsidR="00B60C10">
        <w:t xml:space="preserve">scope of </w:t>
      </w:r>
      <w:r w:rsidR="00EA52FB">
        <w:t xml:space="preserve">its </w:t>
      </w:r>
      <w:r w:rsidR="00B60C10">
        <w:t xml:space="preserve">registration. </w:t>
      </w:r>
      <w:r w:rsidR="00ED35F4">
        <w:t xml:space="preserve"> </w:t>
      </w:r>
      <w:r w:rsidR="00B60C10">
        <w:t>Since there are currently in excess of 3,500 q</w:t>
      </w:r>
      <w:r w:rsidR="00546558">
        <w:t>ualifications</w:t>
      </w:r>
      <w:r w:rsidR="004E4E81">
        <w:t xml:space="preserve"> and 34,000 units</w:t>
      </w:r>
      <w:r w:rsidR="00B60C10">
        <w:t xml:space="preserve"> in the Australian VET sector, any individual training organisation </w:t>
      </w:r>
      <w:r w:rsidR="004D6D23">
        <w:t xml:space="preserve">may </w:t>
      </w:r>
      <w:r w:rsidR="00B60C10">
        <w:t xml:space="preserve">only </w:t>
      </w:r>
      <w:r w:rsidR="004D6D23">
        <w:t xml:space="preserve">be </w:t>
      </w:r>
      <w:r w:rsidR="00B60C10">
        <w:t>able to offer and assess a very small subset of these</w:t>
      </w:r>
      <w:r w:rsidR="004D6D23">
        <w:t xml:space="preserve"> qualifications or units</w:t>
      </w:r>
      <w:r w:rsidR="00B60C10">
        <w:t xml:space="preserve">. </w:t>
      </w:r>
      <w:r w:rsidR="00ED35F4">
        <w:t xml:space="preserve"> </w:t>
      </w:r>
      <w:r w:rsidR="00B60C10">
        <w:t xml:space="preserve">Consequently, it is </w:t>
      </w:r>
      <w:r w:rsidR="004D6D23">
        <w:t xml:space="preserve">said to be </w:t>
      </w:r>
      <w:r w:rsidR="00B60C10">
        <w:t xml:space="preserve">difficult for an individual to identify a particular </w:t>
      </w:r>
      <w:r w:rsidR="00B60C10">
        <w:lastRenderedPageBreak/>
        <w:t xml:space="preserve">qualification to which they may be entitled under an RPL program, along with an institution or organisation that is able to perform the required RPL assessment. </w:t>
      </w:r>
    </w:p>
    <w:p w:rsidR="004E4E81" w:rsidRPr="00C8771D" w:rsidRDefault="004E4E81" w:rsidP="00ED35F4">
      <w:pPr>
        <w:pStyle w:val="ParaNumbering"/>
      </w:pPr>
      <w:r>
        <w:t xml:space="preserve">Further, the specification notes that the primary business function of RTOs and TAFEs </w:t>
      </w:r>
      <w:r w:rsidR="006F377C">
        <w:t>is the provision of education or</w:t>
      </w:r>
      <w:r>
        <w:t xml:space="preserve"> training – not the evaluation of the existing </w:t>
      </w:r>
      <w:r w:rsidRPr="00C8771D">
        <w:t>competencies of prospective students.  As such, it is said that RPL is viewed by such institutions largely as an occasional and inconvenient occurrence.</w:t>
      </w:r>
      <w:r w:rsidR="008A5EE8" w:rsidRPr="00C8771D">
        <w:t xml:space="preserve">  The onus is on a prospective student to seek out a relevant provider, and to negotiate their own way to recognition of their existing competencies via the RPL processes.</w:t>
      </w:r>
    </w:p>
    <w:p w:rsidR="00B60C10" w:rsidRDefault="002C1CDF" w:rsidP="00B60C10">
      <w:pPr>
        <w:pStyle w:val="ParaNumbering"/>
      </w:pPr>
      <w:r w:rsidRPr="00C8771D">
        <w:t xml:space="preserve">Accordingly, </w:t>
      </w:r>
      <w:r w:rsidR="00C8771D" w:rsidRPr="00C8771D">
        <w:t xml:space="preserve">an </w:t>
      </w:r>
      <w:r w:rsidR="00B60C10" w:rsidRPr="00C8771D">
        <w:t>objective of the invention</w:t>
      </w:r>
      <w:r w:rsidR="00C8771D" w:rsidRPr="00C8771D">
        <w:t xml:space="preserve"> is to provide an improvement to</w:t>
      </w:r>
      <w:r w:rsidR="00B60C10" w:rsidRPr="00C8771D">
        <w:t xml:space="preserve"> the existing situation through technological means.</w:t>
      </w:r>
      <w:r w:rsidR="00FA2366" w:rsidRPr="00C8771D">
        <w:t xml:space="preserve"> </w:t>
      </w:r>
      <w:r w:rsidR="00B60C10" w:rsidRPr="00C8771D">
        <w:t xml:space="preserve"> In particular, the invention recognises the need for an automated tool that can facilitate the centralised collection of assessment information from individuals, and provide improved access to RPL processes independently of the particular organisation (eg </w:t>
      </w:r>
      <w:r w:rsidR="001F4381">
        <w:t xml:space="preserve">the </w:t>
      </w:r>
      <w:r w:rsidR="00B60C10" w:rsidRPr="00C8771D">
        <w:t xml:space="preserve">RTO or TAFE) that is chosen to issue a corresponding qualification or Statement of Attainment. </w:t>
      </w:r>
    </w:p>
    <w:p w:rsidR="00A337FD" w:rsidRPr="00C8771D" w:rsidRDefault="00717B71" w:rsidP="00A337FD">
      <w:pPr>
        <w:pStyle w:val="Heading2"/>
      </w:pPr>
      <w:r>
        <w:t xml:space="preserve">The description of the invention </w:t>
      </w:r>
    </w:p>
    <w:p w:rsidR="0089212F" w:rsidRPr="00057EFA" w:rsidRDefault="00366BFA" w:rsidP="0089212F">
      <w:pPr>
        <w:pStyle w:val="ParaNumbering"/>
      </w:pPr>
      <w:r>
        <w:t>The s</w:t>
      </w:r>
      <w:r w:rsidR="0089212F" w:rsidRPr="00EC3D9A">
        <w:t xml:space="preserve">pecification states that embodiments of the claimed invention are </w:t>
      </w:r>
      <w:r w:rsidR="00EC3D9A" w:rsidRPr="00EC3D9A">
        <w:t xml:space="preserve">advantageously </w:t>
      </w:r>
      <w:r w:rsidR="0089212F" w:rsidRPr="00EC3D9A">
        <w:t xml:space="preserve">able to automate the process of converting assessable criteria, possibly relating to many thousands or tens of thousands of training courses and units, into a more convenient </w:t>
      </w:r>
      <w:r w:rsidR="00B221C9">
        <w:t>“</w:t>
      </w:r>
      <w:r w:rsidR="0089212F" w:rsidRPr="00EC3D9A">
        <w:t>question and</w:t>
      </w:r>
      <w:r w:rsidR="00660976">
        <w:t xml:space="preserve"> answer</w:t>
      </w:r>
      <w:r w:rsidR="00B221C9">
        <w:t>”</w:t>
      </w:r>
      <w:r w:rsidR="00660976">
        <w:t xml:space="preserve"> format</w:t>
      </w:r>
      <w:r w:rsidR="0089212F" w:rsidRPr="00EC3D9A">
        <w:t xml:space="preserve"> that is</w:t>
      </w:r>
      <w:r w:rsidR="00660976">
        <w:t xml:space="preserve"> then</w:t>
      </w:r>
      <w:r w:rsidR="0089212F" w:rsidRPr="00EC3D9A">
        <w:t xml:space="preserve"> able to guide an individual through the information gathering process. </w:t>
      </w:r>
      <w:r w:rsidR="00660976">
        <w:t xml:space="preserve"> </w:t>
      </w:r>
      <w:r w:rsidR="0089212F" w:rsidRPr="00EC3D9A">
        <w:t>The responses of an individual to the automatically-generated questions may be collated and, fo</w:t>
      </w:r>
      <w:r w:rsidR="006F377C">
        <w:t>r example, stored in a database.  From there,</w:t>
      </w:r>
      <w:r w:rsidR="0089212F" w:rsidRPr="00EC3D9A">
        <w:t xml:space="preserve"> they may be provided (with </w:t>
      </w:r>
      <w:r w:rsidR="0089212F" w:rsidRPr="00057EFA">
        <w:t>or without further processing) to a relevant training organisation for the purposes of assessing the individual</w:t>
      </w:r>
      <w:r w:rsidR="00B221C9">
        <w:t>’</w:t>
      </w:r>
      <w:r w:rsidR="0089212F" w:rsidRPr="00057EFA">
        <w:t xml:space="preserve">s competency relative to the recognised qualification standard. </w:t>
      </w:r>
    </w:p>
    <w:p w:rsidR="0089212F" w:rsidRPr="00057EFA" w:rsidRDefault="00EC3D9A" w:rsidP="0089212F">
      <w:pPr>
        <w:pStyle w:val="ParaNumbering"/>
      </w:pPr>
      <w:r w:rsidRPr="00057EFA">
        <w:t>F</w:t>
      </w:r>
      <w:r w:rsidR="0089212F" w:rsidRPr="00057EFA">
        <w:t>or an individual user</w:t>
      </w:r>
      <w:r w:rsidRPr="00057EFA">
        <w:t>, the</w:t>
      </w:r>
      <w:r w:rsidR="0089212F" w:rsidRPr="00057EFA">
        <w:t xml:space="preserve"> embodiment</w:t>
      </w:r>
      <w:r w:rsidRPr="00057EFA">
        <w:t>s</w:t>
      </w:r>
      <w:r w:rsidR="0089212F" w:rsidRPr="00057EFA">
        <w:t xml:space="preserve"> o</w:t>
      </w:r>
      <w:r w:rsidRPr="00057EFA">
        <w:t>f the claimed invention provide</w:t>
      </w:r>
      <w:r w:rsidR="0089212F" w:rsidRPr="00057EFA">
        <w:t xml:space="preserve"> a single entry point from which </w:t>
      </w:r>
      <w:r w:rsidR="00366BFA">
        <w:t>they are able to identify or</w:t>
      </w:r>
      <w:r w:rsidR="0089212F" w:rsidRPr="00057EFA">
        <w:t xml:space="preserve"> select specific relevant qualifications and units, provide information and evidence relevant to existing competencies, and initiate a recognition process, in a manner that is independent of the institution that is ultimately selecte</w:t>
      </w:r>
      <w:r w:rsidRPr="00057EFA">
        <w:t xml:space="preserve">d to perform the assessment </w:t>
      </w:r>
      <w:r w:rsidR="0089212F" w:rsidRPr="00057EFA">
        <w:t xml:space="preserve">or to issue a qualification. </w:t>
      </w:r>
    </w:p>
    <w:p w:rsidR="0089212F" w:rsidRPr="005E1BF5" w:rsidRDefault="005E1BF5" w:rsidP="0089212F">
      <w:pPr>
        <w:pStyle w:val="ParaNumbering"/>
      </w:pPr>
      <w:r w:rsidRPr="005E1BF5">
        <w:lastRenderedPageBreak/>
        <w:t>The specification notes that w</w:t>
      </w:r>
      <w:r w:rsidR="0089212F" w:rsidRPr="005E1BF5">
        <w:t xml:space="preserve">ithin the context of the Australian VET sector, the recognised qualification standard may include one or more </w:t>
      </w:r>
      <w:r w:rsidRPr="005E1BF5">
        <w:t xml:space="preserve">so-called </w:t>
      </w:r>
      <w:r w:rsidR="00B221C9">
        <w:t>‘</w:t>
      </w:r>
      <w:r w:rsidR="0089212F" w:rsidRPr="005E1BF5">
        <w:t>Units of Competency</w:t>
      </w:r>
      <w:r w:rsidR="00B221C9">
        <w:t>’</w:t>
      </w:r>
      <w:r w:rsidR="0089212F" w:rsidRPr="005E1BF5">
        <w:t xml:space="preserve"> registered with the Australian National Training Information </w:t>
      </w:r>
      <w:smartTag w:uri="urn:schemas-microsoft-com:office:smarttags" w:element="PersonName">
        <w:r w:rsidR="0089212F" w:rsidRPr="005E1BF5">
          <w:t>Service</w:t>
        </w:r>
      </w:smartTag>
      <w:r w:rsidR="0089212F" w:rsidRPr="005E1BF5">
        <w:t xml:space="preserve"> (NTIS</w:t>
      </w:r>
      <w:r w:rsidRPr="005E1BF5">
        <w:t>)</w:t>
      </w:r>
      <w:r w:rsidR="0089212F" w:rsidRPr="005E1BF5">
        <w:t xml:space="preserve"> or its equivalent at some </w:t>
      </w:r>
      <w:r w:rsidRPr="005E1BF5">
        <w:t>future</w:t>
      </w:r>
      <w:r w:rsidR="0089212F" w:rsidRPr="005E1BF5">
        <w:t xml:space="preserve"> time, and associated with formal qualifications, such as a Certificate, Diploma or Advanced Diploma.</w:t>
      </w:r>
      <w:r w:rsidRPr="005E1BF5">
        <w:t xml:space="preserve"> </w:t>
      </w:r>
      <w:r w:rsidR="00E83CD2">
        <w:t xml:space="preserve"> In this context, the </w:t>
      </w:r>
      <w:r w:rsidR="00B221C9">
        <w:t>“</w:t>
      </w:r>
      <w:r w:rsidR="0089212F" w:rsidRPr="005E1BF5">
        <w:t>assessable criteria</w:t>
      </w:r>
      <w:r w:rsidR="00B221C9">
        <w:t>”</w:t>
      </w:r>
      <w:r w:rsidR="0089212F" w:rsidRPr="005E1BF5">
        <w:t xml:space="preserve"> may inc</w:t>
      </w:r>
      <w:r w:rsidR="00E83CD2">
        <w:t xml:space="preserve">lude elements of competency </w:t>
      </w:r>
      <w:r w:rsidR="0089212F" w:rsidRPr="005E1BF5">
        <w:t xml:space="preserve">or performance criteria that are associated with the Units of Competency. </w:t>
      </w:r>
    </w:p>
    <w:p w:rsidR="0089212F" w:rsidRDefault="0089212F" w:rsidP="0089212F">
      <w:pPr>
        <w:pStyle w:val="ParaNumbering"/>
      </w:pPr>
      <w:r w:rsidRPr="00366BFA">
        <w:t xml:space="preserve">In </w:t>
      </w:r>
      <w:r w:rsidR="00366BFA" w:rsidRPr="00366BFA">
        <w:t xml:space="preserve">what is described in the specification as </w:t>
      </w:r>
      <w:r w:rsidR="00B221C9">
        <w:t>“</w:t>
      </w:r>
      <w:r w:rsidRPr="00366BFA">
        <w:t>a particularly preferred embodiment</w:t>
      </w:r>
      <w:r w:rsidR="00B221C9">
        <w:t>”</w:t>
      </w:r>
      <w:r w:rsidRPr="00366BFA">
        <w:t>, the steps of presenting the automatically-genera</w:t>
      </w:r>
      <w:r w:rsidR="00A601AC">
        <w:t>ted questions to the individual</w:t>
      </w:r>
      <w:r w:rsidRPr="00366BFA">
        <w:t xml:space="preserve"> and receiving a co</w:t>
      </w:r>
      <w:r w:rsidR="00A601AC">
        <w:t>rresponding series of responses</w:t>
      </w:r>
      <w:r w:rsidRPr="00366BFA">
        <w:t xml:space="preserve"> are performed via an automated computer interface</w:t>
      </w:r>
      <w:r w:rsidR="00A601AC">
        <w:t>, such as a web-based interface</w:t>
      </w:r>
      <w:r w:rsidRPr="00366BFA">
        <w:t xml:space="preserve"> or a standalone computer interface. </w:t>
      </w:r>
      <w:r w:rsidR="00366BFA">
        <w:t xml:space="preserve"> </w:t>
      </w:r>
      <w:r w:rsidRPr="00366BFA">
        <w:t xml:space="preserve">A web-based approach </w:t>
      </w:r>
      <w:r w:rsidR="00366BFA" w:rsidRPr="00366BFA">
        <w:t xml:space="preserve">is said to be particularly advantageous, as it </w:t>
      </w:r>
      <w:r w:rsidRPr="00366BFA">
        <w:t>provides for easy centralised acc</w:t>
      </w:r>
      <w:r w:rsidR="006F377C">
        <w:t>ess to assessment, independent</w:t>
      </w:r>
      <w:r w:rsidRPr="00366BFA">
        <w:t xml:space="preserve"> of the geographical location of either the individual requesting assessment, or the training organisation or institution ultimately selected to perform the assessment. </w:t>
      </w:r>
      <w:r w:rsidR="00366BFA">
        <w:t xml:space="preserve"> Preferably, the computer interface enables the individual user to provide a text-based response or to upload supporting documentation in </w:t>
      </w:r>
      <w:r w:rsidR="0076282A">
        <w:t xml:space="preserve">response </w:t>
      </w:r>
      <w:r w:rsidR="00366BFA">
        <w:t xml:space="preserve">to each automatically-generated question. </w:t>
      </w:r>
    </w:p>
    <w:p w:rsidR="00BF7568" w:rsidRDefault="00BF7568" w:rsidP="0089212F">
      <w:pPr>
        <w:pStyle w:val="ParaNumbering"/>
      </w:pPr>
      <w:r>
        <w:t>Preferred embodiments of the invention are described in the specification by reference to a number of accompanying drawings:</w:t>
      </w:r>
    </w:p>
    <w:p w:rsidR="00BF7568" w:rsidRDefault="00BF7568" w:rsidP="004508E1">
      <w:pPr>
        <w:pStyle w:val="ListNo"/>
        <w:numPr>
          <w:ilvl w:val="0"/>
          <w:numId w:val="39"/>
        </w:numPr>
        <w:tabs>
          <w:tab w:val="clear" w:pos="360"/>
        </w:tabs>
        <w:ind w:left="709" w:hanging="709"/>
      </w:pPr>
      <w:r>
        <w:t xml:space="preserve">Figure 1, which illustrates </w:t>
      </w:r>
      <w:r w:rsidR="00B221C9">
        <w:t>“</w:t>
      </w:r>
      <w:r>
        <w:t>an exemplary system embodying the present invention</w:t>
      </w:r>
      <w:r w:rsidR="00B221C9">
        <w:t>”</w:t>
      </w:r>
      <w:r>
        <w:t>;</w:t>
      </w:r>
    </w:p>
    <w:p w:rsidR="00BF7568" w:rsidRDefault="00BF7568" w:rsidP="004508E1">
      <w:pPr>
        <w:pStyle w:val="ListNo"/>
        <w:numPr>
          <w:ilvl w:val="0"/>
          <w:numId w:val="39"/>
        </w:numPr>
        <w:tabs>
          <w:tab w:val="clear" w:pos="360"/>
        </w:tabs>
        <w:ind w:left="709" w:hanging="709"/>
      </w:pPr>
      <w:r>
        <w:t xml:space="preserve">Figure 2a, which is a flowchart illustrating </w:t>
      </w:r>
      <w:r w:rsidR="00B221C9">
        <w:t>“</w:t>
      </w:r>
      <w:r>
        <w:t>a preferred method of generating questions from assessable criteria according to the invention</w:t>
      </w:r>
      <w:r w:rsidR="00B221C9">
        <w:t>”</w:t>
      </w:r>
      <w:r>
        <w:t>;</w:t>
      </w:r>
    </w:p>
    <w:p w:rsidR="00BF7568" w:rsidRDefault="00BF7568" w:rsidP="004508E1">
      <w:pPr>
        <w:pStyle w:val="ListNo"/>
        <w:numPr>
          <w:ilvl w:val="0"/>
          <w:numId w:val="39"/>
        </w:numPr>
        <w:tabs>
          <w:tab w:val="clear" w:pos="360"/>
        </w:tabs>
        <w:ind w:left="709" w:hanging="709"/>
      </w:pPr>
      <w:r>
        <w:t xml:space="preserve">Figure 2b, which is a flowchart illustrating the gathering of information </w:t>
      </w:r>
      <w:r w:rsidR="00B221C9">
        <w:t>“</w:t>
      </w:r>
      <w:r>
        <w:t>from an individual according to a preferred embodiment of the invention</w:t>
      </w:r>
      <w:r w:rsidR="00B221C9">
        <w:t>”</w:t>
      </w:r>
      <w:r>
        <w:t>;</w:t>
      </w:r>
    </w:p>
    <w:p w:rsidR="00BF7568" w:rsidRDefault="00BF7568" w:rsidP="004508E1">
      <w:pPr>
        <w:pStyle w:val="ListNo"/>
        <w:numPr>
          <w:ilvl w:val="0"/>
          <w:numId w:val="39"/>
        </w:numPr>
        <w:tabs>
          <w:tab w:val="clear" w:pos="360"/>
        </w:tabs>
        <w:ind w:left="709" w:hanging="709"/>
      </w:pPr>
      <w:r>
        <w:t xml:space="preserve">Figure 3, which is a flowchart illustrating </w:t>
      </w:r>
      <w:r w:rsidR="00B221C9">
        <w:t>“</w:t>
      </w:r>
      <w:r>
        <w:t>an alternative</w:t>
      </w:r>
      <w:r w:rsidR="00DD2A00">
        <w:t xml:space="preserve"> method</w:t>
      </w:r>
      <w:r>
        <w:t xml:space="preserve"> for generating questions and gathering information according to an embodiment of the invention</w:t>
      </w:r>
      <w:r w:rsidR="00B221C9">
        <w:t>”</w:t>
      </w:r>
      <w:r>
        <w:t>;</w:t>
      </w:r>
    </w:p>
    <w:p w:rsidR="00BF7568" w:rsidRDefault="00BF7568" w:rsidP="004508E1">
      <w:pPr>
        <w:pStyle w:val="ListNo"/>
        <w:numPr>
          <w:ilvl w:val="0"/>
          <w:numId w:val="39"/>
        </w:numPr>
        <w:tabs>
          <w:tab w:val="clear" w:pos="360"/>
        </w:tabs>
        <w:ind w:left="709" w:hanging="709"/>
      </w:pPr>
      <w:r>
        <w:t xml:space="preserve">Figure 4, which illustrates an </w:t>
      </w:r>
      <w:r w:rsidR="00B221C9">
        <w:t>“</w:t>
      </w:r>
      <w:r>
        <w:t>example of assessable criteria</w:t>
      </w:r>
      <w:r w:rsidR="00B221C9">
        <w:t>”</w:t>
      </w:r>
      <w:r>
        <w:t>;</w:t>
      </w:r>
    </w:p>
    <w:p w:rsidR="00BF7568" w:rsidRDefault="00BF7568" w:rsidP="004508E1">
      <w:pPr>
        <w:pStyle w:val="ListNo"/>
        <w:numPr>
          <w:ilvl w:val="0"/>
          <w:numId w:val="39"/>
        </w:numPr>
        <w:tabs>
          <w:tab w:val="clear" w:pos="360"/>
        </w:tabs>
        <w:ind w:left="709" w:hanging="709"/>
      </w:pPr>
      <w:r>
        <w:t xml:space="preserve">Figure 5, which schematically depicts an </w:t>
      </w:r>
      <w:r w:rsidR="00B221C9">
        <w:t>“</w:t>
      </w:r>
      <w:r>
        <w:t>exemplary user interface for gathering information from a user</w:t>
      </w:r>
      <w:r w:rsidR="00B221C9">
        <w:t>”</w:t>
      </w:r>
      <w:r>
        <w:t>; and</w:t>
      </w:r>
    </w:p>
    <w:p w:rsidR="00BF7568" w:rsidRDefault="00BF7568" w:rsidP="004508E1">
      <w:pPr>
        <w:pStyle w:val="ListNo"/>
        <w:numPr>
          <w:ilvl w:val="0"/>
          <w:numId w:val="39"/>
        </w:numPr>
        <w:tabs>
          <w:tab w:val="clear" w:pos="360"/>
        </w:tabs>
        <w:ind w:left="709" w:hanging="709"/>
      </w:pPr>
      <w:r>
        <w:t xml:space="preserve">Figure 6, which is a flowchart illustrating </w:t>
      </w:r>
      <w:r w:rsidR="00B221C9">
        <w:t>“</w:t>
      </w:r>
      <w:r>
        <w:t>a method of performing an assessment of competency utilising an embodiment of the invention</w:t>
      </w:r>
      <w:r w:rsidR="00B221C9">
        <w:t>”</w:t>
      </w:r>
      <w:r>
        <w:t xml:space="preserve">. </w:t>
      </w:r>
    </w:p>
    <w:p w:rsidR="00A601AC" w:rsidRDefault="00A601AC" w:rsidP="00BF7568">
      <w:pPr>
        <w:pStyle w:val="ParaNumbering"/>
      </w:pPr>
      <w:r>
        <w:lastRenderedPageBreak/>
        <w:t xml:space="preserve">Figure 1 of the Patent illustrates </w:t>
      </w:r>
      <w:r w:rsidR="00B221C9">
        <w:t>“</w:t>
      </w:r>
      <w:r>
        <w:t>an exemplary system 100 within which the present invention may be embodied</w:t>
      </w:r>
      <w:r w:rsidR="00B221C9">
        <w:t>”</w:t>
      </w:r>
      <w:r>
        <w:t>.  It is convenien</w:t>
      </w:r>
      <w:r w:rsidR="0076282A">
        <w:t>t to reproduce that figure here.</w:t>
      </w:r>
    </w:p>
    <w:p w:rsidR="00455A06" w:rsidRDefault="00551384" w:rsidP="00251884">
      <w:pPr>
        <w:jc w:val="center"/>
      </w:pPr>
      <w:r>
        <w:rPr>
          <w:noProof/>
          <w:lang w:eastAsia="en-AU"/>
        </w:rPr>
        <w:drawing>
          <wp:inline distT="0" distB="0" distL="0" distR="0">
            <wp:extent cx="37147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4171950"/>
                    </a:xfrm>
                    <a:prstGeom prst="rect">
                      <a:avLst/>
                    </a:prstGeom>
                    <a:noFill/>
                    <a:ln>
                      <a:noFill/>
                    </a:ln>
                  </pic:spPr>
                </pic:pic>
              </a:graphicData>
            </a:graphic>
          </wp:inline>
        </w:drawing>
      </w:r>
    </w:p>
    <w:p w:rsidR="00A601AC" w:rsidRPr="00F87877" w:rsidRDefault="00D45219" w:rsidP="0089212F">
      <w:pPr>
        <w:pStyle w:val="ParaNumbering"/>
      </w:pPr>
      <w:r>
        <w:t xml:space="preserve">The system </w:t>
      </w:r>
      <w:r w:rsidR="00660976">
        <w:t>(globally</w:t>
      </w:r>
      <w:r w:rsidR="00390DE9">
        <w:t xml:space="preserve"> denoted by the label </w:t>
      </w:r>
      <w:r w:rsidR="00B221C9">
        <w:t>‘</w:t>
      </w:r>
      <w:r>
        <w:t>100</w:t>
      </w:r>
      <w:r w:rsidR="00B221C9">
        <w:t>’</w:t>
      </w:r>
      <w:r w:rsidR="00390DE9">
        <w:t>)</w:t>
      </w:r>
      <w:r>
        <w:t xml:space="preserve"> includes a server computer </w:t>
      </w:r>
      <w:r w:rsidR="00390DE9">
        <w:t>(den</w:t>
      </w:r>
      <w:r w:rsidR="00660976">
        <w:t xml:space="preserve">oted by the box labelled </w:t>
      </w:r>
      <w:r w:rsidR="00B221C9">
        <w:t>‘</w:t>
      </w:r>
      <w:r w:rsidR="00660976">
        <w:t>102</w:t>
      </w:r>
      <w:r w:rsidR="00B221C9">
        <w:t>’</w:t>
      </w:r>
      <w:r w:rsidR="00660976">
        <w:t>)</w:t>
      </w:r>
      <w:r w:rsidR="00E05D32">
        <w:t xml:space="preserve"> </w:t>
      </w:r>
      <w:r>
        <w:t xml:space="preserve">known as the </w:t>
      </w:r>
      <w:r w:rsidR="00B221C9">
        <w:t>“</w:t>
      </w:r>
      <w:r>
        <w:t>assessment server</w:t>
      </w:r>
      <w:r w:rsidR="00B221C9">
        <w:t>”</w:t>
      </w:r>
      <w:r>
        <w:t>, which is configured to gather information relevant to an assessment of an individual</w:t>
      </w:r>
      <w:r w:rsidR="00B221C9">
        <w:t>’</w:t>
      </w:r>
      <w:r>
        <w:t xml:space="preserve">s competency relative to a recognised qualification standard.  </w:t>
      </w:r>
      <w:r w:rsidR="00E05D32">
        <w:t xml:space="preserve">In the preferred embodiment, the assessment server is configured to gather information for use in an RPL process within the Australian VET sector.  </w:t>
      </w:r>
      <w:r w:rsidR="00390DE9" w:rsidRPr="00F87877">
        <w:t xml:space="preserve">The assessment server is connected to the internet (denoted by the shape labelled </w:t>
      </w:r>
      <w:r w:rsidR="00B221C9">
        <w:t>‘</w:t>
      </w:r>
      <w:r w:rsidR="00390DE9" w:rsidRPr="00F87877">
        <w:t>104</w:t>
      </w:r>
      <w:r w:rsidR="00B221C9">
        <w:t>’</w:t>
      </w:r>
      <w:r w:rsidR="00390DE9" w:rsidRPr="00F87877">
        <w:t xml:space="preserve">) </w:t>
      </w:r>
      <w:r w:rsidR="003B424D" w:rsidRPr="00F87877">
        <w:t>in what is described in the specification as a conventional manner, in order to enable remote access by users and to provide the assessment server with access to related online resources.</w:t>
      </w:r>
    </w:p>
    <w:p w:rsidR="0089212F" w:rsidRPr="00F87877" w:rsidRDefault="0089212F" w:rsidP="0089212F">
      <w:pPr>
        <w:pStyle w:val="ParaNumbering"/>
      </w:pPr>
      <w:r w:rsidRPr="00F87877">
        <w:t>The assessment server includes at least one processor</w:t>
      </w:r>
      <w:r w:rsidR="00E7062D" w:rsidRPr="00F87877">
        <w:t xml:space="preserve"> (denoted by the box labelled </w:t>
      </w:r>
      <w:r w:rsidR="00B221C9">
        <w:t>‘</w:t>
      </w:r>
      <w:r w:rsidR="00E7062D" w:rsidRPr="00F87877">
        <w:t>106</w:t>
      </w:r>
      <w:r w:rsidR="00B221C9">
        <w:t>’</w:t>
      </w:r>
      <w:r w:rsidR="00E7062D" w:rsidRPr="00F87877">
        <w:t>)</w:t>
      </w:r>
      <w:r w:rsidRPr="00F87877">
        <w:t>, which is associated with random access memory (</w:t>
      </w:r>
      <w:r w:rsidR="001778A6" w:rsidRPr="00F87877">
        <w:t xml:space="preserve">or </w:t>
      </w:r>
      <w:r w:rsidR="00B221C9">
        <w:t>‘</w:t>
      </w:r>
      <w:r w:rsidR="001778A6" w:rsidRPr="00F87877">
        <w:t>RAM</w:t>
      </w:r>
      <w:r w:rsidR="00B221C9">
        <w:t>’</w:t>
      </w:r>
      <w:r w:rsidR="001778A6" w:rsidRPr="00F87877">
        <w:t xml:space="preserve">, </w:t>
      </w:r>
      <w:r w:rsidR="00F73485" w:rsidRPr="00F87877">
        <w:t xml:space="preserve">denoted by the box labelled </w:t>
      </w:r>
      <w:r w:rsidR="00B221C9">
        <w:t>‘</w:t>
      </w:r>
      <w:r w:rsidR="00F73485" w:rsidRPr="00F87877">
        <w:t>108</w:t>
      </w:r>
      <w:r w:rsidR="00B221C9">
        <w:t>’</w:t>
      </w:r>
      <w:r w:rsidRPr="00F87877">
        <w:t xml:space="preserve">), used for containing program instructions and transient data related to the operation of the services provided by the assessment server. </w:t>
      </w:r>
      <w:r w:rsidR="00F73485" w:rsidRPr="00F87877">
        <w:t xml:space="preserve"> </w:t>
      </w:r>
      <w:r w:rsidR="001778A6" w:rsidRPr="00F87877">
        <w:t xml:space="preserve">The RAM contains a body of program instructions (denoted by the box labelled </w:t>
      </w:r>
      <w:r w:rsidR="00B221C9">
        <w:t>‘</w:t>
      </w:r>
      <w:r w:rsidR="001778A6" w:rsidRPr="00F87877">
        <w:t>112</w:t>
      </w:r>
      <w:r w:rsidR="00B221C9">
        <w:t>’</w:t>
      </w:r>
      <w:r w:rsidR="001778A6" w:rsidRPr="00F87877">
        <w:t xml:space="preserve">) </w:t>
      </w:r>
      <w:r w:rsidRPr="00F87877">
        <w:t>implementing a method of gathering information relevant to the assessment of a user</w:t>
      </w:r>
      <w:r w:rsidR="00B221C9">
        <w:t>’</w:t>
      </w:r>
      <w:r w:rsidRPr="00F87877">
        <w:t xml:space="preserve">s competency relative to a recognised </w:t>
      </w:r>
      <w:r w:rsidRPr="00F87877">
        <w:lastRenderedPageBreak/>
        <w:t xml:space="preserve">qualification standard. </w:t>
      </w:r>
      <w:r w:rsidR="001778A6" w:rsidRPr="00F87877">
        <w:t xml:space="preserve"> </w:t>
      </w:r>
      <w:r w:rsidR="00F87877" w:rsidRPr="00F87877">
        <w:t>Additionally, this body of</w:t>
      </w:r>
      <w:r w:rsidRPr="00F87877">
        <w:t xml:space="preserve"> program instructions also include</w:t>
      </w:r>
      <w:r w:rsidR="00F87877" w:rsidRPr="00F87877">
        <w:t>s</w:t>
      </w:r>
      <w:r w:rsidRPr="00F87877">
        <w:t xml:space="preserve"> instructions for providing a web-based interface to the assessment service, enabling users to remotely access the service from any client computer executing conventional web browser software. </w:t>
      </w:r>
    </w:p>
    <w:p w:rsidR="0089212F" w:rsidRPr="00664468" w:rsidRDefault="00B77EB7" w:rsidP="0089212F">
      <w:pPr>
        <w:pStyle w:val="ParaNumbering"/>
      </w:pPr>
      <w:r w:rsidRPr="00664468">
        <w:t xml:space="preserve">The processor </w:t>
      </w:r>
      <w:r w:rsidR="0089212F" w:rsidRPr="00664468">
        <w:t xml:space="preserve">is also operatively associated with a further storage device </w:t>
      </w:r>
      <w:r w:rsidRPr="00664468">
        <w:t xml:space="preserve">(denoted by the shape labelled </w:t>
      </w:r>
      <w:r w:rsidR="00B221C9">
        <w:t>‘</w:t>
      </w:r>
      <w:r w:rsidRPr="00664468">
        <w:t>110</w:t>
      </w:r>
      <w:r w:rsidR="00B221C9">
        <w:t>’</w:t>
      </w:r>
      <w:r w:rsidRPr="00664468">
        <w:t xml:space="preserve">) such as a hard disk drive, </w:t>
      </w:r>
      <w:r w:rsidR="0089212F" w:rsidRPr="00664468">
        <w:t>which is used for long-term storage of program components and data relating to recognised qualification standards, as well as information gathered from users.</w:t>
      </w:r>
    </w:p>
    <w:p w:rsidR="0089212F" w:rsidRPr="00664468" w:rsidRDefault="0089212F" w:rsidP="004A42EF">
      <w:pPr>
        <w:pStyle w:val="ParaNumbering"/>
      </w:pPr>
      <w:r w:rsidRPr="00664468">
        <w:t xml:space="preserve">The system </w:t>
      </w:r>
      <w:r w:rsidR="004A42EF" w:rsidRPr="00664468">
        <w:t xml:space="preserve">also </w:t>
      </w:r>
      <w:r w:rsidRPr="00664468">
        <w:t>includes a remote server computer</w:t>
      </w:r>
      <w:r w:rsidR="004A42EF" w:rsidRPr="00664468">
        <w:t xml:space="preserve"> (denoted by the box labelled </w:t>
      </w:r>
      <w:r w:rsidR="00B221C9">
        <w:t>‘</w:t>
      </w:r>
      <w:r w:rsidR="004A42EF" w:rsidRPr="00664468">
        <w:t>114</w:t>
      </w:r>
      <w:r w:rsidR="00B221C9">
        <w:t>’</w:t>
      </w:r>
      <w:r w:rsidR="004A42EF" w:rsidRPr="00664468">
        <w:t>)</w:t>
      </w:r>
      <w:r w:rsidRPr="00664468">
        <w:t xml:space="preserve"> which is accessible via the internet, and which contains information relating to recognised qualification standards. </w:t>
      </w:r>
      <w:r w:rsidR="004A42EF" w:rsidRPr="00664468">
        <w:t xml:space="preserve"> </w:t>
      </w:r>
      <w:r w:rsidRPr="00664468">
        <w:t>In the preferred embodiment</w:t>
      </w:r>
      <w:r w:rsidR="004A42EF" w:rsidRPr="00664468">
        <w:t>,</w:t>
      </w:r>
      <w:r w:rsidRPr="00664468">
        <w:t xml:space="preserve"> the server is a web server operated by or on behalf of the </w:t>
      </w:r>
      <w:r w:rsidR="00664468" w:rsidRPr="00664468">
        <w:t>NTIS</w:t>
      </w:r>
      <w:r w:rsidR="00130B0C">
        <w:t xml:space="preserve"> (</w:t>
      </w:r>
      <w:r w:rsidR="00B221C9">
        <w:t>‘</w:t>
      </w:r>
      <w:r w:rsidR="00130B0C">
        <w:t>NTIS server</w:t>
      </w:r>
      <w:r w:rsidR="00B221C9">
        <w:t>’</w:t>
      </w:r>
      <w:r w:rsidR="00130B0C">
        <w:t>)</w:t>
      </w:r>
      <w:r w:rsidRPr="00664468">
        <w:t xml:space="preserve">, which provides information pertaining to recognised qualification standards in the form of </w:t>
      </w:r>
      <w:r w:rsidR="00660976">
        <w:t xml:space="preserve">the aforementioned </w:t>
      </w:r>
      <w:r w:rsidRPr="00664468">
        <w:t>Units of Competency that are registered with the NTIS.</w:t>
      </w:r>
      <w:r w:rsidR="004A42EF" w:rsidRPr="00664468">
        <w:t xml:space="preserve">  Each Unit of C</w:t>
      </w:r>
      <w:r w:rsidRPr="00664468">
        <w:t xml:space="preserve">ompetency is associated with a number of assessable criteria, in the form of elements of competency and related performance criteria. </w:t>
      </w:r>
      <w:r w:rsidR="004A42EF" w:rsidRPr="00664468">
        <w:t xml:space="preserve"> </w:t>
      </w:r>
      <w:r w:rsidRPr="00664468">
        <w:t>The assessment server is therefore able to retrieve information regarding the elements of competency an</w:t>
      </w:r>
      <w:r w:rsidR="004A42EF" w:rsidRPr="00664468">
        <w:t>d performance criteria via the i</w:t>
      </w:r>
      <w:r w:rsidRPr="00664468">
        <w:t xml:space="preserve">nternet from </w:t>
      </w:r>
      <w:r w:rsidR="005712D3">
        <w:t xml:space="preserve">the </w:t>
      </w:r>
      <w:r w:rsidRPr="00664468">
        <w:t>NTIS server.</w:t>
      </w:r>
    </w:p>
    <w:p w:rsidR="0089212F" w:rsidRPr="009E54A4" w:rsidRDefault="0089212F" w:rsidP="0089212F">
      <w:pPr>
        <w:pStyle w:val="ParaNumbering"/>
      </w:pPr>
      <w:r w:rsidRPr="009E54A4">
        <w:t xml:space="preserve">Nationally accredited Units of Competency registered with the NTIS generally comprise a number of elements of competency, each of which are associated </w:t>
      </w:r>
      <w:r w:rsidR="0076282A">
        <w:t xml:space="preserve">with </w:t>
      </w:r>
      <w:r w:rsidRPr="009E54A4">
        <w:t xml:space="preserve">a number of performance criteria. </w:t>
      </w:r>
      <w:r w:rsidR="00364353" w:rsidRPr="009E54A4">
        <w:t xml:space="preserve"> </w:t>
      </w:r>
      <w:r w:rsidRPr="009E54A4">
        <w:t xml:space="preserve">For example, an element of competency for a particular unit relating to aged care may be to </w:t>
      </w:r>
      <w:r w:rsidR="00B221C9">
        <w:t>“</w:t>
      </w:r>
      <w:r w:rsidRPr="009E54A4">
        <w:t>demonstrate an understanding of the structure and profile of the aged care sector</w:t>
      </w:r>
      <w:r w:rsidR="00B221C9">
        <w:t>”</w:t>
      </w:r>
      <w:r w:rsidRPr="009E54A4">
        <w:t xml:space="preserve">. </w:t>
      </w:r>
      <w:r w:rsidR="009E54A4" w:rsidRPr="009E54A4">
        <w:t xml:space="preserve"> </w:t>
      </w:r>
      <w:r w:rsidRPr="009E54A4">
        <w:t xml:space="preserve">A specific performance criterion associated with this element may be that </w:t>
      </w:r>
      <w:r w:rsidR="00B221C9">
        <w:t>“</w:t>
      </w:r>
      <w:r w:rsidRPr="009E54A4">
        <w:t>all work reflects an understanding of the key issues facing older people and their carers</w:t>
      </w:r>
      <w:r w:rsidR="00B221C9">
        <w:t>”</w:t>
      </w:r>
      <w:r w:rsidRPr="009E54A4">
        <w:t>.</w:t>
      </w:r>
      <w:r w:rsidR="009E54A4" w:rsidRPr="009E54A4">
        <w:t xml:space="preserve"> </w:t>
      </w:r>
      <w:r w:rsidRPr="009E54A4">
        <w:t xml:space="preserve"> </w:t>
      </w:r>
      <w:r w:rsidR="0076282A">
        <w:t>The specification sta</w:t>
      </w:r>
      <w:r w:rsidR="005712D3">
        <w:t>tes that</w:t>
      </w:r>
      <w:r w:rsidR="002D5F6D">
        <w:t>,</w:t>
      </w:r>
      <w:r w:rsidR="005712D3">
        <w:t xml:space="preserve"> </w:t>
      </w:r>
      <w:r w:rsidRPr="009E54A4">
        <w:t xml:space="preserve">as is appropriate for criteria associated with accredited training programs, the elements of competency and performance criteria are generally outcome-orientated. </w:t>
      </w:r>
      <w:r w:rsidR="009E54A4" w:rsidRPr="009E54A4">
        <w:t xml:space="preserve"> </w:t>
      </w:r>
      <w:r w:rsidRPr="009E54A4">
        <w:t>As such, they are n</w:t>
      </w:r>
      <w:r w:rsidR="0076282A">
        <w:t xml:space="preserve">ot particularly </w:t>
      </w:r>
      <w:r w:rsidR="00B221C9">
        <w:t>“</w:t>
      </w:r>
      <w:r w:rsidR="0076282A">
        <w:t>user friendly</w:t>
      </w:r>
      <w:r w:rsidR="00B221C9">
        <w:t>”</w:t>
      </w:r>
      <w:r w:rsidRPr="009E54A4">
        <w:t xml:space="preserve"> from the perspective of a</w:t>
      </w:r>
      <w:r w:rsidR="0076282A">
        <w:t>n</w:t>
      </w:r>
      <w:r w:rsidRPr="009E54A4">
        <w:t xml:space="preserve"> individual attempting to navigate their own way toward formal recognition of their existing competencies. </w:t>
      </w:r>
    </w:p>
    <w:p w:rsidR="0089212F" w:rsidRPr="00F25EFB" w:rsidRDefault="008C2208" w:rsidP="0089212F">
      <w:pPr>
        <w:pStyle w:val="ParaNumbering"/>
      </w:pPr>
      <w:r>
        <w:t>The s</w:t>
      </w:r>
      <w:r w:rsidR="00F25EFB" w:rsidRPr="00F25EFB">
        <w:t xml:space="preserve">pecification states that in accordance with embodiments of the invention, it is </w:t>
      </w:r>
      <w:r w:rsidR="0076282A">
        <w:t xml:space="preserve">therefore </w:t>
      </w:r>
      <w:r w:rsidR="00F25EFB" w:rsidRPr="00F25EFB">
        <w:t xml:space="preserve">desirable to convert the elements of competency and associated performance </w:t>
      </w:r>
      <w:r w:rsidR="00F25EFB" w:rsidRPr="00F25EFB">
        <w:lastRenderedPageBreak/>
        <w:t>criteria</w:t>
      </w:r>
      <w:r w:rsidR="0076282A">
        <w:t xml:space="preserve"> into a more user-friendly form</w:t>
      </w:r>
      <w:r w:rsidR="002D5F6D">
        <w:t xml:space="preserve">.  The invention does this by leading </w:t>
      </w:r>
      <w:r w:rsidR="0089212F" w:rsidRPr="00F25EFB">
        <w:t>an individual user through a series of questions designed to gather information relevant to the assessment of their competency relative to a recognised q</w:t>
      </w:r>
      <w:r w:rsidR="0076282A">
        <w:t>ualification standard, i</w:t>
      </w:r>
      <w:r w:rsidR="0089212F" w:rsidRPr="00F25EFB">
        <w:t xml:space="preserve">e </w:t>
      </w:r>
      <w:r w:rsidR="002D5F6D">
        <w:t xml:space="preserve">one or more </w:t>
      </w:r>
      <w:r w:rsidR="0089212F" w:rsidRPr="00F25EFB">
        <w:t>Unit</w:t>
      </w:r>
      <w:r w:rsidR="002D5F6D">
        <w:t>s</w:t>
      </w:r>
      <w:r w:rsidR="0089212F" w:rsidRPr="00F25EFB">
        <w:t xml:space="preserve"> of Competency. </w:t>
      </w:r>
      <w:r w:rsidR="00BD12C4">
        <w:t xml:space="preserve"> </w:t>
      </w:r>
      <w:r w:rsidR="0076282A">
        <w:t>W</w:t>
      </w:r>
      <w:r w:rsidR="0076282A" w:rsidRPr="00F25EFB">
        <w:t>hen provided via a computer interface</w:t>
      </w:r>
      <w:r w:rsidR="0076282A">
        <w:t>,</w:t>
      </w:r>
      <w:r w:rsidR="0076282A" w:rsidRPr="00F25EFB">
        <w:t xml:space="preserve"> </w:t>
      </w:r>
      <w:r w:rsidR="0076282A">
        <w:t>s</w:t>
      </w:r>
      <w:r w:rsidR="0089212F" w:rsidRPr="00F25EFB">
        <w:t>uch a step-by-s</w:t>
      </w:r>
      <w:r w:rsidR="0076282A">
        <w:t>tep, form-based implementation</w:t>
      </w:r>
      <w:r w:rsidR="0089212F" w:rsidRPr="00F25EFB">
        <w:t xml:space="preserve"> is commonly known as a </w:t>
      </w:r>
      <w:r w:rsidR="00B221C9">
        <w:t>“</w:t>
      </w:r>
      <w:r w:rsidR="0089212F" w:rsidRPr="00F25EFB">
        <w:t>wizard</w:t>
      </w:r>
      <w:r w:rsidR="00B221C9">
        <w:t>”</w:t>
      </w:r>
      <w:r w:rsidR="0089212F" w:rsidRPr="00F25EFB">
        <w:t xml:space="preserve">. </w:t>
      </w:r>
      <w:r w:rsidR="00BD12C4">
        <w:t xml:space="preserve"> </w:t>
      </w:r>
      <w:r w:rsidR="0089212F" w:rsidRPr="00F25EFB">
        <w:t xml:space="preserve">It is further considered desirable, in accordance with embodiments of the present invention, to automate the process of wizard generation to the greatest extent possible, in view of the </w:t>
      </w:r>
      <w:r>
        <w:t xml:space="preserve">large number of </w:t>
      </w:r>
      <w:r w:rsidR="0089212F" w:rsidRPr="00F25EFB">
        <w:t>qualification</w:t>
      </w:r>
      <w:r>
        <w:t>s</w:t>
      </w:r>
      <w:r w:rsidR="0089212F" w:rsidRPr="00F25EFB">
        <w:t xml:space="preserve"> and units currently registered in the Australian VET sector. </w:t>
      </w:r>
      <w:r w:rsidR="00BD12C4">
        <w:t xml:space="preserve"> </w:t>
      </w:r>
      <w:r w:rsidR="0089212F" w:rsidRPr="00F25EFB">
        <w:t xml:space="preserve">The manual generation of corresponding wizards is therefore </w:t>
      </w:r>
      <w:r w:rsidR="005712D3">
        <w:t xml:space="preserve">said to be </w:t>
      </w:r>
      <w:r w:rsidR="0089212F" w:rsidRPr="00F25EFB">
        <w:t xml:space="preserve">impractical. </w:t>
      </w:r>
    </w:p>
    <w:p w:rsidR="0089212F" w:rsidRPr="00C14403" w:rsidRDefault="0089212F" w:rsidP="0089212F">
      <w:pPr>
        <w:pStyle w:val="ParaNumbering"/>
      </w:pPr>
      <w:r w:rsidRPr="00BB364F">
        <w:t xml:space="preserve">A function of the assessment server is therefore to convert the elements of competency and </w:t>
      </w:r>
      <w:r w:rsidRPr="00C14403">
        <w:t xml:space="preserve">performance criteria into a suitable </w:t>
      </w:r>
      <w:r w:rsidR="00B221C9">
        <w:t>“</w:t>
      </w:r>
      <w:r w:rsidRPr="00C14403">
        <w:t>question and answer</w:t>
      </w:r>
      <w:r w:rsidR="00B221C9">
        <w:t>”</w:t>
      </w:r>
      <w:r w:rsidRPr="00C14403">
        <w:t xml:space="preserve"> form. </w:t>
      </w:r>
    </w:p>
    <w:p w:rsidR="0089212F" w:rsidRDefault="001D05B1" w:rsidP="00C908A5">
      <w:pPr>
        <w:pStyle w:val="ParaNumbering"/>
      </w:pPr>
      <w:r w:rsidRPr="00C14403">
        <w:t>T</w:t>
      </w:r>
      <w:r w:rsidR="00C14403">
        <w:t>o this end, t</w:t>
      </w:r>
      <w:r w:rsidRPr="00C14403">
        <w:t>he s</w:t>
      </w:r>
      <w:r w:rsidR="0089212F" w:rsidRPr="00C14403">
        <w:t xml:space="preserve">pecification </w:t>
      </w:r>
      <w:r w:rsidRPr="00C14403">
        <w:t xml:space="preserve">sets out </w:t>
      </w:r>
      <w:r w:rsidR="0089212F" w:rsidRPr="00C14403">
        <w:t xml:space="preserve">how the outcome-oriented elements of competency and performance criteria may be converted into corresponding questions for inclusion in the wizard. </w:t>
      </w:r>
      <w:r w:rsidR="004D7138" w:rsidRPr="00C14403">
        <w:t xml:space="preserve"> </w:t>
      </w:r>
      <w:r w:rsidRPr="00C14403">
        <w:t xml:space="preserve">In </w:t>
      </w:r>
      <w:r w:rsidR="0089212F" w:rsidRPr="00C14403">
        <w:t>a preferred embodiment</w:t>
      </w:r>
      <w:r w:rsidRPr="00C14403">
        <w:t>,</w:t>
      </w:r>
      <w:r w:rsidR="0089212F" w:rsidRPr="00C14403">
        <w:t xml:space="preserve"> the statement corresponding with the element of competency </w:t>
      </w:r>
      <w:r w:rsidR="00C14403">
        <w:t xml:space="preserve">relating to aged care (previously </w:t>
      </w:r>
      <w:r w:rsidR="0089212F" w:rsidRPr="00C14403">
        <w:t>noted</w:t>
      </w:r>
      <w:r w:rsidR="00C14403">
        <w:t>)</w:t>
      </w:r>
      <w:r w:rsidR="0089212F" w:rsidRPr="00C14403">
        <w:t xml:space="preserve"> may be converted into the question: </w:t>
      </w:r>
      <w:r w:rsidR="00B221C9">
        <w:t>“</w:t>
      </w:r>
      <w:r w:rsidR="0089212F" w:rsidRPr="00C14403">
        <w:t>Generally speaking and based upon your prior experience and education, how do you feel you can demonstrate an understanding of the structure and profile of the aged care sector?</w:t>
      </w:r>
      <w:r w:rsidR="00B221C9">
        <w:t>”</w:t>
      </w:r>
      <w:r w:rsidR="002D5F6D">
        <w:t>.</w:t>
      </w:r>
      <w:r w:rsidR="0089212F" w:rsidRPr="00C14403">
        <w:t xml:space="preserve"> Similarly, the statement associated with </w:t>
      </w:r>
      <w:r w:rsidR="00C14403">
        <w:t xml:space="preserve">the corresponding </w:t>
      </w:r>
      <w:r w:rsidR="0089212F" w:rsidRPr="00C14403">
        <w:t xml:space="preserve">performance criterion may be converted into the question: </w:t>
      </w:r>
      <w:r w:rsidR="00B221C9">
        <w:t>“</w:t>
      </w:r>
      <w:r w:rsidR="0089212F" w:rsidRPr="00C14403">
        <w:t>How can you show evidence that all work reflects an understanding of the key issues facing older people and their carers?</w:t>
      </w:r>
      <w:r w:rsidR="00B221C9">
        <w:t>”</w:t>
      </w:r>
      <w:r w:rsidR="002D5F6D">
        <w:t>.</w:t>
      </w:r>
      <w:r w:rsidR="0089212F" w:rsidRPr="00C14403">
        <w:t xml:space="preserve"> </w:t>
      </w:r>
      <w:r w:rsidR="00C908A5">
        <w:t xml:space="preserve"> </w:t>
      </w:r>
      <w:r w:rsidR="0089212F" w:rsidRPr="00C908A5">
        <w:t>User responses to these questions may inc</w:t>
      </w:r>
      <w:r w:rsidR="00F7517A">
        <w:t xml:space="preserve">lude </w:t>
      </w:r>
      <w:r w:rsidR="00C908A5">
        <w:t>text-based responses and</w:t>
      </w:r>
      <w:r w:rsidR="0089212F" w:rsidRPr="00C908A5">
        <w:t xml:space="preserve"> supporting documentation</w:t>
      </w:r>
      <w:r w:rsidR="002D5F6D">
        <w:t>,</w:t>
      </w:r>
      <w:r w:rsidR="0089212F" w:rsidRPr="00C908A5">
        <w:t xml:space="preserve"> which may be, for example, uploaded to the assessment server.</w:t>
      </w:r>
      <w:r w:rsidR="00C908A5">
        <w:t xml:space="preserve"> </w:t>
      </w:r>
      <w:r w:rsidR="0089212F" w:rsidRPr="00C908A5">
        <w:t xml:space="preserve"> Supporting documentation may consist of electronic text documents (including scanned paper docum</w:t>
      </w:r>
      <w:r w:rsidR="00C908A5">
        <w:t xml:space="preserve">ents), images, </w:t>
      </w:r>
      <w:r w:rsidR="002D5F6D">
        <w:t xml:space="preserve">or </w:t>
      </w:r>
      <w:r w:rsidR="00C908A5">
        <w:t xml:space="preserve">audio-visual </w:t>
      </w:r>
      <w:r w:rsidR="0089212F" w:rsidRPr="00C908A5">
        <w:t>or other multimedia documents.</w:t>
      </w:r>
    </w:p>
    <w:p w:rsidR="000776E1" w:rsidRDefault="006F3319" w:rsidP="00C908A5">
      <w:pPr>
        <w:pStyle w:val="ParaNumbering"/>
      </w:pPr>
      <w:r>
        <w:t xml:space="preserve">The next figure described in the specification is Figure 2a, which </w:t>
      </w:r>
      <w:r w:rsidR="006F13F4">
        <w:t xml:space="preserve">comprises </w:t>
      </w:r>
      <w:r>
        <w:t>a flowchart illustrating a method of generating questions from assessable criteria (ie elements of competency and performance criteria) according to the preferred embodiment.</w:t>
      </w:r>
    </w:p>
    <w:p w:rsidR="00251884" w:rsidRDefault="00551384" w:rsidP="00251884">
      <w:pPr>
        <w:jc w:val="center"/>
      </w:pPr>
      <w:r>
        <w:rPr>
          <w:noProof/>
          <w:lang w:eastAsia="en-AU"/>
        </w:rPr>
        <w:lastRenderedPageBreak/>
        <w:drawing>
          <wp:inline distT="0" distB="0" distL="0" distR="0">
            <wp:extent cx="1981200" cy="406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4067175"/>
                    </a:xfrm>
                    <a:prstGeom prst="rect">
                      <a:avLst/>
                    </a:prstGeom>
                    <a:noFill/>
                    <a:ln>
                      <a:noFill/>
                    </a:ln>
                  </pic:spPr>
                </pic:pic>
              </a:graphicData>
            </a:graphic>
          </wp:inline>
        </w:drawing>
      </w:r>
    </w:p>
    <w:p w:rsidR="006F3319" w:rsidRDefault="00D11805" w:rsidP="00C908A5">
      <w:pPr>
        <w:pStyle w:val="ParaNumbering"/>
      </w:pPr>
      <w:r>
        <w:t xml:space="preserve">At the step </w:t>
      </w:r>
      <w:r w:rsidR="009031EF">
        <w:t>designated</w:t>
      </w:r>
      <w:r>
        <w:t xml:space="preserve"> </w:t>
      </w:r>
      <w:r w:rsidR="00B221C9">
        <w:t>‘</w:t>
      </w:r>
      <w:r>
        <w:t>202</w:t>
      </w:r>
      <w:r w:rsidR="00B221C9">
        <w:t>’</w:t>
      </w:r>
      <w:r>
        <w:t xml:space="preserve">, the </w:t>
      </w:r>
      <w:r w:rsidR="00B55347">
        <w:t xml:space="preserve">assessment server already referred to in the context of the discussion of Figure 1 </w:t>
      </w:r>
      <w:r w:rsidR="00130B0C">
        <w:t xml:space="preserve">retrieves assessable criteria from the NTIS server. </w:t>
      </w:r>
      <w:r w:rsidR="009031EF">
        <w:t xml:space="preserve"> At the step designated </w:t>
      </w:r>
      <w:r w:rsidR="00B221C9">
        <w:t>‘</w:t>
      </w:r>
      <w:r w:rsidR="009031EF">
        <w:t>204</w:t>
      </w:r>
      <w:r w:rsidR="00B221C9">
        <w:t>’</w:t>
      </w:r>
      <w:r w:rsidR="009031EF">
        <w:t xml:space="preserve">, each of the assessable criteria is processed in order to generate a corresponding set of user-friendly questions (that may be incorporated into a wizard format).  At the step designated </w:t>
      </w:r>
      <w:r w:rsidR="00B221C9">
        <w:t>‘</w:t>
      </w:r>
      <w:r w:rsidR="009031EF">
        <w:t>206</w:t>
      </w:r>
      <w:r w:rsidR="00B221C9">
        <w:t>’</w:t>
      </w:r>
      <w:r w:rsidR="009031EF">
        <w:t>,</w:t>
      </w:r>
      <w:r w:rsidR="00935CAD">
        <w:t xml:space="preserve"> the resulting questions are stored (for example, on the storage device previously mentioned in the context of Figure 1).  </w:t>
      </w:r>
    </w:p>
    <w:p w:rsidR="003F32D2" w:rsidRDefault="001E1E8F" w:rsidP="00C908A5">
      <w:pPr>
        <w:pStyle w:val="ParaNumbering"/>
      </w:pPr>
      <w:r>
        <w:t>In the particular embodiment represented by this figure, it is envisaged that the complete set of assessable criteria associated with a parti</w:t>
      </w:r>
      <w:r w:rsidR="008054CF">
        <w:t>cular qualification standard (i</w:t>
      </w:r>
      <w:r w:rsidR="00A11201">
        <w:t>e Unit of Competency) is</w:t>
      </w:r>
      <w:r>
        <w:t xml:space="preserve"> retrieved and processed in order to generate the corresponding questions in advance of an individual user seeking corresponding assessment. </w:t>
      </w:r>
      <w:r w:rsidR="00D703E8">
        <w:t xml:space="preserve"> </w:t>
      </w:r>
    </w:p>
    <w:p w:rsidR="003F32D2" w:rsidRDefault="00D703E8" w:rsidP="00C908A5">
      <w:pPr>
        <w:pStyle w:val="ParaNumbering"/>
      </w:pPr>
      <w:r>
        <w:t>However, the specification makes clear that alternati</w:t>
      </w:r>
      <w:r w:rsidR="0061381C">
        <w:t xml:space="preserve">ve implementations are possible, including but not limited to </w:t>
      </w:r>
      <w:r>
        <w:t>the alternative set out in Figure 3, in which questions are generated from the assessable criteria upon demand</w:t>
      </w:r>
      <w:r w:rsidR="0024476D">
        <w:t xml:space="preserve"> (described further below)</w:t>
      </w:r>
      <w:r w:rsidR="003F32D2">
        <w:t>.</w:t>
      </w:r>
    </w:p>
    <w:p w:rsidR="00C908A5" w:rsidRDefault="00852D90" w:rsidP="00717B71">
      <w:pPr>
        <w:pStyle w:val="ParaNumbering"/>
      </w:pPr>
      <w:r>
        <w:lastRenderedPageBreak/>
        <w:t xml:space="preserve">Figure 2b follows on from Figure 2a, and comprises a flowchart illustrating the subsequent gathering of information from an individual using the questions stored at step 206 illustrated in Figure 2a.  </w:t>
      </w:r>
    </w:p>
    <w:p w:rsidR="00251884" w:rsidRDefault="00551384" w:rsidP="00251884">
      <w:pPr>
        <w:jc w:val="center"/>
      </w:pPr>
      <w:r>
        <w:rPr>
          <w:noProof/>
          <w:lang w:eastAsia="en-AU"/>
        </w:rPr>
        <w:drawing>
          <wp:inline distT="0" distB="0" distL="0" distR="0">
            <wp:extent cx="1895475" cy="4552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5475" cy="4552950"/>
                    </a:xfrm>
                    <a:prstGeom prst="rect">
                      <a:avLst/>
                    </a:prstGeom>
                    <a:noFill/>
                    <a:ln>
                      <a:noFill/>
                    </a:ln>
                  </pic:spPr>
                </pic:pic>
              </a:graphicData>
            </a:graphic>
          </wp:inline>
        </w:drawing>
      </w:r>
    </w:p>
    <w:p w:rsidR="001848AB" w:rsidRDefault="001848AB" w:rsidP="00C908A5">
      <w:pPr>
        <w:pStyle w:val="ParaNumbering"/>
      </w:pPr>
      <w:r>
        <w:t xml:space="preserve">At the step designated </w:t>
      </w:r>
      <w:r w:rsidR="00B221C9">
        <w:t>‘</w:t>
      </w:r>
      <w:r>
        <w:t>210</w:t>
      </w:r>
      <w:r w:rsidR="00B221C9">
        <w:t>’</w:t>
      </w:r>
      <w:r>
        <w:t xml:space="preserve">, a user accesses the assessment server via the internet </w:t>
      </w:r>
      <w:r w:rsidR="00A11201">
        <w:t>using their</w:t>
      </w:r>
      <w:r>
        <w:t xml:space="preserve"> computer.  Having identified a particular Unit of Competency in relation to which assessment is desired, at the step in this figure designated </w:t>
      </w:r>
      <w:r w:rsidR="00B221C9">
        <w:t>‘</w:t>
      </w:r>
      <w:r>
        <w:t>212</w:t>
      </w:r>
      <w:r w:rsidR="00B221C9">
        <w:t>’</w:t>
      </w:r>
      <w:r w:rsidR="001F4381">
        <w:t>, the user is presented with the</w:t>
      </w:r>
      <w:r>
        <w:t xml:space="preserve"> first question, to which a response is provided at the step designated </w:t>
      </w:r>
      <w:r w:rsidR="00B221C9">
        <w:t>‘</w:t>
      </w:r>
      <w:r>
        <w:t>214</w:t>
      </w:r>
      <w:r w:rsidR="00B221C9">
        <w:t>’</w:t>
      </w:r>
      <w:r>
        <w:t xml:space="preserve">.  </w:t>
      </w:r>
      <w:r w:rsidR="00BF3F90">
        <w:t xml:space="preserve">In accordance with the </w:t>
      </w:r>
      <w:r w:rsidR="00B221C9">
        <w:t>“</w:t>
      </w:r>
      <w:r w:rsidR="00BF3F90">
        <w:t>decision step</w:t>
      </w:r>
      <w:r w:rsidR="00B221C9">
        <w:t>”</w:t>
      </w:r>
      <w:r w:rsidR="00BF3F90">
        <w:t xml:space="preserve"> designated </w:t>
      </w:r>
      <w:r w:rsidR="00B221C9">
        <w:t>‘</w:t>
      </w:r>
      <w:r w:rsidR="00BF3F90">
        <w:t>216</w:t>
      </w:r>
      <w:r w:rsidR="00B221C9">
        <w:t>’</w:t>
      </w:r>
      <w:r w:rsidR="00BF3F90">
        <w:t xml:space="preserve">, while there are further questions associated with the Unit of Competency, steps 212 and 214 are repeated.  </w:t>
      </w:r>
      <w:r w:rsidR="00B15022">
        <w:t xml:space="preserve">At the step designated </w:t>
      </w:r>
      <w:r w:rsidR="00B221C9">
        <w:t>‘</w:t>
      </w:r>
      <w:r w:rsidR="00B15022">
        <w:t>2</w:t>
      </w:r>
      <w:r w:rsidR="00C47E79">
        <w:t>1</w:t>
      </w:r>
      <w:r w:rsidR="00B15022">
        <w:t>8</w:t>
      </w:r>
      <w:r w:rsidR="00B221C9">
        <w:t>’</w:t>
      </w:r>
      <w:r w:rsidR="00B15022">
        <w:t>, the user may request further assessment (for example in relation to a different Unit of Competency)</w:t>
      </w:r>
      <w:r w:rsidR="00C95459">
        <w:t>,</w:t>
      </w:r>
      <w:r w:rsidR="00B15022">
        <w:t xml:space="preserve"> or choose to terminate the process.</w:t>
      </w:r>
    </w:p>
    <w:p w:rsidR="00B15022" w:rsidRDefault="00560890" w:rsidP="00C908A5">
      <w:pPr>
        <w:pStyle w:val="ParaNumbering"/>
      </w:pPr>
      <w:r>
        <w:t>As previously indicated, Figure 3 is a flowchart illustrating an alternative method for generating questions and gathering</w:t>
      </w:r>
      <w:r w:rsidR="00A11201">
        <w:t xml:space="preserve"> information from an individual</w:t>
      </w:r>
      <w:r>
        <w:t xml:space="preserve"> relevant to an assessment of th</w:t>
      </w:r>
      <w:r w:rsidR="002D5F6D">
        <w:t>at</w:t>
      </w:r>
      <w:r>
        <w:t xml:space="preserve"> individual</w:t>
      </w:r>
      <w:r w:rsidR="00B221C9">
        <w:t>’</w:t>
      </w:r>
      <w:r>
        <w:t>s competency</w:t>
      </w:r>
      <w:r w:rsidR="00A11201">
        <w:t>,</w:t>
      </w:r>
      <w:r>
        <w:t xml:space="preserve"> relative to a recognised qualification standard.  </w:t>
      </w:r>
      <w:r w:rsidR="0061381C">
        <w:t xml:space="preserve">The method </w:t>
      </w:r>
      <w:r w:rsidR="0061381C">
        <w:lastRenderedPageBreak/>
        <w:t>represented by this flowchart differs from that depicted in Fig</w:t>
      </w:r>
      <w:r w:rsidR="00A11201">
        <w:t>ure</w:t>
      </w:r>
      <w:r w:rsidR="0061381C">
        <w:t xml:space="preserve">s 2a and 2b in that questions are generated and presented to the user on demand, rather than being generated and stored in advance for later presentation.  </w:t>
      </w:r>
    </w:p>
    <w:p w:rsidR="00251884" w:rsidRDefault="00551384" w:rsidP="00251884">
      <w:pPr>
        <w:jc w:val="center"/>
      </w:pPr>
      <w:r>
        <w:rPr>
          <w:noProof/>
          <w:lang w:eastAsia="en-AU"/>
        </w:rPr>
        <w:drawing>
          <wp:inline distT="0" distB="0" distL="0" distR="0">
            <wp:extent cx="2105025" cy="446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5025" cy="4467225"/>
                    </a:xfrm>
                    <a:prstGeom prst="rect">
                      <a:avLst/>
                    </a:prstGeom>
                    <a:noFill/>
                    <a:ln>
                      <a:noFill/>
                    </a:ln>
                  </pic:spPr>
                </pic:pic>
              </a:graphicData>
            </a:graphic>
          </wp:inline>
        </w:drawing>
      </w:r>
    </w:p>
    <w:p w:rsidR="000A0FF5" w:rsidRDefault="00323033" w:rsidP="000A0FF5">
      <w:pPr>
        <w:pStyle w:val="ParaNumbering"/>
      </w:pPr>
      <w:r>
        <w:t xml:space="preserve">In Figure 3, </w:t>
      </w:r>
      <w:r w:rsidR="000A0FF5">
        <w:t xml:space="preserve">at the step designated </w:t>
      </w:r>
      <w:r w:rsidR="00B221C9">
        <w:t>‘</w:t>
      </w:r>
      <w:r w:rsidR="000A0FF5">
        <w:t>302</w:t>
      </w:r>
      <w:r w:rsidR="00B221C9">
        <w:t>’</w:t>
      </w:r>
      <w:r w:rsidR="000A0FF5">
        <w:t>, a user desiring an assessment of competency accesses the assessment server via the internet from a user computer (in the same manner as depicted in Fig</w:t>
      </w:r>
      <w:r w:rsidR="00775039">
        <w:t>ure</w:t>
      </w:r>
      <w:r w:rsidR="000A0FF5">
        <w:t xml:space="preserve">s 2a and 2b).  </w:t>
      </w:r>
      <w:r w:rsidR="00344640">
        <w:t xml:space="preserve">Once the user has identified a relevant Unit of Competency, the assessment server proceeds </w:t>
      </w:r>
      <w:r w:rsidR="00CE3D86">
        <w:t xml:space="preserve">to generate and present questions to the user based upon the </w:t>
      </w:r>
      <w:r w:rsidR="00A11201">
        <w:t>assessable criteria</w:t>
      </w:r>
      <w:r w:rsidR="00CE3D86">
        <w:t xml:space="preserve"> </w:t>
      </w:r>
      <w:r w:rsidR="00A11201">
        <w:t>(</w:t>
      </w:r>
      <w:r w:rsidR="00CE3D86">
        <w:t>consisting of the elements of competency and performance criteria associated with the Unit of Competency</w:t>
      </w:r>
      <w:r w:rsidR="00A11201">
        <w:t>)</w:t>
      </w:r>
      <w:r w:rsidR="00CE3D86">
        <w:t xml:space="preserve">.  </w:t>
      </w:r>
    </w:p>
    <w:p w:rsidR="00CB52D7" w:rsidRDefault="00CB52D7" w:rsidP="000A0FF5">
      <w:pPr>
        <w:pStyle w:val="ParaNumbering"/>
      </w:pPr>
      <w:r>
        <w:t xml:space="preserve">At the step designated </w:t>
      </w:r>
      <w:r w:rsidR="00B221C9">
        <w:t>‘</w:t>
      </w:r>
      <w:r>
        <w:t>304</w:t>
      </w:r>
      <w:r w:rsidR="00B221C9">
        <w:t>’</w:t>
      </w:r>
      <w:r>
        <w:t xml:space="preserve">, one or more assessable criteria are retrieved.  </w:t>
      </w:r>
      <w:r w:rsidR="00A82950">
        <w:t xml:space="preserve">At the step designated </w:t>
      </w:r>
      <w:r w:rsidR="00B221C9">
        <w:t>‘</w:t>
      </w:r>
      <w:r w:rsidR="00A82950">
        <w:t>306</w:t>
      </w:r>
      <w:r w:rsidR="00B221C9">
        <w:t>’</w:t>
      </w:r>
      <w:r w:rsidR="00A82950">
        <w:t xml:space="preserve">, a question is generated based upon the first retrieved criterion.  At the step designated </w:t>
      </w:r>
      <w:r w:rsidR="00B221C9">
        <w:t>‘</w:t>
      </w:r>
      <w:r w:rsidR="00A82950">
        <w:t>308</w:t>
      </w:r>
      <w:r w:rsidR="00B221C9">
        <w:t>’</w:t>
      </w:r>
      <w:r w:rsidR="00A82950">
        <w:t xml:space="preserve">, the question is presented to the user, and a response is received at the step designated </w:t>
      </w:r>
      <w:r w:rsidR="00B221C9">
        <w:t>‘</w:t>
      </w:r>
      <w:r w:rsidR="00A82950">
        <w:t>310</w:t>
      </w:r>
      <w:r w:rsidR="00B221C9">
        <w:t>’</w:t>
      </w:r>
      <w:r w:rsidR="00A82950">
        <w:t xml:space="preserve">.  </w:t>
      </w:r>
      <w:r w:rsidR="00B62ECC">
        <w:t xml:space="preserve">If it is determined at the step designated </w:t>
      </w:r>
      <w:r w:rsidR="00B221C9">
        <w:t>‘</w:t>
      </w:r>
      <w:r w:rsidR="00B62ECC">
        <w:t>312</w:t>
      </w:r>
      <w:r w:rsidR="00B221C9">
        <w:t>’</w:t>
      </w:r>
      <w:r w:rsidR="00B62ECC">
        <w:t xml:space="preserve"> that there are further criteria</w:t>
      </w:r>
      <w:r w:rsidR="002D5F6D">
        <w:t xml:space="preserve"> to be assessed</w:t>
      </w:r>
      <w:r w:rsidR="00B62ECC">
        <w:t xml:space="preserve">, then steps 306, 308 and 310 are repeated until no criteria remain.  </w:t>
      </w:r>
      <w:r w:rsidR="00C6602D">
        <w:t xml:space="preserve">At the so-called </w:t>
      </w:r>
      <w:r w:rsidR="00B221C9">
        <w:t>“</w:t>
      </w:r>
      <w:r w:rsidR="00C6602D">
        <w:t>decision step</w:t>
      </w:r>
      <w:r w:rsidR="00B221C9">
        <w:t>”</w:t>
      </w:r>
      <w:r w:rsidR="00C6602D">
        <w:t xml:space="preserve"> designated </w:t>
      </w:r>
      <w:r w:rsidR="00B221C9">
        <w:t>‘</w:t>
      </w:r>
      <w:r w:rsidR="00C6602D">
        <w:t>314</w:t>
      </w:r>
      <w:r w:rsidR="00B221C9">
        <w:t>’</w:t>
      </w:r>
      <w:r w:rsidR="00C6602D">
        <w:t xml:space="preserve">, </w:t>
      </w:r>
      <w:r w:rsidR="002B6558">
        <w:t xml:space="preserve">if the user wishes to provide information relevant to </w:t>
      </w:r>
      <w:r w:rsidR="002B6558">
        <w:lastRenderedPageBreak/>
        <w:t>a further assessment in relation to one or more additional Units of Competency, then the method returns to step 304.  Otherwise, the process terminates.  User responses (including text-based responses to questions and uploaded supporting documentation) may be stored by the assessment server within the storage device.</w:t>
      </w:r>
    </w:p>
    <w:p w:rsidR="00251884" w:rsidRPr="00251884" w:rsidRDefault="00551384" w:rsidP="00251884">
      <w:pPr>
        <w:jc w:val="center"/>
      </w:pPr>
      <w:r>
        <w:rPr>
          <w:noProof/>
          <w:lang w:eastAsia="en-AU"/>
        </w:rPr>
        <w:drawing>
          <wp:inline distT="0" distB="0" distL="0" distR="0">
            <wp:extent cx="4533900" cy="4981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3900" cy="4981575"/>
                    </a:xfrm>
                    <a:prstGeom prst="rect">
                      <a:avLst/>
                    </a:prstGeom>
                    <a:noFill/>
                    <a:ln>
                      <a:noFill/>
                    </a:ln>
                  </pic:spPr>
                </pic:pic>
              </a:graphicData>
            </a:graphic>
          </wp:inline>
        </w:drawing>
      </w:r>
    </w:p>
    <w:p w:rsidR="00B70323" w:rsidRDefault="00344D5F" w:rsidP="000A0FF5">
      <w:pPr>
        <w:pStyle w:val="ParaNumbering"/>
      </w:pPr>
      <w:r>
        <w:t xml:space="preserve">Figure 4 contains an excerpt from the assessable criteria, ie elements of competency and performance criteria associated with a particular Unit of Competency.  </w:t>
      </w:r>
      <w:r w:rsidR="00C23D73">
        <w:t xml:space="preserve">The Unit of Competency includes a number of elements of competency, listed in the column designated </w:t>
      </w:r>
      <w:r w:rsidR="00B221C9">
        <w:t>‘</w:t>
      </w:r>
      <w:r w:rsidR="00C23D73">
        <w:t>402</w:t>
      </w:r>
      <w:r w:rsidR="00B221C9">
        <w:t>’</w:t>
      </w:r>
      <w:r w:rsidR="00C23D73">
        <w:t xml:space="preserve">.  </w:t>
      </w:r>
      <w:r w:rsidR="00431E54">
        <w:t xml:space="preserve">Associated with each element of competency there is a corresponding group of performance criteria, listed in the column designated </w:t>
      </w:r>
      <w:r w:rsidR="00B221C9">
        <w:t>‘</w:t>
      </w:r>
      <w:r w:rsidR="00431E54">
        <w:t>406</w:t>
      </w:r>
      <w:r w:rsidR="00B221C9">
        <w:t>’</w:t>
      </w:r>
      <w:r w:rsidR="00431E54">
        <w:t xml:space="preserve">. </w:t>
      </w:r>
      <w:r w:rsidR="00D733CC">
        <w:t xml:space="preserve"> </w:t>
      </w:r>
      <w:r w:rsidR="00F3248D">
        <w:t xml:space="preserve">For example, one element of competency is </w:t>
      </w:r>
      <w:r w:rsidR="00B221C9">
        <w:t>“</w:t>
      </w:r>
      <w:r w:rsidR="00F3248D">
        <w:t>Demonstrate an understanding of the structure and profile of the aged care sector</w:t>
      </w:r>
      <w:r w:rsidR="00B221C9">
        <w:t>”</w:t>
      </w:r>
      <w:r w:rsidR="00F3248D">
        <w:t xml:space="preserve"> (designated </w:t>
      </w:r>
      <w:r w:rsidR="00B221C9">
        <w:t>‘</w:t>
      </w:r>
      <w:r w:rsidR="00F3248D">
        <w:t>404</w:t>
      </w:r>
      <w:r w:rsidR="00B221C9">
        <w:t>’</w:t>
      </w:r>
      <w:r w:rsidR="00F3248D">
        <w:t xml:space="preserve"> in Figure 4).  The associated performance criteria (designated </w:t>
      </w:r>
      <w:r w:rsidR="00B221C9">
        <w:t>‘</w:t>
      </w:r>
      <w:r w:rsidR="00F3248D">
        <w:t>408</w:t>
      </w:r>
      <w:r w:rsidR="00B221C9">
        <w:t>’</w:t>
      </w:r>
      <w:r w:rsidR="00F3248D">
        <w:t xml:space="preserve">) include </w:t>
      </w:r>
      <w:r w:rsidR="00B221C9">
        <w:t>“</w:t>
      </w:r>
      <w:r w:rsidR="00F3248D">
        <w:t xml:space="preserve">All work reflects an understanding of the key issues facing older people and </w:t>
      </w:r>
      <w:r w:rsidR="00F3248D">
        <w:lastRenderedPageBreak/>
        <w:t>their carers</w:t>
      </w:r>
      <w:r w:rsidR="00B221C9">
        <w:t>”</w:t>
      </w:r>
      <w:r w:rsidR="00F3248D">
        <w:t xml:space="preserve">; </w:t>
      </w:r>
      <w:r w:rsidR="00F47CEC">
        <w:t xml:space="preserve">and </w:t>
      </w:r>
      <w:r w:rsidR="00B221C9">
        <w:t>“</w:t>
      </w:r>
      <w:r w:rsidR="00F3248D">
        <w:t xml:space="preserve">All work reflects an understanding of the current philosophies of </w:t>
      </w:r>
      <w:r w:rsidR="00F47CEC">
        <w:t>service delivery in the sector</w:t>
      </w:r>
      <w:r w:rsidR="00B221C9">
        <w:t>”</w:t>
      </w:r>
      <w:r w:rsidR="00F3248D">
        <w:t>.</w:t>
      </w:r>
    </w:p>
    <w:p w:rsidR="00A96744" w:rsidRDefault="00A96744" w:rsidP="000A0FF5">
      <w:pPr>
        <w:pStyle w:val="ParaNumbering"/>
      </w:pPr>
      <w:r>
        <w:t xml:space="preserve">The specification notes that within the Australian context, the elements of competency and performance criteria are presently made available for download from the NTIS server, which is accessible via the URL </w:t>
      </w:r>
      <w:r w:rsidRPr="00A82BEF">
        <w:t>http://www.ntis.gov.au</w:t>
      </w:r>
      <w:r>
        <w:t xml:space="preserve">.  The NTIS server provides a search facility for identifying and accessing Units of Competency.  Accordingly, in the context of the invention, the assessment server is able to identify and download the assessable criteria associated with any desired Unit of Competency.  </w:t>
      </w:r>
    </w:p>
    <w:p w:rsidR="008E0671" w:rsidRDefault="00A10A4B" w:rsidP="000A0FF5">
      <w:pPr>
        <w:pStyle w:val="ParaNumbering"/>
      </w:pPr>
      <w:r>
        <w:t xml:space="preserve">Figure 5 </w:t>
      </w:r>
      <w:r w:rsidR="008445AA">
        <w:t xml:space="preserve">illustrates </w:t>
      </w:r>
      <w:r w:rsidR="00255440">
        <w:t xml:space="preserve">the first three question and response forms of a wizard that may be automatically generated (in accordance with an embodiment of the invention) from the assessable criteria illustrated in Figure 4.  </w:t>
      </w:r>
    </w:p>
    <w:p w:rsidR="00251884" w:rsidRDefault="00551384" w:rsidP="00251884">
      <w:pPr>
        <w:jc w:val="center"/>
      </w:pPr>
      <w:r>
        <w:rPr>
          <w:noProof/>
          <w:lang w:eastAsia="en-AU"/>
        </w:rPr>
        <w:lastRenderedPageBreak/>
        <w:drawing>
          <wp:inline distT="0" distB="0" distL="0" distR="0">
            <wp:extent cx="5438775" cy="802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8020050"/>
                    </a:xfrm>
                    <a:prstGeom prst="rect">
                      <a:avLst/>
                    </a:prstGeom>
                    <a:noFill/>
                    <a:ln>
                      <a:noFill/>
                    </a:ln>
                  </pic:spPr>
                </pic:pic>
              </a:graphicData>
            </a:graphic>
          </wp:inline>
        </w:drawing>
      </w:r>
    </w:p>
    <w:p w:rsidR="00344D5F" w:rsidRDefault="00014F6B" w:rsidP="000A0FF5">
      <w:pPr>
        <w:pStyle w:val="ParaNumbering"/>
      </w:pPr>
      <w:r>
        <w:t xml:space="preserve">The </w:t>
      </w:r>
      <w:r w:rsidR="0013645B">
        <w:t xml:space="preserve">first </w:t>
      </w:r>
      <w:r w:rsidR="000969E1">
        <w:t xml:space="preserve">wizard </w:t>
      </w:r>
      <w:r w:rsidR="006F5A0C">
        <w:t xml:space="preserve">form </w:t>
      </w:r>
      <w:r w:rsidR="0013645B">
        <w:t>(</w:t>
      </w:r>
      <w:r>
        <w:t xml:space="preserve">designated </w:t>
      </w:r>
      <w:r w:rsidR="00B221C9">
        <w:t>‘</w:t>
      </w:r>
      <w:r>
        <w:t>502</w:t>
      </w:r>
      <w:r w:rsidR="00B221C9">
        <w:t>’</w:t>
      </w:r>
      <w:r w:rsidR="0013645B">
        <w:t>)</w:t>
      </w:r>
      <w:r>
        <w:t xml:space="preserve"> presents the first automatically generated question based upon the first element of competency (designated </w:t>
      </w:r>
      <w:r w:rsidR="00B221C9">
        <w:t>‘</w:t>
      </w:r>
      <w:r>
        <w:t>504</w:t>
      </w:r>
      <w:r w:rsidR="00B221C9">
        <w:t>’</w:t>
      </w:r>
      <w:r w:rsidR="009D2BCB">
        <w:t xml:space="preserve">), which consists of the </w:t>
      </w:r>
      <w:r w:rsidR="009D2BCB">
        <w:lastRenderedPageBreak/>
        <w:t>text,</w:t>
      </w:r>
      <w:r>
        <w:t xml:space="preserve"> </w:t>
      </w:r>
      <w:r w:rsidR="00B221C9">
        <w:t>“</w:t>
      </w:r>
      <w:r>
        <w:t>Generally speaking and based on your prior experience and education, how do you feel you can demonstrate an understanding of the structure and profile of the aged care sector?</w:t>
      </w:r>
      <w:r w:rsidR="00B221C9">
        <w:t>”</w:t>
      </w:r>
      <w:r w:rsidR="009D2BCB">
        <w:t xml:space="preserve">.  A text box (designated </w:t>
      </w:r>
      <w:r w:rsidR="00B221C9">
        <w:t>‘</w:t>
      </w:r>
      <w:r w:rsidR="009D2BCB">
        <w:t>506</w:t>
      </w:r>
      <w:r w:rsidR="00B221C9">
        <w:t>’</w:t>
      </w:r>
      <w:r w:rsidR="009D2BCB">
        <w:t xml:space="preserve">) is provided, into which the user may enter a text-based response to the question.  </w:t>
      </w:r>
      <w:r w:rsidR="006F5A0C">
        <w:t xml:space="preserve">In addition, the </w:t>
      </w:r>
      <w:r w:rsidR="000969E1">
        <w:t xml:space="preserve">wizard form designated </w:t>
      </w:r>
      <w:r w:rsidR="00B221C9">
        <w:t>‘</w:t>
      </w:r>
      <w:r w:rsidR="000969E1">
        <w:t>502</w:t>
      </w:r>
      <w:r w:rsidR="00B221C9">
        <w:t>’</w:t>
      </w:r>
      <w:r w:rsidR="000969E1">
        <w:t xml:space="preserve"> recommends that the user provide evidence supporting the response, such as a letter from an employer (facilitated by the upload facility designated </w:t>
      </w:r>
      <w:r w:rsidR="00B221C9">
        <w:t>‘</w:t>
      </w:r>
      <w:r w:rsidR="000969E1">
        <w:t>508</w:t>
      </w:r>
      <w:r w:rsidR="00B221C9">
        <w:t>’</w:t>
      </w:r>
      <w:r w:rsidR="000969E1">
        <w:t xml:space="preserve">, which enables users to specify files stored on their local computer to be transferred to the assessment server as part of their response to the question). </w:t>
      </w:r>
    </w:p>
    <w:p w:rsidR="005813E9" w:rsidRDefault="00ED05DF" w:rsidP="000A0FF5">
      <w:pPr>
        <w:pStyle w:val="ParaNumbering"/>
      </w:pPr>
      <w:r>
        <w:t xml:space="preserve">The second wizard form (designated </w:t>
      </w:r>
      <w:r w:rsidR="00B221C9">
        <w:t>‘</w:t>
      </w:r>
      <w:r>
        <w:t>510</w:t>
      </w:r>
      <w:r w:rsidR="00B221C9">
        <w:t>’</w:t>
      </w:r>
      <w:r>
        <w:t xml:space="preserve">) </w:t>
      </w:r>
      <w:r w:rsidR="00544C55">
        <w:t xml:space="preserve">presents a question designated </w:t>
      </w:r>
      <w:r w:rsidR="00B221C9">
        <w:t>‘</w:t>
      </w:r>
      <w:r w:rsidR="00544C55">
        <w:t>512</w:t>
      </w:r>
      <w:r w:rsidR="00B221C9">
        <w:t>’</w:t>
      </w:r>
      <w:r w:rsidR="00544C55">
        <w:t xml:space="preserve"> based upon the first of the performance criteria set out in Fig</w:t>
      </w:r>
      <w:r w:rsidR="00487914">
        <w:t>ure</w:t>
      </w:r>
      <w:r w:rsidR="00544C55">
        <w:t xml:space="preserve"> 4, </w:t>
      </w:r>
      <w:r w:rsidR="00CC63B1">
        <w:t>being:</w:t>
      </w:r>
      <w:r w:rsidR="00544C55">
        <w:t xml:space="preserve"> </w:t>
      </w:r>
      <w:r w:rsidR="00B221C9">
        <w:t>“</w:t>
      </w:r>
      <w:r w:rsidR="00544C55">
        <w:t>How can you show evidence that all work reflects an understanding of the key issues facing old</w:t>
      </w:r>
      <w:r w:rsidR="009C3BDA">
        <w:t>er</w:t>
      </w:r>
      <w:r w:rsidR="00544C55">
        <w:t xml:space="preserve"> people and their carers?</w:t>
      </w:r>
      <w:r w:rsidR="00B221C9">
        <w:t>”</w:t>
      </w:r>
      <w:r w:rsidR="00544C55">
        <w:t xml:space="preserve">.  </w:t>
      </w:r>
      <w:r w:rsidR="005813E9">
        <w:t xml:space="preserve">Again, a text field (designated </w:t>
      </w:r>
      <w:r w:rsidR="00B221C9">
        <w:t>‘</w:t>
      </w:r>
      <w:r w:rsidR="005813E9">
        <w:t>514</w:t>
      </w:r>
      <w:r w:rsidR="00B221C9">
        <w:t>’</w:t>
      </w:r>
      <w:r w:rsidR="005813E9">
        <w:t xml:space="preserve">) is provided for the user to enter a text-based response to this question.  This wizard form also recommends providing evidence in support (for example, in the form of a written statement from a team leader or manager), and again, an upload facility (designated </w:t>
      </w:r>
      <w:r w:rsidR="00B221C9">
        <w:t>‘</w:t>
      </w:r>
      <w:r w:rsidR="005813E9">
        <w:t>516</w:t>
      </w:r>
      <w:r w:rsidR="00B221C9">
        <w:t>’</w:t>
      </w:r>
      <w:r w:rsidR="005813E9">
        <w:t>) is provided to enable the user to specify documents stored on the</w:t>
      </w:r>
      <w:r w:rsidR="001F4381">
        <w:t>ir</w:t>
      </w:r>
      <w:r w:rsidR="005813E9">
        <w:t xml:space="preserve"> local computer to be transferred to the assessment server.  The third wizard form (designated </w:t>
      </w:r>
      <w:r w:rsidR="00B221C9">
        <w:t>‘</w:t>
      </w:r>
      <w:r w:rsidR="005813E9">
        <w:t>518</w:t>
      </w:r>
      <w:r w:rsidR="00B221C9">
        <w:t>’</w:t>
      </w:r>
      <w:r w:rsidR="005813E9">
        <w:t>) has a similar form</w:t>
      </w:r>
      <w:r w:rsidR="00A060C8">
        <w:t xml:space="preserve"> (and therefore need not be considered further)</w:t>
      </w:r>
      <w:r w:rsidR="005813E9">
        <w:t xml:space="preserve">. </w:t>
      </w:r>
    </w:p>
    <w:p w:rsidR="008445AA" w:rsidRDefault="005822B7" w:rsidP="000A0FF5">
      <w:pPr>
        <w:pStyle w:val="ParaNumbering"/>
      </w:pPr>
      <w:r>
        <w:t xml:space="preserve">The specification notes that more sophisticated templates and text processing may be employed within the scope of the invention.  For example, </w:t>
      </w:r>
      <w:r w:rsidR="00F1610C">
        <w:t xml:space="preserve">questions may be formed based upon the identification of particular keywords or concepts appearing within the individual assessable criteria, or additional contextual information may be employed in the formulation of questions.  </w:t>
      </w:r>
      <w:r w:rsidR="005E67FA">
        <w:t xml:space="preserve">Some processing may involve a degree of human expert input – for example, in reviewing or amending questions automatically generated using a fully computer-implemented process.  </w:t>
      </w:r>
    </w:p>
    <w:p w:rsidR="00DF60C2" w:rsidRDefault="00ED2B6D" w:rsidP="000A0FF5">
      <w:pPr>
        <w:pStyle w:val="ParaNumbering"/>
      </w:pPr>
      <w:r>
        <w:t>The specification states that while the invention is primarily concerned with the gathering of information relevant to the assessment of an individual</w:t>
      </w:r>
      <w:r w:rsidR="00B221C9">
        <w:t>’</w:t>
      </w:r>
      <w:r>
        <w:t xml:space="preserve">s competency relative to a recognised qualification standard, it is an objective of embodiments of the invention to facilitate improvements in the overall RPL process.  </w:t>
      </w:r>
      <w:r w:rsidR="00E95939">
        <w:t>One possible manner in which this objective may be achieved is illustrated in Figure 6.</w:t>
      </w:r>
    </w:p>
    <w:p w:rsidR="007E1337" w:rsidRDefault="00551384" w:rsidP="007E1337">
      <w:pPr>
        <w:jc w:val="center"/>
      </w:pPr>
      <w:r>
        <w:rPr>
          <w:noProof/>
          <w:lang w:eastAsia="en-AU"/>
        </w:rPr>
        <w:lastRenderedPageBreak/>
        <w:drawing>
          <wp:inline distT="0" distB="0" distL="0" distR="0">
            <wp:extent cx="2171700" cy="472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4724400"/>
                    </a:xfrm>
                    <a:prstGeom prst="rect">
                      <a:avLst/>
                    </a:prstGeom>
                    <a:noFill/>
                    <a:ln>
                      <a:noFill/>
                    </a:ln>
                  </pic:spPr>
                </pic:pic>
              </a:graphicData>
            </a:graphic>
          </wp:inline>
        </w:drawing>
      </w:r>
    </w:p>
    <w:p w:rsidR="00E95939" w:rsidRDefault="007C6B12" w:rsidP="000A0FF5">
      <w:pPr>
        <w:pStyle w:val="ParaNumbering"/>
      </w:pPr>
      <w:r>
        <w:t xml:space="preserve">In the process exemplified in this flowchart, assessment information is gathered from an individual at the step designated </w:t>
      </w:r>
      <w:r w:rsidR="00B221C9">
        <w:t>‘</w:t>
      </w:r>
      <w:r>
        <w:t>602</w:t>
      </w:r>
      <w:r w:rsidR="00B221C9">
        <w:t>’</w:t>
      </w:r>
      <w:r>
        <w:t xml:space="preserve">, utilising an embodiment of the invention.  The assessment server may retain stored information regarding particular training organisations (eg RTOs and TAFEs) </w:t>
      </w:r>
      <w:r w:rsidR="00487914">
        <w:t>that provide</w:t>
      </w:r>
      <w:r>
        <w:t xml:space="preserve"> training </w:t>
      </w:r>
      <w:r w:rsidR="00487914">
        <w:t>in particular units within the</w:t>
      </w:r>
      <w:r>
        <w:t xml:space="preserve"> scope of </w:t>
      </w:r>
      <w:r w:rsidR="00487914">
        <w:t xml:space="preserve">their </w:t>
      </w:r>
      <w:r>
        <w:t xml:space="preserve">registration.  </w:t>
      </w:r>
      <w:r w:rsidR="004238B7">
        <w:t xml:space="preserve">This information may be retrieved from other sources, such as the NTIS server.  Accordingly, the assessment server is able to identify one or more training organisations that are competent to provide RPL in relation to the units in respect of which the individual user has provided assessment information.  </w:t>
      </w:r>
      <w:r w:rsidR="00897E7E">
        <w:t>The assessment server may therefore advise the user of the identified training organisations, or facilitate the submission of the assessment information to a relevant training organisation for RPL purposes.</w:t>
      </w:r>
    </w:p>
    <w:p w:rsidR="00897E7E" w:rsidRDefault="00521C7B" w:rsidP="000A0FF5">
      <w:pPr>
        <w:pStyle w:val="ParaNumbering"/>
      </w:pPr>
      <w:r>
        <w:t xml:space="preserve">At the step designated </w:t>
      </w:r>
      <w:r w:rsidR="00B221C9">
        <w:t>‘</w:t>
      </w:r>
      <w:r>
        <w:t>604</w:t>
      </w:r>
      <w:r w:rsidR="00B221C9">
        <w:t>’</w:t>
      </w:r>
      <w:r>
        <w:t xml:space="preserve">, an RPL assessment is performed by a relevant training organisation.  At the step designated </w:t>
      </w:r>
      <w:r w:rsidR="00B221C9">
        <w:t>‘</w:t>
      </w:r>
      <w:r>
        <w:t>606</w:t>
      </w:r>
      <w:r w:rsidR="00B221C9">
        <w:t>’</w:t>
      </w:r>
      <w:r>
        <w:t>, the outcome of th</w:t>
      </w:r>
      <w:r w:rsidR="001448DA">
        <w:t xml:space="preserve">e assessment is reported.  The reporting </w:t>
      </w:r>
      <w:r>
        <w:t xml:space="preserve">may be an </w:t>
      </w:r>
      <w:r w:rsidR="00B221C9">
        <w:t>‘</w:t>
      </w:r>
      <w:r>
        <w:t>off-line</w:t>
      </w:r>
      <w:r w:rsidR="00B221C9">
        <w:t>’</w:t>
      </w:r>
      <w:r>
        <w:t xml:space="preserve"> process, for example, via direct interaction between </w:t>
      </w:r>
      <w:r w:rsidR="001448DA">
        <w:t xml:space="preserve">the </w:t>
      </w:r>
      <w:r>
        <w:t xml:space="preserve">individual and the relevant training organisation, or it may be facilitated via the assessment </w:t>
      </w:r>
      <w:r>
        <w:lastRenderedPageBreak/>
        <w:t xml:space="preserve">server.  </w:t>
      </w:r>
      <w:r w:rsidR="001448DA">
        <w:t xml:space="preserve">The specification suggests that the assessment server may provide a single central point of contact between individuals and training organisations, thereby providing a valuable service to all parties.  </w:t>
      </w:r>
      <w:r w:rsidR="00255CC3">
        <w:t xml:space="preserve">Individuals are provided with a service which simplifies the identification of relevant Units of Competency, and the gathering of associated assessment information to enable RPL to be performed.  </w:t>
      </w:r>
      <w:r w:rsidR="00DC13E8">
        <w:t xml:space="preserve">Training organisations are relieved of much of the administrative cost associated with performing RPL.  By the time the training organisation is contacted, the relevant Unit of Competency has already been identified, and required information associated with each of the assessable criteria has already been gathered and packaged in a form enabling an efficient assessment in relation to the RPL process.  </w:t>
      </w:r>
    </w:p>
    <w:p w:rsidR="007C6B12" w:rsidRDefault="004379B5" w:rsidP="000A0FF5">
      <w:pPr>
        <w:pStyle w:val="ParaNumbering"/>
      </w:pPr>
      <w:r>
        <w:t xml:space="preserve">Further, at the step designated </w:t>
      </w:r>
      <w:r w:rsidR="00B221C9">
        <w:t>‘</w:t>
      </w:r>
      <w:r>
        <w:t>608</w:t>
      </w:r>
      <w:r w:rsidR="00B221C9">
        <w:t>’</w:t>
      </w:r>
      <w:r>
        <w:t xml:space="preserve">, the assessment server may be configured to </w:t>
      </w:r>
      <w:r w:rsidR="000326E5">
        <w:t xml:space="preserve">recommend </w:t>
      </w:r>
      <w:r>
        <w:t xml:space="preserve">or advise the individual user of one or more relevant training organisations able to provide appropriate RPL and training services.  </w:t>
      </w:r>
      <w:r w:rsidR="00487914">
        <w:t xml:space="preserve">For example, if – </w:t>
      </w:r>
      <w:r w:rsidR="000326E5">
        <w:t>follo</w:t>
      </w:r>
      <w:r w:rsidR="00487914">
        <w:t xml:space="preserve">wing an RPL assessment – </w:t>
      </w:r>
      <w:r w:rsidR="000326E5">
        <w:t>a training organisation finds that the individual is not qualified to receive a qualification or Statement of Attainment, the individual may be offered the option to attain the relevant qualification by attending a training course offered by the training organisation.  In this way, the specification states, the services provided by the assessment server may also contribute to the core business of training organisations.</w:t>
      </w:r>
    </w:p>
    <w:p w:rsidR="000326E5" w:rsidRDefault="008338E0" w:rsidP="000A0FF5">
      <w:pPr>
        <w:pStyle w:val="ParaNumbering"/>
      </w:pPr>
      <w:r>
        <w:t xml:space="preserve">In summary, embodiments of the invention facilitate improvements in existing RPL processes, by enabling the automated generation of a wizard or similar user interface to perform the administrative work necessary to gather evidence from a prospective candidate which is relevant to any qualification or unit offered across a wide range of training organisations.  </w:t>
      </w:r>
      <w:r w:rsidR="00602259">
        <w:t>In various embodiments, the invention facilitates the assessment of the competencies of individuals, the issuing of qualifications, and the proactive recommendation of suitable pathways, including relevant courses of further training, based upon the identified competencies of individual users.</w:t>
      </w:r>
      <w:r w:rsidR="009A6D95">
        <w:t xml:space="preserve">  Although the specification primarily focuses on </w:t>
      </w:r>
      <w:r w:rsidR="00B221C9">
        <w:t>‘</w:t>
      </w:r>
      <w:r w:rsidR="009A6D95">
        <w:t>online</w:t>
      </w:r>
      <w:r w:rsidR="00B221C9">
        <w:t>’</w:t>
      </w:r>
      <w:r w:rsidR="009A6D95">
        <w:t xml:space="preserve"> implementation of these functions, it notes that alternative mechanisms for pre</w:t>
      </w:r>
      <w:r w:rsidR="0000786F">
        <w:t>senting automatically generated</w:t>
      </w:r>
      <w:r w:rsidR="009A6D95">
        <w:t xml:space="preserve"> questions and receiving responses (such as presentation in a form suitable f</w:t>
      </w:r>
      <w:r w:rsidR="0000786F">
        <w:t xml:space="preserve">or </w:t>
      </w:r>
      <w:r w:rsidR="00B221C9">
        <w:t>‘</w:t>
      </w:r>
      <w:r w:rsidR="0000786F">
        <w:t>offline</w:t>
      </w:r>
      <w:r w:rsidR="00B221C9">
        <w:t>’</w:t>
      </w:r>
      <w:r w:rsidR="0000786F">
        <w:t xml:space="preserve"> completion, like</w:t>
      </w:r>
      <w:r w:rsidR="009A6D95">
        <w:t xml:space="preserve"> PDF files) may also be employed.  </w:t>
      </w:r>
    </w:p>
    <w:p w:rsidR="00717B71" w:rsidRDefault="00717B71" w:rsidP="00717B71">
      <w:pPr>
        <w:pStyle w:val="Heading2"/>
      </w:pPr>
      <w:r>
        <w:t>The claims</w:t>
      </w:r>
    </w:p>
    <w:p w:rsidR="00717B71" w:rsidRPr="005044BD" w:rsidRDefault="00717B71" w:rsidP="00717B71">
      <w:pPr>
        <w:pStyle w:val="ParaNumbering"/>
      </w:pPr>
      <w:r>
        <w:t xml:space="preserve">The specification concludes with five claims, of which only claims 1 and 5 are independent.  </w:t>
      </w:r>
      <w:r w:rsidR="009F6519">
        <w:t xml:space="preserve">Claims 1 to 4 expressly require as an essential feature the operation of the </w:t>
      </w:r>
      <w:r w:rsidR="009F6519">
        <w:lastRenderedPageBreak/>
        <w:t xml:space="preserve">method on a computer processor.  Claim 5 – a claim to a system – embodies a physical system capable of the requisite operation.  </w:t>
      </w:r>
      <w:r w:rsidR="002A19A6">
        <w:t xml:space="preserve">Claims 2 to 4 depend on claim 1, and narrow it by adding further integers.  </w:t>
      </w:r>
      <w:r w:rsidR="00487914">
        <w:t>RPL</w:t>
      </w:r>
      <w:r w:rsidR="002A19A6">
        <w:t xml:space="preserve"> submitted that analysis of the invention is most aptly considered by reference to the broadest claims (namely, claims 1 a</w:t>
      </w:r>
      <w:r w:rsidR="00122214">
        <w:t xml:space="preserve">nd 5) and their express wording. </w:t>
      </w:r>
      <w:r w:rsidR="002A19A6">
        <w:t xml:space="preserve"> </w:t>
      </w:r>
      <w:r w:rsidR="00122214">
        <w:t xml:space="preserve">It was further submitted </w:t>
      </w:r>
      <w:r w:rsidR="002A19A6">
        <w:t xml:space="preserve">that if claim 1 does not fulfil the relevant requirements, then the Court would need to go on and also consider the subsidiary claims 2 to 4.  </w:t>
      </w:r>
      <w:r w:rsidR="0000786F">
        <w:t>Accordingly</w:t>
      </w:r>
      <w:r>
        <w:t xml:space="preserve">, </w:t>
      </w:r>
      <w:r w:rsidR="00031FBE">
        <w:t xml:space="preserve">at this point I set out only </w:t>
      </w:r>
      <w:r w:rsidRPr="005044BD">
        <w:t>claims 1 and 5</w:t>
      </w:r>
      <w:r w:rsidR="00031FBE">
        <w:t xml:space="preserve"> in full</w:t>
      </w:r>
      <w:r w:rsidRPr="005044BD">
        <w:t>.</w:t>
      </w:r>
    </w:p>
    <w:p w:rsidR="00717B71" w:rsidRPr="005044BD" w:rsidRDefault="00717B71" w:rsidP="00717B71">
      <w:pPr>
        <w:pStyle w:val="ParaNumbering"/>
      </w:pPr>
      <w:r w:rsidRPr="005044BD">
        <w:t xml:space="preserve">Claim 1 relates to a method of gathering evidence </w:t>
      </w:r>
      <w:r w:rsidR="00122214">
        <w:t>for the purpose of assessing</w:t>
      </w:r>
      <w:r w:rsidRPr="005044BD">
        <w:t xml:space="preserve"> an individual</w:t>
      </w:r>
      <w:r w:rsidR="00B221C9">
        <w:t>’</w:t>
      </w:r>
      <w:r w:rsidRPr="005044BD">
        <w:t>s competency relative to a recognised qualification standard</w:t>
      </w:r>
      <w:r w:rsidR="00A03AD7">
        <w:t>,</w:t>
      </w:r>
      <w:r w:rsidR="00122214">
        <w:t xml:space="preserve"> which includes the following steps</w:t>
      </w:r>
      <w:r w:rsidRPr="005044BD">
        <w:t xml:space="preserve">:  </w:t>
      </w:r>
    </w:p>
    <w:p w:rsidR="00717B71" w:rsidRPr="005044BD" w:rsidRDefault="00717B71" w:rsidP="00853217">
      <w:pPr>
        <w:pStyle w:val="ListNo"/>
        <w:numPr>
          <w:ilvl w:val="0"/>
          <w:numId w:val="27"/>
        </w:numPr>
        <w:tabs>
          <w:tab w:val="clear" w:pos="360"/>
        </w:tabs>
        <w:ind w:left="709" w:hanging="709"/>
      </w:pPr>
      <w:r>
        <w:t>a</w:t>
      </w:r>
      <w:r w:rsidRPr="005044BD">
        <w:t xml:space="preserve"> computer retrieving via the internet from a remotely-located server a plurality of assessable criteria associated with the recognised qualification standard, said criteria including one or more elements of competency, each of which is associated with one or more performance criteria;</w:t>
      </w:r>
    </w:p>
    <w:p w:rsidR="00717B71" w:rsidRPr="005044BD" w:rsidRDefault="00717B71" w:rsidP="00853217">
      <w:pPr>
        <w:pStyle w:val="ListNo"/>
        <w:numPr>
          <w:ilvl w:val="0"/>
          <w:numId w:val="27"/>
        </w:numPr>
        <w:tabs>
          <w:tab w:val="clear" w:pos="360"/>
        </w:tabs>
        <w:ind w:left="709" w:hanging="709"/>
      </w:pPr>
      <w:r>
        <w:t>t</w:t>
      </w:r>
      <w:r w:rsidRPr="005044BD">
        <w:t>he computer processing the plurality of assessable criteria to generate automatically a corresponding plurality of questions relating to the competency of an individual to satisfy each of the elements of competency and performance criteria associated with the recognised qualification standard;</w:t>
      </w:r>
    </w:p>
    <w:p w:rsidR="00717B71" w:rsidRPr="005044BD" w:rsidRDefault="00717B71" w:rsidP="00853217">
      <w:pPr>
        <w:pStyle w:val="ListNo"/>
        <w:numPr>
          <w:ilvl w:val="0"/>
          <w:numId w:val="27"/>
        </w:numPr>
        <w:tabs>
          <w:tab w:val="clear" w:pos="360"/>
        </w:tabs>
        <w:ind w:left="709" w:hanging="709"/>
      </w:pPr>
      <w:r>
        <w:t>a</w:t>
      </w:r>
      <w:r w:rsidRPr="005044BD">
        <w:t>n assessment server presenting the automatically-generated questions via the internet to a computer of an indiv</w:t>
      </w:r>
      <w:r>
        <w:t>idual requiring assessment; and</w:t>
      </w:r>
    </w:p>
    <w:p w:rsidR="00717B71" w:rsidRPr="002E54D1" w:rsidRDefault="00717B71" w:rsidP="00853217">
      <w:pPr>
        <w:pStyle w:val="ListNo"/>
        <w:numPr>
          <w:ilvl w:val="0"/>
          <w:numId w:val="27"/>
        </w:numPr>
        <w:tabs>
          <w:tab w:val="clear" w:pos="360"/>
        </w:tabs>
        <w:ind w:left="709" w:hanging="709"/>
      </w:pPr>
      <w:r w:rsidRPr="002E54D1">
        <w:t xml:space="preserve">receiving from the individual via </w:t>
      </w:r>
      <w:r w:rsidR="002D5F6D">
        <w:t xml:space="preserve">their </w:t>
      </w:r>
      <w:r w:rsidRPr="002E54D1">
        <w:t>computer a series of responses to the automatically-generated questions, the responses including evidence of the indiv</w:t>
      </w:r>
      <w:r w:rsidR="00A03AD7">
        <w:t>idual</w:t>
      </w:r>
      <w:r w:rsidR="00B221C9">
        <w:t>’</w:t>
      </w:r>
      <w:r w:rsidR="00A03AD7">
        <w:t>s skills, knowledge and</w:t>
      </w:r>
      <w:r w:rsidRPr="002E54D1">
        <w:t xml:space="preserve"> experience in relation to each of the elements of competency and performance criteria, wherein at least one said response includes the individual specifying one or more files on the</w:t>
      </w:r>
      <w:r w:rsidR="002D5F6D">
        <w:t>ir</w:t>
      </w:r>
      <w:r w:rsidRPr="002E54D1">
        <w:t xml:space="preserve"> computer which are transferred to the assessment server. </w:t>
      </w:r>
    </w:p>
    <w:p w:rsidR="00717B71" w:rsidRPr="002E54D1" w:rsidRDefault="00717B71" w:rsidP="00717B71">
      <w:pPr>
        <w:pStyle w:val="ParaNumbering"/>
      </w:pPr>
      <w:r>
        <w:t>Claim 5</w:t>
      </w:r>
      <w:r w:rsidRPr="002E54D1">
        <w:t xml:space="preserve"> </w:t>
      </w:r>
      <w:r>
        <w:t xml:space="preserve">relates to </w:t>
      </w:r>
      <w:r w:rsidRPr="002E54D1">
        <w:t xml:space="preserve">a system for gathering evidence </w:t>
      </w:r>
      <w:r w:rsidR="00A03AD7">
        <w:t>for the purpose of assessing</w:t>
      </w:r>
      <w:r w:rsidRPr="002E54D1">
        <w:t xml:space="preserve"> an individual</w:t>
      </w:r>
      <w:r w:rsidR="00B221C9">
        <w:t>’</w:t>
      </w:r>
      <w:r w:rsidRPr="002E54D1">
        <w:t>s c</w:t>
      </w:r>
      <w:r>
        <w:t>ompetency relative to a recognised qualification standard, such</w:t>
      </w:r>
      <w:r w:rsidRPr="002E54D1">
        <w:t xml:space="preserve"> system including: </w:t>
      </w:r>
    </w:p>
    <w:p w:rsidR="00717B71" w:rsidRPr="002E54D1" w:rsidRDefault="00717B71" w:rsidP="00853217">
      <w:pPr>
        <w:pStyle w:val="ListNo"/>
        <w:numPr>
          <w:ilvl w:val="0"/>
          <w:numId w:val="29"/>
        </w:numPr>
        <w:tabs>
          <w:tab w:val="clear" w:pos="360"/>
        </w:tabs>
        <w:ind w:left="709" w:hanging="709"/>
      </w:pPr>
      <w:r>
        <w:lastRenderedPageBreak/>
        <w:t>a</w:t>
      </w:r>
      <w:r w:rsidRPr="002E54D1">
        <w:t>t least one server computer having a microprocessor, an associated memory or storage device, and a network int</w:t>
      </w:r>
      <w:r>
        <w:t>erface providing access to the i</w:t>
      </w:r>
      <w:r w:rsidRPr="002E54D1">
        <w:t>nternet;</w:t>
      </w:r>
    </w:p>
    <w:p w:rsidR="00717B71" w:rsidRPr="002E54D1" w:rsidRDefault="00717B71" w:rsidP="00853217">
      <w:pPr>
        <w:pStyle w:val="ListNo"/>
        <w:numPr>
          <w:ilvl w:val="0"/>
          <w:numId w:val="29"/>
        </w:numPr>
        <w:tabs>
          <w:tab w:val="clear" w:pos="360"/>
        </w:tabs>
        <w:ind w:left="709" w:hanging="709"/>
      </w:pPr>
      <w:r>
        <w:t>t</w:t>
      </w:r>
      <w:r w:rsidRPr="002E54D1">
        <w:t xml:space="preserve">he memory or storage device including a data store which contains a plurality of questions relating to the competency of the individual to satisfy each of </w:t>
      </w:r>
      <w:r>
        <w:t>a plurality of assessable criteria associated with the recognised qualification standard, said criteria including one or more elements of competency, each of which is associated with one or more performance criteria, wherein the assessable criteria are retrieved via the internet from a remotely-located serv</w:t>
      </w:r>
      <w:r w:rsidR="00A03AD7">
        <w:t>er</w:t>
      </w:r>
      <w:r>
        <w:t xml:space="preserve"> and the questions have been automatically-generated by computerised processing of said elements of competency and performance criteria; and </w:t>
      </w:r>
    </w:p>
    <w:p w:rsidR="00717B71" w:rsidRPr="002E54D1" w:rsidRDefault="00717B71" w:rsidP="00853217">
      <w:pPr>
        <w:pStyle w:val="ListNo"/>
        <w:numPr>
          <w:ilvl w:val="0"/>
          <w:numId w:val="29"/>
        </w:numPr>
        <w:tabs>
          <w:tab w:val="clear" w:pos="360"/>
        </w:tabs>
        <w:ind w:left="709" w:hanging="709"/>
      </w:pPr>
      <w:r>
        <w:t>the memory or</w:t>
      </w:r>
      <w:r w:rsidRPr="002E54D1">
        <w:t xml:space="preserve"> storage device further including instructions executable by the microprocessor such that the server computer is operable to:</w:t>
      </w:r>
    </w:p>
    <w:p w:rsidR="00717B71" w:rsidRPr="002E54D1" w:rsidRDefault="00C47E79" w:rsidP="00C47E79">
      <w:pPr>
        <w:pStyle w:val="ListNo"/>
        <w:ind w:left="1418" w:hanging="709"/>
      </w:pPr>
      <w:r>
        <w:t>(i)</w:t>
      </w:r>
      <w:r>
        <w:tab/>
      </w:r>
      <w:r w:rsidR="00717B71">
        <w:t>p</w:t>
      </w:r>
      <w:r w:rsidR="00717B71" w:rsidRPr="002E54D1">
        <w:t>resent the questions via the internet to a computer of an individual user;</w:t>
      </w:r>
    </w:p>
    <w:p w:rsidR="00717B71" w:rsidRPr="00EC3D9A" w:rsidRDefault="00C47E79" w:rsidP="00C47E79">
      <w:pPr>
        <w:pStyle w:val="ListNo"/>
        <w:ind w:left="1418" w:hanging="709"/>
      </w:pPr>
      <w:r>
        <w:t>(ii)</w:t>
      </w:r>
      <w:r>
        <w:tab/>
      </w:r>
      <w:r w:rsidR="00717B71">
        <w:t>r</w:t>
      </w:r>
      <w:r w:rsidR="00717B71" w:rsidRPr="002E54D1">
        <w:t xml:space="preserve">eceive from the individual user via </w:t>
      </w:r>
      <w:r w:rsidR="002D5F6D">
        <w:t xml:space="preserve">their </w:t>
      </w:r>
      <w:r w:rsidR="00717B71" w:rsidRPr="002E54D1">
        <w:t xml:space="preserve">computer a series of responses to the questions, </w:t>
      </w:r>
      <w:r w:rsidR="002D5F6D">
        <w:t>such</w:t>
      </w:r>
      <w:r w:rsidR="00717B71" w:rsidRPr="002E54D1">
        <w:t xml:space="preserve"> responses including evidence of the individual</w:t>
      </w:r>
      <w:r w:rsidR="00B221C9">
        <w:t>’</w:t>
      </w:r>
      <w:r w:rsidR="00717B71" w:rsidRPr="002E54D1">
        <w:t>s skills, knowledge and experience in re</w:t>
      </w:r>
      <w:r w:rsidR="00717B71">
        <w:t xml:space="preserve">lation to each of the elements </w:t>
      </w:r>
      <w:r w:rsidR="00717B71" w:rsidRPr="002E54D1">
        <w:t>of competency and performance criteria, wherein at least one said response includes the individual specifying one or more files stored on the individual</w:t>
      </w:r>
      <w:r w:rsidR="00B221C9">
        <w:t>’</w:t>
      </w:r>
      <w:r w:rsidR="00717B71" w:rsidRPr="002E54D1">
        <w:t xml:space="preserve">s computer for transfer to the </w:t>
      </w:r>
      <w:r w:rsidR="00717B71" w:rsidRPr="00EC3D9A">
        <w:t xml:space="preserve">server computer; and </w:t>
      </w:r>
    </w:p>
    <w:p w:rsidR="00717B71" w:rsidRPr="00EC3D9A" w:rsidRDefault="00C47E79" w:rsidP="00C47E79">
      <w:pPr>
        <w:pStyle w:val="ListNo"/>
        <w:ind w:left="1418" w:hanging="709"/>
      </w:pPr>
      <w:r>
        <w:t>(iii)</w:t>
      </w:r>
      <w:r>
        <w:tab/>
      </w:r>
      <w:r w:rsidR="00717B71" w:rsidRPr="00EC3D9A">
        <w:t xml:space="preserve">store the responses of the individual user within the associated memory or storage device. </w:t>
      </w:r>
    </w:p>
    <w:p w:rsidR="006C39B4" w:rsidRDefault="00D84849" w:rsidP="00D84849">
      <w:pPr>
        <w:pStyle w:val="Heading1"/>
      </w:pPr>
      <w:r>
        <w:t>PRELIMINARY ISSUE</w:t>
      </w:r>
    </w:p>
    <w:p w:rsidR="00473498" w:rsidRPr="002F5497" w:rsidRDefault="009D63B6" w:rsidP="003A5804">
      <w:pPr>
        <w:pStyle w:val="ParaNumbering"/>
      </w:pPr>
      <w:r w:rsidRPr="002F5497">
        <w:t xml:space="preserve">In </w:t>
      </w:r>
      <w:r w:rsidR="00755EB4">
        <w:t xml:space="preserve">her </w:t>
      </w:r>
      <w:r w:rsidRPr="002F5497">
        <w:t xml:space="preserve">submissions, the Commissioner set out </w:t>
      </w:r>
      <w:r w:rsidR="0029023E">
        <w:t xml:space="preserve">a number of authorities detailing </w:t>
      </w:r>
      <w:r w:rsidRPr="002F5497">
        <w:t xml:space="preserve">the </w:t>
      </w:r>
      <w:r w:rsidR="00BB2022">
        <w:t xml:space="preserve">parameters of her </w:t>
      </w:r>
      <w:r w:rsidRPr="002F5497">
        <w:t xml:space="preserve">role in appeals of this kind.  It is not necessary to exhaustively reproduce those submissions here.  </w:t>
      </w:r>
      <w:r w:rsidR="00342D8E">
        <w:t>Rather, i</w:t>
      </w:r>
      <w:r w:rsidRPr="002F5497">
        <w:t>t is sufficient to note the following</w:t>
      </w:r>
      <w:r w:rsidR="00473498" w:rsidRPr="002F5497">
        <w:t>.</w:t>
      </w:r>
      <w:r w:rsidR="00064223" w:rsidRPr="002F5497">
        <w:t xml:space="preserve"> </w:t>
      </w:r>
    </w:p>
    <w:p w:rsidR="00473498" w:rsidRPr="002F5497" w:rsidRDefault="00473498" w:rsidP="00473498">
      <w:pPr>
        <w:pStyle w:val="ParaNumbering"/>
      </w:pPr>
      <w:r w:rsidRPr="002F5497">
        <w:t>As a general rule, an administrative decision-maker should no</w:t>
      </w:r>
      <w:r w:rsidR="0029023E">
        <w:t>t take an active role in an appeal</w:t>
      </w:r>
      <w:r w:rsidRPr="002F5497">
        <w:t xml:space="preserve"> against their decision, in the sense of seeking to present a substantive argument on appeal </w:t>
      </w:r>
      <w:r w:rsidR="0029023E">
        <w:t xml:space="preserve">in </w:t>
      </w:r>
      <w:r w:rsidRPr="002F5497">
        <w:t xml:space="preserve">support </w:t>
      </w:r>
      <w:r w:rsidR="0029023E">
        <w:t xml:space="preserve">of </w:t>
      </w:r>
      <w:r w:rsidRPr="002F5497">
        <w:t xml:space="preserve">their decision: </w:t>
      </w:r>
      <w:r w:rsidRPr="002F5497">
        <w:rPr>
          <w:i/>
        </w:rPr>
        <w:t>R v Australian Broadcasting Tribunal; ex parte Hardiman</w:t>
      </w:r>
      <w:r w:rsidRPr="002F5497">
        <w:t xml:space="preserve"> (1980) 144 CLR 13 at 35-36.  </w:t>
      </w:r>
    </w:p>
    <w:p w:rsidR="00473498" w:rsidRPr="002F5497" w:rsidRDefault="00473498" w:rsidP="00473498">
      <w:pPr>
        <w:pStyle w:val="ParaNumbering"/>
      </w:pPr>
      <w:r w:rsidRPr="002F5497">
        <w:lastRenderedPageBreak/>
        <w:t xml:space="preserve">In </w:t>
      </w:r>
      <w:r w:rsidRPr="002F5497">
        <w:rPr>
          <w:i/>
        </w:rPr>
        <w:t>Merck &amp; Co Inc v Sankyo Co Ltd</w:t>
      </w:r>
      <w:r w:rsidRPr="002F5497">
        <w:t xml:space="preserve"> (1992) 23 IPR 415, Lockhart J considered the right of the Commissioner to appear and be heard pursuant to r 3 </w:t>
      </w:r>
      <w:r w:rsidR="00657876">
        <w:t>of O 54</w:t>
      </w:r>
      <w:r w:rsidR="00EE1A91">
        <w:t>B of the Federal Court Rules 1979</w:t>
      </w:r>
      <w:r w:rsidR="00657876">
        <w:t xml:space="preserve"> (Cth) </w:t>
      </w:r>
      <w:r w:rsidR="00EE1A91">
        <w:t xml:space="preserve">(as were then in force), s 149 of the </w:t>
      </w:r>
      <w:r w:rsidR="00EE1A91" w:rsidRPr="00EE1A91">
        <w:rPr>
          <w:i/>
        </w:rPr>
        <w:t>Patents Act 1952</w:t>
      </w:r>
      <w:r w:rsidR="00EE1A91">
        <w:t xml:space="preserve"> (Cth) </w:t>
      </w:r>
      <w:r w:rsidRPr="002F5497">
        <w:t xml:space="preserve">and s 159 of the Act.  </w:t>
      </w:r>
      <w:r w:rsidR="00D53EA7">
        <w:t xml:space="preserve">His </w:t>
      </w:r>
      <w:r w:rsidRPr="002F5497">
        <w:t xml:space="preserve">Honour noted that the comments of the High Court in </w:t>
      </w:r>
      <w:r w:rsidRPr="002F5497">
        <w:rPr>
          <w:i/>
        </w:rPr>
        <w:t>Hardiman</w:t>
      </w:r>
      <w:r w:rsidRPr="002F5497">
        <w:t xml:space="preserve"> </w:t>
      </w:r>
      <w:r w:rsidR="002D5F6D">
        <w:t xml:space="preserve">(1980) 144 CLR 13 </w:t>
      </w:r>
      <w:r w:rsidRPr="002F5497">
        <w:t xml:space="preserve">are </w:t>
      </w:r>
      <w:r w:rsidR="00B221C9">
        <w:t>“</w:t>
      </w:r>
      <w:r w:rsidRPr="002F5497">
        <w:t>a salutary reminder that there are difficulties in allowing the commissioner to pursue an active role in the conduct of… an appeal to the court from his own decision or direction (r 3 or s 159) or from his own determination (r 3)</w:t>
      </w:r>
      <w:r w:rsidR="00B221C9">
        <w:t>”</w:t>
      </w:r>
      <w:r w:rsidRPr="002F5497">
        <w:t xml:space="preserve"> (at 417-418).  </w:t>
      </w:r>
      <w:r w:rsidR="00D53EA7">
        <w:t>His Honour</w:t>
      </w:r>
      <w:r w:rsidRPr="002F5497">
        <w:t xml:space="preserve"> </w:t>
      </w:r>
      <w:r w:rsidR="001C2196">
        <w:t xml:space="preserve">further </w:t>
      </w:r>
      <w:r w:rsidRPr="002F5497">
        <w:t>observed (at 418):</w:t>
      </w:r>
    </w:p>
    <w:p w:rsidR="00473498" w:rsidRPr="002F5497" w:rsidRDefault="00473498" w:rsidP="00473498">
      <w:pPr>
        <w:pStyle w:val="Quote2"/>
        <w:rPr>
          <w:i/>
        </w:rPr>
      </w:pPr>
      <w:r w:rsidRPr="002F5497">
        <w:rPr>
          <w:i/>
        </w:rPr>
        <w:t>The commissioner should be heard fully on questions concerning his powers and procedures. His role should be limited when the parties to the proceeding are before the court and each pursues an active role. His role would then be akin to an amicus curiae. But if a party does not appear or does not argue his case before the court, the commissioner should, speaking generally, be allowed more latitude by the court with respect to the issues which he wishes to address and the extent to which he seeks to present a case. Ultimately it is for the court to control the proceeding before it.</w:t>
      </w:r>
    </w:p>
    <w:p w:rsidR="005C05E4" w:rsidRPr="002F5497" w:rsidRDefault="000F7791" w:rsidP="00D876B1">
      <w:pPr>
        <w:pStyle w:val="ParaNumbering"/>
        <w:tabs>
          <w:tab w:val="left" w:pos="3686"/>
        </w:tabs>
      </w:pPr>
      <w:r w:rsidRPr="002F5497">
        <w:t>The role assumed by the Commissioner in a</w:t>
      </w:r>
      <w:r w:rsidR="006C2FA6" w:rsidRPr="002F5497">
        <w:t xml:space="preserve">n appeal to this Court </w:t>
      </w:r>
      <w:r w:rsidRPr="002F5497">
        <w:t xml:space="preserve">is influenced by the public interest in ensuring that patent applications that would be clearly invalid if ultimately granted are not put on the register.  </w:t>
      </w:r>
      <w:smartTag w:uri="urn:schemas-microsoft-com:office:smarttags" w:element="PersonName">
        <w:r w:rsidR="00D53EA7">
          <w:t xml:space="preserve">Justice </w:t>
        </w:r>
        <w:r w:rsidR="00832894" w:rsidRPr="002F5497">
          <w:t>Emmett</w:t>
        </w:r>
      </w:smartTag>
      <w:r w:rsidR="00832894" w:rsidRPr="002F5497">
        <w:t xml:space="preserve"> described this public interest </w:t>
      </w:r>
      <w:r w:rsidR="00F04BF8" w:rsidRPr="002F5497">
        <w:t xml:space="preserve">at </w:t>
      </w:r>
      <w:r w:rsidR="003521E6">
        <w:t xml:space="preserve">66 </w:t>
      </w:r>
      <w:r w:rsidR="00F04BF8" w:rsidRPr="002F5497">
        <w:t xml:space="preserve">[46] </w:t>
      </w:r>
      <w:r w:rsidR="00832894" w:rsidRPr="002F5497">
        <w:t xml:space="preserve">in </w:t>
      </w:r>
      <w:r w:rsidR="00832894" w:rsidRPr="002F5497">
        <w:rPr>
          <w:i/>
        </w:rPr>
        <w:t>F</w:t>
      </w:r>
      <w:r w:rsidR="00D876B1">
        <w:rPr>
          <w:i/>
        </w:rPr>
        <w:t> </w:t>
      </w:r>
      <w:r w:rsidR="00832894" w:rsidRPr="002F5497">
        <w:rPr>
          <w:i/>
        </w:rPr>
        <w:t xml:space="preserve">Hoffman-La Roche AG v New England Biolabs </w:t>
      </w:r>
      <w:r w:rsidR="00C27167" w:rsidRPr="002F5497">
        <w:rPr>
          <w:i/>
        </w:rPr>
        <w:t>Inc</w:t>
      </w:r>
      <w:r w:rsidR="00C27167" w:rsidRPr="002F5497">
        <w:t xml:space="preserve"> (2000) 99 FCR 56 </w:t>
      </w:r>
      <w:r w:rsidR="002D5F6D">
        <w:t>in the following manner</w:t>
      </w:r>
      <w:r w:rsidR="00832894" w:rsidRPr="002F5497">
        <w:t>:</w:t>
      </w:r>
    </w:p>
    <w:p w:rsidR="00605631" w:rsidRPr="002F5497" w:rsidRDefault="00605631" w:rsidP="00605631">
      <w:pPr>
        <w:pStyle w:val="Quote2"/>
        <w:rPr>
          <w:i/>
        </w:rPr>
      </w:pPr>
      <w:r w:rsidRPr="002F5497">
        <w:rPr>
          <w:i/>
        </w:rPr>
        <w:t>There is of course a very significant public interest in ensuring that patents which could not be valid should not be permitted to go on to the register. There is a public interest in ensuring that monopoly is afforded only to patents that are valid. Further, there is a public interest in ensuring that no applicant for a patent should be put in a position to make threats of infringement in respect of a patent that would clearly be revoked in revocation proceedings.</w:t>
      </w:r>
    </w:p>
    <w:p w:rsidR="00064223" w:rsidRPr="002F5497" w:rsidRDefault="003932EA" w:rsidP="00C05F3F">
      <w:pPr>
        <w:pStyle w:val="ParaNumbering"/>
      </w:pPr>
      <w:r w:rsidRPr="002F5497">
        <w:t xml:space="preserve">On this basis and having regard to the </w:t>
      </w:r>
      <w:r w:rsidR="00F64874">
        <w:t xml:space="preserve">fact that the Commissioner is now the only </w:t>
      </w:r>
      <w:r w:rsidR="00C647A5">
        <w:t xml:space="preserve">party </w:t>
      </w:r>
      <w:r w:rsidR="00F64874">
        <w:t xml:space="preserve">before the Court as a contradictor, </w:t>
      </w:r>
      <w:r w:rsidRPr="002F5497">
        <w:t xml:space="preserve">I accept that it is appropriate for the Commissioner to take </w:t>
      </w:r>
      <w:r w:rsidR="00DE6A43">
        <w:t xml:space="preserve">the </w:t>
      </w:r>
      <w:r w:rsidRPr="002F5497">
        <w:t xml:space="preserve">active role </w:t>
      </w:r>
      <w:r w:rsidR="00936A44">
        <w:t xml:space="preserve">that she has adopted </w:t>
      </w:r>
      <w:r w:rsidR="001C2196">
        <w:t>to date</w:t>
      </w:r>
      <w:r w:rsidR="00C27167" w:rsidRPr="002F5497">
        <w:t>,</w:t>
      </w:r>
      <w:r w:rsidR="00B2204E">
        <w:t xml:space="preserve"> which has included</w:t>
      </w:r>
      <w:r w:rsidR="00C27167" w:rsidRPr="002F5497">
        <w:t xml:space="preserve"> making </w:t>
      </w:r>
      <w:r w:rsidR="001C2196">
        <w:t xml:space="preserve">substantive </w:t>
      </w:r>
      <w:r w:rsidR="00C27167" w:rsidRPr="002F5497">
        <w:t xml:space="preserve">submissions on </w:t>
      </w:r>
      <w:r w:rsidR="00B2204E">
        <w:t>whether the invention in question is properly a manner of manufacture</w:t>
      </w:r>
      <w:r w:rsidRPr="002F5497">
        <w:t>.</w:t>
      </w:r>
    </w:p>
    <w:p w:rsidR="003A5804" w:rsidRPr="0011237D" w:rsidRDefault="003A5804" w:rsidP="00BE5FDD">
      <w:pPr>
        <w:pStyle w:val="Heading1"/>
      </w:pPr>
      <w:r w:rsidRPr="0011237D">
        <w:t>RELEVANT LEGAL PRINCIPLES – MANNER OF MANUFACTURE</w:t>
      </w:r>
    </w:p>
    <w:p w:rsidR="00FF5986" w:rsidRDefault="002D5F6D" w:rsidP="00FF5986">
      <w:pPr>
        <w:pStyle w:val="ParaNumbering"/>
      </w:pPr>
      <w:r>
        <w:t>W</w:t>
      </w:r>
      <w:r w:rsidR="00FF5986">
        <w:t xml:space="preserve">hether the claimed invention constitutes a manner of manufacture is the </w:t>
      </w:r>
      <w:r w:rsidR="00C40133">
        <w:t xml:space="preserve">principal </w:t>
      </w:r>
      <w:r w:rsidR="00FF5986">
        <w:t xml:space="preserve">issue </w:t>
      </w:r>
      <w:r w:rsidR="001C2196">
        <w:t xml:space="preserve">regarding </w:t>
      </w:r>
      <w:r w:rsidR="001C0A5A">
        <w:t>the validity of the P</w:t>
      </w:r>
      <w:r w:rsidR="0049091B">
        <w:t xml:space="preserve">atent that falls </w:t>
      </w:r>
      <w:r w:rsidR="00FF5986">
        <w:t>for determination in this proceeding.  The invention that is the subject of the Patent has otherwise been found to be novel and inventive.</w:t>
      </w:r>
    </w:p>
    <w:p w:rsidR="00CC50E0" w:rsidRPr="00436009" w:rsidRDefault="00F7165D" w:rsidP="00F00B0C">
      <w:pPr>
        <w:pStyle w:val="ParaNumbering"/>
      </w:pPr>
      <w:r w:rsidRPr="00436009">
        <w:lastRenderedPageBreak/>
        <w:t xml:space="preserve">The basic requirements of patentability are set out in s 18 of the Act.  </w:t>
      </w:r>
      <w:r w:rsidR="00CC50E0" w:rsidRPr="00436009">
        <w:t>Section 18(1A)</w:t>
      </w:r>
      <w:r w:rsidR="00F00B0C" w:rsidRPr="00436009">
        <w:t>(a)</w:t>
      </w:r>
      <w:r w:rsidR="00CC50E0" w:rsidRPr="00436009">
        <w:t xml:space="preserve"> relevantly provides that an invention is patentable for the purposes of an innovation patent if the invention, so fa</w:t>
      </w:r>
      <w:r w:rsidR="00F00B0C" w:rsidRPr="00436009">
        <w:t xml:space="preserve">r as claimed in any claim, </w:t>
      </w:r>
      <w:r w:rsidR="00CC50E0" w:rsidRPr="00436009">
        <w:t>is a manner of manufactu</w:t>
      </w:r>
      <w:r w:rsidR="0063097C" w:rsidRPr="00436009">
        <w:t>re within the meaning of s</w:t>
      </w:r>
      <w:r w:rsidR="00CC50E0" w:rsidRPr="00436009">
        <w:t xml:space="preserve"> 6 o</w:t>
      </w:r>
      <w:r w:rsidR="00F00B0C" w:rsidRPr="00436009">
        <w:t xml:space="preserve">f the </w:t>
      </w:r>
      <w:r w:rsidR="00F00B0C" w:rsidRPr="00436009">
        <w:rPr>
          <w:i/>
        </w:rPr>
        <w:t>Statute of Monopolies</w:t>
      </w:r>
      <w:r w:rsidR="004B2A31" w:rsidRPr="00436009">
        <w:rPr>
          <w:i/>
        </w:rPr>
        <w:t xml:space="preserve"> 1623</w:t>
      </w:r>
      <w:r w:rsidR="004B2A31" w:rsidRPr="00436009">
        <w:t xml:space="preserve"> (Imp)</w:t>
      </w:r>
      <w:r w:rsidR="00C71529" w:rsidRPr="00436009">
        <w:t xml:space="preserve"> (</w:t>
      </w:r>
      <w:r w:rsidR="00B221C9">
        <w:t>‘</w:t>
      </w:r>
      <w:r w:rsidR="00C71529" w:rsidRPr="00436009">
        <w:t>Statute of Monopolies</w:t>
      </w:r>
      <w:r w:rsidR="00B221C9">
        <w:t>’</w:t>
      </w:r>
      <w:r w:rsidR="00C71529" w:rsidRPr="00436009">
        <w:t>)</w:t>
      </w:r>
      <w:r w:rsidR="00407A36" w:rsidRPr="00436009">
        <w:t>.  This is a threshold requirement for patentability</w:t>
      </w:r>
      <w:r w:rsidR="006853AB" w:rsidRPr="00436009">
        <w:t xml:space="preserve">, </w:t>
      </w:r>
      <w:r w:rsidR="00B221C9">
        <w:t>“</w:t>
      </w:r>
      <w:r w:rsidR="001C2196">
        <w:t>capable of solution upon a study of the specification itself</w:t>
      </w:r>
      <w:r w:rsidR="00B221C9">
        <w:t>”</w:t>
      </w:r>
      <w:r w:rsidR="006853AB" w:rsidRPr="00436009">
        <w:t xml:space="preserve"> (</w:t>
      </w:r>
      <w:r w:rsidR="00C7748C" w:rsidRPr="00436009">
        <w:rPr>
          <w:i/>
        </w:rPr>
        <w:t>CCOM Pty Ltd v Jiejing Pty Ltd</w:t>
      </w:r>
      <w:r w:rsidR="00C7748C" w:rsidRPr="00436009">
        <w:t xml:space="preserve"> (1994) 51 FCR 260 </w:t>
      </w:r>
      <w:r w:rsidR="006853AB" w:rsidRPr="00436009">
        <w:t>at 291</w:t>
      </w:r>
      <w:r w:rsidR="009F004E">
        <w:t xml:space="preserve"> (</w:t>
      </w:r>
      <w:r w:rsidR="00085E6E">
        <w:t>‘</w:t>
      </w:r>
      <w:r w:rsidR="009F004E">
        <w:t>CCOM</w:t>
      </w:r>
      <w:r w:rsidR="00085E6E">
        <w:t>’</w:t>
      </w:r>
      <w:r w:rsidR="009F004E">
        <w:t>)</w:t>
      </w:r>
      <w:r w:rsidR="006853AB" w:rsidRPr="00436009">
        <w:t xml:space="preserve">, citing </w:t>
      </w:r>
      <w:r w:rsidR="006853AB" w:rsidRPr="001678EA">
        <w:rPr>
          <w:i/>
        </w:rPr>
        <w:t>Compagnies Reunies des Glaces et Ver</w:t>
      </w:r>
      <w:r w:rsidR="00E033FF" w:rsidRPr="001678EA">
        <w:rPr>
          <w:i/>
        </w:rPr>
        <w:t>r</w:t>
      </w:r>
      <w:r w:rsidR="006853AB" w:rsidRPr="001678EA">
        <w:rPr>
          <w:i/>
        </w:rPr>
        <w:t>es Speciaux du Nord de la France Application</w:t>
      </w:r>
      <w:r w:rsidR="006853AB" w:rsidRPr="00436009">
        <w:t xml:space="preserve"> (1931) 48 RPC 185 at 188).</w:t>
      </w:r>
    </w:p>
    <w:p w:rsidR="00407A36" w:rsidRDefault="00B221C9" w:rsidP="00945EB6">
      <w:pPr>
        <w:pStyle w:val="ParaNumbering"/>
      </w:pPr>
      <w:r>
        <w:t>‘</w:t>
      </w:r>
      <w:r w:rsidR="00945EB6">
        <w:t>Invention</w:t>
      </w:r>
      <w:r>
        <w:t>’</w:t>
      </w:r>
      <w:r w:rsidR="00945EB6">
        <w:t xml:space="preserve"> is defined in the Dictionary contained in Schedule 1 to the Act as </w:t>
      </w:r>
      <w:r>
        <w:t>“</w:t>
      </w:r>
      <w:r w:rsidR="00945EB6">
        <w:t>any manner of new manufacture the subject of letters patent and grant of privilege within s</w:t>
      </w:r>
      <w:r w:rsidR="00853217">
        <w:t> </w:t>
      </w:r>
      <w:r w:rsidR="00945EB6">
        <w:t>6 of the Statute of Monopolies, and includes an alleged invention</w:t>
      </w:r>
      <w:r>
        <w:t>”</w:t>
      </w:r>
      <w:r w:rsidR="00945EB6">
        <w:t>.</w:t>
      </w:r>
      <w:r w:rsidR="00D232F3">
        <w:t xml:space="preserve">  </w:t>
      </w:r>
    </w:p>
    <w:p w:rsidR="003E0F6F" w:rsidRDefault="00195467" w:rsidP="00945EB6">
      <w:pPr>
        <w:pStyle w:val="ParaNumbering"/>
      </w:pPr>
      <w:r>
        <w:t>Section 6 of the Statute of Monopolies provides that the declarations of invalidity contained in the preceding provisions o</w:t>
      </w:r>
      <w:r w:rsidR="00385359">
        <w:t>f that</w:t>
      </w:r>
      <w:r w:rsidR="003E0F6F">
        <w:t xml:space="preserve"> Act: </w:t>
      </w:r>
    </w:p>
    <w:p w:rsidR="001D31AD" w:rsidRPr="003E0F6F" w:rsidRDefault="00195467" w:rsidP="003E0F6F">
      <w:pPr>
        <w:pStyle w:val="Quote1"/>
        <w:rPr>
          <w:i/>
        </w:rPr>
      </w:pPr>
      <w:r w:rsidRPr="003E0F6F">
        <w:rPr>
          <w:i/>
        </w:rPr>
        <w:t xml:space="preserve">shall not extend to any </w:t>
      </w:r>
      <w:r w:rsidR="00743170" w:rsidRPr="00743170">
        <w:t>[</w:t>
      </w:r>
      <w:r w:rsidRPr="00743170">
        <w:t>letters</w:t>
      </w:r>
      <w:r w:rsidR="00743170">
        <w:t xml:space="preserve"> patent</w:t>
      </w:r>
      <w:r w:rsidR="00743170" w:rsidRPr="00743170">
        <w:t>]</w:t>
      </w:r>
      <w:r w:rsidRPr="003E0F6F">
        <w:rPr>
          <w:i/>
        </w:rPr>
        <w:t xml:space="preserve"> </w:t>
      </w:r>
      <w:r w:rsidR="00743170">
        <w:rPr>
          <w:i/>
        </w:rPr>
        <w:t>and Graunte of P</w:t>
      </w:r>
      <w:r w:rsidRPr="003E0F6F">
        <w:rPr>
          <w:i/>
        </w:rPr>
        <w:t>rivilege… hereafter to be made of the sole working o</w:t>
      </w:r>
      <w:r w:rsidR="00743170">
        <w:rPr>
          <w:i/>
        </w:rPr>
        <w:t>r makinge of any manner of new M</w:t>
      </w:r>
      <w:r w:rsidRPr="003E0F6F">
        <w:rPr>
          <w:i/>
        </w:rPr>
        <w:t xml:space="preserve">anufactures within this </w:t>
      </w:r>
      <w:r w:rsidR="00743170">
        <w:rPr>
          <w:i/>
        </w:rPr>
        <w:t>Realme, to the true and first Inventor and Inventors of such M</w:t>
      </w:r>
      <w:r w:rsidRPr="003E0F6F">
        <w:rPr>
          <w:i/>
        </w:rPr>
        <w:t>anufactures, which others at the tyme</w:t>
      </w:r>
      <w:r w:rsidR="00546871" w:rsidRPr="003E0F6F">
        <w:rPr>
          <w:i/>
        </w:rPr>
        <w:t xml:space="preserve"> of makinge such </w:t>
      </w:r>
      <w:r w:rsidR="00743170" w:rsidRPr="00743170">
        <w:t>[</w:t>
      </w:r>
      <w:r w:rsidR="00546871" w:rsidRPr="00743170">
        <w:t>letters patent</w:t>
      </w:r>
      <w:r w:rsidR="00743170" w:rsidRPr="00743170">
        <w:t>]</w:t>
      </w:r>
      <w:r w:rsidR="00743170">
        <w:rPr>
          <w:i/>
        </w:rPr>
        <w:t xml:space="preserve"> and Graunte</w:t>
      </w:r>
      <w:r w:rsidRPr="003E0F6F">
        <w:rPr>
          <w:i/>
        </w:rPr>
        <w:t xml:space="preserve"> shall not use, soe as alsoe they be not contrary to </w:t>
      </w:r>
      <w:r w:rsidR="00743170">
        <w:rPr>
          <w:i/>
        </w:rPr>
        <w:t>the Lawe nor mischievous to the S</w:t>
      </w:r>
      <w:r w:rsidRPr="003E0F6F">
        <w:rPr>
          <w:i/>
        </w:rPr>
        <w:t>tate</w:t>
      </w:r>
      <w:r w:rsidR="00546871" w:rsidRPr="003E0F6F">
        <w:rPr>
          <w:i/>
        </w:rPr>
        <w:t>,</w:t>
      </w:r>
      <w:r w:rsidR="00743170">
        <w:rPr>
          <w:i/>
        </w:rPr>
        <w:t xml:space="preserve"> by raising</w:t>
      </w:r>
      <w:r w:rsidRPr="003E0F6F">
        <w:rPr>
          <w:i/>
        </w:rPr>
        <w:t xml:space="preserve"> prices of </w:t>
      </w:r>
      <w:r w:rsidR="00743170">
        <w:rPr>
          <w:i/>
        </w:rPr>
        <w:t>Comodities at home, or hurt of T</w:t>
      </w:r>
      <w:r w:rsidRPr="003E0F6F">
        <w:rPr>
          <w:i/>
        </w:rPr>
        <w:t>rade, or generallie inconvenient</w:t>
      </w:r>
      <w:r w:rsidR="00743170">
        <w:rPr>
          <w:i/>
        </w:rPr>
        <w:t>..</w:t>
      </w:r>
      <w:r w:rsidRPr="003E0F6F">
        <w:rPr>
          <w:i/>
        </w:rPr>
        <w:t>.</w:t>
      </w:r>
    </w:p>
    <w:p w:rsidR="002C3606" w:rsidRDefault="002C3606" w:rsidP="002C3606">
      <w:pPr>
        <w:pStyle w:val="ParaNumbering"/>
      </w:pPr>
      <w:r>
        <w:t xml:space="preserve">The Full Court </w:t>
      </w:r>
      <w:r w:rsidR="00F77FE9">
        <w:t xml:space="preserve">of the Federal Court of Australia </w:t>
      </w:r>
      <w:r>
        <w:t xml:space="preserve">in </w:t>
      </w:r>
      <w:r w:rsidRPr="00F77FE9">
        <w:rPr>
          <w:i/>
        </w:rPr>
        <w:t>CCOM</w:t>
      </w:r>
      <w:r w:rsidR="00F77FE9" w:rsidRPr="00F77FE9">
        <w:rPr>
          <w:i/>
        </w:rPr>
        <w:t xml:space="preserve"> </w:t>
      </w:r>
      <w:r>
        <w:t>chronicled the development of this ground of invalidity in patent law in a passage that merits repetition (at 290):</w:t>
      </w:r>
    </w:p>
    <w:p w:rsidR="002C3606" w:rsidRPr="00741CDB" w:rsidRDefault="002C3606" w:rsidP="002C3606">
      <w:pPr>
        <w:pStyle w:val="Quote1"/>
        <w:rPr>
          <w:i/>
        </w:rPr>
      </w:pPr>
      <w:r w:rsidRPr="00741CDB">
        <w:rPr>
          <w:i/>
        </w:rPr>
        <w:t xml:space="preserve">the phrase </w:t>
      </w:r>
      <w:r w:rsidR="00B221C9">
        <w:rPr>
          <w:i/>
        </w:rPr>
        <w:t>“</w:t>
      </w:r>
      <w:r w:rsidRPr="00741CDB">
        <w:rPr>
          <w:i/>
        </w:rPr>
        <w:t>any manner of new manufactures</w:t>
      </w:r>
      <w:r w:rsidR="00B221C9">
        <w:rPr>
          <w:i/>
        </w:rPr>
        <w:t>”</w:t>
      </w:r>
      <w:r w:rsidRPr="00741CDB">
        <w:rPr>
          <w:i/>
        </w:rPr>
        <w:t xml:space="preserve"> </w:t>
      </w:r>
      <w:r>
        <w:t xml:space="preserve">[the phrase that appears in </w:t>
      </w:r>
      <w:r w:rsidR="00DE4C14">
        <w:t xml:space="preserve">s 6 of </w:t>
      </w:r>
      <w:r>
        <w:t xml:space="preserve">the Statute of Monopolies] </w:t>
      </w:r>
      <w:r w:rsidRPr="00741CDB">
        <w:rPr>
          <w:i/>
        </w:rPr>
        <w:t xml:space="preserve">has been interpreted over time in such a way as to contain within it distinct principles or doctrines concerned with patentability: </w:t>
      </w:r>
      <w:r w:rsidRPr="00853217">
        <w:t>Advanced Building Systems Pty Ltd v Ramset Fasteners (</w:t>
      </w:r>
      <w:smartTag w:uri="urn:schemas-microsoft-com:office:smarttags" w:element="place">
        <w:smartTag w:uri="urn:schemas-microsoft-com:office:smarttags" w:element="country-region">
          <w:r w:rsidRPr="00853217">
            <w:t>Australia</w:t>
          </w:r>
        </w:smartTag>
      </w:smartTag>
      <w:r w:rsidRPr="00853217">
        <w:t>) Pty Ltd</w:t>
      </w:r>
      <w:r w:rsidRPr="00741CDB">
        <w:rPr>
          <w:i/>
        </w:rPr>
        <w:t xml:space="preserve"> (1993) 26 IPR 171 at 188-190, per Hill J. They include the necessity for a manner of manufacture itself, for novelty, and for inventiveness. Objections such as lack of utility may have been derived from the prohibition upon manufactures which are </w:t>
      </w:r>
      <w:r w:rsidR="00B221C9">
        <w:rPr>
          <w:i/>
        </w:rPr>
        <w:t>“</w:t>
      </w:r>
      <w:r w:rsidRPr="00741CDB">
        <w:rPr>
          <w:i/>
        </w:rPr>
        <w:t>generally inconvenient</w:t>
      </w:r>
      <w:r w:rsidR="00B221C9">
        <w:rPr>
          <w:i/>
        </w:rPr>
        <w:t>”</w:t>
      </w:r>
      <w:r w:rsidRPr="00741CDB">
        <w:rPr>
          <w:i/>
        </w:rPr>
        <w:t xml:space="preserve">. Others, such as obtaining by false suggestion, derived from the general law attending the writ of scire facias to recall Crown grants and the Chancery jurisdiction in respect of fraudulent grants: </w:t>
      </w:r>
      <w:r w:rsidRPr="00853217">
        <w:t>Prestige Group (</w:t>
      </w:r>
      <w:smartTag w:uri="urn:schemas-microsoft-com:office:smarttags" w:element="place">
        <w:smartTag w:uri="urn:schemas-microsoft-com:office:smarttags" w:element="country-region">
          <w:r w:rsidRPr="00853217">
            <w:t>Australia</w:t>
          </w:r>
        </w:smartTag>
      </w:smartTag>
      <w:r w:rsidRPr="00853217">
        <w:t>) Pty Ltd v Dart Industries Inc</w:t>
      </w:r>
      <w:r w:rsidRPr="00741CDB">
        <w:rPr>
          <w:i/>
        </w:rPr>
        <w:t xml:space="preserve"> (1990) 26 FCR 197 at 213-219. The essential point is that the grounds of revocation were capable of development by the common law and did so develop: </w:t>
      </w:r>
      <w:r w:rsidRPr="00853217">
        <w:t>American Cyanamid Co (Dann</w:t>
      </w:r>
      <w:r w:rsidR="00B221C9">
        <w:t>’</w:t>
      </w:r>
      <w:r w:rsidRPr="00853217">
        <w:t>s) Patent</w:t>
      </w:r>
      <w:r w:rsidRPr="00741CDB">
        <w:rPr>
          <w:i/>
        </w:rPr>
        <w:t xml:space="preserve"> [1971] RPC 425 at 435-436 (Lord Reid), 448-449 (Lord Wilberforce).</w:t>
      </w:r>
    </w:p>
    <w:p w:rsidR="002C3606" w:rsidRDefault="002C3606" w:rsidP="002C3606">
      <w:pPr>
        <w:pStyle w:val="Quote1"/>
        <w:rPr>
          <w:i/>
        </w:rPr>
      </w:pPr>
    </w:p>
    <w:p w:rsidR="002C3606" w:rsidRPr="00741CDB" w:rsidRDefault="002C3606" w:rsidP="002C3606">
      <w:pPr>
        <w:pStyle w:val="Quote1"/>
        <w:rPr>
          <w:i/>
        </w:rPr>
      </w:pPr>
      <w:r w:rsidRPr="00741CDB">
        <w:rPr>
          <w:i/>
        </w:rPr>
        <w:t xml:space="preserve">Particular grounds of invalidity, derived from the case law, were added to the modern statutes. Lack of inventiveness, as distinguished from anticipation, obtained a distinct statutory recognition only in this century and, in Australia, in the 1952 Act: </w:t>
      </w:r>
      <w:r w:rsidRPr="00853217">
        <w:lastRenderedPageBreak/>
        <w:t>R D Werner &amp; Co Inc v Bailey Aluminium Products Pty Ltd</w:t>
      </w:r>
      <w:r w:rsidRPr="00741CDB">
        <w:rPr>
          <w:i/>
        </w:rPr>
        <w:t xml:space="preserve"> (1989) 25 FCR 565 at 573-584, 591-602. As this development continued, the phrase </w:t>
      </w:r>
      <w:r w:rsidR="00B221C9">
        <w:rPr>
          <w:i/>
        </w:rPr>
        <w:t>“</w:t>
      </w:r>
      <w:r w:rsidRPr="00741CDB">
        <w:rPr>
          <w:i/>
        </w:rPr>
        <w:t>manner of new manufactures</w:t>
      </w:r>
      <w:r w:rsidR="00B221C9">
        <w:rPr>
          <w:i/>
        </w:rPr>
        <w:t>”</w:t>
      </w:r>
      <w:r w:rsidRPr="00741CDB">
        <w:rPr>
          <w:i/>
        </w:rPr>
        <w:t xml:space="preserve"> came to represent the residuum of the central concept with which NRDC was concerned, namely what the High Court called the relevant concept of invention. It should be noted that in </w:t>
      </w:r>
      <w:r w:rsidRPr="002D5F6D">
        <w:t>NRDC</w:t>
      </w:r>
      <w:r w:rsidRPr="00741CDB">
        <w:rPr>
          <w:i/>
        </w:rPr>
        <w:t xml:space="preserve"> (at 262) the High Court, which was dealing with the 1952 Act, spoke of the concept of patent law ultimately traceable to the use in 1623 of the words </w:t>
      </w:r>
      <w:r w:rsidR="00B221C9">
        <w:rPr>
          <w:i/>
        </w:rPr>
        <w:t>“</w:t>
      </w:r>
      <w:r w:rsidRPr="00741CDB">
        <w:rPr>
          <w:i/>
        </w:rPr>
        <w:t>manner of manufacture</w:t>
      </w:r>
      <w:r w:rsidR="00B221C9">
        <w:rPr>
          <w:i/>
        </w:rPr>
        <w:t>”</w:t>
      </w:r>
      <w:r w:rsidRPr="00741CDB">
        <w:rPr>
          <w:i/>
        </w:rPr>
        <w:t xml:space="preserve"> and spoke of novelty and inventive step as distinct matters.</w:t>
      </w:r>
    </w:p>
    <w:p w:rsidR="002C3606" w:rsidRDefault="002C3606" w:rsidP="002C3606">
      <w:pPr>
        <w:pStyle w:val="Quote1"/>
        <w:rPr>
          <w:i/>
        </w:rPr>
      </w:pPr>
    </w:p>
    <w:p w:rsidR="002C3606" w:rsidRPr="00741CDB" w:rsidRDefault="002C3606" w:rsidP="002C3606">
      <w:pPr>
        <w:pStyle w:val="Quote1"/>
        <w:rPr>
          <w:i/>
        </w:rPr>
      </w:pPr>
      <w:r w:rsidRPr="00741CDB">
        <w:rPr>
          <w:i/>
        </w:rPr>
        <w:t xml:space="preserve">This distinction is now made clear by the use of the expression </w:t>
      </w:r>
      <w:r w:rsidR="00B221C9">
        <w:rPr>
          <w:i/>
        </w:rPr>
        <w:t>“</w:t>
      </w:r>
      <w:r w:rsidRPr="00741CDB">
        <w:rPr>
          <w:i/>
        </w:rPr>
        <w:t>manner of manufacture</w:t>
      </w:r>
      <w:r w:rsidR="00B221C9">
        <w:rPr>
          <w:i/>
        </w:rPr>
        <w:t>”</w:t>
      </w:r>
      <w:r w:rsidRPr="00741CDB">
        <w:rPr>
          <w:i/>
        </w:rPr>
        <w:t xml:space="preserve"> in s 18 of the 1990 Act. The structure of s 18(1) emphasises that the grounds of novelty, inventive step, utility and secret use are each excised from any general body of case law which previously developed the phrase from 1623 </w:t>
      </w:r>
      <w:r w:rsidR="00B221C9">
        <w:rPr>
          <w:i/>
        </w:rPr>
        <w:t>“</w:t>
      </w:r>
      <w:r w:rsidRPr="00741CDB">
        <w:rPr>
          <w:i/>
        </w:rPr>
        <w:t>manner of new manufactures</w:t>
      </w:r>
      <w:r w:rsidR="00B221C9">
        <w:rPr>
          <w:i/>
        </w:rPr>
        <w:t>”</w:t>
      </w:r>
      <w:r w:rsidRPr="00741CDB">
        <w:rPr>
          <w:i/>
        </w:rPr>
        <w:t xml:space="preserve">. The point is made particularly clear by the reference in par (a) of the subsection to </w:t>
      </w:r>
      <w:r w:rsidR="00B221C9">
        <w:rPr>
          <w:i/>
        </w:rPr>
        <w:t>“</w:t>
      </w:r>
      <w:r w:rsidRPr="00741CDB">
        <w:rPr>
          <w:i/>
        </w:rPr>
        <w:t>manner of manufacture</w:t>
      </w:r>
      <w:r w:rsidR="00B221C9">
        <w:rPr>
          <w:i/>
        </w:rPr>
        <w:t>”</w:t>
      </w:r>
      <w:r w:rsidRPr="00741CDB">
        <w:rPr>
          <w:i/>
        </w:rPr>
        <w:t xml:space="preserve"> rather than to </w:t>
      </w:r>
      <w:r w:rsidR="00B221C9">
        <w:rPr>
          <w:i/>
        </w:rPr>
        <w:t>“</w:t>
      </w:r>
      <w:r w:rsidRPr="00741CDB">
        <w:rPr>
          <w:i/>
        </w:rPr>
        <w:t>manner of new manufactures</w:t>
      </w:r>
      <w:r w:rsidR="00B221C9">
        <w:rPr>
          <w:i/>
        </w:rPr>
        <w:t>”</w:t>
      </w:r>
      <w:r w:rsidRPr="00741CDB">
        <w:rPr>
          <w:i/>
        </w:rPr>
        <w:t>.</w:t>
      </w:r>
    </w:p>
    <w:p w:rsidR="004B3F75" w:rsidRDefault="004B3F75" w:rsidP="00364BCE">
      <w:pPr>
        <w:pStyle w:val="ParaNumbering"/>
      </w:pPr>
      <w:r>
        <w:t xml:space="preserve">Considerable jurisprudence has developed over time to identify the boundaries between </w:t>
      </w:r>
      <w:r w:rsidR="00A50807">
        <w:t>inventions</w:t>
      </w:r>
      <w:r>
        <w:t xml:space="preserve"> falling within the concept of manner of manufacture, and those falling outside it.  This development of the law is ongoing, and is often prompted by developments in technology – for example, the advent of computers.</w:t>
      </w:r>
      <w:r w:rsidR="00BA65C4">
        <w:t xml:space="preserve">  However, c</w:t>
      </w:r>
      <w:r w:rsidR="00E04056">
        <w:t>ourts have long determined that some subject matter is not capable of supporting an application for grant of a patent.</w:t>
      </w:r>
    </w:p>
    <w:p w:rsidR="00CE6CA7" w:rsidRPr="00A17E03" w:rsidRDefault="00E04056" w:rsidP="00364BCE">
      <w:pPr>
        <w:pStyle w:val="ParaNumbering"/>
      </w:pPr>
      <w:r>
        <w:t xml:space="preserve">For example, </w:t>
      </w:r>
      <w:r w:rsidR="00CE6CA7" w:rsidRPr="00A17E03">
        <w:t xml:space="preserve">Sir Robert Finlay AG in the case of </w:t>
      </w:r>
      <w:r w:rsidR="00CE6CA7" w:rsidRPr="00A17E03">
        <w:rPr>
          <w:i/>
        </w:rPr>
        <w:t>Re Cooper</w:t>
      </w:r>
      <w:r w:rsidR="00B221C9">
        <w:rPr>
          <w:i/>
        </w:rPr>
        <w:t>’</w:t>
      </w:r>
      <w:r w:rsidR="00CE6CA7" w:rsidRPr="00A17E03">
        <w:rPr>
          <w:i/>
        </w:rPr>
        <w:t xml:space="preserve">s Application for a Patent </w:t>
      </w:r>
      <w:r w:rsidR="00CE6CA7" w:rsidRPr="00A17E03">
        <w:t xml:space="preserve">(1901) 19 RPC 53 (cited with approval in </w:t>
      </w:r>
      <w:r w:rsidR="00CE6CA7" w:rsidRPr="000862FA">
        <w:rPr>
          <w:i/>
        </w:rPr>
        <w:t xml:space="preserve">Grant </w:t>
      </w:r>
      <w:r w:rsidR="000862FA" w:rsidRPr="000862FA">
        <w:rPr>
          <w:i/>
        </w:rPr>
        <w:t>v Commissioner of Patents</w:t>
      </w:r>
      <w:r w:rsidR="000862FA">
        <w:t xml:space="preserve"> (2006) </w:t>
      </w:r>
      <w:r w:rsidR="00CE6CA7" w:rsidRPr="00A17E03">
        <w:t>154 FCR 62 at 66</w:t>
      </w:r>
      <w:r w:rsidR="00641961">
        <w:t xml:space="preserve"> (</w:t>
      </w:r>
      <w:r w:rsidR="00047A40">
        <w:t>‘</w:t>
      </w:r>
      <w:r w:rsidR="00641961">
        <w:t>Grant</w:t>
      </w:r>
      <w:r w:rsidR="00047A40">
        <w:t>’</w:t>
      </w:r>
      <w:r w:rsidR="00641961">
        <w:t>)</w:t>
      </w:r>
      <w:r w:rsidR="00CE6CA7" w:rsidRPr="00A17E03">
        <w:t xml:space="preserve">) noted </w:t>
      </w:r>
      <w:r w:rsidR="00BB2CE0" w:rsidRPr="00A17E03">
        <w:t xml:space="preserve">at 54 </w:t>
      </w:r>
      <w:r w:rsidR="00CE6CA7" w:rsidRPr="00A17E03">
        <w:t>that a patent cannot be granted in respect of:</w:t>
      </w:r>
    </w:p>
    <w:p w:rsidR="00CE6CA7" w:rsidRPr="00A17E03" w:rsidRDefault="00CE6CA7" w:rsidP="00CE6CA7">
      <w:pPr>
        <w:pStyle w:val="Quote1"/>
        <w:rPr>
          <w:i/>
        </w:rPr>
      </w:pPr>
      <w:r w:rsidRPr="00A17E03">
        <w:rPr>
          <w:i/>
        </w:rPr>
        <w:t xml:space="preserve">a mere scheme or plan – a plan for becoming rich; a plan for the better Government of a State; a plan for the efficient conduct of business.  The subject with reference to which you must apply for a Patent must be one which results in a material product of some substantial character.  The Specification must show how some such material product is to be realised or effected by the alleged invention.  </w:t>
      </w:r>
    </w:p>
    <w:p w:rsidR="000C3375" w:rsidRPr="00A17E03" w:rsidRDefault="000C3375" w:rsidP="00CC50E0">
      <w:pPr>
        <w:pStyle w:val="ParaNumbering"/>
      </w:pPr>
      <w:r w:rsidRPr="00A17E03">
        <w:t xml:space="preserve">Historically, </w:t>
      </w:r>
      <w:r w:rsidR="00175AE3">
        <w:t xml:space="preserve">mere </w:t>
      </w:r>
      <w:r w:rsidRPr="00A17E03">
        <w:t xml:space="preserve">working </w:t>
      </w:r>
      <w:r w:rsidR="00D32216" w:rsidRPr="00A17E03">
        <w:t xml:space="preserve">directions and methods also fell outside the concept of manner of manufacture.  </w:t>
      </w:r>
      <w:r w:rsidR="00101272" w:rsidRPr="00A17E03">
        <w:t xml:space="preserve">The same is true for </w:t>
      </w:r>
      <w:r w:rsidR="000C642D" w:rsidRPr="00A17E03">
        <w:t xml:space="preserve">directions as to how to operate a known article or machine or to carry out a known process so as to produce an old result, even though they may be a different and more efficient </w:t>
      </w:r>
      <w:r w:rsidR="000C642D" w:rsidRPr="00713E63">
        <w:t>method of doing things</w:t>
      </w:r>
      <w:r w:rsidR="00101272" w:rsidRPr="00713E63">
        <w:t xml:space="preserve"> (</w:t>
      </w:r>
      <w:r w:rsidR="009C4387" w:rsidRPr="00713E63">
        <w:rPr>
          <w:i/>
        </w:rPr>
        <w:t>Welcome</w:t>
      </w:r>
      <w:r w:rsidR="009C4387" w:rsidRPr="00713E63">
        <w:t xml:space="preserve"> </w:t>
      </w:r>
      <w:r w:rsidR="009C4387" w:rsidRPr="00713E63">
        <w:rPr>
          <w:i/>
        </w:rPr>
        <w:t xml:space="preserve">Real-Time SA v </w:t>
      </w:r>
      <w:r w:rsidR="00101272" w:rsidRPr="00713E63">
        <w:rPr>
          <w:i/>
        </w:rPr>
        <w:t xml:space="preserve">Catuity </w:t>
      </w:r>
      <w:r w:rsidR="009C4387" w:rsidRPr="00713E63">
        <w:rPr>
          <w:i/>
        </w:rPr>
        <w:t>Inc</w:t>
      </w:r>
      <w:r w:rsidR="009C4387" w:rsidRPr="00713E63">
        <w:t xml:space="preserve"> (2001) 113 FCR 110 </w:t>
      </w:r>
      <w:r w:rsidR="00101272" w:rsidRPr="00713E63">
        <w:t xml:space="preserve">at </w:t>
      </w:r>
      <w:r w:rsidR="00F038AB" w:rsidRPr="00713E63">
        <w:t xml:space="preserve">133 </w:t>
      </w:r>
      <w:r w:rsidR="00101272" w:rsidRPr="00713E63">
        <w:t>[106]</w:t>
      </w:r>
      <w:r w:rsidR="009F004E">
        <w:t xml:space="preserve"> (</w:t>
      </w:r>
      <w:r w:rsidR="00047A40">
        <w:t>‘</w:t>
      </w:r>
      <w:r w:rsidR="009F004E">
        <w:t>Catuity</w:t>
      </w:r>
      <w:r w:rsidR="00047A40">
        <w:t>’</w:t>
      </w:r>
      <w:r w:rsidR="009F004E">
        <w:t>)</w:t>
      </w:r>
      <w:r w:rsidR="00101272" w:rsidRPr="00713E63">
        <w:t>)</w:t>
      </w:r>
      <w:r w:rsidR="000C642D" w:rsidRPr="00713E63">
        <w:t xml:space="preserve">.  </w:t>
      </w:r>
      <w:r w:rsidR="00424B6D" w:rsidRPr="00713E63">
        <w:t>C</w:t>
      </w:r>
      <w:r w:rsidR="00101272" w:rsidRPr="00713E63">
        <w:t xml:space="preserve">ases in which patents have been refused on this basis include </w:t>
      </w:r>
      <w:r w:rsidR="009A41EB" w:rsidRPr="009A41EB">
        <w:rPr>
          <w:i/>
        </w:rPr>
        <w:t>Rolls-</w:t>
      </w:r>
      <w:r w:rsidR="00424B6D" w:rsidRPr="009A41EB">
        <w:rPr>
          <w:i/>
        </w:rPr>
        <w:t>Royce Ltd</w:t>
      </w:r>
      <w:r w:rsidR="00B221C9">
        <w:rPr>
          <w:i/>
        </w:rPr>
        <w:t>’</w:t>
      </w:r>
      <w:r w:rsidR="00424B6D" w:rsidRPr="009A41EB">
        <w:rPr>
          <w:i/>
        </w:rPr>
        <w:t>s Application</w:t>
      </w:r>
      <w:r w:rsidR="00424B6D" w:rsidRPr="009A41EB">
        <w:t xml:space="preserve"> [1963] RPC 251 (a method of operating a</w:t>
      </w:r>
      <w:r w:rsidR="009A41EB" w:rsidRPr="009A41EB">
        <w:t>n</w:t>
      </w:r>
      <w:r w:rsidR="00424B6D" w:rsidRPr="009A41EB">
        <w:t xml:space="preserve"> </w:t>
      </w:r>
      <w:r w:rsidR="009A41EB" w:rsidRPr="009A41EB">
        <w:t xml:space="preserve">aircraft </w:t>
      </w:r>
      <w:r w:rsidR="00424B6D" w:rsidRPr="009A41EB">
        <w:t xml:space="preserve">engine in </w:t>
      </w:r>
      <w:r w:rsidR="009A41EB" w:rsidRPr="009A41EB">
        <w:t xml:space="preserve">such </w:t>
      </w:r>
      <w:r w:rsidR="00424B6D" w:rsidRPr="009A41EB">
        <w:t xml:space="preserve">a way as to reduce noise during take off), </w:t>
      </w:r>
      <w:r w:rsidR="00424B6D" w:rsidRPr="001159FC">
        <w:rPr>
          <w:i/>
        </w:rPr>
        <w:t>Re Brown</w:t>
      </w:r>
      <w:r w:rsidR="00424B6D" w:rsidRPr="001159FC">
        <w:t xml:space="preserve"> (1899) 5 ALR 81 (an improved method of preventing the </w:t>
      </w:r>
      <w:r w:rsidR="001159FC" w:rsidRPr="001159FC">
        <w:t>fraudulent re-use of sales book</w:t>
      </w:r>
      <w:r w:rsidR="00424B6D" w:rsidRPr="001159FC">
        <w:t xml:space="preserve"> dockets), </w:t>
      </w:r>
      <w:r w:rsidR="00424B6D" w:rsidRPr="001159FC">
        <w:rPr>
          <w:i/>
        </w:rPr>
        <w:t>Commissioner</w:t>
      </w:r>
      <w:r w:rsidR="00424B6D" w:rsidRPr="004A78BF">
        <w:rPr>
          <w:i/>
        </w:rPr>
        <w:t xml:space="preserve"> of Patents v Lee</w:t>
      </w:r>
      <w:r w:rsidR="00424B6D" w:rsidRPr="004A78BF">
        <w:t xml:space="preserve"> (1913) 16 CLR 138 (improved methods for </w:t>
      </w:r>
      <w:r w:rsidR="00424B6D" w:rsidRPr="00F57BD3">
        <w:t xml:space="preserve">charcoal burning), </w:t>
      </w:r>
      <w:r w:rsidR="004A78BF" w:rsidRPr="00F57BD3">
        <w:rPr>
          <w:i/>
        </w:rPr>
        <w:t>N</w:t>
      </w:r>
      <w:r w:rsidR="00424B6D" w:rsidRPr="00F57BD3">
        <w:rPr>
          <w:i/>
        </w:rPr>
        <w:t>e</w:t>
      </w:r>
      <w:r w:rsidR="004A78BF" w:rsidRPr="00F57BD3">
        <w:rPr>
          <w:i/>
        </w:rPr>
        <w:t>i</w:t>
      </w:r>
      <w:r w:rsidR="00424B6D" w:rsidRPr="00F57BD3">
        <w:rPr>
          <w:i/>
        </w:rPr>
        <w:t xml:space="preserve">lson v </w:t>
      </w:r>
      <w:r w:rsidR="004A78BF" w:rsidRPr="00F57BD3">
        <w:rPr>
          <w:i/>
        </w:rPr>
        <w:t xml:space="preserve">The </w:t>
      </w:r>
      <w:r w:rsidR="00424B6D" w:rsidRPr="00F57BD3">
        <w:rPr>
          <w:i/>
        </w:rPr>
        <w:t xml:space="preserve">Minister </w:t>
      </w:r>
      <w:r w:rsidR="004A78BF" w:rsidRPr="00F57BD3">
        <w:rPr>
          <w:i/>
        </w:rPr>
        <w:t xml:space="preserve">of Public Works for </w:t>
      </w:r>
      <w:r w:rsidR="00424B6D" w:rsidRPr="00F57BD3">
        <w:rPr>
          <w:i/>
        </w:rPr>
        <w:t>NSW</w:t>
      </w:r>
      <w:r w:rsidR="00424B6D" w:rsidRPr="00F57BD3">
        <w:t xml:space="preserve"> (1914) 18 CLR 423 (improved </w:t>
      </w:r>
      <w:r w:rsidR="00424B6D" w:rsidRPr="00F57BD3">
        <w:lastRenderedPageBreak/>
        <w:t xml:space="preserve">methods for utilising an existing mechanism of septic tank purification), and </w:t>
      </w:r>
      <w:r w:rsidR="00424B6D" w:rsidRPr="00F57BD3">
        <w:rPr>
          <w:i/>
        </w:rPr>
        <w:t>Rogers v Commissioner of Patents</w:t>
      </w:r>
      <w:r w:rsidR="00424B6D" w:rsidRPr="00F57BD3">
        <w:t xml:space="preserve"> (1910) 10 CLR 701 (method for felling trees using fire): see </w:t>
      </w:r>
      <w:r w:rsidR="00424B6D" w:rsidRPr="00F57BD3">
        <w:rPr>
          <w:i/>
        </w:rPr>
        <w:t>Catuity</w:t>
      </w:r>
      <w:r w:rsidR="00424B6D" w:rsidRPr="00F57BD3">
        <w:t xml:space="preserve"> at 133 [106].</w:t>
      </w:r>
      <w:r w:rsidR="00424B6D" w:rsidRPr="00A17E03">
        <w:t xml:space="preserve"> </w:t>
      </w:r>
      <w:r w:rsidR="00F15036" w:rsidRPr="00A17E03">
        <w:t xml:space="preserve"> </w:t>
      </w:r>
    </w:p>
    <w:p w:rsidR="00E0212D" w:rsidRDefault="00F15036" w:rsidP="00CC50E0">
      <w:pPr>
        <w:pStyle w:val="ParaNumbering"/>
      </w:pPr>
      <w:r w:rsidRPr="00A17E03">
        <w:t xml:space="preserve">Also </w:t>
      </w:r>
      <w:r w:rsidR="0049107C" w:rsidRPr="00A17E03">
        <w:t xml:space="preserve">historically rejected were patents for </w:t>
      </w:r>
      <w:r w:rsidR="00B221C9">
        <w:t>“</w:t>
      </w:r>
      <w:r w:rsidR="0049107C" w:rsidRPr="00A17E03">
        <w:t>methods of calculation and theoretical schemes, plans and arrangements</w:t>
      </w:r>
      <w:r w:rsidR="00B221C9">
        <w:t>”</w:t>
      </w:r>
      <w:r w:rsidR="001B243D" w:rsidRPr="00A17E03">
        <w:t xml:space="preserve"> (</w:t>
      </w:r>
      <w:r w:rsidR="00C641EC" w:rsidRPr="003C40D3">
        <w:rPr>
          <w:i/>
        </w:rPr>
        <w:t xml:space="preserve">Catuity </w:t>
      </w:r>
      <w:r w:rsidR="001B243D" w:rsidRPr="00A17E03">
        <w:t>at 133 [107])</w:t>
      </w:r>
      <w:r w:rsidR="00E0212D" w:rsidRPr="00A17E03">
        <w:t>,</w:t>
      </w:r>
      <w:r w:rsidR="0049107C" w:rsidRPr="00A17E03">
        <w:t xml:space="preserve"> such as</w:t>
      </w:r>
      <w:r w:rsidR="00E0212D" w:rsidRPr="00A17E03">
        <w:t>:</w:t>
      </w:r>
      <w:r w:rsidR="0049107C" w:rsidRPr="00A17E03">
        <w:t xml:space="preserve"> </w:t>
      </w:r>
    </w:p>
    <w:p w:rsidR="00E0212D" w:rsidRPr="00B46679" w:rsidRDefault="0049107C" w:rsidP="00E0212D">
      <w:pPr>
        <w:pStyle w:val="FCBullets"/>
      </w:pPr>
      <w:r w:rsidRPr="00B46679">
        <w:t>a stellar chart for ascertaining the position of an aircraft in flight (</w:t>
      </w:r>
      <w:r w:rsidR="00B46679" w:rsidRPr="00B46679">
        <w:rPr>
          <w:i/>
        </w:rPr>
        <w:t xml:space="preserve">Re an Application for a Patent by Kelvin &amp; Hughes Ltd </w:t>
      </w:r>
      <w:r w:rsidR="00E0212D" w:rsidRPr="00B46679">
        <w:t xml:space="preserve">(1954) 71 RPC 103); </w:t>
      </w:r>
    </w:p>
    <w:p w:rsidR="00E0212D" w:rsidRPr="0043443A" w:rsidRDefault="0049107C" w:rsidP="00E0212D">
      <w:pPr>
        <w:pStyle w:val="FCBullets"/>
      </w:pPr>
      <w:r w:rsidRPr="0043443A">
        <w:t xml:space="preserve">a plan relating to the layout of </w:t>
      </w:r>
      <w:r w:rsidR="00796D60" w:rsidRPr="0043443A">
        <w:t xml:space="preserve">contiguous </w:t>
      </w:r>
      <w:r w:rsidRPr="0043443A">
        <w:t xml:space="preserve">houses in a row or terrace so as to </w:t>
      </w:r>
      <w:r w:rsidR="00796D60" w:rsidRPr="0043443A">
        <w:t xml:space="preserve">address the disadvantages typically associated with building houses in </w:t>
      </w:r>
      <w:r w:rsidR="00C641EC">
        <w:t>such a manner</w:t>
      </w:r>
      <w:r w:rsidR="00796D60" w:rsidRPr="0043443A">
        <w:t xml:space="preserve">, namely, that they </w:t>
      </w:r>
      <w:r w:rsidR="00B221C9">
        <w:t>“</w:t>
      </w:r>
      <w:r w:rsidR="00796D60" w:rsidRPr="0043443A">
        <w:t>do not as a rule add to the adornment of a town</w:t>
      </w:r>
      <w:r w:rsidR="00B221C9">
        <w:t>”</w:t>
      </w:r>
      <w:r w:rsidR="00796D60" w:rsidRPr="0043443A">
        <w:t xml:space="preserve">, and </w:t>
      </w:r>
      <w:r w:rsidR="00B221C9">
        <w:t>“</w:t>
      </w:r>
      <w:r w:rsidR="00796D60" w:rsidRPr="0043443A">
        <w:t xml:space="preserve">they offer but comparatively little privacy, the tenants </w:t>
      </w:r>
      <w:r w:rsidR="00B221C9">
        <w:t>“</w:t>
      </w:r>
      <w:r w:rsidR="00796D60" w:rsidRPr="0043443A">
        <w:t>being exposed to the eyes of the neighbours on either side</w:t>
      </w:r>
      <w:r w:rsidR="00B221C9">
        <w:t>”“</w:t>
      </w:r>
      <w:r w:rsidRPr="0043443A">
        <w:t xml:space="preserve"> (</w:t>
      </w:r>
      <w:r w:rsidR="00796D60" w:rsidRPr="0043443A">
        <w:rPr>
          <w:i/>
        </w:rPr>
        <w:t>Re an Application for a Patent by ESP</w:t>
      </w:r>
      <w:r w:rsidRPr="0043443A">
        <w:rPr>
          <w:i/>
        </w:rPr>
        <w:t xml:space="preserve"> </w:t>
      </w:r>
      <w:r w:rsidRPr="0043443A">
        <w:t>(1944) 62 RPC 87)</w:t>
      </w:r>
      <w:r w:rsidR="00E0212D" w:rsidRPr="0043443A">
        <w:t>;</w:t>
      </w:r>
      <w:r w:rsidR="00B84173" w:rsidRPr="0043443A">
        <w:t xml:space="preserve"> </w:t>
      </w:r>
    </w:p>
    <w:p w:rsidR="00F15036" w:rsidRPr="002C0860" w:rsidRDefault="0049107C" w:rsidP="00E0212D">
      <w:pPr>
        <w:pStyle w:val="FCBullets"/>
      </w:pPr>
      <w:r w:rsidRPr="002C0860">
        <w:t>an arrangement of buoys for navigational purposes (</w:t>
      </w:r>
      <w:r w:rsidRPr="002C0860">
        <w:rPr>
          <w:i/>
        </w:rPr>
        <w:t xml:space="preserve">Re </w:t>
      </w:r>
      <w:r w:rsidR="002C0860" w:rsidRPr="002C0860">
        <w:rPr>
          <w:i/>
        </w:rPr>
        <w:t xml:space="preserve">an Application for a Patent by W </w:t>
      </w:r>
      <w:r w:rsidR="00B84173" w:rsidRPr="002C0860">
        <w:t>(1914) 31 RPC 141); and</w:t>
      </w:r>
    </w:p>
    <w:p w:rsidR="00B84173" w:rsidRPr="007E6701" w:rsidRDefault="00B84173" w:rsidP="00E0212D">
      <w:pPr>
        <w:pStyle w:val="FCBullets"/>
      </w:pPr>
      <w:r w:rsidRPr="007E6701">
        <w:t xml:space="preserve">a system of business </w:t>
      </w:r>
      <w:r w:rsidR="007E6701" w:rsidRPr="007E6701">
        <w:t>(</w:t>
      </w:r>
      <w:r w:rsidR="005614EE">
        <w:t xml:space="preserve">the </w:t>
      </w:r>
      <w:r w:rsidRPr="007E6701">
        <w:t xml:space="preserve">implementation </w:t>
      </w:r>
      <w:r w:rsidR="005614EE">
        <w:t xml:space="preserve">of which </w:t>
      </w:r>
      <w:r w:rsidRPr="007E6701">
        <w:t>involved the use of a printed envelope with a particular arrangement of words</w:t>
      </w:r>
      <w:r w:rsidR="007E6701" w:rsidRPr="007E6701">
        <w:t xml:space="preserve">: </w:t>
      </w:r>
      <w:r w:rsidRPr="007E6701">
        <w:rPr>
          <w:i/>
        </w:rPr>
        <w:t>Re Johnson</w:t>
      </w:r>
      <w:r w:rsidR="00B221C9">
        <w:rPr>
          <w:i/>
        </w:rPr>
        <w:t>’</w:t>
      </w:r>
      <w:r w:rsidRPr="007E6701">
        <w:rPr>
          <w:i/>
        </w:rPr>
        <w:t>s Application for a Patent</w:t>
      </w:r>
      <w:r w:rsidR="007E6701" w:rsidRPr="007E6701">
        <w:t xml:space="preserve"> (1902</w:t>
      </w:r>
      <w:r w:rsidRPr="007E6701">
        <w:t>) 19 RPC 56).</w:t>
      </w:r>
    </w:p>
    <w:p w:rsidR="00B84173" w:rsidRDefault="00B84173" w:rsidP="00B84173">
      <w:pPr>
        <w:pStyle w:val="NoNum"/>
      </w:pPr>
      <w:r>
        <w:t xml:space="preserve">See </w:t>
      </w:r>
      <w:r w:rsidRPr="00DA54E4">
        <w:rPr>
          <w:i/>
        </w:rPr>
        <w:t>Catuity</w:t>
      </w:r>
      <w:r>
        <w:t xml:space="preserve"> at 133 [107]; </w:t>
      </w:r>
      <w:r w:rsidR="001F4381">
        <w:t xml:space="preserve">and </w:t>
      </w:r>
      <w:r w:rsidRPr="00DA54E4">
        <w:rPr>
          <w:i/>
        </w:rPr>
        <w:t xml:space="preserve">Grant </w:t>
      </w:r>
      <w:r>
        <w:t>at 67 [16].</w:t>
      </w:r>
    </w:p>
    <w:p w:rsidR="00EC6437" w:rsidRDefault="00EC6437" w:rsidP="00CC50E0">
      <w:pPr>
        <w:pStyle w:val="ParaNumbering"/>
      </w:pPr>
      <w:r>
        <w:t xml:space="preserve">The same can be said for processes of mathematical operations, and </w:t>
      </w:r>
      <w:r w:rsidR="00B221C9">
        <w:t>“</w:t>
      </w:r>
      <w:r>
        <w:t>printed sheets, cards, tickets or the like which are mere records of intelligence</w:t>
      </w:r>
      <w:r w:rsidR="00B221C9">
        <w:t>”</w:t>
      </w:r>
      <w:r w:rsidR="00CF018E">
        <w:t xml:space="preserve"> (see </w:t>
      </w:r>
      <w:r w:rsidR="00CF018E" w:rsidRPr="005B6BB2">
        <w:rPr>
          <w:i/>
        </w:rPr>
        <w:t>CCOM</w:t>
      </w:r>
      <w:r w:rsidR="009F004E">
        <w:t xml:space="preserve"> </w:t>
      </w:r>
      <w:r w:rsidR="00CF018E">
        <w:t>at 292</w:t>
      </w:r>
      <w:r w:rsidR="00AB413F">
        <w:t xml:space="preserve">, citing the comments of Professor </w:t>
      </w:r>
      <w:r w:rsidR="00637912">
        <w:t xml:space="preserve">James </w:t>
      </w:r>
      <w:r w:rsidR="00AB413F">
        <w:t>Lahore</w:t>
      </w:r>
      <w:r w:rsidR="00A414F0">
        <w:t xml:space="preserve"> in his article </w:t>
      </w:r>
      <w:r w:rsidR="00B221C9">
        <w:t>“</w:t>
      </w:r>
      <w:r w:rsidR="00A414F0">
        <w:t>Computers and the Law: The Protection of Intellectual Property</w:t>
      </w:r>
      <w:r w:rsidR="00B221C9">
        <w:t>”</w:t>
      </w:r>
      <w:r w:rsidR="00A414F0">
        <w:t xml:space="preserve"> (1978) 9 </w:t>
      </w:r>
      <w:r w:rsidR="00A414F0" w:rsidRPr="00A414F0">
        <w:rPr>
          <w:i/>
        </w:rPr>
        <w:t>Federal Law Review</w:t>
      </w:r>
      <w:r w:rsidR="00A414F0">
        <w:t xml:space="preserve"> 15</w:t>
      </w:r>
      <w:r>
        <w:t>).</w:t>
      </w:r>
    </w:p>
    <w:p w:rsidR="00083D89" w:rsidRPr="003F67BD" w:rsidRDefault="0095171E" w:rsidP="00CC50E0">
      <w:pPr>
        <w:pStyle w:val="ParaNumbering"/>
      </w:pPr>
      <w:r>
        <w:t xml:space="preserve">Against the background of these </w:t>
      </w:r>
      <w:r w:rsidR="00175AE3">
        <w:t>decisions and the reasons provided in them</w:t>
      </w:r>
      <w:r w:rsidR="00364BCE">
        <w:t>, t</w:t>
      </w:r>
      <w:r w:rsidR="00D37350" w:rsidRPr="003F67BD">
        <w:t xml:space="preserve">he decision of the High Court in </w:t>
      </w:r>
      <w:r w:rsidR="00D37350" w:rsidRPr="005B6BB2">
        <w:rPr>
          <w:i/>
        </w:rPr>
        <w:t>N</w:t>
      </w:r>
      <w:r w:rsidR="005B6BB2">
        <w:rPr>
          <w:i/>
        </w:rPr>
        <w:t xml:space="preserve">ational </w:t>
      </w:r>
      <w:r w:rsidR="00D37350" w:rsidRPr="005B6BB2">
        <w:rPr>
          <w:i/>
        </w:rPr>
        <w:t>R</w:t>
      </w:r>
      <w:r w:rsidR="005B6BB2">
        <w:rPr>
          <w:i/>
        </w:rPr>
        <w:t xml:space="preserve">esearch </w:t>
      </w:r>
      <w:r w:rsidR="00D37350" w:rsidRPr="005B6BB2">
        <w:rPr>
          <w:i/>
        </w:rPr>
        <w:t>D</w:t>
      </w:r>
      <w:r w:rsidR="005B6BB2">
        <w:rPr>
          <w:i/>
        </w:rPr>
        <w:t xml:space="preserve">evelopment </w:t>
      </w:r>
      <w:r w:rsidR="00D37350" w:rsidRPr="005B6BB2">
        <w:rPr>
          <w:i/>
        </w:rPr>
        <w:t>C</w:t>
      </w:r>
      <w:r w:rsidR="005B6BB2">
        <w:rPr>
          <w:i/>
        </w:rPr>
        <w:t>orporation</w:t>
      </w:r>
      <w:r w:rsidR="00C641EC">
        <w:rPr>
          <w:i/>
        </w:rPr>
        <w:t xml:space="preserve"> v Commissioner of Patents</w:t>
      </w:r>
      <w:r w:rsidR="00D37350" w:rsidRPr="003F67BD">
        <w:t xml:space="preserve"> </w:t>
      </w:r>
      <w:r w:rsidR="005B6BB2">
        <w:t xml:space="preserve">(1959) 102 CLR 252 </w:t>
      </w:r>
      <w:r w:rsidR="0048549D">
        <w:t>(</w:t>
      </w:r>
      <w:r w:rsidR="00047A40">
        <w:t>‘</w:t>
      </w:r>
      <w:r w:rsidR="0048549D">
        <w:t>NRDC</w:t>
      </w:r>
      <w:r w:rsidR="00047A40">
        <w:t>’</w:t>
      </w:r>
      <w:r w:rsidR="0048549D">
        <w:t xml:space="preserve">) </w:t>
      </w:r>
      <w:r w:rsidR="00D37350" w:rsidRPr="003F67BD">
        <w:t xml:space="preserve">provides the </w:t>
      </w:r>
      <w:r w:rsidR="00175AE3">
        <w:t xml:space="preserve">principles </w:t>
      </w:r>
      <w:r w:rsidR="00D37350" w:rsidRPr="003F67BD">
        <w:t xml:space="preserve">for determining what constitutes a manner of manufacture.  </w:t>
      </w:r>
    </w:p>
    <w:p w:rsidR="00CC50E0" w:rsidRDefault="001A2DF8" w:rsidP="00CC50E0">
      <w:pPr>
        <w:pStyle w:val="ParaNumbering"/>
      </w:pPr>
      <w:r>
        <w:t xml:space="preserve">Justice </w:t>
      </w:r>
      <w:r w:rsidR="001A1BF9">
        <w:t xml:space="preserve">Nicholas in </w:t>
      </w:r>
      <w:r w:rsidR="001A1BF9" w:rsidRPr="005A694F">
        <w:rPr>
          <w:i/>
        </w:rPr>
        <w:t>Cancer Voices</w:t>
      </w:r>
      <w:r w:rsidR="005A694F" w:rsidRPr="005A694F">
        <w:rPr>
          <w:i/>
        </w:rPr>
        <w:t xml:space="preserve"> </w:t>
      </w:r>
      <w:smartTag w:uri="urn:schemas-microsoft-com:office:smarttags" w:element="place">
        <w:smartTag w:uri="urn:schemas-microsoft-com:office:smarttags" w:element="country-region">
          <w:r w:rsidR="005A694F" w:rsidRPr="005A694F">
            <w:rPr>
              <w:i/>
            </w:rPr>
            <w:t>Australia</w:t>
          </w:r>
        </w:smartTag>
      </w:smartTag>
      <w:r w:rsidR="005A694F" w:rsidRPr="005A694F">
        <w:rPr>
          <w:i/>
        </w:rPr>
        <w:t xml:space="preserve"> v Myriad Genetics Inc</w:t>
      </w:r>
      <w:r w:rsidR="001A1BF9">
        <w:t xml:space="preserve"> </w:t>
      </w:r>
      <w:r w:rsidR="005A694F">
        <w:t xml:space="preserve">(2013) </w:t>
      </w:r>
      <w:r w:rsidR="005F7AF9">
        <w:t xml:space="preserve">99 IPR 567 at 582-583 </w:t>
      </w:r>
      <w:r w:rsidR="001C7CF1">
        <w:t>summarised</w:t>
      </w:r>
      <w:r w:rsidR="001A1BF9">
        <w:t xml:space="preserve"> the reception of </w:t>
      </w:r>
      <w:r w:rsidR="00FA3AC0" w:rsidRPr="00FA3AC0">
        <w:rPr>
          <w:i/>
        </w:rPr>
        <w:t>NRDC</w:t>
      </w:r>
      <w:r w:rsidR="001C7CF1">
        <w:t xml:space="preserve"> as follows</w:t>
      </w:r>
      <w:r w:rsidR="001A1BF9">
        <w:t>:</w:t>
      </w:r>
    </w:p>
    <w:p w:rsidR="00B10DE6" w:rsidRDefault="00B10DE6" w:rsidP="00B10DE6">
      <w:pPr>
        <w:pStyle w:val="Quote1"/>
        <w:rPr>
          <w:i/>
        </w:rPr>
      </w:pPr>
      <w:r w:rsidRPr="00B10DE6">
        <w:rPr>
          <w:i/>
        </w:rPr>
        <w:lastRenderedPageBreak/>
        <w:t xml:space="preserve">The case was described by </w:t>
      </w:r>
      <w:r w:rsidRPr="00853217">
        <w:t>Barwick CJ in Joos v Commissioner of Patents</w:t>
      </w:r>
      <w:r w:rsidRPr="00B10DE6">
        <w:rPr>
          <w:i/>
        </w:rPr>
        <w:t xml:space="preserve"> (1972) 126 CLR 611 at 616 ; [1972–73] ALR 831 at 833 ; 1A IPR 172 at 174 as a </w:t>
      </w:r>
      <w:r w:rsidR="00B221C9">
        <w:rPr>
          <w:i/>
        </w:rPr>
        <w:t>“</w:t>
      </w:r>
      <w:r w:rsidRPr="00B10DE6">
        <w:rPr>
          <w:i/>
        </w:rPr>
        <w:t>watershed</w:t>
      </w:r>
      <w:r w:rsidR="00B221C9">
        <w:rPr>
          <w:i/>
        </w:rPr>
        <w:t>”</w:t>
      </w:r>
      <w:r w:rsidRPr="00B10DE6">
        <w:rPr>
          <w:i/>
        </w:rPr>
        <w:t xml:space="preserve"> in this area of law, and in </w:t>
      </w:r>
      <w:r w:rsidRPr="002045D2">
        <w:t>Grain Pool of Western Australia v Commonwealth</w:t>
      </w:r>
      <w:r w:rsidRPr="00B10DE6">
        <w:rPr>
          <w:i/>
        </w:rPr>
        <w:t xml:space="preserve"> (2000) 202 CLR 479 ; 170 ALR 111 ; 46 IPR 515 ; [2000] HCA 14 at [45] (Grain Pool) Gleeson CJ, Gaudron, McHugh, Gummow, Hayne and Callinan JJ referred to it as a </w:t>
      </w:r>
      <w:r w:rsidR="00B221C9">
        <w:rPr>
          <w:i/>
        </w:rPr>
        <w:t>“</w:t>
      </w:r>
      <w:r w:rsidRPr="00B10DE6">
        <w:rPr>
          <w:i/>
        </w:rPr>
        <w:t>celebrated judgment</w:t>
      </w:r>
      <w:r w:rsidR="00B221C9">
        <w:rPr>
          <w:i/>
        </w:rPr>
        <w:t>”</w:t>
      </w:r>
      <w:r w:rsidRPr="00B10DE6">
        <w:rPr>
          <w:i/>
        </w:rPr>
        <w:t xml:space="preserve">. As the Full Court (Spender, Gummow and Heerey JJ) explained in </w:t>
      </w:r>
      <w:r w:rsidRPr="002045D2">
        <w:t>CCOM Pty Ltd v Jiejing Pty Ltd</w:t>
      </w:r>
      <w:r w:rsidRPr="00B10DE6">
        <w:rPr>
          <w:i/>
        </w:rPr>
        <w:t xml:space="preserve"> (1994) 51 FCR 260 at 289; 122 ALR 417 at 444–5; 28 IPR 481 at 508–9:</w:t>
      </w:r>
    </w:p>
    <w:p w:rsidR="002045D2" w:rsidRPr="00B10DE6" w:rsidRDefault="002045D2" w:rsidP="00B10DE6">
      <w:pPr>
        <w:pStyle w:val="Quote1"/>
        <w:rPr>
          <w:i/>
        </w:rPr>
      </w:pPr>
    </w:p>
    <w:p w:rsidR="00B10DE6" w:rsidRPr="00B10DE6" w:rsidRDefault="00B10DE6" w:rsidP="00B10DE6">
      <w:pPr>
        <w:pStyle w:val="Quote2"/>
      </w:pPr>
      <w:r w:rsidRPr="00B10DE6">
        <w:t xml:space="preserve">In </w:t>
      </w:r>
      <w:smartTag w:uri="urn:schemas-microsoft-com:office:smarttags" w:element="place">
        <w:smartTag w:uri="urn:schemas-microsoft-com:office:smarttags" w:element="country-region">
          <w:r w:rsidRPr="00B10DE6">
            <w:t>Australia</w:t>
          </w:r>
        </w:smartTag>
      </w:smartTag>
      <w:r w:rsidRPr="00B10DE6">
        <w:t xml:space="preserve">, when the 1952 Act was replaced by the 1990 Act, the new British legislation was not followed. There was in s 18(2) an express exclusion from patentable inventions of human beings and biological processes for their generation. Beyond that the legislature left the matter, in terms of s 18(1)(a), to rest with the concept of manner of manufacture within the meaning of s 6 of the Statute of Monopolies, as developed by the courts, notably in the </w:t>
      </w:r>
      <w:r w:rsidRPr="003E3237">
        <w:rPr>
          <w:i/>
        </w:rPr>
        <w:t>NRDC</w:t>
      </w:r>
      <w:r w:rsidRPr="00B10DE6">
        <w:t xml:space="preserve"> case. This was a matter of deliberate legislative choice.</w:t>
      </w:r>
    </w:p>
    <w:p w:rsidR="001A1BF9" w:rsidRPr="00CC50E0" w:rsidRDefault="00A7174A" w:rsidP="00B10DE6">
      <w:pPr>
        <w:pStyle w:val="ParaNumbering"/>
      </w:pPr>
      <w:r>
        <w:t xml:space="preserve">Three claims were in issue in </w:t>
      </w:r>
      <w:r w:rsidRPr="000B722C">
        <w:rPr>
          <w:i/>
        </w:rPr>
        <w:t>NRDC</w:t>
      </w:r>
      <w:r w:rsidR="00290CC1">
        <w:t xml:space="preserve">, all of which were method claims </w:t>
      </w:r>
      <w:r>
        <w:t xml:space="preserve">relating to eradication of weeds from crop areas containing leguminous fodder crops </w:t>
      </w:r>
      <w:r w:rsidR="001D31AD">
        <w:t>by ap</w:t>
      </w:r>
      <w:r w:rsidR="0041478E">
        <w:t>plication of a known herbicide (</w:t>
      </w:r>
      <w:r w:rsidR="001D31AD">
        <w:t>which had not previously been known to be effective to treat the particular weeds identifi</w:t>
      </w:r>
      <w:r w:rsidR="00290CC1">
        <w:t>ed in the claims</w:t>
      </w:r>
      <w:r w:rsidR="0041478E">
        <w:t>)</w:t>
      </w:r>
      <w:r>
        <w:t xml:space="preserve">.  </w:t>
      </w:r>
      <w:r w:rsidR="001C7CF1">
        <w:t>In that case, t</w:t>
      </w:r>
      <w:r w:rsidR="001F69FC">
        <w:t>he Commissioner rejected the patent sought</w:t>
      </w:r>
      <w:r w:rsidR="00D66C6B">
        <w:t>, principally</w:t>
      </w:r>
      <w:r w:rsidR="001F69FC">
        <w:t xml:space="preserve"> on the bases that </w:t>
      </w:r>
      <w:r w:rsidR="001C7CF1">
        <w:t xml:space="preserve">(a) </w:t>
      </w:r>
      <w:r w:rsidR="001F69FC">
        <w:t xml:space="preserve">it merely claimed a new use of a known substance; and </w:t>
      </w:r>
      <w:r w:rsidR="001C7CF1">
        <w:t xml:space="preserve">(b) </w:t>
      </w:r>
      <w:r w:rsidR="001F69FC">
        <w:t>the</w:t>
      </w:r>
      <w:r w:rsidR="00AA61AA">
        <w:t>re was no manner of manufacture</w:t>
      </w:r>
      <w:r w:rsidR="001F69FC">
        <w:t xml:space="preserve"> because the use of the composition did not result in a </w:t>
      </w:r>
      <w:r w:rsidR="00B221C9">
        <w:t>“</w:t>
      </w:r>
      <w:r w:rsidR="001F69FC">
        <w:t>vendible product</w:t>
      </w:r>
      <w:r w:rsidR="00B221C9">
        <w:t>”</w:t>
      </w:r>
      <w:r w:rsidR="001F69FC">
        <w:t xml:space="preserve">.  </w:t>
      </w:r>
    </w:p>
    <w:p w:rsidR="00B37AF7" w:rsidRDefault="00F408A5" w:rsidP="00BF4946">
      <w:pPr>
        <w:pStyle w:val="ParaNumbering"/>
      </w:pPr>
      <w:r>
        <w:t xml:space="preserve">The </w:t>
      </w:r>
      <w:r w:rsidR="00D66C6B">
        <w:t xml:space="preserve">High </w:t>
      </w:r>
      <w:r>
        <w:t xml:space="preserve">Court in </w:t>
      </w:r>
      <w:r w:rsidRPr="00D31927">
        <w:rPr>
          <w:i/>
        </w:rPr>
        <w:t>NRDC</w:t>
      </w:r>
      <w:r w:rsidR="00D31927">
        <w:t xml:space="preserve"> </w:t>
      </w:r>
      <w:r>
        <w:t xml:space="preserve">articulated the </w:t>
      </w:r>
      <w:r w:rsidR="00B221C9">
        <w:t>“</w:t>
      </w:r>
      <w:r>
        <w:t>central question</w:t>
      </w:r>
      <w:r w:rsidR="00B221C9">
        <w:t>”</w:t>
      </w:r>
      <w:r>
        <w:t xml:space="preserve"> </w:t>
      </w:r>
      <w:r w:rsidR="003C2153">
        <w:t xml:space="preserve">in the manner of manufacture inquiry </w:t>
      </w:r>
      <w:r>
        <w:t>as being whether the process claimed falls within the category of inventions to which, by definition, the application of the Act is confined</w:t>
      </w:r>
      <w:r w:rsidR="00093B64">
        <w:t xml:space="preserve"> (at 268)</w:t>
      </w:r>
      <w:r>
        <w:t xml:space="preserve">.  The </w:t>
      </w:r>
      <w:r w:rsidR="00D66C6B">
        <w:t xml:space="preserve">High </w:t>
      </w:r>
      <w:r>
        <w:t xml:space="preserve">Court noted the </w:t>
      </w:r>
      <w:r w:rsidR="00AB1C31">
        <w:t xml:space="preserve">fact that </w:t>
      </w:r>
      <w:r w:rsidR="00B221C9">
        <w:t>‘</w:t>
      </w:r>
      <w:r>
        <w:t>invention</w:t>
      </w:r>
      <w:r w:rsidR="00B221C9">
        <w:t>’</w:t>
      </w:r>
      <w:r>
        <w:t xml:space="preserve"> </w:t>
      </w:r>
      <w:r w:rsidR="00AB1C31">
        <w:t xml:space="preserve">is legislatively defined </w:t>
      </w:r>
      <w:r w:rsidR="00093B64">
        <w:t xml:space="preserve">by reference to the </w:t>
      </w:r>
      <w:r w:rsidR="00B221C9">
        <w:t>“</w:t>
      </w:r>
      <w:r w:rsidR="00093B64">
        <w:t>established ambit of s 6</w:t>
      </w:r>
      <w:r w:rsidR="00B221C9">
        <w:t>”</w:t>
      </w:r>
      <w:r w:rsidR="00093B64">
        <w:t xml:space="preserve"> of the Statute of Monopolies, and </w:t>
      </w:r>
      <w:r>
        <w:t>stated that</w:t>
      </w:r>
      <w:r w:rsidR="005F0C93">
        <w:t xml:space="preserve"> (at 269)</w:t>
      </w:r>
      <w:r>
        <w:t>:</w:t>
      </w:r>
    </w:p>
    <w:p w:rsidR="00BF4946" w:rsidRPr="005F0C93" w:rsidRDefault="00093B64" w:rsidP="005F0C93">
      <w:pPr>
        <w:pStyle w:val="Quote1"/>
        <w:rPr>
          <w:i/>
        </w:rPr>
      </w:pPr>
      <w:r>
        <w:rPr>
          <w:i/>
        </w:rPr>
        <w:t>[t]</w:t>
      </w:r>
      <w:r w:rsidR="00BF4946" w:rsidRPr="005F0C93">
        <w:rPr>
          <w:i/>
        </w:rPr>
        <w:t xml:space="preserve">he inquiry which the definition demands is an inquiry into the scope of the permissible subject matter of letters patent and grants of privilege protected by the section.  It is an inquiry not into the meaning of a word so much as into the breadth of the concept which the law has developed by its consideration of the text and purpose of the Statute of Monopolies… The word </w:t>
      </w:r>
      <w:r w:rsidR="00B221C9">
        <w:rPr>
          <w:i/>
        </w:rPr>
        <w:t>“</w:t>
      </w:r>
      <w:r w:rsidR="00BF4946" w:rsidRPr="005F0C93">
        <w:rPr>
          <w:i/>
        </w:rPr>
        <w:t>manufacture</w:t>
      </w:r>
      <w:r w:rsidR="00B221C9">
        <w:rPr>
          <w:i/>
        </w:rPr>
        <w:t>”</w:t>
      </w:r>
      <w:r w:rsidR="00BF4946" w:rsidRPr="005F0C93">
        <w:rPr>
          <w:i/>
        </w:rPr>
        <w:t xml:space="preserve"> finds a place in the present Act, not as a word intended to reduce a question of patentability to a question of verbal interpretation, but simply as the general title found in the Statute of Monopolies for the whole category under which all grants of patents which may be made in accordance wit</w:t>
      </w:r>
      <w:r w:rsidR="005F0C93" w:rsidRPr="005F0C93">
        <w:rPr>
          <w:i/>
        </w:rPr>
        <w:t>h</w:t>
      </w:r>
      <w:r w:rsidR="00BF4946" w:rsidRPr="005F0C93">
        <w:rPr>
          <w:i/>
        </w:rPr>
        <w:t xml:space="preserve"> the developed principles of patent law are to be subsumed. </w:t>
      </w:r>
    </w:p>
    <w:p w:rsidR="00EE619E" w:rsidRDefault="0021220F" w:rsidP="00EE619E">
      <w:pPr>
        <w:pStyle w:val="ParaNumbering"/>
      </w:pPr>
      <w:r>
        <w:t xml:space="preserve">The </w:t>
      </w:r>
      <w:r w:rsidR="00D66C6B">
        <w:t xml:space="preserve">High </w:t>
      </w:r>
      <w:r>
        <w:t>Court continued:</w:t>
      </w:r>
    </w:p>
    <w:p w:rsidR="0021220F" w:rsidRDefault="0021220F" w:rsidP="00232B8E">
      <w:pPr>
        <w:pStyle w:val="Quote1"/>
        <w:rPr>
          <w:b/>
          <w:i/>
        </w:rPr>
      </w:pPr>
      <w:r w:rsidRPr="00232B8E">
        <w:rPr>
          <w:i/>
        </w:rPr>
        <w:t xml:space="preserve">It is therefore a mistake, and a mistake likely to lead to an incorrect conclusion, to treat the question whether a given process or product is within the definition as if that question could be restated in the form: </w:t>
      </w:r>
      <w:r w:rsidR="00B221C9">
        <w:rPr>
          <w:i/>
        </w:rPr>
        <w:t>“</w:t>
      </w:r>
      <w:r w:rsidRPr="00232B8E">
        <w:rPr>
          <w:i/>
        </w:rPr>
        <w:t>Is this a manner (or kind) of manufacture?</w:t>
      </w:r>
      <w:r w:rsidR="00B221C9">
        <w:rPr>
          <w:i/>
        </w:rPr>
        <w:t>”</w:t>
      </w:r>
      <w:r w:rsidRPr="00232B8E">
        <w:rPr>
          <w:i/>
        </w:rPr>
        <w:t xml:space="preserve"> </w:t>
      </w:r>
      <w:r w:rsidR="00232B8E" w:rsidRPr="00232B8E">
        <w:rPr>
          <w:i/>
        </w:rPr>
        <w:t xml:space="preserve"> It is a mistake which tends to limit one</w:t>
      </w:r>
      <w:r w:rsidR="00B221C9">
        <w:rPr>
          <w:i/>
        </w:rPr>
        <w:t>’</w:t>
      </w:r>
      <w:r w:rsidR="00232B8E" w:rsidRPr="00232B8E">
        <w:rPr>
          <w:i/>
        </w:rPr>
        <w:t xml:space="preserve">s thinking by reference to the </w:t>
      </w:r>
      <w:r w:rsidR="00232B8E" w:rsidRPr="00232B8E">
        <w:rPr>
          <w:i/>
        </w:rPr>
        <w:lastRenderedPageBreak/>
        <w:t xml:space="preserve">idea of making tangible goods by hand or by machine, because </w:t>
      </w:r>
      <w:r w:rsidR="00B221C9">
        <w:rPr>
          <w:i/>
        </w:rPr>
        <w:t>“</w:t>
      </w:r>
      <w:r w:rsidR="00232B8E" w:rsidRPr="00232B8E">
        <w:rPr>
          <w:i/>
        </w:rPr>
        <w:t>manufacture</w:t>
      </w:r>
      <w:r w:rsidR="00B221C9">
        <w:rPr>
          <w:i/>
        </w:rPr>
        <w:t>”</w:t>
      </w:r>
      <w:r w:rsidR="00232B8E" w:rsidRPr="00232B8E">
        <w:rPr>
          <w:i/>
        </w:rPr>
        <w:t xml:space="preserve"> as a word of everyday speech generally conveys the idea.  </w:t>
      </w:r>
      <w:r w:rsidR="00232B8E" w:rsidRPr="002418FA">
        <w:rPr>
          <w:b/>
          <w:i/>
        </w:rPr>
        <w:t xml:space="preserve">The right question is: </w:t>
      </w:r>
      <w:r w:rsidR="00B221C9">
        <w:rPr>
          <w:b/>
          <w:i/>
        </w:rPr>
        <w:t>“</w:t>
      </w:r>
      <w:r w:rsidR="00232B8E" w:rsidRPr="002418FA">
        <w:rPr>
          <w:b/>
          <w:i/>
        </w:rPr>
        <w:t>Is this a proper subject of letters patent according to the principles which have been developed for the application of s 6 of the Statute of Monopolies?</w:t>
      </w:r>
      <w:r w:rsidR="00B221C9">
        <w:rPr>
          <w:b/>
          <w:i/>
        </w:rPr>
        <w:t>”</w:t>
      </w:r>
    </w:p>
    <w:p w:rsidR="001F4381" w:rsidRDefault="001F4381" w:rsidP="00232B8E">
      <w:pPr>
        <w:pStyle w:val="Quote1"/>
      </w:pPr>
    </w:p>
    <w:p w:rsidR="002418FA" w:rsidRPr="00681B43" w:rsidRDefault="00681B43" w:rsidP="00232B8E">
      <w:pPr>
        <w:pStyle w:val="Quote1"/>
      </w:pPr>
      <w:r>
        <w:t>(E</w:t>
      </w:r>
      <w:r w:rsidR="002418FA" w:rsidRPr="00681B43">
        <w:t>mphasis added)</w:t>
      </w:r>
    </w:p>
    <w:p w:rsidR="00F408A5" w:rsidRDefault="008E4A43" w:rsidP="00D84849">
      <w:pPr>
        <w:pStyle w:val="ParaNumbering"/>
      </w:pPr>
      <w:r>
        <w:t xml:space="preserve">This </w:t>
      </w:r>
      <w:r w:rsidR="002C0E7A">
        <w:t xml:space="preserve">latter question </w:t>
      </w:r>
      <w:r>
        <w:t xml:space="preserve">was said to be very different </w:t>
      </w:r>
      <w:r w:rsidR="00172AC3">
        <w:t>to the former</w:t>
      </w:r>
      <w:r>
        <w:t xml:space="preserve">.  The </w:t>
      </w:r>
      <w:r w:rsidR="00D66C6B">
        <w:t xml:space="preserve">High </w:t>
      </w:r>
      <w:r>
        <w:t xml:space="preserve">Court noted that a widening conception of the notion of </w:t>
      </w:r>
      <w:r w:rsidR="00B221C9">
        <w:t>“</w:t>
      </w:r>
      <w:r>
        <w:t>manufacture</w:t>
      </w:r>
      <w:r w:rsidR="00B221C9">
        <w:t>”</w:t>
      </w:r>
      <w:r>
        <w:t xml:space="preserve"> has been a characteristic of the growth of patent law</w:t>
      </w:r>
      <w:r w:rsidR="00326C3C">
        <w:t>, and it is clear that it encompasses both a process and a product (at 269-270)</w:t>
      </w:r>
      <w:r>
        <w:t xml:space="preserve">.  </w:t>
      </w:r>
      <w:r w:rsidR="000F157B">
        <w:t>However, their Honours</w:t>
      </w:r>
      <w:r w:rsidR="000D4CBB">
        <w:t xml:space="preserve"> noted that one unresolved</w:t>
      </w:r>
      <w:r w:rsidR="007D3CA9">
        <w:t xml:space="preserve"> question </w:t>
      </w:r>
      <w:r w:rsidR="002D537F">
        <w:t>wa</w:t>
      </w:r>
      <w:r w:rsidR="007D3CA9">
        <w:t xml:space="preserve">s </w:t>
      </w:r>
      <w:r w:rsidR="00B221C9">
        <w:t>“</w:t>
      </w:r>
      <w:r w:rsidR="007D3CA9">
        <w:t>whether it is enough that a process produces a useful result or whether it is necessary that some physical thing is either brought into existence or so affected as the better to serve man</w:t>
      </w:r>
      <w:r w:rsidR="00B221C9">
        <w:t>’</w:t>
      </w:r>
      <w:r w:rsidR="007D3CA9">
        <w:t>s purposes</w:t>
      </w:r>
      <w:r w:rsidR="00B221C9">
        <w:t>”</w:t>
      </w:r>
      <w:r w:rsidR="007D3CA9">
        <w:t xml:space="preserve">.  </w:t>
      </w:r>
    </w:p>
    <w:p w:rsidR="00F80AB4" w:rsidRDefault="001212D8" w:rsidP="00D84849">
      <w:pPr>
        <w:pStyle w:val="ParaNumbering"/>
      </w:pPr>
      <w:r>
        <w:t xml:space="preserve">After reviewing a number of </w:t>
      </w:r>
      <w:smartTag w:uri="urn:schemas-microsoft-com:office:smarttags" w:element="place">
        <w:smartTag w:uri="urn:schemas-microsoft-com:office:smarttags" w:element="country-region">
          <w:r w:rsidR="00326C3C">
            <w:t>United Kingdom</w:t>
          </w:r>
        </w:smartTag>
      </w:smartTag>
      <w:r w:rsidR="00326C3C">
        <w:t xml:space="preserve"> and Australian </w:t>
      </w:r>
      <w:r>
        <w:t>authorities</w:t>
      </w:r>
      <w:r w:rsidR="00326C3C">
        <w:t>,</w:t>
      </w:r>
      <w:r>
        <w:t xml:space="preserve"> t</w:t>
      </w:r>
      <w:r w:rsidR="00A40A59">
        <w:t xml:space="preserve">he </w:t>
      </w:r>
      <w:r w:rsidR="00D66C6B">
        <w:t xml:space="preserve">High </w:t>
      </w:r>
      <w:r w:rsidR="00A40A59">
        <w:t xml:space="preserve">Court </w:t>
      </w:r>
      <w:r w:rsidR="006538A7">
        <w:t xml:space="preserve">stated that </w:t>
      </w:r>
      <w:r w:rsidR="00606CE4">
        <w:t>(at 271)</w:t>
      </w:r>
      <w:r w:rsidR="00A40A59">
        <w:t>:</w:t>
      </w:r>
    </w:p>
    <w:p w:rsidR="00A40A59" w:rsidRPr="00692F48" w:rsidRDefault="006538A7" w:rsidP="00692F48">
      <w:pPr>
        <w:pStyle w:val="Quote1"/>
        <w:rPr>
          <w:i/>
        </w:rPr>
      </w:pPr>
      <w:r>
        <w:rPr>
          <w:i/>
        </w:rPr>
        <w:t>[t]</w:t>
      </w:r>
      <w:r w:rsidR="00A40A59" w:rsidRPr="00692F48">
        <w:rPr>
          <w:i/>
        </w:rPr>
        <w:t xml:space="preserve">he truth is that any attempt to state the ambit of s 6 of the Statute of Monopolies by precisely defining </w:t>
      </w:r>
      <w:r w:rsidR="00B221C9">
        <w:rPr>
          <w:i/>
        </w:rPr>
        <w:t>“</w:t>
      </w:r>
      <w:r w:rsidR="00A40A59" w:rsidRPr="00692F48">
        <w:rPr>
          <w:i/>
        </w:rPr>
        <w:t>manufacture</w:t>
      </w:r>
      <w:r w:rsidR="00B221C9">
        <w:rPr>
          <w:i/>
        </w:rPr>
        <w:t>”</w:t>
      </w:r>
      <w:r w:rsidR="00A40A59" w:rsidRPr="00692F48">
        <w:rPr>
          <w:i/>
        </w:rPr>
        <w:t xml:space="preserve"> is bound to fail.  The purpose of s 6, it must be remembered, was to allow the use of the prerogative to encourage national development in a field which already, in 1623, was seen to be excitingly unpredictable.  To attempt to place upon the idea the fetters of an exact verbal formula could never have been sound.  It would be unsound to the point of folly to attempt to do so now, when science has made such advances that the concrete applications of the notion which were familiar in 1623 can be seen to provide only the more obvious, not to say the more primitive, illustrations of the broad sweep of the concept. </w:t>
      </w:r>
    </w:p>
    <w:p w:rsidR="009E3598" w:rsidRDefault="00DF3FB2" w:rsidP="009E3598">
      <w:pPr>
        <w:pStyle w:val="ParaNumbering"/>
      </w:pPr>
      <w:r w:rsidRPr="00870946">
        <w:t xml:space="preserve">The </w:t>
      </w:r>
      <w:r w:rsidR="00D66C6B">
        <w:t xml:space="preserve">High </w:t>
      </w:r>
      <w:r w:rsidRPr="00870946">
        <w:t xml:space="preserve">Court </w:t>
      </w:r>
      <w:r w:rsidR="00D66C6B">
        <w:t xml:space="preserve">then </w:t>
      </w:r>
      <w:r w:rsidRPr="00870946">
        <w:t xml:space="preserve">cited with approval the case of </w:t>
      </w:r>
      <w:r w:rsidRPr="00870946">
        <w:rPr>
          <w:i/>
        </w:rPr>
        <w:t xml:space="preserve">Re </w:t>
      </w:r>
      <w:r w:rsidR="00F10545" w:rsidRPr="00870946">
        <w:rPr>
          <w:i/>
        </w:rPr>
        <w:t>an Application for a Patent by GEC</w:t>
      </w:r>
      <w:r w:rsidRPr="00870946">
        <w:rPr>
          <w:i/>
        </w:rPr>
        <w:t xml:space="preserve"> </w:t>
      </w:r>
      <w:r w:rsidR="0015300B" w:rsidRPr="00870946">
        <w:t>(1943</w:t>
      </w:r>
      <w:r w:rsidR="00F95317" w:rsidRPr="00870946">
        <w:t>) 60 RPC 1</w:t>
      </w:r>
      <w:r w:rsidR="00D66C6B">
        <w:t>.</w:t>
      </w:r>
      <w:r w:rsidRPr="00870946">
        <w:t xml:space="preserve"> </w:t>
      </w:r>
      <w:r w:rsidR="00D66C6B">
        <w:t xml:space="preserve">The </w:t>
      </w:r>
      <w:r w:rsidR="00C647A5">
        <w:t xml:space="preserve">High </w:t>
      </w:r>
      <w:r w:rsidR="00AA61AA" w:rsidRPr="00870946">
        <w:t>Court noted</w:t>
      </w:r>
      <w:r w:rsidR="00D66C6B">
        <w:t xml:space="preserve"> that in that case,</w:t>
      </w:r>
      <w:r w:rsidR="00AA61AA" w:rsidRPr="00870946">
        <w:t xml:space="preserve"> </w:t>
      </w:r>
      <w:r w:rsidRPr="00870946">
        <w:t xml:space="preserve">Morton J </w:t>
      </w:r>
      <w:r w:rsidR="00D66C6B">
        <w:t xml:space="preserve">(as his Honour then was) </w:t>
      </w:r>
      <w:r w:rsidR="00AA61AA" w:rsidRPr="00870946">
        <w:t xml:space="preserve">had </w:t>
      </w:r>
      <w:r w:rsidR="00F600C6" w:rsidRPr="00870946">
        <w:t>simultaneously disclaimed any</w:t>
      </w:r>
      <w:r w:rsidRPr="00870946">
        <w:t xml:space="preserve"> intention of laying down </w:t>
      </w:r>
      <w:r w:rsidR="00B221C9">
        <w:t>“</w:t>
      </w:r>
      <w:r w:rsidRPr="00870946">
        <w:t>any hard and fas</w:t>
      </w:r>
      <w:r w:rsidR="00F600C6" w:rsidRPr="00870946">
        <w:t>t rule applicable to all cases</w:t>
      </w:r>
      <w:r w:rsidR="00B221C9">
        <w:t>”</w:t>
      </w:r>
      <w:r w:rsidRPr="00870946">
        <w:t xml:space="preserve"> and </w:t>
      </w:r>
      <w:r w:rsidR="00B221C9">
        <w:t>“</w:t>
      </w:r>
      <w:r w:rsidRPr="00870946">
        <w:t>put forward a proposition which, if literally applied, would have a narrowing effect on the law</w:t>
      </w:r>
      <w:r>
        <w:t xml:space="preserve"> and indeed has already been found to stand as much in need as the statute itself of a generous interpretation</w:t>
      </w:r>
      <w:r w:rsidR="00B221C9">
        <w:t>”</w:t>
      </w:r>
      <w:r w:rsidR="00AA61AA">
        <w:t xml:space="preserve"> (</w:t>
      </w:r>
      <w:r w:rsidR="00AA61AA" w:rsidRPr="00AA61AA">
        <w:rPr>
          <w:i/>
        </w:rPr>
        <w:t>NRDC</w:t>
      </w:r>
      <w:r w:rsidR="00AA61AA">
        <w:t xml:space="preserve"> at 271)</w:t>
      </w:r>
      <w:r>
        <w:t xml:space="preserve">.  </w:t>
      </w:r>
      <w:r w:rsidR="00F270CC">
        <w:t xml:space="preserve">Justice </w:t>
      </w:r>
      <w:r w:rsidR="009E3598">
        <w:t>Morton</w:t>
      </w:r>
      <w:r w:rsidR="00B221C9">
        <w:t>’</w:t>
      </w:r>
      <w:r w:rsidR="00F270CC">
        <w:t>s</w:t>
      </w:r>
      <w:r w:rsidR="009E3598">
        <w:t xml:space="preserve"> proposition was that a method or process will be a manner of manufacture if it:</w:t>
      </w:r>
    </w:p>
    <w:p w:rsidR="009E3598" w:rsidRDefault="00A27D4D" w:rsidP="002045D2">
      <w:pPr>
        <w:pStyle w:val="ListNo"/>
        <w:numPr>
          <w:ilvl w:val="0"/>
          <w:numId w:val="36"/>
        </w:numPr>
        <w:tabs>
          <w:tab w:val="clear" w:pos="360"/>
        </w:tabs>
        <w:ind w:left="709" w:hanging="709"/>
      </w:pPr>
      <w:r>
        <w:t>r</w:t>
      </w:r>
      <w:r w:rsidR="009E3598">
        <w:t>esults in the production of some vendible product</w:t>
      </w:r>
      <w:r w:rsidR="00D66C6B">
        <w:t>;</w:t>
      </w:r>
      <w:r w:rsidR="009E3598">
        <w:t xml:space="preserve"> or</w:t>
      </w:r>
    </w:p>
    <w:p w:rsidR="009E3598" w:rsidRDefault="00A27D4D" w:rsidP="002045D2">
      <w:pPr>
        <w:pStyle w:val="ListNo"/>
        <w:numPr>
          <w:ilvl w:val="0"/>
          <w:numId w:val="36"/>
        </w:numPr>
        <w:tabs>
          <w:tab w:val="clear" w:pos="360"/>
        </w:tabs>
        <w:ind w:left="709" w:hanging="709"/>
      </w:pPr>
      <w:r>
        <w:t>i</w:t>
      </w:r>
      <w:r w:rsidR="009E3598">
        <w:t>mproves or r</w:t>
      </w:r>
      <w:r w:rsidR="00F270CC">
        <w:t>estores to its former condition</w:t>
      </w:r>
      <w:r w:rsidR="009E3598">
        <w:t xml:space="preserve"> a vendible product</w:t>
      </w:r>
      <w:r w:rsidR="00D66C6B">
        <w:t>;</w:t>
      </w:r>
      <w:r w:rsidR="009E3598">
        <w:t xml:space="preserve"> or</w:t>
      </w:r>
    </w:p>
    <w:p w:rsidR="009E3598" w:rsidRDefault="00A27D4D" w:rsidP="002045D2">
      <w:pPr>
        <w:pStyle w:val="ListNo"/>
        <w:numPr>
          <w:ilvl w:val="0"/>
          <w:numId w:val="36"/>
        </w:numPr>
        <w:tabs>
          <w:tab w:val="clear" w:pos="360"/>
        </w:tabs>
        <w:ind w:left="709" w:hanging="709"/>
      </w:pPr>
      <w:r>
        <w:t>h</w:t>
      </w:r>
      <w:r w:rsidR="009E3598">
        <w:t>as the effect of preserving from deterioration some vendible product to which it is applied.</w:t>
      </w:r>
    </w:p>
    <w:p w:rsidR="00C72A64" w:rsidRDefault="00113086" w:rsidP="002E042C">
      <w:pPr>
        <w:pStyle w:val="ParaNumbering"/>
      </w:pPr>
      <w:r>
        <w:lastRenderedPageBreak/>
        <w:t xml:space="preserve">The </w:t>
      </w:r>
      <w:r w:rsidR="00D66C6B">
        <w:t xml:space="preserve">High </w:t>
      </w:r>
      <w:r>
        <w:t xml:space="preserve">Court then considered a number of </w:t>
      </w:r>
      <w:smartTag w:uri="urn:schemas-microsoft-com:office:smarttags" w:element="place">
        <w:smartTag w:uri="urn:schemas-microsoft-com:office:smarttags" w:element="country-region">
          <w:r w:rsidR="00B46E79">
            <w:t>United Kingdom</w:t>
          </w:r>
        </w:smartTag>
      </w:smartTag>
      <w:r w:rsidR="00B46E79">
        <w:t xml:space="preserve"> authorities </w:t>
      </w:r>
      <w:r w:rsidR="00716D92">
        <w:t>dealing</w:t>
      </w:r>
      <w:r w:rsidR="002E042C">
        <w:t xml:space="preserve"> with </w:t>
      </w:r>
      <w:r w:rsidR="008B75F1">
        <w:t xml:space="preserve">this </w:t>
      </w:r>
      <w:r w:rsidR="002E042C">
        <w:t>test.  In doing so, t</w:t>
      </w:r>
      <w:r w:rsidR="00EA5A52">
        <w:t xml:space="preserve">he Court referred to </w:t>
      </w:r>
      <w:r w:rsidR="00EA5A52" w:rsidRPr="00416B64">
        <w:rPr>
          <w:i/>
        </w:rPr>
        <w:t>Re Virginia-Carolina Chemical Corporation</w:t>
      </w:r>
      <w:r w:rsidR="00B221C9">
        <w:rPr>
          <w:i/>
        </w:rPr>
        <w:t>’</w:t>
      </w:r>
      <w:r w:rsidR="00C72A64">
        <w:rPr>
          <w:i/>
        </w:rPr>
        <w:t>s</w:t>
      </w:r>
      <w:r w:rsidR="00EA5A52" w:rsidRPr="00416B64">
        <w:rPr>
          <w:i/>
        </w:rPr>
        <w:t xml:space="preserve"> Application</w:t>
      </w:r>
      <w:r w:rsidR="00EA5A52">
        <w:t xml:space="preserve"> (1958) RPC 35 at 36, </w:t>
      </w:r>
      <w:r w:rsidR="00B6017D">
        <w:t xml:space="preserve">and noted </w:t>
      </w:r>
      <w:r w:rsidR="00EA5A52">
        <w:t xml:space="preserve">that to fall within the limits of patentability </w:t>
      </w:r>
      <w:r w:rsidR="00C72A64">
        <w:t xml:space="preserve">prescribed by </w:t>
      </w:r>
      <w:r w:rsidR="00EA5A52">
        <w:t xml:space="preserve">the Statute of Monopolies, </w:t>
      </w:r>
      <w:r w:rsidR="00DF2C6F">
        <w:t xml:space="preserve">a process </w:t>
      </w:r>
      <w:r w:rsidR="00EA5A52">
        <w:t xml:space="preserve">must be one that offers some advantage which is material, in the sense that </w:t>
      </w:r>
      <w:r w:rsidR="00C72A64">
        <w:t xml:space="preserve">it </w:t>
      </w:r>
      <w:r w:rsidR="00EA5A52">
        <w:t>belongs to a useful art as distinct from a fine art</w:t>
      </w:r>
      <w:r w:rsidR="00DF2C6F">
        <w:t xml:space="preserve"> </w:t>
      </w:r>
      <w:r w:rsidR="00A970B3">
        <w:t>–</w:t>
      </w:r>
      <w:r w:rsidR="00DF2C6F">
        <w:t xml:space="preserve"> </w:t>
      </w:r>
      <w:r w:rsidR="00A970B3">
        <w:t xml:space="preserve">namely, its value to the country </w:t>
      </w:r>
      <w:r w:rsidR="00C72A64">
        <w:t xml:space="preserve">must be </w:t>
      </w:r>
      <w:r w:rsidR="00A970B3">
        <w:t>in the field of economic endeavour</w:t>
      </w:r>
      <w:r w:rsidR="007C310C">
        <w:t xml:space="preserve"> (at 275)</w:t>
      </w:r>
      <w:r w:rsidR="00A970B3">
        <w:t xml:space="preserve">.  </w:t>
      </w:r>
    </w:p>
    <w:p w:rsidR="00B6017D" w:rsidRDefault="002947E1" w:rsidP="002E042C">
      <w:pPr>
        <w:pStyle w:val="ParaNumbering"/>
      </w:pPr>
      <w:r>
        <w:t xml:space="preserve">In considering the meaning of the expression </w:t>
      </w:r>
      <w:r w:rsidR="00B221C9">
        <w:t>“</w:t>
      </w:r>
      <w:r>
        <w:t>vendible product</w:t>
      </w:r>
      <w:r w:rsidR="00B221C9">
        <w:t>”</w:t>
      </w:r>
      <w:r w:rsidR="00967CEE">
        <w:t xml:space="preserve"> as used in the Morton</w:t>
      </w:r>
      <w:r w:rsidR="002045D2">
        <w:t> </w:t>
      </w:r>
      <w:r w:rsidR="00967CEE">
        <w:t>J test</w:t>
      </w:r>
      <w:r>
        <w:t xml:space="preserve">, the </w:t>
      </w:r>
      <w:r w:rsidR="00C647A5">
        <w:t xml:space="preserve">High </w:t>
      </w:r>
      <w:r>
        <w:t>Court referred to</w:t>
      </w:r>
      <w:r w:rsidR="00937405">
        <w:t xml:space="preserve"> </w:t>
      </w:r>
      <w:r w:rsidR="00937405" w:rsidRPr="00591685">
        <w:rPr>
          <w:i/>
        </w:rPr>
        <w:t xml:space="preserve">Re an Application for a Patent by </w:t>
      </w:r>
      <w:r w:rsidR="006C4387">
        <w:rPr>
          <w:i/>
        </w:rPr>
        <w:t xml:space="preserve">Henry Barnato </w:t>
      </w:r>
      <w:r w:rsidR="00937405" w:rsidRPr="00591685">
        <w:rPr>
          <w:i/>
        </w:rPr>
        <w:t>Rantzen</w:t>
      </w:r>
      <w:r w:rsidR="00937405">
        <w:t xml:space="preserve"> (1947</w:t>
      </w:r>
      <w:r w:rsidR="009C74C7">
        <w:t xml:space="preserve">) 64 RPC </w:t>
      </w:r>
      <w:r w:rsidR="00937405">
        <w:t>63</w:t>
      </w:r>
      <w:r w:rsidR="00D66C6B">
        <w:t>,</w:t>
      </w:r>
      <w:r>
        <w:t xml:space="preserve"> and suggested that </w:t>
      </w:r>
      <w:r w:rsidR="00D37C8B">
        <w:t>the</w:t>
      </w:r>
      <w:r>
        <w:t xml:space="preserve"> expression lays </w:t>
      </w:r>
      <w:r w:rsidR="00B221C9">
        <w:t>“</w:t>
      </w:r>
      <w:r>
        <w:t xml:space="preserve">proper emphasis upon the trading or industrial character of the processes intended to be comprehended by the Acts – </w:t>
      </w:r>
      <w:r w:rsidR="008B693C">
        <w:t xml:space="preserve">namely, </w:t>
      </w:r>
      <w:r>
        <w:t xml:space="preserve">their </w:t>
      </w:r>
      <w:r w:rsidR="00B221C9">
        <w:t>“</w:t>
      </w:r>
      <w:r>
        <w:t>industrial or commercial or trading character</w:t>
      </w:r>
      <w:r w:rsidR="00B221C9">
        <w:t>”</w:t>
      </w:r>
      <w:r w:rsidR="00B271C5">
        <w:t>”</w:t>
      </w:r>
      <w:r w:rsidR="003B38BC">
        <w:t xml:space="preserve"> (at 275)</w:t>
      </w:r>
      <w:r>
        <w:t xml:space="preserve">. </w:t>
      </w:r>
    </w:p>
    <w:p w:rsidR="002E042C" w:rsidRDefault="006F0C66" w:rsidP="002E042C">
      <w:pPr>
        <w:pStyle w:val="ParaNumbering"/>
      </w:pPr>
      <w:r>
        <w:t xml:space="preserve">In considering that what is meant by a </w:t>
      </w:r>
      <w:r w:rsidR="00B221C9">
        <w:t>“</w:t>
      </w:r>
      <w:r>
        <w:t>product</w:t>
      </w:r>
      <w:r w:rsidR="00B221C9">
        <w:t>”</w:t>
      </w:r>
      <w:r>
        <w:t xml:space="preserve"> in relation to a process is only </w:t>
      </w:r>
      <w:r w:rsidR="00B221C9">
        <w:t>“</w:t>
      </w:r>
      <w:r>
        <w:t>something in which the new and useful effect may be observed</w:t>
      </w:r>
      <w:r w:rsidR="00B221C9">
        <w:t>”</w:t>
      </w:r>
      <w:r>
        <w:t>, t</w:t>
      </w:r>
      <w:r w:rsidR="002E042C">
        <w:t xml:space="preserve">he </w:t>
      </w:r>
      <w:r w:rsidR="00C647A5">
        <w:t xml:space="preserve">High </w:t>
      </w:r>
      <w:r w:rsidR="002E042C">
        <w:t xml:space="preserve">Court </w:t>
      </w:r>
      <w:r w:rsidR="00CD3E44">
        <w:t xml:space="preserve">in </w:t>
      </w:r>
      <w:r w:rsidR="00CD3E44" w:rsidRPr="00A236E5">
        <w:rPr>
          <w:i/>
        </w:rPr>
        <w:t>NRDC</w:t>
      </w:r>
      <w:r w:rsidR="00CD3E44">
        <w:t xml:space="preserve"> </w:t>
      </w:r>
      <w:r w:rsidR="002E042C">
        <w:t>stated that</w:t>
      </w:r>
      <w:r w:rsidR="00E36E58">
        <w:t xml:space="preserve"> (at 276)</w:t>
      </w:r>
      <w:r w:rsidR="002E042C">
        <w:t>:</w:t>
      </w:r>
    </w:p>
    <w:p w:rsidR="002E042C" w:rsidRPr="003D40F0" w:rsidRDefault="00B271C5" w:rsidP="003D40F0">
      <w:pPr>
        <w:pStyle w:val="Quote1"/>
        <w:rPr>
          <w:i/>
        </w:rPr>
      </w:pPr>
      <w:r>
        <w:rPr>
          <w:i/>
        </w:rPr>
        <w:t>[s]</w:t>
      </w:r>
      <w:r w:rsidR="002E042C" w:rsidRPr="003D40F0">
        <w:rPr>
          <w:i/>
        </w:rPr>
        <w:t xml:space="preserve">ufficient authority has been cited to show that the </w:t>
      </w:r>
      <w:r w:rsidR="00B221C9">
        <w:rPr>
          <w:i/>
        </w:rPr>
        <w:t>“</w:t>
      </w:r>
      <w:r w:rsidR="002E042C" w:rsidRPr="003D40F0">
        <w:rPr>
          <w:i/>
        </w:rPr>
        <w:t>something</w:t>
      </w:r>
      <w:r w:rsidR="00B221C9">
        <w:rPr>
          <w:i/>
        </w:rPr>
        <w:t>”</w:t>
      </w:r>
      <w:r w:rsidR="002E042C" w:rsidRPr="003D40F0">
        <w:rPr>
          <w:i/>
        </w:rPr>
        <w:t xml:space="preserve"> need not be a </w:t>
      </w:r>
      <w:r w:rsidR="00B221C9">
        <w:rPr>
          <w:i/>
        </w:rPr>
        <w:t>“</w:t>
      </w:r>
      <w:r w:rsidR="002E042C" w:rsidRPr="003D40F0">
        <w:rPr>
          <w:i/>
        </w:rPr>
        <w:t>thing</w:t>
      </w:r>
      <w:r w:rsidR="00B221C9">
        <w:rPr>
          <w:i/>
        </w:rPr>
        <w:t>”</w:t>
      </w:r>
      <w:r w:rsidR="002E042C" w:rsidRPr="003D40F0">
        <w:rPr>
          <w:i/>
        </w:rPr>
        <w:t xml:space="preserve"> in the sense of an article; it may be any physical phenomenon in which the effect, be it creation or merely alteration, may be observed: a building (for example), a tract or stratum of land, an explosion, an electrical oscillation. </w:t>
      </w:r>
      <w:r w:rsidR="00CB1065">
        <w:rPr>
          <w:i/>
        </w:rPr>
        <w:t xml:space="preserve"> It is, we think, only by</w:t>
      </w:r>
      <w:r w:rsidR="00722FC2" w:rsidRPr="003D40F0">
        <w:rPr>
          <w:i/>
        </w:rPr>
        <w:t xml:space="preserve"> understanding the word </w:t>
      </w:r>
      <w:r w:rsidR="00B221C9">
        <w:rPr>
          <w:i/>
        </w:rPr>
        <w:t>“</w:t>
      </w:r>
      <w:r w:rsidR="00722FC2" w:rsidRPr="003D40F0">
        <w:rPr>
          <w:i/>
        </w:rPr>
        <w:t>product</w:t>
      </w:r>
      <w:r w:rsidR="00B221C9">
        <w:rPr>
          <w:i/>
        </w:rPr>
        <w:t>”</w:t>
      </w:r>
      <w:r w:rsidR="00722FC2" w:rsidRPr="003D40F0">
        <w:rPr>
          <w:i/>
        </w:rPr>
        <w:t xml:space="preserve"> as covering every end produced, and treating the word </w:t>
      </w:r>
      <w:r w:rsidR="00B221C9">
        <w:rPr>
          <w:i/>
        </w:rPr>
        <w:t>“</w:t>
      </w:r>
      <w:r w:rsidR="00722FC2" w:rsidRPr="003D40F0">
        <w:rPr>
          <w:i/>
        </w:rPr>
        <w:t>vendible</w:t>
      </w:r>
      <w:r w:rsidR="00B221C9">
        <w:rPr>
          <w:i/>
        </w:rPr>
        <w:t>”</w:t>
      </w:r>
      <w:r w:rsidR="00722FC2" w:rsidRPr="003D40F0">
        <w:rPr>
          <w:i/>
        </w:rPr>
        <w:t xml:space="preserve"> as pointing only to the requirement of utility in practical affairs, that the language of Morton J</w:t>
      </w:r>
      <w:r w:rsidR="00B221C9">
        <w:rPr>
          <w:i/>
        </w:rPr>
        <w:t>’</w:t>
      </w:r>
      <w:r w:rsidR="00722FC2" w:rsidRPr="003D40F0">
        <w:rPr>
          <w:i/>
        </w:rPr>
        <w:t xml:space="preserve">s </w:t>
      </w:r>
      <w:r w:rsidR="00B221C9">
        <w:rPr>
          <w:i/>
        </w:rPr>
        <w:t>“</w:t>
      </w:r>
      <w:r w:rsidR="00722FC2" w:rsidRPr="003D40F0">
        <w:rPr>
          <w:i/>
        </w:rPr>
        <w:t>rule</w:t>
      </w:r>
      <w:r w:rsidR="00B221C9">
        <w:rPr>
          <w:i/>
        </w:rPr>
        <w:t>”</w:t>
      </w:r>
      <w:r w:rsidR="00722FC2" w:rsidRPr="003D40F0">
        <w:rPr>
          <w:i/>
        </w:rPr>
        <w:t xml:space="preserve"> may be accepted as wide enough to convey the broad idea which the long line of decisions on the subject has shown to be comprehended by the Statute.  </w:t>
      </w:r>
    </w:p>
    <w:p w:rsidR="002E042C" w:rsidRDefault="00CE370F" w:rsidP="00D84849">
      <w:pPr>
        <w:pStyle w:val="ParaNumbering"/>
      </w:pPr>
      <w:r>
        <w:t xml:space="preserve">The </w:t>
      </w:r>
      <w:r w:rsidR="00B271C5">
        <w:t xml:space="preserve">High </w:t>
      </w:r>
      <w:r>
        <w:t>Court</w:t>
      </w:r>
      <w:r w:rsidR="002E042C">
        <w:t xml:space="preserve"> concluded </w:t>
      </w:r>
      <w:r w:rsidR="002D537F">
        <w:t xml:space="preserve">that </w:t>
      </w:r>
      <w:r w:rsidR="002E042C">
        <w:t>(at 277):</w:t>
      </w:r>
    </w:p>
    <w:p w:rsidR="002535D3" w:rsidRPr="00E82E59" w:rsidRDefault="002535D3" w:rsidP="00E82E59">
      <w:pPr>
        <w:pStyle w:val="Quote1"/>
        <w:rPr>
          <w:i/>
        </w:rPr>
      </w:pPr>
      <w:r w:rsidRPr="00E82E59">
        <w:rPr>
          <w:i/>
        </w:rPr>
        <w:t>the view which we think is correct in the present case is that the method the subject of the relevant claims has as its end result an artificial effect falling squarely within the true concept of what must be produced by a process if it is to be held patentable. This view is, we think, required by a sound understanding of the lines along which patent law has developed and necessarily must develop in a modern society. The effect produced by the appellant</w:t>
      </w:r>
      <w:r w:rsidR="00B221C9">
        <w:rPr>
          <w:i/>
        </w:rPr>
        <w:t>’</w:t>
      </w:r>
      <w:r w:rsidRPr="00E82E59">
        <w:rPr>
          <w:i/>
        </w:rPr>
        <w:t xml:space="preserve">s method exhibits the two essential qualities upon which </w:t>
      </w:r>
      <w:r w:rsidR="00B221C9">
        <w:rPr>
          <w:i/>
        </w:rPr>
        <w:t>“</w:t>
      </w:r>
      <w:r w:rsidRPr="00E82E59">
        <w:rPr>
          <w:i/>
        </w:rPr>
        <w:t>product</w:t>
      </w:r>
      <w:r w:rsidR="00B221C9">
        <w:rPr>
          <w:i/>
        </w:rPr>
        <w:t>”</w:t>
      </w:r>
      <w:r w:rsidRPr="00E82E59">
        <w:rPr>
          <w:i/>
        </w:rPr>
        <w:t xml:space="preserve"> and </w:t>
      </w:r>
      <w:r w:rsidR="00B221C9">
        <w:rPr>
          <w:i/>
        </w:rPr>
        <w:t>“</w:t>
      </w:r>
      <w:r w:rsidRPr="00E82E59">
        <w:rPr>
          <w:i/>
        </w:rPr>
        <w:t>vendible</w:t>
      </w:r>
      <w:r w:rsidR="00B221C9">
        <w:rPr>
          <w:i/>
        </w:rPr>
        <w:t>”</w:t>
      </w:r>
      <w:r w:rsidRPr="00E82E59">
        <w:rPr>
          <w:i/>
        </w:rPr>
        <w:t xml:space="preserve"> seem designed to insist. It is a </w:t>
      </w:r>
      <w:r w:rsidR="00B221C9">
        <w:rPr>
          <w:i/>
        </w:rPr>
        <w:t>“</w:t>
      </w:r>
      <w:r w:rsidRPr="00E82E59">
        <w:rPr>
          <w:i/>
        </w:rPr>
        <w:t>product</w:t>
      </w:r>
      <w:r w:rsidR="00B221C9">
        <w:rPr>
          <w:i/>
        </w:rPr>
        <w:t>”</w:t>
      </w:r>
      <w:r w:rsidRPr="00E82E59">
        <w:rPr>
          <w:i/>
        </w:rPr>
        <w:t xml:space="preserve"> because it consists in an artificially created state of affairs, discernible by observing over a period the growth of weeds and crops respectively on sown land on which the method has been put into practice. And the significance of the product is economic; for it provides a remarkable advantage, indeed to the lay mind a sensational advantage, for one of the most elemental activities by which man has served his material needs, the cultivation of the soil for the production of its fruits. Recognition that the relevance of the process is to this economic activity old as it is, need not be inhibited by any fear of inconsistency with the claim to novelty which the specification plainly makes. The method cannot be classed as a variant of ancient procedures. It is </w:t>
      </w:r>
      <w:r w:rsidRPr="00E82E59">
        <w:rPr>
          <w:i/>
        </w:rPr>
        <w:lastRenderedPageBreak/>
        <w:t>additional to the cultivation. It achieves a separate result, and the result possesses its own economic utility consisting in an important improvement in the conditions in which the crop is to grow, whereby it is afforded a better opportunity to flourish and yield a good harvest.</w:t>
      </w:r>
    </w:p>
    <w:p w:rsidR="00643B02" w:rsidRDefault="00D82E63" w:rsidP="00FB02F6">
      <w:pPr>
        <w:pStyle w:val="ParaNumbering"/>
      </w:pPr>
      <w:r>
        <w:t>Finally, i</w:t>
      </w:r>
      <w:r w:rsidR="00643B02">
        <w:t>n rejecting the Commissioner</w:t>
      </w:r>
      <w:r w:rsidR="00B221C9">
        <w:t>’</w:t>
      </w:r>
      <w:r w:rsidR="00643B02">
        <w:t>s contention that agricultural or horticultural processes are, by reason of their nature, outside the limits of patentable invention</w:t>
      </w:r>
      <w:r w:rsidR="001C5EB6">
        <w:t xml:space="preserve">s, the </w:t>
      </w:r>
      <w:r w:rsidR="00C647A5">
        <w:t xml:space="preserve">High </w:t>
      </w:r>
      <w:r w:rsidR="001C5EB6">
        <w:t>Court commented</w:t>
      </w:r>
      <w:r w:rsidR="00643B02">
        <w:t xml:space="preserve"> (at 278):</w:t>
      </w:r>
    </w:p>
    <w:p w:rsidR="00643B02" w:rsidRPr="00643B02" w:rsidRDefault="00643B02" w:rsidP="00643B02">
      <w:pPr>
        <w:pStyle w:val="Quote1"/>
        <w:rPr>
          <w:i/>
        </w:rPr>
      </w:pPr>
      <w:r w:rsidRPr="00643B02">
        <w:rPr>
          <w:i/>
        </w:rPr>
        <w:t xml:space="preserve">It must often happen in a sphere of human endeavour as old as that of primary production that a newly-devised procedure amounts to nothing more than an analogous application of age-old techniques; and where that is the case, want of novelty is a fatal objection to a patent.  It may be conceded, moreover, that if there were nothing that could properly be called a </w:t>
      </w:r>
      <w:r w:rsidR="00B221C9">
        <w:rPr>
          <w:i/>
        </w:rPr>
        <w:t>“</w:t>
      </w:r>
      <w:r w:rsidRPr="00643B02">
        <w:rPr>
          <w:i/>
        </w:rPr>
        <w:t>product</w:t>
      </w:r>
      <w:r w:rsidR="00B221C9">
        <w:rPr>
          <w:i/>
        </w:rPr>
        <w:t>”</w:t>
      </w:r>
      <w:r w:rsidRPr="00643B02">
        <w:rPr>
          <w:i/>
        </w:rPr>
        <w:t xml:space="preserve"> of the process, even an ingenious new departure would be outside the limits of patentability.</w:t>
      </w:r>
    </w:p>
    <w:p w:rsidR="005640EB" w:rsidRDefault="00B271C5" w:rsidP="00D84849">
      <w:pPr>
        <w:pStyle w:val="ParaNumbering"/>
      </w:pPr>
      <w:r>
        <w:t>These comments were remarkably prescient.  In fact, s</w:t>
      </w:r>
      <w:r w:rsidR="005640EB">
        <w:t xml:space="preserve">ince </w:t>
      </w:r>
      <w:r w:rsidR="005640EB" w:rsidRPr="005434CB">
        <w:rPr>
          <w:i/>
        </w:rPr>
        <w:t>NRDC</w:t>
      </w:r>
      <w:r w:rsidR="005640EB">
        <w:t xml:space="preserve"> was </w:t>
      </w:r>
      <w:r w:rsidR="00066EBC">
        <w:t>decided, the advent of computer technology</w:t>
      </w:r>
      <w:r w:rsidR="005640EB">
        <w:t xml:space="preserve"> has </w:t>
      </w:r>
      <w:r w:rsidR="008B75F1">
        <w:t xml:space="preserve">prompted </w:t>
      </w:r>
      <w:r w:rsidR="005640EB">
        <w:t>an elaboration of the concept of methods as patentable inventions (</w:t>
      </w:r>
      <w:r w:rsidR="00E20691">
        <w:t xml:space="preserve">see </w:t>
      </w:r>
      <w:r w:rsidR="005640EB" w:rsidRPr="001C5EB6">
        <w:rPr>
          <w:i/>
        </w:rPr>
        <w:t>Grant</w:t>
      </w:r>
      <w:r w:rsidR="001C5EB6" w:rsidRPr="001C5EB6">
        <w:rPr>
          <w:i/>
        </w:rPr>
        <w:t xml:space="preserve"> </w:t>
      </w:r>
      <w:r w:rsidR="005640EB">
        <w:t xml:space="preserve">at 67 [17], citing </w:t>
      </w:r>
      <w:r w:rsidR="005640EB" w:rsidRPr="00141177">
        <w:rPr>
          <w:i/>
        </w:rPr>
        <w:t>Catuity</w:t>
      </w:r>
      <w:r w:rsidR="009F004E">
        <w:t xml:space="preserve"> </w:t>
      </w:r>
      <w:r w:rsidR="005640EB">
        <w:t xml:space="preserve">at </w:t>
      </w:r>
      <w:r w:rsidR="00184DE1">
        <w:t xml:space="preserve">135-136 </w:t>
      </w:r>
      <w:r w:rsidR="005640EB">
        <w:t xml:space="preserve">[118]-[122]).  </w:t>
      </w:r>
    </w:p>
    <w:p w:rsidR="00CF012C" w:rsidRDefault="001F4381" w:rsidP="00D84849">
      <w:pPr>
        <w:pStyle w:val="ParaNumbering"/>
      </w:pPr>
      <w:r>
        <w:t>To this end, i</w:t>
      </w:r>
      <w:r w:rsidR="00CB23AD">
        <w:t xml:space="preserve">n 1991, Burchett J delivered judgment in </w:t>
      </w:r>
      <w:r w:rsidR="00CB23AD" w:rsidRPr="00A80247">
        <w:rPr>
          <w:i/>
        </w:rPr>
        <w:t>International Business Machines Corporation v Commissioner of Patents</w:t>
      </w:r>
      <w:r w:rsidR="00CB23AD">
        <w:t xml:space="preserve"> (1991) 33 FCR 218</w:t>
      </w:r>
      <w:r w:rsidR="00B271C5">
        <w:t xml:space="preserve"> (</w:t>
      </w:r>
      <w:r w:rsidR="00047A40">
        <w:t>‘</w:t>
      </w:r>
      <w:r w:rsidR="00B271C5">
        <w:t>IBM</w:t>
      </w:r>
      <w:r w:rsidR="007205EA">
        <w:t xml:space="preserve"> (1991) 33 FCR 218</w:t>
      </w:r>
      <w:r w:rsidR="00047A40">
        <w:t>’</w:t>
      </w:r>
      <w:r w:rsidR="00B271C5">
        <w:t>)</w:t>
      </w:r>
      <w:r w:rsidR="00CB23AD">
        <w:t xml:space="preserve">.  </w:t>
      </w:r>
      <w:r w:rsidR="00212659">
        <w:t xml:space="preserve">The invention in that case was described as a method and apparatus for producing a curve image on computer graphics displays.  </w:t>
      </w:r>
      <w:r w:rsidR="00B00235">
        <w:t xml:space="preserve">It was objected that claim 1 (which provided for a method </w:t>
      </w:r>
      <w:r w:rsidR="003A55CD">
        <w:t xml:space="preserve">of </w:t>
      </w:r>
      <w:r w:rsidR="00B00235">
        <w:t>producing a visual representation of a curve image from a set of control points which define the curve</w:t>
      </w:r>
      <w:r w:rsidR="001134E1">
        <w:t>,</w:t>
      </w:r>
      <w:r w:rsidR="00B00235">
        <w:t xml:space="preserve"> and which are input for each dimension and a number of intervals to the curve to be computed, said method comprising a number of defined steps) did not </w:t>
      </w:r>
      <w:r w:rsidR="001134E1">
        <w:t>define a manner of manufacture.</w:t>
      </w:r>
      <w:r w:rsidR="00B00235">
        <w:t xml:space="preserve"> </w:t>
      </w:r>
      <w:r w:rsidR="001134E1">
        <w:t xml:space="preserve"> R</w:t>
      </w:r>
      <w:r w:rsidR="00B00235">
        <w:t xml:space="preserve">ather, the claim was said to recite a mathematical algorithm, which it then </w:t>
      </w:r>
      <w:r w:rsidR="00B221C9">
        <w:t>“</w:t>
      </w:r>
      <w:r w:rsidR="00B00235">
        <w:t>wholly pre-empted</w:t>
      </w:r>
      <w:r w:rsidR="00B221C9">
        <w:t>”</w:t>
      </w:r>
      <w:r w:rsidR="00B00235">
        <w:t xml:space="preserve">.  </w:t>
      </w:r>
    </w:p>
    <w:p w:rsidR="00C740F4" w:rsidRDefault="00716800" w:rsidP="00DB5259">
      <w:pPr>
        <w:pStyle w:val="ParaNumbering"/>
      </w:pPr>
      <w:r>
        <w:t xml:space="preserve">In that case, </w:t>
      </w:r>
      <w:r w:rsidR="00DB5259">
        <w:t xml:space="preserve">Burchett J emphasised </w:t>
      </w:r>
      <w:r w:rsidR="00B221C9">
        <w:t>“</w:t>
      </w:r>
      <w:r w:rsidR="00DB5259">
        <w:t>useful effect</w:t>
      </w:r>
      <w:r w:rsidR="00B221C9">
        <w:t>”</w:t>
      </w:r>
      <w:r w:rsidR="00DB5259">
        <w:t xml:space="preserve"> </w:t>
      </w:r>
      <w:r w:rsidR="00FD6BD3">
        <w:t xml:space="preserve">as being important to </w:t>
      </w:r>
      <w:r w:rsidR="00DB5259">
        <w:t>dis</w:t>
      </w:r>
      <w:r w:rsidR="00FD6BD3">
        <w:t>tinguish</w:t>
      </w:r>
      <w:r w:rsidR="00DB5259">
        <w:t xml:space="preserve"> between</w:t>
      </w:r>
      <w:r>
        <w:t xml:space="preserve"> the</w:t>
      </w:r>
      <w:r w:rsidR="00DB5259">
        <w:t xml:space="preserve"> discovery of a principle </w:t>
      </w:r>
      <w:r w:rsidR="00FD6BD3">
        <w:t xml:space="preserve">of science </w:t>
      </w:r>
      <w:r w:rsidR="00DB5259">
        <w:t>and the making of an invention</w:t>
      </w:r>
      <w:r w:rsidR="00FD6BD3">
        <w:t xml:space="preserve"> (at 224)</w:t>
      </w:r>
      <w:r w:rsidR="00DB5259">
        <w:t xml:space="preserve">.  </w:t>
      </w:r>
      <w:r w:rsidR="005A4331">
        <w:t xml:space="preserve">His Honour applied </w:t>
      </w:r>
      <w:r w:rsidR="005A4331" w:rsidRPr="00271B71">
        <w:rPr>
          <w:i/>
        </w:rPr>
        <w:t>NRDC</w:t>
      </w:r>
      <w:r w:rsidR="005A4331">
        <w:t xml:space="preserve">, and in doing so, referred to the decision of the Patents Appeal Tribunal in </w:t>
      </w:r>
      <w:r w:rsidR="00A34E78">
        <w:rPr>
          <w:i/>
        </w:rPr>
        <w:t>Burrough</w:t>
      </w:r>
      <w:r w:rsidR="005A4331" w:rsidRPr="00271B71">
        <w:rPr>
          <w:i/>
        </w:rPr>
        <w:t>s Corp</w:t>
      </w:r>
      <w:r w:rsidR="004A706C">
        <w:rPr>
          <w:i/>
        </w:rPr>
        <w:t>oration (Perkins</w:t>
      </w:r>
      <w:r w:rsidR="00B221C9">
        <w:rPr>
          <w:i/>
        </w:rPr>
        <w:t>’</w:t>
      </w:r>
      <w:r w:rsidR="004A706C">
        <w:rPr>
          <w:i/>
        </w:rPr>
        <w:t>)</w:t>
      </w:r>
      <w:r w:rsidR="00D6390A" w:rsidRPr="00271B71">
        <w:rPr>
          <w:i/>
        </w:rPr>
        <w:t xml:space="preserve"> Application</w:t>
      </w:r>
      <w:r>
        <w:t xml:space="preserve"> [1974] RPC 147</w:t>
      </w:r>
      <w:r w:rsidR="00B271C5">
        <w:t xml:space="preserve"> (</w:t>
      </w:r>
      <w:r w:rsidR="00047A40">
        <w:t>‘</w:t>
      </w:r>
      <w:r w:rsidR="00B271C5">
        <w:t>Burroughs</w:t>
      </w:r>
      <w:r w:rsidR="00047A40">
        <w:t>’</w:t>
      </w:r>
      <w:r w:rsidR="00B271C5">
        <w:t>)</w:t>
      </w:r>
      <w:r>
        <w:t>.</w:t>
      </w:r>
      <w:r w:rsidR="00D6390A">
        <w:t xml:space="preserve"> </w:t>
      </w:r>
      <w:r>
        <w:t xml:space="preserve"> </w:t>
      </w:r>
      <w:r w:rsidRPr="00CA21F7">
        <w:rPr>
          <w:i/>
        </w:rPr>
        <w:t>Burroughs</w:t>
      </w:r>
      <w:r>
        <w:t xml:space="preserve"> involved a method of transmitting data over a communication link between a central computer and </w:t>
      </w:r>
      <w:r w:rsidR="00B221C9">
        <w:t>“</w:t>
      </w:r>
      <w:r>
        <w:t>slave computers</w:t>
      </w:r>
      <w:r w:rsidR="00B221C9">
        <w:t>”</w:t>
      </w:r>
      <w:r>
        <w:t xml:space="preserve"> connected to it.  In that case, </w:t>
      </w:r>
      <w:r w:rsidR="00D6390A">
        <w:t xml:space="preserve">Graham J (delivering the decision of the Tribunal) referred to the proposition that </w:t>
      </w:r>
      <w:r w:rsidR="00B221C9">
        <w:t>“</w:t>
      </w:r>
      <w:r w:rsidR="00D6390A">
        <w:t xml:space="preserve">claims for a method of operating a computer could not be a manner of new manufacture within the Act since the end </w:t>
      </w:r>
      <w:r w:rsidR="00D6390A">
        <w:lastRenderedPageBreak/>
        <w:t xml:space="preserve">product of the method was </w:t>
      </w:r>
      <w:r w:rsidR="00B221C9">
        <w:t>‘</w:t>
      </w:r>
      <w:r w:rsidR="00D6390A">
        <w:t>merely intellectual information</w:t>
      </w:r>
      <w:r w:rsidR="00B221C9">
        <w:t>’</w:t>
      </w:r>
      <w:r w:rsidR="00D6390A">
        <w:t xml:space="preserve"> which does not fall within the meaning of </w:t>
      </w:r>
      <w:r w:rsidR="00B221C9">
        <w:t>‘</w:t>
      </w:r>
      <w:r w:rsidR="00D6390A">
        <w:t>product</w:t>
      </w:r>
      <w:r w:rsidR="00B221C9">
        <w:t>’</w:t>
      </w:r>
      <w:r w:rsidR="00D6390A">
        <w:t xml:space="preserve"> as defined</w:t>
      </w:r>
      <w:r w:rsidR="00157381">
        <w:t xml:space="preserve"> by Morton J</w:t>
      </w:r>
      <w:r w:rsidR="00B221C9">
        <w:t>”</w:t>
      </w:r>
      <w:r w:rsidR="00157381">
        <w:t xml:space="preserve"> (at 154)</w:t>
      </w:r>
      <w:r w:rsidR="00D6390A">
        <w:t xml:space="preserve">. </w:t>
      </w:r>
      <w:r w:rsidR="00B6593C">
        <w:t xml:space="preserve"> </w:t>
      </w:r>
    </w:p>
    <w:p w:rsidR="00FD6BD3" w:rsidRDefault="00C93DEA" w:rsidP="00DB5259">
      <w:pPr>
        <w:pStyle w:val="ParaNumbering"/>
      </w:pPr>
      <w:r>
        <w:t xml:space="preserve">Justice Burchett extracted </w:t>
      </w:r>
      <w:r w:rsidR="00B6593C">
        <w:t>Graham J</w:t>
      </w:r>
      <w:r w:rsidR="00B221C9">
        <w:t>’</w:t>
      </w:r>
      <w:r>
        <w:t xml:space="preserve">s conclusion on </w:t>
      </w:r>
      <w:r w:rsidR="00B6593C">
        <w:t>this point</w:t>
      </w:r>
      <w:r w:rsidR="00A0162A">
        <w:t>, to the effect</w:t>
      </w:r>
      <w:r w:rsidR="00B13493">
        <w:t xml:space="preserve"> </w:t>
      </w:r>
      <w:r w:rsidR="00B6593C">
        <w:t>that</w:t>
      </w:r>
      <w:r>
        <w:t xml:space="preserve"> (at 225</w:t>
      </w:r>
      <w:r w:rsidR="00A87204">
        <w:t xml:space="preserve"> in </w:t>
      </w:r>
      <w:r w:rsidR="00A87204" w:rsidRPr="008F49F8">
        <w:rPr>
          <w:i/>
        </w:rPr>
        <w:t>IBM</w:t>
      </w:r>
      <w:r w:rsidR="00271B71">
        <w:t xml:space="preserve"> (1991) 33 FCR 218</w:t>
      </w:r>
      <w:r>
        <w:t xml:space="preserve">, citing </w:t>
      </w:r>
      <w:r w:rsidR="00434CD3">
        <w:rPr>
          <w:i/>
        </w:rPr>
        <w:t>Burrough</w:t>
      </w:r>
      <w:r w:rsidR="00434CD3" w:rsidRPr="00271B71">
        <w:rPr>
          <w:i/>
        </w:rPr>
        <w:t xml:space="preserve">s </w:t>
      </w:r>
      <w:r w:rsidR="00434CD3">
        <w:t xml:space="preserve">[1974] RPC 147 </w:t>
      </w:r>
      <w:r>
        <w:t>at 158</w:t>
      </w:r>
      <w:r w:rsidR="000F726D">
        <w:t xml:space="preserve"> and 160-161</w:t>
      </w:r>
      <w:r>
        <w:t>)</w:t>
      </w:r>
      <w:r w:rsidR="00B6593C">
        <w:t>:</w:t>
      </w:r>
    </w:p>
    <w:p w:rsidR="00B6593C" w:rsidRDefault="00B6593C" w:rsidP="008C606F">
      <w:pPr>
        <w:pStyle w:val="Quote1"/>
        <w:rPr>
          <w:i/>
        </w:rPr>
      </w:pPr>
      <w:r w:rsidRPr="008C606F">
        <w:rPr>
          <w:i/>
        </w:rPr>
        <w:t xml:space="preserve">it is not enough to take a narrow and confined look at the </w:t>
      </w:r>
      <w:r w:rsidR="00B221C9">
        <w:rPr>
          <w:i/>
        </w:rPr>
        <w:t>‘</w:t>
      </w:r>
      <w:r w:rsidRPr="008C606F">
        <w:rPr>
          <w:i/>
        </w:rPr>
        <w:t>product</w:t>
      </w:r>
      <w:r w:rsidR="00B221C9">
        <w:rPr>
          <w:i/>
        </w:rPr>
        <w:t>’</w:t>
      </w:r>
      <w:r w:rsidRPr="008C606F">
        <w:rPr>
          <w:i/>
        </w:rPr>
        <w:t xml:space="preserve"> produced by a method.  Of course, if a method is regarded purely as the conception of an idea, it can always be said that the product of such a method is merely intellectual information.  If, however, in practice the method results in a new machine or process or an old machine giving a new and improved result, that fact should in our view be regarded as the </w:t>
      </w:r>
      <w:r w:rsidR="00B221C9">
        <w:rPr>
          <w:i/>
        </w:rPr>
        <w:t>‘</w:t>
      </w:r>
      <w:r w:rsidRPr="008C606F">
        <w:rPr>
          <w:i/>
        </w:rPr>
        <w:t>product</w:t>
      </w:r>
      <w:r w:rsidR="00B221C9">
        <w:rPr>
          <w:i/>
        </w:rPr>
        <w:t>’</w:t>
      </w:r>
      <w:r w:rsidRPr="008C606F">
        <w:rPr>
          <w:i/>
        </w:rPr>
        <w:t xml:space="preserve"> or the result of using the method, and cannot be disregarded in considering whether the method is patentable or not. </w:t>
      </w:r>
    </w:p>
    <w:p w:rsidR="000F726D" w:rsidRDefault="000F726D" w:rsidP="008C606F">
      <w:pPr>
        <w:pStyle w:val="Quote1"/>
        <w:rPr>
          <w:i/>
        </w:rPr>
      </w:pPr>
      <w:r>
        <w:rPr>
          <w:i/>
        </w:rPr>
        <w:t>…</w:t>
      </w:r>
    </w:p>
    <w:p w:rsidR="00BC5754" w:rsidRDefault="000F726D" w:rsidP="000F726D">
      <w:pPr>
        <w:pStyle w:val="Quote1"/>
        <w:rPr>
          <w:i/>
        </w:rPr>
      </w:pPr>
      <w:r w:rsidRPr="000F726D">
        <w:rPr>
          <w:i/>
        </w:rPr>
        <w:t>[W]e consider the correct conclusion in the present case is as follows:</w:t>
      </w:r>
      <w:r>
        <w:rPr>
          <w:i/>
        </w:rPr>
        <w:t xml:space="preserve"> </w:t>
      </w:r>
      <w:r w:rsidRPr="000F726D">
        <w:rPr>
          <w:i/>
        </w:rPr>
        <w:t>If a claim, whatever words are used, namely, whether the claim is for</w:t>
      </w:r>
      <w:r>
        <w:rPr>
          <w:i/>
        </w:rPr>
        <w:t xml:space="preserve"> </w:t>
      </w:r>
      <w:r w:rsidRPr="000F726D">
        <w:rPr>
          <w:i/>
        </w:rPr>
        <w:t xml:space="preserve">example for </w:t>
      </w:r>
      <w:r w:rsidR="00B221C9">
        <w:rPr>
          <w:i/>
        </w:rPr>
        <w:t>‘</w:t>
      </w:r>
      <w:r w:rsidRPr="000F726D">
        <w:rPr>
          <w:i/>
        </w:rPr>
        <w:t>a method of transmitting data .. .</w:t>
      </w:r>
      <w:r w:rsidR="00B221C9">
        <w:rPr>
          <w:i/>
        </w:rPr>
        <w:t>’</w:t>
      </w:r>
      <w:r w:rsidRPr="000F726D">
        <w:rPr>
          <w:i/>
        </w:rPr>
        <w:t xml:space="preserve">, </w:t>
      </w:r>
      <w:r w:rsidR="00B221C9">
        <w:rPr>
          <w:i/>
        </w:rPr>
        <w:t>‘</w:t>
      </w:r>
      <w:r w:rsidRPr="000F726D">
        <w:rPr>
          <w:i/>
        </w:rPr>
        <w:t>a method of controlling</w:t>
      </w:r>
      <w:r>
        <w:rPr>
          <w:i/>
        </w:rPr>
        <w:t xml:space="preserve"> </w:t>
      </w:r>
      <w:r w:rsidRPr="000F726D">
        <w:rPr>
          <w:i/>
        </w:rPr>
        <w:t>a system of computers</w:t>
      </w:r>
      <w:r w:rsidR="00B221C9">
        <w:rPr>
          <w:i/>
        </w:rPr>
        <w:t>’</w:t>
      </w:r>
      <w:r w:rsidRPr="000F726D">
        <w:rPr>
          <w:i/>
        </w:rPr>
        <w:t xml:space="preserve"> or </w:t>
      </w:r>
      <w:r w:rsidR="00B221C9">
        <w:rPr>
          <w:i/>
        </w:rPr>
        <w:t>‘</w:t>
      </w:r>
      <w:r w:rsidRPr="000F726D">
        <w:rPr>
          <w:i/>
        </w:rPr>
        <w:t>a method of operating or programming a</w:t>
      </w:r>
      <w:r>
        <w:rPr>
          <w:i/>
        </w:rPr>
        <w:t xml:space="preserve"> </w:t>
      </w:r>
      <w:r w:rsidRPr="000F726D">
        <w:rPr>
          <w:i/>
        </w:rPr>
        <w:t>computer .. .</w:t>
      </w:r>
      <w:r w:rsidR="00B221C9">
        <w:rPr>
          <w:i/>
        </w:rPr>
        <w:t>’</w:t>
      </w:r>
      <w:r w:rsidRPr="000F726D">
        <w:rPr>
          <w:i/>
        </w:rPr>
        <w:t>, is clearly directed to a method involving the use of</w:t>
      </w:r>
      <w:r>
        <w:rPr>
          <w:i/>
        </w:rPr>
        <w:t xml:space="preserve"> </w:t>
      </w:r>
      <w:r w:rsidRPr="000F726D">
        <w:rPr>
          <w:i/>
        </w:rPr>
        <w:t>apparatus modified or programmed to operate in a new way, as the</w:t>
      </w:r>
      <w:r>
        <w:rPr>
          <w:i/>
        </w:rPr>
        <w:t xml:space="preserve"> </w:t>
      </w:r>
      <w:r w:rsidRPr="000F726D">
        <w:rPr>
          <w:i/>
        </w:rPr>
        <w:t>present claims are, it should be accepted ... Claims in this form in truth</w:t>
      </w:r>
      <w:r>
        <w:rPr>
          <w:i/>
        </w:rPr>
        <w:t xml:space="preserve"> </w:t>
      </w:r>
      <w:r w:rsidRPr="000F726D">
        <w:rPr>
          <w:i/>
        </w:rPr>
        <w:t>meet Mr Aldous</w:t>
      </w:r>
      <w:r w:rsidR="00B221C9">
        <w:rPr>
          <w:i/>
        </w:rPr>
        <w:t>’</w:t>
      </w:r>
      <w:r w:rsidRPr="000F726D">
        <w:rPr>
          <w:i/>
        </w:rPr>
        <w:t xml:space="preserve"> argument that there must be an artificial end product</w:t>
      </w:r>
      <w:r>
        <w:rPr>
          <w:i/>
        </w:rPr>
        <w:t xml:space="preserve"> </w:t>
      </w:r>
      <w:r w:rsidRPr="000F726D">
        <w:rPr>
          <w:i/>
        </w:rPr>
        <w:t xml:space="preserve">or effect before a method can be patentable. </w:t>
      </w:r>
      <w:r w:rsidR="00BC5754">
        <w:rPr>
          <w:i/>
        </w:rPr>
        <w:t xml:space="preserve"> </w:t>
      </w:r>
      <w:r w:rsidRPr="000F726D">
        <w:rPr>
          <w:i/>
        </w:rPr>
        <w:t>Whether the argument is</w:t>
      </w:r>
      <w:r>
        <w:rPr>
          <w:i/>
        </w:rPr>
        <w:t xml:space="preserve"> </w:t>
      </w:r>
      <w:r w:rsidRPr="000F726D">
        <w:rPr>
          <w:i/>
        </w:rPr>
        <w:t>right or not, there is in fact such an effect in this case.</w:t>
      </w:r>
      <w:r>
        <w:rPr>
          <w:i/>
        </w:rPr>
        <w:t xml:space="preserve"> </w:t>
      </w:r>
      <w:r w:rsidR="00BC5754">
        <w:rPr>
          <w:i/>
        </w:rPr>
        <w:t xml:space="preserve"> </w:t>
      </w:r>
    </w:p>
    <w:p w:rsidR="002045D2" w:rsidRDefault="002045D2" w:rsidP="000F726D">
      <w:pPr>
        <w:pStyle w:val="Quote1"/>
        <w:rPr>
          <w:i/>
        </w:rPr>
      </w:pPr>
    </w:p>
    <w:p w:rsidR="000F726D" w:rsidRDefault="000F726D" w:rsidP="000F726D">
      <w:pPr>
        <w:pStyle w:val="Quote1"/>
        <w:rPr>
          <w:i/>
        </w:rPr>
      </w:pPr>
      <w:r w:rsidRPr="000F726D">
        <w:rPr>
          <w:i/>
        </w:rPr>
        <w:t>It is plain that the question of patentability must in every case be</w:t>
      </w:r>
      <w:r>
        <w:rPr>
          <w:i/>
        </w:rPr>
        <w:t xml:space="preserve"> </w:t>
      </w:r>
      <w:r w:rsidRPr="000F726D">
        <w:rPr>
          <w:i/>
        </w:rPr>
        <w:t>considered on the facts before a conclusion can be reached as to</w:t>
      </w:r>
      <w:r>
        <w:rPr>
          <w:i/>
        </w:rPr>
        <w:t xml:space="preserve"> </w:t>
      </w:r>
      <w:r w:rsidRPr="000F726D">
        <w:rPr>
          <w:i/>
        </w:rPr>
        <w:t>whether the claim covers a mere idea or method, or is more than that</w:t>
      </w:r>
      <w:r>
        <w:rPr>
          <w:i/>
        </w:rPr>
        <w:t xml:space="preserve"> </w:t>
      </w:r>
      <w:r w:rsidRPr="000F726D">
        <w:rPr>
          <w:i/>
        </w:rPr>
        <w:t>and results in fact in some improved or modified apparatus, or an old</w:t>
      </w:r>
      <w:r>
        <w:rPr>
          <w:i/>
        </w:rPr>
        <w:t xml:space="preserve"> </w:t>
      </w:r>
      <w:r w:rsidRPr="000F726D">
        <w:rPr>
          <w:i/>
        </w:rPr>
        <w:t>apparatus operating in a novel way, with consequent economic</w:t>
      </w:r>
      <w:r>
        <w:rPr>
          <w:i/>
        </w:rPr>
        <w:t xml:space="preserve"> </w:t>
      </w:r>
      <w:r w:rsidRPr="000F726D">
        <w:rPr>
          <w:i/>
        </w:rPr>
        <w:t>importance or advantages in the field of the useful as opposed to the</w:t>
      </w:r>
      <w:r>
        <w:rPr>
          <w:i/>
        </w:rPr>
        <w:t xml:space="preserve"> fme arts.</w:t>
      </w:r>
    </w:p>
    <w:p w:rsidR="00385A00" w:rsidRDefault="00385A00" w:rsidP="000F726D">
      <w:pPr>
        <w:pStyle w:val="Quote1"/>
        <w:rPr>
          <w:i/>
        </w:rPr>
      </w:pPr>
      <w:r>
        <w:rPr>
          <w:i/>
        </w:rPr>
        <w:t>…</w:t>
      </w:r>
    </w:p>
    <w:p w:rsidR="00385A00" w:rsidRPr="00385A00" w:rsidRDefault="00385A00" w:rsidP="00385A00">
      <w:pPr>
        <w:pStyle w:val="Quote1"/>
        <w:rPr>
          <w:i/>
        </w:rPr>
      </w:pPr>
      <w:r w:rsidRPr="00385A00">
        <w:rPr>
          <w:i/>
        </w:rPr>
        <w:t>It also follows from what we have said, though this is not strictly</w:t>
      </w:r>
      <w:r>
        <w:rPr>
          <w:i/>
        </w:rPr>
        <w:t xml:space="preserve"> </w:t>
      </w:r>
      <w:r w:rsidRPr="00385A00">
        <w:rPr>
          <w:i/>
        </w:rPr>
        <w:t>necessary for the purposes of our decision, that in our view computer</w:t>
      </w:r>
      <w:r>
        <w:rPr>
          <w:i/>
        </w:rPr>
        <w:t xml:space="preserve"> </w:t>
      </w:r>
      <w:r w:rsidRPr="00385A00">
        <w:rPr>
          <w:i/>
        </w:rPr>
        <w:t>program</w:t>
      </w:r>
      <w:r w:rsidR="00BC5754">
        <w:rPr>
          <w:i/>
        </w:rPr>
        <w:t>me</w:t>
      </w:r>
      <w:r w:rsidRPr="00385A00">
        <w:rPr>
          <w:i/>
        </w:rPr>
        <w:t>s which have the effect of controlling computers to operate in a</w:t>
      </w:r>
      <w:r>
        <w:rPr>
          <w:i/>
        </w:rPr>
        <w:t xml:space="preserve"> </w:t>
      </w:r>
      <w:r w:rsidRPr="00385A00">
        <w:rPr>
          <w:i/>
        </w:rPr>
        <w:t>particular way, where such program</w:t>
      </w:r>
      <w:r w:rsidR="00BC5754">
        <w:rPr>
          <w:i/>
        </w:rPr>
        <w:t>me</w:t>
      </w:r>
      <w:r w:rsidRPr="00385A00">
        <w:rPr>
          <w:i/>
        </w:rPr>
        <w:t>s are embodied in physical form, are</w:t>
      </w:r>
      <w:r>
        <w:rPr>
          <w:i/>
        </w:rPr>
        <w:t xml:space="preserve"> </w:t>
      </w:r>
      <w:r w:rsidRPr="00385A00">
        <w:rPr>
          <w:i/>
        </w:rPr>
        <w:t>proper sub</w:t>
      </w:r>
      <w:r>
        <w:rPr>
          <w:i/>
        </w:rPr>
        <w:t>ject matter for letters patent.</w:t>
      </w:r>
    </w:p>
    <w:p w:rsidR="00E832A1" w:rsidRDefault="00D5073E" w:rsidP="00DB5259">
      <w:pPr>
        <w:pStyle w:val="ParaNumbering"/>
      </w:pPr>
      <w:r>
        <w:t xml:space="preserve">Justice Burchett </w:t>
      </w:r>
      <w:r w:rsidR="00825A67">
        <w:t>noted</w:t>
      </w:r>
      <w:r>
        <w:t xml:space="preserve"> that it was not suggested that there was anything new about the mathematics of the invention in the case before him – rather, what was new was the application of the selected mathematical methods to computers (and in particular, the production by computer of the desired curve).  </w:t>
      </w:r>
      <w:r w:rsidR="00E832A1">
        <w:t xml:space="preserve">His Honour found that (at 226): </w:t>
      </w:r>
    </w:p>
    <w:p w:rsidR="00B6593C" w:rsidRPr="00E832A1" w:rsidRDefault="0021186E" w:rsidP="00E832A1">
      <w:pPr>
        <w:pStyle w:val="Quote1"/>
        <w:rPr>
          <w:i/>
        </w:rPr>
      </w:pPr>
      <w:r>
        <w:rPr>
          <w:i/>
        </w:rPr>
        <w:t>[t]</w:t>
      </w:r>
      <w:r w:rsidR="00E832A1" w:rsidRPr="00E832A1">
        <w:rPr>
          <w:i/>
        </w:rPr>
        <w:t>his is said to involve steps which are foreign to the normal use of computers and, for that reason, to be inventive. The production of an improved curve image is a commercially useful effect in computer graphics.</w:t>
      </w:r>
    </w:p>
    <w:p w:rsidR="00E832A1" w:rsidRDefault="00087912" w:rsidP="00D84849">
      <w:pPr>
        <w:pStyle w:val="ParaNumbering"/>
      </w:pPr>
      <w:r>
        <w:t xml:space="preserve">His Honour considered that such a finding was not precluded by the </w:t>
      </w:r>
      <w:smartTag w:uri="urn:schemas-microsoft-com:office:smarttags" w:element="place">
        <w:smartTag w:uri="urn:schemas-microsoft-com:office:smarttags" w:element="country-region">
          <w:r>
            <w:t>United States</w:t>
          </w:r>
        </w:smartTag>
      </w:smartTag>
      <w:r w:rsidR="0029312C">
        <w:t xml:space="preserve"> authorities </w:t>
      </w:r>
      <w:r w:rsidR="000014FA">
        <w:t xml:space="preserve">regarding the pre-emption of algorithms </w:t>
      </w:r>
      <w:r w:rsidR="0029312C">
        <w:t xml:space="preserve">relied </w:t>
      </w:r>
      <w:r>
        <w:t xml:space="preserve">on in argument before him.  </w:t>
      </w:r>
      <w:r w:rsidR="001134E1">
        <w:t>H</w:t>
      </w:r>
      <w:r w:rsidR="00825A67">
        <w:t xml:space="preserve">is Honour emphasised that the patent was not sought over a mere mathematical formula – </w:t>
      </w:r>
      <w:r w:rsidR="00A17B7C">
        <w:lastRenderedPageBreak/>
        <w:t xml:space="preserve">rather, </w:t>
      </w:r>
      <w:r w:rsidR="00825A67">
        <w:t xml:space="preserve">the formula was applied to achieve an end, </w:t>
      </w:r>
      <w:r w:rsidR="001134E1">
        <w:t xml:space="preserve">which was </w:t>
      </w:r>
      <w:r w:rsidR="00825A67">
        <w:t xml:space="preserve">the production of the improved curve image.  The method of producing such a result by computer was, his Honour held, entitled to patent law protection (at 226). </w:t>
      </w:r>
    </w:p>
    <w:p w:rsidR="001346B7" w:rsidRDefault="001346B7" w:rsidP="00D84849">
      <w:pPr>
        <w:pStyle w:val="ParaNumbering"/>
      </w:pPr>
      <w:r w:rsidRPr="001346B7">
        <w:t xml:space="preserve">In 1994, the Full Court of the Federal Court of Australia delivered judgment in </w:t>
      </w:r>
      <w:r w:rsidRPr="0072139F">
        <w:rPr>
          <w:i/>
        </w:rPr>
        <w:t>CCOM</w:t>
      </w:r>
      <w:r w:rsidRPr="001346B7">
        <w:t xml:space="preserve">.  </w:t>
      </w:r>
      <w:r w:rsidR="00126E22">
        <w:t xml:space="preserve">The invention in that case </w:t>
      </w:r>
      <w:r w:rsidR="00170895">
        <w:t>concerned a character word processor for the storage and retrieval o</w:t>
      </w:r>
      <w:r w:rsidR="00173484">
        <w:t>f Chinese language characters</w:t>
      </w:r>
      <w:r w:rsidR="00A17B7C">
        <w:t>.</w:t>
      </w:r>
      <w:r w:rsidR="00173484">
        <w:t xml:space="preserve"> </w:t>
      </w:r>
      <w:r w:rsidR="00A17B7C">
        <w:t xml:space="preserve"> I</w:t>
      </w:r>
      <w:r w:rsidR="00173484">
        <w:t>t used a particular method of characterisation of character strokes</w:t>
      </w:r>
      <w:r w:rsidR="00A17B7C">
        <w:t>,</w:t>
      </w:r>
      <w:r w:rsidR="00173484">
        <w:t xml:space="preserve"> applied to an apparatus in such a way that the operation of a keyboard would enable the selection </w:t>
      </w:r>
      <w:r w:rsidR="003C535E">
        <w:t>(</w:t>
      </w:r>
      <w:r w:rsidR="00173484">
        <w:t>through a computer</w:t>
      </w:r>
      <w:r w:rsidR="003C535E">
        <w:t>)</w:t>
      </w:r>
      <w:r w:rsidR="00173484">
        <w:t xml:space="preserve"> of the appropriate Chinese characters required for word processing</w:t>
      </w:r>
      <w:r w:rsidR="003C535E">
        <w:t xml:space="preserve"> in that language</w:t>
      </w:r>
      <w:r w:rsidR="00173484">
        <w:t xml:space="preserve">. </w:t>
      </w:r>
      <w:r w:rsidR="0090656B">
        <w:t xml:space="preserve"> The primary judge held that the invention was not a manner of manufacture.  </w:t>
      </w:r>
    </w:p>
    <w:p w:rsidR="00741CDB" w:rsidRPr="000153D7" w:rsidRDefault="00A17B7C" w:rsidP="002C3606">
      <w:pPr>
        <w:pStyle w:val="ParaNumbering"/>
        <w:rPr>
          <w:i/>
        </w:rPr>
      </w:pPr>
      <w:r>
        <w:t>In undertaking the manner of manufacture inquiry, t</w:t>
      </w:r>
      <w:r w:rsidR="003A3973">
        <w:t xml:space="preserve">he </w:t>
      </w:r>
      <w:smartTag w:uri="urn:schemas-microsoft-com:office:smarttags" w:element="Street">
        <w:smartTag w:uri="urn:schemas-microsoft-com:office:smarttags" w:element="address">
          <w:r w:rsidR="003A3973">
            <w:t>Full Court</w:t>
          </w:r>
        </w:smartTag>
      </w:smartTag>
      <w:r w:rsidR="003A3973">
        <w:t xml:space="preserve"> characterised their task as one </w:t>
      </w:r>
      <w:r w:rsidR="00546871">
        <w:t xml:space="preserve">requiring the </w:t>
      </w:r>
      <w:r w:rsidR="003A3973">
        <w:t xml:space="preserve">application of concepts </w:t>
      </w:r>
      <w:r w:rsidR="00B221C9">
        <w:t>“</w:t>
      </w:r>
      <w:r w:rsidR="003A3973">
        <w:t xml:space="preserve">which have evolved, and are still evolving, in accordance with the classic decision in the </w:t>
      </w:r>
      <w:r w:rsidR="003A3973" w:rsidRPr="00A66B2A">
        <w:rPr>
          <w:i/>
        </w:rPr>
        <w:t>NRDC</w:t>
      </w:r>
      <w:r w:rsidR="003A3973">
        <w:t xml:space="preserve"> case</w:t>
      </w:r>
      <w:r w:rsidR="00B221C9">
        <w:t>”</w:t>
      </w:r>
      <w:r w:rsidR="00B305DA">
        <w:t xml:space="preserve"> (at 289)</w:t>
      </w:r>
      <w:r w:rsidR="003A3973">
        <w:t xml:space="preserve">.  </w:t>
      </w:r>
      <w:r>
        <w:t>In such an inquiry, a</w:t>
      </w:r>
      <w:r w:rsidR="000153D7">
        <w:t xml:space="preserve"> decision is required as to </w:t>
      </w:r>
      <w:r w:rsidR="00B221C9">
        <w:t>“</w:t>
      </w:r>
      <w:r w:rsidR="000153D7">
        <w:t>what properly and currently falls within the scope of the patent system</w:t>
      </w:r>
      <w:r w:rsidR="00B221C9">
        <w:t>”</w:t>
      </w:r>
      <w:r w:rsidR="000153D7">
        <w:t xml:space="preserve"> (at 291).  Insofar as </w:t>
      </w:r>
      <w:r w:rsidR="00B221C9">
        <w:t>“</w:t>
      </w:r>
      <w:r w:rsidR="000153D7">
        <w:t>manufacture</w:t>
      </w:r>
      <w:r w:rsidR="00B221C9">
        <w:t>”</w:t>
      </w:r>
      <w:r w:rsidR="000153D7">
        <w:t xml:space="preserve"> suggests a </w:t>
      </w:r>
      <w:r w:rsidR="00B221C9">
        <w:t>“</w:t>
      </w:r>
      <w:r w:rsidR="000153D7">
        <w:t>vendible product</w:t>
      </w:r>
      <w:r w:rsidR="00B221C9">
        <w:t>”</w:t>
      </w:r>
      <w:r w:rsidR="000153D7">
        <w:t xml:space="preserve">, the </w:t>
      </w:r>
      <w:r>
        <w:t xml:space="preserve">Full </w:t>
      </w:r>
      <w:r w:rsidR="000153D7">
        <w:t xml:space="preserve">Court held that this is to be understood as </w:t>
      </w:r>
      <w:r w:rsidR="00B221C9">
        <w:t>“</w:t>
      </w:r>
      <w:r w:rsidR="000153D7">
        <w:t>covering every end produced or artificially created state of affairs which is of utility in practical affairs and whose significance thus is economic</w:t>
      </w:r>
      <w:r w:rsidR="00B221C9">
        <w:t>”</w:t>
      </w:r>
      <w:r w:rsidR="001223D0">
        <w:t xml:space="preserve"> (at 291)</w:t>
      </w:r>
      <w:r w:rsidR="000153D7">
        <w:t xml:space="preserve">.  </w:t>
      </w:r>
    </w:p>
    <w:p w:rsidR="00A66B2A" w:rsidRPr="00A66B2A" w:rsidRDefault="001223D0" w:rsidP="002C3606">
      <w:pPr>
        <w:pStyle w:val="ParaNumbering"/>
        <w:rPr>
          <w:i/>
        </w:rPr>
      </w:pPr>
      <w:r>
        <w:t xml:space="preserve">The </w:t>
      </w:r>
      <w:smartTag w:uri="urn:schemas-microsoft-com:office:smarttags" w:element="Street">
        <w:smartTag w:uri="urn:schemas-microsoft-com:office:smarttags" w:element="address">
          <w:r>
            <w:t>Full Court</w:t>
          </w:r>
        </w:smartTag>
      </w:smartTag>
      <w:r>
        <w:t xml:space="preserve"> in </w:t>
      </w:r>
      <w:r w:rsidR="00583DC2" w:rsidRPr="00583DC2">
        <w:t>that case</w:t>
      </w:r>
      <w:r w:rsidR="00583DC2">
        <w:rPr>
          <w:i/>
        </w:rPr>
        <w:t xml:space="preserve"> </w:t>
      </w:r>
      <w:r>
        <w:t xml:space="preserve">specifically addressed the challenges </w:t>
      </w:r>
      <w:r w:rsidR="000422ED">
        <w:t xml:space="preserve">posed </w:t>
      </w:r>
      <w:r>
        <w:t xml:space="preserve">to the law of intellectual property by the advent and development of computer technology.  </w:t>
      </w:r>
      <w:r w:rsidR="00CE7CE5">
        <w:t>They noted that one response to computer technology has been to make provision</w:t>
      </w:r>
      <w:r w:rsidR="008A32F5">
        <w:t xml:space="preserve"> for it</w:t>
      </w:r>
      <w:r w:rsidR="00CE7CE5">
        <w:t xml:space="preserve"> in copyright law – but this response has been subject to criticism on a number of bases</w:t>
      </w:r>
      <w:r w:rsidR="00BC3988">
        <w:t>,</w:t>
      </w:r>
      <w:r w:rsidR="008A32F5">
        <w:t xml:space="preserve"> </w:t>
      </w:r>
      <w:r w:rsidR="00A66B2A">
        <w:t xml:space="preserve">for example, on the basis that </w:t>
      </w:r>
      <w:r w:rsidR="008A32F5" w:rsidRPr="00083AA7">
        <w:t>functionality is not a proper object of copyright protection (see further</w:t>
      </w:r>
      <w:r w:rsidR="00BC3988" w:rsidRPr="00083AA7">
        <w:t xml:space="preserve"> </w:t>
      </w:r>
      <w:r w:rsidR="008A32F5" w:rsidRPr="00A66B2A">
        <w:rPr>
          <w:i/>
        </w:rPr>
        <w:t>CCOM</w:t>
      </w:r>
      <w:r w:rsidR="008A32F5" w:rsidRPr="00083AA7">
        <w:t xml:space="preserve"> at </w:t>
      </w:r>
      <w:r w:rsidR="00BC3988" w:rsidRPr="00083AA7">
        <w:t>291-292</w:t>
      </w:r>
      <w:r w:rsidR="008A32F5" w:rsidRPr="00083AA7">
        <w:t>)</w:t>
      </w:r>
      <w:r w:rsidR="00BC3988" w:rsidRPr="00083AA7">
        <w:t xml:space="preserve">.  </w:t>
      </w:r>
    </w:p>
    <w:p w:rsidR="00A9307C" w:rsidRPr="00A9307C" w:rsidRDefault="00BC3988" w:rsidP="00A9307C">
      <w:pPr>
        <w:pStyle w:val="ParaNumbering"/>
        <w:rPr>
          <w:i/>
        </w:rPr>
      </w:pPr>
      <w:r w:rsidRPr="00083AA7">
        <w:t xml:space="preserve">The </w:t>
      </w:r>
      <w:smartTag w:uri="urn:schemas-microsoft-com:office:smarttags" w:element="Street">
        <w:smartTag w:uri="urn:schemas-microsoft-com:office:smarttags" w:element="address">
          <w:r w:rsidR="00C647A5">
            <w:t xml:space="preserve">Full </w:t>
          </w:r>
          <w:r w:rsidRPr="00083AA7">
            <w:t>Court</w:t>
          </w:r>
        </w:smartTag>
      </w:smartTag>
      <w:r w:rsidRPr="00083AA7">
        <w:t xml:space="preserve"> then reviewed a number of </w:t>
      </w:r>
      <w:r w:rsidR="008E5356" w:rsidRPr="00083AA7">
        <w:t>publications</w:t>
      </w:r>
      <w:r w:rsidR="00ED5BDD" w:rsidRPr="00083AA7">
        <w:t xml:space="preserve"> and </w:t>
      </w:r>
      <w:smartTag w:uri="urn:schemas-microsoft-com:office:smarttags" w:element="country-region">
        <w:r w:rsidRPr="00083AA7">
          <w:t>United Kingdom</w:t>
        </w:r>
      </w:smartTag>
      <w:r w:rsidRPr="00083AA7">
        <w:t xml:space="preserve"> authorities on point</w:t>
      </w:r>
      <w:r w:rsidR="008E5356" w:rsidRPr="00083AA7">
        <w:t xml:space="preserve"> (about which more will be said in due course)</w:t>
      </w:r>
      <w:r w:rsidRPr="00083AA7">
        <w:t xml:space="preserve">, </w:t>
      </w:r>
      <w:r w:rsidR="00ED5BDD" w:rsidRPr="00083AA7">
        <w:t>and noted</w:t>
      </w:r>
      <w:r w:rsidR="00ED5BDD">
        <w:t xml:space="preserve"> the trend in other jurisdictions</w:t>
      </w:r>
      <w:r w:rsidR="00F247D5">
        <w:t xml:space="preserve"> (not replicated in </w:t>
      </w:r>
      <w:smartTag w:uri="urn:schemas-microsoft-com:office:smarttags" w:element="place">
        <w:smartTag w:uri="urn:schemas-microsoft-com:office:smarttags" w:element="country-region">
          <w:r w:rsidR="00F247D5">
            <w:t>Australia</w:t>
          </w:r>
        </w:smartTag>
      </w:smartTag>
      <w:r w:rsidR="00F247D5">
        <w:t>)</w:t>
      </w:r>
      <w:r w:rsidR="00ED5BDD">
        <w:t xml:space="preserve"> to exclude computer programs from patent protection</w:t>
      </w:r>
      <w:r w:rsidR="00F247D5">
        <w:t xml:space="preserve"> (at 292-293)</w:t>
      </w:r>
      <w:r w:rsidR="00ED5BDD">
        <w:t xml:space="preserve">.  </w:t>
      </w:r>
      <w:r w:rsidR="004F5E6E">
        <w:t xml:space="preserve">For example, the Full Court discussed a number of English cases that were decided after </w:t>
      </w:r>
      <w:r w:rsidR="004F5E6E" w:rsidRPr="004F5E6E">
        <w:rPr>
          <w:i/>
        </w:rPr>
        <w:t>NRDC</w:t>
      </w:r>
      <w:r w:rsidR="004F5E6E">
        <w:t xml:space="preserve">, but before the enactment of the </w:t>
      </w:r>
      <w:r w:rsidR="000422ED" w:rsidRPr="00D876B1">
        <w:rPr>
          <w:i/>
        </w:rPr>
        <w:t xml:space="preserve">Patents </w:t>
      </w:r>
      <w:r w:rsidR="004F5E6E" w:rsidRPr="00D876B1">
        <w:rPr>
          <w:i/>
        </w:rPr>
        <w:t>Act 1977</w:t>
      </w:r>
      <w:r w:rsidR="004F5E6E">
        <w:t xml:space="preserve"> </w:t>
      </w:r>
      <w:r w:rsidR="000422ED">
        <w:t xml:space="preserve">(UK) </w:t>
      </w:r>
      <w:r w:rsidR="004F5E6E">
        <w:t xml:space="preserve">(which, unlike the patent law legislation in Australia, expressly excluded business methods </w:t>
      </w:r>
      <w:r w:rsidR="004F5E6E">
        <w:lastRenderedPageBreak/>
        <w:t xml:space="preserve">and computer programs from the ambit of patentability).  The </w:t>
      </w:r>
      <w:smartTag w:uri="urn:schemas-microsoft-com:office:smarttags" w:element="Street">
        <w:smartTag w:uri="urn:schemas-microsoft-com:office:smarttags" w:element="address">
          <w:r w:rsidR="004F5E6E">
            <w:t>Full Court</w:t>
          </w:r>
        </w:smartTag>
      </w:smartTag>
      <w:r w:rsidR="004F5E6E">
        <w:t xml:space="preserve"> opined that </w:t>
      </w:r>
      <w:r w:rsidR="00B221C9">
        <w:t>“</w:t>
      </w:r>
      <w:r w:rsidR="004F5E6E">
        <w:t xml:space="preserve">there is significant guidance to be obtained from the course of decisions in </w:t>
      </w:r>
      <w:smartTag w:uri="urn:schemas-microsoft-com:office:smarttags" w:element="place">
        <w:smartTag w:uri="urn:schemas-microsoft-com:office:smarttags" w:element="country-region">
          <w:r w:rsidR="004F5E6E">
            <w:t>Britain</w:t>
          </w:r>
        </w:smartTag>
      </w:smartTag>
      <w:r w:rsidR="004F5E6E">
        <w:t xml:space="preserve"> before the new legislation with the application in this field of the principles expounded in the </w:t>
      </w:r>
      <w:r w:rsidR="004F5E6E" w:rsidRPr="00D649C1">
        <w:rPr>
          <w:i/>
        </w:rPr>
        <w:t>NRDC</w:t>
      </w:r>
      <w:r w:rsidR="004F5E6E">
        <w:t xml:space="preserve"> case</w:t>
      </w:r>
      <w:r w:rsidR="00B221C9">
        <w:t>”</w:t>
      </w:r>
      <w:r w:rsidR="004F5E6E">
        <w:t xml:space="preserve"> (at 293).  </w:t>
      </w:r>
    </w:p>
    <w:p w:rsidR="004F5E6E" w:rsidRPr="00A9307C" w:rsidRDefault="004F5E6E" w:rsidP="00A9307C">
      <w:pPr>
        <w:pStyle w:val="ParaNumbering"/>
        <w:rPr>
          <w:i/>
        </w:rPr>
      </w:pPr>
      <w:r>
        <w:t xml:space="preserve">One of these cases was </w:t>
      </w:r>
      <w:r>
        <w:rPr>
          <w:i/>
        </w:rPr>
        <w:t>Burrough</w:t>
      </w:r>
      <w:r w:rsidRPr="00271B71">
        <w:rPr>
          <w:i/>
        </w:rPr>
        <w:t xml:space="preserve">s </w:t>
      </w:r>
      <w:r w:rsidR="00E20691">
        <w:t xml:space="preserve">[1974] RPC 147, which, as previously noted, </w:t>
      </w:r>
      <w:r>
        <w:t xml:space="preserve">was considered and approved by Burchett J in </w:t>
      </w:r>
      <w:r w:rsidRPr="00F67D43">
        <w:rPr>
          <w:i/>
        </w:rPr>
        <w:t>IBM</w:t>
      </w:r>
      <w:r>
        <w:t xml:space="preserve"> (1991) 33 FCR 218.  Another was </w:t>
      </w:r>
      <w:r w:rsidRPr="00F67D43">
        <w:rPr>
          <w:i/>
        </w:rPr>
        <w:t>International Business Machines Corporation</w:t>
      </w:r>
      <w:r w:rsidR="00B221C9">
        <w:rPr>
          <w:i/>
        </w:rPr>
        <w:t>’</w:t>
      </w:r>
      <w:r w:rsidRPr="00F67D43">
        <w:rPr>
          <w:i/>
        </w:rPr>
        <w:t>s Application</w:t>
      </w:r>
      <w:r>
        <w:t xml:space="preserve"> [1980] FSR 564</w:t>
      </w:r>
      <w:r w:rsidR="007205EA">
        <w:t xml:space="preserve"> (‘</w:t>
      </w:r>
      <w:r w:rsidR="007205EA" w:rsidRPr="007205EA">
        <w:rPr>
          <w:i/>
        </w:rPr>
        <w:t>IBM</w:t>
      </w:r>
      <w:r w:rsidR="007205EA">
        <w:t xml:space="preserve"> [1980] FSR 564’)</w:t>
      </w:r>
      <w:r>
        <w:t xml:space="preserve">, which concerned a computer program intended to automatically calculate </w:t>
      </w:r>
      <w:r w:rsidR="003C5E49">
        <w:t>the selling price of shares</w:t>
      </w:r>
      <w:r>
        <w:t xml:space="preserve"> by comparing buying and selling orders.  The Patents Appeal Tribunal acknowledged that a completely standard computer made and sold by IBM could be programmed to perform the invention</w:t>
      </w:r>
      <w:r w:rsidR="003C5E49">
        <w:t xml:space="preserve"> (</w:t>
      </w:r>
      <w:r w:rsidR="006D025F">
        <w:t xml:space="preserve">to this end, I note that </w:t>
      </w:r>
      <w:r w:rsidR="003C5E49">
        <w:t xml:space="preserve">IBM submitted in opposition to the validity of the patent </w:t>
      </w:r>
      <w:r w:rsidR="006D025F">
        <w:t xml:space="preserve">in that case </w:t>
      </w:r>
      <w:r w:rsidR="003C5E49">
        <w:t xml:space="preserve">that </w:t>
      </w:r>
      <w:r w:rsidR="00B221C9">
        <w:t>“</w:t>
      </w:r>
      <w:r w:rsidR="003C5E49">
        <w:t xml:space="preserve">even on the assumption that </w:t>
      </w:r>
      <w:r w:rsidR="008E369F">
        <w:t>the idea is new and not obvious</w:t>
      </w:r>
      <w:r w:rsidR="003C5E49">
        <w:t xml:space="preserve"> it does not become a manner of manufacture if you</w:t>
      </w:r>
      <w:r w:rsidR="008E369F">
        <w:t xml:space="preserve"> do no</w:t>
      </w:r>
      <w:r w:rsidR="003C5E49">
        <w:t xml:space="preserve"> more than call in the aid of an ordinary computer to do the work for you</w:t>
      </w:r>
      <w:r w:rsidR="00B221C9">
        <w:t>”</w:t>
      </w:r>
      <w:r w:rsidR="003C5E49">
        <w:t>: at 568)</w:t>
      </w:r>
      <w:r>
        <w:t xml:space="preserve">.  </w:t>
      </w:r>
      <w:r w:rsidR="003C5E49">
        <w:t>But u</w:t>
      </w:r>
      <w:r>
        <w:t>ltimately the Tribunal held that what was claimed by the patent was a manner of manufacture, in the sense that it was a method involving the operation or control of a computer such that it was programmed in a particular way to operate in accordance with the inventor</w:t>
      </w:r>
      <w:r w:rsidR="00B221C9">
        <w:t>’</w:t>
      </w:r>
      <w:r>
        <w:t xml:space="preserve">s method.  </w:t>
      </w:r>
      <w:r w:rsidR="003C5E49">
        <w:t xml:space="preserve">It was held that the invention involved </w:t>
      </w:r>
      <w:r>
        <w:t>more than mere intellectual information (</w:t>
      </w:r>
      <w:r w:rsidR="006D025F">
        <w:t xml:space="preserve">in </w:t>
      </w:r>
      <w:r w:rsidR="008D0EF5">
        <w:t>contrast</w:t>
      </w:r>
      <w:r w:rsidR="006D025F">
        <w:t xml:space="preserve"> to </w:t>
      </w:r>
      <w:r>
        <w:t xml:space="preserve">those cases where a patent </w:t>
      </w:r>
      <w:r w:rsidR="000422ED">
        <w:t>wa</w:t>
      </w:r>
      <w:r>
        <w:t>s</w:t>
      </w:r>
      <w:r w:rsidR="007C12F9">
        <w:t xml:space="preserve"> sought over an algorithm alone</w:t>
      </w:r>
      <w:r w:rsidR="000829C7">
        <w:t>,</w:t>
      </w:r>
      <w:r w:rsidR="007C12F9">
        <w:t xml:space="preserve"> </w:t>
      </w:r>
      <w:r w:rsidR="006D025F">
        <w:t xml:space="preserve">as </w:t>
      </w:r>
      <w:r w:rsidR="007C12F9">
        <w:t xml:space="preserve">discussed in </w:t>
      </w:r>
      <w:r w:rsidRPr="007905F6">
        <w:rPr>
          <w:i/>
        </w:rPr>
        <w:t>IBM</w:t>
      </w:r>
      <w:r>
        <w:t xml:space="preserve"> [1980] FSR 564 at 572).  </w:t>
      </w:r>
    </w:p>
    <w:p w:rsidR="00741CDB" w:rsidRDefault="001729EC" w:rsidP="00D84849">
      <w:pPr>
        <w:pStyle w:val="ParaNumbering"/>
      </w:pPr>
      <w:r>
        <w:t xml:space="preserve">The </w:t>
      </w:r>
      <w:r w:rsidR="00053AAC">
        <w:t xml:space="preserve">Full </w:t>
      </w:r>
      <w:r>
        <w:t xml:space="preserve">Court </w:t>
      </w:r>
      <w:r w:rsidR="000829C7">
        <w:t xml:space="preserve">in </w:t>
      </w:r>
      <w:r w:rsidR="000829C7" w:rsidRPr="000829C7">
        <w:rPr>
          <w:i/>
        </w:rPr>
        <w:t>CCOM</w:t>
      </w:r>
      <w:r w:rsidR="000829C7">
        <w:t xml:space="preserve"> </w:t>
      </w:r>
      <w:r>
        <w:t xml:space="preserve">rejected the submission that all that had been done in </w:t>
      </w:r>
      <w:r w:rsidR="00F77A85">
        <w:t xml:space="preserve">respect of the invention in issue </w:t>
      </w:r>
      <w:r>
        <w:t xml:space="preserve">was to select </w:t>
      </w:r>
      <w:r w:rsidR="00B221C9">
        <w:t>“</w:t>
      </w:r>
      <w:r>
        <w:t xml:space="preserve">a desirable characteristic of a computer program, the ability to search, in the manner described, a data base of the type described, and </w:t>
      </w:r>
      <w:r w:rsidR="00B221C9">
        <w:t>“</w:t>
      </w:r>
      <w:r>
        <w:t>to claim all computers present and future possessing that characteristic</w:t>
      </w:r>
      <w:r w:rsidR="00B221C9">
        <w:t>”</w:t>
      </w:r>
      <w:r w:rsidR="000422ED">
        <w:t>”</w:t>
      </w:r>
      <w:r w:rsidR="00507FB0">
        <w:t xml:space="preserve"> (at 294</w:t>
      </w:r>
      <w:r w:rsidR="006C5B1F">
        <w:t>)</w:t>
      </w:r>
      <w:r w:rsidR="00507FB0">
        <w:t xml:space="preserve">.  </w:t>
      </w:r>
      <w:r w:rsidR="000422ED">
        <w:t xml:space="preserve">The Court </w:t>
      </w:r>
      <w:r w:rsidR="00507FB0">
        <w:t>concluded (at 294-295)</w:t>
      </w:r>
      <w:r w:rsidR="006C5B1F">
        <w:t>:</w:t>
      </w:r>
    </w:p>
    <w:p w:rsidR="006C5B1F" w:rsidRPr="006C5B1F" w:rsidRDefault="006C5B1F" w:rsidP="006C5B1F">
      <w:pPr>
        <w:pStyle w:val="Quote1"/>
        <w:rPr>
          <w:i/>
        </w:rPr>
      </w:pPr>
      <w:r w:rsidRPr="006C5B1F">
        <w:rPr>
          <w:i/>
        </w:rPr>
        <w:t>That submission should not be accepted. It may be that such a claim lacks</w:t>
      </w:r>
      <w:r>
        <w:rPr>
          <w:i/>
        </w:rPr>
        <w:t xml:space="preserve"> </w:t>
      </w:r>
      <w:r w:rsidRPr="006C5B1F">
        <w:rPr>
          <w:i/>
        </w:rPr>
        <w:t>novelty, is obvious, or lacks utility, or there is a failure to comply with one or</w:t>
      </w:r>
      <w:r>
        <w:rPr>
          <w:i/>
        </w:rPr>
        <w:t xml:space="preserve"> </w:t>
      </w:r>
      <w:r w:rsidRPr="006C5B1F">
        <w:rPr>
          <w:i/>
        </w:rPr>
        <w:t>other of the limbs of s 40 because, for example, the invention is not fully</w:t>
      </w:r>
      <w:r>
        <w:rPr>
          <w:i/>
        </w:rPr>
        <w:t xml:space="preserve"> </w:t>
      </w:r>
      <w:r w:rsidRPr="006C5B1F">
        <w:rPr>
          <w:i/>
        </w:rPr>
        <w:t>described or the claim is not clear and succinct. But if such hurdles all are</w:t>
      </w:r>
      <w:r>
        <w:rPr>
          <w:i/>
        </w:rPr>
        <w:t xml:space="preserve"> </w:t>
      </w:r>
      <w:r w:rsidRPr="006C5B1F">
        <w:rPr>
          <w:i/>
        </w:rPr>
        <w:t>surmounted, then in our opinion in a case such as the present there does not</w:t>
      </w:r>
      <w:r>
        <w:rPr>
          <w:i/>
        </w:rPr>
        <w:t xml:space="preserve"> </w:t>
      </w:r>
      <w:r w:rsidRPr="006C5B1F">
        <w:rPr>
          <w:i/>
        </w:rPr>
        <w:t>remain an independent ground of objection as to patentability, within the</w:t>
      </w:r>
      <w:r>
        <w:rPr>
          <w:i/>
        </w:rPr>
        <w:t xml:space="preserve"> </w:t>
      </w:r>
      <w:r w:rsidRPr="006C5B1F">
        <w:rPr>
          <w:i/>
        </w:rPr>
        <w:t>sense of s 18(1)(a) of the 1990 Act.</w:t>
      </w:r>
    </w:p>
    <w:p w:rsidR="006C5B1F" w:rsidRDefault="00843B58" w:rsidP="00D84849">
      <w:pPr>
        <w:pStyle w:val="ParaNumbering"/>
      </w:pPr>
      <w:r>
        <w:t>T</w:t>
      </w:r>
      <w:r w:rsidR="003B4E51">
        <w:t xml:space="preserve">he invention in </w:t>
      </w:r>
      <w:r w:rsidR="00532982" w:rsidRPr="00AB32AA">
        <w:rPr>
          <w:i/>
        </w:rPr>
        <w:t>CCOM</w:t>
      </w:r>
      <w:r w:rsidR="00532982">
        <w:t xml:space="preserve"> was held to be </w:t>
      </w:r>
      <w:r w:rsidR="003B4E51">
        <w:t xml:space="preserve">a manner of manufacture in the sense articulated by </w:t>
      </w:r>
      <w:r w:rsidR="003B4E51" w:rsidRPr="00AB32AA">
        <w:rPr>
          <w:i/>
        </w:rPr>
        <w:t>NRDC</w:t>
      </w:r>
      <w:r w:rsidR="0048549D">
        <w:t xml:space="preserve"> </w:t>
      </w:r>
      <w:r w:rsidR="003B4E51">
        <w:t xml:space="preserve">– namely, a mode or manner of achieving an end result which is an artificially created state of affairs of utility in the field of economic endeavour (at 295).  </w:t>
      </w:r>
      <w:r>
        <w:t>T</w:t>
      </w:r>
      <w:r w:rsidR="00532982">
        <w:t xml:space="preserve">he </w:t>
      </w:r>
      <w:r w:rsidR="00532982">
        <w:lastRenderedPageBreak/>
        <w:t xml:space="preserve">relevant field of economic endeavour </w:t>
      </w:r>
      <w:r>
        <w:t xml:space="preserve">in </w:t>
      </w:r>
      <w:r w:rsidRPr="00843B58">
        <w:rPr>
          <w:i/>
        </w:rPr>
        <w:t>CCOM</w:t>
      </w:r>
      <w:r>
        <w:t xml:space="preserve"> </w:t>
      </w:r>
      <w:r w:rsidR="00532982">
        <w:t xml:space="preserve">was held to be the use of word processing to assemble text in Chinese language characters.  </w:t>
      </w:r>
      <w:r w:rsidR="003A7EDE">
        <w:t xml:space="preserve">The end result achieved was held to be the retrieval of graphic representations </w:t>
      </w:r>
      <w:r w:rsidR="00D41263">
        <w:t>of desired char</w:t>
      </w:r>
      <w:r w:rsidR="00E717AE">
        <w:t>acters, for assembly of text.  And finally, t</w:t>
      </w:r>
      <w:r w:rsidR="00D41263">
        <w:t xml:space="preserve">he mode or manner of achieving this (which was said to provide particular utility in achieving the end result) was held to be the storage of data as to Chinese characters analysed by stroke-type categories, for search including </w:t>
      </w:r>
      <w:r w:rsidR="00B221C9">
        <w:t>“</w:t>
      </w:r>
      <w:r w:rsidR="00D41263">
        <w:t>flagging</w:t>
      </w:r>
      <w:r w:rsidR="00B221C9">
        <w:t>”</w:t>
      </w:r>
      <w:r w:rsidR="00D41263">
        <w:t xml:space="preserve"> (and </w:t>
      </w:r>
      <w:r w:rsidR="00B221C9">
        <w:t>“</w:t>
      </w:r>
      <w:r w:rsidR="00D41263">
        <w:t>unflagging</w:t>
      </w:r>
      <w:r w:rsidR="00B221C9">
        <w:t>”</w:t>
      </w:r>
      <w:r w:rsidR="00D41263">
        <w:t>) and selection by reference thereto.</w:t>
      </w:r>
    </w:p>
    <w:p w:rsidR="00CB23AD" w:rsidRDefault="00265DCC" w:rsidP="00D84849">
      <w:pPr>
        <w:pStyle w:val="ParaNumbering"/>
      </w:pPr>
      <w:r>
        <w:t>Subsequently, i</w:t>
      </w:r>
      <w:r w:rsidR="00CB23AD" w:rsidRPr="003C40D3">
        <w:t xml:space="preserve">n 2001, Heerey J delivered judgment in </w:t>
      </w:r>
      <w:r w:rsidR="00CB23AD" w:rsidRPr="003C40D3">
        <w:rPr>
          <w:i/>
        </w:rPr>
        <w:t>Catuity</w:t>
      </w:r>
      <w:r w:rsidR="00CB23AD" w:rsidRPr="003C40D3">
        <w:t xml:space="preserve">.  </w:t>
      </w:r>
      <w:r w:rsidR="00863B00">
        <w:t xml:space="preserve">The invention in issue was a process and device for the operation of smart cards </w:t>
      </w:r>
      <w:r w:rsidR="003F5929">
        <w:t xml:space="preserve">(being cards containing a microprocessor or chip with the capacity to store and receive information) </w:t>
      </w:r>
      <w:r w:rsidR="00863B00">
        <w:t>in connection with traders</w:t>
      </w:r>
      <w:r w:rsidR="00B221C9">
        <w:t>’</w:t>
      </w:r>
      <w:r w:rsidR="00835F30">
        <w:t xml:space="preserve"> loyalty programs, </w:t>
      </w:r>
      <w:r w:rsidR="00637F44">
        <w:t xml:space="preserve">which </w:t>
      </w:r>
      <w:r w:rsidR="00835F30">
        <w:t xml:space="preserve">enable traders to promote goods or services by offering rewards </w:t>
      </w:r>
      <w:r w:rsidR="00472C24">
        <w:t xml:space="preserve">to consumers </w:t>
      </w:r>
      <w:r w:rsidR="00835F30">
        <w:t xml:space="preserve">based on prior transactions.  </w:t>
      </w:r>
      <w:r w:rsidR="0064660F">
        <w:t>The invention incorporated the ability to dynamically store each merchant</w:t>
      </w:r>
      <w:r w:rsidR="00B221C9">
        <w:t>’</w:t>
      </w:r>
      <w:r w:rsidR="0064660F">
        <w:t xml:space="preserve">s loyalty program in a separate record of a file called the </w:t>
      </w:r>
      <w:r w:rsidR="00B221C9">
        <w:t>“</w:t>
      </w:r>
      <w:r w:rsidR="0064660F">
        <w:t>Behaviour file</w:t>
      </w:r>
      <w:r w:rsidR="00B221C9">
        <w:t>”</w:t>
      </w:r>
      <w:r w:rsidR="0064660F">
        <w:t xml:space="preserve">, which </w:t>
      </w:r>
      <w:r w:rsidR="005E29AF">
        <w:t xml:space="preserve">process </w:t>
      </w:r>
      <w:r w:rsidR="0064660F">
        <w:t>occur</w:t>
      </w:r>
      <w:r w:rsidR="005E29AF">
        <w:t>s</w:t>
      </w:r>
      <w:r w:rsidR="0064660F">
        <w:t xml:space="preserve"> at a point of sale terminal the f</w:t>
      </w:r>
      <w:r w:rsidR="00195A9E">
        <w:t>irst time that a cardholder uses the card at that</w:t>
      </w:r>
      <w:r w:rsidR="0064660F">
        <w:t xml:space="preserve"> merchant</w:t>
      </w:r>
      <w:r w:rsidR="00B221C9">
        <w:t>’</w:t>
      </w:r>
      <w:r w:rsidR="0064660F">
        <w:t xml:space="preserve">s store.  </w:t>
      </w:r>
      <w:r w:rsidR="00140C44">
        <w:t xml:space="preserve">In contrast to the prior art, behaviour information and points for merchants never visited by the cardholder were not added </w:t>
      </w:r>
      <w:r w:rsidR="000422ED">
        <w:t xml:space="preserve">to </w:t>
      </w:r>
      <w:r w:rsidR="00140C44">
        <w:t xml:space="preserve">the card. </w:t>
      </w:r>
      <w:r w:rsidR="00603429">
        <w:t xml:space="preserve"> It was said that this approach allowed chip cards with a small memory capacity to be used with thousands of merchants, each operating their own loyalty program. </w:t>
      </w:r>
    </w:p>
    <w:p w:rsidR="000422ED" w:rsidRDefault="00195F79" w:rsidP="00D84849">
      <w:pPr>
        <w:pStyle w:val="ParaNumbering"/>
      </w:pPr>
      <w:r>
        <w:t xml:space="preserve">The respondents </w:t>
      </w:r>
      <w:r w:rsidR="00192852">
        <w:t xml:space="preserve">in that case </w:t>
      </w:r>
      <w:r>
        <w:t xml:space="preserve">submitted that working directions and methods of doing things – of which the </w:t>
      </w:r>
      <w:r w:rsidR="008A6FD3">
        <w:t>invention was said to be an example</w:t>
      </w:r>
      <w:r w:rsidR="00087073">
        <w:t>, using well-known integers</w:t>
      </w:r>
      <w:r w:rsidR="008A6FD3">
        <w:t xml:space="preserve"> </w:t>
      </w:r>
      <w:r w:rsidR="00B25472">
        <w:t>including a chip card, the memory space of such a card, and various computer programs</w:t>
      </w:r>
      <w:r w:rsidR="001C41E9">
        <w:t xml:space="preserve"> to operate familiar kinds of loyalty and incentive schemes for customers</w:t>
      </w:r>
      <w:r w:rsidR="00B25472">
        <w:t xml:space="preserve"> </w:t>
      </w:r>
      <w:r w:rsidR="008A6FD3">
        <w:t xml:space="preserve">– fall outside the concept of manner of manufacture.  </w:t>
      </w:r>
    </w:p>
    <w:p w:rsidR="00EB059A" w:rsidRDefault="00A636F3" w:rsidP="00D84849">
      <w:pPr>
        <w:pStyle w:val="ParaNumbering"/>
      </w:pPr>
      <w:r>
        <w:t xml:space="preserve">They sought to distinguish both </w:t>
      </w:r>
      <w:r w:rsidRPr="00F67D43">
        <w:rPr>
          <w:i/>
        </w:rPr>
        <w:t>IBM</w:t>
      </w:r>
      <w:r w:rsidR="00F67D43">
        <w:t xml:space="preserve"> (1991) 33 FCR 218</w:t>
      </w:r>
      <w:r>
        <w:t xml:space="preserve"> and </w:t>
      </w:r>
      <w:r w:rsidRPr="00F67D43">
        <w:rPr>
          <w:i/>
        </w:rPr>
        <w:t>CCOM</w:t>
      </w:r>
      <w:r>
        <w:t xml:space="preserve"> on the basis that in each of those cases, there was </w:t>
      </w:r>
      <w:r w:rsidR="00B221C9">
        <w:t>“</w:t>
      </w:r>
      <w:r>
        <w:t xml:space="preserve">a physically observable effect that met the manner of manufacture requirement: the screen curve in </w:t>
      </w:r>
      <w:r w:rsidRPr="00CC5070">
        <w:rPr>
          <w:i/>
        </w:rPr>
        <w:t>International Business Machines</w:t>
      </w:r>
      <w:r>
        <w:t xml:space="preserve"> and the retrieval to graphical representations of desired characters for the assembly of text in </w:t>
      </w:r>
      <w:r w:rsidRPr="00CC5070">
        <w:rPr>
          <w:i/>
        </w:rPr>
        <w:t>CCOM</w:t>
      </w:r>
      <w:r w:rsidR="00B221C9">
        <w:t>”</w:t>
      </w:r>
      <w:r w:rsidR="007C5C5E">
        <w:t xml:space="preserve"> (at 133</w:t>
      </w:r>
      <w:r w:rsidR="00DF136D">
        <w:t xml:space="preserve"> [108</w:t>
      </w:r>
      <w:r w:rsidR="00637F44">
        <w:t>]</w:t>
      </w:r>
      <w:r w:rsidR="007C5C5E">
        <w:t>)</w:t>
      </w:r>
      <w:r>
        <w:t>.</w:t>
      </w:r>
      <w:r w:rsidR="009557F0">
        <w:t xml:space="preserve">  </w:t>
      </w:r>
      <w:r w:rsidR="004E5ECA">
        <w:t>The respondents also relied on the High Court</w:t>
      </w:r>
      <w:r w:rsidR="00B221C9">
        <w:t>’</w:t>
      </w:r>
      <w:r w:rsidR="004E5ECA">
        <w:t xml:space="preserve">s decision in </w:t>
      </w:r>
      <w:r w:rsidR="004E5ECA" w:rsidRPr="00F67D43">
        <w:rPr>
          <w:i/>
        </w:rPr>
        <w:t>Commissioner of Patents v Microcell Ltd</w:t>
      </w:r>
      <w:r w:rsidR="004E5ECA">
        <w:t xml:space="preserve"> (1959) 102 CLR 232, where it was said at 249 that:</w:t>
      </w:r>
    </w:p>
    <w:p w:rsidR="004E5ECA" w:rsidRPr="0031487D" w:rsidRDefault="006D025F" w:rsidP="0031487D">
      <w:pPr>
        <w:pStyle w:val="Quote1"/>
        <w:rPr>
          <w:i/>
        </w:rPr>
      </w:pPr>
      <w:r>
        <w:rPr>
          <w:i/>
        </w:rPr>
        <w:t>[m]</w:t>
      </w:r>
      <w:r w:rsidR="0031487D" w:rsidRPr="0031487D">
        <w:rPr>
          <w:i/>
        </w:rPr>
        <w:t xml:space="preserve">any valid patents are for new uses of old things.  But it is not an inventive idea for which a monopoly can be claimed to take a substance which is known and used for </w:t>
      </w:r>
      <w:r w:rsidR="0031487D" w:rsidRPr="0031487D">
        <w:rPr>
          <w:i/>
        </w:rPr>
        <w:lastRenderedPageBreak/>
        <w:t>the making of various articles, and make out of it an article for which its known properties make it suitable, although it has not in fact been used to make that article before.</w:t>
      </w:r>
    </w:p>
    <w:p w:rsidR="004E5ECA" w:rsidRDefault="000422ED" w:rsidP="00D84849">
      <w:pPr>
        <w:pStyle w:val="ParaNumbering"/>
      </w:pPr>
      <w:r>
        <w:t xml:space="preserve">In his reasons for judgment, </w:t>
      </w:r>
      <w:r w:rsidR="00DA0063">
        <w:t xml:space="preserve">Heerey </w:t>
      </w:r>
      <w:r>
        <w:t xml:space="preserve">J </w:t>
      </w:r>
      <w:r w:rsidR="00DA0063">
        <w:t xml:space="preserve">referred to </w:t>
      </w:r>
      <w:r w:rsidR="00DA0063" w:rsidRPr="00201C4B">
        <w:rPr>
          <w:i/>
        </w:rPr>
        <w:t>Burroughs</w:t>
      </w:r>
      <w:r w:rsidR="00DA0063">
        <w:t xml:space="preserve"> </w:t>
      </w:r>
      <w:r w:rsidR="00021FE4">
        <w:t xml:space="preserve">[1974] RPC 147 </w:t>
      </w:r>
      <w:r w:rsidR="00DA0063">
        <w:t xml:space="preserve">and </w:t>
      </w:r>
      <w:r w:rsidR="00DA0063" w:rsidRPr="00201C4B">
        <w:rPr>
          <w:i/>
        </w:rPr>
        <w:t>IBM</w:t>
      </w:r>
      <w:r w:rsidR="009F004E">
        <w:rPr>
          <w:i/>
        </w:rPr>
        <w:t xml:space="preserve"> </w:t>
      </w:r>
      <w:r w:rsidR="009F004E" w:rsidRPr="009F004E">
        <w:t>[1980] FSR 564</w:t>
      </w:r>
      <w:r w:rsidR="00DA0063">
        <w:t xml:space="preserve"> as being </w:t>
      </w:r>
      <w:r w:rsidR="00B221C9">
        <w:t>“</w:t>
      </w:r>
      <w:r w:rsidR="00DA0063">
        <w:t>of particular importance for present purposes</w:t>
      </w:r>
      <w:r w:rsidR="00B221C9">
        <w:t>”</w:t>
      </w:r>
      <w:r w:rsidR="00DA0063">
        <w:t xml:space="preserve"> (at 135-136</w:t>
      </w:r>
      <w:r w:rsidR="00962135">
        <w:t xml:space="preserve"> [118]</w:t>
      </w:r>
      <w:r w:rsidR="00DA0063">
        <w:t xml:space="preserve">).  </w:t>
      </w:r>
      <w:r w:rsidR="008A1AB5">
        <w:t xml:space="preserve">His Honour </w:t>
      </w:r>
      <w:r w:rsidR="00201C4B">
        <w:t xml:space="preserve">also </w:t>
      </w:r>
      <w:r w:rsidR="008A1AB5">
        <w:t xml:space="preserve">considered analogous United States case law; notably, the decision of the United States Court of Appeals for the Federal Circuit in </w:t>
      </w:r>
      <w:r w:rsidR="008A1AB5" w:rsidRPr="00F67D43">
        <w:rPr>
          <w:i/>
        </w:rPr>
        <w:t>State Street Bank &amp; Trust Co v Signature Financial Group</w:t>
      </w:r>
      <w:r w:rsidR="00F364D8">
        <w:t xml:space="preserve"> (1998) 149 F.</w:t>
      </w:r>
      <w:r w:rsidR="008A1AB5">
        <w:t>3d 1368</w:t>
      </w:r>
      <w:r>
        <w:t xml:space="preserve"> (</w:t>
      </w:r>
      <w:r w:rsidR="00047A40">
        <w:t>‘</w:t>
      </w:r>
      <w:r>
        <w:t>State Street</w:t>
      </w:r>
      <w:r w:rsidR="00047A40">
        <w:t>’</w:t>
      </w:r>
      <w:r>
        <w:t>)</w:t>
      </w:r>
      <w:r w:rsidR="008A1AB5">
        <w:t xml:space="preserve">.  </w:t>
      </w:r>
      <w:r w:rsidR="00E5115A">
        <w:t>That case – to which I will return in due course – involved a patent for a data processing system for the implementation of an investment structure involving the pooling of assets of mutual funds</w:t>
      </w:r>
      <w:r w:rsidR="003D0BD6">
        <w:t xml:space="preserve"> in an investment portfolio organised as a partnership</w:t>
      </w:r>
      <w:r w:rsidR="00E5115A">
        <w:t xml:space="preserve">.  </w:t>
      </w:r>
      <w:r w:rsidR="003D0BD6">
        <w:t xml:space="preserve">In the course of considering </w:t>
      </w:r>
      <w:r w:rsidR="003D0BD6" w:rsidRPr="003D0BD6">
        <w:rPr>
          <w:i/>
        </w:rPr>
        <w:t>State Street</w:t>
      </w:r>
      <w:r w:rsidR="003D0BD6">
        <w:t xml:space="preserve">, </w:t>
      </w:r>
      <w:r w:rsidR="00973421">
        <w:t xml:space="preserve">Heerey </w:t>
      </w:r>
      <w:r w:rsidR="003D0BD6">
        <w:t xml:space="preserve">J </w:t>
      </w:r>
      <w:r w:rsidR="00A34CC5">
        <w:t>noted p</w:t>
      </w:r>
      <w:r w:rsidR="00E5115A">
        <w:t xml:space="preserve">revious </w:t>
      </w:r>
      <w:smartTag w:uri="urn:schemas-microsoft-com:office:smarttags" w:element="place">
        <w:smartTag w:uri="urn:schemas-microsoft-com:office:smarttags" w:element="country-region">
          <w:r w:rsidR="00E5115A">
            <w:t>United States</w:t>
          </w:r>
        </w:smartTag>
      </w:smartTag>
      <w:r w:rsidR="00E5115A">
        <w:t xml:space="preserve"> </w:t>
      </w:r>
      <w:r w:rsidR="00F364D8">
        <w:t xml:space="preserve">authorities </w:t>
      </w:r>
      <w:r w:rsidR="00E5115A">
        <w:t xml:space="preserve">(to which Burchett J </w:t>
      </w:r>
      <w:r w:rsidR="001F4A1E">
        <w:t xml:space="preserve">also </w:t>
      </w:r>
      <w:r w:rsidR="00E5115A">
        <w:t xml:space="preserve">adverted in </w:t>
      </w:r>
      <w:r w:rsidR="00E5115A" w:rsidRPr="00B53312">
        <w:rPr>
          <w:i/>
        </w:rPr>
        <w:t>IBM</w:t>
      </w:r>
      <w:r w:rsidR="00B53312">
        <w:t xml:space="preserve"> (1991) 33 FCR 218</w:t>
      </w:r>
      <w:r w:rsidR="00E5115A">
        <w:t xml:space="preserve">) </w:t>
      </w:r>
      <w:r w:rsidR="00A34CC5">
        <w:t>which held that mathematical algorithms are not patentable subject matter to the extent that</w:t>
      </w:r>
      <w:r w:rsidR="001F4A1E">
        <w:t xml:space="preserve"> they are merely abstract ideas.  However, his Honour</w:t>
      </w:r>
      <w:r w:rsidR="00A34CC5">
        <w:t xml:space="preserve"> </w:t>
      </w:r>
      <w:r w:rsidR="001F4A1E">
        <w:t xml:space="preserve">ultimately </w:t>
      </w:r>
      <w:r w:rsidR="00973421">
        <w:t xml:space="preserve">endorsed the conclusion reached by the </w:t>
      </w:r>
      <w:r w:rsidR="00A34CC5">
        <w:t xml:space="preserve">Court of Appeals in </w:t>
      </w:r>
      <w:r w:rsidR="00A34CC5" w:rsidRPr="001F4A1E">
        <w:rPr>
          <w:i/>
        </w:rPr>
        <w:t>State Street</w:t>
      </w:r>
      <w:r w:rsidR="00973421">
        <w:t>,</w:t>
      </w:r>
      <w:r w:rsidR="00A34CC5">
        <w:t xml:space="preserve"> that (at 137):</w:t>
      </w:r>
    </w:p>
    <w:p w:rsidR="00A34CC5" w:rsidRPr="00A34CC5" w:rsidRDefault="00A34CC5" w:rsidP="00A34CC5">
      <w:pPr>
        <w:pStyle w:val="Quote1"/>
        <w:rPr>
          <w:i/>
        </w:rPr>
      </w:pPr>
      <w:r w:rsidRPr="00A34CC5">
        <w:rPr>
          <w:i/>
        </w:rPr>
        <w:t>the transformation of data representing discrete dollar</w:t>
      </w:r>
      <w:r>
        <w:rPr>
          <w:i/>
        </w:rPr>
        <w:t xml:space="preserve"> </w:t>
      </w:r>
      <w:r w:rsidRPr="00A34CC5">
        <w:rPr>
          <w:i/>
        </w:rPr>
        <w:t>amounts by a machine through a series of mathematical calculations into a final</w:t>
      </w:r>
      <w:r>
        <w:rPr>
          <w:i/>
        </w:rPr>
        <w:t xml:space="preserve"> </w:t>
      </w:r>
      <w:r w:rsidRPr="00A34CC5">
        <w:rPr>
          <w:i/>
        </w:rPr>
        <w:t>share price constituted a practical application of a mathematical algorithm</w:t>
      </w:r>
      <w:r>
        <w:rPr>
          <w:i/>
        </w:rPr>
        <w:t xml:space="preserve"> </w:t>
      </w:r>
      <w:r w:rsidRPr="00A34CC5">
        <w:rPr>
          <w:i/>
        </w:rPr>
        <w:t xml:space="preserve">formula and calculation because it produced </w:t>
      </w:r>
      <w:r w:rsidR="00B221C9">
        <w:rPr>
          <w:i/>
        </w:rPr>
        <w:t>“</w:t>
      </w:r>
      <w:r w:rsidRPr="00A34CC5">
        <w:rPr>
          <w:i/>
        </w:rPr>
        <w:t>a useful, concrete and tangible</w:t>
      </w:r>
      <w:r>
        <w:rPr>
          <w:i/>
        </w:rPr>
        <w:t xml:space="preserve"> </w:t>
      </w:r>
      <w:r w:rsidRPr="00A34CC5">
        <w:rPr>
          <w:i/>
        </w:rPr>
        <w:t>result</w:t>
      </w:r>
      <w:r w:rsidR="00B221C9">
        <w:rPr>
          <w:i/>
        </w:rPr>
        <w:t>”</w:t>
      </w:r>
      <w:r w:rsidRPr="00A34CC5">
        <w:rPr>
          <w:i/>
        </w:rPr>
        <w:t xml:space="preserve"> in the form of a final share price momentarily fixed for recording and</w:t>
      </w:r>
      <w:r>
        <w:rPr>
          <w:i/>
        </w:rPr>
        <w:t xml:space="preserve"> </w:t>
      </w:r>
      <w:r w:rsidRPr="00A34CC5">
        <w:rPr>
          <w:i/>
        </w:rPr>
        <w:t>reporting purposes.</w:t>
      </w:r>
    </w:p>
    <w:p w:rsidR="001F53FB" w:rsidRDefault="001F53FB" w:rsidP="00A32A70">
      <w:pPr>
        <w:pStyle w:val="ParaNumbering"/>
      </w:pPr>
      <w:r>
        <w:t xml:space="preserve">As will be observed later, the test considered appropriate in </w:t>
      </w:r>
      <w:smartTag w:uri="urn:schemas-microsoft-com:office:smarttags" w:element="Street">
        <w:smartTag w:uri="urn:schemas-microsoft-com:office:smarttags" w:element="address">
          <w:r w:rsidRPr="001F53FB">
            <w:rPr>
              <w:i/>
            </w:rPr>
            <w:t>State Street</w:t>
          </w:r>
        </w:smartTag>
      </w:smartTag>
      <w:r>
        <w:t xml:space="preserve"> was later disavowed in the decision of </w:t>
      </w:r>
      <w:r w:rsidRPr="00880575">
        <w:rPr>
          <w:i/>
        </w:rPr>
        <w:t>Re</w:t>
      </w:r>
      <w:r>
        <w:t xml:space="preserve"> </w:t>
      </w:r>
      <w:r w:rsidRPr="00776802">
        <w:rPr>
          <w:i/>
        </w:rPr>
        <w:t>Bilski</w:t>
      </w:r>
      <w:r>
        <w:rPr>
          <w:i/>
        </w:rPr>
        <w:t xml:space="preserve"> </w:t>
      </w:r>
      <w:r>
        <w:t xml:space="preserve">545 F.3d 943 (Fed. Cir. 2008)). </w:t>
      </w:r>
      <w:r w:rsidR="000422ED">
        <w:t xml:space="preserve"> However, I do not consider that this affects his Honour’s decision.</w:t>
      </w:r>
    </w:p>
    <w:p w:rsidR="00A34CC5" w:rsidRDefault="001F53FB" w:rsidP="00A32A70">
      <w:pPr>
        <w:pStyle w:val="ParaNumbering"/>
      </w:pPr>
      <w:r>
        <w:t xml:space="preserve">In </w:t>
      </w:r>
      <w:r w:rsidRPr="001F53FB">
        <w:rPr>
          <w:i/>
        </w:rPr>
        <w:t>Catuity</w:t>
      </w:r>
      <w:r>
        <w:t>, h</w:t>
      </w:r>
      <w:r w:rsidR="001A3EC5">
        <w:t xml:space="preserve">is Honour concluded that the invention in question produced an artificially created state of affairs, in that </w:t>
      </w:r>
      <w:r w:rsidR="00B221C9">
        <w:t>“</w:t>
      </w:r>
      <w:r w:rsidR="001A3EC5">
        <w:t>cards can be issued making available to consumers many different loyalty programs of different traders as well as different programs offered by the same trader</w:t>
      </w:r>
      <w:r w:rsidR="00B221C9">
        <w:t>”</w:t>
      </w:r>
      <w:r w:rsidR="001A3EC5">
        <w:t>, instantaneously and at each relevant retail outlet</w:t>
      </w:r>
      <w:r w:rsidR="003D4BB4">
        <w:t xml:space="preserve"> (at 137</w:t>
      </w:r>
      <w:r w:rsidR="00F364D8">
        <w:t xml:space="preserve"> </w:t>
      </w:r>
      <w:r w:rsidR="0057022A">
        <w:t>[127]</w:t>
      </w:r>
      <w:r w:rsidR="003D4BB4">
        <w:t>)</w:t>
      </w:r>
      <w:r w:rsidR="001A3EC5">
        <w:t>.  Accordingly the invention involved more than just an abstract idea, or method of calculation</w:t>
      </w:r>
      <w:r w:rsidR="00811AEB">
        <w:t>, and such a result was held to be beneficial in</w:t>
      </w:r>
      <w:r w:rsidR="005C1BFA">
        <w:t xml:space="preserve"> a field of economic endeavour – </w:t>
      </w:r>
      <w:r w:rsidR="00811AEB">
        <w:t>namely, retail trading</w:t>
      </w:r>
      <w:r w:rsidR="001A3EC5">
        <w:t xml:space="preserve"> (at 137</w:t>
      </w:r>
      <w:r w:rsidR="008F69FA">
        <w:t xml:space="preserve"> [127]</w:t>
      </w:r>
      <w:r w:rsidR="001A3EC5">
        <w:t xml:space="preserve">).  </w:t>
      </w:r>
      <w:r w:rsidR="003657A8">
        <w:t>It is convenient to</w:t>
      </w:r>
      <w:r w:rsidR="005C1BFA">
        <w:t xml:space="preserve"> set out his Honour</w:t>
      </w:r>
      <w:r w:rsidR="00B221C9">
        <w:t>’</w:t>
      </w:r>
      <w:r w:rsidR="005C1BFA">
        <w:t>s concluding words</w:t>
      </w:r>
      <w:r w:rsidR="003657A8">
        <w:t xml:space="preserve"> in full </w:t>
      </w:r>
      <w:r w:rsidR="00DA504B">
        <w:t>(at 137</w:t>
      </w:r>
      <w:r w:rsidR="003657A8">
        <w:t>-138</w:t>
      </w:r>
      <w:r w:rsidR="008F69FA">
        <w:t xml:space="preserve"> [128]-[130]</w:t>
      </w:r>
      <w:r w:rsidR="00DA504B">
        <w:t>):</w:t>
      </w:r>
    </w:p>
    <w:p w:rsidR="00667179" w:rsidRPr="00667179" w:rsidRDefault="00667179" w:rsidP="00667179">
      <w:pPr>
        <w:pStyle w:val="Quote1"/>
        <w:rPr>
          <w:i/>
        </w:rPr>
      </w:pPr>
      <w:r w:rsidRPr="00667179">
        <w:rPr>
          <w:i/>
        </w:rPr>
        <w:t>What is disclosed by the Patent is not a business method, in the sense of a particular method or scheme for carrying on a business - for example, a manufacturer appointing wholesalers to deal with particular categories of retailers rather than all retailers in particular geographical areas, or Henry Ford</w:t>
      </w:r>
      <w:r w:rsidR="00B221C9">
        <w:rPr>
          <w:i/>
        </w:rPr>
        <w:t>’</w:t>
      </w:r>
      <w:r w:rsidRPr="00667179">
        <w:rPr>
          <w:i/>
        </w:rPr>
        <w:t xml:space="preserve">s idea of stipulating that suppliers deliver goods in packing cases with timbers of particular dimensions which </w:t>
      </w:r>
      <w:r w:rsidRPr="00667179">
        <w:rPr>
          <w:i/>
        </w:rPr>
        <w:lastRenderedPageBreak/>
        <w:t xml:space="preserve">could then be used for floorboards in the Model T. Rather, the Patent is for a method and a device, involving components such as smart cards and POS terminals, </w:t>
      </w:r>
      <w:r w:rsidRPr="005B254F">
        <w:rPr>
          <w:b/>
          <w:i/>
        </w:rPr>
        <w:t>in</w:t>
      </w:r>
      <w:r w:rsidRPr="00667179">
        <w:rPr>
          <w:i/>
        </w:rPr>
        <w:t xml:space="preserve"> a business; and not just one business but an infinite range of retail businesses. </w:t>
      </w:r>
      <w:r w:rsidRPr="005B254F">
        <w:t>CCOM</w:t>
      </w:r>
      <w:r w:rsidRPr="00667179">
        <w:rPr>
          <w:i/>
        </w:rPr>
        <w:t xml:space="preserve"> and the English decisions referred to therein are in my opinion indistinguishable. The respondents</w:t>
      </w:r>
      <w:r w:rsidR="00B221C9">
        <w:rPr>
          <w:i/>
        </w:rPr>
        <w:t>’</w:t>
      </w:r>
      <w:r w:rsidRPr="00667179">
        <w:rPr>
          <w:i/>
        </w:rPr>
        <w:t xml:space="preserve"> argument for distinguishing </w:t>
      </w:r>
      <w:r w:rsidRPr="005B254F">
        <w:t>CCOM</w:t>
      </w:r>
      <w:r w:rsidRPr="00667179">
        <w:rPr>
          <w:i/>
        </w:rPr>
        <w:t xml:space="preserve"> - the supposed lack of </w:t>
      </w:r>
      <w:r w:rsidR="00B221C9">
        <w:rPr>
          <w:i/>
        </w:rPr>
        <w:t>“</w:t>
      </w:r>
      <w:r w:rsidRPr="00667179">
        <w:rPr>
          <w:i/>
        </w:rPr>
        <w:t>physically observable effect</w:t>
      </w:r>
      <w:r w:rsidR="00B221C9">
        <w:rPr>
          <w:i/>
        </w:rPr>
        <w:t>”</w:t>
      </w:r>
      <w:r w:rsidRPr="00667179">
        <w:rPr>
          <w:i/>
        </w:rPr>
        <w:t xml:space="preserve"> - turns on an expression not found in </w:t>
      </w:r>
      <w:r w:rsidRPr="005B254F">
        <w:t>CCOM</w:t>
      </w:r>
      <w:r w:rsidRPr="00667179">
        <w:rPr>
          <w:i/>
        </w:rPr>
        <w:t xml:space="preserve"> itself. Nor does such a concept form part of the </w:t>
      </w:r>
      <w:smartTag w:uri="urn:schemas-microsoft-com:office:smarttags" w:element="Street">
        <w:smartTag w:uri="urn:schemas-microsoft-com:office:smarttags" w:element="address">
          <w:r w:rsidRPr="00667179">
            <w:rPr>
              <w:i/>
            </w:rPr>
            <w:t>Full Court</w:t>
          </w:r>
        </w:smartTag>
      </w:smartTag>
      <w:r w:rsidR="00B221C9">
        <w:rPr>
          <w:i/>
        </w:rPr>
        <w:t>’</w:t>
      </w:r>
      <w:r w:rsidRPr="00667179">
        <w:rPr>
          <w:i/>
        </w:rPr>
        <w:t xml:space="preserve">s reasoning. In any event, to the extent that </w:t>
      </w:r>
      <w:r w:rsidR="00B221C9">
        <w:rPr>
          <w:i/>
        </w:rPr>
        <w:t>“</w:t>
      </w:r>
      <w:r w:rsidRPr="00667179">
        <w:rPr>
          <w:i/>
        </w:rPr>
        <w:t>physically observable effect</w:t>
      </w:r>
      <w:r w:rsidR="00B221C9">
        <w:rPr>
          <w:i/>
        </w:rPr>
        <w:t>”</w:t>
      </w:r>
      <w:r w:rsidRPr="00667179">
        <w:rPr>
          <w:i/>
        </w:rPr>
        <w:t xml:space="preserve"> is required (and I do not accept that this is necessarily so) it is to be found in the writing of new information to the Behaviour file and the printing of the coupon.</w:t>
      </w:r>
    </w:p>
    <w:p w:rsidR="00B17584" w:rsidRDefault="00B17584" w:rsidP="00667179">
      <w:pPr>
        <w:pStyle w:val="Quote1"/>
        <w:rPr>
          <w:i/>
        </w:rPr>
      </w:pPr>
    </w:p>
    <w:p w:rsidR="00667179" w:rsidRPr="00667179" w:rsidRDefault="00667179" w:rsidP="00667179">
      <w:pPr>
        <w:pStyle w:val="Quote1"/>
        <w:rPr>
          <w:i/>
        </w:rPr>
      </w:pPr>
      <w:r w:rsidRPr="00667179">
        <w:rPr>
          <w:i/>
        </w:rPr>
        <w:t xml:space="preserve">The </w:t>
      </w:r>
      <w:smartTag w:uri="urn:schemas-microsoft-com:office:smarttags" w:element="Street">
        <w:smartTag w:uri="urn:schemas-microsoft-com:office:smarttags" w:element="address">
          <w:r w:rsidRPr="005B254F">
            <w:t>State Street</w:t>
          </w:r>
        </w:smartTag>
      </w:smartTag>
      <w:r w:rsidRPr="00667179">
        <w:rPr>
          <w:i/>
        </w:rPr>
        <w:t xml:space="preserve"> decision is persuasive. It may be true, as the respondents argue, that </w:t>
      </w:r>
      <w:smartTag w:uri="urn:schemas-microsoft-com:office:smarttags" w:element="place">
        <w:smartTag w:uri="urn:schemas-microsoft-com:office:smarttags" w:element="country-region">
          <w:r w:rsidRPr="00667179">
            <w:rPr>
              <w:i/>
            </w:rPr>
            <w:t>United States</w:t>
          </w:r>
        </w:smartTag>
      </w:smartTag>
      <w:r w:rsidRPr="00667179">
        <w:rPr>
          <w:i/>
        </w:rPr>
        <w:t xml:space="preserve"> patent law has a different historical source owing little or nothing to the Statute of Monopolies. The Constitution of the </w:t>
      </w:r>
      <w:smartTag w:uri="urn:schemas-microsoft-com:office:smarttags" w:element="place">
        <w:smartTag w:uri="urn:schemas-microsoft-com:office:smarttags" w:element="country-region">
          <w:r w:rsidRPr="00667179">
            <w:rPr>
              <w:i/>
            </w:rPr>
            <w:t>United States</w:t>
          </w:r>
        </w:smartTag>
      </w:smartTag>
      <w:r w:rsidRPr="00667179">
        <w:rPr>
          <w:i/>
        </w:rPr>
        <w:t xml:space="preserve">, Art 1, s 8, cl 8 confers power on Congress </w:t>
      </w:r>
      <w:r w:rsidR="00B221C9">
        <w:rPr>
          <w:i/>
        </w:rPr>
        <w:t>“</w:t>
      </w:r>
      <w:r w:rsidRPr="00667179">
        <w:rPr>
          <w:i/>
        </w:rPr>
        <w:t>To promote the Progress of Science and useful Arts, by securing for limited Times to Authors and Inventors the exclusive Right to their respective Writings and Discoveries</w:t>
      </w:r>
      <w:r w:rsidR="00B221C9">
        <w:rPr>
          <w:i/>
        </w:rPr>
        <w:t>”</w:t>
      </w:r>
      <w:r w:rsidRPr="00667179">
        <w:rPr>
          <w:i/>
        </w:rPr>
        <w:t>. But the social needs the law has to serve in that country are the same as in ours. In both countries, in similar commercial and technological environments, the law has to strike a balance between, on the one hand, the encouragement of true innovation by the grant of monopoly and, on the other, freedom of competition.</w:t>
      </w:r>
    </w:p>
    <w:p w:rsidR="00B17584" w:rsidRDefault="00B17584" w:rsidP="00667179">
      <w:pPr>
        <w:pStyle w:val="Quote1"/>
        <w:rPr>
          <w:i/>
        </w:rPr>
      </w:pPr>
    </w:p>
    <w:p w:rsidR="00DA504B" w:rsidRDefault="00F305D0" w:rsidP="00667179">
      <w:pPr>
        <w:pStyle w:val="Quote1"/>
        <w:rPr>
          <w:i/>
        </w:rPr>
      </w:pPr>
      <w:r>
        <w:rPr>
          <w:i/>
        </w:rPr>
        <w:t xml:space="preserve">As to the </w:t>
      </w:r>
      <w:r w:rsidRPr="005B254F">
        <w:t>Microcell</w:t>
      </w:r>
      <w:r w:rsidR="00667179" w:rsidRPr="00667179">
        <w:rPr>
          <w:i/>
        </w:rPr>
        <w:t xml:space="preserve"> point, it cannot amount to the </w:t>
      </w:r>
      <w:r w:rsidR="00667179" w:rsidRPr="005B254F">
        <w:rPr>
          <w:b/>
          <w:i/>
        </w:rPr>
        <w:t>mere</w:t>
      </w:r>
      <w:r w:rsidR="00667179" w:rsidRPr="00667179">
        <w:rPr>
          <w:i/>
        </w:rPr>
        <w:t xml:space="preserve"> new use of a known article in a manner for which the known properties of that article make it suitable to have devised a particular method of processing data using a chip card, the properties of which (particularly its limited memory space) presented difficulties which were overcome only after much time and effort.</w:t>
      </w:r>
    </w:p>
    <w:p w:rsidR="00B62F0D" w:rsidRDefault="00B62F0D" w:rsidP="00667179">
      <w:pPr>
        <w:pStyle w:val="Quote1"/>
      </w:pPr>
    </w:p>
    <w:p w:rsidR="005B254F" w:rsidRPr="005B254F" w:rsidRDefault="005B254F" w:rsidP="00667179">
      <w:pPr>
        <w:pStyle w:val="Quote1"/>
      </w:pPr>
      <w:r>
        <w:t>(Emphasis in original)</w:t>
      </w:r>
    </w:p>
    <w:p w:rsidR="00AF60BF" w:rsidRDefault="00E5169D" w:rsidP="00D84849">
      <w:pPr>
        <w:pStyle w:val="ParaNumbering"/>
      </w:pPr>
      <w:r>
        <w:t xml:space="preserve">In 2006, the Full Court of the Federal Court of Australia delivered their decision in </w:t>
      </w:r>
      <w:r w:rsidRPr="0000016D">
        <w:rPr>
          <w:i/>
        </w:rPr>
        <w:t>Grant</w:t>
      </w:r>
      <w:r>
        <w:t xml:space="preserve">.  In </w:t>
      </w:r>
      <w:r w:rsidR="00B55289">
        <w:t>that case</w:t>
      </w:r>
      <w:r>
        <w:t>, the Deputy Commissioner of Patents had revoked an innovation patent claim</w:t>
      </w:r>
      <w:r w:rsidR="000A2D4A">
        <w:t>ing</w:t>
      </w:r>
      <w:r>
        <w:t xml:space="preserve"> a method of asset protection consisting of actions of financial and legal consequence</w:t>
      </w:r>
      <w:r w:rsidR="000A2D4A">
        <w:t xml:space="preserve"> that utilised</w:t>
      </w:r>
      <w:r w:rsidR="005F203C">
        <w:t xml:space="preserve"> a trust, </w:t>
      </w:r>
      <w:r w:rsidR="000A2D4A">
        <w:t xml:space="preserve">a </w:t>
      </w:r>
      <w:r w:rsidR="005F203C">
        <w:t xml:space="preserve">gift, </w:t>
      </w:r>
      <w:r w:rsidR="000A2D4A">
        <w:t xml:space="preserve">a </w:t>
      </w:r>
      <w:r w:rsidR="005F203C">
        <w:t>loan and security</w:t>
      </w:r>
      <w:r>
        <w:t>.  Claim 1 of the patent was as follows (at 64</w:t>
      </w:r>
      <w:r w:rsidR="00856747">
        <w:t>[3]</w:t>
      </w:r>
      <w:r>
        <w:t>):</w:t>
      </w:r>
    </w:p>
    <w:p w:rsidR="00E5169D" w:rsidRPr="00E5169D" w:rsidRDefault="00E5169D" w:rsidP="00E5169D">
      <w:pPr>
        <w:pStyle w:val="Quote1"/>
        <w:rPr>
          <w:i/>
        </w:rPr>
      </w:pPr>
      <w:r w:rsidRPr="00E5169D">
        <w:rPr>
          <w:i/>
        </w:rPr>
        <w:t>1. an asset protection method for protecting an asset owned by an owner, the</w:t>
      </w:r>
    </w:p>
    <w:p w:rsidR="00E5169D" w:rsidRDefault="00E5169D" w:rsidP="00E5169D">
      <w:pPr>
        <w:pStyle w:val="Quote1"/>
        <w:rPr>
          <w:i/>
        </w:rPr>
      </w:pPr>
      <w:r w:rsidRPr="00E5169D">
        <w:rPr>
          <w:i/>
        </w:rPr>
        <w:t>method comprising the steps of:</w:t>
      </w:r>
    </w:p>
    <w:p w:rsidR="002045D2" w:rsidRPr="00E5169D" w:rsidRDefault="002045D2" w:rsidP="00E5169D">
      <w:pPr>
        <w:pStyle w:val="Quote1"/>
        <w:rPr>
          <w:i/>
        </w:rPr>
      </w:pPr>
    </w:p>
    <w:p w:rsidR="00E5169D" w:rsidRPr="00E5169D" w:rsidRDefault="002045D2" w:rsidP="002045D2">
      <w:pPr>
        <w:pStyle w:val="Quote2"/>
        <w:ind w:left="2127" w:hanging="687"/>
        <w:rPr>
          <w:i/>
        </w:rPr>
      </w:pPr>
      <w:r>
        <w:rPr>
          <w:i/>
        </w:rPr>
        <w:t>(a)</w:t>
      </w:r>
      <w:r>
        <w:rPr>
          <w:i/>
        </w:rPr>
        <w:tab/>
      </w:r>
      <w:r w:rsidR="00E5169D" w:rsidRPr="00E5169D">
        <w:rPr>
          <w:i/>
        </w:rPr>
        <w:t>establishing a trust having a trustee,</w:t>
      </w:r>
    </w:p>
    <w:p w:rsidR="00E5169D" w:rsidRPr="00E5169D" w:rsidRDefault="002045D2" w:rsidP="002045D2">
      <w:pPr>
        <w:pStyle w:val="Quote2"/>
        <w:ind w:left="2127" w:hanging="687"/>
        <w:rPr>
          <w:i/>
        </w:rPr>
      </w:pPr>
      <w:r>
        <w:rPr>
          <w:i/>
        </w:rPr>
        <w:t>(b)</w:t>
      </w:r>
      <w:r>
        <w:rPr>
          <w:i/>
        </w:rPr>
        <w:tab/>
      </w:r>
      <w:r w:rsidR="00E5169D" w:rsidRPr="00E5169D">
        <w:rPr>
          <w:i/>
        </w:rPr>
        <w:t>the owner making a gift of a sum of money to the trust,</w:t>
      </w:r>
    </w:p>
    <w:p w:rsidR="00E5169D" w:rsidRPr="00E5169D" w:rsidRDefault="00E5169D" w:rsidP="002045D2">
      <w:pPr>
        <w:pStyle w:val="Quote2"/>
        <w:ind w:left="2127" w:hanging="687"/>
        <w:rPr>
          <w:i/>
        </w:rPr>
      </w:pPr>
      <w:r w:rsidRPr="00E5169D">
        <w:rPr>
          <w:i/>
        </w:rPr>
        <w:t>(c)</w:t>
      </w:r>
      <w:r w:rsidR="002045D2">
        <w:rPr>
          <w:i/>
        </w:rPr>
        <w:tab/>
      </w:r>
      <w:r w:rsidRPr="00E5169D">
        <w:rPr>
          <w:i/>
        </w:rPr>
        <w:t>the trustee making a loan of said sum of money from the trust to</w:t>
      </w:r>
      <w:r w:rsidR="002045D2">
        <w:rPr>
          <w:i/>
        </w:rPr>
        <w:t xml:space="preserve"> </w:t>
      </w:r>
      <w:r w:rsidRPr="00E5169D">
        <w:rPr>
          <w:i/>
        </w:rPr>
        <w:t>the owner, and</w:t>
      </w:r>
    </w:p>
    <w:p w:rsidR="00E5169D" w:rsidRPr="00E5169D" w:rsidRDefault="002045D2" w:rsidP="002045D2">
      <w:pPr>
        <w:pStyle w:val="Quote2"/>
        <w:ind w:left="2127" w:hanging="687"/>
        <w:rPr>
          <w:i/>
        </w:rPr>
      </w:pPr>
      <w:r>
        <w:rPr>
          <w:i/>
        </w:rPr>
        <w:t>(d)</w:t>
      </w:r>
      <w:r>
        <w:rPr>
          <w:i/>
        </w:rPr>
        <w:tab/>
      </w:r>
      <w:r w:rsidR="00E5169D" w:rsidRPr="00E5169D">
        <w:rPr>
          <w:i/>
        </w:rPr>
        <w:t>the trustee securing the loan by taking a charge for said sum of</w:t>
      </w:r>
      <w:r>
        <w:rPr>
          <w:i/>
        </w:rPr>
        <w:t xml:space="preserve"> </w:t>
      </w:r>
      <w:r w:rsidR="00E5169D" w:rsidRPr="00E5169D">
        <w:rPr>
          <w:i/>
        </w:rPr>
        <w:t>money over the asset.</w:t>
      </w:r>
    </w:p>
    <w:p w:rsidR="00E5169D" w:rsidRDefault="003D7723" w:rsidP="00D84849">
      <w:pPr>
        <w:pStyle w:val="ParaNumbering"/>
      </w:pPr>
      <w:r>
        <w:t>The primary judge upheld the Deputy Commissioner</w:t>
      </w:r>
      <w:r w:rsidR="00B221C9">
        <w:t>’</w:t>
      </w:r>
      <w:r>
        <w:t>s decision</w:t>
      </w:r>
      <w:r w:rsidR="005067EF">
        <w:t xml:space="preserve"> to revoke the patent</w:t>
      </w:r>
      <w:r w:rsidR="002638E0">
        <w:t xml:space="preserve">.  </w:t>
      </w:r>
      <w:r w:rsidR="005067EF">
        <w:t xml:space="preserve">This decision was in turn upheld by the </w:t>
      </w:r>
      <w:smartTag w:uri="urn:schemas-microsoft-com:office:smarttags" w:element="Street">
        <w:smartTag w:uri="urn:schemas-microsoft-com:office:smarttags" w:element="address">
          <w:r w:rsidR="005067EF">
            <w:t>Full Court</w:t>
          </w:r>
        </w:smartTag>
      </w:smartTag>
      <w:r w:rsidR="005067EF">
        <w:t xml:space="preserve"> on appeal.</w:t>
      </w:r>
    </w:p>
    <w:p w:rsidR="00146F5B" w:rsidRDefault="0073439B" w:rsidP="00914E1B">
      <w:pPr>
        <w:pStyle w:val="ParaNumbering"/>
      </w:pPr>
      <w:r>
        <w:lastRenderedPageBreak/>
        <w:t>In doing so, t</w:t>
      </w:r>
      <w:r w:rsidR="00E83894">
        <w:t xml:space="preserve">he Full Court applied </w:t>
      </w:r>
      <w:r w:rsidR="00E83894" w:rsidRPr="00B53312">
        <w:rPr>
          <w:i/>
        </w:rPr>
        <w:t>NRDC</w:t>
      </w:r>
      <w:r w:rsidR="00232369">
        <w:t xml:space="preserve"> and the decisions </w:t>
      </w:r>
      <w:r w:rsidR="00BD2B3A">
        <w:t xml:space="preserve">following that case </w:t>
      </w:r>
      <w:r w:rsidR="005854E6">
        <w:t xml:space="preserve">that have </w:t>
      </w:r>
      <w:r w:rsidR="00BD2B3A">
        <w:t xml:space="preserve">already </w:t>
      </w:r>
      <w:r w:rsidR="005854E6">
        <w:t xml:space="preserve">been </w:t>
      </w:r>
      <w:r w:rsidR="00B55289">
        <w:t xml:space="preserve">considered </w:t>
      </w:r>
      <w:r w:rsidR="00BD2B3A">
        <w:t>in these reasons for judgment</w:t>
      </w:r>
      <w:r w:rsidR="00146F5B">
        <w:t xml:space="preserve"> (</w:t>
      </w:r>
      <w:r w:rsidR="005854E6">
        <w:t xml:space="preserve">including </w:t>
      </w:r>
      <w:r w:rsidR="00146F5B">
        <w:t xml:space="preserve">the United Kingdom decisions of </w:t>
      </w:r>
      <w:r w:rsidR="007514A6">
        <w:rPr>
          <w:i/>
        </w:rPr>
        <w:t>Burrough</w:t>
      </w:r>
      <w:r w:rsidR="007514A6" w:rsidRPr="00271B71">
        <w:rPr>
          <w:i/>
        </w:rPr>
        <w:t xml:space="preserve">s </w:t>
      </w:r>
      <w:r w:rsidR="007514A6">
        <w:t xml:space="preserve">[1974] RPC 147 </w:t>
      </w:r>
      <w:r w:rsidR="00146F5B">
        <w:t xml:space="preserve">and </w:t>
      </w:r>
      <w:r w:rsidR="009227A4">
        <w:rPr>
          <w:i/>
        </w:rPr>
        <w:t xml:space="preserve">IBM </w:t>
      </w:r>
      <w:r w:rsidR="00146F5B">
        <w:t>[1980] FSR 564 considered by Burchett</w:t>
      </w:r>
      <w:r w:rsidR="00D71E20">
        <w:t> </w:t>
      </w:r>
      <w:r w:rsidR="00146F5B">
        <w:t xml:space="preserve">J in </w:t>
      </w:r>
      <w:r w:rsidR="00146F5B" w:rsidRPr="007514A6">
        <w:rPr>
          <w:i/>
        </w:rPr>
        <w:t>IBM</w:t>
      </w:r>
      <w:r w:rsidR="007514A6">
        <w:t xml:space="preserve"> (1991) 33 FCR 218</w:t>
      </w:r>
      <w:r w:rsidR="00B55289">
        <w:t xml:space="preserve"> and the Full Court in </w:t>
      </w:r>
      <w:r w:rsidR="00B55289" w:rsidRPr="00B55289">
        <w:rPr>
          <w:i/>
        </w:rPr>
        <w:t>CCOM</w:t>
      </w:r>
      <w:r w:rsidR="00146F5B">
        <w:t>)</w:t>
      </w:r>
      <w:r w:rsidR="00232369">
        <w:t xml:space="preserve">.  </w:t>
      </w:r>
      <w:r w:rsidR="00386188">
        <w:t xml:space="preserve">The </w:t>
      </w:r>
      <w:smartTag w:uri="urn:schemas-microsoft-com:office:smarttags" w:element="Street">
        <w:smartTag w:uri="urn:schemas-microsoft-com:office:smarttags" w:element="address">
          <w:r w:rsidR="00147DBA">
            <w:t>Full</w:t>
          </w:r>
          <w:r w:rsidR="00146F5B">
            <w:t xml:space="preserve"> Court</w:t>
          </w:r>
        </w:smartTag>
      </w:smartTag>
      <w:r w:rsidR="00146F5B">
        <w:t xml:space="preserve"> </w:t>
      </w:r>
      <w:r w:rsidR="00386188">
        <w:t xml:space="preserve">summarised the </w:t>
      </w:r>
      <w:smartTag w:uri="urn:schemas-microsoft-com:office:smarttags" w:element="place">
        <w:smartTag w:uri="urn:schemas-microsoft-com:office:smarttags" w:element="country-region">
          <w:r w:rsidR="00386188">
            <w:t>United Kingdom</w:t>
          </w:r>
        </w:smartTag>
      </w:smartTag>
      <w:r w:rsidR="00386188">
        <w:t xml:space="preserve"> decisions </w:t>
      </w:r>
      <w:r w:rsidR="00146F5B">
        <w:t>as follows (at 67</w:t>
      </w:r>
      <w:r w:rsidR="005854E6">
        <w:t xml:space="preserve"> [18]</w:t>
      </w:r>
      <w:r w:rsidR="00146F5B">
        <w:t>):</w:t>
      </w:r>
    </w:p>
    <w:p w:rsidR="00146F5B" w:rsidRPr="00146F5B" w:rsidRDefault="00146F5B" w:rsidP="00146F5B">
      <w:pPr>
        <w:pStyle w:val="Quote1"/>
        <w:rPr>
          <w:i/>
        </w:rPr>
      </w:pPr>
      <w:r w:rsidRPr="00146F5B">
        <w:rPr>
          <w:i/>
        </w:rPr>
        <w:t xml:space="preserve">In the </w:t>
      </w:r>
      <w:smartTag w:uri="urn:schemas-microsoft-com:office:smarttags" w:element="place">
        <w:smartTag w:uri="urn:schemas-microsoft-com:office:smarttags" w:element="country-region">
          <w:r w:rsidRPr="00146F5B">
            <w:rPr>
              <w:i/>
            </w:rPr>
            <w:t>United Kingdom</w:t>
          </w:r>
        </w:smartTag>
      </w:smartTag>
      <w:r w:rsidRPr="00146F5B">
        <w:rPr>
          <w:i/>
        </w:rPr>
        <w:t xml:space="preserve">, Graham and Whitford JJ considered claims for computer programs. In </w:t>
      </w:r>
      <w:r w:rsidRPr="002045D2">
        <w:t>Burroughs Corp (Perkins) Application</w:t>
      </w:r>
      <w:r w:rsidRPr="00146F5B">
        <w:rPr>
          <w:i/>
        </w:rPr>
        <w:t xml:space="preserve"> [1973] FSR 439 and </w:t>
      </w:r>
      <w:r w:rsidRPr="002045D2">
        <w:t>International Business Machines Corporation</w:t>
      </w:r>
      <w:r w:rsidR="00B221C9">
        <w:t>’</w:t>
      </w:r>
      <w:r w:rsidRPr="002045D2">
        <w:t>s Application</w:t>
      </w:r>
      <w:r w:rsidRPr="00146F5B">
        <w:rPr>
          <w:i/>
        </w:rPr>
        <w:t xml:space="preserve"> [1980] FSR 564 their Lordships distinguished claims to a business scheme or intellectual information as the product of the conception of an idea, which are not patentable, from claims to methods which in practice (and whatever words are used in the claim) result in a new machine or process or an old machine giving a new and improved result which, applying NRDC, are patentable. The distinction drawn was between mere intellectual information and a method that affected the operation of an apparatus in a physical form. When the method is practiced in a way that is embodied in a physical form it is a manner of manufacture. There must be more than </w:t>
      </w:r>
      <w:r w:rsidR="00B221C9">
        <w:rPr>
          <w:i/>
        </w:rPr>
        <w:t>“</w:t>
      </w:r>
      <w:r w:rsidRPr="00146F5B">
        <w:rPr>
          <w:i/>
        </w:rPr>
        <w:t>a mere method or mere idea or mere desideratum</w:t>
      </w:r>
      <w:r w:rsidR="00B221C9">
        <w:rPr>
          <w:i/>
        </w:rPr>
        <w:t>”</w:t>
      </w:r>
      <w:r w:rsidRPr="00146F5B">
        <w:rPr>
          <w:i/>
        </w:rPr>
        <w:t xml:space="preserve"> (</w:t>
      </w:r>
      <w:r w:rsidRPr="002045D2">
        <w:t>Burroughs Corp Application</w:t>
      </w:r>
      <w:r w:rsidRPr="00146F5B">
        <w:rPr>
          <w:i/>
        </w:rPr>
        <w:t xml:space="preserve"> at 160). Their Lordships declined to decide whether it was necessary that there be an artificial end product or effect. If this does exist it is patentable because the method affects the operation of the apparatus.</w:t>
      </w:r>
    </w:p>
    <w:p w:rsidR="00420EB4" w:rsidRDefault="00DB5259" w:rsidP="00914E1B">
      <w:pPr>
        <w:pStyle w:val="ParaNumbering"/>
      </w:pPr>
      <w:r>
        <w:t xml:space="preserve">The </w:t>
      </w:r>
      <w:smartTag w:uri="urn:schemas-microsoft-com:office:smarttags" w:element="Street">
        <w:smartTag w:uri="urn:schemas-microsoft-com:office:smarttags" w:element="address">
          <w:r w:rsidR="00C647A5">
            <w:t xml:space="preserve">Full </w:t>
          </w:r>
          <w:r>
            <w:t>Court</w:t>
          </w:r>
        </w:smartTag>
      </w:smartTag>
      <w:r>
        <w:t xml:space="preserve"> </w:t>
      </w:r>
      <w:r w:rsidR="00914E1B">
        <w:t xml:space="preserve">also </w:t>
      </w:r>
      <w:r>
        <w:t xml:space="preserve">referred to </w:t>
      </w:r>
      <w:r w:rsidR="00F74755">
        <w:t xml:space="preserve">various </w:t>
      </w:r>
      <w:smartTag w:uri="urn:schemas-microsoft-com:office:smarttags" w:element="place">
        <w:smartTag w:uri="urn:schemas-microsoft-com:office:smarttags" w:element="country-region">
          <w:r>
            <w:t>United States</w:t>
          </w:r>
        </w:smartTag>
      </w:smartTag>
      <w:r w:rsidR="00F74755">
        <w:t xml:space="preserve"> authorities</w:t>
      </w:r>
      <w:r>
        <w:t xml:space="preserve"> on point</w:t>
      </w:r>
      <w:r w:rsidR="001A7C56">
        <w:t xml:space="preserve"> </w:t>
      </w:r>
      <w:r w:rsidR="00BD2B3A">
        <w:t>to which I will later return</w:t>
      </w:r>
      <w:r>
        <w:t xml:space="preserve">, </w:t>
      </w:r>
      <w:r w:rsidR="00F74755">
        <w:t>noting</w:t>
      </w:r>
      <w:r>
        <w:t xml:space="preserve"> that</w:t>
      </w:r>
      <w:r w:rsidR="00091312">
        <w:t xml:space="preserve"> (at 68-69 [24])</w:t>
      </w:r>
      <w:r>
        <w:t>:</w:t>
      </w:r>
    </w:p>
    <w:p w:rsidR="004E17FC" w:rsidRPr="00091312" w:rsidRDefault="00091312" w:rsidP="00091312">
      <w:pPr>
        <w:pStyle w:val="Quote1"/>
        <w:rPr>
          <w:i/>
        </w:rPr>
      </w:pPr>
      <w:r w:rsidRPr="00091312">
        <w:rPr>
          <w:i/>
        </w:rPr>
        <w:t>While the development of US patent law is derived from the Constitution of the United States rather than the Statute of Monopolies, as Heerey J observed at [129]</w:t>
      </w:r>
      <w:r>
        <w:rPr>
          <w:i/>
        </w:rPr>
        <w:t xml:space="preserve"> </w:t>
      </w:r>
      <w:r>
        <w:t xml:space="preserve">[in </w:t>
      </w:r>
      <w:r w:rsidRPr="0059520F">
        <w:rPr>
          <w:i/>
        </w:rPr>
        <w:t>Catuity</w:t>
      </w:r>
      <w:r>
        <w:t>]</w:t>
      </w:r>
      <w:r w:rsidRPr="00091312">
        <w:rPr>
          <w:i/>
        </w:rPr>
        <w:t>, the policy behind the two provisions is the same. In both jurisdictions, the courts have confirmed that a broad approach to subject matter should be taken in order to adapt to new technologies and inventions but that does not mean that there are no restrictions on what is properly patentable.</w:t>
      </w:r>
    </w:p>
    <w:p w:rsidR="00BD2B3A" w:rsidRDefault="00BB5306" w:rsidP="00D84849">
      <w:pPr>
        <w:pStyle w:val="ParaNumbering"/>
      </w:pPr>
      <w:r>
        <w:t xml:space="preserve">The </w:t>
      </w:r>
      <w:smartTag w:uri="urn:schemas-microsoft-com:office:smarttags" w:element="Street">
        <w:smartTag w:uri="urn:schemas-microsoft-com:office:smarttags" w:element="address">
          <w:r w:rsidR="00C647A5">
            <w:t xml:space="preserve">Full </w:t>
          </w:r>
          <w:r>
            <w:t>Court</w:t>
          </w:r>
        </w:smartTag>
      </w:smartTag>
      <w:r>
        <w:t xml:space="preserve"> noted the High Court</w:t>
      </w:r>
      <w:r w:rsidR="00B221C9">
        <w:t>’</w:t>
      </w:r>
      <w:r>
        <w:t xml:space="preserve">s emphasis in </w:t>
      </w:r>
      <w:r w:rsidRPr="00B53312">
        <w:rPr>
          <w:i/>
        </w:rPr>
        <w:t>NRDC</w:t>
      </w:r>
      <w:r>
        <w:t xml:space="preserve"> on the need for adaptability of </w:t>
      </w:r>
      <w:r w:rsidR="009E60B3">
        <w:t xml:space="preserve">patent law </w:t>
      </w:r>
      <w:r>
        <w:t>to cov</w:t>
      </w:r>
      <w:r w:rsidR="00A33875">
        <w:t>er technological developments, and stated</w:t>
      </w:r>
      <w:r w:rsidR="00076B81">
        <w:t xml:space="preserve"> (at 70 [29])</w:t>
      </w:r>
      <w:r w:rsidR="00A33875">
        <w:t>:</w:t>
      </w:r>
    </w:p>
    <w:p w:rsidR="00A33875" w:rsidRPr="00A33875" w:rsidRDefault="00A33875" w:rsidP="00A33875">
      <w:pPr>
        <w:pStyle w:val="Quote1"/>
        <w:rPr>
          <w:i/>
        </w:rPr>
      </w:pPr>
      <w:r w:rsidRPr="00A33875">
        <w:rPr>
          <w:i/>
        </w:rPr>
        <w:t xml:space="preserve">In </w:t>
      </w:r>
      <w:r w:rsidRPr="005E65D8">
        <w:t>NRDC</w:t>
      </w:r>
      <w:r w:rsidRPr="00A33875">
        <w:rPr>
          <w:i/>
        </w:rPr>
        <w:t xml:space="preserve"> the High Court looked to the application of the claimed method. That is similar to the approach of courts in the </w:t>
      </w:r>
      <w:smartTag w:uri="urn:schemas-microsoft-com:office:smarttags" w:element="place">
        <w:smartTag w:uri="urn:schemas-microsoft-com:office:smarttags" w:element="country-region">
          <w:r w:rsidRPr="00A33875">
            <w:rPr>
              <w:i/>
            </w:rPr>
            <w:t>United States</w:t>
          </w:r>
        </w:smartTag>
      </w:smartTag>
      <w:r w:rsidRPr="00A33875">
        <w:rPr>
          <w:i/>
        </w:rPr>
        <w:t xml:space="preserve">. A product of a method is something in which a new and useful effect may be observed. For claimed computer programs, the courts looked to the application of the program to produce a practical and useful result, so that more than </w:t>
      </w:r>
      <w:r w:rsidR="00B221C9">
        <w:rPr>
          <w:i/>
        </w:rPr>
        <w:t>“</w:t>
      </w:r>
      <w:r w:rsidRPr="00A33875">
        <w:rPr>
          <w:i/>
        </w:rPr>
        <w:t>intellectual information</w:t>
      </w:r>
      <w:r w:rsidR="00B221C9">
        <w:rPr>
          <w:i/>
        </w:rPr>
        <w:t>”</w:t>
      </w:r>
      <w:r w:rsidRPr="00A33875">
        <w:rPr>
          <w:i/>
        </w:rPr>
        <w:t xml:space="preserve"> was involved</w:t>
      </w:r>
      <w:r w:rsidR="006D6F52">
        <w:rPr>
          <w:i/>
        </w:rPr>
        <w:t>…</w:t>
      </w:r>
      <w:r w:rsidRPr="00A33875">
        <w:rPr>
          <w:i/>
        </w:rPr>
        <w:t xml:space="preserve"> The underlying principle, developed from the </w:t>
      </w:r>
      <w:r w:rsidRPr="009A5448">
        <w:t>Statute of Monopolies</w:t>
      </w:r>
      <w:r w:rsidRPr="00A33875">
        <w:rPr>
          <w:i/>
        </w:rPr>
        <w:t xml:space="preserve">, that business, commercial and financial schemes, which are </w:t>
      </w:r>
      <w:r w:rsidR="00B221C9">
        <w:rPr>
          <w:i/>
        </w:rPr>
        <w:t>“</w:t>
      </w:r>
      <w:r w:rsidRPr="00A33875">
        <w:rPr>
          <w:i/>
        </w:rPr>
        <w:t>intellectual information</w:t>
      </w:r>
      <w:r w:rsidR="00B221C9">
        <w:rPr>
          <w:i/>
        </w:rPr>
        <w:t>”</w:t>
      </w:r>
      <w:r w:rsidRPr="00A33875">
        <w:rPr>
          <w:i/>
        </w:rPr>
        <w:t xml:space="preserve"> are not themselves properly the subject of letters patent, was maintained.</w:t>
      </w:r>
    </w:p>
    <w:p w:rsidR="00F74755" w:rsidRDefault="00F74755" w:rsidP="00D84849">
      <w:pPr>
        <w:pStyle w:val="ParaNumbering"/>
      </w:pPr>
      <w:r>
        <w:t>Ultimate</w:t>
      </w:r>
      <w:r w:rsidR="006D6F52">
        <w:t xml:space="preserve">ly the </w:t>
      </w:r>
      <w:smartTag w:uri="urn:schemas-microsoft-com:office:smarttags" w:element="Street">
        <w:smartTag w:uri="urn:schemas-microsoft-com:office:smarttags" w:element="address">
          <w:r w:rsidR="00C647A5">
            <w:t xml:space="preserve">Full </w:t>
          </w:r>
          <w:r w:rsidR="006D6F52">
            <w:t>Court</w:t>
          </w:r>
        </w:smartTag>
      </w:smartTag>
      <w:r w:rsidR="006D6F52">
        <w:t xml:space="preserve"> in </w:t>
      </w:r>
      <w:r w:rsidR="006D6F52" w:rsidRPr="001774DA">
        <w:rPr>
          <w:i/>
        </w:rPr>
        <w:t>Grant</w:t>
      </w:r>
      <w:r w:rsidR="006D6F52">
        <w:t xml:space="preserve"> held that the method of the patent sought by Mr</w:t>
      </w:r>
      <w:r w:rsidR="00D71E20">
        <w:t> </w:t>
      </w:r>
      <w:r w:rsidR="006D6F52">
        <w:t xml:space="preserve">Grant did not produce any artificial state of affairs, </w:t>
      </w:r>
      <w:r w:rsidR="00B221C9">
        <w:t>“</w:t>
      </w:r>
      <w:r w:rsidR="006D6F52">
        <w:t>in the sense of a concrete, tangible, physical or observable effect</w:t>
      </w:r>
      <w:r w:rsidR="00B221C9">
        <w:t>”</w:t>
      </w:r>
      <w:r w:rsidR="006D6F52">
        <w:t xml:space="preserve"> (at 70 [30]).  </w:t>
      </w:r>
      <w:r w:rsidR="000C33B9">
        <w:t xml:space="preserve">On this basis, it was held to be different from the invention in </w:t>
      </w:r>
      <w:r w:rsidR="000C33B9" w:rsidRPr="001774DA">
        <w:rPr>
          <w:i/>
        </w:rPr>
        <w:t>Catuity</w:t>
      </w:r>
      <w:r w:rsidR="000C33B9">
        <w:t xml:space="preserve">, </w:t>
      </w:r>
      <w:r w:rsidR="00B221C9">
        <w:t>“</w:t>
      </w:r>
      <w:r w:rsidR="000C33B9">
        <w:t xml:space="preserve">which was a method involving components such as smart cards and </w:t>
      </w:r>
      <w:r w:rsidR="000C33B9">
        <w:lastRenderedPageBreak/>
        <w:t>point of sale terminals, and produced tangible results in the writing of new information to the Behaviour file and the prin</w:t>
      </w:r>
      <w:r w:rsidR="00B55964">
        <w:t>ting of the coupon</w:t>
      </w:r>
      <w:r w:rsidR="00B221C9">
        <w:t>”</w:t>
      </w:r>
      <w:r w:rsidR="000C33B9">
        <w:t xml:space="preserve">.  </w:t>
      </w:r>
      <w:r w:rsidR="002946D4">
        <w:t xml:space="preserve">The </w:t>
      </w:r>
      <w:r w:rsidR="00C647A5">
        <w:t xml:space="preserve">Full </w:t>
      </w:r>
      <w:r w:rsidR="002946D4">
        <w:t>Court noted that a</w:t>
      </w:r>
      <w:r w:rsidR="00E6660D">
        <w:t xml:space="preserve">lthough </w:t>
      </w:r>
      <w:r w:rsidR="000637F8">
        <w:t xml:space="preserve">it </w:t>
      </w:r>
      <w:r w:rsidR="00E6660D">
        <w:t xml:space="preserve">did not produce a physically observable end result (in the sense of a tangible product), the invention in </w:t>
      </w:r>
      <w:r w:rsidR="00E6660D" w:rsidRPr="001774DA">
        <w:rPr>
          <w:i/>
        </w:rPr>
        <w:t>Catuity</w:t>
      </w:r>
      <w:r w:rsidR="00E6660D">
        <w:t xml:space="preserve"> involved </w:t>
      </w:r>
      <w:r w:rsidR="00B221C9">
        <w:t>“</w:t>
      </w:r>
      <w:r w:rsidR="00E6660D">
        <w:t>an application of an inventive method where part of the invention was the application and operation of the method in a physical device</w:t>
      </w:r>
      <w:r w:rsidR="00B221C9">
        <w:t>”</w:t>
      </w:r>
      <w:r w:rsidR="002946D4">
        <w:t xml:space="preserve">, and accordingly, an artificial state of affairs in accordance with </w:t>
      </w:r>
      <w:r w:rsidR="002946D4" w:rsidRPr="001774DA">
        <w:rPr>
          <w:i/>
        </w:rPr>
        <w:t>NRDC</w:t>
      </w:r>
      <w:r w:rsidR="002946D4">
        <w:t xml:space="preserve"> was produced.</w:t>
      </w:r>
    </w:p>
    <w:p w:rsidR="00F74755" w:rsidRDefault="007D7977" w:rsidP="00D84849">
      <w:pPr>
        <w:pStyle w:val="ParaNumbering"/>
      </w:pPr>
      <w:r>
        <w:t xml:space="preserve">By contrast, </w:t>
      </w:r>
      <w:r w:rsidR="001439DD">
        <w:t xml:space="preserve">it was held that </w:t>
      </w:r>
      <w:r>
        <w:t>at best</w:t>
      </w:r>
      <w:r w:rsidR="001439DD">
        <w:t>,</w:t>
      </w:r>
      <w:r>
        <w:t xml:space="preserve"> Mr Grant</w:t>
      </w:r>
      <w:r w:rsidR="00B221C9">
        <w:t>’</w:t>
      </w:r>
      <w:r>
        <w:t xml:space="preserve">s method resulted only in </w:t>
      </w:r>
      <w:r w:rsidR="00B221C9">
        <w:t>“</w:t>
      </w:r>
      <w:r>
        <w:t>an abstract, intangible situation</w:t>
      </w:r>
      <w:r w:rsidR="00B221C9">
        <w:t>”</w:t>
      </w:r>
      <w:r>
        <w:t xml:space="preserve">.  </w:t>
      </w:r>
      <w:r w:rsidR="00973B64">
        <w:t>In concluding that</w:t>
      </w:r>
      <w:r w:rsidR="00F05411">
        <w:t xml:space="preserve"> for reasons </w:t>
      </w:r>
      <w:r w:rsidR="00B221C9">
        <w:t>“</w:t>
      </w:r>
      <w:r w:rsidR="00F05411">
        <w:t>related to its operation and effect</w:t>
      </w:r>
      <w:r w:rsidR="00B221C9">
        <w:t>”</w:t>
      </w:r>
      <w:r w:rsidR="00F05411">
        <w:t>, Mr</w:t>
      </w:r>
      <w:r w:rsidR="00D71E20">
        <w:t> </w:t>
      </w:r>
      <w:r w:rsidR="00F05411">
        <w:t>Grant</w:t>
      </w:r>
      <w:r w:rsidR="00B221C9">
        <w:t>’</w:t>
      </w:r>
      <w:r w:rsidR="00F05411">
        <w:t xml:space="preserve">s alleged invention did not involve a manner of manufacture, the </w:t>
      </w:r>
      <w:smartTag w:uri="urn:schemas-microsoft-com:office:smarttags" w:element="Street">
        <w:smartTag w:uri="urn:schemas-microsoft-com:office:smarttags" w:element="address">
          <w:r w:rsidR="00C647A5">
            <w:t xml:space="preserve">Full </w:t>
          </w:r>
          <w:r w:rsidR="00F05411">
            <w:t>Court</w:t>
          </w:r>
        </w:smartTag>
      </w:smartTag>
      <w:r w:rsidR="00F05411">
        <w:t xml:space="preserve"> stated</w:t>
      </w:r>
      <w:r w:rsidR="006E23C0">
        <w:t xml:space="preserve"> (at 70-71 [32])</w:t>
      </w:r>
      <w:r w:rsidR="00F05411">
        <w:t>:</w:t>
      </w:r>
    </w:p>
    <w:p w:rsidR="00F05411" w:rsidRPr="00F05411" w:rsidRDefault="00F05411" w:rsidP="00F05411">
      <w:pPr>
        <w:pStyle w:val="Quote1"/>
        <w:rPr>
          <w:i/>
        </w:rPr>
      </w:pPr>
      <w:r w:rsidRPr="00F05411">
        <w:rPr>
          <w:i/>
        </w:rPr>
        <w:t xml:space="preserve">A physical effect in the sense of a concrete effect or phenomenon or manifestation or transformation is required. In </w:t>
      </w:r>
      <w:r w:rsidRPr="0065607C">
        <w:t>NRDC</w:t>
      </w:r>
      <w:r w:rsidRPr="00F05411">
        <w:rPr>
          <w:i/>
        </w:rPr>
        <w:t xml:space="preserve">, an artificial effect was physically created on the land. In </w:t>
      </w:r>
      <w:r w:rsidRPr="0065607C">
        <w:t>Catuity</w:t>
      </w:r>
      <w:r w:rsidRPr="00F05411">
        <w:rPr>
          <w:i/>
        </w:rPr>
        <w:t xml:space="preserve"> and </w:t>
      </w:r>
      <w:r w:rsidRPr="0065607C">
        <w:t>CCOM</w:t>
      </w:r>
      <w:r w:rsidRPr="00F05411">
        <w:rPr>
          <w:i/>
        </w:rPr>
        <w:t xml:space="preserve"> as in </w:t>
      </w:r>
      <w:smartTag w:uri="urn:schemas-microsoft-com:office:smarttags" w:element="Street">
        <w:smartTag w:uri="urn:schemas-microsoft-com:office:smarttags" w:element="address">
          <w:r w:rsidRPr="0065607C">
            <w:t>State Street</w:t>
          </w:r>
        </w:smartTag>
      </w:smartTag>
      <w:r w:rsidRPr="00F05411">
        <w:rPr>
          <w:i/>
        </w:rPr>
        <w:t xml:space="preserve"> and </w:t>
      </w:r>
      <w:r w:rsidRPr="0065607C">
        <w:t>AT&amp;T</w:t>
      </w:r>
      <w:r w:rsidRPr="00F05411">
        <w:rPr>
          <w:i/>
        </w:rPr>
        <w:t>, there was a component that was physically affected or a change in state or information in a part of a machine. These can all be regarded as physical effects. By contrast, the alleged invention is a mere scheme, an abstract idea, mere intellectual information, which has never been held to be patentable, despite the existence of such schemes over many years of the development of the principles that apply to manner of manufacture. There is no physical consequence at all.</w:t>
      </w:r>
    </w:p>
    <w:p w:rsidR="00F05411" w:rsidRDefault="00B86791" w:rsidP="006E23C0">
      <w:pPr>
        <w:pStyle w:val="ParaNumbering"/>
      </w:pPr>
      <w:r>
        <w:t xml:space="preserve">A further question </w:t>
      </w:r>
      <w:r w:rsidR="0038110E">
        <w:t xml:space="preserve">in </w:t>
      </w:r>
      <w:r w:rsidR="0038110E" w:rsidRPr="001774DA">
        <w:rPr>
          <w:i/>
        </w:rPr>
        <w:t>Grant</w:t>
      </w:r>
      <w:r w:rsidR="0038110E">
        <w:t xml:space="preserve"> </w:t>
      </w:r>
      <w:r>
        <w:t xml:space="preserve">was whether, notwithstanding this conclusion, the alleged invention lay in a </w:t>
      </w:r>
      <w:r w:rsidR="00B221C9">
        <w:t>“</w:t>
      </w:r>
      <w:r>
        <w:t>realm of human endeavour outside those in which patents may be granted</w:t>
      </w:r>
      <w:r w:rsidR="00B221C9">
        <w:t>”</w:t>
      </w:r>
      <w:r>
        <w:t xml:space="preserve"> (at 71 [33]).  </w:t>
      </w:r>
      <w:r w:rsidR="0021647F">
        <w:t xml:space="preserve">The </w:t>
      </w:r>
      <w:smartTag w:uri="urn:schemas-microsoft-com:office:smarttags" w:element="Street">
        <w:smartTag w:uri="urn:schemas-microsoft-com:office:smarttags" w:element="address">
          <w:r w:rsidR="00C647A5">
            <w:t xml:space="preserve">Full </w:t>
          </w:r>
          <w:r w:rsidR="0021647F">
            <w:t>Court</w:t>
          </w:r>
        </w:smartTag>
      </w:smartTag>
      <w:r w:rsidR="0021647F">
        <w:t xml:space="preserve"> pointed to the fine arts as an example of such an area, and noted that</w:t>
      </w:r>
      <w:r w:rsidR="00CD5A6E">
        <w:t xml:space="preserve"> (at 71 [34])</w:t>
      </w:r>
      <w:r w:rsidR="0021647F">
        <w:t>:</w:t>
      </w:r>
    </w:p>
    <w:p w:rsidR="0021647F" w:rsidRPr="00CD5A6E" w:rsidRDefault="00CD5A6E" w:rsidP="00CD5A6E">
      <w:pPr>
        <w:pStyle w:val="Quote1"/>
        <w:rPr>
          <w:i/>
        </w:rPr>
      </w:pPr>
      <w:r w:rsidRPr="00CD5A6E">
        <w:rPr>
          <w:i/>
        </w:rPr>
        <w:t>The interpretation and application of the law would not be considered as</w:t>
      </w:r>
      <w:r>
        <w:rPr>
          <w:i/>
        </w:rPr>
        <w:t xml:space="preserve"> </w:t>
      </w:r>
      <w:r w:rsidRPr="00CD5A6E">
        <w:rPr>
          <w:i/>
        </w:rPr>
        <w:t xml:space="preserve">having, in the words of </w:t>
      </w:r>
      <w:r w:rsidRPr="00766B20">
        <w:t>NRDC</w:t>
      </w:r>
      <w:r w:rsidRPr="00CD5A6E">
        <w:rPr>
          <w:i/>
        </w:rPr>
        <w:t>, an industrial or commercial or trading character,</w:t>
      </w:r>
      <w:r>
        <w:rPr>
          <w:i/>
        </w:rPr>
        <w:t xml:space="preserve"> </w:t>
      </w:r>
      <w:r w:rsidRPr="00CD5A6E">
        <w:rPr>
          <w:i/>
        </w:rPr>
        <w:t>although without doubt it is an area of economic importance (as are the fine</w:t>
      </w:r>
      <w:r>
        <w:rPr>
          <w:i/>
        </w:rPr>
        <w:t xml:space="preserve"> </w:t>
      </w:r>
      <w:r w:rsidRPr="00CD5A6E">
        <w:rPr>
          <w:i/>
        </w:rPr>
        <w:t>arts). The practice of the law requires, amongst other things, ingenuity and</w:t>
      </w:r>
      <w:r>
        <w:rPr>
          <w:i/>
        </w:rPr>
        <w:t xml:space="preserve"> </w:t>
      </w:r>
      <w:r w:rsidRPr="00CD5A6E">
        <w:rPr>
          <w:i/>
        </w:rPr>
        <w:t>imagination which may produce new kinds of transactions or litigation</w:t>
      </w:r>
      <w:r>
        <w:rPr>
          <w:i/>
        </w:rPr>
        <w:t xml:space="preserve"> </w:t>
      </w:r>
      <w:r w:rsidRPr="00CD5A6E">
        <w:rPr>
          <w:i/>
        </w:rPr>
        <w:t>arguments which could well warrant the description of discoveries. But they are</w:t>
      </w:r>
      <w:r>
        <w:rPr>
          <w:i/>
        </w:rPr>
        <w:t xml:space="preserve"> </w:t>
      </w:r>
      <w:r w:rsidRPr="00CD5A6E">
        <w:rPr>
          <w:i/>
        </w:rPr>
        <w:t>not inventions. Legal advices, schemes, arguments and the like are not a manner</w:t>
      </w:r>
      <w:r>
        <w:rPr>
          <w:i/>
        </w:rPr>
        <w:t xml:space="preserve"> </w:t>
      </w:r>
      <w:r w:rsidRPr="00CD5A6E">
        <w:rPr>
          <w:i/>
        </w:rPr>
        <w:t>of manufacture.</w:t>
      </w:r>
    </w:p>
    <w:p w:rsidR="00596399" w:rsidRDefault="00766B20" w:rsidP="00D84849">
      <w:pPr>
        <w:pStyle w:val="ParaNumbering"/>
      </w:pPr>
      <w:r>
        <w:t>But t</w:t>
      </w:r>
      <w:r w:rsidR="002D4FB8">
        <w:t xml:space="preserve">he </w:t>
      </w:r>
      <w:r w:rsidR="00C647A5">
        <w:t xml:space="preserve">Full </w:t>
      </w:r>
      <w:r w:rsidR="002D4FB8">
        <w:t xml:space="preserve">Court did not accept that the realm of human endeavour in which patents may be granted can be defined positively as that of </w:t>
      </w:r>
      <w:r w:rsidR="00B221C9">
        <w:t>“</w:t>
      </w:r>
      <w:r w:rsidR="002D4FB8">
        <w:t>science and technology</w:t>
      </w:r>
      <w:r w:rsidR="00B221C9">
        <w:t>”</w:t>
      </w:r>
      <w:r w:rsidR="002D4FB8">
        <w:t>, observing (at 71 [38]):</w:t>
      </w:r>
    </w:p>
    <w:p w:rsidR="002D4FB8" w:rsidRPr="002D4FB8" w:rsidRDefault="002D4FB8" w:rsidP="002D4FB8">
      <w:pPr>
        <w:pStyle w:val="Quote1"/>
        <w:rPr>
          <w:i/>
        </w:rPr>
      </w:pPr>
      <w:r w:rsidRPr="002D4FB8">
        <w:rPr>
          <w:i/>
        </w:rPr>
        <w:t xml:space="preserve">We are not sure that this is correct. One thing that stands out from </w:t>
      </w:r>
      <w:r w:rsidRPr="009F450B">
        <w:t>NRDC</w:t>
      </w:r>
      <w:r w:rsidRPr="002D4FB8">
        <w:rPr>
          <w:i/>
        </w:rPr>
        <w:t xml:space="preserve"> is the emphasis that their Honours put on the unpredictability of the advances of human ingenuity. What is or is not to be described as science or technology may present difficult questions now, let alone in a future which is as excitingly unpredictable now as it was in 1623 or 1959, if not more so. We think that to erect a requirement that an alleged invention be within the area of science and technology would be to risk the </w:t>
      </w:r>
      <w:r w:rsidRPr="002D4FB8">
        <w:rPr>
          <w:i/>
        </w:rPr>
        <w:lastRenderedPageBreak/>
        <w:t>very kind of rigidity which the High Court warned against.</w:t>
      </w:r>
    </w:p>
    <w:p w:rsidR="001A663E" w:rsidRDefault="00C6046A" w:rsidP="00D84849">
      <w:pPr>
        <w:pStyle w:val="ParaNumbering"/>
      </w:pPr>
      <w:r>
        <w:t xml:space="preserve">In any event, the </w:t>
      </w:r>
      <w:r w:rsidR="00C647A5">
        <w:t xml:space="preserve">Full </w:t>
      </w:r>
      <w:r>
        <w:t>Court determined that the scheme proposed by Mr Grant represented a ne</w:t>
      </w:r>
      <w:r w:rsidR="009F450B">
        <w:t xml:space="preserve">w use of known products (being </w:t>
      </w:r>
      <w:r w:rsidR="00A21EAE">
        <w:t xml:space="preserve">a trust, a gift, a loan and </w:t>
      </w:r>
      <w:r>
        <w:t>security) with known properties, where these properties ma</w:t>
      </w:r>
      <w:r w:rsidR="009F450B">
        <w:t>ke the products suitable for that</w:t>
      </w:r>
      <w:r>
        <w:t xml:space="preserve"> new use – something which </w:t>
      </w:r>
      <w:r w:rsidR="009F450B">
        <w:t xml:space="preserve">is </w:t>
      </w:r>
      <w:r>
        <w:t xml:space="preserve">not the proper subject of letters patent (at 71-72 [39]). </w:t>
      </w:r>
    </w:p>
    <w:p w:rsidR="00A70A32" w:rsidRDefault="001439DD" w:rsidP="00A70A32">
      <w:pPr>
        <w:pStyle w:val="ParaNumbering"/>
      </w:pPr>
      <w:r>
        <w:t>Before proceeding further, i</w:t>
      </w:r>
      <w:r w:rsidR="00A70A32">
        <w:t xml:space="preserve">t is useful to make some </w:t>
      </w:r>
      <w:r w:rsidR="002D537F">
        <w:t xml:space="preserve">general </w:t>
      </w:r>
      <w:r w:rsidR="00A70A32">
        <w:t>observations on the</w:t>
      </w:r>
      <w:r w:rsidR="00366865">
        <w:t>se</w:t>
      </w:r>
      <w:r w:rsidR="00A70A32">
        <w:t xml:space="preserve"> authorities and the principles to be applied</w:t>
      </w:r>
      <w:r>
        <w:t xml:space="preserve"> in the manner of manufacture inquiry</w:t>
      </w:r>
      <w:r w:rsidR="00A70A32">
        <w:t>.</w:t>
      </w:r>
    </w:p>
    <w:p w:rsidR="00A70A32" w:rsidRDefault="00A70A32" w:rsidP="00A70A32">
      <w:pPr>
        <w:pStyle w:val="ParaNumbering"/>
      </w:pPr>
      <w:r>
        <w:t xml:space="preserve">It must always be remembered that any attempt to set forth any </w:t>
      </w:r>
      <w:r w:rsidR="001439DD">
        <w:t xml:space="preserve">prescriptive </w:t>
      </w:r>
      <w:r>
        <w:t xml:space="preserve">requirements for what is a “manner of manufacture” would be impermissible on the approach taken by the </w:t>
      </w:r>
      <w:r w:rsidR="00C647A5">
        <w:t xml:space="preserve">High </w:t>
      </w:r>
      <w:r>
        <w:t xml:space="preserve">Court in </w:t>
      </w:r>
      <w:r w:rsidRPr="00366865">
        <w:rPr>
          <w:i/>
        </w:rPr>
        <w:t>NRDC</w:t>
      </w:r>
      <w:r>
        <w:t xml:space="preserve">.  </w:t>
      </w:r>
      <w:r w:rsidR="00012BDA">
        <w:t>T</w:t>
      </w:r>
      <w:r>
        <w:t xml:space="preserve">o deny patentability to any class of </w:t>
      </w:r>
      <w:r w:rsidR="00366865">
        <w:t xml:space="preserve">invention (whether </w:t>
      </w:r>
      <w:r>
        <w:t xml:space="preserve">tangible </w:t>
      </w:r>
      <w:r w:rsidR="00366865">
        <w:t>or intangible)</w:t>
      </w:r>
      <w:r>
        <w:t xml:space="preserve"> which would otherwise come within the principles developed </w:t>
      </w:r>
      <w:r w:rsidR="002D537F">
        <w:t xml:space="preserve">by the courts </w:t>
      </w:r>
      <w:r>
        <w:t xml:space="preserve">over centuries would be to fail to follow the core teaching of </w:t>
      </w:r>
      <w:r w:rsidRPr="00366865">
        <w:rPr>
          <w:i/>
        </w:rPr>
        <w:t>NRDC</w:t>
      </w:r>
      <w:r>
        <w:t>.</w:t>
      </w:r>
    </w:p>
    <w:p w:rsidR="00A70A32" w:rsidRDefault="00A70A32" w:rsidP="00A70A32">
      <w:pPr>
        <w:pStyle w:val="ParaNumbering"/>
      </w:pPr>
      <w:r>
        <w:t xml:space="preserve">The </w:t>
      </w:r>
      <w:r w:rsidRPr="00366865">
        <w:rPr>
          <w:i/>
        </w:rPr>
        <w:t>NRDC</w:t>
      </w:r>
      <w:r>
        <w:t xml:space="preserve"> approach is </w:t>
      </w:r>
      <w:r w:rsidR="00366865">
        <w:t xml:space="preserve">one of </w:t>
      </w:r>
      <w:r>
        <w:t>flexibility</w:t>
      </w:r>
      <w:r w:rsidR="00366865">
        <w:t>,</w:t>
      </w:r>
      <w:r>
        <w:t xml:space="preserve"> to allow for “excitingly unpredictable” and emerging inventions</w:t>
      </w:r>
      <w:r w:rsidR="002D537F">
        <w:t xml:space="preserve"> to be patentable</w:t>
      </w:r>
      <w:r>
        <w:t xml:space="preserve">.  </w:t>
      </w:r>
      <w:r w:rsidR="002D537F">
        <w:t>W</w:t>
      </w:r>
      <w:r>
        <w:t>hilst historically patents related to engineering, industry and applied science, the scope of patentable subject matter has expanded beyond these traditional areas.</w:t>
      </w:r>
    </w:p>
    <w:p w:rsidR="009F63A3" w:rsidRDefault="002D537F" w:rsidP="009F63A3">
      <w:pPr>
        <w:pStyle w:val="ParaNumbering"/>
      </w:pPr>
      <w:r>
        <w:t>W</w:t>
      </w:r>
      <w:r w:rsidR="009F63A3">
        <w:t xml:space="preserve">hatever formulation is used by a </w:t>
      </w:r>
      <w:r>
        <w:t>c</w:t>
      </w:r>
      <w:r w:rsidR="009F63A3">
        <w:t xml:space="preserve">ourt, it can only be a guide to answering the </w:t>
      </w:r>
      <w:r w:rsidR="00BD3FA0">
        <w:t>“</w:t>
      </w:r>
      <w:r w:rsidR="009F63A3">
        <w:t>right</w:t>
      </w:r>
      <w:r w:rsidR="00BD3FA0">
        <w:t>”</w:t>
      </w:r>
      <w:r w:rsidR="009F63A3">
        <w:t xml:space="preserve"> question stated by the High Court.  I do not think that in talking of an “artificially created state of affairs” for instance, the High Court was laying down a</w:t>
      </w:r>
      <w:r w:rsidR="001439DD">
        <w:t>n absolute</w:t>
      </w:r>
      <w:r w:rsidR="009F63A3">
        <w:t xml:space="preserve"> defini</w:t>
      </w:r>
      <w:r w:rsidR="00BD3FA0">
        <w:t>tion of manner of manufacture</w:t>
      </w:r>
      <w:r>
        <w:t xml:space="preserve"> to be applied in all circumstances.</w:t>
      </w:r>
      <w:r w:rsidR="00B0191F">
        <w:t xml:space="preserve">  </w:t>
      </w:r>
      <w:r w:rsidR="00FE32C5">
        <w:t xml:space="preserve">After all, an “exact verbal formula” </w:t>
      </w:r>
      <w:r w:rsidR="001439DD">
        <w:t>i</w:t>
      </w:r>
      <w:r w:rsidR="00FE32C5">
        <w:t>s not to be used.</w:t>
      </w:r>
    </w:p>
    <w:p w:rsidR="00E00ED9" w:rsidRDefault="002D537F" w:rsidP="009F63A3">
      <w:pPr>
        <w:pStyle w:val="ParaNumbering"/>
      </w:pPr>
      <w:r>
        <w:t>I</w:t>
      </w:r>
      <w:r w:rsidR="00E00ED9">
        <w:t xml:space="preserve">t must </w:t>
      </w:r>
      <w:r>
        <w:t xml:space="preserve">also </w:t>
      </w:r>
      <w:r w:rsidR="00E00ED9">
        <w:t xml:space="preserve">be remembered that </w:t>
      </w:r>
      <w:r w:rsidR="00C647A5">
        <w:t xml:space="preserve">any court </w:t>
      </w:r>
      <w:r w:rsidR="00E00ED9">
        <w:t xml:space="preserve">considering the application of </w:t>
      </w:r>
      <w:r w:rsidR="00E00ED9" w:rsidRPr="00BD3FA0">
        <w:rPr>
          <w:i/>
        </w:rPr>
        <w:t>NRDC</w:t>
      </w:r>
      <w:r w:rsidR="00E00ED9">
        <w:t xml:space="preserve"> is only dealing </w:t>
      </w:r>
      <w:r w:rsidR="00E00ED9" w:rsidRPr="000E31E2">
        <w:t>with the concept of manner of manufacture, which is a threshol</w:t>
      </w:r>
      <w:r w:rsidR="00C53E94" w:rsidRPr="000E31E2">
        <w:t>d consideration.  Any validity i</w:t>
      </w:r>
      <w:r w:rsidR="00E00ED9" w:rsidRPr="000E31E2">
        <w:t xml:space="preserve">nquiry remains to be determined quite separately, and on </w:t>
      </w:r>
      <w:r w:rsidR="00B0191F">
        <w:t xml:space="preserve">different </w:t>
      </w:r>
      <w:r w:rsidR="00E00ED9" w:rsidRPr="000E31E2">
        <w:t>criteria</w:t>
      </w:r>
      <w:r w:rsidR="002A2608" w:rsidRPr="000E31E2">
        <w:t xml:space="preserve"> </w:t>
      </w:r>
      <w:r w:rsidR="000E31E2" w:rsidRPr="000E31E2">
        <w:t xml:space="preserve">compared </w:t>
      </w:r>
      <w:r w:rsidR="002A2608" w:rsidRPr="000E31E2">
        <w:t xml:space="preserve">to the conceptual analysis dictated by the </w:t>
      </w:r>
      <w:r w:rsidRPr="002D537F">
        <w:rPr>
          <w:i/>
        </w:rPr>
        <w:t>NRDC</w:t>
      </w:r>
      <w:r>
        <w:t xml:space="preserve"> approach</w:t>
      </w:r>
      <w:r w:rsidR="002A2608" w:rsidRPr="000E31E2">
        <w:t>.</w:t>
      </w:r>
      <w:r w:rsidR="002A2608">
        <w:t xml:space="preserve">  It is unnecessary to introduce rigid criteria into this “manner of manufacture”</w:t>
      </w:r>
      <w:r w:rsidR="00C53E94">
        <w:t xml:space="preserve"> i</w:t>
      </w:r>
      <w:r w:rsidR="002A2608">
        <w:t>nquiry, when the policy of the paten</w:t>
      </w:r>
      <w:r w:rsidR="00B0191F">
        <w:t>ts</w:t>
      </w:r>
      <w:r w:rsidR="002A2608">
        <w:t xml:space="preserve"> legislation can</w:t>
      </w:r>
      <w:r w:rsidR="00CB5C1D">
        <w:t xml:space="preserve"> also</w:t>
      </w:r>
      <w:r w:rsidR="002A2608">
        <w:t xml:space="preserve"> be implemented through the application of</w:t>
      </w:r>
      <w:r w:rsidR="00B0191F">
        <w:t xml:space="preserve"> the</w:t>
      </w:r>
      <w:r w:rsidR="002A2608">
        <w:t xml:space="preserve"> distinct grounds of invalidity</w:t>
      </w:r>
      <w:r w:rsidR="00CB5C1D">
        <w:t xml:space="preserve"> set out </w:t>
      </w:r>
      <w:r w:rsidR="00B0191F">
        <w:t>therein</w:t>
      </w:r>
      <w:r w:rsidR="00E00ED9">
        <w:t>.</w:t>
      </w:r>
    </w:p>
    <w:p w:rsidR="00E00ED9" w:rsidRDefault="00B0191F" w:rsidP="002A2608">
      <w:pPr>
        <w:pStyle w:val="ParaNumbering"/>
      </w:pPr>
      <w:r>
        <w:lastRenderedPageBreak/>
        <w:t>Of course, t</w:t>
      </w:r>
      <w:r w:rsidR="002A2608">
        <w:t xml:space="preserve">his is not to say that the manner of manufacture consideration does not have its own </w:t>
      </w:r>
      <w:r>
        <w:t xml:space="preserve">important </w:t>
      </w:r>
      <w:r w:rsidR="002A2608">
        <w:t xml:space="preserve">content – just that it does not have to do all the work in implementing the policy </w:t>
      </w:r>
      <w:r>
        <w:t xml:space="preserve">inherent in </w:t>
      </w:r>
      <w:r w:rsidR="002A2608">
        <w:t>the patent</w:t>
      </w:r>
      <w:r>
        <w:t>s</w:t>
      </w:r>
      <w:r w:rsidR="002A2608">
        <w:t xml:space="preserve"> legislation.  </w:t>
      </w:r>
    </w:p>
    <w:p w:rsidR="00510008" w:rsidRPr="00281C38" w:rsidRDefault="00510008" w:rsidP="00510008">
      <w:pPr>
        <w:pStyle w:val="Heading1"/>
      </w:pPr>
      <w:r w:rsidRPr="00281C38">
        <w:t>THE PARTIES</w:t>
      </w:r>
      <w:r w:rsidR="00B221C9">
        <w:t>’</w:t>
      </w:r>
      <w:r w:rsidRPr="00281C38">
        <w:t xml:space="preserve"> SUBMISSIONS</w:t>
      </w:r>
    </w:p>
    <w:p w:rsidR="00CB5C1D" w:rsidRDefault="00CB5C1D" w:rsidP="00D84849">
      <w:pPr>
        <w:pStyle w:val="ParaNumbering"/>
      </w:pPr>
      <w:r>
        <w:t xml:space="preserve">I now turn to the submissions of the parties, which sufficiently identify the approach taken by the Commissioner below such that it is not necessary to separately set out her reasons </w:t>
      </w:r>
      <w:r w:rsidR="00B0191F">
        <w:t xml:space="preserve">for concluding </w:t>
      </w:r>
      <w:r>
        <w:t>that none of the claims of the invention constitute a manner of manufacture.</w:t>
      </w:r>
    </w:p>
    <w:p w:rsidR="009000A6" w:rsidRPr="00281C38" w:rsidRDefault="008A10D0" w:rsidP="00D84849">
      <w:pPr>
        <w:pStyle w:val="ParaNumbering"/>
      </w:pPr>
      <w:r w:rsidRPr="00281C38">
        <w:t xml:space="preserve">RPL submitted that the Commissioner took the wrong approach in </w:t>
      </w:r>
      <w:r w:rsidR="0045698C" w:rsidRPr="00281C38">
        <w:t xml:space="preserve">undertaking </w:t>
      </w:r>
      <w:r w:rsidRPr="00281C38">
        <w:t>the manner of manufacture analysis</w:t>
      </w:r>
      <w:r w:rsidR="0045698C" w:rsidRPr="00281C38">
        <w:t xml:space="preserve"> at first instance</w:t>
      </w:r>
      <w:r w:rsidRPr="00281C38">
        <w:t xml:space="preserve">.  Specifically, it was submitted that the </w:t>
      </w:r>
      <w:r w:rsidR="00E65675" w:rsidRPr="00281C38">
        <w:t xml:space="preserve">Australian Patent Office </w:t>
      </w:r>
      <w:r w:rsidR="00B70AE4" w:rsidRPr="00281C38">
        <w:t xml:space="preserve">decision </w:t>
      </w:r>
      <w:r w:rsidR="00D104A8" w:rsidRPr="00281C38">
        <w:t xml:space="preserve">followed by </w:t>
      </w:r>
      <w:r w:rsidR="0045698C" w:rsidRPr="00281C38">
        <w:t xml:space="preserve">the </w:t>
      </w:r>
      <w:r w:rsidR="00B0191F">
        <w:t xml:space="preserve">Commissioner </w:t>
      </w:r>
      <w:r w:rsidR="00D104A8" w:rsidRPr="00281C38">
        <w:t xml:space="preserve">in this case </w:t>
      </w:r>
      <w:r w:rsidR="00B0191F" w:rsidRPr="00281C38">
        <w:t>(</w:t>
      </w:r>
      <w:r w:rsidR="00B0191F">
        <w:t xml:space="preserve">being </w:t>
      </w:r>
      <w:r w:rsidR="00B0191F" w:rsidRPr="00281C38">
        <w:rPr>
          <w:i/>
        </w:rPr>
        <w:t>Invention Pathways</w:t>
      </w:r>
      <w:r w:rsidR="00B0191F" w:rsidRPr="00281C38">
        <w:t xml:space="preserve"> [2010] </w:t>
      </w:r>
      <w:smartTag w:uri="urn:schemas-microsoft-com:office:smarttags" w:element="place">
        <w:r w:rsidR="00B0191F" w:rsidRPr="00281C38">
          <w:t>APO</w:t>
        </w:r>
      </w:smartTag>
      <w:r w:rsidR="00B0191F" w:rsidRPr="00281C38">
        <w:t xml:space="preserve"> 10) </w:t>
      </w:r>
      <w:r w:rsidR="00D104A8" w:rsidRPr="00281C38">
        <w:t xml:space="preserve">failed to correctly apply </w:t>
      </w:r>
      <w:r w:rsidR="00D104A8" w:rsidRPr="00281C38">
        <w:rPr>
          <w:i/>
        </w:rPr>
        <w:t>Grant</w:t>
      </w:r>
      <w:r w:rsidR="00B70AE4" w:rsidRPr="00281C38">
        <w:t xml:space="preserve"> </w:t>
      </w:r>
      <w:r w:rsidR="00D104A8" w:rsidRPr="00281C38">
        <w:t xml:space="preserve">or </w:t>
      </w:r>
      <w:r w:rsidR="00BE32A4" w:rsidRPr="00281C38">
        <w:t>any of the authorities referred to therein.</w:t>
      </w:r>
      <w:r w:rsidR="0045698C" w:rsidRPr="00281C38">
        <w:t xml:space="preserve">  </w:t>
      </w:r>
    </w:p>
    <w:p w:rsidR="00510008" w:rsidRPr="00281C38" w:rsidRDefault="009000A6" w:rsidP="00D84849">
      <w:pPr>
        <w:pStyle w:val="ParaNumbering"/>
      </w:pPr>
      <w:r w:rsidRPr="00281C38">
        <w:t xml:space="preserve">RPL submitted that </w:t>
      </w:r>
      <w:r w:rsidR="00996318" w:rsidRPr="00281C38">
        <w:t xml:space="preserve">the approach to manner of manufacture adopted by the </w:t>
      </w:r>
      <w:r w:rsidR="007205EA">
        <w:t xml:space="preserve">Commissioner </w:t>
      </w:r>
      <w:r w:rsidR="00996318" w:rsidRPr="00281C38">
        <w:t xml:space="preserve">goes further than required by either </w:t>
      </w:r>
      <w:r w:rsidR="00996318" w:rsidRPr="00281C38">
        <w:rPr>
          <w:i/>
        </w:rPr>
        <w:t>NRDC</w:t>
      </w:r>
      <w:r w:rsidR="006E2B1D" w:rsidRPr="00281C38">
        <w:t xml:space="preserve"> or </w:t>
      </w:r>
      <w:r w:rsidR="006E2B1D" w:rsidRPr="00281C38">
        <w:rPr>
          <w:i/>
        </w:rPr>
        <w:t>Grant</w:t>
      </w:r>
      <w:r w:rsidR="00996318" w:rsidRPr="00281C38">
        <w:t xml:space="preserve"> and </w:t>
      </w:r>
      <w:r w:rsidR="00A21EAE">
        <w:t>imposes</w:t>
      </w:r>
      <w:r w:rsidR="00996318" w:rsidRPr="00281C38">
        <w:t xml:space="preserve"> a new and additional test not found in these authorities, namely, whether the </w:t>
      </w:r>
      <w:r w:rsidR="00B221C9">
        <w:t>“</w:t>
      </w:r>
      <w:r w:rsidR="00996318" w:rsidRPr="00281C38">
        <w:t>concrete effect or phenomenon or manifestation or transformation</w:t>
      </w:r>
      <w:r w:rsidR="00B221C9">
        <w:t>”</w:t>
      </w:r>
      <w:r w:rsidR="0026226D" w:rsidRPr="00281C38">
        <w:t xml:space="preserve"> referred to in </w:t>
      </w:r>
      <w:r w:rsidR="0026226D" w:rsidRPr="00281C38">
        <w:rPr>
          <w:i/>
        </w:rPr>
        <w:t>Grant</w:t>
      </w:r>
      <w:r w:rsidR="0026226D" w:rsidRPr="00281C38">
        <w:t xml:space="preserve"> is </w:t>
      </w:r>
      <w:r w:rsidR="00B221C9">
        <w:t>“</w:t>
      </w:r>
      <w:r w:rsidR="0026226D" w:rsidRPr="00281C38">
        <w:t>significant both in that it is concrete but also that it is central to the purpose or operation of the claimed process or otherwise arises from the combination of steps of the method in a substantial way</w:t>
      </w:r>
      <w:r w:rsidR="00B221C9">
        <w:t>”</w:t>
      </w:r>
      <w:r w:rsidR="00566243" w:rsidRPr="00281C38">
        <w:t xml:space="preserve"> (</w:t>
      </w:r>
      <w:r w:rsidR="00A21EAE" w:rsidRPr="00A21EAE">
        <w:rPr>
          <w:i/>
        </w:rPr>
        <w:t>Myall Australia Pty Ltd v RPL Central Pty Ltd</w:t>
      </w:r>
      <w:r w:rsidR="00A21EAE">
        <w:t xml:space="preserve"> (2011) 93 IPR 1 at 12 </w:t>
      </w:r>
      <w:r w:rsidR="00566243" w:rsidRPr="00281C38">
        <w:t>[53])</w:t>
      </w:r>
      <w:r w:rsidR="0026226D" w:rsidRPr="00281C38">
        <w:t xml:space="preserve">.  </w:t>
      </w:r>
      <w:r w:rsidR="00FA71D3" w:rsidRPr="00281C38">
        <w:t xml:space="preserve">The </w:t>
      </w:r>
      <w:r w:rsidR="00B0191F">
        <w:t xml:space="preserve">Commissioner </w:t>
      </w:r>
      <w:r w:rsidR="00FA71D3" w:rsidRPr="00281C38">
        <w:t>continued (at [53]</w:t>
      </w:r>
      <w:r w:rsidR="00663C88" w:rsidRPr="00281C38">
        <w:t xml:space="preserve">, </w:t>
      </w:r>
      <w:r w:rsidR="00A21EAE">
        <w:t>quoting from</w:t>
      </w:r>
      <w:r w:rsidR="00663C88" w:rsidRPr="00281C38">
        <w:t xml:space="preserve"> </w:t>
      </w:r>
      <w:r w:rsidR="00663C88" w:rsidRPr="00281C38">
        <w:rPr>
          <w:i/>
        </w:rPr>
        <w:t>Invention Pathways</w:t>
      </w:r>
      <w:r w:rsidR="00663C88" w:rsidRPr="00281C38">
        <w:t xml:space="preserve"> at [38]</w:t>
      </w:r>
      <w:r w:rsidR="00FA71D3" w:rsidRPr="00281C38">
        <w:t>):</w:t>
      </w:r>
    </w:p>
    <w:p w:rsidR="00663C88" w:rsidRPr="00281C38" w:rsidRDefault="00663C88" w:rsidP="00663C88">
      <w:pPr>
        <w:pStyle w:val="Quote1"/>
        <w:rPr>
          <w:i/>
        </w:rPr>
      </w:pPr>
      <w:r w:rsidRPr="00281C38">
        <w:rPr>
          <w:i/>
        </w:rPr>
        <w:t>Consequently while the step of building a house involves a concrete physical effect it is peripheral to the method of acquiring a house and indeed could hardly be said to characterise the subject matter of the method such that it is considered an artificially created state of affairs. I consider the same to apply to a business scheme implemented in some part by computer and do not believe the patentability of such a method can arise solely from the fact that, in a general sense, it is implemented in or with the assistance of a computer or utilises some part a computer or other physical device in a incidental way.</w:t>
      </w:r>
    </w:p>
    <w:p w:rsidR="00B54526" w:rsidRDefault="00FA71D3" w:rsidP="00D84849">
      <w:pPr>
        <w:pStyle w:val="ParaNumbering"/>
      </w:pPr>
      <w:r w:rsidRPr="00281C38">
        <w:t xml:space="preserve">RPL contended that </w:t>
      </w:r>
      <w:r w:rsidR="00980F5D" w:rsidRPr="00281C38">
        <w:t>the</w:t>
      </w:r>
      <w:r w:rsidR="00D97C08" w:rsidRPr="00281C38">
        <w:t xml:space="preserve"> </w:t>
      </w:r>
      <w:r w:rsidR="00B0191F">
        <w:t xml:space="preserve">Commissioner </w:t>
      </w:r>
      <w:r w:rsidR="00D97C08" w:rsidRPr="00281C38">
        <w:t>erred in imposing this test</w:t>
      </w:r>
      <w:r w:rsidR="00B54526">
        <w:t>, for the following reasons.</w:t>
      </w:r>
      <w:r w:rsidR="00D97C08" w:rsidRPr="00281C38">
        <w:t xml:space="preserve">  </w:t>
      </w:r>
    </w:p>
    <w:p w:rsidR="00B54526" w:rsidRDefault="00B049C5" w:rsidP="00D84849">
      <w:pPr>
        <w:pStyle w:val="ParaNumbering"/>
      </w:pPr>
      <w:r w:rsidRPr="00281C38">
        <w:t xml:space="preserve">First, because such a test has no basis in precedent.  </w:t>
      </w:r>
    </w:p>
    <w:p w:rsidR="00B54526" w:rsidRDefault="001B0090" w:rsidP="00D84849">
      <w:pPr>
        <w:pStyle w:val="ParaNumbering"/>
      </w:pPr>
      <w:r w:rsidRPr="00281C38">
        <w:lastRenderedPageBreak/>
        <w:t xml:space="preserve">Secondly, </w:t>
      </w:r>
      <w:r w:rsidR="0038263A" w:rsidRPr="00281C38">
        <w:t xml:space="preserve">it </w:t>
      </w:r>
      <w:r w:rsidR="00035CEE" w:rsidRPr="00281C38">
        <w:t xml:space="preserve">was said </w:t>
      </w:r>
      <w:r w:rsidR="009E2AC6">
        <w:t xml:space="preserve">that it is </w:t>
      </w:r>
      <w:r w:rsidR="0038263A" w:rsidRPr="00281C38">
        <w:t xml:space="preserve">unclear how to </w:t>
      </w:r>
      <w:r w:rsidR="00035CEE" w:rsidRPr="00281C38">
        <w:t xml:space="preserve">undertake </w:t>
      </w:r>
      <w:r w:rsidR="0038263A" w:rsidRPr="00281C38">
        <w:t>the qualitative and quantitative ass</w:t>
      </w:r>
      <w:r w:rsidR="00412544" w:rsidRPr="00281C38">
        <w:t xml:space="preserve">essment required by this test, </w:t>
      </w:r>
      <w:r w:rsidR="00AA0AA5">
        <w:t xml:space="preserve">making it </w:t>
      </w:r>
      <w:r w:rsidR="00412544" w:rsidRPr="00281C38">
        <w:t xml:space="preserve">uncertain and potentially arbitrary in its operation.  </w:t>
      </w:r>
    </w:p>
    <w:p w:rsidR="00B54526" w:rsidRDefault="00035CEE" w:rsidP="00D84849">
      <w:pPr>
        <w:pStyle w:val="ParaNumbering"/>
      </w:pPr>
      <w:r w:rsidRPr="00281C38">
        <w:t>Thirdly, it was said that even if such a test were to be accepted, lack of manner of manufacture needs to be shown on the face of the specification</w:t>
      </w:r>
      <w:r w:rsidR="00A11864" w:rsidRPr="00281C38">
        <w:t>,</w:t>
      </w:r>
      <w:r w:rsidRPr="00281C38">
        <w:t xml:space="preserve"> </w:t>
      </w:r>
      <w:r w:rsidR="00A11864" w:rsidRPr="00281C38">
        <w:t>something</w:t>
      </w:r>
      <w:r w:rsidR="00AA0AA5">
        <w:t xml:space="preserve"> which cannot be done</w:t>
      </w:r>
      <w:r w:rsidRPr="00281C38">
        <w:t xml:space="preserve"> in the case of RPL</w:t>
      </w:r>
      <w:r w:rsidR="00B221C9">
        <w:t>’</w:t>
      </w:r>
      <w:r w:rsidRPr="00281C38">
        <w:t>s invention</w:t>
      </w:r>
      <w:r w:rsidR="00AA0AA5">
        <w:t>.  Nonetheless, i</w:t>
      </w:r>
      <w:r w:rsidR="00F72F31" w:rsidRPr="00281C38">
        <w:t xml:space="preserve">t was submitted </w:t>
      </w:r>
      <w:r w:rsidR="00B54526">
        <w:t xml:space="preserve">by RPL </w:t>
      </w:r>
      <w:r w:rsidR="00F72F31" w:rsidRPr="00281C38">
        <w:t>that</w:t>
      </w:r>
      <w:r w:rsidR="00451D8A" w:rsidRPr="00281C38">
        <w:t xml:space="preserve"> the invention </w:t>
      </w:r>
      <w:r w:rsidR="00B0191F">
        <w:t>does in fact demonstrate</w:t>
      </w:r>
      <w:r w:rsidR="00451D8A" w:rsidRPr="00281C38">
        <w:t xml:space="preserve"> a physical effect and thus meets the threshold requirement of manner of manufacture</w:t>
      </w:r>
      <w:r w:rsidR="00F72F31" w:rsidRPr="00281C38">
        <w:t xml:space="preserve">, </w:t>
      </w:r>
      <w:r w:rsidR="00B0191F">
        <w:t xml:space="preserve">and </w:t>
      </w:r>
      <w:r w:rsidR="00656165">
        <w:t>also</w:t>
      </w:r>
      <w:r w:rsidR="00F72F31" w:rsidRPr="00281C38">
        <w:t xml:space="preserve"> – in the terms of the test applied by the </w:t>
      </w:r>
      <w:r w:rsidR="00B0191F">
        <w:t xml:space="preserve">Commissioner </w:t>
      </w:r>
      <w:r w:rsidR="00F72F31" w:rsidRPr="00281C38">
        <w:t>– produces a sufficiently concrete effect that is central to the invention claimed</w:t>
      </w:r>
      <w:r w:rsidRPr="00281C38">
        <w:t xml:space="preserve">.  </w:t>
      </w:r>
    </w:p>
    <w:p w:rsidR="0045698C" w:rsidRPr="00281C38" w:rsidRDefault="00A11864" w:rsidP="00D84849">
      <w:pPr>
        <w:pStyle w:val="ParaNumbering"/>
      </w:pPr>
      <w:r w:rsidRPr="00281C38">
        <w:t xml:space="preserve">Fourthly, it was said that </w:t>
      </w:r>
      <w:r w:rsidR="002D114A" w:rsidRPr="00281C38">
        <w:t xml:space="preserve">because </w:t>
      </w:r>
      <w:r w:rsidRPr="00281C38">
        <w:t>RPL</w:t>
      </w:r>
      <w:r w:rsidR="00B221C9">
        <w:t>’</w:t>
      </w:r>
      <w:r w:rsidRPr="00281C38">
        <w:t xml:space="preserve">s invention </w:t>
      </w:r>
      <w:r w:rsidR="002D114A" w:rsidRPr="00281C38">
        <w:t>(</w:t>
      </w:r>
      <w:r w:rsidRPr="00281C38">
        <w:t>as defined by the claims</w:t>
      </w:r>
      <w:r w:rsidR="002D114A" w:rsidRPr="00281C38">
        <w:t xml:space="preserve">) is a combination of features, it is wrong to </w:t>
      </w:r>
      <w:r w:rsidR="00B221C9">
        <w:t>“</w:t>
      </w:r>
      <w:r w:rsidR="002D114A" w:rsidRPr="00281C38">
        <w:t>separate out features of the claim and give some more weight and meaning than other features</w:t>
      </w:r>
      <w:r w:rsidR="00B221C9">
        <w:t>”</w:t>
      </w:r>
      <w:r w:rsidR="002D114A" w:rsidRPr="00281C38">
        <w:t xml:space="preserve">.  </w:t>
      </w:r>
      <w:r w:rsidR="00251F22" w:rsidRPr="00281C38">
        <w:t>Rather, a combination of features is claimed, and that is the invention – to be considered as a whole rather than according to its individual constituent parts</w:t>
      </w:r>
      <w:r w:rsidR="00656165">
        <w:t>, for example, which aspects of the invention are implemented by a computer</w:t>
      </w:r>
      <w:r w:rsidR="00251F22" w:rsidRPr="00281C38">
        <w:t xml:space="preserve">.  </w:t>
      </w:r>
    </w:p>
    <w:p w:rsidR="00980F5D" w:rsidRPr="00281C38" w:rsidRDefault="00AB0D12" w:rsidP="00D84849">
      <w:pPr>
        <w:pStyle w:val="ParaNumbering"/>
      </w:pPr>
      <w:r w:rsidRPr="00281C38">
        <w:t xml:space="preserve">RPL submitted that the correct application of the authorities is to consider the invention as a whole (as described in the specification and defined by the claims), and to assess </w:t>
      </w:r>
      <w:r w:rsidR="006D0285" w:rsidRPr="00281C38">
        <w:t xml:space="preserve">whether a physical effect </w:t>
      </w:r>
      <w:r w:rsidR="00B54526">
        <w:t xml:space="preserve">is produced, </w:t>
      </w:r>
      <w:r w:rsidR="006D0285" w:rsidRPr="00281C38">
        <w:t xml:space="preserve">in terms of a concrete effect, phenomenon, manifestation or transformation.  This was said to be a </w:t>
      </w:r>
      <w:r w:rsidR="00B221C9">
        <w:t>‘</w:t>
      </w:r>
      <w:r w:rsidR="006D0285" w:rsidRPr="00281C38">
        <w:t>yes</w:t>
      </w:r>
      <w:r w:rsidR="00B221C9">
        <w:t>’</w:t>
      </w:r>
      <w:r w:rsidR="006D0285" w:rsidRPr="00281C38">
        <w:t xml:space="preserve"> or </w:t>
      </w:r>
      <w:r w:rsidR="00B221C9">
        <w:t>‘</w:t>
      </w:r>
      <w:r w:rsidR="006D0285" w:rsidRPr="00281C38">
        <w:t>no</w:t>
      </w:r>
      <w:r w:rsidR="00B221C9">
        <w:t>’</w:t>
      </w:r>
      <w:r w:rsidR="006D0285" w:rsidRPr="00281C38">
        <w:t xml:space="preserve"> test, such that once a physical effect is identified, </w:t>
      </w:r>
      <w:r w:rsidR="00A45D68" w:rsidRPr="00281C38">
        <w:t xml:space="preserve">providing the other requirements of </w:t>
      </w:r>
      <w:r w:rsidR="00A45D68" w:rsidRPr="00656165">
        <w:rPr>
          <w:i/>
        </w:rPr>
        <w:t>NRDC</w:t>
      </w:r>
      <w:r w:rsidR="00A45D68" w:rsidRPr="00281C38">
        <w:t xml:space="preserve"> are satisfied, the invention is a manner of manufacture for the purpose of s 18 of the Act.</w:t>
      </w:r>
    </w:p>
    <w:p w:rsidR="006A4BBA" w:rsidRPr="00281C38" w:rsidRDefault="00683E70" w:rsidP="00231CDD">
      <w:pPr>
        <w:pStyle w:val="ParaNumbering"/>
      </w:pPr>
      <w:r w:rsidRPr="00281C38">
        <w:t xml:space="preserve">By contrast, </w:t>
      </w:r>
      <w:r w:rsidR="00231CDD" w:rsidRPr="00281C38">
        <w:t>t</w:t>
      </w:r>
      <w:r w:rsidR="006E56C9" w:rsidRPr="00281C38">
        <w:t>he Co</w:t>
      </w:r>
      <w:r w:rsidR="0016643E" w:rsidRPr="00281C38">
        <w:t>m</w:t>
      </w:r>
      <w:r w:rsidR="006E56C9" w:rsidRPr="00281C38">
        <w:t xml:space="preserve">missioner submitted that the application of the </w:t>
      </w:r>
      <w:r w:rsidR="006E56C9" w:rsidRPr="00656165">
        <w:rPr>
          <w:i/>
        </w:rPr>
        <w:t>NRDC</w:t>
      </w:r>
      <w:r w:rsidR="006E56C9" w:rsidRPr="00281C38">
        <w:t xml:space="preserve"> principles </w:t>
      </w:r>
      <w:r w:rsidR="00184484">
        <w:t>causes</w:t>
      </w:r>
      <w:r w:rsidR="006E56C9" w:rsidRPr="00281C38">
        <w:t xml:space="preserve"> particular difficulties where two particular categories of subject matter intersect, being </w:t>
      </w:r>
      <w:r w:rsidR="00184484">
        <w:t>business methods or systems</w:t>
      </w:r>
      <w:r w:rsidR="001A406F" w:rsidRPr="00281C38">
        <w:t xml:space="preserve"> and computer-related inventions.  </w:t>
      </w:r>
      <w:r w:rsidR="00184484">
        <w:t>This proceeding was said to involve such an intersection.</w:t>
      </w:r>
    </w:p>
    <w:p w:rsidR="00F81159" w:rsidRPr="00281C38" w:rsidRDefault="006A4BBA" w:rsidP="00231CDD">
      <w:pPr>
        <w:pStyle w:val="ParaNumbering"/>
      </w:pPr>
      <w:r w:rsidRPr="00281C38">
        <w:t xml:space="preserve">In respect of the </w:t>
      </w:r>
      <w:r w:rsidR="00B221C9">
        <w:t>‘</w:t>
      </w:r>
      <w:r w:rsidRPr="00281C38">
        <w:t>physical effect</w:t>
      </w:r>
      <w:r w:rsidR="00B221C9">
        <w:t>’</w:t>
      </w:r>
      <w:r w:rsidRPr="00281C38">
        <w:t xml:space="preserve"> requirement, t</w:t>
      </w:r>
      <w:r w:rsidR="00231CDD" w:rsidRPr="00281C38">
        <w:t xml:space="preserve">he Commissioner </w:t>
      </w:r>
      <w:r w:rsidRPr="00281C38">
        <w:t xml:space="preserve">submitted </w:t>
      </w:r>
      <w:r w:rsidR="00231CDD" w:rsidRPr="00281C38">
        <w:t xml:space="preserve">that </w:t>
      </w:r>
      <w:r w:rsidR="00F81159" w:rsidRPr="00281C38">
        <w:t xml:space="preserve">the law is not settled </w:t>
      </w:r>
      <w:r w:rsidR="0018397E" w:rsidRPr="00281C38">
        <w:t xml:space="preserve">as to </w:t>
      </w:r>
      <w:r w:rsidR="00F81159" w:rsidRPr="00281C38">
        <w:t xml:space="preserve">whether, if </w:t>
      </w:r>
      <w:r w:rsidR="0018397E" w:rsidRPr="00281C38">
        <w:t xml:space="preserve">a patent </w:t>
      </w:r>
      <w:r w:rsidR="00F81159" w:rsidRPr="00281C38">
        <w:t xml:space="preserve">application is for a </w:t>
      </w:r>
      <w:r w:rsidR="00B221C9">
        <w:t>“</w:t>
      </w:r>
      <w:r w:rsidR="00F81159" w:rsidRPr="00281C38">
        <w:t>method and device</w:t>
      </w:r>
      <w:r w:rsidR="00B221C9">
        <w:t>”</w:t>
      </w:r>
      <w:r w:rsidR="00F81159" w:rsidRPr="00281C38">
        <w:t xml:space="preserve"> rather than simply a method alone, a </w:t>
      </w:r>
      <w:r w:rsidR="00B221C9">
        <w:t>“</w:t>
      </w:r>
      <w:r w:rsidR="00F81159" w:rsidRPr="00281C38">
        <w:t>physically observable effect</w:t>
      </w:r>
      <w:r w:rsidR="00B221C9">
        <w:t>”</w:t>
      </w:r>
      <w:r w:rsidR="00F81159" w:rsidRPr="00281C38">
        <w:t xml:space="preserve"> is required.  </w:t>
      </w:r>
      <w:r w:rsidR="00845AB6" w:rsidRPr="00281C38">
        <w:t xml:space="preserve">It was contended </w:t>
      </w:r>
      <w:r w:rsidR="00845AB6" w:rsidRPr="00281C38">
        <w:lastRenderedPageBreak/>
        <w:t xml:space="preserve">that the invention </w:t>
      </w:r>
      <w:r w:rsidR="0040420C">
        <w:t xml:space="preserve">that is </w:t>
      </w:r>
      <w:r w:rsidR="00845AB6" w:rsidRPr="00281C38">
        <w:t xml:space="preserve">the subject of the Patent </w:t>
      </w:r>
      <w:r w:rsidR="0040420C">
        <w:t xml:space="preserve">is </w:t>
      </w:r>
      <w:r w:rsidR="00845AB6" w:rsidRPr="00281C38">
        <w:t xml:space="preserve">not a claim for a method and device.  </w:t>
      </w:r>
      <w:r w:rsidR="00E80DDD">
        <w:t>I will return to this issue in due course.</w:t>
      </w:r>
    </w:p>
    <w:p w:rsidR="00231CDD" w:rsidRPr="00281C38" w:rsidRDefault="0040420C" w:rsidP="00231CDD">
      <w:pPr>
        <w:pStyle w:val="ParaNumbering"/>
      </w:pPr>
      <w:r>
        <w:t>In any event</w:t>
      </w:r>
      <w:r w:rsidR="00AB6576" w:rsidRPr="00281C38">
        <w:t xml:space="preserve">, it was contended that </w:t>
      </w:r>
      <w:r>
        <w:t>in such an inquiry</w:t>
      </w:r>
      <w:r w:rsidR="00330D39" w:rsidRPr="00281C38">
        <w:t xml:space="preserve">, </w:t>
      </w:r>
      <w:r w:rsidR="00231CDD" w:rsidRPr="00281C38">
        <w:t xml:space="preserve">more than mere use or operation </w:t>
      </w:r>
      <w:r w:rsidR="00E80DDD">
        <w:t xml:space="preserve">of </w:t>
      </w:r>
      <w:r w:rsidR="00231CDD" w:rsidRPr="00281C38">
        <w:t xml:space="preserve">a computer is required to make a business, commercial or financial scheme patentable.  </w:t>
      </w:r>
      <w:r w:rsidR="006A4BBA" w:rsidRPr="00281C38">
        <w:t xml:space="preserve">It was submitted that </w:t>
      </w:r>
      <w:r w:rsidR="006A4BBA" w:rsidRPr="00E80DDD">
        <w:rPr>
          <w:i/>
        </w:rPr>
        <w:t>more</w:t>
      </w:r>
      <w:r w:rsidR="006A4BBA" w:rsidRPr="00281C38">
        <w:t xml:space="preserve"> than a mere change in state or information in a part of a machine (to borrow the words of the Full Court in </w:t>
      </w:r>
      <w:r w:rsidR="006A4BBA" w:rsidRPr="0040420C">
        <w:rPr>
          <w:i/>
        </w:rPr>
        <w:t>Grant</w:t>
      </w:r>
      <w:r>
        <w:t xml:space="preserve"> </w:t>
      </w:r>
      <w:r w:rsidR="006A4BBA" w:rsidRPr="00281C38">
        <w:t xml:space="preserve">at </w:t>
      </w:r>
      <w:r>
        <w:t xml:space="preserve">70 </w:t>
      </w:r>
      <w:r w:rsidR="006A4BBA" w:rsidRPr="00281C38">
        <w:t xml:space="preserve">[32]) </w:t>
      </w:r>
      <w:r w:rsidR="00330D39" w:rsidRPr="00281C38">
        <w:t xml:space="preserve">must be </w:t>
      </w:r>
      <w:r w:rsidR="006A4BBA" w:rsidRPr="00281C38">
        <w:t xml:space="preserve">required </w:t>
      </w:r>
      <w:r w:rsidR="00330D39" w:rsidRPr="00281C38">
        <w:t xml:space="preserve">to establish </w:t>
      </w:r>
      <w:r w:rsidR="006A4BBA" w:rsidRPr="00281C38">
        <w:t xml:space="preserve">the requisite physical effect, </w:t>
      </w:r>
      <w:r>
        <w:t>because</w:t>
      </w:r>
      <w:r w:rsidR="00CF7F02" w:rsidRPr="00281C38">
        <w:t xml:space="preserve"> taken at its most literal, </w:t>
      </w:r>
      <w:r w:rsidR="00CF7F02" w:rsidRPr="00E80DDD">
        <w:rPr>
          <w:i/>
        </w:rPr>
        <w:t>any</w:t>
      </w:r>
      <w:r w:rsidR="00CF7F02" w:rsidRPr="00281C38">
        <w:t xml:space="preserve"> normal operation of a computer results in a change in state or information in a part of a machine (namely, the computer).  </w:t>
      </w:r>
      <w:r w:rsidR="00B642CF" w:rsidRPr="00281C38">
        <w:t xml:space="preserve">Such a conclusion was said to conflict with the established principle that </w:t>
      </w:r>
      <w:r>
        <w:t xml:space="preserve">mere </w:t>
      </w:r>
      <w:r w:rsidR="00B642CF" w:rsidRPr="00281C38">
        <w:t xml:space="preserve">schemes have never been patentable. </w:t>
      </w:r>
    </w:p>
    <w:p w:rsidR="00032B11" w:rsidRPr="00281C38" w:rsidRDefault="0040420C" w:rsidP="00B5658F">
      <w:pPr>
        <w:pStyle w:val="ParaNumbering"/>
      </w:pPr>
      <w:r>
        <w:t>T</w:t>
      </w:r>
      <w:r w:rsidRPr="00281C38">
        <w:t xml:space="preserve">he Commissioner accepted that there is no principle in favour of </w:t>
      </w:r>
      <w:r w:rsidR="007205EA">
        <w:t xml:space="preserve">her </w:t>
      </w:r>
      <w:r w:rsidR="00B5658F" w:rsidRPr="00281C38">
        <w:t xml:space="preserve">application of a requirement for an effect that is </w:t>
      </w:r>
      <w:r w:rsidR="00B221C9">
        <w:t>“</w:t>
      </w:r>
      <w:r w:rsidR="00B5658F" w:rsidRPr="00281C38">
        <w:t>significant both in that it is concrete but also that it is central to the purpose or operation of the claimed process or otherwise arises from the combination of steps of the method in a substantial way</w:t>
      </w:r>
      <w:r w:rsidR="00B221C9">
        <w:t>”</w:t>
      </w:r>
      <w:r>
        <w:t>.</w:t>
      </w:r>
      <w:r w:rsidR="0018397E" w:rsidRPr="00281C38">
        <w:t xml:space="preserve">  Nonetheless, the Commissioner </w:t>
      </w:r>
      <w:r w:rsidR="0055743C" w:rsidRPr="00281C38">
        <w:t>submitted that the law is not settled as to whether, if a physical effect is required, there is a materiality or substantiality requirement</w:t>
      </w:r>
      <w:r>
        <w:t xml:space="preserve">.  It was submitted that such a requirement would not be </w:t>
      </w:r>
      <w:r w:rsidR="0055743C" w:rsidRPr="00281C38">
        <w:t xml:space="preserve">satisfied merely by the operation of one or more steps of the method on a computer (and thus a </w:t>
      </w:r>
      <w:r w:rsidR="008252B2">
        <w:t xml:space="preserve">mere </w:t>
      </w:r>
      <w:r w:rsidR="0055743C" w:rsidRPr="00281C38">
        <w:t xml:space="preserve">change in state or information in the computer).  </w:t>
      </w:r>
    </w:p>
    <w:p w:rsidR="008223D8" w:rsidRPr="00281C38" w:rsidRDefault="008223D8" w:rsidP="00B5658F">
      <w:pPr>
        <w:pStyle w:val="ParaNumbering"/>
      </w:pPr>
      <w:r w:rsidRPr="00281C38">
        <w:t xml:space="preserve">Ultimately, the claims of the Patent in issue were characterised </w:t>
      </w:r>
      <w:r w:rsidR="008252B2">
        <w:t xml:space="preserve">by the Commissioner </w:t>
      </w:r>
      <w:r w:rsidRPr="00281C38">
        <w:t xml:space="preserve">as </w:t>
      </w:r>
      <w:r w:rsidR="0040420C">
        <w:t xml:space="preserve">being </w:t>
      </w:r>
      <w:r w:rsidRPr="00281C38">
        <w:t xml:space="preserve">directed to a </w:t>
      </w:r>
      <w:r w:rsidR="0040420C">
        <w:t xml:space="preserve">mere </w:t>
      </w:r>
      <w:r w:rsidRPr="00281C38">
        <w:t xml:space="preserve">business or commercial plan or scheme – namely, a method for carrying out a </w:t>
      </w:r>
      <w:r w:rsidR="00021756" w:rsidRPr="00281C38">
        <w:t>particular aspect of business</w:t>
      </w:r>
      <w:r w:rsidR="008252B2">
        <w:t xml:space="preserve">.  It was </w:t>
      </w:r>
      <w:r w:rsidR="00021756" w:rsidRPr="00281C38">
        <w:t xml:space="preserve">therefore </w:t>
      </w:r>
      <w:r w:rsidR="008252B2">
        <w:t xml:space="preserve">said </w:t>
      </w:r>
      <w:r w:rsidR="00021756" w:rsidRPr="00281C38">
        <w:t xml:space="preserve">not </w:t>
      </w:r>
      <w:r w:rsidR="008252B2">
        <w:t xml:space="preserve">to be </w:t>
      </w:r>
      <w:r w:rsidR="00021756" w:rsidRPr="00281C38">
        <w:t>a method of manufacture</w:t>
      </w:r>
      <w:r w:rsidR="008252B2">
        <w:t xml:space="preserve"> as required by the Statute of Monopolies</w:t>
      </w:r>
      <w:r w:rsidR="00FE2538" w:rsidRPr="00281C38">
        <w:t>, despite the fact that integers of the claim are expressed to be carried out using a computer and the internet</w:t>
      </w:r>
      <w:r w:rsidR="00021756" w:rsidRPr="00281C38">
        <w:t xml:space="preserve">. </w:t>
      </w:r>
    </w:p>
    <w:p w:rsidR="005923C0" w:rsidRPr="00281C38" w:rsidRDefault="005923C0" w:rsidP="005923C0">
      <w:pPr>
        <w:pStyle w:val="Heading1"/>
      </w:pPr>
      <w:r w:rsidRPr="00281C38">
        <w:t>ANALYSIS</w:t>
      </w:r>
    </w:p>
    <w:p w:rsidR="00156603" w:rsidRPr="00281C38" w:rsidRDefault="00156603" w:rsidP="00D84849">
      <w:pPr>
        <w:pStyle w:val="ParaNumbering"/>
      </w:pPr>
      <w:r w:rsidRPr="00281C38">
        <w:t>As dictated by the High Court</w:t>
      </w:r>
      <w:r w:rsidR="0040420C">
        <w:t xml:space="preserve"> in </w:t>
      </w:r>
      <w:r w:rsidR="0040420C" w:rsidRPr="0048549D">
        <w:rPr>
          <w:i/>
        </w:rPr>
        <w:t>NRDC</w:t>
      </w:r>
      <w:r w:rsidRPr="00281C38">
        <w:t>, the inquiry is whether the invention that is the subject of this proceeding is a proper subject of letters patent, according to the principles developed for the application of s 6 of the Statute of Monopolies.</w:t>
      </w:r>
      <w:r w:rsidR="00B0191F">
        <w:t xml:space="preserve">  Of course, this inquiry is to be made in the context of the Act, and according to Australian jurisprudence.</w:t>
      </w:r>
    </w:p>
    <w:p w:rsidR="00444990" w:rsidRPr="00281C38" w:rsidRDefault="00444990" w:rsidP="004A3CD9">
      <w:pPr>
        <w:pStyle w:val="ParaNumbering"/>
      </w:pPr>
      <w:r w:rsidRPr="00281C38">
        <w:lastRenderedPageBreak/>
        <w:t xml:space="preserve">In undertaking this analysis, </w:t>
      </w:r>
      <w:r w:rsidR="004A3CD9" w:rsidRPr="00281C38">
        <w:t xml:space="preserve">I am bound to apply the key criteria </w:t>
      </w:r>
      <w:r w:rsidR="00711D5C" w:rsidRPr="00281C38">
        <w:t xml:space="preserve">articulated </w:t>
      </w:r>
      <w:r w:rsidR="004A3CD9" w:rsidRPr="00281C38">
        <w:t xml:space="preserve">by the High Court in </w:t>
      </w:r>
      <w:r w:rsidR="004A3CD9" w:rsidRPr="00281C38">
        <w:rPr>
          <w:i/>
        </w:rPr>
        <w:t>NRDC</w:t>
      </w:r>
      <w:r w:rsidR="00CB28B7" w:rsidRPr="00281C38">
        <w:t xml:space="preserve"> </w:t>
      </w:r>
      <w:r w:rsidRPr="00281C38">
        <w:t>(</w:t>
      </w:r>
      <w:r w:rsidR="004A3CD9" w:rsidRPr="00281C38">
        <w:t xml:space="preserve">and elaborated upon </w:t>
      </w:r>
      <w:r w:rsidRPr="00281C38">
        <w:t xml:space="preserve">by the Full Courts in </w:t>
      </w:r>
      <w:r w:rsidR="004A3CD9" w:rsidRPr="00281C38">
        <w:rPr>
          <w:i/>
        </w:rPr>
        <w:t>CCOM</w:t>
      </w:r>
      <w:r w:rsidR="004A3CD9" w:rsidRPr="00281C38">
        <w:t xml:space="preserve"> and </w:t>
      </w:r>
      <w:r w:rsidR="004A3CD9" w:rsidRPr="00281C38">
        <w:rPr>
          <w:i/>
        </w:rPr>
        <w:t>Grant</w:t>
      </w:r>
      <w:r w:rsidRPr="00281C38">
        <w:t>)</w:t>
      </w:r>
      <w:r w:rsidR="004A3CD9" w:rsidRPr="00281C38">
        <w:t xml:space="preserve">.  </w:t>
      </w:r>
    </w:p>
    <w:p w:rsidR="00444990" w:rsidRPr="00281C38" w:rsidRDefault="00FB62CC" w:rsidP="004A3CD9">
      <w:pPr>
        <w:pStyle w:val="ParaNumbering"/>
      </w:pPr>
      <w:r>
        <w:t xml:space="preserve">It will be recalled from the discussion of </w:t>
      </w:r>
      <w:r w:rsidRPr="00822D14">
        <w:rPr>
          <w:i/>
        </w:rPr>
        <w:t>NRDC</w:t>
      </w:r>
      <w:r>
        <w:t xml:space="preserve"> earlier in these reasons that w</w:t>
      </w:r>
      <w:r w:rsidR="00CB28B7" w:rsidRPr="00281C38">
        <w:t>hen</w:t>
      </w:r>
      <w:r w:rsidR="008507E3" w:rsidRPr="00281C38">
        <w:t xml:space="preserve"> </w:t>
      </w:r>
      <w:r w:rsidR="00494F52" w:rsidRPr="00281C38">
        <w:t xml:space="preserve">applying </w:t>
      </w:r>
      <w:r w:rsidR="008507E3" w:rsidRPr="00281C38">
        <w:t xml:space="preserve">the Morton J </w:t>
      </w:r>
      <w:r w:rsidR="00B221C9">
        <w:t>‘</w:t>
      </w:r>
      <w:r w:rsidR="008507E3" w:rsidRPr="00281C38">
        <w:t>vendible product</w:t>
      </w:r>
      <w:r w:rsidR="00B221C9">
        <w:t>’</w:t>
      </w:r>
      <w:r w:rsidR="008507E3" w:rsidRPr="00281C38">
        <w:t xml:space="preserve"> test</w:t>
      </w:r>
      <w:r w:rsidR="00494F52" w:rsidRPr="00281C38">
        <w:t xml:space="preserve"> to a process</w:t>
      </w:r>
      <w:r w:rsidR="008507E3" w:rsidRPr="00281C38">
        <w:t xml:space="preserve">, a </w:t>
      </w:r>
      <w:r w:rsidR="00B221C9">
        <w:t>‘</w:t>
      </w:r>
      <w:r w:rsidR="008507E3" w:rsidRPr="00281C38">
        <w:t>product</w:t>
      </w:r>
      <w:r w:rsidR="00B221C9">
        <w:t>’</w:t>
      </w:r>
      <w:r w:rsidR="008507E3" w:rsidRPr="00281C38">
        <w:t xml:space="preserve"> </w:t>
      </w:r>
      <w:r w:rsidR="00494F52" w:rsidRPr="00281C38">
        <w:t>exist</w:t>
      </w:r>
      <w:r w:rsidR="006239CB">
        <w:t xml:space="preserve">ed in that case </w:t>
      </w:r>
      <w:r w:rsidR="00494F52" w:rsidRPr="00281C38">
        <w:t xml:space="preserve">for this purpose </w:t>
      </w:r>
      <w:r w:rsidR="006239CB">
        <w:t xml:space="preserve">because there was </w:t>
      </w:r>
      <w:r w:rsidR="008507E3" w:rsidRPr="00281C38">
        <w:t xml:space="preserve">an artificially created state of affairs, </w:t>
      </w:r>
      <w:r w:rsidR="00447DD4">
        <w:t xml:space="preserve">and </w:t>
      </w:r>
      <w:r w:rsidR="008507E3" w:rsidRPr="00281C38">
        <w:t>something in which the new and useful effect may be observed</w:t>
      </w:r>
      <w:r w:rsidR="00A658BA" w:rsidRPr="00281C38">
        <w:t xml:space="preserve"> (</w:t>
      </w:r>
      <w:r w:rsidR="00A658BA" w:rsidRPr="00281C38">
        <w:rPr>
          <w:i/>
        </w:rPr>
        <w:t>NRDC</w:t>
      </w:r>
      <w:r w:rsidR="00A658BA" w:rsidRPr="00281C38">
        <w:t xml:space="preserve"> at 276-277</w:t>
      </w:r>
      <w:r w:rsidR="00CB28B7" w:rsidRPr="00281C38">
        <w:t>)</w:t>
      </w:r>
      <w:r w:rsidR="008507E3" w:rsidRPr="00281C38">
        <w:t xml:space="preserve">.  </w:t>
      </w:r>
      <w:r w:rsidR="00CB28B7" w:rsidRPr="00281C38">
        <w:t xml:space="preserve">Such </w:t>
      </w:r>
      <w:r w:rsidR="008507E3" w:rsidRPr="00281C38">
        <w:t xml:space="preserve">a </w:t>
      </w:r>
      <w:r w:rsidR="00B221C9">
        <w:t>‘</w:t>
      </w:r>
      <w:r w:rsidR="008507E3" w:rsidRPr="00281C38">
        <w:t>thing</w:t>
      </w:r>
      <w:r w:rsidR="00B221C9">
        <w:t>’</w:t>
      </w:r>
      <w:r w:rsidR="008507E3" w:rsidRPr="00281C38">
        <w:t xml:space="preserve"> need not be an article – it may be any physical phenomenon in which the effect may be observed</w:t>
      </w:r>
      <w:r w:rsidR="00350C5B" w:rsidRPr="00281C38">
        <w:t xml:space="preserve"> (</w:t>
      </w:r>
      <w:r w:rsidR="00350C5B" w:rsidRPr="00281C38">
        <w:rPr>
          <w:i/>
        </w:rPr>
        <w:t>NRDC</w:t>
      </w:r>
      <w:r w:rsidR="00350C5B" w:rsidRPr="00281C38">
        <w:t xml:space="preserve"> at 276</w:t>
      </w:r>
      <w:r w:rsidR="00CB28B7" w:rsidRPr="00281C38">
        <w:t>)</w:t>
      </w:r>
      <w:r w:rsidR="008507E3" w:rsidRPr="00281C38">
        <w:t xml:space="preserve">.  The requirement that the product be </w:t>
      </w:r>
      <w:r w:rsidR="00B221C9">
        <w:t>‘</w:t>
      </w:r>
      <w:r w:rsidR="008507E3" w:rsidRPr="00281C38">
        <w:t>vendible</w:t>
      </w:r>
      <w:r w:rsidR="00B221C9">
        <w:t>’</w:t>
      </w:r>
      <w:r w:rsidR="008507E3" w:rsidRPr="00281C38">
        <w:t xml:space="preserve"> relate</w:t>
      </w:r>
      <w:r w:rsidR="00CB28B7" w:rsidRPr="00281C38">
        <w:t>s</w:t>
      </w:r>
      <w:r w:rsidR="008507E3" w:rsidRPr="00281C38">
        <w:t xml:space="preserve"> to the requirement that the product have utility in practical affairs, or in other words,</w:t>
      </w:r>
      <w:r w:rsidR="00494F52" w:rsidRPr="00281C38">
        <w:t xml:space="preserve"> be of</w:t>
      </w:r>
      <w:r w:rsidR="008507E3" w:rsidRPr="00281C38">
        <w:t xml:space="preserve"> an industrial, commercial or trading character</w:t>
      </w:r>
      <w:r w:rsidR="00CB28B7" w:rsidRPr="00281C38">
        <w:t xml:space="preserve"> (</w:t>
      </w:r>
      <w:r w:rsidR="00CB28B7" w:rsidRPr="00281C38">
        <w:rPr>
          <w:i/>
        </w:rPr>
        <w:t>NR</w:t>
      </w:r>
      <w:r w:rsidR="00350C5B" w:rsidRPr="00281C38">
        <w:rPr>
          <w:i/>
        </w:rPr>
        <w:t>DC</w:t>
      </w:r>
      <w:r w:rsidR="00350C5B" w:rsidRPr="00281C38">
        <w:t xml:space="preserve"> at 275</w:t>
      </w:r>
      <w:r w:rsidR="00CB28B7" w:rsidRPr="00281C38">
        <w:t>)</w:t>
      </w:r>
      <w:r w:rsidR="008507E3" w:rsidRPr="00281C38">
        <w:t xml:space="preserve">.  </w:t>
      </w:r>
      <w:r w:rsidR="00CB28B7" w:rsidRPr="00281C38">
        <w:t xml:space="preserve">Further, </w:t>
      </w:r>
      <w:r w:rsidR="008507E3" w:rsidRPr="00281C38">
        <w:t xml:space="preserve">the invention </w:t>
      </w:r>
      <w:r w:rsidR="00CB28B7" w:rsidRPr="00281C38">
        <w:t xml:space="preserve">must </w:t>
      </w:r>
      <w:r w:rsidR="008507E3" w:rsidRPr="00281C38">
        <w:t>belong to the useful arts, not the fine arts</w:t>
      </w:r>
      <w:r w:rsidR="00CE5CDE" w:rsidRPr="00281C38">
        <w:t xml:space="preserve">, in the sense that the invention </w:t>
      </w:r>
      <w:r w:rsidR="00174F41" w:rsidRPr="00281C38">
        <w:t xml:space="preserve">must </w:t>
      </w:r>
      <w:r w:rsidR="00CE5CDE" w:rsidRPr="00281C38">
        <w:t>have value to the country in the field of economic endeavour</w:t>
      </w:r>
      <w:r w:rsidR="008507E3" w:rsidRPr="00281C38">
        <w:t>.</w:t>
      </w:r>
    </w:p>
    <w:p w:rsidR="00623BCB" w:rsidRPr="00281C38" w:rsidRDefault="00494F52" w:rsidP="00DA683B">
      <w:pPr>
        <w:pStyle w:val="ParaNumbering"/>
      </w:pPr>
      <w:r w:rsidRPr="00281C38">
        <w:t>It</w:t>
      </w:r>
      <w:r w:rsidR="00CE5CDE" w:rsidRPr="00281C38">
        <w:t xml:space="preserve"> is convenient to </w:t>
      </w:r>
      <w:r w:rsidR="00FA302F">
        <w:t xml:space="preserve">address </w:t>
      </w:r>
      <w:r w:rsidR="00822D14">
        <w:t>these last criteria</w:t>
      </w:r>
      <w:r w:rsidR="00FA302F">
        <w:t xml:space="preserve"> first</w:t>
      </w:r>
      <w:r w:rsidRPr="00281C38">
        <w:t xml:space="preserve">.  </w:t>
      </w:r>
      <w:r w:rsidR="00623BCB" w:rsidRPr="00281C38">
        <w:t>I do not accept that the invention belongs to the fine arts rather than the useful arts</w:t>
      </w:r>
      <w:r w:rsidR="00822D14">
        <w:t>, or that it does not have utility in practical affairs</w:t>
      </w:r>
      <w:r w:rsidR="00623BCB" w:rsidRPr="00281C38">
        <w:t xml:space="preserve">.  The Commissioner submitted that the end product of the claimed method is merely intellectual information – namely, a completed questionnaire containing evidence relevant to an assessment of </w:t>
      </w:r>
      <w:r w:rsidR="00447DD4">
        <w:t xml:space="preserve">an </w:t>
      </w:r>
      <w:r w:rsidR="00623BCB" w:rsidRPr="00281C38">
        <w:t>individual</w:t>
      </w:r>
      <w:r w:rsidR="00B221C9">
        <w:t>’</w:t>
      </w:r>
      <w:r w:rsidR="00623BCB" w:rsidRPr="00281C38">
        <w:t xml:space="preserve">s competency, relative to a recognised qualification standard.  It was contended that whether such information is stored on paper or in a computer or electronic storage device, it belongs to the fine arts and hence is not patentable subject matter.  In so submitting the Commissioner relied on the following passage from </w:t>
      </w:r>
      <w:r w:rsidR="00623BCB" w:rsidRPr="00281C38">
        <w:rPr>
          <w:i/>
        </w:rPr>
        <w:t>Re Virginia-Carolina Chemical Corporation</w:t>
      </w:r>
      <w:r w:rsidR="00B221C9">
        <w:rPr>
          <w:i/>
        </w:rPr>
        <w:t>’</w:t>
      </w:r>
      <w:r w:rsidR="00623BCB" w:rsidRPr="00281C38">
        <w:rPr>
          <w:i/>
        </w:rPr>
        <w:t>s Application</w:t>
      </w:r>
      <w:r w:rsidR="00623BCB" w:rsidRPr="00281C38">
        <w:t xml:space="preserve"> (1958) RPC 35 (at 36):</w:t>
      </w:r>
    </w:p>
    <w:p w:rsidR="00623BCB" w:rsidRPr="00281C38" w:rsidRDefault="00623BCB" w:rsidP="00623BCB">
      <w:pPr>
        <w:pStyle w:val="Quote1"/>
        <w:rPr>
          <w:i/>
        </w:rPr>
      </w:pPr>
      <w:r w:rsidRPr="00281C38">
        <w:rPr>
          <w:i/>
        </w:rPr>
        <w:t xml:space="preserve">the principle that the intellectual or visual content of a paper or card related to the fine and not the applied arts, and was accordingly outside the statutory definition of invention has been extended to cover additional articles e.g. cinematograph films and gramophone records, which differ only in the means whereby information is conveyed to the brain.  Even where such information is of importance in describing or defining an operation to be performed on some apparatus it cannot be regarded as part of the performance itself and thus qualify as a manner of manufacture.  If however the marks as such are described to operate through appropriate means automatically to fulfil a commercial purpose, whether the means are mechanical, optical or electrical, they can properly be regarded as an integral part of a manner of manufacture and as such fit subject matter for patent claims.  </w:t>
      </w:r>
    </w:p>
    <w:p w:rsidR="00DA683B" w:rsidRPr="00281C38" w:rsidRDefault="00623BCB" w:rsidP="001663D3">
      <w:pPr>
        <w:pStyle w:val="ParaNumbering"/>
      </w:pPr>
      <w:r w:rsidRPr="00281C38">
        <w:t xml:space="preserve">However, </w:t>
      </w:r>
      <w:r w:rsidR="00DA683B" w:rsidRPr="00281C38">
        <w:t>t</w:t>
      </w:r>
      <w:r w:rsidR="0051241C" w:rsidRPr="00281C38">
        <w:t>he invention that is the subject of the Patent is said to produce a useful result</w:t>
      </w:r>
      <w:r w:rsidR="00447DD4">
        <w:t>:</w:t>
      </w:r>
      <w:r w:rsidR="0051241C" w:rsidRPr="00281C38">
        <w:t xml:space="preserve"> </w:t>
      </w:r>
      <w:r w:rsidR="00447DD4">
        <w:t xml:space="preserve">it </w:t>
      </w:r>
      <w:r w:rsidR="00FB62CC">
        <w:t>overcome</w:t>
      </w:r>
      <w:r w:rsidR="00447DD4">
        <w:t>s</w:t>
      </w:r>
      <w:r w:rsidR="0051241C" w:rsidRPr="00281C38">
        <w:t xml:space="preserve"> difficulties involved in seeking out relevant education providers</w:t>
      </w:r>
      <w:r w:rsidR="00447DD4">
        <w:t>,</w:t>
      </w:r>
      <w:r w:rsidR="0051241C" w:rsidRPr="00281C38">
        <w:t xml:space="preserve"> and enabl</w:t>
      </w:r>
      <w:r w:rsidR="00447DD4">
        <w:t>es</w:t>
      </w:r>
      <w:r w:rsidR="0051241C" w:rsidRPr="00281C38">
        <w:t xml:space="preserve"> the </w:t>
      </w:r>
      <w:r w:rsidR="00FA302F">
        <w:t xml:space="preserve">recognition of prior learning. </w:t>
      </w:r>
      <w:r w:rsidR="00EC36AB" w:rsidRPr="00281C38">
        <w:t xml:space="preserve"> I accept the statements </w:t>
      </w:r>
      <w:r w:rsidR="007C156C" w:rsidRPr="00281C38">
        <w:t xml:space="preserve">to this effect </w:t>
      </w:r>
      <w:r w:rsidR="00EC36AB" w:rsidRPr="00281C38">
        <w:t xml:space="preserve">set out in the </w:t>
      </w:r>
      <w:r w:rsidR="00EC36AB" w:rsidRPr="00281C38">
        <w:lastRenderedPageBreak/>
        <w:t xml:space="preserve">specification (already reproduced in these reasons), and </w:t>
      </w:r>
      <w:r w:rsidR="001663D3" w:rsidRPr="00281C38">
        <w:t xml:space="preserve">I </w:t>
      </w:r>
      <w:r w:rsidR="00EC36AB" w:rsidRPr="00281C38">
        <w:t xml:space="preserve">further </w:t>
      </w:r>
      <w:r w:rsidR="001663D3" w:rsidRPr="00281C38">
        <w:t xml:space="preserve">accept </w:t>
      </w:r>
      <w:r w:rsidR="00FB62CC">
        <w:t>RPL</w:t>
      </w:r>
      <w:r w:rsidR="00B221C9">
        <w:t>’</w:t>
      </w:r>
      <w:r w:rsidR="00FB62CC">
        <w:t xml:space="preserve">s submissions </w:t>
      </w:r>
      <w:r w:rsidR="001663D3" w:rsidRPr="00281C38">
        <w:t xml:space="preserve">that the invention solves a problem in </w:t>
      </w:r>
      <w:r w:rsidR="007C156C" w:rsidRPr="00281C38">
        <w:t>a field of economic endeavour</w:t>
      </w:r>
      <w:r w:rsidR="001663D3" w:rsidRPr="00281C38">
        <w:t xml:space="preserve">, </w:t>
      </w:r>
      <w:r w:rsidR="007C156C" w:rsidRPr="00281C38">
        <w:t xml:space="preserve">being </w:t>
      </w:r>
      <w:r w:rsidR="001663D3" w:rsidRPr="00281C38">
        <w:t>the educational sector of the economy.</w:t>
      </w:r>
      <w:r w:rsidR="007C156C" w:rsidRPr="00281C38">
        <w:t xml:space="preserve">  In my view, this is sufficient to satisfy the requirement that the invention</w:t>
      </w:r>
      <w:r w:rsidR="00FA302F">
        <w:t xml:space="preserve"> must</w:t>
      </w:r>
      <w:r w:rsidR="007C156C" w:rsidRPr="00281C38">
        <w:t xml:space="preserve"> belong to the useful arts, not the fine arts</w:t>
      </w:r>
      <w:r w:rsidR="00633081" w:rsidRPr="00281C38">
        <w:t xml:space="preserve">, as articulated in </w:t>
      </w:r>
      <w:r w:rsidR="00633081" w:rsidRPr="00281C38">
        <w:rPr>
          <w:i/>
        </w:rPr>
        <w:t>NRDC</w:t>
      </w:r>
      <w:r w:rsidR="007C156C" w:rsidRPr="00281C38">
        <w:t xml:space="preserve">.  </w:t>
      </w:r>
    </w:p>
    <w:p w:rsidR="003E7610" w:rsidRDefault="00DA683B" w:rsidP="001663D3">
      <w:pPr>
        <w:pStyle w:val="ParaNumbering"/>
      </w:pPr>
      <w:r w:rsidRPr="00281C38">
        <w:t xml:space="preserve">For the same reasons, I consider that the invention satisfies the </w:t>
      </w:r>
      <w:r w:rsidR="00B221C9">
        <w:t>‘</w:t>
      </w:r>
      <w:r w:rsidRPr="00281C38">
        <w:t>vendible</w:t>
      </w:r>
      <w:r w:rsidR="00B221C9">
        <w:t>’</w:t>
      </w:r>
      <w:r w:rsidRPr="00281C38">
        <w:t xml:space="preserve"> requirement of the vendible product test</w:t>
      </w:r>
      <w:r w:rsidR="00FB62CC">
        <w:t xml:space="preserve"> </w:t>
      </w:r>
      <w:r w:rsidR="00447DD4">
        <w:t xml:space="preserve">as articulated by the High Court in </w:t>
      </w:r>
      <w:r w:rsidR="00447DD4" w:rsidRPr="00447DD4">
        <w:rPr>
          <w:i/>
        </w:rPr>
        <w:t>NRDC</w:t>
      </w:r>
      <w:r w:rsidR="00447DD4">
        <w:t xml:space="preserve"> </w:t>
      </w:r>
      <w:r w:rsidR="00FB62CC">
        <w:t xml:space="preserve">– namely, the invention has utility in practical affairs in the way already considered, and </w:t>
      </w:r>
      <w:r w:rsidR="003E7610">
        <w:t xml:space="preserve">that </w:t>
      </w:r>
      <w:r w:rsidR="00FB62CC">
        <w:t>given its application to the education sector of the economy, can be said to be of an industrial, commercial or trading character</w:t>
      </w:r>
      <w:r w:rsidRPr="00281C38">
        <w:t xml:space="preserve">.  </w:t>
      </w:r>
    </w:p>
    <w:p w:rsidR="001663D3" w:rsidRPr="00281C38" w:rsidRDefault="00DA683B" w:rsidP="001663D3">
      <w:pPr>
        <w:pStyle w:val="ParaNumbering"/>
      </w:pPr>
      <w:r w:rsidRPr="00281C38">
        <w:t xml:space="preserve">The next </w:t>
      </w:r>
      <w:r w:rsidR="00FB62CC">
        <w:t xml:space="preserve">matter </w:t>
      </w:r>
      <w:r w:rsidRPr="00281C38">
        <w:t xml:space="preserve">for consideration is </w:t>
      </w:r>
      <w:r w:rsidR="00FB62CC">
        <w:t xml:space="preserve">whether the invention is </w:t>
      </w:r>
      <w:r w:rsidRPr="00281C38">
        <w:t xml:space="preserve">a </w:t>
      </w:r>
      <w:r w:rsidR="00B221C9">
        <w:t>‘</w:t>
      </w:r>
      <w:r w:rsidRPr="00281C38">
        <w:t>product</w:t>
      </w:r>
      <w:r w:rsidR="00B221C9">
        <w:t>’</w:t>
      </w:r>
      <w:r w:rsidRPr="00281C38">
        <w:t xml:space="preserve"> as understood in </w:t>
      </w:r>
      <w:r w:rsidRPr="00281C38">
        <w:rPr>
          <w:i/>
        </w:rPr>
        <w:t>NRDC</w:t>
      </w:r>
      <w:r w:rsidRPr="00281C38">
        <w:t xml:space="preserve"> and subsequent decisions.</w:t>
      </w:r>
    </w:p>
    <w:p w:rsidR="00196306" w:rsidRPr="00281C38" w:rsidRDefault="00196306" w:rsidP="00196306">
      <w:pPr>
        <w:pStyle w:val="ParaNumbering"/>
      </w:pPr>
      <w:r w:rsidRPr="00281C38">
        <w:t>I have previously set out the advantages claimed by the invention – in particular, the fact that the embodiments of the invention automate the process of converting assessable criteria (possibly relating to thousands or tens of thousands of training courses and units) into a more convenient question and</w:t>
      </w:r>
      <w:r w:rsidR="00FB62CC">
        <w:t xml:space="preserve"> answer format that can guide an</w:t>
      </w:r>
      <w:r w:rsidRPr="00281C38">
        <w:t xml:space="preserve"> individual through the information-gathering process, and store the individual</w:t>
      </w:r>
      <w:r w:rsidR="00B221C9">
        <w:t>’</w:t>
      </w:r>
      <w:r w:rsidRPr="00281C38">
        <w:t>s responses in a database for the purpose of provision to a relevant training organisation.  As already foreshadowed, depending on the embodiment, this may or may not involve the operation of a wizard (whether internet-based or otherwise) and the ability of the individual to upload documentation in support of their text-based response</w:t>
      </w:r>
      <w:r w:rsidR="00FB62CC">
        <w:t>s</w:t>
      </w:r>
      <w:r w:rsidRPr="00281C38">
        <w:t xml:space="preserve">.  </w:t>
      </w:r>
    </w:p>
    <w:p w:rsidR="00CD0741" w:rsidRPr="00281C38" w:rsidRDefault="00196306" w:rsidP="00C53420">
      <w:pPr>
        <w:pStyle w:val="ParaNumbering"/>
      </w:pPr>
      <w:r w:rsidRPr="00281C38">
        <w:t xml:space="preserve">I consider that the invention </w:t>
      </w:r>
      <w:r w:rsidR="00822D14">
        <w:t xml:space="preserve">is a ‘product’, in that it </w:t>
      </w:r>
      <w:r w:rsidR="00E84C04">
        <w:t>does give</w:t>
      </w:r>
      <w:r w:rsidRPr="00281C38">
        <w:t xml:space="preserve"> rise to an artifi</w:t>
      </w:r>
      <w:r w:rsidR="00F03A06" w:rsidRPr="00281C38">
        <w:t xml:space="preserve">cially created state of affairs – specifically, it gives rise to </w:t>
      </w:r>
      <w:r w:rsidR="009421B1" w:rsidRPr="00281C38">
        <w:t xml:space="preserve">a physical phenomenon </w:t>
      </w:r>
      <w:r w:rsidRPr="00281C38">
        <w:t>in which a new and useful effect may be observed</w:t>
      </w:r>
      <w:r w:rsidR="00C53420" w:rsidRPr="00281C38">
        <w:t xml:space="preserve">, in the sense of a concrete effect or phenomenon or manifestation or transformation </w:t>
      </w:r>
      <w:r w:rsidR="00822D14">
        <w:t>(</w:t>
      </w:r>
      <w:r w:rsidR="00C53420" w:rsidRPr="00281C38">
        <w:t xml:space="preserve">as articulated by </w:t>
      </w:r>
      <w:r w:rsidR="00917D48" w:rsidRPr="00281C38">
        <w:t>the Court</w:t>
      </w:r>
      <w:r w:rsidR="00822D14">
        <w:t>s</w:t>
      </w:r>
      <w:r w:rsidR="00917D48" w:rsidRPr="00281C38">
        <w:t xml:space="preserve"> in </w:t>
      </w:r>
      <w:r w:rsidR="00822D14" w:rsidRPr="00822D14">
        <w:rPr>
          <w:i/>
        </w:rPr>
        <w:t>NRDC</w:t>
      </w:r>
      <w:r w:rsidR="00822D14">
        <w:t xml:space="preserve"> and </w:t>
      </w:r>
      <w:r w:rsidR="00C53420" w:rsidRPr="00281C38">
        <w:rPr>
          <w:i/>
        </w:rPr>
        <w:t>Grant</w:t>
      </w:r>
      <w:r w:rsidR="00822D14">
        <w:rPr>
          <w:i/>
        </w:rPr>
        <w:t xml:space="preserve"> </w:t>
      </w:r>
      <w:r w:rsidR="00822D14">
        <w:t>respectively)</w:t>
      </w:r>
      <w:r w:rsidRPr="00281C38">
        <w:t xml:space="preserve">.  </w:t>
      </w:r>
      <w:r w:rsidR="00644892" w:rsidRPr="00281C38">
        <w:t xml:space="preserve">The reasons for this conclusion are set out below.  Before turning to them, however, </w:t>
      </w:r>
      <w:r w:rsidR="003B6E75">
        <w:t xml:space="preserve">it is first necessary </w:t>
      </w:r>
      <w:r w:rsidR="00644892" w:rsidRPr="00281C38">
        <w:t xml:space="preserve">to address </w:t>
      </w:r>
      <w:r w:rsidR="00C53420" w:rsidRPr="00281C38">
        <w:t>the Commissioner</w:t>
      </w:r>
      <w:r w:rsidR="00B221C9">
        <w:t>’</w:t>
      </w:r>
      <w:r w:rsidR="00C53420" w:rsidRPr="00281C38">
        <w:t>s submission that the law is uncertain as to whether the manner of manufacture inquiry requires a</w:t>
      </w:r>
      <w:r w:rsidR="00CD0741" w:rsidRPr="00281C38">
        <w:t>n observable</w:t>
      </w:r>
      <w:r w:rsidR="00C53420" w:rsidRPr="00281C38">
        <w:t xml:space="preserve"> physical effect </w:t>
      </w:r>
      <w:r w:rsidR="00CD0741" w:rsidRPr="00281C38">
        <w:t xml:space="preserve">where the application is for </w:t>
      </w:r>
      <w:r w:rsidR="00B221C9">
        <w:t>“</w:t>
      </w:r>
      <w:r w:rsidR="00CD0741" w:rsidRPr="00281C38">
        <w:t>a method and a device</w:t>
      </w:r>
      <w:r w:rsidR="00B221C9">
        <w:t>”</w:t>
      </w:r>
      <w:r w:rsidR="00CD0741" w:rsidRPr="00281C38">
        <w:t xml:space="preserve"> rather than just a method</w:t>
      </w:r>
      <w:r w:rsidR="00C53420" w:rsidRPr="00281C38">
        <w:t xml:space="preserve">.  </w:t>
      </w:r>
    </w:p>
    <w:p w:rsidR="00C87A84" w:rsidRDefault="009E41BE" w:rsidP="009E41BE">
      <w:pPr>
        <w:pStyle w:val="ParaNumbering"/>
      </w:pPr>
      <w:r w:rsidRPr="00281C38">
        <w:lastRenderedPageBreak/>
        <w:t xml:space="preserve">Much was sought to be made by the Commissioner of the distinction between a </w:t>
      </w:r>
      <w:r w:rsidR="00B221C9">
        <w:t>‘</w:t>
      </w:r>
      <w:r w:rsidRPr="00281C38">
        <w:t>method</w:t>
      </w:r>
      <w:r w:rsidR="00B221C9">
        <w:t>’</w:t>
      </w:r>
      <w:r w:rsidRPr="00281C38">
        <w:t xml:space="preserve"> claim and a </w:t>
      </w:r>
      <w:r w:rsidR="00B221C9">
        <w:t>‘</w:t>
      </w:r>
      <w:r w:rsidRPr="00281C38">
        <w:t>method and device</w:t>
      </w:r>
      <w:r w:rsidR="00B221C9">
        <w:t>’</w:t>
      </w:r>
      <w:r w:rsidRPr="00281C38">
        <w:t xml:space="preserve"> claim.  It was on this basis that the Commissioner contended that</w:t>
      </w:r>
      <w:r w:rsidR="00FA302F">
        <w:t xml:space="preserve"> the case of </w:t>
      </w:r>
      <w:r w:rsidR="00FA302F" w:rsidRPr="00FA302F">
        <w:rPr>
          <w:i/>
        </w:rPr>
        <w:t>Catuity</w:t>
      </w:r>
      <w:r w:rsidR="00FA302F">
        <w:t xml:space="preserve"> (which, it was asserted, related to a method and a device rather than a method alone)</w:t>
      </w:r>
      <w:r w:rsidRPr="00281C38">
        <w:t xml:space="preserve"> </w:t>
      </w:r>
      <w:r w:rsidR="00FA302F">
        <w:t>was distinguishable</w:t>
      </w:r>
      <w:r w:rsidR="005A766D">
        <w:t xml:space="preserve"> –</w:t>
      </w:r>
      <w:r w:rsidR="00FA302F">
        <w:t xml:space="preserve"> in particular, his Honour’s </w:t>
      </w:r>
      <w:r w:rsidRPr="00281C38">
        <w:t xml:space="preserve">comments </w:t>
      </w:r>
      <w:r w:rsidR="005A766D">
        <w:t xml:space="preserve">at 137, </w:t>
      </w:r>
      <w:r w:rsidRPr="00281C38">
        <w:t xml:space="preserve">where his Honour doubted that a physically observable effect was required, and considered that in any event, such an effect could be found </w:t>
      </w:r>
      <w:r w:rsidR="008206D8" w:rsidRPr="00281C38">
        <w:t xml:space="preserve">in that case </w:t>
      </w:r>
      <w:r w:rsidRPr="00281C38">
        <w:t>in the writing of information to the Behaviour file</w:t>
      </w:r>
      <w:r w:rsidR="005A766D">
        <w:t xml:space="preserve"> and the printing of the coupon</w:t>
      </w:r>
      <w:r w:rsidRPr="00281C38">
        <w:t xml:space="preserve">.  </w:t>
      </w:r>
      <w:r w:rsidR="00C87A84">
        <w:t>It was submitted that w</w:t>
      </w:r>
      <w:r w:rsidRPr="00281C38">
        <w:t>here claims are for a method alone</w:t>
      </w:r>
      <w:r w:rsidR="00C16A3B">
        <w:t>,</w:t>
      </w:r>
      <w:r w:rsidRPr="00281C38">
        <w:t xml:space="preserve"> the focus of the court </w:t>
      </w:r>
      <w:r w:rsidR="00C87A84">
        <w:t xml:space="preserve">must be </w:t>
      </w:r>
      <w:r w:rsidRPr="00281C38">
        <w:t xml:space="preserve">on a physical effect (such as in </w:t>
      </w:r>
      <w:r w:rsidRPr="00281C38">
        <w:rPr>
          <w:i/>
        </w:rPr>
        <w:t>NRDC</w:t>
      </w:r>
      <w:r w:rsidRPr="00281C38">
        <w:t xml:space="preserve"> or </w:t>
      </w:r>
      <w:r w:rsidRPr="00281C38">
        <w:rPr>
          <w:i/>
        </w:rPr>
        <w:t>Grant</w:t>
      </w:r>
      <w:r w:rsidRPr="00281C38">
        <w:t xml:space="preserve">).  </w:t>
      </w:r>
    </w:p>
    <w:p w:rsidR="009E41BE" w:rsidRPr="00281C38" w:rsidRDefault="00F77B3A" w:rsidP="009E41BE">
      <w:pPr>
        <w:pStyle w:val="ParaNumbering"/>
      </w:pPr>
      <w:r>
        <w:t>For similar reasons</w:t>
      </w:r>
      <w:r w:rsidR="003B6E75">
        <w:t>, t</w:t>
      </w:r>
      <w:r w:rsidR="009E41BE" w:rsidRPr="00281C38">
        <w:t xml:space="preserve">he Commissioner submitted that the claims of the Patent do not fall within the category of inventions typified by </w:t>
      </w:r>
      <w:r w:rsidR="009E41BE" w:rsidRPr="00281C38">
        <w:rPr>
          <w:i/>
        </w:rPr>
        <w:t>IBM</w:t>
      </w:r>
      <w:r w:rsidR="009F004E">
        <w:rPr>
          <w:i/>
        </w:rPr>
        <w:t xml:space="preserve"> </w:t>
      </w:r>
      <w:r w:rsidR="009F004E">
        <w:t>(1991) 33 FCR 218</w:t>
      </w:r>
      <w:r w:rsidR="009E41BE" w:rsidRPr="00281C38">
        <w:t xml:space="preserve">, </w:t>
      </w:r>
      <w:r w:rsidR="009E41BE" w:rsidRPr="00281C38">
        <w:rPr>
          <w:i/>
        </w:rPr>
        <w:t>CCOM</w:t>
      </w:r>
      <w:r w:rsidR="009E41BE" w:rsidRPr="00281C38">
        <w:t xml:space="preserve"> and </w:t>
      </w:r>
      <w:r w:rsidR="009E41BE" w:rsidRPr="00281C38">
        <w:rPr>
          <w:i/>
        </w:rPr>
        <w:t>Catuity</w:t>
      </w:r>
      <w:r w:rsidR="002B71E0">
        <w:t xml:space="preserve">.  It was said that </w:t>
      </w:r>
      <w:r w:rsidR="009E41BE" w:rsidRPr="00281C38">
        <w:t xml:space="preserve">the computer </w:t>
      </w:r>
      <w:r w:rsidR="005B19DC" w:rsidRPr="00281C38">
        <w:t xml:space="preserve">referred to </w:t>
      </w:r>
      <w:r w:rsidR="009E41BE" w:rsidRPr="00281C38">
        <w:t>in the claims of the Patent is merely the modern and efficient tool by which to perform the method of the claimed invention (being a method of performing an aspect of a business), which could be perf</w:t>
      </w:r>
      <w:r w:rsidR="005B19DC" w:rsidRPr="00281C38">
        <w:t xml:space="preserve">ormed without use of a computer.  This was said to be </w:t>
      </w:r>
      <w:r w:rsidR="009E41BE" w:rsidRPr="00281C38">
        <w:t xml:space="preserve">unlike the inventions in </w:t>
      </w:r>
      <w:r w:rsidR="009E41BE" w:rsidRPr="00281C38">
        <w:rPr>
          <w:i/>
        </w:rPr>
        <w:t>IBM</w:t>
      </w:r>
      <w:r w:rsidR="009F004E">
        <w:rPr>
          <w:i/>
        </w:rPr>
        <w:t xml:space="preserve"> </w:t>
      </w:r>
      <w:r w:rsidR="009F004E">
        <w:t>(1991) 33 FCR 218</w:t>
      </w:r>
      <w:r w:rsidR="009E41BE" w:rsidRPr="00281C38">
        <w:t xml:space="preserve">, </w:t>
      </w:r>
      <w:r w:rsidR="009E41BE" w:rsidRPr="00281C38">
        <w:rPr>
          <w:i/>
        </w:rPr>
        <w:t>CCOM</w:t>
      </w:r>
      <w:r w:rsidR="009E41BE" w:rsidRPr="00281C38">
        <w:t xml:space="preserve"> and </w:t>
      </w:r>
      <w:r w:rsidR="009E41BE" w:rsidRPr="00281C38">
        <w:rPr>
          <w:i/>
        </w:rPr>
        <w:t>Catuity</w:t>
      </w:r>
      <w:r w:rsidR="00B20B59" w:rsidRPr="00281C38">
        <w:t>,</w:t>
      </w:r>
      <w:r w:rsidR="004E1D8B" w:rsidRPr="00281C38">
        <w:t xml:space="preserve"> </w:t>
      </w:r>
      <w:r w:rsidR="00B20B59" w:rsidRPr="00281C38">
        <w:t xml:space="preserve">where the method was </w:t>
      </w:r>
      <w:r w:rsidR="00B221C9">
        <w:t>“</w:t>
      </w:r>
      <w:r w:rsidR="00B20B59" w:rsidRPr="00281C38">
        <w:t>tied to a machine</w:t>
      </w:r>
      <w:r w:rsidR="00B221C9">
        <w:t>”</w:t>
      </w:r>
      <w:r w:rsidR="009E41BE" w:rsidRPr="00281C38">
        <w:t>.</w:t>
      </w:r>
      <w:r w:rsidR="004E1D8B" w:rsidRPr="00281C38">
        <w:t xml:space="preserve">  </w:t>
      </w:r>
    </w:p>
    <w:p w:rsidR="009E41BE" w:rsidRPr="00281C38" w:rsidRDefault="009E41BE" w:rsidP="009E41BE">
      <w:pPr>
        <w:pStyle w:val="ParaNumbering"/>
      </w:pPr>
      <w:r w:rsidRPr="00281C38">
        <w:t xml:space="preserve">Ultimately, I consider that </w:t>
      </w:r>
      <w:r w:rsidR="00EF5369" w:rsidRPr="00281C38">
        <w:t xml:space="preserve">the </w:t>
      </w:r>
      <w:r w:rsidRPr="00281C38">
        <w:t xml:space="preserve">distinction </w:t>
      </w:r>
      <w:r w:rsidR="00EF5369" w:rsidRPr="00281C38">
        <w:t xml:space="preserve">sought to be drawn between a method claim and a </w:t>
      </w:r>
      <w:r w:rsidR="00B221C9">
        <w:t>‘</w:t>
      </w:r>
      <w:r w:rsidR="00EF5369" w:rsidRPr="00281C38">
        <w:t>method and device</w:t>
      </w:r>
      <w:r w:rsidR="00B221C9">
        <w:t>’</w:t>
      </w:r>
      <w:r w:rsidR="00EF5369" w:rsidRPr="00281C38">
        <w:t xml:space="preserve"> claim </w:t>
      </w:r>
      <w:r w:rsidRPr="00281C38">
        <w:t>does little to advance the Commissioner</w:t>
      </w:r>
      <w:r w:rsidR="00B221C9">
        <w:t>’</w:t>
      </w:r>
      <w:r w:rsidRPr="00281C38">
        <w:t xml:space="preserve">s case.  </w:t>
      </w:r>
      <w:r w:rsidR="00EF5369" w:rsidRPr="00281C38">
        <w:t xml:space="preserve">On this issue, </w:t>
      </w:r>
      <w:r w:rsidRPr="00281C38">
        <w:t xml:space="preserve">RPL submitted that </w:t>
      </w:r>
      <w:r w:rsidRPr="00281C38">
        <w:rPr>
          <w:i/>
        </w:rPr>
        <w:t>Catuity</w:t>
      </w:r>
      <w:r w:rsidRPr="00281C38">
        <w:t xml:space="preserve"> did not involve a method and device claim, but rather, involved a claim to a method which operated via physical devices (such as a smart card).  This was said to be conceptually indistinguishable from the present situation, where claims</w:t>
      </w:r>
      <w:r w:rsidR="00D71E20">
        <w:t> </w:t>
      </w:r>
      <w:r w:rsidRPr="00281C38">
        <w:t xml:space="preserve">1 to 4 of the Patent are to a method which is implemented via a computing system.  RPL </w:t>
      </w:r>
      <w:r w:rsidR="002B71E0">
        <w:t xml:space="preserve">further </w:t>
      </w:r>
      <w:r w:rsidRPr="00281C38">
        <w:t xml:space="preserve">relied on the statements made by Heerey J in </w:t>
      </w:r>
      <w:r w:rsidRPr="00281C38">
        <w:rPr>
          <w:i/>
        </w:rPr>
        <w:t>Catuity</w:t>
      </w:r>
      <w:r w:rsidRPr="00281C38">
        <w:t xml:space="preserve"> to the effect that he considered the situation facing him to be indistinguishable from that confronting the Full Court in </w:t>
      </w:r>
      <w:r w:rsidRPr="00281C38">
        <w:rPr>
          <w:i/>
        </w:rPr>
        <w:t>CCOM</w:t>
      </w:r>
      <w:r w:rsidRPr="00281C38">
        <w:t xml:space="preserve"> (at </w:t>
      </w:r>
      <w:r w:rsidR="003177E0" w:rsidRPr="00281C38">
        <w:t xml:space="preserve">137 </w:t>
      </w:r>
      <w:r w:rsidRPr="00281C38">
        <w:t xml:space="preserve">[128]).  </w:t>
      </w:r>
      <w:r w:rsidR="00F22D22" w:rsidRPr="00281C38">
        <w:t>RPL submitted that e</w:t>
      </w:r>
      <w:r w:rsidR="003177E0" w:rsidRPr="00281C38">
        <w:t xml:space="preserve">ach of </w:t>
      </w:r>
      <w:r w:rsidR="00F22D22" w:rsidRPr="00281C38">
        <w:t xml:space="preserve">the inventions in </w:t>
      </w:r>
      <w:r w:rsidR="003177E0" w:rsidRPr="00281C38">
        <w:rPr>
          <w:i/>
        </w:rPr>
        <w:t>IBM</w:t>
      </w:r>
      <w:r w:rsidR="009F004E">
        <w:rPr>
          <w:i/>
        </w:rPr>
        <w:t xml:space="preserve"> </w:t>
      </w:r>
      <w:r w:rsidR="009F004E">
        <w:t>(1991) 33 FCR 218</w:t>
      </w:r>
      <w:r w:rsidR="003177E0" w:rsidRPr="00281C38">
        <w:t xml:space="preserve">, </w:t>
      </w:r>
      <w:r w:rsidR="003177E0" w:rsidRPr="00281C38">
        <w:rPr>
          <w:i/>
        </w:rPr>
        <w:t>CCOM</w:t>
      </w:r>
      <w:r w:rsidR="003177E0" w:rsidRPr="00281C38">
        <w:t xml:space="preserve"> and </w:t>
      </w:r>
      <w:r w:rsidR="003177E0" w:rsidRPr="00281C38">
        <w:rPr>
          <w:i/>
        </w:rPr>
        <w:t>State Street</w:t>
      </w:r>
      <w:r w:rsidR="003177E0" w:rsidRPr="00281C38">
        <w:t xml:space="preserve"> </w:t>
      </w:r>
      <w:r w:rsidR="00F22D22" w:rsidRPr="00281C38">
        <w:t xml:space="preserve">claimed methods that operated in a physical medium of a computer, and all were found to be patentable.  </w:t>
      </w:r>
      <w:r w:rsidRPr="00281C38">
        <w:t xml:space="preserve">I accept these submissions. </w:t>
      </w:r>
      <w:r w:rsidR="00475410" w:rsidRPr="00281C38">
        <w:t xml:space="preserve"> </w:t>
      </w:r>
      <w:r w:rsidR="009B3672" w:rsidRPr="00281C38">
        <w:t xml:space="preserve">Further, I am not aware of any binding Australian authority that provides a different test for a method claim as opposed to a </w:t>
      </w:r>
      <w:r w:rsidR="00B221C9">
        <w:t>‘</w:t>
      </w:r>
      <w:r w:rsidR="009B3672" w:rsidRPr="00281C38">
        <w:t>method and device</w:t>
      </w:r>
      <w:r w:rsidR="00B221C9">
        <w:t>’</w:t>
      </w:r>
      <w:r w:rsidR="009B3672" w:rsidRPr="00281C38">
        <w:t xml:space="preserve"> claim.</w:t>
      </w:r>
    </w:p>
    <w:p w:rsidR="00C53420" w:rsidRPr="00281C38" w:rsidRDefault="00CC149C" w:rsidP="00C53420">
      <w:pPr>
        <w:pStyle w:val="ParaNumbering"/>
      </w:pPr>
      <w:r>
        <w:t>T</w:t>
      </w:r>
      <w:r w:rsidR="002B71E0">
        <w:t xml:space="preserve">here may be </w:t>
      </w:r>
      <w:r>
        <w:t xml:space="preserve">some </w:t>
      </w:r>
      <w:r w:rsidR="002B71E0">
        <w:t xml:space="preserve">uncertainty about the </w:t>
      </w:r>
      <w:r>
        <w:t xml:space="preserve">scope of the </w:t>
      </w:r>
      <w:r w:rsidR="002B71E0">
        <w:t>physical effect requirement in the manner of manufacture analysis</w:t>
      </w:r>
      <w:r>
        <w:t xml:space="preserve"> in Australian law.</w:t>
      </w:r>
      <w:r w:rsidR="002B71E0">
        <w:t xml:space="preserve"> </w:t>
      </w:r>
      <w:r>
        <w:t xml:space="preserve"> In </w:t>
      </w:r>
      <w:r w:rsidR="00C53420" w:rsidRPr="00281C38">
        <w:t>applying Morton J</w:t>
      </w:r>
      <w:r w:rsidR="00B221C9">
        <w:t>’</w:t>
      </w:r>
      <w:r w:rsidR="00C53420" w:rsidRPr="00281C38">
        <w:t>s test</w:t>
      </w:r>
      <w:r w:rsidR="002B71E0">
        <w:t xml:space="preserve"> in </w:t>
      </w:r>
      <w:r w:rsidRPr="00CC149C">
        <w:rPr>
          <w:i/>
        </w:rPr>
        <w:t>NRDC</w:t>
      </w:r>
      <w:r w:rsidR="00C53420" w:rsidRPr="00281C38">
        <w:t xml:space="preserve">, </w:t>
      </w:r>
      <w:r w:rsidR="00C53420" w:rsidRPr="00281C38">
        <w:lastRenderedPageBreak/>
        <w:t xml:space="preserve">the </w:t>
      </w:r>
      <w:r>
        <w:t xml:space="preserve">High </w:t>
      </w:r>
      <w:r w:rsidR="00C53420" w:rsidRPr="00281C38">
        <w:t xml:space="preserve">Court identified the requirement </w:t>
      </w:r>
      <w:r>
        <w:t xml:space="preserve">of “any </w:t>
      </w:r>
      <w:r w:rsidR="00C53420" w:rsidRPr="00281C38">
        <w:t>physical phenomenon</w:t>
      </w:r>
      <w:r>
        <w:t>”</w:t>
      </w:r>
      <w:r w:rsidR="00C53420" w:rsidRPr="00281C38">
        <w:t xml:space="preserve"> in which the new and useful effect may be observed (at 276).  This was then developed by the Full Court</w:t>
      </w:r>
      <w:r w:rsidR="00DC7991" w:rsidRPr="00281C38">
        <w:t xml:space="preserve"> in </w:t>
      </w:r>
      <w:r w:rsidR="00DC7991" w:rsidRPr="002B71E0">
        <w:rPr>
          <w:i/>
        </w:rPr>
        <w:t>Grant</w:t>
      </w:r>
      <w:r w:rsidR="00DC7991" w:rsidRPr="00281C38">
        <w:t>, where</w:t>
      </w:r>
      <w:r w:rsidR="00C53420" w:rsidRPr="00281C38">
        <w:t xml:space="preserve"> </w:t>
      </w:r>
      <w:r w:rsidR="00CC5B09">
        <w:t xml:space="preserve">it was </w:t>
      </w:r>
      <w:r w:rsidR="00C53420" w:rsidRPr="00281C38">
        <w:t xml:space="preserve">held that </w:t>
      </w:r>
      <w:r w:rsidR="00DC7991" w:rsidRPr="00281C38">
        <w:t>the physical effect required is a concrete effect, phenomenon, manifestation or transformation (at 70 [32])</w:t>
      </w:r>
      <w:r w:rsidR="00C53420" w:rsidRPr="00281C38">
        <w:t xml:space="preserve">.  </w:t>
      </w:r>
      <w:r w:rsidR="00CC5B09">
        <w:t xml:space="preserve">They clearly import a physicality consideration, and do not appear to distinguish between different types of claims in doing so (method claims or otherwise).  </w:t>
      </w:r>
      <w:r w:rsidR="00C53420" w:rsidRPr="00281C38">
        <w:t xml:space="preserve">To the extent that the Commissioner sought to rely on the comments of Heerey J in </w:t>
      </w:r>
      <w:r w:rsidR="00C53420" w:rsidRPr="00281C38">
        <w:rPr>
          <w:i/>
        </w:rPr>
        <w:t>Catuity</w:t>
      </w:r>
      <w:r w:rsidR="00C53420" w:rsidRPr="00281C38">
        <w:t xml:space="preserve"> on this issue, I note that his Honour was dealing with the submission that </w:t>
      </w:r>
      <w:r w:rsidR="00C53420" w:rsidRPr="00787363">
        <w:rPr>
          <w:i/>
        </w:rPr>
        <w:t>CCOM</w:t>
      </w:r>
      <w:r w:rsidR="00C53420" w:rsidRPr="00281C38">
        <w:t xml:space="preserve"> was distinguishable from the case </w:t>
      </w:r>
      <w:r w:rsidR="00CC5B09">
        <w:t xml:space="preserve">before his Honour </w:t>
      </w:r>
      <w:r w:rsidR="00C53420" w:rsidRPr="00281C38">
        <w:t xml:space="preserve">due to a supposed lack of </w:t>
      </w:r>
      <w:r w:rsidR="00B221C9">
        <w:t>“</w:t>
      </w:r>
      <w:r w:rsidR="00C53420" w:rsidRPr="00281C38">
        <w:t>physically observable effect</w:t>
      </w:r>
      <w:r w:rsidR="00B221C9">
        <w:t>”</w:t>
      </w:r>
      <w:r w:rsidR="00C53420" w:rsidRPr="00281C38">
        <w:t xml:space="preserve"> (at 137 [128]).  His Honour</w:t>
      </w:r>
      <w:r w:rsidR="00B221C9">
        <w:t>’</w:t>
      </w:r>
      <w:r w:rsidR="00C53420" w:rsidRPr="00281C38">
        <w:t xml:space="preserve">s comments to the effect that </w:t>
      </w:r>
      <w:r w:rsidR="00DC7991" w:rsidRPr="00281C38">
        <w:t>this</w:t>
      </w:r>
      <w:r w:rsidR="00C53420" w:rsidRPr="00281C38">
        <w:t xml:space="preserve"> expression does not appear in </w:t>
      </w:r>
      <w:r w:rsidR="00C53420" w:rsidRPr="00281C38">
        <w:rPr>
          <w:i/>
        </w:rPr>
        <w:t>CCOM</w:t>
      </w:r>
      <w:r w:rsidR="00C53420" w:rsidRPr="00281C38">
        <w:t xml:space="preserve">, and that he did not accept that </w:t>
      </w:r>
      <w:r w:rsidR="00DC7991" w:rsidRPr="00281C38">
        <w:t xml:space="preserve">such an effect </w:t>
      </w:r>
      <w:r w:rsidR="00C53420" w:rsidRPr="00281C38">
        <w:t>was necessarily required</w:t>
      </w:r>
      <w:r w:rsidR="00DC7991" w:rsidRPr="00281C38">
        <w:t xml:space="preserve"> in that case</w:t>
      </w:r>
      <w:r w:rsidR="00C53420" w:rsidRPr="00281C38">
        <w:t>, should</w:t>
      </w:r>
      <w:r w:rsidR="00DC7991" w:rsidRPr="00281C38">
        <w:t>,</w:t>
      </w:r>
      <w:r w:rsidR="00C53420" w:rsidRPr="00281C38">
        <w:t xml:space="preserve"> I think</w:t>
      </w:r>
      <w:r w:rsidR="00DC7991" w:rsidRPr="00281C38">
        <w:t>,</w:t>
      </w:r>
      <w:r w:rsidR="00C53420" w:rsidRPr="00281C38">
        <w:t xml:space="preserve"> be read as being confined to </w:t>
      </w:r>
      <w:r w:rsidR="005667F7" w:rsidRPr="00281C38">
        <w:t>his Honour</w:t>
      </w:r>
      <w:r w:rsidR="00B221C9">
        <w:t>’</w:t>
      </w:r>
      <w:r w:rsidR="005667F7" w:rsidRPr="00281C38">
        <w:t xml:space="preserve">s treatment of </w:t>
      </w:r>
      <w:r w:rsidR="00C53420" w:rsidRPr="00281C38">
        <w:rPr>
          <w:i/>
        </w:rPr>
        <w:t>CCOM</w:t>
      </w:r>
      <w:r w:rsidR="005667F7" w:rsidRPr="00281C38">
        <w:rPr>
          <w:i/>
        </w:rPr>
        <w:t xml:space="preserve"> </w:t>
      </w:r>
      <w:r w:rsidR="005667F7" w:rsidRPr="00281C38">
        <w:t>(rather than being principles relating to the manner of manufacture inquiry more generally)</w:t>
      </w:r>
      <w:r w:rsidR="00C53420" w:rsidRPr="00281C38">
        <w:t xml:space="preserve">.  </w:t>
      </w:r>
    </w:p>
    <w:p w:rsidR="004D57E7" w:rsidRDefault="004D57E7" w:rsidP="00196306">
      <w:pPr>
        <w:pStyle w:val="ParaNumbering"/>
      </w:pPr>
      <w:r>
        <w:t>I now return to the claims, particularly claim 1.</w:t>
      </w:r>
    </w:p>
    <w:p w:rsidR="00196306" w:rsidRPr="00281C38" w:rsidRDefault="004D57E7" w:rsidP="00196306">
      <w:pPr>
        <w:pStyle w:val="ParaNumbering"/>
      </w:pPr>
      <w:r>
        <w:t xml:space="preserve">As </w:t>
      </w:r>
      <w:r w:rsidR="00196306" w:rsidRPr="00281C38">
        <w:t xml:space="preserve">previously summarised, the invention embodied by claim </w:t>
      </w:r>
      <w:r>
        <w:t xml:space="preserve">1 </w:t>
      </w:r>
      <w:r w:rsidR="00196306" w:rsidRPr="00281C38">
        <w:t xml:space="preserve">enables the retrieval of relevant data from a remotely located server via the internet (step 1 of claim 1), and the generation of questions for and presentation of questions to the user based on this data (steps 2 and 3 of claim 1).  The effect of this process is experienced by the </w:t>
      </w:r>
      <w:r w:rsidR="00816CC1">
        <w:t xml:space="preserve">individual </w:t>
      </w:r>
      <w:r w:rsidR="00196306" w:rsidRPr="00281C38">
        <w:t>u</w:t>
      </w:r>
      <w:r w:rsidR="00CC5B09">
        <w:t>ser on their computer.  The</w:t>
      </w:r>
      <w:r w:rsidR="00196306" w:rsidRPr="00281C38">
        <w:t xml:space="preserve"> user is then able to respond to these questions, which </w:t>
      </w:r>
      <w:r w:rsidR="00816CC1">
        <w:t xml:space="preserve">responses </w:t>
      </w:r>
      <w:r w:rsidR="00196306" w:rsidRPr="00281C38">
        <w:t xml:space="preserve">are transferred to the assessment server (step 4 of claim 1).  </w:t>
      </w:r>
      <w:r w:rsidR="00CC5B09">
        <w:t xml:space="preserve">The same can broadly be said of claim 5, the system </w:t>
      </w:r>
      <w:r w:rsidR="00CC5B09" w:rsidRPr="00015B7A">
        <w:t>claim.</w:t>
      </w:r>
      <w:r w:rsidRPr="00015B7A">
        <w:t xml:space="preserve">  It is important to note that the involvement of the computer </w:t>
      </w:r>
      <w:r w:rsidR="00015B7A">
        <w:t xml:space="preserve">in the invention </w:t>
      </w:r>
      <w:r w:rsidRPr="00015B7A">
        <w:t xml:space="preserve">is described in these claims </w:t>
      </w:r>
      <w:r w:rsidR="00015B7A">
        <w:t xml:space="preserve">in such a manner </w:t>
      </w:r>
      <w:r w:rsidRPr="00015B7A">
        <w:t>that it is inextricably linked with the invention itself.</w:t>
      </w:r>
      <w:r>
        <w:t xml:space="preserve"> </w:t>
      </w:r>
    </w:p>
    <w:p w:rsidR="00196306" w:rsidRPr="00281C38" w:rsidRDefault="00816CC1" w:rsidP="00196306">
      <w:pPr>
        <w:pStyle w:val="ParaNumbering"/>
      </w:pPr>
      <w:r>
        <w:t xml:space="preserve">To illustrate the artificial effect created by the claims in question, it is useful to summarise the key aspects of the invention as articulated by RPL.  </w:t>
      </w:r>
      <w:r w:rsidR="00196306" w:rsidRPr="00281C38">
        <w:t xml:space="preserve">RPL </w:t>
      </w:r>
      <w:r>
        <w:t xml:space="preserve">submitted </w:t>
      </w:r>
      <w:r w:rsidR="00196306" w:rsidRPr="00281C38">
        <w:t xml:space="preserve">that overall, the invention comprises a method and a system including, in practice, programmed computers operating together and employing data communications within a networked environment.  A pre-existing server computer stores information pertinent to a recognised qualification standard.  Another computer, specifically programmed to operate in accordance with the teaching of the Patent, retrieves the stored information by conducting data communications transactions via the internet.  In the absence of the specific programming, this feature exists only in the general sense that the stored information may be accessed via the internet, although it is not made available for the purposes disclosed in the Patent.  It is therefore a function of the computer, as taught by the Patent, to retrieve salient information for further processing.  </w:t>
      </w:r>
    </w:p>
    <w:p w:rsidR="00196306" w:rsidRPr="00281C38" w:rsidRDefault="00196306" w:rsidP="00196306">
      <w:pPr>
        <w:pStyle w:val="ParaNumbering"/>
      </w:pPr>
      <w:r w:rsidRPr="00281C38">
        <w:t xml:space="preserve">The computer programmed in accordance with the Patent further operates to process the retrieved information and to </w:t>
      </w:r>
      <w:r w:rsidR="00816CC1">
        <w:t xml:space="preserve">automatically </w:t>
      </w:r>
      <w:r w:rsidRPr="00281C38">
        <w:t>generate data comprising an alternate means of presentation.  This alternate means comprises a series of questions which can be presented to an individual user along with user interface elements which implement an online form suitable for the receipt of responses to those questions.  An assessment server is programmed, again according to the teaching of the Patent, to present the form to the computer of an individual user, who preferably requires only conventional web browser software to access the assessment server via the internet.  In particular, the form provides not only for user-entered responses, but also for upload of one or more files stored on the user</w:t>
      </w:r>
      <w:r w:rsidR="00B221C9">
        <w:t>’</w:t>
      </w:r>
      <w:r w:rsidRPr="00281C38">
        <w:t>s computer which may comprise, for example, evidence of the user</w:t>
      </w:r>
      <w:r w:rsidR="00B221C9">
        <w:t>’</w:t>
      </w:r>
      <w:r w:rsidRPr="00281C38">
        <w:t>s competency with regard to the recognised qualification standard.  This access to an online form occurs as a result of the retrieval, processing and presentation steps being conducted according to the teaching of the Patent.</w:t>
      </w:r>
    </w:p>
    <w:p w:rsidR="00196306" w:rsidRPr="00281C38" w:rsidRDefault="00196306" w:rsidP="00196306">
      <w:pPr>
        <w:pStyle w:val="ParaNumbering"/>
      </w:pPr>
      <w:r w:rsidRPr="00281C38">
        <w:t xml:space="preserve">RPL submitted that this process is reflected in the claims, and there is clearly a </w:t>
      </w:r>
      <w:r w:rsidR="00B221C9">
        <w:t>‘</w:t>
      </w:r>
      <w:r w:rsidRPr="00281C38">
        <w:t>p</w:t>
      </w:r>
      <w:r w:rsidR="009421B1" w:rsidRPr="00281C38">
        <w:t>hysical effect</w:t>
      </w:r>
      <w:r w:rsidR="00B221C9">
        <w:t>’</w:t>
      </w:r>
      <w:r w:rsidR="009421B1" w:rsidRPr="00281C38">
        <w:t xml:space="preserve"> in the method disclosed by</w:t>
      </w:r>
      <w:r w:rsidRPr="00281C38">
        <w:t xml:space="preserve"> the Patent, given that each step involves computer implementation and the transfer and transformation of data.  Specifically, it was submitted that the claims of the Patent define a method of operating over an interconnected system where there is a transfer of inform</w:t>
      </w:r>
      <w:r w:rsidR="00F77B3A">
        <w:t>ation between destinations (ie</w:t>
      </w:r>
      <w:r w:rsidRPr="00281C38">
        <w:t xml:space="preserve"> competing nodes).  This transfer results in a physical manipulation of data stored on the computers resulting in a physical effect.  Therefore, for example, the retrieval from a remotely-located server by the computer via the internet as described in claim 1 results in the creation of a physical effect by the writing of data in that computer.  </w:t>
      </w:r>
    </w:p>
    <w:p w:rsidR="00196306" w:rsidRPr="00281C38" w:rsidRDefault="00010F68" w:rsidP="00196306">
      <w:pPr>
        <w:pStyle w:val="ParaNumbering"/>
      </w:pPr>
      <w:r w:rsidRPr="00281C38">
        <w:t>I</w:t>
      </w:r>
      <w:r w:rsidR="00987371">
        <w:t xml:space="preserve"> am satisfied that i</w:t>
      </w:r>
      <w:r w:rsidRPr="00281C38">
        <w:t>t is apparent on the face of the specification that e</w:t>
      </w:r>
      <w:r w:rsidR="00196306" w:rsidRPr="00281C38">
        <w:t xml:space="preserve">ach of the steps of the method defined by claim 1 </w:t>
      </w:r>
      <w:r w:rsidR="00987371">
        <w:t xml:space="preserve">and the system defined by claim 5 </w:t>
      </w:r>
      <w:r w:rsidR="00196306" w:rsidRPr="00281C38">
        <w:t xml:space="preserve">requires or involves a computer-generated process.  </w:t>
      </w:r>
      <w:r w:rsidRPr="00281C38">
        <w:t>As just described, t</w:t>
      </w:r>
      <w:r w:rsidR="00196306" w:rsidRPr="00281C38">
        <w:t xml:space="preserve">here are accordingly a number of physical effects which occur in implementing the invention defined by the claims.  </w:t>
      </w:r>
      <w:r w:rsidRPr="00281C38">
        <w:t xml:space="preserve"> I further find that each of the computer-effected steps of the invention constitute</w:t>
      </w:r>
      <w:r w:rsidR="00987371">
        <w:t>s or gives rise to</w:t>
      </w:r>
      <w:r w:rsidRPr="00281C38">
        <w:t xml:space="preserve"> a change in state or information in a part of a machine, and therefore </w:t>
      </w:r>
      <w:r w:rsidR="00987371">
        <w:t xml:space="preserve">produces </w:t>
      </w:r>
      <w:r w:rsidRPr="00281C38">
        <w:t>a physical effect in the sense of a concrete effect or phenomenon or manifestation or transformation (</w:t>
      </w:r>
      <w:r w:rsidRPr="00281C38">
        <w:rPr>
          <w:i/>
        </w:rPr>
        <w:t>Grant</w:t>
      </w:r>
      <w:r w:rsidR="002103D2" w:rsidRPr="00281C38">
        <w:t xml:space="preserve"> </w:t>
      </w:r>
      <w:r w:rsidRPr="00281C38">
        <w:t xml:space="preserve">at </w:t>
      </w:r>
      <w:r w:rsidR="00987371">
        <w:t xml:space="preserve">70 </w:t>
      </w:r>
      <w:r w:rsidRPr="00281C38">
        <w:t xml:space="preserve">[32]).  </w:t>
      </w:r>
      <w:r w:rsidR="00196306" w:rsidRPr="00281C38">
        <w:t xml:space="preserve">For example, whether a wizard is involved or not, the generation of questions for and presentation of questions to the user creates an artificial state of affairs in their computer (in that there is a retrieval and transformation of data into questions, and a corresponding change in state or information a part of a machine).  </w:t>
      </w:r>
      <w:r w:rsidR="00816CC1">
        <w:t xml:space="preserve">Arguably, a further artificial state of affairs is created when the individual user inputs their responses, and these are sent to the RTO.  </w:t>
      </w:r>
      <w:r w:rsidR="009435DE">
        <w:t xml:space="preserve">Both of these events are examples of </w:t>
      </w:r>
      <w:r w:rsidR="00196306" w:rsidRPr="00281C38">
        <w:t xml:space="preserve">a physical phenomenon in which the effect of the invention may be observed (as required by </w:t>
      </w:r>
      <w:r w:rsidR="00196306" w:rsidRPr="00281C38">
        <w:rPr>
          <w:i/>
        </w:rPr>
        <w:t>NRDC</w:t>
      </w:r>
      <w:r w:rsidR="00196306" w:rsidRPr="00281C38">
        <w:t xml:space="preserve">).  </w:t>
      </w:r>
    </w:p>
    <w:p w:rsidR="00196306" w:rsidRPr="00281C38" w:rsidRDefault="00196306" w:rsidP="00196306">
      <w:pPr>
        <w:pStyle w:val="ParaNumbering"/>
      </w:pPr>
      <w:r w:rsidRPr="00281C38">
        <w:t xml:space="preserve">In my view, these effects are in the same category as existing inventions previously held by courts of this country to be patentable according to the </w:t>
      </w:r>
      <w:r w:rsidRPr="00281C38">
        <w:rPr>
          <w:i/>
        </w:rPr>
        <w:t>NRDC</w:t>
      </w:r>
      <w:r w:rsidRPr="00281C38">
        <w:t xml:space="preserve"> principles: for example, the curve on a computer screen in </w:t>
      </w:r>
      <w:r w:rsidRPr="00281C38">
        <w:rPr>
          <w:i/>
        </w:rPr>
        <w:t>IBM</w:t>
      </w:r>
      <w:r w:rsidR="009F004E">
        <w:rPr>
          <w:i/>
        </w:rPr>
        <w:t xml:space="preserve"> </w:t>
      </w:r>
      <w:r w:rsidR="009F004E">
        <w:t>(1991) 33 FCR 218</w:t>
      </w:r>
      <w:r w:rsidRPr="00281C38">
        <w:t xml:space="preserve">, the Chinese characters represented on a </w:t>
      </w:r>
      <w:r w:rsidR="00C823F1">
        <w:t xml:space="preserve">computer </w:t>
      </w:r>
      <w:r w:rsidRPr="00281C38">
        <w:t xml:space="preserve">screen </w:t>
      </w:r>
      <w:r w:rsidR="00C823F1">
        <w:t xml:space="preserve">for word processing </w:t>
      </w:r>
      <w:r w:rsidRPr="00281C38">
        <w:t xml:space="preserve">in </w:t>
      </w:r>
      <w:r w:rsidRPr="00281C38">
        <w:rPr>
          <w:i/>
        </w:rPr>
        <w:t>CCOM</w:t>
      </w:r>
      <w:r w:rsidRPr="00281C38">
        <w:t xml:space="preserve">, and the writing of data onto a smart card in </w:t>
      </w:r>
      <w:r w:rsidRPr="00281C38">
        <w:rPr>
          <w:i/>
        </w:rPr>
        <w:t>Catuity</w:t>
      </w:r>
      <w:r w:rsidRPr="00281C38">
        <w:t xml:space="preserve">.  I consider that the invention in this case can be distinguished from that in issue in </w:t>
      </w:r>
      <w:r w:rsidRPr="00281C38">
        <w:rPr>
          <w:i/>
        </w:rPr>
        <w:t>Grant</w:t>
      </w:r>
      <w:r w:rsidRPr="00281C38">
        <w:t xml:space="preserve">, which truly was </w:t>
      </w:r>
      <w:r w:rsidR="00B221C9">
        <w:t>“</w:t>
      </w:r>
      <w:r w:rsidRPr="00281C38">
        <w:t>a mere scheme, an abstract idea, mere intellectual information</w:t>
      </w:r>
      <w:r w:rsidR="00B221C9">
        <w:t>”</w:t>
      </w:r>
      <w:r w:rsidRPr="00281C38">
        <w:t xml:space="preserve"> with no </w:t>
      </w:r>
      <w:r w:rsidR="009435DE">
        <w:t xml:space="preserve">relevant </w:t>
      </w:r>
      <w:r w:rsidRPr="00281C38">
        <w:t>physical effect</w:t>
      </w:r>
      <w:r w:rsidR="009435DE">
        <w:t xml:space="preserve"> whatsoever</w:t>
      </w:r>
      <w:r w:rsidRPr="00281C38">
        <w:t xml:space="preserve">.  Such a thing has never been held to be patentable.  There is clearly a physical effect in this case, as there is a component that has been physically affected, or a </w:t>
      </w:r>
      <w:r w:rsidR="00B221C9">
        <w:t>“</w:t>
      </w:r>
      <w:r w:rsidRPr="00281C38">
        <w:t>change in state or information in a part of a machine</w:t>
      </w:r>
      <w:r w:rsidR="00B221C9">
        <w:t>”</w:t>
      </w:r>
      <w:r w:rsidRPr="00281C38">
        <w:t xml:space="preserve"> (</w:t>
      </w:r>
      <w:r w:rsidRPr="00C823F1">
        <w:rPr>
          <w:i/>
        </w:rPr>
        <w:t>Grant</w:t>
      </w:r>
      <w:r w:rsidRPr="00281C38">
        <w:t xml:space="preserve"> </w:t>
      </w:r>
      <w:r w:rsidR="00C823F1">
        <w:t xml:space="preserve">at </w:t>
      </w:r>
      <w:r w:rsidRPr="00281C38">
        <w:t xml:space="preserve">70 [32]).  The Commissioner submitted that this </w:t>
      </w:r>
      <w:r w:rsidR="009435DE">
        <w:t>phrase</w:t>
      </w:r>
      <w:r w:rsidR="009435DE" w:rsidRPr="00281C38">
        <w:t xml:space="preserve"> </w:t>
      </w:r>
      <w:r w:rsidRPr="00281C38">
        <w:t xml:space="preserve">did not form part of the ratio decidendi in </w:t>
      </w:r>
      <w:r w:rsidRPr="00C823F1">
        <w:rPr>
          <w:i/>
        </w:rPr>
        <w:t>Grant</w:t>
      </w:r>
      <w:r w:rsidRPr="00281C38">
        <w:t>, as that case did not involve a computer</w:t>
      </w:r>
      <w:r w:rsidR="00F57B06">
        <w:t>,</w:t>
      </w:r>
      <w:r w:rsidRPr="00281C38">
        <w:t xml:space="preserve"> and in employing that expression, the Full Court were merely summarising the effect of </w:t>
      </w:r>
      <w:r w:rsidRPr="00281C38">
        <w:rPr>
          <w:i/>
        </w:rPr>
        <w:t>Catuity</w:t>
      </w:r>
      <w:r w:rsidRPr="00281C38">
        <w:t xml:space="preserve">, </w:t>
      </w:r>
      <w:r w:rsidRPr="00281C38">
        <w:rPr>
          <w:i/>
        </w:rPr>
        <w:t>CCOM</w:t>
      </w:r>
      <w:r w:rsidRPr="00281C38">
        <w:t xml:space="preserve">, </w:t>
      </w:r>
      <w:r w:rsidRPr="00281C38">
        <w:rPr>
          <w:i/>
        </w:rPr>
        <w:t>State Street</w:t>
      </w:r>
      <w:r w:rsidRPr="00281C38">
        <w:t xml:space="preserve"> and </w:t>
      </w:r>
      <w:r w:rsidRPr="00281C38">
        <w:rPr>
          <w:i/>
        </w:rPr>
        <w:t>AT&amp;T</w:t>
      </w:r>
      <w:r w:rsidRPr="00281C38">
        <w:t xml:space="preserve">.  That may be </w:t>
      </w:r>
      <w:r w:rsidR="001E29CF">
        <w:t>correct</w:t>
      </w:r>
      <w:r w:rsidR="009421B1" w:rsidRPr="00281C38">
        <w:t>.  Nonetheless, I consider the statement</w:t>
      </w:r>
      <w:r w:rsidRPr="00281C38">
        <w:t xml:space="preserve"> to be a useful précis of the way in which the artificial state of affairs requirement </w:t>
      </w:r>
      <w:r w:rsidR="009435DE">
        <w:t xml:space="preserve">may apply </w:t>
      </w:r>
      <w:r w:rsidRPr="00281C38">
        <w:t xml:space="preserve">to computer programs, in accordance with the principles set out by the High Court in </w:t>
      </w:r>
      <w:r w:rsidRPr="00787363">
        <w:rPr>
          <w:i/>
        </w:rPr>
        <w:t>NRDC</w:t>
      </w:r>
      <w:r w:rsidRPr="00281C38">
        <w:t xml:space="preserve"> and the Full Courts in </w:t>
      </w:r>
      <w:r w:rsidRPr="00787363">
        <w:rPr>
          <w:i/>
        </w:rPr>
        <w:t>CCOM</w:t>
      </w:r>
      <w:r w:rsidRPr="00281C38">
        <w:t xml:space="preserve"> and </w:t>
      </w:r>
      <w:r w:rsidRPr="00787363">
        <w:rPr>
          <w:i/>
        </w:rPr>
        <w:t>Grant</w:t>
      </w:r>
      <w:r w:rsidR="009421B1" w:rsidRPr="00281C38">
        <w:t>, and so adopt it here</w:t>
      </w:r>
      <w:r w:rsidRPr="00281C38">
        <w:t xml:space="preserve">. </w:t>
      </w:r>
      <w:r w:rsidR="009421B1" w:rsidRPr="00281C38">
        <w:t xml:space="preserve"> </w:t>
      </w:r>
    </w:p>
    <w:p w:rsidR="0064195A" w:rsidRPr="00281C38" w:rsidRDefault="0064195A" w:rsidP="0064195A">
      <w:pPr>
        <w:pStyle w:val="ParaNumbering"/>
      </w:pPr>
      <w:r w:rsidRPr="00281C38">
        <w:t>This brings me to the Commissioner</w:t>
      </w:r>
      <w:r w:rsidR="00B221C9">
        <w:t>’</w:t>
      </w:r>
      <w:r w:rsidRPr="00281C38">
        <w:t xml:space="preserve">s argument that the physical effect required by the manner of manufacture analysis must be </w:t>
      </w:r>
      <w:r w:rsidR="00B221C9">
        <w:t>‘</w:t>
      </w:r>
      <w:r w:rsidRPr="00281C38">
        <w:t>significant</w:t>
      </w:r>
      <w:r w:rsidR="00B221C9">
        <w:t>’</w:t>
      </w:r>
      <w:r w:rsidRPr="00281C38">
        <w:t xml:space="preserve"> in that it is concrete, and also </w:t>
      </w:r>
      <w:r w:rsidR="00B221C9">
        <w:t>‘</w:t>
      </w:r>
      <w:r w:rsidRPr="00281C38">
        <w:t>central</w:t>
      </w:r>
      <w:r w:rsidR="00B221C9">
        <w:t>’</w:t>
      </w:r>
      <w:r w:rsidRPr="00281C38">
        <w:t xml:space="preserve"> to the purpose or operation of the claimed process</w:t>
      </w:r>
      <w:r w:rsidR="009435DE">
        <w:t>;</w:t>
      </w:r>
      <w:r w:rsidRPr="00281C38">
        <w:t xml:space="preserve"> or </w:t>
      </w:r>
      <w:r w:rsidR="009435DE">
        <w:t xml:space="preserve">that it </w:t>
      </w:r>
      <w:r w:rsidRPr="00281C38">
        <w:t xml:space="preserve">otherwise arises from the combination of steps of the method in a substantial way (as articulated by the </w:t>
      </w:r>
      <w:r w:rsidR="00F57B06">
        <w:t xml:space="preserve">Commissioner </w:t>
      </w:r>
      <w:r w:rsidRPr="00281C38">
        <w:t xml:space="preserve">at first instance).   </w:t>
      </w:r>
    </w:p>
    <w:p w:rsidR="0064195A" w:rsidRPr="00281C38" w:rsidRDefault="0064195A" w:rsidP="0064195A">
      <w:pPr>
        <w:pStyle w:val="ParaNumbering"/>
      </w:pPr>
      <w:r w:rsidRPr="00281C38">
        <w:t>It was submitted by the Commissioner that in this case, although the use of a computer facilitates the operation of the claimed method (and makes it faster or more convenient), the computer (or the physical effect involved in its use) is not central to the operation or purpose of the claimed process.  Rather, the Commissioner submitted, the information on the qualification and unit requirements and the information from individuals seeking assessment could be gathered by other means.  The computer is merely a common mechanism to carry out the method in a more convenient way.</w:t>
      </w:r>
    </w:p>
    <w:p w:rsidR="0064195A" w:rsidRPr="00281C38" w:rsidRDefault="0064195A" w:rsidP="0064195A">
      <w:pPr>
        <w:pStyle w:val="ParaNumbering"/>
      </w:pPr>
      <w:r w:rsidRPr="00281C38">
        <w:t xml:space="preserve">First, it must be said that I do not accept that the Australian decisions that are binding upon me in respect of this issue – </w:t>
      </w:r>
      <w:r w:rsidRPr="00281C38">
        <w:rPr>
          <w:i/>
        </w:rPr>
        <w:t>NRDC</w:t>
      </w:r>
      <w:r w:rsidRPr="00281C38">
        <w:t xml:space="preserve">, </w:t>
      </w:r>
      <w:r w:rsidRPr="00281C38">
        <w:rPr>
          <w:i/>
        </w:rPr>
        <w:t>CCOM</w:t>
      </w:r>
      <w:r w:rsidRPr="00281C38">
        <w:t xml:space="preserve"> and </w:t>
      </w:r>
      <w:r w:rsidRPr="00281C38">
        <w:rPr>
          <w:i/>
        </w:rPr>
        <w:t>Grant</w:t>
      </w:r>
      <w:r w:rsidRPr="00281C38">
        <w:t xml:space="preserve"> – </w:t>
      </w:r>
      <w:r w:rsidR="009435DE">
        <w:t xml:space="preserve">expressly </w:t>
      </w:r>
      <w:r w:rsidRPr="00281C38">
        <w:t>import any such requirement</w:t>
      </w:r>
      <w:r w:rsidR="00414255">
        <w:t xml:space="preserve"> of substantiality or centrality of physical effect</w:t>
      </w:r>
      <w:r w:rsidRPr="00281C38">
        <w:t xml:space="preserve">.  </w:t>
      </w:r>
      <w:r w:rsidR="00414255" w:rsidRPr="00281C38">
        <w:t xml:space="preserve">The Courts in those cases did not expressly identify a substantiality or qualitative assessment criterion as being part of the manner of manner of manufacture inquiry.  </w:t>
      </w:r>
      <w:r w:rsidRPr="00281C38">
        <w:t>Nor do I accept the Commissioner</w:t>
      </w:r>
      <w:r w:rsidR="00B221C9">
        <w:t>’</w:t>
      </w:r>
      <w:r w:rsidRPr="00281C38">
        <w:t xml:space="preserve">s submission that such a requirement is merely the function of the application of these decisions </w:t>
      </w:r>
      <w:r w:rsidR="00B221C9">
        <w:t>“</w:t>
      </w:r>
      <w:r w:rsidRPr="00281C38">
        <w:t>as properly understood</w:t>
      </w:r>
      <w:r w:rsidR="00B221C9">
        <w:t>”</w:t>
      </w:r>
      <w:r w:rsidRPr="00281C38">
        <w:t xml:space="preserve">.  The Commissioner also suggested that the Courts in </w:t>
      </w:r>
      <w:r w:rsidRPr="00281C38">
        <w:rPr>
          <w:i/>
        </w:rPr>
        <w:t>IBM</w:t>
      </w:r>
      <w:r w:rsidR="009F004E">
        <w:rPr>
          <w:i/>
        </w:rPr>
        <w:t xml:space="preserve"> </w:t>
      </w:r>
      <w:r w:rsidR="009F004E">
        <w:t>(1991) 33 FCR 218</w:t>
      </w:r>
      <w:r w:rsidRPr="00281C38">
        <w:t xml:space="preserve">, </w:t>
      </w:r>
      <w:r w:rsidRPr="00281C38">
        <w:rPr>
          <w:i/>
        </w:rPr>
        <w:t xml:space="preserve">CCOM </w:t>
      </w:r>
      <w:r w:rsidRPr="00281C38">
        <w:t xml:space="preserve">and </w:t>
      </w:r>
      <w:r w:rsidRPr="00281C38">
        <w:rPr>
          <w:i/>
        </w:rPr>
        <w:t>Catuity</w:t>
      </w:r>
      <w:r w:rsidRPr="00281C38">
        <w:t xml:space="preserve">, when confronted with a </w:t>
      </w:r>
      <w:r w:rsidR="00B221C9">
        <w:t>“</w:t>
      </w:r>
      <w:r w:rsidRPr="00281C38">
        <w:t>method linked to the operation of a machine</w:t>
      </w:r>
      <w:r w:rsidR="00B221C9">
        <w:t>”</w:t>
      </w:r>
      <w:r w:rsidRPr="00281C38">
        <w:t xml:space="preserve">, looked to the significance of the relationship between the method and the machine to decide whether the claimed invention was directed to a proper subject of letters patent.  If the Courts in those cases did such a thing, in my view, it was in the context of applying the relevant principles from </w:t>
      </w:r>
      <w:r w:rsidRPr="0048549D">
        <w:rPr>
          <w:i/>
        </w:rPr>
        <w:t>NRDC</w:t>
      </w:r>
      <w:r w:rsidRPr="00281C38">
        <w:t xml:space="preserve"> (most notably, the requirement of an artificial</w:t>
      </w:r>
      <w:r w:rsidR="006C0001">
        <w:t>ly created state of affairs</w:t>
      </w:r>
      <w:r w:rsidRPr="00281C38">
        <w:t xml:space="preserve">).  I do not accept that </w:t>
      </w:r>
      <w:r w:rsidR="00F57B06">
        <w:t xml:space="preserve">in doing so, </w:t>
      </w:r>
      <w:r w:rsidRPr="00281C38">
        <w:t xml:space="preserve">any of those decisions articulated a separate or new requirement of substantiality of physical effect.  </w:t>
      </w:r>
    </w:p>
    <w:p w:rsidR="00181072" w:rsidRPr="00281C38" w:rsidRDefault="00181072" w:rsidP="00181072">
      <w:pPr>
        <w:pStyle w:val="ParaNumbering"/>
      </w:pPr>
      <w:r w:rsidRPr="00281C38">
        <w:t xml:space="preserve">It was submitted by the Commissioner that if this – or some other – limiting principle does not apply, then any method operated on a computer will fulfil the artificial state of affairs requirement articulated by the Courts in </w:t>
      </w:r>
      <w:r w:rsidRPr="00D41C8D">
        <w:rPr>
          <w:i/>
        </w:rPr>
        <w:t>NRDC</w:t>
      </w:r>
      <w:r w:rsidRPr="00281C38">
        <w:t xml:space="preserve"> and </w:t>
      </w:r>
      <w:r w:rsidRPr="00D41C8D">
        <w:rPr>
          <w:i/>
        </w:rPr>
        <w:t>Grant</w:t>
      </w:r>
      <w:r w:rsidRPr="00281C38">
        <w:t xml:space="preserve">.  It was </w:t>
      </w:r>
      <w:r w:rsidR="00D13D47">
        <w:t xml:space="preserve">further </w:t>
      </w:r>
      <w:r w:rsidRPr="00281C38">
        <w:t xml:space="preserve">said that </w:t>
      </w:r>
      <w:r w:rsidR="00B221C9">
        <w:t>“</w:t>
      </w:r>
      <w:r w:rsidRPr="00281C38">
        <w:t>if a physical effect in the sense of a concrete effect or phenomenon or manifestation or transformation is required for a process to be a patentable manner of manufacture, and if that requirement is satisfied merely by the operation of the method on a computer, then many previously unpatentable business, commercial and financial schemes and plans will become patentable subject matter</w:t>
      </w:r>
      <w:r w:rsidR="00B221C9">
        <w:t>”</w:t>
      </w:r>
      <w:r w:rsidRPr="00281C38">
        <w:t xml:space="preserve">.  </w:t>
      </w:r>
    </w:p>
    <w:p w:rsidR="0084316D" w:rsidRDefault="00181072" w:rsidP="00E1268B">
      <w:pPr>
        <w:pStyle w:val="ParaNumbering"/>
      </w:pPr>
      <w:r>
        <w:t xml:space="preserve">This proceeding is not the first time that such a concern has been raised before the </w:t>
      </w:r>
      <w:r w:rsidR="00C647A5">
        <w:t>c</w:t>
      </w:r>
      <w:r>
        <w:t xml:space="preserve">ourts in the context of </w:t>
      </w:r>
      <w:r w:rsidR="006A4AEA">
        <w:t xml:space="preserve">the question of the patentability of </w:t>
      </w:r>
      <w:r>
        <w:t xml:space="preserve">computer programs.  </w:t>
      </w:r>
      <w:r w:rsidR="0084316D">
        <w:t>However</w:t>
      </w:r>
      <w:r w:rsidR="007B7C90">
        <w:t xml:space="preserve">, </w:t>
      </w:r>
      <w:r w:rsidR="0084316D">
        <w:t xml:space="preserve">as </w:t>
      </w:r>
      <w:r w:rsidR="007B7C90">
        <w:t xml:space="preserve">Graham J commented in </w:t>
      </w:r>
      <w:r w:rsidR="007B7C90">
        <w:rPr>
          <w:i/>
        </w:rPr>
        <w:t>Burrough</w:t>
      </w:r>
      <w:r w:rsidR="007B7C90" w:rsidRPr="00271B71">
        <w:rPr>
          <w:i/>
        </w:rPr>
        <w:t xml:space="preserve">s </w:t>
      </w:r>
      <w:r w:rsidR="007B7C90">
        <w:t>[1974] RPC 147 at 160</w:t>
      </w:r>
      <w:r w:rsidR="0084316D">
        <w:t>,</w:t>
      </w:r>
      <w:r w:rsidR="007B7C90">
        <w:t xml:space="preserve"> </w:t>
      </w:r>
      <w:r w:rsidR="00B221C9">
        <w:t>“</w:t>
      </w:r>
      <w:r w:rsidR="007B7C90">
        <w:t>[t]he fear that if this claim is allowed it will open the door to methods of operating simple calculators or cover academic mathematical solutions is not, we think, a valid objection</w:t>
      </w:r>
      <w:r w:rsidR="00B221C9">
        <w:t>”</w:t>
      </w:r>
      <w:r w:rsidR="007B7C90">
        <w:t xml:space="preserve">. </w:t>
      </w:r>
      <w:r w:rsidR="004F6F92">
        <w:t xml:space="preserve"> </w:t>
      </w:r>
      <w:r w:rsidR="007B7C90">
        <w:t xml:space="preserve">In that case, his Honour affirmed that </w:t>
      </w:r>
      <w:r w:rsidR="0084316D">
        <w:t xml:space="preserve">the correct position is that </w:t>
      </w:r>
      <w:r w:rsidR="007B7C90">
        <w:t>each case must be assessed on its merits in light of all relevant circumstances (at 161).</w:t>
      </w:r>
      <w:r>
        <w:t xml:space="preserve">  </w:t>
      </w:r>
    </w:p>
    <w:p w:rsidR="0084316D" w:rsidRDefault="0084316D" w:rsidP="00E1268B">
      <w:pPr>
        <w:pStyle w:val="ParaNumbering"/>
      </w:pPr>
      <w:r>
        <w:t xml:space="preserve">I now turn briefly to the </w:t>
      </w:r>
      <w:smartTag w:uri="urn:schemas-microsoft-com:office:smarttags" w:element="place">
        <w:smartTag w:uri="urn:schemas-microsoft-com:office:smarttags" w:element="country-region">
          <w:r>
            <w:t>United States</w:t>
          </w:r>
        </w:smartTag>
      </w:smartTag>
      <w:r>
        <w:t xml:space="preserve"> authorities.</w:t>
      </w:r>
    </w:p>
    <w:p w:rsidR="00181072" w:rsidRDefault="0084316D" w:rsidP="00E1268B">
      <w:pPr>
        <w:pStyle w:val="ParaNumbering"/>
      </w:pPr>
      <w:r>
        <w:t>B</w:t>
      </w:r>
      <w:r w:rsidR="00181072">
        <w:t xml:space="preserve">oth parties in this case relied on the United States authorities of </w:t>
      </w:r>
      <w:r w:rsidR="00181072" w:rsidRPr="00776802">
        <w:rPr>
          <w:i/>
        </w:rPr>
        <w:t>State Street</w:t>
      </w:r>
      <w:r w:rsidR="00880575">
        <w:rPr>
          <w:i/>
        </w:rPr>
        <w:t xml:space="preserve"> </w:t>
      </w:r>
      <w:r w:rsidR="008E6BC8" w:rsidRPr="00101042">
        <w:t>and</w:t>
      </w:r>
      <w:r w:rsidR="00D4665B" w:rsidRPr="00101042">
        <w:t xml:space="preserve"> </w:t>
      </w:r>
      <w:r w:rsidR="00D4665B" w:rsidRPr="00101042">
        <w:rPr>
          <w:i/>
        </w:rPr>
        <w:t>AT&amp;T</w:t>
      </w:r>
      <w:r w:rsidR="00101042">
        <w:rPr>
          <w:i/>
        </w:rPr>
        <w:t xml:space="preserve"> Corp v Excel Communications Inc </w:t>
      </w:r>
      <w:r w:rsidR="00101042">
        <w:t>172 F.3d 1352 (Fed. Cir. 1999)</w:t>
      </w:r>
      <w:r w:rsidR="00181072">
        <w:t xml:space="preserve">, among others. </w:t>
      </w:r>
      <w:r w:rsidR="00D4665B">
        <w:t xml:space="preserve"> </w:t>
      </w:r>
      <w:r w:rsidR="00FD4E35">
        <w:t xml:space="preserve">In </w:t>
      </w:r>
      <w:r w:rsidR="00FD4E35" w:rsidRPr="00841D1D">
        <w:rPr>
          <w:i/>
        </w:rPr>
        <w:t>Grant</w:t>
      </w:r>
      <w:r w:rsidR="00FD4E35">
        <w:t xml:space="preserve"> at 68</w:t>
      </w:r>
      <w:r w:rsidR="007A29A7">
        <w:t xml:space="preserve"> [22]-[23]</w:t>
      </w:r>
      <w:r w:rsidR="00FD4E35">
        <w:t xml:space="preserve">, the </w:t>
      </w:r>
      <w:smartTag w:uri="urn:schemas-microsoft-com:office:smarttags" w:element="Street">
        <w:smartTag w:uri="urn:schemas-microsoft-com:office:smarttags" w:element="address">
          <w:r w:rsidR="00C647A5">
            <w:t xml:space="preserve">Full </w:t>
          </w:r>
          <w:r w:rsidR="00FD4E35">
            <w:t>Court</w:t>
          </w:r>
        </w:smartTag>
      </w:smartTag>
      <w:r w:rsidR="00FD4E35">
        <w:t xml:space="preserve"> provided the following </w:t>
      </w:r>
      <w:r w:rsidR="004B1281">
        <w:t xml:space="preserve">overview of </w:t>
      </w:r>
      <w:smartTag w:uri="urn:schemas-microsoft-com:office:smarttags" w:element="Street">
        <w:smartTag w:uri="urn:schemas-microsoft-com:office:smarttags" w:element="address">
          <w:r w:rsidR="004B1281" w:rsidRPr="004B1281">
            <w:rPr>
              <w:i/>
            </w:rPr>
            <w:t>State Street</w:t>
          </w:r>
        </w:smartTag>
      </w:smartTag>
      <w:r w:rsidR="004B1281">
        <w:t xml:space="preserve"> and </w:t>
      </w:r>
      <w:r w:rsidR="004B1281" w:rsidRPr="004B1281">
        <w:rPr>
          <w:i/>
        </w:rPr>
        <w:t>AT&amp;T</w:t>
      </w:r>
      <w:r w:rsidR="00FD4E35">
        <w:t>:</w:t>
      </w:r>
    </w:p>
    <w:p w:rsidR="007E359E" w:rsidRPr="00A8119F" w:rsidRDefault="007E359E" w:rsidP="00A8119F">
      <w:pPr>
        <w:pStyle w:val="Quote1"/>
        <w:rPr>
          <w:i/>
        </w:rPr>
      </w:pPr>
      <w:r w:rsidRPr="00A8119F">
        <w:rPr>
          <w:i/>
        </w:rPr>
        <w:t xml:space="preserve">In </w:t>
      </w:r>
      <w:r w:rsidRPr="00F40AA1">
        <w:t>State Street Bank &amp; Trust Co v Signature Financial Group Inc</w:t>
      </w:r>
      <w:r w:rsidRPr="00A8119F">
        <w:rPr>
          <w:i/>
        </w:rPr>
        <w:t xml:space="preserve"> 149 F (3d) 1368 (1998) (Fed Cir), the United States Court of Appeals for the Federal Circuit held that a business system, a data processing system utilising a mathematical algorithm for implementing an investment scheme, constituted a practical and concrete application. This involved the transformation of data by a machine through a series of mathematical calculations to provide a share price fixed for recording and reporting purposes. The Court was careful to emphasise that a mathematical algorithm, formula or calculation was not patentable but the transformation of data by a machine that produced a useful, concrete and tangible result was patentable.</w:t>
      </w:r>
      <w:r w:rsidR="00A8119F">
        <w:rPr>
          <w:i/>
        </w:rPr>
        <w:t xml:space="preserve"> </w:t>
      </w:r>
      <w:r w:rsidRPr="00A8119F">
        <w:rPr>
          <w:i/>
        </w:rPr>
        <w:t xml:space="preserve">The </w:t>
      </w:r>
      <w:smartTag w:uri="urn:schemas-microsoft-com:office:smarttags" w:element="place">
        <w:smartTag w:uri="urn:schemas-microsoft-com:office:smarttags" w:element="country-region">
          <w:r w:rsidRPr="00A8119F">
            <w:rPr>
              <w:i/>
            </w:rPr>
            <w:t>United States</w:t>
          </w:r>
        </w:smartTag>
      </w:smartTag>
      <w:r w:rsidRPr="00A8119F">
        <w:rPr>
          <w:i/>
        </w:rPr>
        <w:t xml:space="preserve"> Court of Appeals revisited the subject of patentable subject m</w:t>
      </w:r>
      <w:r w:rsidR="007A29A7" w:rsidRPr="00A8119F">
        <w:rPr>
          <w:i/>
        </w:rPr>
        <w:t>a</w:t>
      </w:r>
      <w:r w:rsidRPr="00A8119F">
        <w:rPr>
          <w:i/>
        </w:rPr>
        <w:t>tter in the context of the manipulation of numbers in the field of computer</w:t>
      </w:r>
      <w:r w:rsidR="00A8119F" w:rsidRPr="00A8119F">
        <w:rPr>
          <w:i/>
        </w:rPr>
        <w:t xml:space="preserve"> </w:t>
      </w:r>
      <w:r w:rsidRPr="00A8119F">
        <w:rPr>
          <w:i/>
        </w:rPr>
        <w:t>technology in AT&amp;T. The basic proposition was repeated, that a mathematical</w:t>
      </w:r>
      <w:r w:rsidR="00A8119F" w:rsidRPr="00A8119F">
        <w:rPr>
          <w:i/>
        </w:rPr>
        <w:t xml:space="preserve"> </w:t>
      </w:r>
      <w:r w:rsidRPr="00A8119F">
        <w:rPr>
          <w:i/>
        </w:rPr>
        <w:t>formula alone, viewed in the abstract, is unpatentable subject matter. As had the</w:t>
      </w:r>
      <w:r w:rsidR="00A8119F" w:rsidRPr="00A8119F">
        <w:rPr>
          <w:i/>
        </w:rPr>
        <w:t xml:space="preserve"> </w:t>
      </w:r>
      <w:r w:rsidRPr="00A8119F">
        <w:rPr>
          <w:i/>
        </w:rPr>
        <w:t xml:space="preserve">United States Supreme Court in </w:t>
      </w:r>
      <w:r w:rsidRPr="00F40AA1">
        <w:t>Diamond (Commissioner of Patents and</w:t>
      </w:r>
      <w:r w:rsidR="00A8119F" w:rsidRPr="00F40AA1">
        <w:t xml:space="preserve"> </w:t>
      </w:r>
      <w:r w:rsidRPr="00F40AA1">
        <w:t>Trademarks) v Diehr</w:t>
      </w:r>
      <w:r w:rsidRPr="00A8119F">
        <w:rPr>
          <w:i/>
        </w:rPr>
        <w:t xml:space="preserve"> 450 US 175 (1981), the Court of Appeals reaffirmed the</w:t>
      </w:r>
      <w:r w:rsidR="00A8119F" w:rsidRPr="00A8119F">
        <w:rPr>
          <w:i/>
        </w:rPr>
        <w:t xml:space="preserve"> </w:t>
      </w:r>
      <w:r w:rsidRPr="00A8119F">
        <w:rPr>
          <w:i/>
        </w:rPr>
        <w:t>principle that laws of nature, natural phenomena and abstract ideas are excluded</w:t>
      </w:r>
      <w:r w:rsidR="00A8119F" w:rsidRPr="00A8119F">
        <w:rPr>
          <w:i/>
        </w:rPr>
        <w:t xml:space="preserve"> </w:t>
      </w:r>
      <w:r w:rsidRPr="00A8119F">
        <w:rPr>
          <w:i/>
        </w:rPr>
        <w:t xml:space="preserve">from patent protection. The Court cited its earlier decision </w:t>
      </w:r>
      <w:r w:rsidRPr="00F40AA1">
        <w:t>Re Alappat</w:t>
      </w:r>
      <w:r w:rsidRPr="00A8119F">
        <w:rPr>
          <w:i/>
        </w:rPr>
        <w:t xml:space="preserve"> 33 F (3d)</w:t>
      </w:r>
      <w:r w:rsidR="00A8119F" w:rsidRPr="00A8119F">
        <w:rPr>
          <w:i/>
        </w:rPr>
        <w:t xml:space="preserve"> </w:t>
      </w:r>
      <w:r w:rsidRPr="00A8119F">
        <w:rPr>
          <w:i/>
        </w:rPr>
        <w:t xml:space="preserve">1526 (1994) (Fed Cir) in which it explained the </w:t>
      </w:r>
      <w:r w:rsidR="00B221C9">
        <w:rPr>
          <w:i/>
        </w:rPr>
        <w:t>“</w:t>
      </w:r>
      <w:r w:rsidRPr="00A8119F">
        <w:rPr>
          <w:i/>
        </w:rPr>
        <w:t>straightforward</w:t>
      </w:r>
      <w:r w:rsidR="00B221C9">
        <w:rPr>
          <w:i/>
        </w:rPr>
        <w:t>”</w:t>
      </w:r>
      <w:r w:rsidRPr="00A8119F">
        <w:rPr>
          <w:i/>
        </w:rPr>
        <w:t xml:space="preserve"> concept on</w:t>
      </w:r>
      <w:r w:rsidR="00A8119F" w:rsidRPr="00A8119F">
        <w:rPr>
          <w:i/>
        </w:rPr>
        <w:t xml:space="preserve"> </w:t>
      </w:r>
      <w:r w:rsidRPr="00A8119F">
        <w:rPr>
          <w:i/>
        </w:rPr>
        <w:t xml:space="preserve">which previous decisions, including </w:t>
      </w:r>
      <w:r w:rsidRPr="00F40AA1">
        <w:t>State Street</w:t>
      </w:r>
      <w:r w:rsidRPr="00A8119F">
        <w:rPr>
          <w:i/>
        </w:rPr>
        <w:t xml:space="preserve"> were based, </w:t>
      </w:r>
      <w:r w:rsidR="00B221C9">
        <w:rPr>
          <w:i/>
        </w:rPr>
        <w:t>“</w:t>
      </w:r>
      <w:r w:rsidRPr="00A8119F">
        <w:rPr>
          <w:i/>
        </w:rPr>
        <w:t>namely, that</w:t>
      </w:r>
      <w:r w:rsidR="00A8119F" w:rsidRPr="00A8119F">
        <w:rPr>
          <w:i/>
        </w:rPr>
        <w:t xml:space="preserve"> </w:t>
      </w:r>
      <w:r w:rsidRPr="00A8119F">
        <w:rPr>
          <w:i/>
        </w:rPr>
        <w:t xml:space="preserve">certain types of mathematical subject matter, </w:t>
      </w:r>
      <w:r w:rsidRPr="00F40AA1">
        <w:rPr>
          <w:b/>
          <w:i/>
        </w:rPr>
        <w:t>standing alone</w:t>
      </w:r>
      <w:r w:rsidRPr="00A8119F">
        <w:rPr>
          <w:i/>
        </w:rPr>
        <w:t>, represent nothing</w:t>
      </w:r>
      <w:r w:rsidR="00A8119F" w:rsidRPr="00A8119F">
        <w:rPr>
          <w:i/>
        </w:rPr>
        <w:t xml:space="preserve"> </w:t>
      </w:r>
      <w:r w:rsidRPr="00A8119F">
        <w:rPr>
          <w:i/>
        </w:rPr>
        <w:t xml:space="preserve">more than </w:t>
      </w:r>
      <w:r w:rsidRPr="00F40AA1">
        <w:rPr>
          <w:b/>
          <w:i/>
        </w:rPr>
        <w:t>abstract ideas until reduced to some type of practical application</w:t>
      </w:r>
      <w:r w:rsidR="00B221C9">
        <w:rPr>
          <w:i/>
        </w:rPr>
        <w:t>”</w:t>
      </w:r>
      <w:r w:rsidR="00A8119F" w:rsidRPr="00A8119F">
        <w:rPr>
          <w:i/>
        </w:rPr>
        <w:t xml:space="preserve"> </w:t>
      </w:r>
      <w:r w:rsidRPr="00A8119F">
        <w:rPr>
          <w:i/>
        </w:rPr>
        <w:t>(emphasis in original) (</w:t>
      </w:r>
      <w:r w:rsidRPr="00A51070">
        <w:t>AT&amp;T Corp v Excel Communications Inc</w:t>
      </w:r>
      <w:r w:rsidRPr="00A8119F">
        <w:rPr>
          <w:i/>
        </w:rPr>
        <w:t xml:space="preserve"> at 1357). The</w:t>
      </w:r>
      <w:r w:rsidR="00A8119F" w:rsidRPr="00A8119F">
        <w:rPr>
          <w:i/>
        </w:rPr>
        <w:t xml:space="preserve"> </w:t>
      </w:r>
      <w:r w:rsidRPr="00A8119F">
        <w:rPr>
          <w:i/>
        </w:rPr>
        <w:t>subject matter, standing alone, is not entitled to patent protection. The claim was</w:t>
      </w:r>
      <w:r w:rsidR="00A8119F" w:rsidRPr="00A8119F">
        <w:rPr>
          <w:i/>
        </w:rPr>
        <w:t xml:space="preserve"> </w:t>
      </w:r>
      <w:r w:rsidRPr="00A8119F">
        <w:rPr>
          <w:i/>
        </w:rPr>
        <w:t>examined to determine whether it was a claim to the principle or to a process</w:t>
      </w:r>
      <w:r w:rsidR="00A8119F" w:rsidRPr="00A8119F">
        <w:rPr>
          <w:i/>
        </w:rPr>
        <w:t xml:space="preserve"> </w:t>
      </w:r>
      <w:r w:rsidRPr="00A8119F">
        <w:rPr>
          <w:i/>
        </w:rPr>
        <w:t xml:space="preserve">that uses the principle in order to produce a </w:t>
      </w:r>
      <w:r w:rsidR="00B221C9">
        <w:rPr>
          <w:i/>
        </w:rPr>
        <w:t>“</w:t>
      </w:r>
      <w:r w:rsidRPr="00A8119F">
        <w:rPr>
          <w:i/>
        </w:rPr>
        <w:t>useful, concrete, and tangible</w:t>
      </w:r>
      <w:r w:rsidR="00A8119F" w:rsidRPr="00A8119F">
        <w:rPr>
          <w:i/>
        </w:rPr>
        <w:t xml:space="preserve"> </w:t>
      </w:r>
      <w:r w:rsidRPr="00A8119F">
        <w:rPr>
          <w:i/>
        </w:rPr>
        <w:t>result</w:t>
      </w:r>
      <w:r w:rsidR="00B221C9">
        <w:rPr>
          <w:i/>
        </w:rPr>
        <w:t>”</w:t>
      </w:r>
      <w:r w:rsidRPr="00A8119F">
        <w:rPr>
          <w:i/>
        </w:rPr>
        <w:t xml:space="preserve"> (</w:t>
      </w:r>
      <w:r w:rsidRPr="00A51070">
        <w:t>AT&amp;T Corp v Excel Communications Inc</w:t>
      </w:r>
      <w:r w:rsidRPr="00A8119F">
        <w:rPr>
          <w:i/>
        </w:rPr>
        <w:t xml:space="preserve"> at 1357). An application is not</w:t>
      </w:r>
      <w:r w:rsidR="00A8119F" w:rsidRPr="00A8119F">
        <w:rPr>
          <w:i/>
        </w:rPr>
        <w:t xml:space="preserve"> </w:t>
      </w:r>
      <w:r w:rsidRPr="00A8119F">
        <w:rPr>
          <w:i/>
        </w:rPr>
        <w:t>limited to a physical transformation, which was said to be an example of a</w:t>
      </w:r>
      <w:r w:rsidR="00A8119F" w:rsidRPr="00A8119F">
        <w:rPr>
          <w:i/>
        </w:rPr>
        <w:t xml:space="preserve"> </w:t>
      </w:r>
      <w:r w:rsidRPr="00A8119F">
        <w:rPr>
          <w:i/>
        </w:rPr>
        <w:t>useful application but not an invariable requirement. Where the claimed process</w:t>
      </w:r>
      <w:r w:rsidR="00A8119F" w:rsidRPr="00A8119F">
        <w:rPr>
          <w:i/>
        </w:rPr>
        <w:t xml:space="preserve"> </w:t>
      </w:r>
      <w:r w:rsidRPr="00A8119F">
        <w:rPr>
          <w:i/>
        </w:rPr>
        <w:t>did nothing more than take several abstract ideas and manipulate them together,</w:t>
      </w:r>
      <w:r w:rsidR="00A8119F" w:rsidRPr="00A8119F">
        <w:rPr>
          <w:i/>
        </w:rPr>
        <w:t xml:space="preserve"> </w:t>
      </w:r>
      <w:r w:rsidRPr="00A8119F">
        <w:rPr>
          <w:i/>
        </w:rPr>
        <w:t>nothing was added that was patentable.</w:t>
      </w:r>
    </w:p>
    <w:p w:rsidR="00A8119F" w:rsidRDefault="00A8119F" w:rsidP="00A8119F">
      <w:pPr>
        <w:pStyle w:val="Quote1"/>
        <w:rPr>
          <w:i/>
        </w:rPr>
      </w:pPr>
    </w:p>
    <w:p w:rsidR="00FD4E35" w:rsidRPr="00A8119F" w:rsidRDefault="007E359E" w:rsidP="00A8119F">
      <w:pPr>
        <w:pStyle w:val="Quote1"/>
        <w:rPr>
          <w:i/>
        </w:rPr>
      </w:pPr>
      <w:r w:rsidRPr="00A8119F">
        <w:rPr>
          <w:i/>
        </w:rPr>
        <w:t>Despite the broad terms of the United States Code (35 U.S.C. § 101), the</w:t>
      </w:r>
      <w:r w:rsidR="00A8119F" w:rsidRPr="00A8119F">
        <w:rPr>
          <w:i/>
        </w:rPr>
        <w:t xml:space="preserve"> </w:t>
      </w:r>
      <w:r w:rsidRPr="00A8119F">
        <w:rPr>
          <w:i/>
        </w:rPr>
        <w:t>courts of that country have held that abstract ideas, laws of nature and natural</w:t>
      </w:r>
      <w:r w:rsidR="00A8119F" w:rsidRPr="00A8119F">
        <w:rPr>
          <w:i/>
        </w:rPr>
        <w:t xml:space="preserve"> </w:t>
      </w:r>
      <w:r w:rsidRPr="00A8119F">
        <w:rPr>
          <w:i/>
        </w:rPr>
        <w:t>phenomena are outside the categories of patentable invention until reduced to</w:t>
      </w:r>
      <w:r w:rsidR="00A8119F" w:rsidRPr="00A8119F">
        <w:rPr>
          <w:i/>
        </w:rPr>
        <w:t xml:space="preserve"> </w:t>
      </w:r>
      <w:r w:rsidRPr="00A8119F">
        <w:rPr>
          <w:i/>
        </w:rPr>
        <w:t>some type of practical application (</w:t>
      </w:r>
      <w:r w:rsidRPr="00A51070">
        <w:t>Diehr</w:t>
      </w:r>
      <w:r w:rsidRPr="00A8119F">
        <w:rPr>
          <w:i/>
        </w:rPr>
        <w:t xml:space="preserve">; </w:t>
      </w:r>
      <w:r w:rsidRPr="00A51070">
        <w:t>State Street</w:t>
      </w:r>
      <w:r w:rsidRPr="00A8119F">
        <w:rPr>
          <w:i/>
        </w:rPr>
        <w:t xml:space="preserve">; </w:t>
      </w:r>
      <w:r w:rsidRPr="00A51070">
        <w:t>Alappat</w:t>
      </w:r>
      <w:r w:rsidRPr="00A8119F">
        <w:rPr>
          <w:i/>
        </w:rPr>
        <w:t>). The same tests</w:t>
      </w:r>
      <w:r w:rsidR="00A8119F" w:rsidRPr="00A8119F">
        <w:rPr>
          <w:i/>
        </w:rPr>
        <w:t xml:space="preserve"> </w:t>
      </w:r>
      <w:r w:rsidRPr="00A8119F">
        <w:rPr>
          <w:i/>
        </w:rPr>
        <w:t>apply for patents for business methods as for any other claimed invention. The</w:t>
      </w:r>
      <w:r w:rsidR="00A8119F" w:rsidRPr="00A8119F">
        <w:rPr>
          <w:i/>
        </w:rPr>
        <w:t xml:space="preserve"> </w:t>
      </w:r>
      <w:r w:rsidRPr="00A8119F">
        <w:rPr>
          <w:i/>
        </w:rPr>
        <w:t>distinction was between the employment of an abstract idea or law of nature and</w:t>
      </w:r>
      <w:r w:rsidR="00A8119F" w:rsidRPr="00A8119F">
        <w:rPr>
          <w:i/>
        </w:rPr>
        <w:t xml:space="preserve"> </w:t>
      </w:r>
      <w:r w:rsidRPr="00A8119F">
        <w:rPr>
          <w:i/>
        </w:rPr>
        <w:t>the idea or law itself.</w:t>
      </w:r>
    </w:p>
    <w:p w:rsidR="00B230BF" w:rsidRDefault="008E6BC8" w:rsidP="0014188E">
      <w:pPr>
        <w:pStyle w:val="ParaNumbering"/>
      </w:pPr>
      <w:r>
        <w:t xml:space="preserve">The Commissioner also sought to rely on </w:t>
      </w:r>
      <w:r w:rsidR="008510E8">
        <w:t xml:space="preserve">the case of </w:t>
      </w:r>
      <w:r w:rsidRPr="00880575">
        <w:rPr>
          <w:i/>
        </w:rPr>
        <w:t>Re</w:t>
      </w:r>
      <w:r>
        <w:t xml:space="preserve"> </w:t>
      </w:r>
      <w:r w:rsidRPr="00776802">
        <w:rPr>
          <w:i/>
        </w:rPr>
        <w:t>Bilski</w:t>
      </w:r>
      <w:r>
        <w:rPr>
          <w:i/>
        </w:rPr>
        <w:t xml:space="preserve"> </w:t>
      </w:r>
      <w:r>
        <w:t>545 F.3d 943 (Fed. Cir. 2008)</w:t>
      </w:r>
      <w:r w:rsidR="008510E8">
        <w:t>, which</w:t>
      </w:r>
      <w:r w:rsidR="00DE332C">
        <w:t xml:space="preserve"> </w:t>
      </w:r>
      <w:r w:rsidR="008705B9">
        <w:t xml:space="preserve">involved </w:t>
      </w:r>
      <w:r w:rsidR="00530350">
        <w:t>a method of hedging risk in the field of commodities trading in the energy market</w:t>
      </w:r>
      <w:r w:rsidR="00626781">
        <w:t xml:space="preserve">.  </w:t>
      </w:r>
      <w:r w:rsidR="00C1414B">
        <w:t xml:space="preserve">In that case, </w:t>
      </w:r>
      <w:r w:rsidR="009435DE">
        <w:t xml:space="preserve">as previously foreshadowed in these reasons, </w:t>
      </w:r>
      <w:r w:rsidR="00C1414B">
        <w:t xml:space="preserve">the Court of Appeals rejected the </w:t>
      </w:r>
      <w:r w:rsidR="00B221C9">
        <w:t>“</w:t>
      </w:r>
      <w:r w:rsidR="00C1414B">
        <w:t>useful, concrete and tangible result</w:t>
      </w:r>
      <w:r w:rsidR="00B221C9">
        <w:t>”</w:t>
      </w:r>
      <w:r w:rsidR="0014398B">
        <w:t xml:space="preserve"> t</w:t>
      </w:r>
      <w:r w:rsidR="00C1414B">
        <w:t xml:space="preserve">est articulated by the Court in </w:t>
      </w:r>
      <w:smartTag w:uri="urn:schemas-microsoft-com:office:smarttags" w:element="Street">
        <w:smartTag w:uri="urn:schemas-microsoft-com:office:smarttags" w:element="address">
          <w:r w:rsidR="00C1414B" w:rsidRPr="00DB7BAF">
            <w:rPr>
              <w:i/>
            </w:rPr>
            <w:t>State Street</w:t>
          </w:r>
        </w:smartTag>
      </w:smartTag>
      <w:r w:rsidR="00C1414B">
        <w:t xml:space="preserve">.  </w:t>
      </w:r>
      <w:r w:rsidR="00B230BF">
        <w:t xml:space="preserve">The Court </w:t>
      </w:r>
      <w:r w:rsidR="00A463CB">
        <w:t xml:space="preserve">of Appeals </w:t>
      </w:r>
      <w:r w:rsidR="00B230BF">
        <w:t>noted (at 959-960):</w:t>
      </w:r>
    </w:p>
    <w:p w:rsidR="00B230BF" w:rsidRPr="00B230BF" w:rsidRDefault="00B230BF" w:rsidP="00B230BF">
      <w:pPr>
        <w:pStyle w:val="Quote1"/>
        <w:rPr>
          <w:i/>
        </w:rPr>
      </w:pPr>
      <w:r w:rsidRPr="00B230BF">
        <w:rPr>
          <w:i/>
        </w:rPr>
        <w:t xml:space="preserve">To be sure, a process tied to a particular machine, or transforming or reducing a particular article into a different state or thing, will generally produce a </w:t>
      </w:r>
      <w:r w:rsidR="00B221C9">
        <w:rPr>
          <w:i/>
        </w:rPr>
        <w:t>“</w:t>
      </w:r>
      <w:r w:rsidRPr="00B230BF">
        <w:rPr>
          <w:i/>
        </w:rPr>
        <w:t>concrete</w:t>
      </w:r>
      <w:r w:rsidR="00B221C9">
        <w:rPr>
          <w:i/>
        </w:rPr>
        <w:t>”</w:t>
      </w:r>
      <w:r w:rsidRPr="00B230BF">
        <w:rPr>
          <w:i/>
        </w:rPr>
        <w:t xml:space="preserve"> and </w:t>
      </w:r>
      <w:r w:rsidR="00B221C9">
        <w:rPr>
          <w:i/>
        </w:rPr>
        <w:t>“</w:t>
      </w:r>
      <w:r w:rsidRPr="00B230BF">
        <w:rPr>
          <w:i/>
        </w:rPr>
        <w:t>tangible</w:t>
      </w:r>
      <w:r w:rsidR="00B221C9">
        <w:rPr>
          <w:i/>
        </w:rPr>
        <w:t>”</w:t>
      </w:r>
      <w:r w:rsidRPr="00B230BF">
        <w:rPr>
          <w:i/>
        </w:rPr>
        <w:t xml:space="preserve"> result as those terms were used in our prior decisions.  But while looking for </w:t>
      </w:r>
      <w:r w:rsidR="00B221C9">
        <w:rPr>
          <w:i/>
        </w:rPr>
        <w:t>“</w:t>
      </w:r>
      <w:r w:rsidRPr="00B230BF">
        <w:rPr>
          <w:i/>
        </w:rPr>
        <w:t>a useful, concrete and tangible result</w:t>
      </w:r>
      <w:r w:rsidR="00B221C9">
        <w:rPr>
          <w:i/>
        </w:rPr>
        <w:t>”</w:t>
      </w:r>
      <w:r w:rsidRPr="00B230BF">
        <w:rPr>
          <w:i/>
        </w:rPr>
        <w:t xml:space="preserve"> may in many instances provide useful indications of whether a claim is drawn to a fundamental principle or a practical application of such a principle, that inquiry is insufficient to determine whether a claim is patent-eligible under § 101. And it was certainly never intended to supplant the Supreme Court</w:t>
      </w:r>
      <w:r w:rsidR="00B221C9">
        <w:rPr>
          <w:i/>
        </w:rPr>
        <w:t>’</w:t>
      </w:r>
      <w:r w:rsidRPr="00B230BF">
        <w:rPr>
          <w:i/>
        </w:rPr>
        <w:t xml:space="preserve">s test.  Therefore, we also conclude that the </w:t>
      </w:r>
      <w:r w:rsidR="00B221C9">
        <w:rPr>
          <w:i/>
        </w:rPr>
        <w:t>“</w:t>
      </w:r>
      <w:r w:rsidRPr="00B230BF">
        <w:rPr>
          <w:i/>
        </w:rPr>
        <w:t>useful, concrete and tangible result</w:t>
      </w:r>
      <w:r w:rsidR="00B221C9">
        <w:rPr>
          <w:i/>
        </w:rPr>
        <w:t>”</w:t>
      </w:r>
      <w:r w:rsidRPr="00B230BF">
        <w:rPr>
          <w:i/>
        </w:rPr>
        <w:t xml:space="preserve"> inquiry is inadequate and reaffirm that the machine-or-transformation test outlined by the Supreme Court is the proper test to apply. </w:t>
      </w:r>
    </w:p>
    <w:p w:rsidR="00B56B25" w:rsidRDefault="00B56B25" w:rsidP="0014188E">
      <w:pPr>
        <w:pStyle w:val="ParaNumbering"/>
      </w:pPr>
      <w:r>
        <w:t>The footnote to this paragraph reads</w:t>
      </w:r>
      <w:r w:rsidR="00596B2F">
        <w:t>:</w:t>
      </w:r>
      <w:r>
        <w:t xml:space="preserve"> </w:t>
      </w:r>
      <w:r w:rsidR="00B221C9">
        <w:t>“</w:t>
      </w:r>
      <w:r>
        <w:t xml:space="preserve">As a result, those portions of our opinions in </w:t>
      </w:r>
      <w:r w:rsidRPr="00AC4BE6">
        <w:rPr>
          <w:i/>
        </w:rPr>
        <w:t>State Street</w:t>
      </w:r>
      <w:r>
        <w:t xml:space="preserve"> and </w:t>
      </w:r>
      <w:r w:rsidRPr="00AC4BE6">
        <w:rPr>
          <w:i/>
        </w:rPr>
        <w:t>AT &amp; T</w:t>
      </w:r>
      <w:r>
        <w:t xml:space="preserve"> relying solely on a </w:t>
      </w:r>
      <w:r w:rsidR="00B221C9">
        <w:t>“</w:t>
      </w:r>
      <w:r>
        <w:t>useful, concrete and tangible result</w:t>
      </w:r>
      <w:r w:rsidR="00B221C9">
        <w:t>”</w:t>
      </w:r>
      <w:r>
        <w:t xml:space="preserve"> analysis should no longer be relied on</w:t>
      </w:r>
      <w:r w:rsidR="00B221C9">
        <w:t>”</w:t>
      </w:r>
      <w:r>
        <w:t xml:space="preserve"> (at 960).</w:t>
      </w:r>
    </w:p>
    <w:p w:rsidR="0014188E" w:rsidRDefault="00626781" w:rsidP="0014188E">
      <w:pPr>
        <w:pStyle w:val="ParaNumbering"/>
      </w:pPr>
      <w:r>
        <w:t>T</w:t>
      </w:r>
      <w:r w:rsidR="00DE5517">
        <w:t>his</w:t>
      </w:r>
      <w:r>
        <w:t xml:space="preserve"> </w:t>
      </w:r>
      <w:r w:rsidR="00DE5517">
        <w:t>aspect of the Court of Appeals</w:t>
      </w:r>
      <w:r w:rsidR="00B221C9">
        <w:t>’</w:t>
      </w:r>
      <w:r w:rsidR="00DE5517">
        <w:t xml:space="preserve"> decision </w:t>
      </w:r>
      <w:r>
        <w:t>was not disturbed by the</w:t>
      </w:r>
      <w:r w:rsidR="0084316D">
        <w:t xml:space="preserve"> United States</w:t>
      </w:r>
      <w:r>
        <w:t xml:space="preserve"> Supreme Court on appeal (see </w:t>
      </w:r>
      <w:r w:rsidRPr="00DE5517">
        <w:rPr>
          <w:i/>
        </w:rPr>
        <w:t>Bilski v Kappos</w:t>
      </w:r>
      <w:r>
        <w:t xml:space="preserve"> 130 S.Ct. 3218 (2010)).  </w:t>
      </w:r>
      <w:r w:rsidR="0014188E">
        <w:t xml:space="preserve">The Commissioner also sought to rely upon a number of subsequent </w:t>
      </w:r>
      <w:smartTag w:uri="urn:schemas-microsoft-com:office:smarttags" w:element="country-region">
        <w:r w:rsidR="0014188E">
          <w:t>United States</w:t>
        </w:r>
      </w:smartTag>
      <w:r w:rsidR="0014188E">
        <w:t xml:space="preserve"> decisions, such as </w:t>
      </w:r>
      <w:r w:rsidR="00596B2F" w:rsidRPr="006B47E8">
        <w:rPr>
          <w:i/>
        </w:rPr>
        <w:t>Cybersource Corporation v Retail Decisions Inc</w:t>
      </w:r>
      <w:r w:rsidR="00596B2F">
        <w:t xml:space="preserve"> 654 F.3d 1366 (Fed. Cir. 2011), </w:t>
      </w:r>
      <w:r w:rsidR="00596B2F" w:rsidRPr="00886C8F">
        <w:rPr>
          <w:i/>
        </w:rPr>
        <w:t>CLS Bank International v Alice Corporation Pty Ltd</w:t>
      </w:r>
      <w:r w:rsidR="00596B2F">
        <w:t xml:space="preserve"> 685 F.3d 1341 (Fed. Cir. 2012), and</w:t>
      </w:r>
      <w:r w:rsidR="00596B2F" w:rsidRPr="00626781">
        <w:rPr>
          <w:i/>
        </w:rPr>
        <w:t xml:space="preserve"> </w:t>
      </w:r>
      <w:r w:rsidR="00D876B1">
        <w:rPr>
          <w:i/>
        </w:rPr>
        <w:t xml:space="preserve">Bancorp </w:t>
      </w:r>
      <w:smartTag w:uri="urn:schemas-microsoft-com:office:smarttags" w:element="PersonName">
        <w:r w:rsidR="00D876B1">
          <w:rPr>
            <w:i/>
          </w:rPr>
          <w:t>Service</w:t>
        </w:r>
      </w:smartTag>
      <w:r w:rsidR="00D876B1">
        <w:rPr>
          <w:i/>
        </w:rPr>
        <w:t xml:space="preserve">s LLC v Sun Life Assurance Company of </w:t>
      </w:r>
      <w:smartTag w:uri="urn:schemas-microsoft-com:office:smarttags" w:element="place">
        <w:smartTag w:uri="urn:schemas-microsoft-com:office:smarttags" w:element="country-region">
          <w:r w:rsidR="00D876B1">
            <w:rPr>
              <w:i/>
            </w:rPr>
            <w:t>Canada</w:t>
          </w:r>
        </w:smartTag>
      </w:smartTag>
      <w:r w:rsidR="00D876B1">
        <w:rPr>
          <w:i/>
        </w:rPr>
        <w:t xml:space="preserve"> (US)</w:t>
      </w:r>
      <w:r w:rsidR="00D876B1">
        <w:t xml:space="preserve"> 687 F.3d 1266 </w:t>
      </w:r>
      <w:r w:rsidR="0014188E">
        <w:t>(Fed. Cir. 2012)</w:t>
      </w:r>
      <w:r w:rsidR="006B47E8">
        <w:t>.</w:t>
      </w:r>
    </w:p>
    <w:p w:rsidR="00603277" w:rsidRPr="00CB2D65" w:rsidRDefault="00596B2F" w:rsidP="003D7D27">
      <w:pPr>
        <w:pStyle w:val="ParaNumbering"/>
      </w:pPr>
      <w:r>
        <w:t>Each of t</w:t>
      </w:r>
      <w:r w:rsidR="0014188E">
        <w:t>hese decisions consider</w:t>
      </w:r>
      <w:r>
        <w:t>s</w:t>
      </w:r>
      <w:r w:rsidR="0014188E">
        <w:t xml:space="preserve"> the test for patentability in the </w:t>
      </w:r>
      <w:smartTag w:uri="urn:schemas-microsoft-com:office:smarttags" w:element="place">
        <w:smartTag w:uri="urn:schemas-microsoft-com:office:smarttags" w:element="country-region">
          <w:r w:rsidR="0014188E">
            <w:t>United States</w:t>
          </w:r>
        </w:smartTag>
      </w:smartTag>
      <w:r w:rsidR="0066747B">
        <w:t>.  A</w:t>
      </w:r>
      <w:r w:rsidR="0014188E">
        <w:t>t best</w:t>
      </w:r>
      <w:r w:rsidR="0066747B">
        <w:t>, they</w:t>
      </w:r>
      <w:r w:rsidR="0014188E">
        <w:t xml:space="preserve"> </w:t>
      </w:r>
      <w:r w:rsidR="00AA2A56">
        <w:t xml:space="preserve">are </w:t>
      </w:r>
      <w:r w:rsidR="0014188E">
        <w:t xml:space="preserve">merely </w:t>
      </w:r>
      <w:r w:rsidR="00AA2A56">
        <w:t xml:space="preserve">persuasive.  </w:t>
      </w:r>
      <w:r w:rsidR="0084316D">
        <w:t xml:space="preserve">They provide intellectual stimulus and ideas for consideration.  Nevertheless, I do not consider that I need to analyse these decisions in any further detail.  I must follow the principles established in the Australian decisions.  I accept that the policy considerations behind the </w:t>
      </w:r>
      <w:smartTag w:uri="urn:schemas-microsoft-com:office:smarttags" w:element="country-region">
        <w:r w:rsidR="0084316D">
          <w:t>United States</w:t>
        </w:r>
      </w:smartTag>
      <w:r w:rsidR="0084316D">
        <w:t xml:space="preserve"> patent law and the Statute of Monopolies may be the same or substantially the same as in </w:t>
      </w:r>
      <w:smartTag w:uri="urn:schemas-microsoft-com:office:smarttags" w:element="place">
        <w:smartTag w:uri="urn:schemas-microsoft-com:office:smarttags" w:element="country-region">
          <w:r w:rsidR="0084316D">
            <w:t>Australia</w:t>
          </w:r>
        </w:smartTag>
      </w:smartTag>
      <w:r w:rsidR="0084316D">
        <w:t xml:space="preserve">.  I also accept that there is merit in having consistency of approach between various countries.  Nevertheless, it must be recorded that there are differences between (for example) the </w:t>
      </w:r>
      <w:smartTag w:uri="urn:schemas-microsoft-com:office:smarttags" w:element="country-region">
        <w:r w:rsidR="0084316D">
          <w:t>United States</w:t>
        </w:r>
      </w:smartTag>
      <w:r w:rsidR="0084316D">
        <w:t xml:space="preserve"> and </w:t>
      </w:r>
      <w:smartTag w:uri="urn:schemas-microsoft-com:office:smarttags" w:element="place">
        <w:smartTag w:uri="urn:schemas-microsoft-com:office:smarttags" w:element="country-region">
          <w:r w:rsidR="0084316D">
            <w:t>Australia</w:t>
          </w:r>
        </w:smartTag>
      </w:smartTag>
      <w:r w:rsidR="0084316D">
        <w:t xml:space="preserve"> in many aspects which may impact upon a </w:t>
      </w:r>
      <w:r w:rsidR="009435DE">
        <w:t xml:space="preserve">court’s </w:t>
      </w:r>
      <w:r w:rsidR="0084316D">
        <w:t>consideration of an invention’s value to the country</w:t>
      </w:r>
      <w:r w:rsidR="009435DE">
        <w:t>,</w:t>
      </w:r>
      <w:r w:rsidR="0084316D">
        <w:t xml:space="preserve"> and its patentability.  In any event, it is </w:t>
      </w:r>
      <w:r w:rsidR="00F57B06">
        <w:t xml:space="preserve">the </w:t>
      </w:r>
      <w:r w:rsidR="0084316D">
        <w:t>policy considerations inherent in the Australian law that must be considered and applied here</w:t>
      </w:r>
      <w:r w:rsidR="00F57B06">
        <w:t>, interpreting and applying as I am Australian legislation</w:t>
      </w:r>
      <w:r w:rsidR="0084316D">
        <w:t xml:space="preserve">. </w:t>
      </w:r>
    </w:p>
    <w:p w:rsidR="00181072" w:rsidRPr="00CB2D65" w:rsidRDefault="0084316D" w:rsidP="00181072">
      <w:pPr>
        <w:pStyle w:val="ParaNumbering"/>
      </w:pPr>
      <w:r>
        <w:t xml:space="preserve">Returning then to whether there is </w:t>
      </w:r>
      <w:r w:rsidR="00181072" w:rsidRPr="00CB2D65">
        <w:t>a substantiality requirement form</w:t>
      </w:r>
      <w:r>
        <w:t>ing</w:t>
      </w:r>
      <w:r w:rsidR="00181072" w:rsidRPr="00CB2D65">
        <w:t xml:space="preserve"> part of the manner of manufacture inquiry under Australian law</w:t>
      </w:r>
      <w:r w:rsidR="00F57B06">
        <w:t xml:space="preserve"> (which, it will be apparent from the foregoing paragraphs, I do not accept)</w:t>
      </w:r>
      <w:r w:rsidR="00181072" w:rsidRPr="00CB2D65">
        <w:t xml:space="preserve">, I note in respect of the invention that is the subject of this proceeding that the claims expressly incorporate a computer into the methods and system </w:t>
      </w:r>
      <w:r w:rsidR="00E0421C">
        <w:t>claimed</w:t>
      </w:r>
      <w:r w:rsidR="00181072" w:rsidRPr="00CB2D65">
        <w:t>.  The computer is a substantial, central or integral part of each claim.  On this basis and for the foregoing reasons, I acc</w:t>
      </w:r>
      <w:r w:rsidR="00E0421C">
        <w:t xml:space="preserve">ept that any requirement </w:t>
      </w:r>
      <w:r w:rsidR="00F57B06">
        <w:t xml:space="preserve">of substantiality </w:t>
      </w:r>
      <w:r w:rsidR="001B5E06">
        <w:t>(if it exists</w:t>
      </w:r>
      <w:r w:rsidR="00F57B06">
        <w:t xml:space="preserve"> in Australian law</w:t>
      </w:r>
      <w:r w:rsidR="001B5E06">
        <w:t xml:space="preserve">) </w:t>
      </w:r>
      <w:r w:rsidR="00E0421C">
        <w:t>would be</w:t>
      </w:r>
      <w:r w:rsidR="00181072" w:rsidRPr="00CB2D65">
        <w:t xml:space="preserve"> made out</w:t>
      </w:r>
      <w:r w:rsidR="001B5E06">
        <w:t xml:space="preserve"> in this case</w:t>
      </w:r>
      <w:r w:rsidR="00181072" w:rsidRPr="00CB2D65">
        <w:t xml:space="preserve">. </w:t>
      </w:r>
    </w:p>
    <w:p w:rsidR="009F3C8B" w:rsidRPr="00CB2D65" w:rsidRDefault="00181072" w:rsidP="00C06CB1">
      <w:pPr>
        <w:pStyle w:val="ParaNumbering"/>
      </w:pPr>
      <w:r w:rsidRPr="00CB2D65">
        <w:t xml:space="preserve">This </w:t>
      </w:r>
      <w:r w:rsidR="0064195A" w:rsidRPr="00CB2D65">
        <w:t>is a convenient juncture to comment on one particular feature of the Commissioner</w:t>
      </w:r>
      <w:r w:rsidR="00B221C9">
        <w:t>’</w:t>
      </w:r>
      <w:r w:rsidR="0064195A" w:rsidRPr="00CB2D65">
        <w:t xml:space="preserve">s approach to the manner of manufacture inquiry in this proceeding.  </w:t>
      </w:r>
      <w:r w:rsidR="00C06CB1" w:rsidRPr="00CB2D65">
        <w:t>It was suggested in the Commissioner</w:t>
      </w:r>
      <w:r w:rsidR="00B221C9">
        <w:t>’</w:t>
      </w:r>
      <w:r w:rsidR="00C06CB1" w:rsidRPr="00CB2D65">
        <w:t>s submissions that the invention that is the subject of the Patent could be performed without the use of a computer</w:t>
      </w:r>
      <w:r w:rsidR="00921596" w:rsidRPr="00CB2D65">
        <w:t xml:space="preserve">, </w:t>
      </w:r>
      <w:r w:rsidR="00954503">
        <w:t>and</w:t>
      </w:r>
      <w:r w:rsidR="00921596" w:rsidRPr="00CB2D65">
        <w:t xml:space="preserve"> that if one were to strip away the computer aspects of the claims, one would be left with only </w:t>
      </w:r>
      <w:r w:rsidR="00B221C9">
        <w:t>“</w:t>
      </w:r>
      <w:r w:rsidR="00921596" w:rsidRPr="00CB2D65">
        <w:t>a method for performing an aspect of a business</w:t>
      </w:r>
      <w:r w:rsidR="00B221C9">
        <w:t>”</w:t>
      </w:r>
      <w:r w:rsidR="00C06CB1" w:rsidRPr="00CB2D65">
        <w:t xml:space="preserve">.  Even if this were true </w:t>
      </w:r>
      <w:r w:rsidR="001B0DA8" w:rsidRPr="00CB2D65">
        <w:t xml:space="preserve">I do not accept that </w:t>
      </w:r>
      <w:r w:rsidR="005B4C05">
        <w:t xml:space="preserve">this is </w:t>
      </w:r>
      <w:r w:rsidR="001B0DA8" w:rsidRPr="00CB2D65">
        <w:t>the appropriate way to approach the question of manner of manufacture</w:t>
      </w:r>
      <w:r w:rsidR="005B4C05">
        <w:t>.  One should not</w:t>
      </w:r>
      <w:r w:rsidR="001B0DA8" w:rsidRPr="00CB2D65">
        <w:t xml:space="preserve"> subtract from the invention any aspect of computer implementation, and then determine whether what remains is the proper subject matter of letters patent</w:t>
      </w:r>
      <w:r w:rsidR="00312BB7">
        <w:t>.</w:t>
      </w:r>
      <w:r w:rsidR="001B0DA8" w:rsidRPr="00CB2D65">
        <w:t xml:space="preserve"> </w:t>
      </w:r>
      <w:r w:rsidR="00312BB7">
        <w:t xml:space="preserve"> </w:t>
      </w:r>
      <w:r w:rsidR="001B0DA8" w:rsidRPr="00CB2D65">
        <w:t xml:space="preserve">This is not consistent with </w:t>
      </w:r>
      <w:r w:rsidR="00954503">
        <w:t xml:space="preserve">Australian </w:t>
      </w:r>
      <w:r w:rsidR="001B0DA8" w:rsidRPr="00CB2D65">
        <w:t>authority, and fails to give effect to the plain words of the claims of the Patent, which clearly prescribe computer implementation or involvement</w:t>
      </w:r>
      <w:r w:rsidR="0025394F" w:rsidRPr="00CB2D65">
        <w:t xml:space="preserve"> as an essential feature of the invention</w:t>
      </w:r>
      <w:r w:rsidR="001B0DA8" w:rsidRPr="00CB2D65">
        <w:t xml:space="preserve">.  </w:t>
      </w:r>
      <w:r w:rsidR="00312BB7">
        <w:t xml:space="preserve">I accept that to a certain extent, the </w:t>
      </w:r>
      <w:r w:rsidR="00A463CB">
        <w:t>c</w:t>
      </w:r>
      <w:r w:rsidR="00312BB7">
        <w:t xml:space="preserve">ourt looks to the ‘substance’ of the claims, but by reference to what is actually claimed as necessarily informed by the specification. </w:t>
      </w:r>
    </w:p>
    <w:p w:rsidR="00921596" w:rsidRPr="00CB2D65" w:rsidRDefault="006C742B" w:rsidP="00921596">
      <w:pPr>
        <w:pStyle w:val="ParaNumbering"/>
      </w:pPr>
      <w:r w:rsidRPr="00CB2D65">
        <w:t xml:space="preserve">In any event, as a matter of fact I accept that the </w:t>
      </w:r>
      <w:r w:rsidR="00181072" w:rsidRPr="00CB2D65">
        <w:t xml:space="preserve">magnitude of </w:t>
      </w:r>
      <w:r w:rsidRPr="00CB2D65">
        <w:t xml:space="preserve">the </w:t>
      </w:r>
      <w:r w:rsidR="00181072" w:rsidRPr="00CB2D65">
        <w:t xml:space="preserve">task </w:t>
      </w:r>
      <w:r w:rsidRPr="00CB2D65">
        <w:t xml:space="preserve">performed by the invention </w:t>
      </w:r>
      <w:r w:rsidR="005B4C05">
        <w:t>(</w:t>
      </w:r>
      <w:r w:rsidRPr="00CB2D65">
        <w:t>as previously described</w:t>
      </w:r>
      <w:r w:rsidR="005B4C05">
        <w:t>)</w:t>
      </w:r>
      <w:r w:rsidR="00A561B7">
        <w:t xml:space="preserve"> </w:t>
      </w:r>
      <w:r w:rsidR="005B4C05">
        <w:t xml:space="preserve">and </w:t>
      </w:r>
      <w:r w:rsidR="00A561B7">
        <w:t>the express terms of the claims themselves</w:t>
      </w:r>
      <w:r w:rsidRPr="00CB2D65">
        <w:t xml:space="preserve"> </w:t>
      </w:r>
      <w:r w:rsidR="00A561B7">
        <w:t>mean</w:t>
      </w:r>
      <w:r w:rsidR="00181072" w:rsidRPr="00CB2D65">
        <w:t xml:space="preserve"> that the computer </w:t>
      </w:r>
      <w:r w:rsidR="00921596" w:rsidRPr="00CB2D65">
        <w:t xml:space="preserve">is an essential part of the invention claimed, as it enables </w:t>
      </w:r>
      <w:r w:rsidR="00181072" w:rsidRPr="00CB2D65">
        <w:t xml:space="preserve">the method to be performed.  </w:t>
      </w:r>
    </w:p>
    <w:p w:rsidR="00181072" w:rsidRPr="00CB2D65" w:rsidRDefault="00060405" w:rsidP="00181072">
      <w:pPr>
        <w:pStyle w:val="ParaNumbering"/>
      </w:pPr>
      <w:r w:rsidRPr="00CB2D65">
        <w:t>For similar reasons</w:t>
      </w:r>
      <w:r w:rsidR="00181072" w:rsidRPr="00CB2D65">
        <w:t>, I do not consider it relevant that the invention</w:t>
      </w:r>
      <w:r w:rsidRPr="00CB2D65">
        <w:t xml:space="preserve"> in question</w:t>
      </w:r>
      <w:r w:rsidR="00181072" w:rsidRPr="00CB2D65">
        <w:t xml:space="preserve"> does not involve steps which are </w:t>
      </w:r>
      <w:r w:rsidR="00B221C9">
        <w:t>“</w:t>
      </w:r>
      <w:r w:rsidR="00181072" w:rsidRPr="00CB2D65">
        <w:t>foreign to the normal use of computers</w:t>
      </w:r>
      <w:r w:rsidR="00B221C9">
        <w:t>”</w:t>
      </w:r>
      <w:r w:rsidR="00181072" w:rsidRPr="00CB2D65">
        <w:t xml:space="preserve">, as asserted by the Commissioner.  Such a requirement is not imposed by any of </w:t>
      </w:r>
      <w:r w:rsidR="00024F43">
        <w:t xml:space="preserve">the </w:t>
      </w:r>
      <w:r w:rsidR="008F6215">
        <w:t xml:space="preserve">binding </w:t>
      </w:r>
      <w:r w:rsidR="00181072" w:rsidRPr="00CB2D65">
        <w:t xml:space="preserve">authorities that were the subject of argument in this case, and I consider that to impose such a requirement strays dangerously close to the error </w:t>
      </w:r>
      <w:r w:rsidR="008F6215">
        <w:t xml:space="preserve">identified </w:t>
      </w:r>
      <w:r w:rsidR="00181072" w:rsidRPr="00CB2D65">
        <w:t>in the primary judge</w:t>
      </w:r>
      <w:r w:rsidR="00B221C9">
        <w:t>’</w:t>
      </w:r>
      <w:r w:rsidR="00181072" w:rsidRPr="00CB2D65">
        <w:t xml:space="preserve">s reasoning by the Full Court in </w:t>
      </w:r>
      <w:r w:rsidR="00181072" w:rsidRPr="00CB2D65">
        <w:rPr>
          <w:i/>
        </w:rPr>
        <w:t>CCOM</w:t>
      </w:r>
      <w:r w:rsidR="00522C61" w:rsidRPr="00CB2D65">
        <w:t xml:space="preserve"> (1994) 51 FCR 260</w:t>
      </w:r>
      <w:r w:rsidR="00024F43">
        <w:t xml:space="preserve"> at 291</w:t>
      </w:r>
      <w:r w:rsidR="00181072" w:rsidRPr="00CB2D65">
        <w:t>:</w:t>
      </w:r>
    </w:p>
    <w:p w:rsidR="00181072" w:rsidRPr="00CB2D65" w:rsidRDefault="00181072" w:rsidP="00181072">
      <w:pPr>
        <w:pStyle w:val="Quote1"/>
        <w:rPr>
          <w:i/>
        </w:rPr>
      </w:pPr>
      <w:r w:rsidRPr="00CB2D65">
        <w:rPr>
          <w:i/>
        </w:rPr>
        <w:t xml:space="preserve">The immediate significance of this is that in the 1990 Act, manner of manufacture, novelty, inventiveness and utility are stated as </w:t>
      </w:r>
      <w:r w:rsidRPr="00CB2D65">
        <w:rPr>
          <w:b/>
          <w:i/>
        </w:rPr>
        <w:t>distinct requirements of a patentable invention</w:t>
      </w:r>
      <w:r w:rsidRPr="00CB2D65">
        <w:rPr>
          <w:i/>
        </w:rPr>
        <w:t xml:space="preserve">. Thus, whilst a claim for the ball point pen now would fail for anticipation and obviousness, it would still be a claim for a manner of manufacture. </w:t>
      </w:r>
      <w:r w:rsidRPr="00CB2D65">
        <w:rPr>
          <w:b/>
          <w:i/>
        </w:rPr>
        <w:t xml:space="preserve">Yet in the present case there are passages in the reasons of the primary judge (at 593) which suggest he was influenced in the determination of the issue as to </w:t>
      </w:r>
      <w:r w:rsidR="00B221C9">
        <w:rPr>
          <w:b/>
          <w:i/>
        </w:rPr>
        <w:t>“</w:t>
      </w:r>
      <w:r w:rsidRPr="00CB2D65">
        <w:rPr>
          <w:b/>
          <w:i/>
        </w:rPr>
        <w:t>manner of manufacture</w:t>
      </w:r>
      <w:r w:rsidR="00B221C9">
        <w:rPr>
          <w:b/>
          <w:i/>
        </w:rPr>
        <w:t>”</w:t>
      </w:r>
      <w:r w:rsidRPr="00CB2D65">
        <w:rPr>
          <w:b/>
          <w:i/>
        </w:rPr>
        <w:t xml:space="preserve"> by asking whether what was claimed involved anything new and unconventional in computer use.</w:t>
      </w:r>
    </w:p>
    <w:p w:rsidR="00021FE4" w:rsidRDefault="00021FE4" w:rsidP="00181072">
      <w:pPr>
        <w:pStyle w:val="Quote1"/>
      </w:pPr>
    </w:p>
    <w:p w:rsidR="00060405" w:rsidRPr="00060405" w:rsidRDefault="00021FE4" w:rsidP="00181072">
      <w:pPr>
        <w:pStyle w:val="Quote1"/>
      </w:pPr>
      <w:r>
        <w:t>(</w:t>
      </w:r>
      <w:r w:rsidR="00060405" w:rsidRPr="00CB2D65">
        <w:t>Emphasis added</w:t>
      </w:r>
      <w:r>
        <w:t>)</w:t>
      </w:r>
    </w:p>
    <w:p w:rsidR="001C4506" w:rsidRDefault="00202EAA" w:rsidP="00D84849">
      <w:pPr>
        <w:pStyle w:val="ParaNumbering"/>
      </w:pPr>
      <w:r w:rsidRPr="00CB2D65">
        <w:t>Finally, I note the parties</w:t>
      </w:r>
      <w:r w:rsidR="00B221C9">
        <w:t>’</w:t>
      </w:r>
      <w:r w:rsidRPr="00CB2D65">
        <w:t xml:space="preserve"> submissions on the question of business method inventions</w:t>
      </w:r>
      <w:r w:rsidR="004B5264">
        <w:t xml:space="preserve"> (otherwise known as </w:t>
      </w:r>
      <w:r w:rsidR="00B221C9">
        <w:t>‘</w:t>
      </w:r>
      <w:r w:rsidR="004B5264">
        <w:t>business systems</w:t>
      </w:r>
      <w:r w:rsidR="00B221C9">
        <w:t>’</w:t>
      </w:r>
      <w:r w:rsidR="004B5264">
        <w:t>)</w:t>
      </w:r>
      <w:r w:rsidRPr="00CB2D65">
        <w:t>, and the 2003 A</w:t>
      </w:r>
      <w:r w:rsidR="004B5264">
        <w:t xml:space="preserve">dvisory </w:t>
      </w:r>
      <w:r w:rsidRPr="00CB2D65">
        <w:t>C</w:t>
      </w:r>
      <w:r w:rsidR="004B5264">
        <w:t xml:space="preserve">ouncil on </w:t>
      </w:r>
      <w:r w:rsidRPr="00CB2D65">
        <w:t>I</w:t>
      </w:r>
      <w:r w:rsidR="004B5264">
        <w:t xml:space="preserve">ntellectual </w:t>
      </w:r>
      <w:r w:rsidRPr="00CB2D65">
        <w:t>P</w:t>
      </w:r>
      <w:r w:rsidR="004B5264">
        <w:t>roperty</w:t>
      </w:r>
      <w:r w:rsidRPr="00CB2D65">
        <w:t xml:space="preserve"> report </w:t>
      </w:r>
      <w:r w:rsidR="00D90A10" w:rsidRPr="00CB2D65">
        <w:t>that recommended that such inventions be patentable.  This report – and the government</w:t>
      </w:r>
      <w:r w:rsidR="00B221C9">
        <w:t>’</w:t>
      </w:r>
      <w:r w:rsidR="00D90A10" w:rsidRPr="00CB2D65">
        <w:t xml:space="preserve">s subsequent endorsement of this recommendation – was </w:t>
      </w:r>
      <w:r w:rsidRPr="00CB2D65">
        <w:t xml:space="preserve">referred to in </w:t>
      </w:r>
      <w:r w:rsidRPr="00CE5327">
        <w:rPr>
          <w:i/>
        </w:rPr>
        <w:t>Grant</w:t>
      </w:r>
      <w:r w:rsidRPr="00CB2D65">
        <w:t xml:space="preserve">.  </w:t>
      </w:r>
      <w:r w:rsidR="00730104" w:rsidRPr="00CB2D65">
        <w:t xml:space="preserve">It is not necessary for me to consider this </w:t>
      </w:r>
      <w:r w:rsidR="001C4506">
        <w:t xml:space="preserve">issue in any detail </w:t>
      </w:r>
      <w:r w:rsidR="00A606F0">
        <w:t>in this proceeding</w:t>
      </w:r>
      <w:r w:rsidR="008F6215">
        <w:t>.  A</w:t>
      </w:r>
      <w:r w:rsidR="001C4506">
        <w:t xml:space="preserve">s the </w:t>
      </w:r>
      <w:smartTag w:uri="urn:schemas-microsoft-com:office:smarttags" w:element="Street">
        <w:smartTag w:uri="urn:schemas-microsoft-com:office:smarttags" w:element="address">
          <w:r w:rsidR="00A463CB">
            <w:t xml:space="preserve">Full </w:t>
          </w:r>
          <w:r w:rsidR="001C4506">
            <w:t>Court</w:t>
          </w:r>
        </w:smartTag>
      </w:smartTag>
      <w:r w:rsidR="001C4506">
        <w:t xml:space="preserve"> noted in </w:t>
      </w:r>
      <w:r w:rsidR="001C4506" w:rsidRPr="001C4506">
        <w:rPr>
          <w:i/>
        </w:rPr>
        <w:t>Grant</w:t>
      </w:r>
      <w:r w:rsidR="0014116A">
        <w:rPr>
          <w:i/>
        </w:rPr>
        <w:t xml:space="preserve"> </w:t>
      </w:r>
      <w:r w:rsidR="0014116A" w:rsidRPr="0014116A">
        <w:t>(</w:t>
      </w:r>
      <w:r w:rsidR="0014116A">
        <w:t>at 69 [25])</w:t>
      </w:r>
      <w:r w:rsidR="001C4506">
        <w:t xml:space="preserve">: </w:t>
      </w:r>
    </w:p>
    <w:p w:rsidR="001C4506" w:rsidRPr="001C4506" w:rsidRDefault="001C4506" w:rsidP="001C4506">
      <w:pPr>
        <w:pStyle w:val="Quote1"/>
        <w:rPr>
          <w:i/>
        </w:rPr>
      </w:pPr>
      <w:r w:rsidRPr="001C4506">
        <w:rPr>
          <w:i/>
        </w:rPr>
        <w:t xml:space="preserve">[p]atent protection is afforded to an invention that complies with the requirements of the Act, including manner of manufacture.  The fact that a method may be called a business method does not prevent it being properly the subject of letters patent.  </w:t>
      </w:r>
    </w:p>
    <w:p w:rsidR="00CB28B7" w:rsidRPr="00CB2D65" w:rsidRDefault="005641FE" w:rsidP="00CB28B7">
      <w:pPr>
        <w:pStyle w:val="ParaNumbering"/>
      </w:pPr>
      <w:r>
        <w:t xml:space="preserve">For the foregoing reasons, </w:t>
      </w:r>
      <w:r w:rsidR="00CB28B7" w:rsidRPr="00CB2D65">
        <w:t xml:space="preserve">I consider that the invention in question is a proper subject of letters patent according to the principles developed for the application of s 6 of the Statute of Monopolies, and is a manner of manufacture for the purpose of s 18 of the Act.  </w:t>
      </w:r>
      <w:r w:rsidR="00F07EDC">
        <w:t>In light of these findings, it is unnecessary to consider further claims 2 to 4</w:t>
      </w:r>
      <w:r w:rsidR="008F6215">
        <w:t xml:space="preserve"> of the Patent</w:t>
      </w:r>
      <w:r w:rsidR="00F07EDC">
        <w:t>.</w:t>
      </w:r>
    </w:p>
    <w:p w:rsidR="00842056" w:rsidRDefault="00842056" w:rsidP="00842056">
      <w:pPr>
        <w:pStyle w:val="Heading1"/>
      </w:pPr>
      <w:r>
        <w:t>THE DECISIONS IN DYNAMITE GAMES AND RESEARCH AFFILIATES</w:t>
      </w:r>
    </w:p>
    <w:p w:rsidR="00842056" w:rsidRDefault="00B73AD0" w:rsidP="00842056">
      <w:pPr>
        <w:pStyle w:val="ParaNumbering"/>
      </w:pPr>
      <w:r>
        <w:t xml:space="preserve">There is one final matter which requires comment.  </w:t>
      </w:r>
      <w:r w:rsidR="00842056">
        <w:t xml:space="preserve">After judgment was reserved in this matter, </w:t>
      </w:r>
      <w:r w:rsidR="001F52DB">
        <w:t xml:space="preserve">judgment was delivered by Emmett </w:t>
      </w:r>
      <w:r w:rsidR="00CD7CF7">
        <w:t xml:space="preserve">J </w:t>
      </w:r>
      <w:r w:rsidR="001F52DB">
        <w:t xml:space="preserve">in the matters of </w:t>
      </w:r>
      <w:r w:rsidR="001F52DB" w:rsidRPr="00F8202B">
        <w:rPr>
          <w:i/>
        </w:rPr>
        <w:t>Research Affiliates LLC v Commissioner of Patents</w:t>
      </w:r>
      <w:r w:rsidR="001F52DB">
        <w:t xml:space="preserve"> [2013] FCA 71 (13 February 2013) </w:t>
      </w:r>
      <w:r>
        <w:t>(</w:t>
      </w:r>
      <w:r w:rsidR="00047A40">
        <w:t>‘</w:t>
      </w:r>
      <w:r>
        <w:t>Research Affiliates</w:t>
      </w:r>
      <w:r w:rsidR="00047A40">
        <w:t>’</w:t>
      </w:r>
      <w:r>
        <w:t xml:space="preserve">) </w:t>
      </w:r>
      <w:r w:rsidR="001F52DB">
        <w:t xml:space="preserve">and </w:t>
      </w:r>
      <w:r w:rsidR="00B4762C" w:rsidRPr="00B4762C">
        <w:rPr>
          <w:i/>
        </w:rPr>
        <w:t>Dynamite Games Pty Lt</w:t>
      </w:r>
      <w:r w:rsidR="001F52DB" w:rsidRPr="00B4762C">
        <w:rPr>
          <w:i/>
        </w:rPr>
        <w:t xml:space="preserve">d </w:t>
      </w:r>
      <w:r w:rsidR="00B4762C" w:rsidRPr="00B4762C">
        <w:rPr>
          <w:i/>
        </w:rPr>
        <w:t>v Aruze Gaming Australia Pty Lt</w:t>
      </w:r>
      <w:r w:rsidR="001F52DB" w:rsidRPr="00B4762C">
        <w:rPr>
          <w:i/>
        </w:rPr>
        <w:t>d</w:t>
      </w:r>
      <w:r w:rsidR="004E10BD">
        <w:t xml:space="preserve"> (2013) 100 IPR 86;</w:t>
      </w:r>
      <w:r w:rsidR="001F52DB">
        <w:t xml:space="preserve"> [2013] FCA 163 (4 March 2013)</w:t>
      </w:r>
      <w:r>
        <w:t xml:space="preserve"> (</w:t>
      </w:r>
      <w:r w:rsidR="00047A40">
        <w:t>‘</w:t>
      </w:r>
      <w:r>
        <w:t>Dynamite Games</w:t>
      </w:r>
      <w:r w:rsidR="00047A40">
        <w:t>’</w:t>
      </w:r>
      <w:r>
        <w:t>)</w:t>
      </w:r>
      <w:r w:rsidR="001F52DB">
        <w:t>.</w:t>
      </w:r>
    </w:p>
    <w:p w:rsidR="00F213A6" w:rsidRDefault="00F213A6" w:rsidP="00FB4A42">
      <w:pPr>
        <w:pStyle w:val="ParaNumbering"/>
      </w:pPr>
      <w:r w:rsidRPr="000865CB">
        <w:rPr>
          <w:i/>
        </w:rPr>
        <w:t>Research Affiliates</w:t>
      </w:r>
      <w:r>
        <w:t xml:space="preserve"> was a case involving </w:t>
      </w:r>
      <w:r w:rsidR="005E64EF">
        <w:t>a parent patent application and a divisional patent application</w:t>
      </w:r>
      <w:r w:rsidR="006C54E7">
        <w:t>, both claiming an invention described as a “Valuation Indifferent Non-Capitalization Weighted Index and Portfolio”</w:t>
      </w:r>
      <w:r w:rsidR="00DD1FEA">
        <w:t xml:space="preserve">.  </w:t>
      </w:r>
      <w:r w:rsidR="005548EB">
        <w:t xml:space="preserve">In effect, the invention purported to produce </w:t>
      </w:r>
      <w:r w:rsidR="00323EA7">
        <w:t xml:space="preserve">an </w:t>
      </w:r>
      <w:r w:rsidR="005548EB">
        <w:t xml:space="preserve">index </w:t>
      </w:r>
      <w:r w:rsidR="00323EA7">
        <w:t xml:space="preserve">of securities or assets </w:t>
      </w:r>
      <w:r w:rsidR="005548EB">
        <w:t xml:space="preserve">by way of computer.  </w:t>
      </w:r>
      <w:r w:rsidR="005E64EF">
        <w:t xml:space="preserve">At first instance, </w:t>
      </w:r>
      <w:r w:rsidR="000865CB">
        <w:t xml:space="preserve">in respect of each patent application, </w:t>
      </w:r>
      <w:r w:rsidR="005E64EF">
        <w:t>a delegate of the Commissioner concluded that the claims were not for a manner of manufacture</w:t>
      </w:r>
      <w:r w:rsidR="000865CB">
        <w:t>, and therefore refused the application</w:t>
      </w:r>
      <w:r w:rsidR="002E4C2B">
        <w:t>s</w:t>
      </w:r>
      <w:r w:rsidR="005E64EF">
        <w:t xml:space="preserve">. </w:t>
      </w:r>
      <w:r w:rsidR="00FB4A42">
        <w:t xml:space="preserve"> On appeal to the Federal Court</w:t>
      </w:r>
      <w:r w:rsidR="005E64EF">
        <w:t>, t</w:t>
      </w:r>
      <w:r w:rsidR="00DD1FEA">
        <w:t xml:space="preserve">he principal question for determination by his Honour was whether the claimed invention </w:t>
      </w:r>
      <w:r w:rsidR="00FB4A42">
        <w:t xml:space="preserve">of the two patent applications </w:t>
      </w:r>
      <w:r w:rsidR="00DD1FEA">
        <w:t xml:space="preserve">was a manner of manufacture within the meaning of s 18(1)(a) of the Act. </w:t>
      </w:r>
      <w:r w:rsidR="005E64EF">
        <w:t xml:space="preserve"> </w:t>
      </w:r>
    </w:p>
    <w:p w:rsidR="005E64EF" w:rsidRDefault="005E64EF" w:rsidP="00842056">
      <w:pPr>
        <w:pStyle w:val="ParaNumbering"/>
      </w:pPr>
      <w:r>
        <w:t xml:space="preserve">At [22] of </w:t>
      </w:r>
      <w:r w:rsidR="00CD7CF7">
        <w:t>his</w:t>
      </w:r>
      <w:r w:rsidR="00FB4A42">
        <w:t xml:space="preserve"> </w:t>
      </w:r>
      <w:r>
        <w:t>reasons for judgment</w:t>
      </w:r>
      <w:r w:rsidR="00FB4A42">
        <w:t xml:space="preserve"> in </w:t>
      </w:r>
      <w:r w:rsidR="00FB4A42" w:rsidRPr="00FB4A42">
        <w:rPr>
          <w:i/>
        </w:rPr>
        <w:t>Research Affiliates</w:t>
      </w:r>
      <w:r w:rsidR="00FB4A42">
        <w:t xml:space="preserve"> [2013] FCA 71,</w:t>
      </w:r>
      <w:r>
        <w:t xml:space="preserve"> </w:t>
      </w:r>
      <w:r w:rsidR="00CD7CF7">
        <w:t>Emmett</w:t>
      </w:r>
      <w:r w:rsidR="00D71E20">
        <w:t> </w:t>
      </w:r>
      <w:r w:rsidR="00CD7CF7">
        <w:t xml:space="preserve">J </w:t>
      </w:r>
      <w:r>
        <w:t>stated:</w:t>
      </w:r>
    </w:p>
    <w:p w:rsidR="005E64EF" w:rsidRPr="005E64EF" w:rsidRDefault="005E64EF" w:rsidP="005E64EF">
      <w:pPr>
        <w:pStyle w:val="Quote1"/>
        <w:rPr>
          <w:i/>
        </w:rPr>
      </w:pPr>
      <w:r w:rsidRPr="005E64EF">
        <w:rPr>
          <w:i/>
        </w:rPr>
        <w:t>For a method to be patentable, it must produce a product in which a new and useful effect may be observed. In the case of computer programs, it is necessary to look to the application of the program to produce a practical and useful result, so that more than mere information is involved. The method of a claimed invention will not be patentable if it does not produce an artificial state of affairs, in the sense of a concrete, tangible, physical or observable effect. Even if there is not a physically observable end result, in the sense of a tangible product, a claimed invention that is a method may nevertheless be patentable if it applies the method in a physical device. In such a case, an artificial state of affairs is produced in the physical device by the claimed method. Thus, a physical effect, in the sense of a concrete effect or phenomenon or manifestation or transformation, is required. It is sufficient if there is a component that was physically affected or a change in state or information in part of a machine. They can be regarded as physical effects. However, if the claimed invention is a mere scheme, an abstract idea or mere information, it will not be patentable as there is no physical consequence (Grant v Commissioner of Patents (2006) 154 FCR 62 at 70–71).</w:t>
      </w:r>
    </w:p>
    <w:p w:rsidR="00CD7CF7" w:rsidRDefault="00A11C68" w:rsidP="00CD7CF7">
      <w:pPr>
        <w:pStyle w:val="ParaNumbering"/>
      </w:pPr>
      <w:r>
        <w:t>T</w:t>
      </w:r>
      <w:r w:rsidR="00CD7CF7">
        <w:t xml:space="preserve">hese </w:t>
      </w:r>
      <w:r w:rsidR="00FB4A42">
        <w:t>statements</w:t>
      </w:r>
      <w:r w:rsidR="00CD7CF7">
        <w:t xml:space="preserve"> of principle made by his Honour</w:t>
      </w:r>
      <w:r>
        <w:t xml:space="preserve"> generally summarise </w:t>
      </w:r>
      <w:r w:rsidR="003F3AF2">
        <w:t xml:space="preserve">a number of </w:t>
      </w:r>
      <w:r>
        <w:t xml:space="preserve">principles </w:t>
      </w:r>
      <w:r w:rsidR="003F3AF2">
        <w:t xml:space="preserve">and </w:t>
      </w:r>
      <w:r>
        <w:t>examples contained in relevant Australian authorities</w:t>
      </w:r>
      <w:r w:rsidR="00FB4A42">
        <w:t xml:space="preserve">.  </w:t>
      </w:r>
      <w:r>
        <w:t xml:space="preserve">His Honour’s comments were not meant to be read as a statute, or otherwise treated as more than a brief summary of the applicable principles.  I note that a </w:t>
      </w:r>
      <w:r w:rsidR="00CD7CF7">
        <w:t xml:space="preserve">similar paragraph appears at 118 [165] in his Honour’s reasons for judgment in </w:t>
      </w:r>
      <w:r w:rsidR="00CD7CF7" w:rsidRPr="001F52DB">
        <w:rPr>
          <w:i/>
        </w:rPr>
        <w:t>Dynamite Games</w:t>
      </w:r>
      <w:r w:rsidR="003F3AF2">
        <w:t xml:space="preserve"> (but </w:t>
      </w:r>
      <w:r w:rsidR="00CD7CF7">
        <w:t>as his Honour concluded in that case that it was not necessary to ultimately determine the manner of manufacture question, I will say no more about it</w:t>
      </w:r>
      <w:r w:rsidR="003F3AF2">
        <w:t>)</w:t>
      </w:r>
      <w:r w:rsidR="00CD7CF7">
        <w:t>.</w:t>
      </w:r>
    </w:p>
    <w:p w:rsidR="0028370F" w:rsidRDefault="005548EB" w:rsidP="00842056">
      <w:pPr>
        <w:pStyle w:val="ParaNumbering"/>
      </w:pPr>
      <w:r>
        <w:t xml:space="preserve">Ultimately in </w:t>
      </w:r>
      <w:r w:rsidRPr="00DD182F">
        <w:rPr>
          <w:i/>
        </w:rPr>
        <w:t>Research Affiliates</w:t>
      </w:r>
      <w:r w:rsidR="008F4DA5">
        <w:rPr>
          <w:i/>
        </w:rPr>
        <w:t xml:space="preserve"> </w:t>
      </w:r>
      <w:r w:rsidR="008F4DA5">
        <w:t>[2013] FCA 71</w:t>
      </w:r>
      <w:r>
        <w:t xml:space="preserve">, Emmett J concluded that </w:t>
      </w:r>
      <w:r w:rsidR="00DD182F">
        <w:t xml:space="preserve">the asserted invention was not a manner of manufacture. </w:t>
      </w:r>
      <w:r w:rsidR="0015020B">
        <w:t xml:space="preserve"> </w:t>
      </w:r>
    </w:p>
    <w:p w:rsidR="001F52DB" w:rsidRDefault="00DA112F" w:rsidP="00842056">
      <w:pPr>
        <w:pStyle w:val="ParaNumbering"/>
      </w:pPr>
      <w:r>
        <w:t xml:space="preserve">I note that in that case, </w:t>
      </w:r>
      <w:r w:rsidR="0028370F">
        <w:t>o</w:t>
      </w:r>
      <w:r w:rsidR="0015020B">
        <w:t>n the subject of the requirements that the claimed method result in an artificially created state of affairs and be in the field of economic endeavour, Research Affiliates submitted as follows</w:t>
      </w:r>
      <w:r w:rsidR="00D7146B">
        <w:t xml:space="preserve"> (at [61])</w:t>
      </w:r>
      <w:r w:rsidR="0015020B">
        <w:t>:</w:t>
      </w:r>
    </w:p>
    <w:p w:rsidR="0015020B" w:rsidRPr="0015020B" w:rsidRDefault="0015020B" w:rsidP="0015020B">
      <w:pPr>
        <w:pStyle w:val="Quote1"/>
        <w:rPr>
          <w:i/>
        </w:rPr>
      </w:pPr>
      <w:r w:rsidRPr="0015020B">
        <w:rPr>
          <w:i/>
        </w:rPr>
        <w:t>claim 1 involves the creation of an index by a method involving a number of steps. The first step involves accessing data relating to a plurality of assets. That involves retrieving the data from, for example, a database stored on a secondary memory device, such as a hard disk, or receiving it from an external source over a communications network. The second step involves processing the data to select the assets for inclusion in the index, based on specified measures of scale or metrics. That involves applying algorithms to the data collected in the first step, resulting in a new set of data relating to the assets that have been selected for inclusion in the index. In the third step of the claimed method, the computer’s processor manipulates the data generated in the second step to calculate a weighting for each of the selected assets.</w:t>
      </w:r>
    </w:p>
    <w:p w:rsidR="0015020B" w:rsidRDefault="00A82DDE" w:rsidP="00842056">
      <w:pPr>
        <w:pStyle w:val="ParaNumbering"/>
      </w:pPr>
      <w:r>
        <w:t>The result of performing the steps of the method was said to be the generation of an index, the form of which was said to be “a computer-generated data set comprising the selected assets and their associated weightings”</w:t>
      </w:r>
      <w:r w:rsidR="00255615">
        <w:t xml:space="preserve"> (at [62])</w:t>
      </w:r>
      <w:r>
        <w:t xml:space="preserve">.  </w:t>
      </w:r>
      <w:r w:rsidR="00255615">
        <w:t xml:space="preserve">This index was initially stored in the computer’s RAM, but could also be saved and stored in a secondary memory device (such as a USB flash drive), or transmitted over a communications network to another computer system (at [62]).  </w:t>
      </w:r>
    </w:p>
    <w:p w:rsidR="00255615" w:rsidRDefault="00676CFF" w:rsidP="00842056">
      <w:pPr>
        <w:pStyle w:val="ParaNumbering"/>
      </w:pPr>
      <w:r>
        <w:t>However, Emmett J noted at [66] of his reasons for judgment that:</w:t>
      </w:r>
    </w:p>
    <w:p w:rsidR="00676CFF" w:rsidRDefault="00676CFF" w:rsidP="00676CFF">
      <w:pPr>
        <w:pStyle w:val="Quote1"/>
        <w:rPr>
          <w:i/>
        </w:rPr>
      </w:pPr>
      <w:r w:rsidRPr="00DA112F">
        <w:rPr>
          <w:b/>
          <w:i/>
        </w:rPr>
        <w:t>Research Affiliates accepts that the only physical result generated by the method of the claimed invention is a computer file containing the index.</w:t>
      </w:r>
      <w:r w:rsidRPr="00676CFF">
        <w:rPr>
          <w:i/>
        </w:rPr>
        <w:t xml:space="preserve"> That is because the method is implemented by means of a computer. Research Affiliates places significance on the fact that the result of the claimed method is the generation of the index by a computer.</w:t>
      </w:r>
    </w:p>
    <w:p w:rsidR="00DA112F" w:rsidRDefault="00DA112F" w:rsidP="00676CFF">
      <w:pPr>
        <w:pStyle w:val="Quote1"/>
        <w:rPr>
          <w:i/>
        </w:rPr>
      </w:pPr>
    </w:p>
    <w:p w:rsidR="00DA112F" w:rsidRPr="00DA112F" w:rsidRDefault="00021FE4" w:rsidP="00676CFF">
      <w:pPr>
        <w:pStyle w:val="Quote1"/>
      </w:pPr>
      <w:r>
        <w:t>(Emphasis added</w:t>
      </w:r>
      <w:r w:rsidR="00DA112F">
        <w:t>)</w:t>
      </w:r>
    </w:p>
    <w:p w:rsidR="00C5480A" w:rsidRDefault="00C5480A" w:rsidP="00842056">
      <w:pPr>
        <w:pStyle w:val="ParaNumbering"/>
      </w:pPr>
      <w:r>
        <w:t>This led his Honour to conclude that (at [67]);</w:t>
      </w:r>
    </w:p>
    <w:p w:rsidR="00C5480A" w:rsidRPr="00C5480A" w:rsidRDefault="00C5480A" w:rsidP="00C5480A">
      <w:pPr>
        <w:pStyle w:val="Quote1"/>
        <w:rPr>
          <w:i/>
        </w:rPr>
      </w:pPr>
      <w:r w:rsidRPr="00C5480A">
        <w:rPr>
          <w:i/>
        </w:rPr>
        <w:t>However, the index generated is nothing more than a set of data. The index is simply information: it is a set of numbers. It is no more a manner of manufacture than a bank balance, whether represented as data in a bank’s computer, written on a piece of paper or kept in a person’s memory. While it is true that the index may be stored in the computer’s RAM, or on a memory device, or can be transmitted, that can be said of any data generated by a computer. If that were sufficient to satisfy the requirement of an artificially created state of affairs, any computer-implemented scheme would be patentable, merely by reason of the fact that it happens to be implemented by a computer.</w:t>
      </w:r>
    </w:p>
    <w:p w:rsidR="008F4DA5" w:rsidRDefault="00C5480A" w:rsidP="00842056">
      <w:pPr>
        <w:pStyle w:val="ParaNumbering"/>
      </w:pPr>
      <w:r>
        <w:t xml:space="preserve">It appears that in reaching </w:t>
      </w:r>
      <w:r w:rsidR="009902FB">
        <w:t>t</w:t>
      </w:r>
      <w:r>
        <w:t>his ultimate conclusion, his Honour was influenced by these matters</w:t>
      </w:r>
      <w:r w:rsidR="009902FB">
        <w:t>,</w:t>
      </w:r>
      <w:r>
        <w:t xml:space="preserve"> and the fact that the specification</w:t>
      </w:r>
      <w:r w:rsidR="009902FB">
        <w:t>s</w:t>
      </w:r>
      <w:r>
        <w:t xml:space="preserve"> contained virtually no substantive detail about how the claimed method was to be implemented by a computer (at [68]).  </w:t>
      </w:r>
      <w:r w:rsidR="008F4DA5">
        <w:t xml:space="preserve">Accordingly, his Honour held that </w:t>
      </w:r>
      <w:r w:rsidR="003F3AF2">
        <w:t xml:space="preserve">although the “mere use” of a computer necessarily carries with it the writing of information into the computer’s memory, </w:t>
      </w:r>
      <w:r w:rsidR="008F4DA5">
        <w:t>“[t]he method of the claimed invention does not involve a specific effect being generated by the computer</w:t>
      </w:r>
      <w:r w:rsidR="003F3AF2">
        <w:t>”</w:t>
      </w:r>
      <w:r w:rsidR="008F4DA5">
        <w:t>.  Neither the specification</w:t>
      </w:r>
      <w:r w:rsidR="009902FB">
        <w:t>s</w:t>
      </w:r>
      <w:r w:rsidR="008F4DA5">
        <w:t xml:space="preserve"> nor the relevant claims disclosed how to produce the index in question – for example, how </w:t>
      </w:r>
      <w:r w:rsidR="008501C9">
        <w:t xml:space="preserve">the </w:t>
      </w:r>
      <w:r w:rsidR="008F4DA5">
        <w:t xml:space="preserve">data </w:t>
      </w:r>
      <w:r w:rsidR="008501C9">
        <w:t>wa</w:t>
      </w:r>
      <w:r w:rsidR="008F4DA5">
        <w:t xml:space="preserve">s </w:t>
      </w:r>
      <w:r w:rsidR="003F3AF2">
        <w:t xml:space="preserve">to be </w:t>
      </w:r>
      <w:r w:rsidR="008F4DA5">
        <w:t xml:space="preserve">accessed, or the nature of the processing, weighting or other tasks </w:t>
      </w:r>
      <w:r w:rsidR="003F3AF2">
        <w:t xml:space="preserve">to be </w:t>
      </w:r>
      <w:r w:rsidR="008F4DA5">
        <w:t>undertaken in the various steps (at [70]).  His Honour considered that this was not sufficient in the circumstances</w:t>
      </w:r>
      <w:r w:rsidR="008501C9">
        <w:t xml:space="preserve"> to satisfy the </w:t>
      </w:r>
      <w:r w:rsidR="003F3AF2">
        <w:t xml:space="preserve">requirements of the </w:t>
      </w:r>
      <w:r w:rsidR="008501C9">
        <w:t>manner of manufacture</w:t>
      </w:r>
      <w:r w:rsidR="003F3AF2">
        <w:t xml:space="preserve"> inquiry</w:t>
      </w:r>
      <w:r w:rsidR="008F4DA5">
        <w:t>.</w:t>
      </w:r>
    </w:p>
    <w:p w:rsidR="00676CFF" w:rsidRPr="00842056" w:rsidRDefault="008F4DA5" w:rsidP="00842056">
      <w:pPr>
        <w:pStyle w:val="ParaNumbering"/>
      </w:pPr>
      <w:r>
        <w:t xml:space="preserve">It is on this basis that </w:t>
      </w:r>
      <w:r w:rsidRPr="008F4DA5">
        <w:rPr>
          <w:i/>
        </w:rPr>
        <w:t>Research Affiliates</w:t>
      </w:r>
      <w:r>
        <w:t xml:space="preserve"> [2013] FCA 71 can be distinguished from the case presently before the Court.  </w:t>
      </w:r>
      <w:r w:rsidR="001342CD">
        <w:t xml:space="preserve">As I have already set out in some detail in these reasons, the specification </w:t>
      </w:r>
      <w:r w:rsidR="00E41739">
        <w:t xml:space="preserve">and claims </w:t>
      </w:r>
      <w:r w:rsidR="001342CD">
        <w:t xml:space="preserve">in issue in this case provide significant information about how the invention is to be implemented by means of computer. </w:t>
      </w:r>
      <w:r w:rsidR="00092AA1">
        <w:t xml:space="preserve"> </w:t>
      </w:r>
      <w:r w:rsidR="00E41739">
        <w:t xml:space="preserve">The </w:t>
      </w:r>
      <w:r w:rsidR="00A11C68">
        <w:t xml:space="preserve">computer is integral to the invention as claimed in this proceeding.  </w:t>
      </w:r>
      <w:r w:rsidR="00092AA1">
        <w:t>Accordingly, I do not consider that the conclusion reached in this case is at odds with what his Honour concluded</w:t>
      </w:r>
      <w:r w:rsidR="00A11C68">
        <w:t xml:space="preserve"> </w:t>
      </w:r>
      <w:r w:rsidR="00092AA1">
        <w:t xml:space="preserve">in </w:t>
      </w:r>
      <w:r w:rsidR="00092AA1" w:rsidRPr="00092AA1">
        <w:rPr>
          <w:i/>
        </w:rPr>
        <w:t>Research Affiliates</w:t>
      </w:r>
      <w:r w:rsidR="00092AA1">
        <w:t xml:space="preserve"> [2013] FCA 71.</w:t>
      </w:r>
      <w:r w:rsidR="00A11C68">
        <w:t xml:space="preserve">  I need say nothing further as to the correctness of the actual decision in </w:t>
      </w:r>
      <w:r w:rsidR="00A11C68" w:rsidRPr="00A11C68">
        <w:rPr>
          <w:i/>
        </w:rPr>
        <w:t>Research Affiliates</w:t>
      </w:r>
      <w:r w:rsidR="00A11C68">
        <w:t>.</w:t>
      </w:r>
    </w:p>
    <w:p w:rsidR="00857E24" w:rsidRPr="00CB2D65" w:rsidRDefault="00D71791" w:rsidP="00857E24">
      <w:pPr>
        <w:pStyle w:val="Heading1"/>
      </w:pPr>
      <w:r w:rsidRPr="00CB2D65">
        <w:t xml:space="preserve">CONCLUSION AND </w:t>
      </w:r>
      <w:r w:rsidR="00857E24" w:rsidRPr="00CB2D65">
        <w:t>ORDERS</w:t>
      </w:r>
    </w:p>
    <w:p w:rsidR="00F8186B" w:rsidRDefault="00132BEB" w:rsidP="00132BEB">
      <w:pPr>
        <w:pStyle w:val="ParaNumbering"/>
      </w:pPr>
      <w:r w:rsidRPr="00CB2D65">
        <w:t>In light of the foregoing, I uphold the appeal</w:t>
      </w:r>
      <w:r w:rsidR="00A11C68">
        <w:t>.</w:t>
      </w:r>
      <w:r w:rsidRPr="00CB2D65">
        <w:t xml:space="preserve"> </w:t>
      </w:r>
    </w:p>
    <w:p w:rsidR="00D71791" w:rsidRPr="00CB2D65" w:rsidRDefault="00A11C68" w:rsidP="00BF07F8">
      <w:pPr>
        <w:pStyle w:val="ParaNumbering"/>
      </w:pPr>
      <w:r>
        <w:t>T</w:t>
      </w:r>
      <w:r w:rsidR="00D71791" w:rsidRPr="00CB2D65">
        <w:t xml:space="preserve">he parties should now confer and </w:t>
      </w:r>
      <w:r>
        <w:t xml:space="preserve">file a </w:t>
      </w:r>
      <w:r w:rsidR="00D71791" w:rsidRPr="00CB2D65">
        <w:t>minute of order</w:t>
      </w:r>
      <w:r>
        <w:t>s</w:t>
      </w:r>
      <w:r w:rsidR="00D71791" w:rsidRPr="00CB2D65">
        <w:t xml:space="preserve"> reflecting the outcome of the proceedings</w:t>
      </w:r>
      <w:r>
        <w:t xml:space="preserve"> (including as to costs)</w:t>
      </w:r>
      <w:r w:rsidR="00D71791" w:rsidRPr="00CB2D65">
        <w:t xml:space="preserve">, and provide them to the Court no later than 4:00 pm on </w:t>
      </w:r>
      <w:r w:rsidR="003F3AF2">
        <w:t xml:space="preserve">13 September </w:t>
      </w:r>
      <w:r w:rsidR="00D71791" w:rsidRPr="00CB2D65">
        <w:t xml:space="preserve">2013.  </w:t>
      </w:r>
      <w:r>
        <w:t>If the parties cannot agree on a joint minute of order, each party should file and serve a minute of order to this effect by this time.</w:t>
      </w:r>
    </w:p>
    <w:p w:rsidR="00D71E20" w:rsidRDefault="00D71E20">
      <w:pPr>
        <w:suppressAutoHyphens/>
      </w:pPr>
      <w:bookmarkStart w:id="26" w:name="Certification"/>
    </w:p>
    <w:tbl>
      <w:tblPr>
        <w:tblW w:w="0" w:type="auto"/>
        <w:tblLayout w:type="fixed"/>
        <w:tblLook w:val="0000" w:firstRow="0" w:lastRow="0" w:firstColumn="0" w:lastColumn="0" w:noHBand="0" w:noVBand="0"/>
      </w:tblPr>
      <w:tblGrid>
        <w:gridCol w:w="3799"/>
      </w:tblGrid>
      <w:tr w:rsidR="00D71E20">
        <w:tblPrEx>
          <w:tblCellMar>
            <w:top w:w="0" w:type="dxa"/>
            <w:bottom w:w="0" w:type="dxa"/>
          </w:tblCellMar>
        </w:tblPrEx>
        <w:tc>
          <w:tcPr>
            <w:tcW w:w="3799" w:type="dxa"/>
          </w:tcPr>
          <w:p w:rsidR="00D71E20" w:rsidRDefault="00D71E20">
            <w:pPr>
              <w:pStyle w:val="Certify"/>
            </w:pPr>
            <w:r w:rsidRPr="00161FFC">
              <w:t xml:space="preserve">I certify that the preceding </w:t>
            </w:r>
            <w:bookmarkStart w:id="27" w:name="NumberWord"/>
            <w:r>
              <w:t>one hundred and seventy-four</w:t>
            </w:r>
            <w:bookmarkEnd w:id="27"/>
            <w:r w:rsidRPr="00161FFC">
              <w:t xml:space="preserve"> (</w:t>
            </w:r>
            <w:bookmarkStart w:id="28" w:name="NumberNumeral"/>
            <w:r>
              <w:t>174</w:t>
            </w:r>
            <w:bookmarkEnd w:id="28"/>
            <w:r w:rsidRPr="00161FFC">
              <w:t xml:space="preserve">) numbered </w:t>
            </w:r>
            <w:bookmarkStart w:id="29" w:name="CertPara"/>
            <w:r>
              <w:t>paragraphs are</w:t>
            </w:r>
            <w:bookmarkEnd w:id="29"/>
            <w:r w:rsidRPr="00161FFC">
              <w:t xml:space="preserve"> a true copy of the Reasons for Judgment herein of the Honourable </w:t>
            </w:r>
            <w:bookmarkStart w:id="30" w:name="Justice"/>
            <w:smartTag w:uri="urn:schemas-microsoft-com:office:smarttags" w:element="PersonName">
              <w:r>
                <w:t>Justice Middleton</w:t>
              </w:r>
            </w:smartTag>
            <w:bookmarkEnd w:id="30"/>
            <w:r>
              <w:t>.</w:t>
            </w:r>
          </w:p>
        </w:tc>
      </w:tr>
    </w:tbl>
    <w:p w:rsidR="00D71E20" w:rsidRDefault="00D71E20">
      <w:pPr>
        <w:suppressAutoHyphens/>
      </w:pPr>
    </w:p>
    <w:p w:rsidR="00D71E20" w:rsidRDefault="00D71E20">
      <w:pPr>
        <w:suppressAutoHyphens/>
      </w:pPr>
    </w:p>
    <w:p w:rsidR="00D71E20" w:rsidRDefault="00D71E20">
      <w:pPr>
        <w:suppressAutoHyphens/>
      </w:pPr>
      <w:r>
        <w:t>Associate:</w:t>
      </w:r>
    </w:p>
    <w:p w:rsidR="00D71E20" w:rsidRDefault="00D71E20">
      <w:pPr>
        <w:suppressAutoHyphens/>
      </w:pPr>
    </w:p>
    <w:p w:rsidR="00D71E20" w:rsidRDefault="00D71E20">
      <w:pPr>
        <w:tabs>
          <w:tab w:val="left" w:pos="1134"/>
        </w:tabs>
        <w:suppressAutoHyphens/>
      </w:pPr>
      <w:r>
        <w:t>Dated:</w:t>
      </w:r>
      <w:r>
        <w:tab/>
      </w:r>
      <w:bookmarkStart w:id="31" w:name="CertifyDated"/>
      <w:r w:rsidR="001B036F">
        <w:t>30 August 2013</w:t>
      </w:r>
      <w:bookmarkEnd w:id="31"/>
    </w:p>
    <w:p w:rsidR="00D71E20" w:rsidRDefault="00D71E20">
      <w:pPr>
        <w:suppressAutoHyphens/>
      </w:pPr>
    </w:p>
    <w:bookmarkEnd w:id="26"/>
    <w:p w:rsidR="00D84849" w:rsidRPr="0006083B" w:rsidRDefault="00D84849" w:rsidP="006C39B4"/>
    <w:sectPr w:rsidR="00D84849" w:rsidRPr="0006083B">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F50" w:rsidRDefault="00DC7F50">
      <w:pPr>
        <w:spacing w:line="20" w:lineRule="exact"/>
      </w:pPr>
    </w:p>
    <w:p w:rsidR="00DC7F50" w:rsidRDefault="00DC7F50"/>
    <w:p w:rsidR="00DC7F50" w:rsidRDefault="00DC7F50"/>
  </w:endnote>
  <w:endnote w:type="continuationSeparator" w:id="0">
    <w:p w:rsidR="00DC7F50" w:rsidRDefault="00DC7F50">
      <w:r>
        <w:t xml:space="preserve"> </w:t>
      </w:r>
    </w:p>
    <w:p w:rsidR="00DC7F50" w:rsidRDefault="00DC7F50"/>
    <w:p w:rsidR="00DC7F50" w:rsidRDefault="00DC7F50"/>
  </w:endnote>
  <w:endnote w:type="continuationNotice" w:id="1">
    <w:p w:rsidR="00DC7F50" w:rsidRDefault="00DC7F50">
      <w:r>
        <w:t xml:space="preserve"> </w:t>
      </w:r>
    </w:p>
    <w:p w:rsidR="00DC7F50" w:rsidRDefault="00DC7F50"/>
    <w:p w:rsidR="00DC7F50" w:rsidRDefault="00DC7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Batang">
    <w:altName w:val="¡Ë¢çE¢®EcE¢®E¡ËcEcE¢®E¡ËcE¡Ë¢çE"/>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Pr="001B036F" w:rsidRDefault="00312BB7" w:rsidP="001B0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Pr="001B036F" w:rsidRDefault="00312BB7" w:rsidP="001B0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F50" w:rsidRDefault="00DC7F50"/>
    <w:p w:rsidR="00DC7F50" w:rsidRDefault="00DC7F50"/>
    <w:p w:rsidR="00DC7F50" w:rsidRDefault="00DC7F50"/>
  </w:footnote>
  <w:footnote w:type="continuationSeparator" w:id="0">
    <w:p w:rsidR="00DC7F50" w:rsidRDefault="00DC7F50">
      <w:r>
        <w:continuationSeparator/>
      </w:r>
    </w:p>
    <w:p w:rsidR="00DC7F50" w:rsidRDefault="00DC7F50"/>
    <w:p w:rsidR="00DC7F50" w:rsidRDefault="00DC7F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pPr>
      <w:tabs>
        <w:tab w:val="center" w:pos="4512"/>
      </w:tabs>
      <w:suppressAutoHyphens/>
      <w:rPr>
        <w:spacing w:val="-3"/>
      </w:rPr>
    </w:pPr>
    <w:r>
      <w:rPr>
        <w:spacing w:val="-3"/>
      </w:rPr>
      <w:tab/>
      <w:t xml:space="preserve">- </w:t>
    </w:r>
    <w:r>
      <w:rPr>
        <w:spacing w:val="-3"/>
      </w:rPr>
      <w:fldChar w:fldCharType="begin"/>
    </w:r>
    <w:r>
      <w:rPr>
        <w:spacing w:val="-3"/>
      </w:rPr>
      <w:instrText>page \* arabic</w:instrText>
    </w:r>
    <w:r>
      <w:rPr>
        <w:spacing w:val="-3"/>
      </w:rPr>
      <w:fldChar w:fldCharType="separate"/>
    </w:r>
    <w:r w:rsidR="00551384">
      <w:rPr>
        <w:noProof/>
        <w:spacing w:val="-3"/>
      </w:rPr>
      <w:t>2</w:t>
    </w:r>
    <w:r>
      <w:rPr>
        <w:spacing w:val="-3"/>
      </w:rPr>
      <w:fldChar w:fldCharType="end"/>
    </w:r>
    <w:r>
      <w:rPr>
        <w:spacing w:val="-3"/>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pPr>
      <w:tabs>
        <w:tab w:val="center" w:pos="4512"/>
      </w:tabs>
      <w:suppressAutoHyphens/>
    </w:pPr>
    <w:r>
      <w:tab/>
      <w:t xml:space="preserve">- </w:t>
    </w:r>
    <w:r>
      <w:fldChar w:fldCharType="begin"/>
    </w:r>
    <w:r>
      <w:instrText>page \* arabic</w:instrText>
    </w:r>
    <w:r>
      <w:fldChar w:fldCharType="separate"/>
    </w:r>
    <w:r>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rsidP="00320622">
    <w:pPr>
      <w:pStyle w:val="Header"/>
      <w:tabs>
        <w:tab w:val="clear" w:pos="4320"/>
        <w:tab w:val="clear" w:pos="8640"/>
      </w:tabs>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pPr>
      <w:tabs>
        <w:tab w:val="center" w:pos="4512"/>
      </w:tabs>
      <w:suppressAutoHyphens/>
    </w:pPr>
    <w:r>
      <w:tab/>
      <w:t xml:space="preserve">- </w:t>
    </w:r>
    <w:r>
      <w:fldChar w:fldCharType="begin"/>
    </w:r>
    <w:r>
      <w:instrText>page \* arabic</w:instrText>
    </w:r>
    <w:r>
      <w:fldChar w:fldCharType="separate"/>
    </w:r>
    <w:r w:rsidR="00551384">
      <w:rPr>
        <w:noProof/>
      </w:rPr>
      <w:t>41</w:t>
    </w:r>
    <w:r>
      <w:fldChar w:fldCharType="end"/>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B7" w:rsidRDefault="00312BB7" w:rsidP="00320622">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6CC7"/>
    <w:multiLevelType w:val="hybridMultilevel"/>
    <w:tmpl w:val="9C260E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444525A"/>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2">
    <w:nsid w:val="06017682"/>
    <w:multiLevelType w:val="multilevel"/>
    <w:tmpl w:val="07AA50D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3">
    <w:nsid w:val="07D94D87"/>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4">
    <w:nsid w:val="147B6180"/>
    <w:multiLevelType w:val="multilevel"/>
    <w:tmpl w:val="3D40353C"/>
    <w:lvl w:ilvl="0">
      <w:start w:val="1"/>
      <w:numFmt w:val="lowerLetter"/>
      <w:lvlText w:val="(%1)"/>
      <w:lvlJc w:val="left"/>
      <w:pPr>
        <w:tabs>
          <w:tab w:val="num" w:pos="360"/>
        </w:tabs>
        <w:ind w:left="360" w:hanging="360"/>
      </w:pPr>
      <w:rPr>
        <w:rFonts w:hint="default"/>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5">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nsid w:val="282D07FC"/>
    <w:multiLevelType w:val="multilevel"/>
    <w:tmpl w:val="08A870BE"/>
    <w:lvl w:ilvl="0">
      <w:start w:val="1"/>
      <w:numFmt w:val="lowerLetter"/>
      <w:lvlText w:val="(%1)"/>
      <w:lvlJc w:val="left"/>
      <w:pPr>
        <w:tabs>
          <w:tab w:val="num" w:pos="360"/>
        </w:tabs>
        <w:ind w:left="360" w:hanging="360"/>
      </w:pPr>
      <w:rPr>
        <w:rFonts w:hint="default"/>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8">
    <w:nsid w:val="29AE3DD1"/>
    <w:multiLevelType w:val="singleLevel"/>
    <w:tmpl w:val="EE921812"/>
    <w:lvl w:ilvl="0">
      <w:start w:val="1"/>
      <w:numFmt w:val="decimal"/>
      <w:lvlRestart w:val="0"/>
      <w:pStyle w:val="ParaNumbering"/>
      <w:lvlText w:val="%1"/>
      <w:lvlJc w:val="left"/>
      <w:pPr>
        <w:tabs>
          <w:tab w:val="num" w:pos="720"/>
        </w:tabs>
        <w:ind w:left="0" w:hanging="720"/>
      </w:pPr>
      <w:rPr>
        <w:rFonts w:hint="default"/>
        <w:i w:val="0"/>
        <w:sz w:val="20"/>
      </w:rPr>
    </w:lvl>
  </w:abstractNum>
  <w:abstractNum w:abstractNumId="19">
    <w:nsid w:val="2D6951E6"/>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0">
    <w:nsid w:val="32DC5725"/>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1">
    <w:nsid w:val="33630A1B"/>
    <w:multiLevelType w:val="multilevel"/>
    <w:tmpl w:val="07AA50D8"/>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35732871"/>
    <w:multiLevelType w:val="multilevel"/>
    <w:tmpl w:val="AB0204D0"/>
    <w:lvl w:ilvl="0">
      <w:start w:val="2"/>
      <w:numFmt w:val="lowerRoman"/>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3">
    <w:nsid w:val="38F37852"/>
    <w:multiLevelType w:val="multilevel"/>
    <w:tmpl w:val="A2E0D482"/>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4">
    <w:nsid w:val="3F3F0F94"/>
    <w:multiLevelType w:val="multilevel"/>
    <w:tmpl w:val="07AA50D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5">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48A10DDB"/>
    <w:multiLevelType w:val="multilevel"/>
    <w:tmpl w:val="759680D2"/>
    <w:lvl w:ilvl="0">
      <w:start w:val="1"/>
      <w:numFmt w:val="lowerRoman"/>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27">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B233871"/>
    <w:multiLevelType w:val="multilevel"/>
    <w:tmpl w:val="400EE6C0"/>
    <w:lvl w:ilvl="0">
      <w:start w:val="1"/>
      <w:numFmt w:val="lowerLetter"/>
      <w:lvlText w:val="(%1)"/>
      <w:lvlJc w:val="left"/>
      <w:pPr>
        <w:tabs>
          <w:tab w:val="num" w:pos="360"/>
        </w:tabs>
        <w:ind w:left="360" w:hanging="360"/>
      </w:pPr>
      <w:rPr>
        <w:rFonts w:hint="default"/>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0">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1">
    <w:nsid w:val="641B2E4D"/>
    <w:multiLevelType w:val="multilevel"/>
    <w:tmpl w:val="0C6E5796"/>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2">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6FD873CC"/>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4">
    <w:nsid w:val="74774093"/>
    <w:multiLevelType w:val="multilevel"/>
    <w:tmpl w:val="DB0A9A2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5">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6">
    <w:nsid w:val="7A8B79E8"/>
    <w:multiLevelType w:val="multilevel"/>
    <w:tmpl w:val="07AA50D8"/>
    <w:lvl w:ilvl="0">
      <w:start w:val="1"/>
      <w:numFmt w:val="decimal"/>
      <w:lvlRestart w:val="0"/>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7">
    <w:nsid w:val="7CC431C1"/>
    <w:multiLevelType w:val="multilevel"/>
    <w:tmpl w:val="0546AE4A"/>
    <w:lvl w:ilvl="0">
      <w:start w:val="1"/>
      <w:numFmt w:val="lowerLetter"/>
      <w:lvlText w:val="(%1)"/>
      <w:lvlJc w:val="left"/>
      <w:pPr>
        <w:tabs>
          <w:tab w:val="num" w:pos="360"/>
        </w:tabs>
        <w:ind w:left="360" w:hanging="360"/>
      </w:pPr>
      <w:rPr>
        <w:rFonts w:hint="default"/>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38">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9">
    <w:nsid w:val="7DE91EE7"/>
    <w:multiLevelType w:val="multilevel"/>
    <w:tmpl w:val="FDCC289E"/>
    <w:lvl w:ilvl="0">
      <w:start w:val="1"/>
      <w:numFmt w:val="lowerRoman"/>
      <w:lvlText w:val="(%1)"/>
      <w:lvlJc w:val="right"/>
      <w:pPr>
        <w:tabs>
          <w:tab w:val="num" w:pos="900"/>
        </w:tabs>
        <w:ind w:left="900" w:hanging="180"/>
      </w:pPr>
      <w:rPr>
        <w:rFonts w:hint="default"/>
      </w:r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lowerLetter"/>
      <w:lvlText w:val="(%4)"/>
      <w:lvlJc w:val="left"/>
      <w:pPr>
        <w:tabs>
          <w:tab w:val="num" w:pos="3600"/>
        </w:tabs>
        <w:ind w:left="3600" w:hanging="720"/>
      </w:pPr>
    </w:lvl>
    <w:lvl w:ilvl="4">
      <w:start w:val="1"/>
      <w:numFmt w:val="lowerRoman"/>
      <w:lvlText w:val="(%5)"/>
      <w:lvlJc w:val="left"/>
      <w:pPr>
        <w:tabs>
          <w:tab w:val="num" w:pos="4320"/>
        </w:tabs>
        <w:ind w:left="4320" w:hanging="720"/>
      </w:pPr>
    </w:lvl>
    <w:lvl w:ilvl="5">
      <w:start w:val="1"/>
      <w:numFmt w:val="none"/>
      <w:lvlText w:val=""/>
      <w:lvlJc w:val="left"/>
      <w:pPr>
        <w:tabs>
          <w:tab w:val="num" w:pos="3600"/>
        </w:tabs>
        <w:ind w:left="3458" w:hanging="941"/>
      </w:pPr>
    </w:lvl>
    <w:lvl w:ilvl="6">
      <w:start w:val="1"/>
      <w:numFmt w:val="none"/>
      <w:lvlText w:val=""/>
      <w:lvlJc w:val="left"/>
      <w:pPr>
        <w:tabs>
          <w:tab w:val="num" w:pos="4320"/>
        </w:tabs>
        <w:ind w:left="3957" w:hanging="1077"/>
      </w:pPr>
    </w:lvl>
    <w:lvl w:ilvl="7">
      <w:start w:val="1"/>
      <w:numFmt w:val="none"/>
      <w:lvlText w:val=""/>
      <w:lvlJc w:val="left"/>
      <w:pPr>
        <w:tabs>
          <w:tab w:val="num" w:pos="4677"/>
        </w:tabs>
        <w:ind w:left="4462" w:hanging="1225"/>
      </w:pPr>
    </w:lvl>
    <w:lvl w:ilvl="8">
      <w:start w:val="1"/>
      <w:numFmt w:val="none"/>
      <w:lvlText w:val=""/>
      <w:lvlJc w:val="left"/>
      <w:pPr>
        <w:tabs>
          <w:tab w:val="num" w:pos="5397"/>
        </w:tabs>
        <w:ind w:left="5040" w:hanging="1440"/>
      </w:pPr>
    </w:lvl>
  </w:abstractNum>
  <w:num w:numId="1">
    <w:abstractNumId w:val="18"/>
  </w:num>
  <w:num w:numId="2">
    <w:abstractNumId w:val="3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5"/>
  </w:num>
  <w:num w:numId="16">
    <w:abstractNumId w:val="35"/>
  </w:num>
  <w:num w:numId="17">
    <w:abstractNumId w:val="21"/>
  </w:num>
  <w:num w:numId="18">
    <w:abstractNumId w:val="21"/>
  </w:num>
  <w:num w:numId="19">
    <w:abstractNumId w:val="32"/>
  </w:num>
  <w:num w:numId="20">
    <w:abstractNumId w:val="27"/>
  </w:num>
  <w:num w:numId="21">
    <w:abstractNumId w:val="28"/>
  </w:num>
  <w:num w:numId="22">
    <w:abstractNumId w:val="38"/>
  </w:num>
  <w:num w:numId="23">
    <w:abstractNumId w:val="38"/>
  </w:num>
  <w:num w:numId="24">
    <w:abstractNumId w:val="38"/>
  </w:num>
  <w:num w:numId="25">
    <w:abstractNumId w:val="38"/>
  </w:num>
  <w:num w:numId="26">
    <w:abstractNumId w:val="38"/>
  </w:num>
  <w:num w:numId="27">
    <w:abstractNumId w:val="17"/>
  </w:num>
  <w:num w:numId="28">
    <w:abstractNumId w:val="13"/>
  </w:num>
  <w:num w:numId="29">
    <w:abstractNumId w:val="14"/>
  </w:num>
  <w:num w:numId="30">
    <w:abstractNumId w:val="33"/>
  </w:num>
  <w:num w:numId="31">
    <w:abstractNumId w:val="39"/>
  </w:num>
  <w:num w:numId="32">
    <w:abstractNumId w:val="20"/>
  </w:num>
  <w:num w:numId="33">
    <w:abstractNumId w:val="37"/>
  </w:num>
  <w:num w:numId="34">
    <w:abstractNumId w:val="11"/>
  </w:num>
  <w:num w:numId="35">
    <w:abstractNumId w:val="34"/>
  </w:num>
  <w:num w:numId="36">
    <w:abstractNumId w:val="29"/>
  </w:num>
  <w:num w:numId="37">
    <w:abstractNumId w:val="19"/>
  </w:num>
  <w:num w:numId="38">
    <w:abstractNumId w:val="23"/>
  </w:num>
  <w:num w:numId="39">
    <w:abstractNumId w:val="31"/>
  </w:num>
  <w:num w:numId="40">
    <w:abstractNumId w:val="36"/>
  </w:num>
  <w:num w:numId="41">
    <w:abstractNumId w:val="26"/>
  </w:num>
  <w:num w:numId="42">
    <w:abstractNumId w:val="12"/>
  </w:num>
  <w:num w:numId="43">
    <w:abstractNumId w:val="22"/>
  </w:num>
  <w:num w:numId="44">
    <w:abstractNumId w:val="24"/>
  </w:num>
  <w:num w:numId="45">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al" w:val="Not an Appeal"/>
    <w:docVar w:name="Applicant" w:val="RPL CENTRAL PTY LTD (ACN 136 181 989)"/>
    <w:docVar w:name="CounselParties" w:val="Respondent"/>
    <w:docVar w:name="CounselType" w:val="Solicitor for the "/>
    <w:docVar w:name="Division" w:val="GENERAL DIVISION"/>
    <w:docVar w:name="DocCreated" w:val="True"/>
    <w:docVar w:name="FileNumbers" w:val="VID 817 of 2011"/>
    <w:docVar w:name="FullCourt" w:val="False"/>
    <w:docVar w:name="HearingDate" w:val="7 December 2012"/>
    <w:docVar w:name="Judgdate" w:val="##"/>
    <w:docVar w:name="Judge" w:val="MIDDLETON"/>
    <w:docVar w:name="JudgePlace" w:val="MELBOURNE"/>
    <w:docVar w:name="lstEntryList" w:val="-1"/>
    <w:docVar w:name="myEntryList" w:val="Counsel for the Applicant=Mr AJ Ryan SC with Mr IP Horak|Solicitor for the Applicant=Watermark Intellectual Property Lawyers|Counsel for the Respondent=Mr B Fitzpatrick|Solicitor for the Respondent=Australian Government Solicitor"/>
    <w:docVar w:name="NSD" w:val="NSD VID 817 of 2011"/>
    <w:docVar w:name="NumApps" w:val="1"/>
    <w:docVar w:name="NumApps_" w:val="1"/>
    <w:docVar w:name="NumJudges" w:val="Single Judge"/>
    <w:docVar w:name="Parties" w:val="Applicant"/>
    <w:docVar w:name="Place_SentenceCase" w:val="Melbourne"/>
    <w:docVar w:name="Respondent" w:val="MYALL AUSTRALIA PTY LTD (ACN 108 575 042)"/>
    <w:docVar w:name="ResState" w:val="VICTORIA"/>
    <w:docVar w:name="Single" w:val="True"/>
  </w:docVars>
  <w:rsids>
    <w:rsidRoot w:val="00E92225"/>
    <w:rsid w:val="0000016D"/>
    <w:rsid w:val="00000427"/>
    <w:rsid w:val="00001337"/>
    <w:rsid w:val="000014FA"/>
    <w:rsid w:val="00001CDB"/>
    <w:rsid w:val="0000508E"/>
    <w:rsid w:val="00005130"/>
    <w:rsid w:val="00005647"/>
    <w:rsid w:val="00005A89"/>
    <w:rsid w:val="0000786F"/>
    <w:rsid w:val="000102CC"/>
    <w:rsid w:val="0001067F"/>
    <w:rsid w:val="00010F68"/>
    <w:rsid w:val="00011AE0"/>
    <w:rsid w:val="00012BDA"/>
    <w:rsid w:val="00012E32"/>
    <w:rsid w:val="000140EE"/>
    <w:rsid w:val="000143EE"/>
    <w:rsid w:val="00014A0D"/>
    <w:rsid w:val="00014AA9"/>
    <w:rsid w:val="00014F6B"/>
    <w:rsid w:val="000153D7"/>
    <w:rsid w:val="00015B7A"/>
    <w:rsid w:val="00016E9D"/>
    <w:rsid w:val="00017413"/>
    <w:rsid w:val="00017BB7"/>
    <w:rsid w:val="00017C80"/>
    <w:rsid w:val="00020081"/>
    <w:rsid w:val="00020D50"/>
    <w:rsid w:val="00021756"/>
    <w:rsid w:val="00021FE4"/>
    <w:rsid w:val="00022830"/>
    <w:rsid w:val="000241B9"/>
    <w:rsid w:val="00024A84"/>
    <w:rsid w:val="00024F43"/>
    <w:rsid w:val="0002571E"/>
    <w:rsid w:val="0002703E"/>
    <w:rsid w:val="000275ED"/>
    <w:rsid w:val="00031FBE"/>
    <w:rsid w:val="000326E5"/>
    <w:rsid w:val="00032B11"/>
    <w:rsid w:val="0003311D"/>
    <w:rsid w:val="00033B84"/>
    <w:rsid w:val="00034E12"/>
    <w:rsid w:val="00034ECB"/>
    <w:rsid w:val="00035CEE"/>
    <w:rsid w:val="000407DC"/>
    <w:rsid w:val="00041A20"/>
    <w:rsid w:val="000422ED"/>
    <w:rsid w:val="0004234D"/>
    <w:rsid w:val="000437ED"/>
    <w:rsid w:val="0004506A"/>
    <w:rsid w:val="0004760E"/>
    <w:rsid w:val="00047A40"/>
    <w:rsid w:val="00047FB8"/>
    <w:rsid w:val="00051054"/>
    <w:rsid w:val="0005146B"/>
    <w:rsid w:val="0005174A"/>
    <w:rsid w:val="00053AAC"/>
    <w:rsid w:val="00054721"/>
    <w:rsid w:val="00054B27"/>
    <w:rsid w:val="00055151"/>
    <w:rsid w:val="00056413"/>
    <w:rsid w:val="000564FB"/>
    <w:rsid w:val="00056AEE"/>
    <w:rsid w:val="000573F4"/>
    <w:rsid w:val="0005745C"/>
    <w:rsid w:val="00057EFA"/>
    <w:rsid w:val="00060405"/>
    <w:rsid w:val="0006083B"/>
    <w:rsid w:val="00060F70"/>
    <w:rsid w:val="000632DC"/>
    <w:rsid w:val="000635B8"/>
    <w:rsid w:val="000637F8"/>
    <w:rsid w:val="00063FDE"/>
    <w:rsid w:val="00064223"/>
    <w:rsid w:val="00064C8C"/>
    <w:rsid w:val="000652E0"/>
    <w:rsid w:val="00066140"/>
    <w:rsid w:val="00066274"/>
    <w:rsid w:val="00066B4C"/>
    <w:rsid w:val="00066C9C"/>
    <w:rsid w:val="00066EBC"/>
    <w:rsid w:val="00067C93"/>
    <w:rsid w:val="00071B7E"/>
    <w:rsid w:val="000720FF"/>
    <w:rsid w:val="0007288E"/>
    <w:rsid w:val="00073291"/>
    <w:rsid w:val="00075228"/>
    <w:rsid w:val="00075473"/>
    <w:rsid w:val="00076213"/>
    <w:rsid w:val="00076B81"/>
    <w:rsid w:val="00077200"/>
    <w:rsid w:val="000776E1"/>
    <w:rsid w:val="000779CC"/>
    <w:rsid w:val="00077BFD"/>
    <w:rsid w:val="0008059D"/>
    <w:rsid w:val="00082093"/>
    <w:rsid w:val="000829C7"/>
    <w:rsid w:val="0008339D"/>
    <w:rsid w:val="00083AA7"/>
    <w:rsid w:val="00083D89"/>
    <w:rsid w:val="00085D38"/>
    <w:rsid w:val="00085E6E"/>
    <w:rsid w:val="00085FB5"/>
    <w:rsid w:val="000862FA"/>
    <w:rsid w:val="00086451"/>
    <w:rsid w:val="000865CB"/>
    <w:rsid w:val="00086615"/>
    <w:rsid w:val="00087073"/>
    <w:rsid w:val="00087912"/>
    <w:rsid w:val="0009015A"/>
    <w:rsid w:val="00091312"/>
    <w:rsid w:val="000914ED"/>
    <w:rsid w:val="00092AA1"/>
    <w:rsid w:val="00093B64"/>
    <w:rsid w:val="0009487A"/>
    <w:rsid w:val="000950A1"/>
    <w:rsid w:val="000968AE"/>
    <w:rsid w:val="000969E1"/>
    <w:rsid w:val="00097051"/>
    <w:rsid w:val="000974F6"/>
    <w:rsid w:val="00097725"/>
    <w:rsid w:val="00097D23"/>
    <w:rsid w:val="000A018A"/>
    <w:rsid w:val="000A0FF5"/>
    <w:rsid w:val="000A25AC"/>
    <w:rsid w:val="000A268F"/>
    <w:rsid w:val="000A2D4A"/>
    <w:rsid w:val="000A50E4"/>
    <w:rsid w:val="000B0A83"/>
    <w:rsid w:val="000B134D"/>
    <w:rsid w:val="000B169E"/>
    <w:rsid w:val="000B634D"/>
    <w:rsid w:val="000B714E"/>
    <w:rsid w:val="000B722C"/>
    <w:rsid w:val="000B7F3F"/>
    <w:rsid w:val="000B7F62"/>
    <w:rsid w:val="000C0538"/>
    <w:rsid w:val="000C0564"/>
    <w:rsid w:val="000C3042"/>
    <w:rsid w:val="000C304B"/>
    <w:rsid w:val="000C3375"/>
    <w:rsid w:val="000C33B9"/>
    <w:rsid w:val="000C35EE"/>
    <w:rsid w:val="000C4574"/>
    <w:rsid w:val="000C47A3"/>
    <w:rsid w:val="000C5CB1"/>
    <w:rsid w:val="000C6094"/>
    <w:rsid w:val="000C642D"/>
    <w:rsid w:val="000C6693"/>
    <w:rsid w:val="000C6EB5"/>
    <w:rsid w:val="000D02B3"/>
    <w:rsid w:val="000D079A"/>
    <w:rsid w:val="000D0BA5"/>
    <w:rsid w:val="000D232E"/>
    <w:rsid w:val="000D29AA"/>
    <w:rsid w:val="000D3A61"/>
    <w:rsid w:val="000D4CBB"/>
    <w:rsid w:val="000D4D92"/>
    <w:rsid w:val="000D54FA"/>
    <w:rsid w:val="000D5CA9"/>
    <w:rsid w:val="000D612B"/>
    <w:rsid w:val="000D69C6"/>
    <w:rsid w:val="000E088B"/>
    <w:rsid w:val="000E08CC"/>
    <w:rsid w:val="000E11AE"/>
    <w:rsid w:val="000E2728"/>
    <w:rsid w:val="000E31E2"/>
    <w:rsid w:val="000E36A5"/>
    <w:rsid w:val="000E43D1"/>
    <w:rsid w:val="000E4875"/>
    <w:rsid w:val="000E4F42"/>
    <w:rsid w:val="000E636E"/>
    <w:rsid w:val="000E6AB5"/>
    <w:rsid w:val="000E729D"/>
    <w:rsid w:val="000E78E8"/>
    <w:rsid w:val="000E7A75"/>
    <w:rsid w:val="000E7E1E"/>
    <w:rsid w:val="000F0FC5"/>
    <w:rsid w:val="000F153C"/>
    <w:rsid w:val="000F157B"/>
    <w:rsid w:val="000F1C81"/>
    <w:rsid w:val="000F2344"/>
    <w:rsid w:val="000F2D78"/>
    <w:rsid w:val="000F2F8B"/>
    <w:rsid w:val="000F59DB"/>
    <w:rsid w:val="000F726D"/>
    <w:rsid w:val="000F75D5"/>
    <w:rsid w:val="000F7791"/>
    <w:rsid w:val="000F7EC9"/>
    <w:rsid w:val="00100A70"/>
    <w:rsid w:val="00101042"/>
    <w:rsid w:val="00101272"/>
    <w:rsid w:val="00101C04"/>
    <w:rsid w:val="00102214"/>
    <w:rsid w:val="0010251D"/>
    <w:rsid w:val="00106F62"/>
    <w:rsid w:val="00110260"/>
    <w:rsid w:val="00110798"/>
    <w:rsid w:val="00111043"/>
    <w:rsid w:val="001114BE"/>
    <w:rsid w:val="00111BC9"/>
    <w:rsid w:val="0011237D"/>
    <w:rsid w:val="00113086"/>
    <w:rsid w:val="001134E1"/>
    <w:rsid w:val="0011381C"/>
    <w:rsid w:val="0011416F"/>
    <w:rsid w:val="00114B4A"/>
    <w:rsid w:val="001159FC"/>
    <w:rsid w:val="00115EB4"/>
    <w:rsid w:val="001175A5"/>
    <w:rsid w:val="001212D8"/>
    <w:rsid w:val="00121D2F"/>
    <w:rsid w:val="00122214"/>
    <w:rsid w:val="001223D0"/>
    <w:rsid w:val="00123B3E"/>
    <w:rsid w:val="00125340"/>
    <w:rsid w:val="00126A7F"/>
    <w:rsid w:val="00126E22"/>
    <w:rsid w:val="0012775F"/>
    <w:rsid w:val="00130B0C"/>
    <w:rsid w:val="00132BEB"/>
    <w:rsid w:val="00132D52"/>
    <w:rsid w:val="001342CD"/>
    <w:rsid w:val="001346B7"/>
    <w:rsid w:val="0013480A"/>
    <w:rsid w:val="0013645B"/>
    <w:rsid w:val="00140C44"/>
    <w:rsid w:val="0014116A"/>
    <w:rsid w:val="00141177"/>
    <w:rsid w:val="0014188E"/>
    <w:rsid w:val="00141B48"/>
    <w:rsid w:val="0014398B"/>
    <w:rsid w:val="001439DD"/>
    <w:rsid w:val="001448DA"/>
    <w:rsid w:val="00145F70"/>
    <w:rsid w:val="001463B5"/>
    <w:rsid w:val="001465CC"/>
    <w:rsid w:val="00146F5B"/>
    <w:rsid w:val="001473A5"/>
    <w:rsid w:val="00147DBA"/>
    <w:rsid w:val="0015020B"/>
    <w:rsid w:val="00150819"/>
    <w:rsid w:val="00151BB8"/>
    <w:rsid w:val="00152040"/>
    <w:rsid w:val="0015300B"/>
    <w:rsid w:val="0015318B"/>
    <w:rsid w:val="001532EB"/>
    <w:rsid w:val="0015367F"/>
    <w:rsid w:val="001548A9"/>
    <w:rsid w:val="00154B4C"/>
    <w:rsid w:val="00155BED"/>
    <w:rsid w:val="00156603"/>
    <w:rsid w:val="00156ADD"/>
    <w:rsid w:val="0015715B"/>
    <w:rsid w:val="00157381"/>
    <w:rsid w:val="00157FD5"/>
    <w:rsid w:val="00161488"/>
    <w:rsid w:val="00162FEB"/>
    <w:rsid w:val="00164581"/>
    <w:rsid w:val="0016490B"/>
    <w:rsid w:val="001651A9"/>
    <w:rsid w:val="001663D3"/>
    <w:rsid w:val="0016643E"/>
    <w:rsid w:val="001678EA"/>
    <w:rsid w:val="00170895"/>
    <w:rsid w:val="00171B2D"/>
    <w:rsid w:val="00171F5F"/>
    <w:rsid w:val="001729EC"/>
    <w:rsid w:val="00172AC3"/>
    <w:rsid w:val="00173484"/>
    <w:rsid w:val="00174F41"/>
    <w:rsid w:val="00175854"/>
    <w:rsid w:val="00175AE3"/>
    <w:rsid w:val="001774DA"/>
    <w:rsid w:val="001778A6"/>
    <w:rsid w:val="001778B1"/>
    <w:rsid w:val="001804B9"/>
    <w:rsid w:val="00180D13"/>
    <w:rsid w:val="00181072"/>
    <w:rsid w:val="001811DD"/>
    <w:rsid w:val="001813D0"/>
    <w:rsid w:val="0018317C"/>
    <w:rsid w:val="00183618"/>
    <w:rsid w:val="0018397E"/>
    <w:rsid w:val="00183E80"/>
    <w:rsid w:val="00184470"/>
    <w:rsid w:val="00184484"/>
    <w:rsid w:val="001848AB"/>
    <w:rsid w:val="00184DE1"/>
    <w:rsid w:val="00187E01"/>
    <w:rsid w:val="00190DA6"/>
    <w:rsid w:val="00191911"/>
    <w:rsid w:val="0019258C"/>
    <w:rsid w:val="00192852"/>
    <w:rsid w:val="001932FA"/>
    <w:rsid w:val="00193FCF"/>
    <w:rsid w:val="00194CA1"/>
    <w:rsid w:val="00194CDB"/>
    <w:rsid w:val="00195467"/>
    <w:rsid w:val="00195666"/>
    <w:rsid w:val="00195A9E"/>
    <w:rsid w:val="00195F79"/>
    <w:rsid w:val="00196306"/>
    <w:rsid w:val="001A1B5B"/>
    <w:rsid w:val="001A1BF9"/>
    <w:rsid w:val="001A23E0"/>
    <w:rsid w:val="001A2DF8"/>
    <w:rsid w:val="001A3EBA"/>
    <w:rsid w:val="001A3EC5"/>
    <w:rsid w:val="001A406F"/>
    <w:rsid w:val="001A436C"/>
    <w:rsid w:val="001A663E"/>
    <w:rsid w:val="001A7C56"/>
    <w:rsid w:val="001B0090"/>
    <w:rsid w:val="001B036F"/>
    <w:rsid w:val="001B06A8"/>
    <w:rsid w:val="001B09F8"/>
    <w:rsid w:val="001B0DA8"/>
    <w:rsid w:val="001B243D"/>
    <w:rsid w:val="001B3897"/>
    <w:rsid w:val="001B4120"/>
    <w:rsid w:val="001B43E6"/>
    <w:rsid w:val="001B532D"/>
    <w:rsid w:val="001B5E06"/>
    <w:rsid w:val="001B762C"/>
    <w:rsid w:val="001C0A5A"/>
    <w:rsid w:val="001C0B29"/>
    <w:rsid w:val="001C108E"/>
    <w:rsid w:val="001C110A"/>
    <w:rsid w:val="001C1A6C"/>
    <w:rsid w:val="001C1DAC"/>
    <w:rsid w:val="001C1F39"/>
    <w:rsid w:val="001C2196"/>
    <w:rsid w:val="001C284A"/>
    <w:rsid w:val="001C41E9"/>
    <w:rsid w:val="001C4506"/>
    <w:rsid w:val="001C5DCD"/>
    <w:rsid w:val="001C5EB6"/>
    <w:rsid w:val="001C6792"/>
    <w:rsid w:val="001C773C"/>
    <w:rsid w:val="001C7C7D"/>
    <w:rsid w:val="001C7CF1"/>
    <w:rsid w:val="001D00A0"/>
    <w:rsid w:val="001D054A"/>
    <w:rsid w:val="001D05B1"/>
    <w:rsid w:val="001D0CBF"/>
    <w:rsid w:val="001D1011"/>
    <w:rsid w:val="001D18D0"/>
    <w:rsid w:val="001D21E8"/>
    <w:rsid w:val="001D2983"/>
    <w:rsid w:val="001D31AD"/>
    <w:rsid w:val="001D3B74"/>
    <w:rsid w:val="001D450A"/>
    <w:rsid w:val="001D5247"/>
    <w:rsid w:val="001D5A4C"/>
    <w:rsid w:val="001D6083"/>
    <w:rsid w:val="001D75ED"/>
    <w:rsid w:val="001E086C"/>
    <w:rsid w:val="001E0CE2"/>
    <w:rsid w:val="001E0E72"/>
    <w:rsid w:val="001E0F8D"/>
    <w:rsid w:val="001E1191"/>
    <w:rsid w:val="001E12C6"/>
    <w:rsid w:val="001E14D1"/>
    <w:rsid w:val="001E1E8F"/>
    <w:rsid w:val="001E29CF"/>
    <w:rsid w:val="001E3620"/>
    <w:rsid w:val="001E3E06"/>
    <w:rsid w:val="001E4B20"/>
    <w:rsid w:val="001E521E"/>
    <w:rsid w:val="001E5287"/>
    <w:rsid w:val="001E67CC"/>
    <w:rsid w:val="001E6AB6"/>
    <w:rsid w:val="001F1E2C"/>
    <w:rsid w:val="001F4381"/>
    <w:rsid w:val="001F47BC"/>
    <w:rsid w:val="001F4A1E"/>
    <w:rsid w:val="001F52DB"/>
    <w:rsid w:val="001F53FB"/>
    <w:rsid w:val="001F69FC"/>
    <w:rsid w:val="001F6BBF"/>
    <w:rsid w:val="001F719A"/>
    <w:rsid w:val="001F7392"/>
    <w:rsid w:val="001F7AF8"/>
    <w:rsid w:val="0020000A"/>
    <w:rsid w:val="00201C4B"/>
    <w:rsid w:val="002021B3"/>
    <w:rsid w:val="00202730"/>
    <w:rsid w:val="00202EAA"/>
    <w:rsid w:val="00203292"/>
    <w:rsid w:val="002045D2"/>
    <w:rsid w:val="002066FE"/>
    <w:rsid w:val="0021005F"/>
    <w:rsid w:val="002100C1"/>
    <w:rsid w:val="00210362"/>
    <w:rsid w:val="002103D2"/>
    <w:rsid w:val="0021146A"/>
    <w:rsid w:val="0021186E"/>
    <w:rsid w:val="0021220F"/>
    <w:rsid w:val="00212263"/>
    <w:rsid w:val="00212557"/>
    <w:rsid w:val="00212659"/>
    <w:rsid w:val="0021318C"/>
    <w:rsid w:val="002132B0"/>
    <w:rsid w:val="002142A6"/>
    <w:rsid w:val="00215D82"/>
    <w:rsid w:val="0021647F"/>
    <w:rsid w:val="00216D26"/>
    <w:rsid w:val="0022033A"/>
    <w:rsid w:val="0022085F"/>
    <w:rsid w:val="00221AD5"/>
    <w:rsid w:val="00221B2D"/>
    <w:rsid w:val="00222BBD"/>
    <w:rsid w:val="00223844"/>
    <w:rsid w:val="00224A45"/>
    <w:rsid w:val="00224DC6"/>
    <w:rsid w:val="00230CC4"/>
    <w:rsid w:val="0023127B"/>
    <w:rsid w:val="00231C33"/>
    <w:rsid w:val="00231CDD"/>
    <w:rsid w:val="00232369"/>
    <w:rsid w:val="00232B8E"/>
    <w:rsid w:val="0023374C"/>
    <w:rsid w:val="0023419C"/>
    <w:rsid w:val="00234C63"/>
    <w:rsid w:val="002353A0"/>
    <w:rsid w:val="00237FC4"/>
    <w:rsid w:val="002401E3"/>
    <w:rsid w:val="002418FA"/>
    <w:rsid w:val="002443C4"/>
    <w:rsid w:val="0024476D"/>
    <w:rsid w:val="00245B4B"/>
    <w:rsid w:val="00245F9E"/>
    <w:rsid w:val="00246BD4"/>
    <w:rsid w:val="00250E6F"/>
    <w:rsid w:val="00251884"/>
    <w:rsid w:val="00251F22"/>
    <w:rsid w:val="002535D3"/>
    <w:rsid w:val="0025394F"/>
    <w:rsid w:val="00253DA3"/>
    <w:rsid w:val="00253EC5"/>
    <w:rsid w:val="00253F62"/>
    <w:rsid w:val="0025403D"/>
    <w:rsid w:val="00255440"/>
    <w:rsid w:val="00255519"/>
    <w:rsid w:val="00255615"/>
    <w:rsid w:val="002558DE"/>
    <w:rsid w:val="00255CC3"/>
    <w:rsid w:val="00255E6B"/>
    <w:rsid w:val="00255F13"/>
    <w:rsid w:val="002574CC"/>
    <w:rsid w:val="00260654"/>
    <w:rsid w:val="0026226D"/>
    <w:rsid w:val="0026236A"/>
    <w:rsid w:val="00262CDD"/>
    <w:rsid w:val="002638E0"/>
    <w:rsid w:val="002642C5"/>
    <w:rsid w:val="00264A4A"/>
    <w:rsid w:val="00265903"/>
    <w:rsid w:val="00265DCC"/>
    <w:rsid w:val="0026717E"/>
    <w:rsid w:val="0026734F"/>
    <w:rsid w:val="00271B71"/>
    <w:rsid w:val="00272791"/>
    <w:rsid w:val="002727BA"/>
    <w:rsid w:val="00273658"/>
    <w:rsid w:val="00274AE5"/>
    <w:rsid w:val="00274BBF"/>
    <w:rsid w:val="00275018"/>
    <w:rsid w:val="002752FC"/>
    <w:rsid w:val="00275A96"/>
    <w:rsid w:val="002764E7"/>
    <w:rsid w:val="002772B7"/>
    <w:rsid w:val="00280AF5"/>
    <w:rsid w:val="00281C38"/>
    <w:rsid w:val="0028370F"/>
    <w:rsid w:val="002867B0"/>
    <w:rsid w:val="0028773B"/>
    <w:rsid w:val="0029023E"/>
    <w:rsid w:val="00290CC1"/>
    <w:rsid w:val="002914A3"/>
    <w:rsid w:val="0029162C"/>
    <w:rsid w:val="00292145"/>
    <w:rsid w:val="0029312C"/>
    <w:rsid w:val="002946D4"/>
    <w:rsid w:val="002947E1"/>
    <w:rsid w:val="00294E51"/>
    <w:rsid w:val="0029639A"/>
    <w:rsid w:val="0029792F"/>
    <w:rsid w:val="00297B57"/>
    <w:rsid w:val="002A099B"/>
    <w:rsid w:val="002A19A6"/>
    <w:rsid w:val="002A2262"/>
    <w:rsid w:val="002A2608"/>
    <w:rsid w:val="002A3A99"/>
    <w:rsid w:val="002A4862"/>
    <w:rsid w:val="002A4C8E"/>
    <w:rsid w:val="002A505F"/>
    <w:rsid w:val="002A5D46"/>
    <w:rsid w:val="002A645F"/>
    <w:rsid w:val="002A6DEF"/>
    <w:rsid w:val="002B1AF6"/>
    <w:rsid w:val="002B1C86"/>
    <w:rsid w:val="002B326C"/>
    <w:rsid w:val="002B488E"/>
    <w:rsid w:val="002B57A3"/>
    <w:rsid w:val="002B6558"/>
    <w:rsid w:val="002B6A42"/>
    <w:rsid w:val="002B6A78"/>
    <w:rsid w:val="002B71E0"/>
    <w:rsid w:val="002C0860"/>
    <w:rsid w:val="002C0E7A"/>
    <w:rsid w:val="002C1595"/>
    <w:rsid w:val="002C1CDF"/>
    <w:rsid w:val="002C205C"/>
    <w:rsid w:val="002C2128"/>
    <w:rsid w:val="002C3606"/>
    <w:rsid w:val="002C409A"/>
    <w:rsid w:val="002C48FE"/>
    <w:rsid w:val="002C4B83"/>
    <w:rsid w:val="002C4D6C"/>
    <w:rsid w:val="002C5081"/>
    <w:rsid w:val="002C54A7"/>
    <w:rsid w:val="002C6780"/>
    <w:rsid w:val="002C7156"/>
    <w:rsid w:val="002C7FA4"/>
    <w:rsid w:val="002D057F"/>
    <w:rsid w:val="002D114A"/>
    <w:rsid w:val="002D19C5"/>
    <w:rsid w:val="002D3013"/>
    <w:rsid w:val="002D3D3A"/>
    <w:rsid w:val="002D4741"/>
    <w:rsid w:val="002D4FB8"/>
    <w:rsid w:val="002D537F"/>
    <w:rsid w:val="002D590F"/>
    <w:rsid w:val="002D5F6D"/>
    <w:rsid w:val="002D6A13"/>
    <w:rsid w:val="002D7167"/>
    <w:rsid w:val="002D765F"/>
    <w:rsid w:val="002E042C"/>
    <w:rsid w:val="002E0A13"/>
    <w:rsid w:val="002E0A90"/>
    <w:rsid w:val="002E0FB9"/>
    <w:rsid w:val="002E25A2"/>
    <w:rsid w:val="002E4C2B"/>
    <w:rsid w:val="002E533F"/>
    <w:rsid w:val="002E54D1"/>
    <w:rsid w:val="002E5554"/>
    <w:rsid w:val="002E6666"/>
    <w:rsid w:val="002E6843"/>
    <w:rsid w:val="002F177C"/>
    <w:rsid w:val="002F3D29"/>
    <w:rsid w:val="002F4C2E"/>
    <w:rsid w:val="002F5291"/>
    <w:rsid w:val="002F53BC"/>
    <w:rsid w:val="002F5497"/>
    <w:rsid w:val="002F60FB"/>
    <w:rsid w:val="002F7C01"/>
    <w:rsid w:val="00302087"/>
    <w:rsid w:val="00302183"/>
    <w:rsid w:val="00302B03"/>
    <w:rsid w:val="00302D29"/>
    <w:rsid w:val="0030528E"/>
    <w:rsid w:val="00305F9D"/>
    <w:rsid w:val="00306CFB"/>
    <w:rsid w:val="003072F7"/>
    <w:rsid w:val="003073BB"/>
    <w:rsid w:val="003100CA"/>
    <w:rsid w:val="00312BB7"/>
    <w:rsid w:val="0031353D"/>
    <w:rsid w:val="00314208"/>
    <w:rsid w:val="00314873"/>
    <w:rsid w:val="0031487D"/>
    <w:rsid w:val="003155E1"/>
    <w:rsid w:val="00315698"/>
    <w:rsid w:val="00316C21"/>
    <w:rsid w:val="00316CCE"/>
    <w:rsid w:val="003175F9"/>
    <w:rsid w:val="003177E0"/>
    <w:rsid w:val="00320622"/>
    <w:rsid w:val="0032069E"/>
    <w:rsid w:val="00321B90"/>
    <w:rsid w:val="003222BA"/>
    <w:rsid w:val="00323033"/>
    <w:rsid w:val="003233CA"/>
    <w:rsid w:val="00323453"/>
    <w:rsid w:val="00323EA7"/>
    <w:rsid w:val="0032552E"/>
    <w:rsid w:val="00326C3C"/>
    <w:rsid w:val="00327BE3"/>
    <w:rsid w:val="00327C77"/>
    <w:rsid w:val="00330D39"/>
    <w:rsid w:val="00331A85"/>
    <w:rsid w:val="00331D92"/>
    <w:rsid w:val="00332A67"/>
    <w:rsid w:val="003365AA"/>
    <w:rsid w:val="00341249"/>
    <w:rsid w:val="00342D8E"/>
    <w:rsid w:val="003437C1"/>
    <w:rsid w:val="00344640"/>
    <w:rsid w:val="00344BA9"/>
    <w:rsid w:val="00344D5F"/>
    <w:rsid w:val="003453AC"/>
    <w:rsid w:val="00350584"/>
    <w:rsid w:val="003505CC"/>
    <w:rsid w:val="00350B06"/>
    <w:rsid w:val="00350C5B"/>
    <w:rsid w:val="003519D0"/>
    <w:rsid w:val="003521E6"/>
    <w:rsid w:val="00352B39"/>
    <w:rsid w:val="00355A34"/>
    <w:rsid w:val="00356101"/>
    <w:rsid w:val="00356164"/>
    <w:rsid w:val="00357D17"/>
    <w:rsid w:val="003608C1"/>
    <w:rsid w:val="00361300"/>
    <w:rsid w:val="00362E25"/>
    <w:rsid w:val="003631F7"/>
    <w:rsid w:val="003634A1"/>
    <w:rsid w:val="00363A4B"/>
    <w:rsid w:val="00363AC5"/>
    <w:rsid w:val="00364039"/>
    <w:rsid w:val="00364181"/>
    <w:rsid w:val="00364353"/>
    <w:rsid w:val="00364BCE"/>
    <w:rsid w:val="00365351"/>
    <w:rsid w:val="003657A8"/>
    <w:rsid w:val="00365D47"/>
    <w:rsid w:val="00365FD3"/>
    <w:rsid w:val="00366865"/>
    <w:rsid w:val="00366BFA"/>
    <w:rsid w:val="00367AD3"/>
    <w:rsid w:val="00370893"/>
    <w:rsid w:val="00370B5E"/>
    <w:rsid w:val="003744F8"/>
    <w:rsid w:val="0037541E"/>
    <w:rsid w:val="00376120"/>
    <w:rsid w:val="00376E34"/>
    <w:rsid w:val="00376EB6"/>
    <w:rsid w:val="00377774"/>
    <w:rsid w:val="00380171"/>
    <w:rsid w:val="0038105D"/>
    <w:rsid w:val="0038110E"/>
    <w:rsid w:val="00381C65"/>
    <w:rsid w:val="003821CE"/>
    <w:rsid w:val="00382266"/>
    <w:rsid w:val="003822F7"/>
    <w:rsid w:val="00382533"/>
    <w:rsid w:val="0038263A"/>
    <w:rsid w:val="003829AF"/>
    <w:rsid w:val="00382ADB"/>
    <w:rsid w:val="00383044"/>
    <w:rsid w:val="00383CAB"/>
    <w:rsid w:val="00385359"/>
    <w:rsid w:val="00385A00"/>
    <w:rsid w:val="00386188"/>
    <w:rsid w:val="00390263"/>
    <w:rsid w:val="00390DE9"/>
    <w:rsid w:val="00390E3B"/>
    <w:rsid w:val="003932EA"/>
    <w:rsid w:val="00393A28"/>
    <w:rsid w:val="00396EEE"/>
    <w:rsid w:val="003971C9"/>
    <w:rsid w:val="00397262"/>
    <w:rsid w:val="003A0DF7"/>
    <w:rsid w:val="003A3014"/>
    <w:rsid w:val="003A3973"/>
    <w:rsid w:val="003A55CD"/>
    <w:rsid w:val="003A5804"/>
    <w:rsid w:val="003A7EDE"/>
    <w:rsid w:val="003B38BC"/>
    <w:rsid w:val="003B424D"/>
    <w:rsid w:val="003B4E51"/>
    <w:rsid w:val="003B5AC1"/>
    <w:rsid w:val="003B5FF7"/>
    <w:rsid w:val="003B676A"/>
    <w:rsid w:val="003B6E75"/>
    <w:rsid w:val="003B7205"/>
    <w:rsid w:val="003B722E"/>
    <w:rsid w:val="003C2153"/>
    <w:rsid w:val="003C3AB3"/>
    <w:rsid w:val="003C3DEF"/>
    <w:rsid w:val="003C40D3"/>
    <w:rsid w:val="003C535E"/>
    <w:rsid w:val="003C5E49"/>
    <w:rsid w:val="003C709D"/>
    <w:rsid w:val="003D0BD6"/>
    <w:rsid w:val="003D0C9E"/>
    <w:rsid w:val="003D1152"/>
    <w:rsid w:val="003D24E2"/>
    <w:rsid w:val="003D40F0"/>
    <w:rsid w:val="003D4BB4"/>
    <w:rsid w:val="003D5998"/>
    <w:rsid w:val="003D5EB6"/>
    <w:rsid w:val="003D723E"/>
    <w:rsid w:val="003D7543"/>
    <w:rsid w:val="003D7723"/>
    <w:rsid w:val="003D7D27"/>
    <w:rsid w:val="003E0DE2"/>
    <w:rsid w:val="003E0E05"/>
    <w:rsid w:val="003E0F6F"/>
    <w:rsid w:val="003E11D8"/>
    <w:rsid w:val="003E1636"/>
    <w:rsid w:val="003E3237"/>
    <w:rsid w:val="003E3537"/>
    <w:rsid w:val="003E417A"/>
    <w:rsid w:val="003E7610"/>
    <w:rsid w:val="003E7BB1"/>
    <w:rsid w:val="003F151F"/>
    <w:rsid w:val="003F32D2"/>
    <w:rsid w:val="003F372D"/>
    <w:rsid w:val="003F3AF2"/>
    <w:rsid w:val="003F4CB5"/>
    <w:rsid w:val="003F4FBE"/>
    <w:rsid w:val="003F5929"/>
    <w:rsid w:val="003F67BD"/>
    <w:rsid w:val="003F691D"/>
    <w:rsid w:val="003F6AFE"/>
    <w:rsid w:val="003F76D1"/>
    <w:rsid w:val="00400F90"/>
    <w:rsid w:val="0040123F"/>
    <w:rsid w:val="004016D5"/>
    <w:rsid w:val="00401813"/>
    <w:rsid w:val="00402C51"/>
    <w:rsid w:val="00403325"/>
    <w:rsid w:val="00403B99"/>
    <w:rsid w:val="00403CD1"/>
    <w:rsid w:val="0040420C"/>
    <w:rsid w:val="00404388"/>
    <w:rsid w:val="004054A7"/>
    <w:rsid w:val="00405671"/>
    <w:rsid w:val="00407467"/>
    <w:rsid w:val="00407663"/>
    <w:rsid w:val="00407A36"/>
    <w:rsid w:val="00410194"/>
    <w:rsid w:val="00410D37"/>
    <w:rsid w:val="0041100C"/>
    <w:rsid w:val="004121D1"/>
    <w:rsid w:val="00412544"/>
    <w:rsid w:val="004137EB"/>
    <w:rsid w:val="00414255"/>
    <w:rsid w:val="0041478E"/>
    <w:rsid w:val="00414E02"/>
    <w:rsid w:val="00416B64"/>
    <w:rsid w:val="00416E8A"/>
    <w:rsid w:val="004174BC"/>
    <w:rsid w:val="00417E05"/>
    <w:rsid w:val="004207FD"/>
    <w:rsid w:val="00420EB4"/>
    <w:rsid w:val="004212E2"/>
    <w:rsid w:val="004238B7"/>
    <w:rsid w:val="00423BD6"/>
    <w:rsid w:val="00423D90"/>
    <w:rsid w:val="00424B6D"/>
    <w:rsid w:val="0042500E"/>
    <w:rsid w:val="00426371"/>
    <w:rsid w:val="00426EF9"/>
    <w:rsid w:val="00431095"/>
    <w:rsid w:val="00431E54"/>
    <w:rsid w:val="004325CB"/>
    <w:rsid w:val="00432934"/>
    <w:rsid w:val="0043443A"/>
    <w:rsid w:val="004344A1"/>
    <w:rsid w:val="00434CD3"/>
    <w:rsid w:val="00436009"/>
    <w:rsid w:val="0043743A"/>
    <w:rsid w:val="004379B5"/>
    <w:rsid w:val="00441512"/>
    <w:rsid w:val="0044193A"/>
    <w:rsid w:val="00442DA2"/>
    <w:rsid w:val="00444234"/>
    <w:rsid w:val="00444990"/>
    <w:rsid w:val="00445304"/>
    <w:rsid w:val="00447AA7"/>
    <w:rsid w:val="00447DD4"/>
    <w:rsid w:val="00450630"/>
    <w:rsid w:val="004508E1"/>
    <w:rsid w:val="00451D8A"/>
    <w:rsid w:val="00452F9F"/>
    <w:rsid w:val="00454A5D"/>
    <w:rsid w:val="00455A06"/>
    <w:rsid w:val="0045698C"/>
    <w:rsid w:val="00456DD3"/>
    <w:rsid w:val="004629BE"/>
    <w:rsid w:val="00463947"/>
    <w:rsid w:val="004639FA"/>
    <w:rsid w:val="004649C9"/>
    <w:rsid w:val="00465B16"/>
    <w:rsid w:val="00466256"/>
    <w:rsid w:val="00466BC0"/>
    <w:rsid w:val="00471486"/>
    <w:rsid w:val="0047166D"/>
    <w:rsid w:val="00472A49"/>
    <w:rsid w:val="00472C24"/>
    <w:rsid w:val="00472E44"/>
    <w:rsid w:val="00473498"/>
    <w:rsid w:val="004737F0"/>
    <w:rsid w:val="00473D10"/>
    <w:rsid w:val="0047417B"/>
    <w:rsid w:val="0047507C"/>
    <w:rsid w:val="00475410"/>
    <w:rsid w:val="004762E9"/>
    <w:rsid w:val="004762ED"/>
    <w:rsid w:val="00476B1B"/>
    <w:rsid w:val="00477229"/>
    <w:rsid w:val="00477897"/>
    <w:rsid w:val="004778EF"/>
    <w:rsid w:val="00477A76"/>
    <w:rsid w:val="00480367"/>
    <w:rsid w:val="004835E5"/>
    <w:rsid w:val="0048549D"/>
    <w:rsid w:val="00485C05"/>
    <w:rsid w:val="00487914"/>
    <w:rsid w:val="0049091B"/>
    <w:rsid w:val="00490F0D"/>
    <w:rsid w:val="0049107C"/>
    <w:rsid w:val="004913A0"/>
    <w:rsid w:val="004919C4"/>
    <w:rsid w:val="00491FC1"/>
    <w:rsid w:val="00492B31"/>
    <w:rsid w:val="004949F2"/>
    <w:rsid w:val="00494F52"/>
    <w:rsid w:val="00495E87"/>
    <w:rsid w:val="004971CC"/>
    <w:rsid w:val="0049750B"/>
    <w:rsid w:val="004A0AD1"/>
    <w:rsid w:val="004A0CE8"/>
    <w:rsid w:val="004A0E4C"/>
    <w:rsid w:val="004A1E99"/>
    <w:rsid w:val="004A23F5"/>
    <w:rsid w:val="004A28C3"/>
    <w:rsid w:val="004A3A2F"/>
    <w:rsid w:val="004A3CD9"/>
    <w:rsid w:val="004A3D50"/>
    <w:rsid w:val="004A42EF"/>
    <w:rsid w:val="004A690C"/>
    <w:rsid w:val="004A6AF6"/>
    <w:rsid w:val="004A706C"/>
    <w:rsid w:val="004A71E4"/>
    <w:rsid w:val="004A78BF"/>
    <w:rsid w:val="004B1281"/>
    <w:rsid w:val="004B19B6"/>
    <w:rsid w:val="004B279A"/>
    <w:rsid w:val="004B2A31"/>
    <w:rsid w:val="004B2EF0"/>
    <w:rsid w:val="004B2EFC"/>
    <w:rsid w:val="004B3C19"/>
    <w:rsid w:val="004B3F75"/>
    <w:rsid w:val="004B5264"/>
    <w:rsid w:val="004B7F70"/>
    <w:rsid w:val="004C03FE"/>
    <w:rsid w:val="004C0424"/>
    <w:rsid w:val="004C16E1"/>
    <w:rsid w:val="004C1FCE"/>
    <w:rsid w:val="004C34BC"/>
    <w:rsid w:val="004C4A0F"/>
    <w:rsid w:val="004C562F"/>
    <w:rsid w:val="004C7359"/>
    <w:rsid w:val="004C7DBD"/>
    <w:rsid w:val="004D0C34"/>
    <w:rsid w:val="004D1288"/>
    <w:rsid w:val="004D216D"/>
    <w:rsid w:val="004D36ED"/>
    <w:rsid w:val="004D3A8C"/>
    <w:rsid w:val="004D5541"/>
    <w:rsid w:val="004D57E7"/>
    <w:rsid w:val="004D68D7"/>
    <w:rsid w:val="004D6D23"/>
    <w:rsid w:val="004D7138"/>
    <w:rsid w:val="004D71D8"/>
    <w:rsid w:val="004E09C1"/>
    <w:rsid w:val="004E10BD"/>
    <w:rsid w:val="004E17FC"/>
    <w:rsid w:val="004E1D8B"/>
    <w:rsid w:val="004E2080"/>
    <w:rsid w:val="004E2C62"/>
    <w:rsid w:val="004E3063"/>
    <w:rsid w:val="004E4311"/>
    <w:rsid w:val="004E457D"/>
    <w:rsid w:val="004E4CD6"/>
    <w:rsid w:val="004E4E81"/>
    <w:rsid w:val="004E5ECA"/>
    <w:rsid w:val="004E7B89"/>
    <w:rsid w:val="004E7D9B"/>
    <w:rsid w:val="004F0D28"/>
    <w:rsid w:val="004F0E43"/>
    <w:rsid w:val="004F12B2"/>
    <w:rsid w:val="004F1BAA"/>
    <w:rsid w:val="004F5E6E"/>
    <w:rsid w:val="004F619A"/>
    <w:rsid w:val="004F6C39"/>
    <w:rsid w:val="004F6CEE"/>
    <w:rsid w:val="004F6F92"/>
    <w:rsid w:val="004F7C73"/>
    <w:rsid w:val="00500C4F"/>
    <w:rsid w:val="00500EFC"/>
    <w:rsid w:val="00500FB1"/>
    <w:rsid w:val="005020FC"/>
    <w:rsid w:val="00503070"/>
    <w:rsid w:val="005036FD"/>
    <w:rsid w:val="0050401F"/>
    <w:rsid w:val="005044BD"/>
    <w:rsid w:val="00504770"/>
    <w:rsid w:val="005067EF"/>
    <w:rsid w:val="00507FB0"/>
    <w:rsid w:val="00510008"/>
    <w:rsid w:val="005105C9"/>
    <w:rsid w:val="00510722"/>
    <w:rsid w:val="00511B21"/>
    <w:rsid w:val="00511E4E"/>
    <w:rsid w:val="0051241C"/>
    <w:rsid w:val="005125B4"/>
    <w:rsid w:val="00512B5E"/>
    <w:rsid w:val="00512BA5"/>
    <w:rsid w:val="00513833"/>
    <w:rsid w:val="0051391D"/>
    <w:rsid w:val="00513CCB"/>
    <w:rsid w:val="00514026"/>
    <w:rsid w:val="005140A6"/>
    <w:rsid w:val="005153BA"/>
    <w:rsid w:val="0051611F"/>
    <w:rsid w:val="00517069"/>
    <w:rsid w:val="0051762A"/>
    <w:rsid w:val="00520862"/>
    <w:rsid w:val="00520AF8"/>
    <w:rsid w:val="00521317"/>
    <w:rsid w:val="0052145E"/>
    <w:rsid w:val="00521869"/>
    <w:rsid w:val="00521C7B"/>
    <w:rsid w:val="00522C61"/>
    <w:rsid w:val="00523039"/>
    <w:rsid w:val="00523BCA"/>
    <w:rsid w:val="00524F29"/>
    <w:rsid w:val="00524FFA"/>
    <w:rsid w:val="00525099"/>
    <w:rsid w:val="00525833"/>
    <w:rsid w:val="005271CD"/>
    <w:rsid w:val="00530350"/>
    <w:rsid w:val="005307CA"/>
    <w:rsid w:val="00531BD7"/>
    <w:rsid w:val="0053275F"/>
    <w:rsid w:val="00532982"/>
    <w:rsid w:val="00532FE7"/>
    <w:rsid w:val="005332FC"/>
    <w:rsid w:val="005347EE"/>
    <w:rsid w:val="0053545A"/>
    <w:rsid w:val="00536966"/>
    <w:rsid w:val="00537D52"/>
    <w:rsid w:val="00541482"/>
    <w:rsid w:val="00541C96"/>
    <w:rsid w:val="005428DA"/>
    <w:rsid w:val="005434CB"/>
    <w:rsid w:val="005434F4"/>
    <w:rsid w:val="0054356C"/>
    <w:rsid w:val="0054492F"/>
    <w:rsid w:val="00544C55"/>
    <w:rsid w:val="0054509B"/>
    <w:rsid w:val="005453D3"/>
    <w:rsid w:val="00546558"/>
    <w:rsid w:val="00546871"/>
    <w:rsid w:val="00547268"/>
    <w:rsid w:val="0055040E"/>
    <w:rsid w:val="005505FE"/>
    <w:rsid w:val="00550FDF"/>
    <w:rsid w:val="00551384"/>
    <w:rsid w:val="005518A3"/>
    <w:rsid w:val="005520E8"/>
    <w:rsid w:val="00552276"/>
    <w:rsid w:val="0055263E"/>
    <w:rsid w:val="00552B0E"/>
    <w:rsid w:val="00553624"/>
    <w:rsid w:val="005548EB"/>
    <w:rsid w:val="00555D4F"/>
    <w:rsid w:val="00557215"/>
    <w:rsid w:val="0055743C"/>
    <w:rsid w:val="00560890"/>
    <w:rsid w:val="00561386"/>
    <w:rsid w:val="005614EE"/>
    <w:rsid w:val="00563276"/>
    <w:rsid w:val="00563AF6"/>
    <w:rsid w:val="005640EB"/>
    <w:rsid w:val="005641FE"/>
    <w:rsid w:val="00564AF5"/>
    <w:rsid w:val="00565D6E"/>
    <w:rsid w:val="0056601A"/>
    <w:rsid w:val="00566243"/>
    <w:rsid w:val="005667F7"/>
    <w:rsid w:val="0057022A"/>
    <w:rsid w:val="005712D3"/>
    <w:rsid w:val="00571AA4"/>
    <w:rsid w:val="00572DB4"/>
    <w:rsid w:val="0057376E"/>
    <w:rsid w:val="00576101"/>
    <w:rsid w:val="00576478"/>
    <w:rsid w:val="00576713"/>
    <w:rsid w:val="0058128C"/>
    <w:rsid w:val="005813E9"/>
    <w:rsid w:val="005822B7"/>
    <w:rsid w:val="005833F8"/>
    <w:rsid w:val="00583DC2"/>
    <w:rsid w:val="0058403A"/>
    <w:rsid w:val="005854CF"/>
    <w:rsid w:val="005854E6"/>
    <w:rsid w:val="00587D14"/>
    <w:rsid w:val="005904D7"/>
    <w:rsid w:val="00590C4B"/>
    <w:rsid w:val="0059166A"/>
    <w:rsid w:val="00591685"/>
    <w:rsid w:val="005917E9"/>
    <w:rsid w:val="005923C0"/>
    <w:rsid w:val="00592C68"/>
    <w:rsid w:val="0059344D"/>
    <w:rsid w:val="00594888"/>
    <w:rsid w:val="0059520F"/>
    <w:rsid w:val="00596386"/>
    <w:rsid w:val="00596399"/>
    <w:rsid w:val="00596B2F"/>
    <w:rsid w:val="0059743E"/>
    <w:rsid w:val="005A0428"/>
    <w:rsid w:val="005A1C95"/>
    <w:rsid w:val="005A2113"/>
    <w:rsid w:val="005A28DC"/>
    <w:rsid w:val="005A3BB3"/>
    <w:rsid w:val="005A3C33"/>
    <w:rsid w:val="005A3F0A"/>
    <w:rsid w:val="005A4331"/>
    <w:rsid w:val="005A4589"/>
    <w:rsid w:val="005A4E28"/>
    <w:rsid w:val="005A4F51"/>
    <w:rsid w:val="005A5E2E"/>
    <w:rsid w:val="005A63C3"/>
    <w:rsid w:val="005A694F"/>
    <w:rsid w:val="005A7230"/>
    <w:rsid w:val="005A766D"/>
    <w:rsid w:val="005B19DC"/>
    <w:rsid w:val="005B254F"/>
    <w:rsid w:val="005B2CBD"/>
    <w:rsid w:val="005B3972"/>
    <w:rsid w:val="005B3B4D"/>
    <w:rsid w:val="005B4C05"/>
    <w:rsid w:val="005B5260"/>
    <w:rsid w:val="005B5AD1"/>
    <w:rsid w:val="005B6BB2"/>
    <w:rsid w:val="005B6F89"/>
    <w:rsid w:val="005B757C"/>
    <w:rsid w:val="005C05E4"/>
    <w:rsid w:val="005C161D"/>
    <w:rsid w:val="005C1BFA"/>
    <w:rsid w:val="005C32F4"/>
    <w:rsid w:val="005C49C5"/>
    <w:rsid w:val="005C5C56"/>
    <w:rsid w:val="005C696A"/>
    <w:rsid w:val="005C73B0"/>
    <w:rsid w:val="005C7E55"/>
    <w:rsid w:val="005D00C7"/>
    <w:rsid w:val="005D04C7"/>
    <w:rsid w:val="005D0767"/>
    <w:rsid w:val="005D18DE"/>
    <w:rsid w:val="005D235E"/>
    <w:rsid w:val="005D3304"/>
    <w:rsid w:val="005D4F38"/>
    <w:rsid w:val="005D4F5F"/>
    <w:rsid w:val="005D5550"/>
    <w:rsid w:val="005E05E4"/>
    <w:rsid w:val="005E0D19"/>
    <w:rsid w:val="005E15EE"/>
    <w:rsid w:val="005E1986"/>
    <w:rsid w:val="005E1BF5"/>
    <w:rsid w:val="005E2629"/>
    <w:rsid w:val="005E275D"/>
    <w:rsid w:val="005E29AF"/>
    <w:rsid w:val="005E4F3F"/>
    <w:rsid w:val="005E55C9"/>
    <w:rsid w:val="005E64EF"/>
    <w:rsid w:val="005E65D8"/>
    <w:rsid w:val="005E67FA"/>
    <w:rsid w:val="005E78D8"/>
    <w:rsid w:val="005E7BF3"/>
    <w:rsid w:val="005E7DBC"/>
    <w:rsid w:val="005F0949"/>
    <w:rsid w:val="005F0C93"/>
    <w:rsid w:val="005F155A"/>
    <w:rsid w:val="005F203C"/>
    <w:rsid w:val="005F2D6F"/>
    <w:rsid w:val="005F33A5"/>
    <w:rsid w:val="005F428E"/>
    <w:rsid w:val="005F4FB9"/>
    <w:rsid w:val="005F5621"/>
    <w:rsid w:val="005F57BE"/>
    <w:rsid w:val="005F5F2E"/>
    <w:rsid w:val="005F67B2"/>
    <w:rsid w:val="005F75F4"/>
    <w:rsid w:val="005F7770"/>
    <w:rsid w:val="005F7AF9"/>
    <w:rsid w:val="0060202E"/>
    <w:rsid w:val="00602108"/>
    <w:rsid w:val="00602259"/>
    <w:rsid w:val="00602B05"/>
    <w:rsid w:val="00603277"/>
    <w:rsid w:val="00603429"/>
    <w:rsid w:val="00603492"/>
    <w:rsid w:val="00603A67"/>
    <w:rsid w:val="00603AE8"/>
    <w:rsid w:val="00603FA4"/>
    <w:rsid w:val="006055B9"/>
    <w:rsid w:val="00605631"/>
    <w:rsid w:val="00605B2C"/>
    <w:rsid w:val="00606075"/>
    <w:rsid w:val="006062FE"/>
    <w:rsid w:val="00606CE4"/>
    <w:rsid w:val="0061045D"/>
    <w:rsid w:val="00610491"/>
    <w:rsid w:val="00610F93"/>
    <w:rsid w:val="006111DA"/>
    <w:rsid w:val="00611398"/>
    <w:rsid w:val="00612392"/>
    <w:rsid w:val="00612CB4"/>
    <w:rsid w:val="006132D6"/>
    <w:rsid w:val="0061381C"/>
    <w:rsid w:val="00613E26"/>
    <w:rsid w:val="006164B2"/>
    <w:rsid w:val="00617B48"/>
    <w:rsid w:val="006202AD"/>
    <w:rsid w:val="0062076D"/>
    <w:rsid w:val="00620C66"/>
    <w:rsid w:val="006225D1"/>
    <w:rsid w:val="006227B2"/>
    <w:rsid w:val="006227B4"/>
    <w:rsid w:val="006237C3"/>
    <w:rsid w:val="006239CB"/>
    <w:rsid w:val="00623BCB"/>
    <w:rsid w:val="00624042"/>
    <w:rsid w:val="00626781"/>
    <w:rsid w:val="00626B72"/>
    <w:rsid w:val="0063031A"/>
    <w:rsid w:val="0063097C"/>
    <w:rsid w:val="00633081"/>
    <w:rsid w:val="00633494"/>
    <w:rsid w:val="0063711A"/>
    <w:rsid w:val="00637261"/>
    <w:rsid w:val="00637912"/>
    <w:rsid w:val="00637F44"/>
    <w:rsid w:val="006405C0"/>
    <w:rsid w:val="00640835"/>
    <w:rsid w:val="0064195A"/>
    <w:rsid w:val="00641961"/>
    <w:rsid w:val="00642A89"/>
    <w:rsid w:val="00643B02"/>
    <w:rsid w:val="00644892"/>
    <w:rsid w:val="00646121"/>
    <w:rsid w:val="0064660F"/>
    <w:rsid w:val="00646889"/>
    <w:rsid w:val="00646B0F"/>
    <w:rsid w:val="006506B3"/>
    <w:rsid w:val="00650CB2"/>
    <w:rsid w:val="00652392"/>
    <w:rsid w:val="006534D8"/>
    <w:rsid w:val="006538A7"/>
    <w:rsid w:val="006542B7"/>
    <w:rsid w:val="006547E7"/>
    <w:rsid w:val="00654FD6"/>
    <w:rsid w:val="00655373"/>
    <w:rsid w:val="00655E46"/>
    <w:rsid w:val="0065607C"/>
    <w:rsid w:val="00656165"/>
    <w:rsid w:val="00657876"/>
    <w:rsid w:val="00660976"/>
    <w:rsid w:val="00663C88"/>
    <w:rsid w:val="00663D1B"/>
    <w:rsid w:val="00664468"/>
    <w:rsid w:val="00664BB6"/>
    <w:rsid w:val="00665584"/>
    <w:rsid w:val="00667179"/>
    <w:rsid w:val="0066747B"/>
    <w:rsid w:val="00667A94"/>
    <w:rsid w:val="006707C8"/>
    <w:rsid w:val="0067292D"/>
    <w:rsid w:val="006732E9"/>
    <w:rsid w:val="006737B2"/>
    <w:rsid w:val="00674756"/>
    <w:rsid w:val="006747B4"/>
    <w:rsid w:val="00675007"/>
    <w:rsid w:val="00675752"/>
    <w:rsid w:val="0067680D"/>
    <w:rsid w:val="00676CFF"/>
    <w:rsid w:val="00681001"/>
    <w:rsid w:val="0068103E"/>
    <w:rsid w:val="00681310"/>
    <w:rsid w:val="00681B43"/>
    <w:rsid w:val="006824F4"/>
    <w:rsid w:val="00683E70"/>
    <w:rsid w:val="00685103"/>
    <w:rsid w:val="006853AB"/>
    <w:rsid w:val="00685AFB"/>
    <w:rsid w:val="00686F34"/>
    <w:rsid w:val="006873C4"/>
    <w:rsid w:val="0068751E"/>
    <w:rsid w:val="006878DB"/>
    <w:rsid w:val="00687B23"/>
    <w:rsid w:val="006905B5"/>
    <w:rsid w:val="00691C22"/>
    <w:rsid w:val="00692F48"/>
    <w:rsid w:val="00693570"/>
    <w:rsid w:val="00693CCB"/>
    <w:rsid w:val="006A244D"/>
    <w:rsid w:val="006A39F2"/>
    <w:rsid w:val="006A3ACC"/>
    <w:rsid w:val="006A43F3"/>
    <w:rsid w:val="006A4AEA"/>
    <w:rsid w:val="006A4BBA"/>
    <w:rsid w:val="006A5A3E"/>
    <w:rsid w:val="006A77A1"/>
    <w:rsid w:val="006B0BA3"/>
    <w:rsid w:val="006B0D96"/>
    <w:rsid w:val="006B1272"/>
    <w:rsid w:val="006B1B91"/>
    <w:rsid w:val="006B2B10"/>
    <w:rsid w:val="006B3218"/>
    <w:rsid w:val="006B3891"/>
    <w:rsid w:val="006B47E8"/>
    <w:rsid w:val="006B5615"/>
    <w:rsid w:val="006B5817"/>
    <w:rsid w:val="006B65B6"/>
    <w:rsid w:val="006C0001"/>
    <w:rsid w:val="006C264E"/>
    <w:rsid w:val="006C26B6"/>
    <w:rsid w:val="006C2FA6"/>
    <w:rsid w:val="006C330D"/>
    <w:rsid w:val="006C38FE"/>
    <w:rsid w:val="006C39B4"/>
    <w:rsid w:val="006C4387"/>
    <w:rsid w:val="006C4820"/>
    <w:rsid w:val="006C54E7"/>
    <w:rsid w:val="006C56A8"/>
    <w:rsid w:val="006C5B1F"/>
    <w:rsid w:val="006C6A98"/>
    <w:rsid w:val="006C6F12"/>
    <w:rsid w:val="006C742B"/>
    <w:rsid w:val="006C7A51"/>
    <w:rsid w:val="006D025F"/>
    <w:rsid w:val="006D0285"/>
    <w:rsid w:val="006D342C"/>
    <w:rsid w:val="006D352F"/>
    <w:rsid w:val="006D4E7A"/>
    <w:rsid w:val="006D63C4"/>
    <w:rsid w:val="006D6F52"/>
    <w:rsid w:val="006D7956"/>
    <w:rsid w:val="006E1934"/>
    <w:rsid w:val="006E23C0"/>
    <w:rsid w:val="006E2B1D"/>
    <w:rsid w:val="006E32CB"/>
    <w:rsid w:val="006E4B07"/>
    <w:rsid w:val="006E52E3"/>
    <w:rsid w:val="006E5675"/>
    <w:rsid w:val="006E56C9"/>
    <w:rsid w:val="006E5F58"/>
    <w:rsid w:val="006E77E5"/>
    <w:rsid w:val="006F0C66"/>
    <w:rsid w:val="006F13F4"/>
    <w:rsid w:val="006F3319"/>
    <w:rsid w:val="006F3748"/>
    <w:rsid w:val="006F377C"/>
    <w:rsid w:val="006F5A0C"/>
    <w:rsid w:val="006F5DD5"/>
    <w:rsid w:val="006F6DF1"/>
    <w:rsid w:val="006F6F41"/>
    <w:rsid w:val="006F7C91"/>
    <w:rsid w:val="007006EE"/>
    <w:rsid w:val="00700F52"/>
    <w:rsid w:val="00701029"/>
    <w:rsid w:val="00701117"/>
    <w:rsid w:val="00701E3A"/>
    <w:rsid w:val="0070314F"/>
    <w:rsid w:val="00705C8A"/>
    <w:rsid w:val="00706FF4"/>
    <w:rsid w:val="00707781"/>
    <w:rsid w:val="00707B0C"/>
    <w:rsid w:val="00707C35"/>
    <w:rsid w:val="00711D5C"/>
    <w:rsid w:val="00712261"/>
    <w:rsid w:val="007124A5"/>
    <w:rsid w:val="00713B04"/>
    <w:rsid w:val="00713E63"/>
    <w:rsid w:val="00716434"/>
    <w:rsid w:val="00716800"/>
    <w:rsid w:val="00716927"/>
    <w:rsid w:val="0071694C"/>
    <w:rsid w:val="00716D92"/>
    <w:rsid w:val="00717B71"/>
    <w:rsid w:val="00717D47"/>
    <w:rsid w:val="0072057A"/>
    <w:rsid w:val="007205EA"/>
    <w:rsid w:val="0072139F"/>
    <w:rsid w:val="00721732"/>
    <w:rsid w:val="00721B53"/>
    <w:rsid w:val="00722FC2"/>
    <w:rsid w:val="00723B70"/>
    <w:rsid w:val="00725FA6"/>
    <w:rsid w:val="00726321"/>
    <w:rsid w:val="00726B0C"/>
    <w:rsid w:val="00730104"/>
    <w:rsid w:val="0073143D"/>
    <w:rsid w:val="0073436A"/>
    <w:rsid w:val="0073439B"/>
    <w:rsid w:val="00736B23"/>
    <w:rsid w:val="007371C8"/>
    <w:rsid w:val="00741CDB"/>
    <w:rsid w:val="00743170"/>
    <w:rsid w:val="00746F75"/>
    <w:rsid w:val="00747295"/>
    <w:rsid w:val="0075124E"/>
    <w:rsid w:val="007514A6"/>
    <w:rsid w:val="007515C0"/>
    <w:rsid w:val="00751A52"/>
    <w:rsid w:val="00752191"/>
    <w:rsid w:val="007524B6"/>
    <w:rsid w:val="007524E9"/>
    <w:rsid w:val="00753C8A"/>
    <w:rsid w:val="00753D03"/>
    <w:rsid w:val="00754005"/>
    <w:rsid w:val="00754EDF"/>
    <w:rsid w:val="0075538D"/>
    <w:rsid w:val="00755EB4"/>
    <w:rsid w:val="007575A3"/>
    <w:rsid w:val="00757716"/>
    <w:rsid w:val="00760990"/>
    <w:rsid w:val="00760ED4"/>
    <w:rsid w:val="0076130B"/>
    <w:rsid w:val="0076282A"/>
    <w:rsid w:val="00764256"/>
    <w:rsid w:val="00764603"/>
    <w:rsid w:val="00765C07"/>
    <w:rsid w:val="00765D1A"/>
    <w:rsid w:val="00766B20"/>
    <w:rsid w:val="00766BF8"/>
    <w:rsid w:val="00772363"/>
    <w:rsid w:val="00772550"/>
    <w:rsid w:val="007735ED"/>
    <w:rsid w:val="00773C70"/>
    <w:rsid w:val="00774869"/>
    <w:rsid w:val="00775039"/>
    <w:rsid w:val="007759EF"/>
    <w:rsid w:val="00776802"/>
    <w:rsid w:val="00776CC4"/>
    <w:rsid w:val="00777606"/>
    <w:rsid w:val="00781443"/>
    <w:rsid w:val="00781533"/>
    <w:rsid w:val="007866A4"/>
    <w:rsid w:val="00787363"/>
    <w:rsid w:val="0078783D"/>
    <w:rsid w:val="007905F6"/>
    <w:rsid w:val="007926B9"/>
    <w:rsid w:val="007952CD"/>
    <w:rsid w:val="00796D60"/>
    <w:rsid w:val="00797DFD"/>
    <w:rsid w:val="007A08B5"/>
    <w:rsid w:val="007A2861"/>
    <w:rsid w:val="007A29A7"/>
    <w:rsid w:val="007A2D5E"/>
    <w:rsid w:val="007A5C50"/>
    <w:rsid w:val="007A5E3A"/>
    <w:rsid w:val="007A6DB6"/>
    <w:rsid w:val="007A6DF6"/>
    <w:rsid w:val="007A72F4"/>
    <w:rsid w:val="007A7CBB"/>
    <w:rsid w:val="007A7CD1"/>
    <w:rsid w:val="007B03C1"/>
    <w:rsid w:val="007B056D"/>
    <w:rsid w:val="007B10DC"/>
    <w:rsid w:val="007B224D"/>
    <w:rsid w:val="007B270E"/>
    <w:rsid w:val="007B38F4"/>
    <w:rsid w:val="007B49C7"/>
    <w:rsid w:val="007B6E15"/>
    <w:rsid w:val="007B7C90"/>
    <w:rsid w:val="007C12F9"/>
    <w:rsid w:val="007C156C"/>
    <w:rsid w:val="007C224E"/>
    <w:rsid w:val="007C310C"/>
    <w:rsid w:val="007C3730"/>
    <w:rsid w:val="007C5115"/>
    <w:rsid w:val="007C5C5E"/>
    <w:rsid w:val="007C6B12"/>
    <w:rsid w:val="007C6B73"/>
    <w:rsid w:val="007C7539"/>
    <w:rsid w:val="007C7E18"/>
    <w:rsid w:val="007D1BDC"/>
    <w:rsid w:val="007D1F35"/>
    <w:rsid w:val="007D3622"/>
    <w:rsid w:val="007D3CA9"/>
    <w:rsid w:val="007D5335"/>
    <w:rsid w:val="007D634E"/>
    <w:rsid w:val="007D78DA"/>
    <w:rsid w:val="007D7977"/>
    <w:rsid w:val="007D79CA"/>
    <w:rsid w:val="007E0E62"/>
    <w:rsid w:val="007E1337"/>
    <w:rsid w:val="007E2B03"/>
    <w:rsid w:val="007E359E"/>
    <w:rsid w:val="007E3CDB"/>
    <w:rsid w:val="007E6065"/>
    <w:rsid w:val="007E6701"/>
    <w:rsid w:val="007F04F8"/>
    <w:rsid w:val="007F0A7E"/>
    <w:rsid w:val="007F3DD5"/>
    <w:rsid w:val="007F3F10"/>
    <w:rsid w:val="007F5A4D"/>
    <w:rsid w:val="007F6985"/>
    <w:rsid w:val="007F6C61"/>
    <w:rsid w:val="007F7C38"/>
    <w:rsid w:val="00800D15"/>
    <w:rsid w:val="008054CF"/>
    <w:rsid w:val="00805628"/>
    <w:rsid w:val="0080566D"/>
    <w:rsid w:val="008079FF"/>
    <w:rsid w:val="0081003B"/>
    <w:rsid w:val="00811AEB"/>
    <w:rsid w:val="008149D4"/>
    <w:rsid w:val="00814FC2"/>
    <w:rsid w:val="00816AF9"/>
    <w:rsid w:val="00816CC1"/>
    <w:rsid w:val="008171B5"/>
    <w:rsid w:val="008174E7"/>
    <w:rsid w:val="008206D8"/>
    <w:rsid w:val="00821A4F"/>
    <w:rsid w:val="00822042"/>
    <w:rsid w:val="008223D8"/>
    <w:rsid w:val="0082262E"/>
    <w:rsid w:val="00822D14"/>
    <w:rsid w:val="00825021"/>
    <w:rsid w:val="00825119"/>
    <w:rsid w:val="008252B2"/>
    <w:rsid w:val="00825A67"/>
    <w:rsid w:val="00826788"/>
    <w:rsid w:val="00826DF6"/>
    <w:rsid w:val="00831AC4"/>
    <w:rsid w:val="00832204"/>
    <w:rsid w:val="00832713"/>
    <w:rsid w:val="00832894"/>
    <w:rsid w:val="00832F01"/>
    <w:rsid w:val="008338E0"/>
    <w:rsid w:val="00835E22"/>
    <w:rsid w:val="00835F30"/>
    <w:rsid w:val="008360BB"/>
    <w:rsid w:val="00836C0B"/>
    <w:rsid w:val="008378AD"/>
    <w:rsid w:val="00840A30"/>
    <w:rsid w:val="00840B07"/>
    <w:rsid w:val="0084132E"/>
    <w:rsid w:val="00841D1D"/>
    <w:rsid w:val="00842056"/>
    <w:rsid w:val="00842FD1"/>
    <w:rsid w:val="0084316D"/>
    <w:rsid w:val="00843829"/>
    <w:rsid w:val="00843B58"/>
    <w:rsid w:val="00844499"/>
    <w:rsid w:val="008445AA"/>
    <w:rsid w:val="00844E18"/>
    <w:rsid w:val="00845AB6"/>
    <w:rsid w:val="00845F00"/>
    <w:rsid w:val="008464D4"/>
    <w:rsid w:val="0084690D"/>
    <w:rsid w:val="0084692A"/>
    <w:rsid w:val="008476DA"/>
    <w:rsid w:val="0084775B"/>
    <w:rsid w:val="00847C28"/>
    <w:rsid w:val="008501C9"/>
    <w:rsid w:val="008503F9"/>
    <w:rsid w:val="008507E3"/>
    <w:rsid w:val="008510E8"/>
    <w:rsid w:val="008516C5"/>
    <w:rsid w:val="00851D0B"/>
    <w:rsid w:val="00852D90"/>
    <w:rsid w:val="00853217"/>
    <w:rsid w:val="0085491A"/>
    <w:rsid w:val="00855011"/>
    <w:rsid w:val="00855AF5"/>
    <w:rsid w:val="00855B1B"/>
    <w:rsid w:val="00856747"/>
    <w:rsid w:val="00857306"/>
    <w:rsid w:val="0085766C"/>
    <w:rsid w:val="00857C29"/>
    <w:rsid w:val="00857E24"/>
    <w:rsid w:val="00857F34"/>
    <w:rsid w:val="00861037"/>
    <w:rsid w:val="00861383"/>
    <w:rsid w:val="00862364"/>
    <w:rsid w:val="008627C8"/>
    <w:rsid w:val="00862B12"/>
    <w:rsid w:val="00862EA0"/>
    <w:rsid w:val="00863A90"/>
    <w:rsid w:val="00863B00"/>
    <w:rsid w:val="008644AE"/>
    <w:rsid w:val="00865180"/>
    <w:rsid w:val="0086699E"/>
    <w:rsid w:val="00867153"/>
    <w:rsid w:val="0086793D"/>
    <w:rsid w:val="008679F6"/>
    <w:rsid w:val="00867D4A"/>
    <w:rsid w:val="00870595"/>
    <w:rsid w:val="008705B9"/>
    <w:rsid w:val="00870946"/>
    <w:rsid w:val="00870E68"/>
    <w:rsid w:val="00871AD6"/>
    <w:rsid w:val="00873A29"/>
    <w:rsid w:val="00875347"/>
    <w:rsid w:val="00875C12"/>
    <w:rsid w:val="008761B4"/>
    <w:rsid w:val="00877AEF"/>
    <w:rsid w:val="00880575"/>
    <w:rsid w:val="00882416"/>
    <w:rsid w:val="0088371B"/>
    <w:rsid w:val="0088481E"/>
    <w:rsid w:val="00884B15"/>
    <w:rsid w:val="00886C8F"/>
    <w:rsid w:val="008916D1"/>
    <w:rsid w:val="0089212F"/>
    <w:rsid w:val="008921E1"/>
    <w:rsid w:val="00892C7C"/>
    <w:rsid w:val="00893801"/>
    <w:rsid w:val="0089497F"/>
    <w:rsid w:val="00897E7E"/>
    <w:rsid w:val="008A00E3"/>
    <w:rsid w:val="008A0931"/>
    <w:rsid w:val="008A0BB7"/>
    <w:rsid w:val="008A10A5"/>
    <w:rsid w:val="008A10D0"/>
    <w:rsid w:val="008A1662"/>
    <w:rsid w:val="008A1AB5"/>
    <w:rsid w:val="008A32F5"/>
    <w:rsid w:val="008A3B6D"/>
    <w:rsid w:val="008A4C28"/>
    <w:rsid w:val="008A4CA1"/>
    <w:rsid w:val="008A4CF3"/>
    <w:rsid w:val="008A5EE8"/>
    <w:rsid w:val="008A6A0D"/>
    <w:rsid w:val="008A6FD3"/>
    <w:rsid w:val="008A7E81"/>
    <w:rsid w:val="008B0EEB"/>
    <w:rsid w:val="008B3287"/>
    <w:rsid w:val="008B3ACB"/>
    <w:rsid w:val="008B3F29"/>
    <w:rsid w:val="008B5059"/>
    <w:rsid w:val="008B5DC4"/>
    <w:rsid w:val="008B6751"/>
    <w:rsid w:val="008B693C"/>
    <w:rsid w:val="008B6F55"/>
    <w:rsid w:val="008B7246"/>
    <w:rsid w:val="008B75F1"/>
    <w:rsid w:val="008B7B6E"/>
    <w:rsid w:val="008C2208"/>
    <w:rsid w:val="008C2B17"/>
    <w:rsid w:val="008C4149"/>
    <w:rsid w:val="008C4878"/>
    <w:rsid w:val="008C4B41"/>
    <w:rsid w:val="008C606F"/>
    <w:rsid w:val="008C6603"/>
    <w:rsid w:val="008C6DF1"/>
    <w:rsid w:val="008D02D3"/>
    <w:rsid w:val="008D0EF5"/>
    <w:rsid w:val="008D11C6"/>
    <w:rsid w:val="008D1344"/>
    <w:rsid w:val="008D211C"/>
    <w:rsid w:val="008D24C0"/>
    <w:rsid w:val="008D4EC0"/>
    <w:rsid w:val="008D55E3"/>
    <w:rsid w:val="008D688A"/>
    <w:rsid w:val="008D7980"/>
    <w:rsid w:val="008D7AC4"/>
    <w:rsid w:val="008E0671"/>
    <w:rsid w:val="008E076A"/>
    <w:rsid w:val="008E14D4"/>
    <w:rsid w:val="008E1FE0"/>
    <w:rsid w:val="008E3041"/>
    <w:rsid w:val="008E369F"/>
    <w:rsid w:val="008E3C09"/>
    <w:rsid w:val="008E48E4"/>
    <w:rsid w:val="008E4A43"/>
    <w:rsid w:val="008E5194"/>
    <w:rsid w:val="008E5356"/>
    <w:rsid w:val="008E6BC8"/>
    <w:rsid w:val="008E77E7"/>
    <w:rsid w:val="008F02E2"/>
    <w:rsid w:val="008F0CCD"/>
    <w:rsid w:val="008F25D3"/>
    <w:rsid w:val="008F2EFE"/>
    <w:rsid w:val="008F3A50"/>
    <w:rsid w:val="008F49F8"/>
    <w:rsid w:val="008F4DA5"/>
    <w:rsid w:val="008F54E9"/>
    <w:rsid w:val="008F6215"/>
    <w:rsid w:val="008F69FA"/>
    <w:rsid w:val="008F7D39"/>
    <w:rsid w:val="009000A6"/>
    <w:rsid w:val="00901E6B"/>
    <w:rsid w:val="009026E8"/>
    <w:rsid w:val="009027AD"/>
    <w:rsid w:val="009031EF"/>
    <w:rsid w:val="00903792"/>
    <w:rsid w:val="009042A2"/>
    <w:rsid w:val="00905596"/>
    <w:rsid w:val="00905900"/>
    <w:rsid w:val="0090656B"/>
    <w:rsid w:val="009065FF"/>
    <w:rsid w:val="00911FDD"/>
    <w:rsid w:val="00912E17"/>
    <w:rsid w:val="00913210"/>
    <w:rsid w:val="00914E1B"/>
    <w:rsid w:val="009177A7"/>
    <w:rsid w:val="0091789A"/>
    <w:rsid w:val="00917D48"/>
    <w:rsid w:val="00920D15"/>
    <w:rsid w:val="00921596"/>
    <w:rsid w:val="009227A4"/>
    <w:rsid w:val="00923775"/>
    <w:rsid w:val="00923905"/>
    <w:rsid w:val="00924388"/>
    <w:rsid w:val="00925E01"/>
    <w:rsid w:val="009341A5"/>
    <w:rsid w:val="0093451B"/>
    <w:rsid w:val="0093457C"/>
    <w:rsid w:val="00935CAD"/>
    <w:rsid w:val="00936A44"/>
    <w:rsid w:val="00936D50"/>
    <w:rsid w:val="00937405"/>
    <w:rsid w:val="00937B6A"/>
    <w:rsid w:val="0094138E"/>
    <w:rsid w:val="009413F6"/>
    <w:rsid w:val="009417EF"/>
    <w:rsid w:val="009421B1"/>
    <w:rsid w:val="00942202"/>
    <w:rsid w:val="009435DE"/>
    <w:rsid w:val="0094453F"/>
    <w:rsid w:val="009448B3"/>
    <w:rsid w:val="00945375"/>
    <w:rsid w:val="009453BF"/>
    <w:rsid w:val="00945AAC"/>
    <w:rsid w:val="00945EB6"/>
    <w:rsid w:val="00946A82"/>
    <w:rsid w:val="00946B46"/>
    <w:rsid w:val="0094726A"/>
    <w:rsid w:val="00950541"/>
    <w:rsid w:val="00950D13"/>
    <w:rsid w:val="0095171E"/>
    <w:rsid w:val="00951995"/>
    <w:rsid w:val="00951EC3"/>
    <w:rsid w:val="00952BF4"/>
    <w:rsid w:val="00952CC2"/>
    <w:rsid w:val="00953226"/>
    <w:rsid w:val="00953B20"/>
    <w:rsid w:val="00953EA4"/>
    <w:rsid w:val="00954503"/>
    <w:rsid w:val="00954EC7"/>
    <w:rsid w:val="009551E2"/>
    <w:rsid w:val="009557F0"/>
    <w:rsid w:val="00956684"/>
    <w:rsid w:val="0095673E"/>
    <w:rsid w:val="00960114"/>
    <w:rsid w:val="00962135"/>
    <w:rsid w:val="00962861"/>
    <w:rsid w:val="009637BE"/>
    <w:rsid w:val="00963D4C"/>
    <w:rsid w:val="00964698"/>
    <w:rsid w:val="00965CDF"/>
    <w:rsid w:val="00965FF2"/>
    <w:rsid w:val="00966989"/>
    <w:rsid w:val="00967CEE"/>
    <w:rsid w:val="00970092"/>
    <w:rsid w:val="00971CF2"/>
    <w:rsid w:val="00973421"/>
    <w:rsid w:val="00973B64"/>
    <w:rsid w:val="00974A18"/>
    <w:rsid w:val="00975610"/>
    <w:rsid w:val="00975CDD"/>
    <w:rsid w:val="00976907"/>
    <w:rsid w:val="0097752F"/>
    <w:rsid w:val="0098011C"/>
    <w:rsid w:val="00980302"/>
    <w:rsid w:val="00980E51"/>
    <w:rsid w:val="00980F5D"/>
    <w:rsid w:val="009810D6"/>
    <w:rsid w:val="009815C0"/>
    <w:rsid w:val="009821DB"/>
    <w:rsid w:val="009837C8"/>
    <w:rsid w:val="0098384A"/>
    <w:rsid w:val="009838F7"/>
    <w:rsid w:val="009841A7"/>
    <w:rsid w:val="009844DE"/>
    <w:rsid w:val="00985B52"/>
    <w:rsid w:val="00986899"/>
    <w:rsid w:val="00986ECE"/>
    <w:rsid w:val="00987371"/>
    <w:rsid w:val="009879D1"/>
    <w:rsid w:val="009902F6"/>
    <w:rsid w:val="009902FB"/>
    <w:rsid w:val="009910CB"/>
    <w:rsid w:val="00991F89"/>
    <w:rsid w:val="0099258B"/>
    <w:rsid w:val="0099262B"/>
    <w:rsid w:val="0099291C"/>
    <w:rsid w:val="00995762"/>
    <w:rsid w:val="0099577A"/>
    <w:rsid w:val="00995A49"/>
    <w:rsid w:val="00995AF9"/>
    <w:rsid w:val="00995B55"/>
    <w:rsid w:val="00995E2E"/>
    <w:rsid w:val="00996318"/>
    <w:rsid w:val="009A1266"/>
    <w:rsid w:val="009A188D"/>
    <w:rsid w:val="009A2013"/>
    <w:rsid w:val="009A2BC2"/>
    <w:rsid w:val="009A41EB"/>
    <w:rsid w:val="009A5448"/>
    <w:rsid w:val="009A668A"/>
    <w:rsid w:val="009A6948"/>
    <w:rsid w:val="009A6A55"/>
    <w:rsid w:val="009A6BD5"/>
    <w:rsid w:val="009A6D95"/>
    <w:rsid w:val="009A6F26"/>
    <w:rsid w:val="009A6F65"/>
    <w:rsid w:val="009B0CE9"/>
    <w:rsid w:val="009B2139"/>
    <w:rsid w:val="009B34DB"/>
    <w:rsid w:val="009B3672"/>
    <w:rsid w:val="009B3941"/>
    <w:rsid w:val="009B69D4"/>
    <w:rsid w:val="009C0D2D"/>
    <w:rsid w:val="009C1028"/>
    <w:rsid w:val="009C2378"/>
    <w:rsid w:val="009C2E04"/>
    <w:rsid w:val="009C3BDA"/>
    <w:rsid w:val="009C4387"/>
    <w:rsid w:val="009C4BBF"/>
    <w:rsid w:val="009C5FB6"/>
    <w:rsid w:val="009C6A6E"/>
    <w:rsid w:val="009C74C7"/>
    <w:rsid w:val="009D1FAC"/>
    <w:rsid w:val="009D2BCB"/>
    <w:rsid w:val="009D2CC7"/>
    <w:rsid w:val="009D45A1"/>
    <w:rsid w:val="009D63B6"/>
    <w:rsid w:val="009D75AD"/>
    <w:rsid w:val="009D7957"/>
    <w:rsid w:val="009D7D5F"/>
    <w:rsid w:val="009D7E06"/>
    <w:rsid w:val="009E0D0C"/>
    <w:rsid w:val="009E2AC6"/>
    <w:rsid w:val="009E3598"/>
    <w:rsid w:val="009E41BE"/>
    <w:rsid w:val="009E46DF"/>
    <w:rsid w:val="009E54A4"/>
    <w:rsid w:val="009E57B5"/>
    <w:rsid w:val="009E60B3"/>
    <w:rsid w:val="009E6792"/>
    <w:rsid w:val="009F004E"/>
    <w:rsid w:val="009F05F7"/>
    <w:rsid w:val="009F0B98"/>
    <w:rsid w:val="009F0EFF"/>
    <w:rsid w:val="009F3C8B"/>
    <w:rsid w:val="009F450B"/>
    <w:rsid w:val="009F4D10"/>
    <w:rsid w:val="009F5353"/>
    <w:rsid w:val="009F63A3"/>
    <w:rsid w:val="009F6519"/>
    <w:rsid w:val="009F682E"/>
    <w:rsid w:val="00A0029F"/>
    <w:rsid w:val="00A00C3E"/>
    <w:rsid w:val="00A010C0"/>
    <w:rsid w:val="00A0162A"/>
    <w:rsid w:val="00A02BB9"/>
    <w:rsid w:val="00A03AD7"/>
    <w:rsid w:val="00A05377"/>
    <w:rsid w:val="00A05447"/>
    <w:rsid w:val="00A060C8"/>
    <w:rsid w:val="00A067F6"/>
    <w:rsid w:val="00A105FE"/>
    <w:rsid w:val="00A10A4B"/>
    <w:rsid w:val="00A11201"/>
    <w:rsid w:val="00A11864"/>
    <w:rsid w:val="00A11ADA"/>
    <w:rsid w:val="00A11C68"/>
    <w:rsid w:val="00A12BB1"/>
    <w:rsid w:val="00A136F7"/>
    <w:rsid w:val="00A13C53"/>
    <w:rsid w:val="00A157A3"/>
    <w:rsid w:val="00A15FB9"/>
    <w:rsid w:val="00A162CD"/>
    <w:rsid w:val="00A16A01"/>
    <w:rsid w:val="00A17157"/>
    <w:rsid w:val="00A175BE"/>
    <w:rsid w:val="00A17B7C"/>
    <w:rsid w:val="00A17E03"/>
    <w:rsid w:val="00A17E63"/>
    <w:rsid w:val="00A21C20"/>
    <w:rsid w:val="00A21EAE"/>
    <w:rsid w:val="00A2202E"/>
    <w:rsid w:val="00A23136"/>
    <w:rsid w:val="00A236E5"/>
    <w:rsid w:val="00A23B1B"/>
    <w:rsid w:val="00A243DD"/>
    <w:rsid w:val="00A2509B"/>
    <w:rsid w:val="00A258E7"/>
    <w:rsid w:val="00A25AF8"/>
    <w:rsid w:val="00A26251"/>
    <w:rsid w:val="00A276C1"/>
    <w:rsid w:val="00A27D4D"/>
    <w:rsid w:val="00A307B8"/>
    <w:rsid w:val="00A32A70"/>
    <w:rsid w:val="00A337FD"/>
    <w:rsid w:val="00A33875"/>
    <w:rsid w:val="00A33C31"/>
    <w:rsid w:val="00A34CC5"/>
    <w:rsid w:val="00A34E78"/>
    <w:rsid w:val="00A359EB"/>
    <w:rsid w:val="00A37E32"/>
    <w:rsid w:val="00A40A59"/>
    <w:rsid w:val="00A414F0"/>
    <w:rsid w:val="00A428D9"/>
    <w:rsid w:val="00A4463D"/>
    <w:rsid w:val="00A45D68"/>
    <w:rsid w:val="00A45E1F"/>
    <w:rsid w:val="00A463CB"/>
    <w:rsid w:val="00A476B8"/>
    <w:rsid w:val="00A50079"/>
    <w:rsid w:val="00A5049C"/>
    <w:rsid w:val="00A50807"/>
    <w:rsid w:val="00A51070"/>
    <w:rsid w:val="00A53702"/>
    <w:rsid w:val="00A53ED7"/>
    <w:rsid w:val="00A540D1"/>
    <w:rsid w:val="00A5452C"/>
    <w:rsid w:val="00A54EFC"/>
    <w:rsid w:val="00A55CD6"/>
    <w:rsid w:val="00A561B7"/>
    <w:rsid w:val="00A57AC3"/>
    <w:rsid w:val="00A57EF6"/>
    <w:rsid w:val="00A57FC6"/>
    <w:rsid w:val="00A601AC"/>
    <w:rsid w:val="00A601E2"/>
    <w:rsid w:val="00A606F0"/>
    <w:rsid w:val="00A61997"/>
    <w:rsid w:val="00A636F3"/>
    <w:rsid w:val="00A6388E"/>
    <w:rsid w:val="00A645AD"/>
    <w:rsid w:val="00A64969"/>
    <w:rsid w:val="00A64F19"/>
    <w:rsid w:val="00A658BA"/>
    <w:rsid w:val="00A66B2A"/>
    <w:rsid w:val="00A66E2D"/>
    <w:rsid w:val="00A67420"/>
    <w:rsid w:val="00A70A32"/>
    <w:rsid w:val="00A7174A"/>
    <w:rsid w:val="00A72128"/>
    <w:rsid w:val="00A72BAB"/>
    <w:rsid w:val="00A752AA"/>
    <w:rsid w:val="00A7544A"/>
    <w:rsid w:val="00A7566D"/>
    <w:rsid w:val="00A759BE"/>
    <w:rsid w:val="00A76A2B"/>
    <w:rsid w:val="00A80247"/>
    <w:rsid w:val="00A80549"/>
    <w:rsid w:val="00A8119F"/>
    <w:rsid w:val="00A811D1"/>
    <w:rsid w:val="00A823A9"/>
    <w:rsid w:val="00A827A9"/>
    <w:rsid w:val="00A82950"/>
    <w:rsid w:val="00A82BDF"/>
    <w:rsid w:val="00A82BEF"/>
    <w:rsid w:val="00A82DDE"/>
    <w:rsid w:val="00A84ADF"/>
    <w:rsid w:val="00A8570C"/>
    <w:rsid w:val="00A85C8E"/>
    <w:rsid w:val="00A86244"/>
    <w:rsid w:val="00A87204"/>
    <w:rsid w:val="00A87DD5"/>
    <w:rsid w:val="00A9159A"/>
    <w:rsid w:val="00A919FB"/>
    <w:rsid w:val="00A91AAB"/>
    <w:rsid w:val="00A92406"/>
    <w:rsid w:val="00A92B36"/>
    <w:rsid w:val="00A92CEE"/>
    <w:rsid w:val="00A9307C"/>
    <w:rsid w:val="00A932C2"/>
    <w:rsid w:val="00A93880"/>
    <w:rsid w:val="00A94A30"/>
    <w:rsid w:val="00A96744"/>
    <w:rsid w:val="00A970B3"/>
    <w:rsid w:val="00AA06C8"/>
    <w:rsid w:val="00AA0AA5"/>
    <w:rsid w:val="00AA166A"/>
    <w:rsid w:val="00AA1D3A"/>
    <w:rsid w:val="00AA2A56"/>
    <w:rsid w:val="00AA39FA"/>
    <w:rsid w:val="00AA4183"/>
    <w:rsid w:val="00AA4CFF"/>
    <w:rsid w:val="00AA5FA2"/>
    <w:rsid w:val="00AA61AA"/>
    <w:rsid w:val="00AA69C4"/>
    <w:rsid w:val="00AB0470"/>
    <w:rsid w:val="00AB0471"/>
    <w:rsid w:val="00AB0D12"/>
    <w:rsid w:val="00AB1C31"/>
    <w:rsid w:val="00AB3022"/>
    <w:rsid w:val="00AB32AA"/>
    <w:rsid w:val="00AB37BF"/>
    <w:rsid w:val="00AB413F"/>
    <w:rsid w:val="00AB4FFF"/>
    <w:rsid w:val="00AB5374"/>
    <w:rsid w:val="00AB5720"/>
    <w:rsid w:val="00AB6380"/>
    <w:rsid w:val="00AB6576"/>
    <w:rsid w:val="00AC07AB"/>
    <w:rsid w:val="00AC0CC6"/>
    <w:rsid w:val="00AC14F6"/>
    <w:rsid w:val="00AC3954"/>
    <w:rsid w:val="00AC3C81"/>
    <w:rsid w:val="00AC4BE6"/>
    <w:rsid w:val="00AC52FD"/>
    <w:rsid w:val="00AC540A"/>
    <w:rsid w:val="00AC5EB7"/>
    <w:rsid w:val="00AC7869"/>
    <w:rsid w:val="00AC7D8B"/>
    <w:rsid w:val="00AD18A8"/>
    <w:rsid w:val="00AD21D9"/>
    <w:rsid w:val="00AD288B"/>
    <w:rsid w:val="00AD4F1B"/>
    <w:rsid w:val="00AD518E"/>
    <w:rsid w:val="00AD56E4"/>
    <w:rsid w:val="00AD5C23"/>
    <w:rsid w:val="00AD60E3"/>
    <w:rsid w:val="00AD69DE"/>
    <w:rsid w:val="00AD6F46"/>
    <w:rsid w:val="00AE08BD"/>
    <w:rsid w:val="00AE0C56"/>
    <w:rsid w:val="00AE203B"/>
    <w:rsid w:val="00AE31B5"/>
    <w:rsid w:val="00AE67A1"/>
    <w:rsid w:val="00AE6B40"/>
    <w:rsid w:val="00AE6C3C"/>
    <w:rsid w:val="00AF104F"/>
    <w:rsid w:val="00AF16BD"/>
    <w:rsid w:val="00AF1893"/>
    <w:rsid w:val="00AF29DA"/>
    <w:rsid w:val="00AF32DE"/>
    <w:rsid w:val="00AF51F5"/>
    <w:rsid w:val="00AF60BF"/>
    <w:rsid w:val="00AF6898"/>
    <w:rsid w:val="00AF7904"/>
    <w:rsid w:val="00B00235"/>
    <w:rsid w:val="00B0191F"/>
    <w:rsid w:val="00B01A77"/>
    <w:rsid w:val="00B01CE7"/>
    <w:rsid w:val="00B0247A"/>
    <w:rsid w:val="00B0303B"/>
    <w:rsid w:val="00B049C5"/>
    <w:rsid w:val="00B04EA3"/>
    <w:rsid w:val="00B0518B"/>
    <w:rsid w:val="00B05D07"/>
    <w:rsid w:val="00B06155"/>
    <w:rsid w:val="00B06C68"/>
    <w:rsid w:val="00B10DE6"/>
    <w:rsid w:val="00B10F5E"/>
    <w:rsid w:val="00B13493"/>
    <w:rsid w:val="00B13B6C"/>
    <w:rsid w:val="00B13FC4"/>
    <w:rsid w:val="00B14BE3"/>
    <w:rsid w:val="00B15022"/>
    <w:rsid w:val="00B1606F"/>
    <w:rsid w:val="00B16829"/>
    <w:rsid w:val="00B16A66"/>
    <w:rsid w:val="00B16D2D"/>
    <w:rsid w:val="00B17584"/>
    <w:rsid w:val="00B20B59"/>
    <w:rsid w:val="00B21AE2"/>
    <w:rsid w:val="00B2204E"/>
    <w:rsid w:val="00B221C9"/>
    <w:rsid w:val="00B22323"/>
    <w:rsid w:val="00B230BF"/>
    <w:rsid w:val="00B25472"/>
    <w:rsid w:val="00B25C5A"/>
    <w:rsid w:val="00B2600D"/>
    <w:rsid w:val="00B26075"/>
    <w:rsid w:val="00B271C5"/>
    <w:rsid w:val="00B305DA"/>
    <w:rsid w:val="00B31A2B"/>
    <w:rsid w:val="00B326AD"/>
    <w:rsid w:val="00B33683"/>
    <w:rsid w:val="00B35D02"/>
    <w:rsid w:val="00B3744D"/>
    <w:rsid w:val="00B376AC"/>
    <w:rsid w:val="00B37AF7"/>
    <w:rsid w:val="00B40BBD"/>
    <w:rsid w:val="00B4143A"/>
    <w:rsid w:val="00B41B78"/>
    <w:rsid w:val="00B4241D"/>
    <w:rsid w:val="00B43FF6"/>
    <w:rsid w:val="00B447A9"/>
    <w:rsid w:val="00B45CA8"/>
    <w:rsid w:val="00B46679"/>
    <w:rsid w:val="00B4674B"/>
    <w:rsid w:val="00B46E79"/>
    <w:rsid w:val="00B4762C"/>
    <w:rsid w:val="00B5120D"/>
    <w:rsid w:val="00B51322"/>
    <w:rsid w:val="00B51786"/>
    <w:rsid w:val="00B53312"/>
    <w:rsid w:val="00B536B9"/>
    <w:rsid w:val="00B540D9"/>
    <w:rsid w:val="00B544CE"/>
    <w:rsid w:val="00B54526"/>
    <w:rsid w:val="00B55289"/>
    <w:rsid w:val="00B55347"/>
    <w:rsid w:val="00B55964"/>
    <w:rsid w:val="00B5658F"/>
    <w:rsid w:val="00B56B25"/>
    <w:rsid w:val="00B57F0F"/>
    <w:rsid w:val="00B6017D"/>
    <w:rsid w:val="00B60C10"/>
    <w:rsid w:val="00B62ECC"/>
    <w:rsid w:val="00B62F0D"/>
    <w:rsid w:val="00B642CF"/>
    <w:rsid w:val="00B6563D"/>
    <w:rsid w:val="00B6593C"/>
    <w:rsid w:val="00B65ABA"/>
    <w:rsid w:val="00B678C2"/>
    <w:rsid w:val="00B70323"/>
    <w:rsid w:val="00B7035E"/>
    <w:rsid w:val="00B7039D"/>
    <w:rsid w:val="00B70AE4"/>
    <w:rsid w:val="00B71218"/>
    <w:rsid w:val="00B71534"/>
    <w:rsid w:val="00B7297E"/>
    <w:rsid w:val="00B72A3B"/>
    <w:rsid w:val="00B73798"/>
    <w:rsid w:val="00B73AD0"/>
    <w:rsid w:val="00B7406F"/>
    <w:rsid w:val="00B755BF"/>
    <w:rsid w:val="00B7662C"/>
    <w:rsid w:val="00B76E4F"/>
    <w:rsid w:val="00B77842"/>
    <w:rsid w:val="00B77EB7"/>
    <w:rsid w:val="00B814DB"/>
    <w:rsid w:val="00B822F5"/>
    <w:rsid w:val="00B84173"/>
    <w:rsid w:val="00B841B2"/>
    <w:rsid w:val="00B84B4E"/>
    <w:rsid w:val="00B86791"/>
    <w:rsid w:val="00B87D9E"/>
    <w:rsid w:val="00B92D49"/>
    <w:rsid w:val="00B935B6"/>
    <w:rsid w:val="00B93AE0"/>
    <w:rsid w:val="00B93D11"/>
    <w:rsid w:val="00B940F3"/>
    <w:rsid w:val="00B956FA"/>
    <w:rsid w:val="00B95B12"/>
    <w:rsid w:val="00B96A24"/>
    <w:rsid w:val="00B97A74"/>
    <w:rsid w:val="00BA0419"/>
    <w:rsid w:val="00BA1ABD"/>
    <w:rsid w:val="00BA219A"/>
    <w:rsid w:val="00BA2AD8"/>
    <w:rsid w:val="00BA399C"/>
    <w:rsid w:val="00BA4318"/>
    <w:rsid w:val="00BA58DC"/>
    <w:rsid w:val="00BA5E0F"/>
    <w:rsid w:val="00BA65C4"/>
    <w:rsid w:val="00BB18C3"/>
    <w:rsid w:val="00BB1C9F"/>
    <w:rsid w:val="00BB1F2A"/>
    <w:rsid w:val="00BB2022"/>
    <w:rsid w:val="00BB2CE0"/>
    <w:rsid w:val="00BB2DE8"/>
    <w:rsid w:val="00BB364F"/>
    <w:rsid w:val="00BB4665"/>
    <w:rsid w:val="00BB4A5A"/>
    <w:rsid w:val="00BB4A6A"/>
    <w:rsid w:val="00BB52FC"/>
    <w:rsid w:val="00BB5306"/>
    <w:rsid w:val="00BB5459"/>
    <w:rsid w:val="00BC1996"/>
    <w:rsid w:val="00BC3988"/>
    <w:rsid w:val="00BC3FFB"/>
    <w:rsid w:val="00BC52AC"/>
    <w:rsid w:val="00BC546E"/>
    <w:rsid w:val="00BC5754"/>
    <w:rsid w:val="00BC627E"/>
    <w:rsid w:val="00BC65A8"/>
    <w:rsid w:val="00BC6A96"/>
    <w:rsid w:val="00BC78FA"/>
    <w:rsid w:val="00BD12C4"/>
    <w:rsid w:val="00BD159E"/>
    <w:rsid w:val="00BD2700"/>
    <w:rsid w:val="00BD2B3A"/>
    <w:rsid w:val="00BD3FA0"/>
    <w:rsid w:val="00BD4122"/>
    <w:rsid w:val="00BD4C77"/>
    <w:rsid w:val="00BD619F"/>
    <w:rsid w:val="00BD6B5B"/>
    <w:rsid w:val="00BD700B"/>
    <w:rsid w:val="00BE2140"/>
    <w:rsid w:val="00BE229C"/>
    <w:rsid w:val="00BE2FED"/>
    <w:rsid w:val="00BE32A4"/>
    <w:rsid w:val="00BE3413"/>
    <w:rsid w:val="00BE511F"/>
    <w:rsid w:val="00BE5FDD"/>
    <w:rsid w:val="00BE66A2"/>
    <w:rsid w:val="00BE6BFB"/>
    <w:rsid w:val="00BE7211"/>
    <w:rsid w:val="00BE7F29"/>
    <w:rsid w:val="00BF07F8"/>
    <w:rsid w:val="00BF29D4"/>
    <w:rsid w:val="00BF376F"/>
    <w:rsid w:val="00BF3F90"/>
    <w:rsid w:val="00BF46F2"/>
    <w:rsid w:val="00BF4946"/>
    <w:rsid w:val="00BF4A6B"/>
    <w:rsid w:val="00BF5C8E"/>
    <w:rsid w:val="00BF6726"/>
    <w:rsid w:val="00BF746D"/>
    <w:rsid w:val="00BF7568"/>
    <w:rsid w:val="00C006CD"/>
    <w:rsid w:val="00C0153F"/>
    <w:rsid w:val="00C01E11"/>
    <w:rsid w:val="00C02416"/>
    <w:rsid w:val="00C03E30"/>
    <w:rsid w:val="00C04084"/>
    <w:rsid w:val="00C04694"/>
    <w:rsid w:val="00C04841"/>
    <w:rsid w:val="00C04E1D"/>
    <w:rsid w:val="00C05F3F"/>
    <w:rsid w:val="00C06655"/>
    <w:rsid w:val="00C06CB1"/>
    <w:rsid w:val="00C06FBE"/>
    <w:rsid w:val="00C074FC"/>
    <w:rsid w:val="00C07529"/>
    <w:rsid w:val="00C07C75"/>
    <w:rsid w:val="00C100F6"/>
    <w:rsid w:val="00C103DB"/>
    <w:rsid w:val="00C103E4"/>
    <w:rsid w:val="00C118AB"/>
    <w:rsid w:val="00C12093"/>
    <w:rsid w:val="00C12BEE"/>
    <w:rsid w:val="00C1414B"/>
    <w:rsid w:val="00C14403"/>
    <w:rsid w:val="00C14D81"/>
    <w:rsid w:val="00C16A3B"/>
    <w:rsid w:val="00C2147E"/>
    <w:rsid w:val="00C2242B"/>
    <w:rsid w:val="00C23D73"/>
    <w:rsid w:val="00C24A85"/>
    <w:rsid w:val="00C26DCC"/>
    <w:rsid w:val="00C27167"/>
    <w:rsid w:val="00C27FD7"/>
    <w:rsid w:val="00C3059C"/>
    <w:rsid w:val="00C308A1"/>
    <w:rsid w:val="00C30D21"/>
    <w:rsid w:val="00C312B5"/>
    <w:rsid w:val="00C32B29"/>
    <w:rsid w:val="00C35937"/>
    <w:rsid w:val="00C35D0B"/>
    <w:rsid w:val="00C35EE8"/>
    <w:rsid w:val="00C36826"/>
    <w:rsid w:val="00C369D9"/>
    <w:rsid w:val="00C4000B"/>
    <w:rsid w:val="00C40133"/>
    <w:rsid w:val="00C420AA"/>
    <w:rsid w:val="00C42176"/>
    <w:rsid w:val="00C43584"/>
    <w:rsid w:val="00C468DA"/>
    <w:rsid w:val="00C470BE"/>
    <w:rsid w:val="00C47E79"/>
    <w:rsid w:val="00C502A2"/>
    <w:rsid w:val="00C50669"/>
    <w:rsid w:val="00C513CE"/>
    <w:rsid w:val="00C53089"/>
    <w:rsid w:val="00C53420"/>
    <w:rsid w:val="00C53599"/>
    <w:rsid w:val="00C53E94"/>
    <w:rsid w:val="00C53FD3"/>
    <w:rsid w:val="00C54488"/>
    <w:rsid w:val="00C5480A"/>
    <w:rsid w:val="00C549BA"/>
    <w:rsid w:val="00C56F7A"/>
    <w:rsid w:val="00C6046A"/>
    <w:rsid w:val="00C60D74"/>
    <w:rsid w:val="00C61A92"/>
    <w:rsid w:val="00C62210"/>
    <w:rsid w:val="00C629B5"/>
    <w:rsid w:val="00C62B0E"/>
    <w:rsid w:val="00C62D1F"/>
    <w:rsid w:val="00C636F1"/>
    <w:rsid w:val="00C641EC"/>
    <w:rsid w:val="00C64766"/>
    <w:rsid w:val="00C647A5"/>
    <w:rsid w:val="00C647E5"/>
    <w:rsid w:val="00C65800"/>
    <w:rsid w:val="00C65936"/>
    <w:rsid w:val="00C6602D"/>
    <w:rsid w:val="00C6624F"/>
    <w:rsid w:val="00C66926"/>
    <w:rsid w:val="00C707F5"/>
    <w:rsid w:val="00C71529"/>
    <w:rsid w:val="00C722E7"/>
    <w:rsid w:val="00C722F9"/>
    <w:rsid w:val="00C72A64"/>
    <w:rsid w:val="00C73947"/>
    <w:rsid w:val="00C73CC1"/>
    <w:rsid w:val="00C740F4"/>
    <w:rsid w:val="00C741C6"/>
    <w:rsid w:val="00C74553"/>
    <w:rsid w:val="00C74A55"/>
    <w:rsid w:val="00C7748C"/>
    <w:rsid w:val="00C80820"/>
    <w:rsid w:val="00C81EDF"/>
    <w:rsid w:val="00C823F1"/>
    <w:rsid w:val="00C84A3F"/>
    <w:rsid w:val="00C86019"/>
    <w:rsid w:val="00C8771D"/>
    <w:rsid w:val="00C87A84"/>
    <w:rsid w:val="00C90301"/>
    <w:rsid w:val="00C908A5"/>
    <w:rsid w:val="00C93D73"/>
    <w:rsid w:val="00C93DEA"/>
    <w:rsid w:val="00C94998"/>
    <w:rsid w:val="00C95184"/>
    <w:rsid w:val="00C95459"/>
    <w:rsid w:val="00C955C5"/>
    <w:rsid w:val="00C95828"/>
    <w:rsid w:val="00C95C02"/>
    <w:rsid w:val="00C96D96"/>
    <w:rsid w:val="00C9785D"/>
    <w:rsid w:val="00CA06F1"/>
    <w:rsid w:val="00CA21F7"/>
    <w:rsid w:val="00CA3AD6"/>
    <w:rsid w:val="00CA4BDB"/>
    <w:rsid w:val="00CA5AF8"/>
    <w:rsid w:val="00CA64AB"/>
    <w:rsid w:val="00CB1065"/>
    <w:rsid w:val="00CB17C3"/>
    <w:rsid w:val="00CB23AD"/>
    <w:rsid w:val="00CB28B7"/>
    <w:rsid w:val="00CB2D65"/>
    <w:rsid w:val="00CB367A"/>
    <w:rsid w:val="00CB3BE6"/>
    <w:rsid w:val="00CB4FEC"/>
    <w:rsid w:val="00CB52D7"/>
    <w:rsid w:val="00CB5C1D"/>
    <w:rsid w:val="00CB680B"/>
    <w:rsid w:val="00CB7E2D"/>
    <w:rsid w:val="00CC07CB"/>
    <w:rsid w:val="00CC0CED"/>
    <w:rsid w:val="00CC149C"/>
    <w:rsid w:val="00CC2962"/>
    <w:rsid w:val="00CC30BF"/>
    <w:rsid w:val="00CC3718"/>
    <w:rsid w:val="00CC4D0D"/>
    <w:rsid w:val="00CC5070"/>
    <w:rsid w:val="00CC50E0"/>
    <w:rsid w:val="00CC5233"/>
    <w:rsid w:val="00CC5B09"/>
    <w:rsid w:val="00CC63B1"/>
    <w:rsid w:val="00CC7DDE"/>
    <w:rsid w:val="00CD041D"/>
    <w:rsid w:val="00CD0741"/>
    <w:rsid w:val="00CD1795"/>
    <w:rsid w:val="00CD18C2"/>
    <w:rsid w:val="00CD2557"/>
    <w:rsid w:val="00CD29CD"/>
    <w:rsid w:val="00CD2B0B"/>
    <w:rsid w:val="00CD2CB9"/>
    <w:rsid w:val="00CD3E44"/>
    <w:rsid w:val="00CD4F9C"/>
    <w:rsid w:val="00CD5A6E"/>
    <w:rsid w:val="00CD69EF"/>
    <w:rsid w:val="00CD71A4"/>
    <w:rsid w:val="00CD7CF7"/>
    <w:rsid w:val="00CE370F"/>
    <w:rsid w:val="00CE3837"/>
    <w:rsid w:val="00CE3D86"/>
    <w:rsid w:val="00CE4874"/>
    <w:rsid w:val="00CE5327"/>
    <w:rsid w:val="00CE5373"/>
    <w:rsid w:val="00CE5CDE"/>
    <w:rsid w:val="00CE5F90"/>
    <w:rsid w:val="00CE6CA7"/>
    <w:rsid w:val="00CE6D20"/>
    <w:rsid w:val="00CE7740"/>
    <w:rsid w:val="00CE7CE5"/>
    <w:rsid w:val="00CF012C"/>
    <w:rsid w:val="00CF018E"/>
    <w:rsid w:val="00CF129E"/>
    <w:rsid w:val="00CF173E"/>
    <w:rsid w:val="00CF2932"/>
    <w:rsid w:val="00CF3A04"/>
    <w:rsid w:val="00CF3E07"/>
    <w:rsid w:val="00CF522E"/>
    <w:rsid w:val="00CF57EC"/>
    <w:rsid w:val="00CF6003"/>
    <w:rsid w:val="00CF685C"/>
    <w:rsid w:val="00CF738C"/>
    <w:rsid w:val="00CF7907"/>
    <w:rsid w:val="00CF7A03"/>
    <w:rsid w:val="00CF7F02"/>
    <w:rsid w:val="00CF7F6B"/>
    <w:rsid w:val="00D0047C"/>
    <w:rsid w:val="00D02D1B"/>
    <w:rsid w:val="00D02F9B"/>
    <w:rsid w:val="00D03965"/>
    <w:rsid w:val="00D05999"/>
    <w:rsid w:val="00D05EFB"/>
    <w:rsid w:val="00D06721"/>
    <w:rsid w:val="00D06D84"/>
    <w:rsid w:val="00D104A8"/>
    <w:rsid w:val="00D10871"/>
    <w:rsid w:val="00D10BF5"/>
    <w:rsid w:val="00D11805"/>
    <w:rsid w:val="00D126D0"/>
    <w:rsid w:val="00D13D47"/>
    <w:rsid w:val="00D144EF"/>
    <w:rsid w:val="00D168E0"/>
    <w:rsid w:val="00D16BA4"/>
    <w:rsid w:val="00D1719F"/>
    <w:rsid w:val="00D17864"/>
    <w:rsid w:val="00D202CE"/>
    <w:rsid w:val="00D203A9"/>
    <w:rsid w:val="00D222CD"/>
    <w:rsid w:val="00D2231C"/>
    <w:rsid w:val="00D2257B"/>
    <w:rsid w:val="00D232F3"/>
    <w:rsid w:val="00D234AB"/>
    <w:rsid w:val="00D24D9E"/>
    <w:rsid w:val="00D24F91"/>
    <w:rsid w:val="00D301FB"/>
    <w:rsid w:val="00D31927"/>
    <w:rsid w:val="00D32216"/>
    <w:rsid w:val="00D32350"/>
    <w:rsid w:val="00D32CF8"/>
    <w:rsid w:val="00D32F2A"/>
    <w:rsid w:val="00D33729"/>
    <w:rsid w:val="00D33EAA"/>
    <w:rsid w:val="00D343DB"/>
    <w:rsid w:val="00D34C61"/>
    <w:rsid w:val="00D37350"/>
    <w:rsid w:val="00D37C8B"/>
    <w:rsid w:val="00D41263"/>
    <w:rsid w:val="00D4127F"/>
    <w:rsid w:val="00D4138E"/>
    <w:rsid w:val="00D4153D"/>
    <w:rsid w:val="00D41C8D"/>
    <w:rsid w:val="00D45219"/>
    <w:rsid w:val="00D4615D"/>
    <w:rsid w:val="00D46177"/>
    <w:rsid w:val="00D4665B"/>
    <w:rsid w:val="00D467B6"/>
    <w:rsid w:val="00D4751A"/>
    <w:rsid w:val="00D5073E"/>
    <w:rsid w:val="00D53948"/>
    <w:rsid w:val="00D53EA7"/>
    <w:rsid w:val="00D54189"/>
    <w:rsid w:val="00D5434B"/>
    <w:rsid w:val="00D54DB2"/>
    <w:rsid w:val="00D551DF"/>
    <w:rsid w:val="00D5628F"/>
    <w:rsid w:val="00D611A8"/>
    <w:rsid w:val="00D61324"/>
    <w:rsid w:val="00D619D2"/>
    <w:rsid w:val="00D62555"/>
    <w:rsid w:val="00D6390A"/>
    <w:rsid w:val="00D64194"/>
    <w:rsid w:val="00D649C1"/>
    <w:rsid w:val="00D64AA0"/>
    <w:rsid w:val="00D65EC6"/>
    <w:rsid w:val="00D6636E"/>
    <w:rsid w:val="00D66683"/>
    <w:rsid w:val="00D66C6B"/>
    <w:rsid w:val="00D703BF"/>
    <w:rsid w:val="00D703E8"/>
    <w:rsid w:val="00D70AD8"/>
    <w:rsid w:val="00D70B8B"/>
    <w:rsid w:val="00D70D57"/>
    <w:rsid w:val="00D70ED2"/>
    <w:rsid w:val="00D70FBA"/>
    <w:rsid w:val="00D7146B"/>
    <w:rsid w:val="00D71791"/>
    <w:rsid w:val="00D71E20"/>
    <w:rsid w:val="00D71ECF"/>
    <w:rsid w:val="00D733CC"/>
    <w:rsid w:val="00D7365B"/>
    <w:rsid w:val="00D73857"/>
    <w:rsid w:val="00D74C8B"/>
    <w:rsid w:val="00D74FD1"/>
    <w:rsid w:val="00D75539"/>
    <w:rsid w:val="00D76C7F"/>
    <w:rsid w:val="00D808A5"/>
    <w:rsid w:val="00D816D9"/>
    <w:rsid w:val="00D81755"/>
    <w:rsid w:val="00D81EA7"/>
    <w:rsid w:val="00D825B5"/>
    <w:rsid w:val="00D828D6"/>
    <w:rsid w:val="00D82E63"/>
    <w:rsid w:val="00D832BB"/>
    <w:rsid w:val="00D83D06"/>
    <w:rsid w:val="00D84849"/>
    <w:rsid w:val="00D87205"/>
    <w:rsid w:val="00D8749B"/>
    <w:rsid w:val="00D8767A"/>
    <w:rsid w:val="00D876B1"/>
    <w:rsid w:val="00D9015E"/>
    <w:rsid w:val="00D90A10"/>
    <w:rsid w:val="00D92ECE"/>
    <w:rsid w:val="00D93D3D"/>
    <w:rsid w:val="00D945AC"/>
    <w:rsid w:val="00D94B3E"/>
    <w:rsid w:val="00D94E86"/>
    <w:rsid w:val="00D967E2"/>
    <w:rsid w:val="00D97C08"/>
    <w:rsid w:val="00D97E3B"/>
    <w:rsid w:val="00DA0063"/>
    <w:rsid w:val="00DA0839"/>
    <w:rsid w:val="00DA112F"/>
    <w:rsid w:val="00DA1E01"/>
    <w:rsid w:val="00DA1EEA"/>
    <w:rsid w:val="00DA28ED"/>
    <w:rsid w:val="00DA2AA9"/>
    <w:rsid w:val="00DA315D"/>
    <w:rsid w:val="00DA4F02"/>
    <w:rsid w:val="00DA4F68"/>
    <w:rsid w:val="00DA504B"/>
    <w:rsid w:val="00DA54E4"/>
    <w:rsid w:val="00DA5CBF"/>
    <w:rsid w:val="00DA683B"/>
    <w:rsid w:val="00DA7219"/>
    <w:rsid w:val="00DB1172"/>
    <w:rsid w:val="00DB175B"/>
    <w:rsid w:val="00DB18FF"/>
    <w:rsid w:val="00DB4DCB"/>
    <w:rsid w:val="00DB5259"/>
    <w:rsid w:val="00DB53BA"/>
    <w:rsid w:val="00DB59EC"/>
    <w:rsid w:val="00DB5AB0"/>
    <w:rsid w:val="00DB6430"/>
    <w:rsid w:val="00DB73EA"/>
    <w:rsid w:val="00DB7BAF"/>
    <w:rsid w:val="00DB7F36"/>
    <w:rsid w:val="00DC0272"/>
    <w:rsid w:val="00DC13E8"/>
    <w:rsid w:val="00DC1DAD"/>
    <w:rsid w:val="00DC2B00"/>
    <w:rsid w:val="00DC55AB"/>
    <w:rsid w:val="00DC561A"/>
    <w:rsid w:val="00DC6291"/>
    <w:rsid w:val="00DC7991"/>
    <w:rsid w:val="00DC7B8F"/>
    <w:rsid w:val="00DC7F50"/>
    <w:rsid w:val="00DD040F"/>
    <w:rsid w:val="00DD07AD"/>
    <w:rsid w:val="00DD182F"/>
    <w:rsid w:val="00DD1FEA"/>
    <w:rsid w:val="00DD2A00"/>
    <w:rsid w:val="00DD54E8"/>
    <w:rsid w:val="00DD653E"/>
    <w:rsid w:val="00DD69C2"/>
    <w:rsid w:val="00DD7B00"/>
    <w:rsid w:val="00DE0C20"/>
    <w:rsid w:val="00DE167B"/>
    <w:rsid w:val="00DE18EC"/>
    <w:rsid w:val="00DE332C"/>
    <w:rsid w:val="00DE3F9F"/>
    <w:rsid w:val="00DE43A1"/>
    <w:rsid w:val="00DE4C14"/>
    <w:rsid w:val="00DE5517"/>
    <w:rsid w:val="00DE5721"/>
    <w:rsid w:val="00DE59D7"/>
    <w:rsid w:val="00DE5D72"/>
    <w:rsid w:val="00DE6636"/>
    <w:rsid w:val="00DE6A43"/>
    <w:rsid w:val="00DF0BEE"/>
    <w:rsid w:val="00DF136D"/>
    <w:rsid w:val="00DF17E1"/>
    <w:rsid w:val="00DF19D6"/>
    <w:rsid w:val="00DF1CCD"/>
    <w:rsid w:val="00DF2C6F"/>
    <w:rsid w:val="00DF3FB2"/>
    <w:rsid w:val="00DF60C2"/>
    <w:rsid w:val="00DF6E46"/>
    <w:rsid w:val="00E00535"/>
    <w:rsid w:val="00E00ED9"/>
    <w:rsid w:val="00E0212D"/>
    <w:rsid w:val="00E033FF"/>
    <w:rsid w:val="00E03A06"/>
    <w:rsid w:val="00E04056"/>
    <w:rsid w:val="00E0421C"/>
    <w:rsid w:val="00E04403"/>
    <w:rsid w:val="00E04ACD"/>
    <w:rsid w:val="00E04B31"/>
    <w:rsid w:val="00E05D32"/>
    <w:rsid w:val="00E061D9"/>
    <w:rsid w:val="00E06DAA"/>
    <w:rsid w:val="00E10A15"/>
    <w:rsid w:val="00E1137A"/>
    <w:rsid w:val="00E116B6"/>
    <w:rsid w:val="00E1268B"/>
    <w:rsid w:val="00E130AC"/>
    <w:rsid w:val="00E14903"/>
    <w:rsid w:val="00E15093"/>
    <w:rsid w:val="00E15C25"/>
    <w:rsid w:val="00E160B4"/>
    <w:rsid w:val="00E16224"/>
    <w:rsid w:val="00E1678F"/>
    <w:rsid w:val="00E176DD"/>
    <w:rsid w:val="00E20691"/>
    <w:rsid w:val="00E2113C"/>
    <w:rsid w:val="00E22A3E"/>
    <w:rsid w:val="00E2344E"/>
    <w:rsid w:val="00E23D4D"/>
    <w:rsid w:val="00E24A13"/>
    <w:rsid w:val="00E251D3"/>
    <w:rsid w:val="00E25F5C"/>
    <w:rsid w:val="00E269A5"/>
    <w:rsid w:val="00E26A64"/>
    <w:rsid w:val="00E26C29"/>
    <w:rsid w:val="00E2742E"/>
    <w:rsid w:val="00E276ED"/>
    <w:rsid w:val="00E27C73"/>
    <w:rsid w:val="00E32F38"/>
    <w:rsid w:val="00E33612"/>
    <w:rsid w:val="00E33EFC"/>
    <w:rsid w:val="00E3416C"/>
    <w:rsid w:val="00E35B26"/>
    <w:rsid w:val="00E35CA2"/>
    <w:rsid w:val="00E363E1"/>
    <w:rsid w:val="00E363EF"/>
    <w:rsid w:val="00E36B59"/>
    <w:rsid w:val="00E36E58"/>
    <w:rsid w:val="00E3706E"/>
    <w:rsid w:val="00E37749"/>
    <w:rsid w:val="00E41185"/>
    <w:rsid w:val="00E415C6"/>
    <w:rsid w:val="00E41739"/>
    <w:rsid w:val="00E43EF0"/>
    <w:rsid w:val="00E44B36"/>
    <w:rsid w:val="00E455D4"/>
    <w:rsid w:val="00E4563A"/>
    <w:rsid w:val="00E504B7"/>
    <w:rsid w:val="00E5115A"/>
    <w:rsid w:val="00E51216"/>
    <w:rsid w:val="00E5169D"/>
    <w:rsid w:val="00E51DB4"/>
    <w:rsid w:val="00E52F21"/>
    <w:rsid w:val="00E54F77"/>
    <w:rsid w:val="00E55EC8"/>
    <w:rsid w:val="00E60E4A"/>
    <w:rsid w:val="00E60F74"/>
    <w:rsid w:val="00E61AAC"/>
    <w:rsid w:val="00E61E2A"/>
    <w:rsid w:val="00E63A67"/>
    <w:rsid w:val="00E64C73"/>
    <w:rsid w:val="00E65675"/>
    <w:rsid w:val="00E6660D"/>
    <w:rsid w:val="00E669B5"/>
    <w:rsid w:val="00E66DEF"/>
    <w:rsid w:val="00E674D5"/>
    <w:rsid w:val="00E70219"/>
    <w:rsid w:val="00E7062D"/>
    <w:rsid w:val="00E71091"/>
    <w:rsid w:val="00E71761"/>
    <w:rsid w:val="00E717AE"/>
    <w:rsid w:val="00E71F5E"/>
    <w:rsid w:val="00E7351E"/>
    <w:rsid w:val="00E75EAD"/>
    <w:rsid w:val="00E76B0F"/>
    <w:rsid w:val="00E76B9C"/>
    <w:rsid w:val="00E80DDD"/>
    <w:rsid w:val="00E82044"/>
    <w:rsid w:val="00E824F9"/>
    <w:rsid w:val="00E825E5"/>
    <w:rsid w:val="00E82858"/>
    <w:rsid w:val="00E82E59"/>
    <w:rsid w:val="00E82FD0"/>
    <w:rsid w:val="00E832A1"/>
    <w:rsid w:val="00E83803"/>
    <w:rsid w:val="00E83894"/>
    <w:rsid w:val="00E83A6A"/>
    <w:rsid w:val="00E83CD2"/>
    <w:rsid w:val="00E84C04"/>
    <w:rsid w:val="00E859FE"/>
    <w:rsid w:val="00E86C42"/>
    <w:rsid w:val="00E8791E"/>
    <w:rsid w:val="00E913C8"/>
    <w:rsid w:val="00E91F0E"/>
    <w:rsid w:val="00E92225"/>
    <w:rsid w:val="00E9248E"/>
    <w:rsid w:val="00E936F6"/>
    <w:rsid w:val="00E95939"/>
    <w:rsid w:val="00E96DAE"/>
    <w:rsid w:val="00E97400"/>
    <w:rsid w:val="00EA0E72"/>
    <w:rsid w:val="00EA26ED"/>
    <w:rsid w:val="00EA52FB"/>
    <w:rsid w:val="00EA5A52"/>
    <w:rsid w:val="00EA6AF8"/>
    <w:rsid w:val="00EA7506"/>
    <w:rsid w:val="00EB059A"/>
    <w:rsid w:val="00EB09D6"/>
    <w:rsid w:val="00EB2255"/>
    <w:rsid w:val="00EB2E36"/>
    <w:rsid w:val="00EB3FE2"/>
    <w:rsid w:val="00EB4250"/>
    <w:rsid w:val="00EB5DAD"/>
    <w:rsid w:val="00EB67DC"/>
    <w:rsid w:val="00EB6B01"/>
    <w:rsid w:val="00EB6CAC"/>
    <w:rsid w:val="00EB729B"/>
    <w:rsid w:val="00EB7A26"/>
    <w:rsid w:val="00EC0040"/>
    <w:rsid w:val="00EC0FDC"/>
    <w:rsid w:val="00EC1B3B"/>
    <w:rsid w:val="00EC281A"/>
    <w:rsid w:val="00EC2B39"/>
    <w:rsid w:val="00EC36AB"/>
    <w:rsid w:val="00EC3D9A"/>
    <w:rsid w:val="00EC4623"/>
    <w:rsid w:val="00EC4773"/>
    <w:rsid w:val="00EC4B97"/>
    <w:rsid w:val="00EC6437"/>
    <w:rsid w:val="00EC651A"/>
    <w:rsid w:val="00EC6D40"/>
    <w:rsid w:val="00EC74B1"/>
    <w:rsid w:val="00EC7F76"/>
    <w:rsid w:val="00ED017A"/>
    <w:rsid w:val="00ED05DF"/>
    <w:rsid w:val="00ED2B6D"/>
    <w:rsid w:val="00ED2D76"/>
    <w:rsid w:val="00ED3383"/>
    <w:rsid w:val="00ED35F4"/>
    <w:rsid w:val="00ED488A"/>
    <w:rsid w:val="00ED58C0"/>
    <w:rsid w:val="00ED5BDD"/>
    <w:rsid w:val="00ED617A"/>
    <w:rsid w:val="00EE009D"/>
    <w:rsid w:val="00EE1A91"/>
    <w:rsid w:val="00EE30A0"/>
    <w:rsid w:val="00EE3800"/>
    <w:rsid w:val="00EE405D"/>
    <w:rsid w:val="00EE4ED9"/>
    <w:rsid w:val="00EE584A"/>
    <w:rsid w:val="00EE619E"/>
    <w:rsid w:val="00EE625D"/>
    <w:rsid w:val="00EE6D75"/>
    <w:rsid w:val="00EE76E8"/>
    <w:rsid w:val="00EF00C1"/>
    <w:rsid w:val="00EF4F7D"/>
    <w:rsid w:val="00EF5369"/>
    <w:rsid w:val="00EF66B7"/>
    <w:rsid w:val="00EF7321"/>
    <w:rsid w:val="00EF7C3B"/>
    <w:rsid w:val="00EF7E5D"/>
    <w:rsid w:val="00F00B0C"/>
    <w:rsid w:val="00F010DC"/>
    <w:rsid w:val="00F02271"/>
    <w:rsid w:val="00F02D3D"/>
    <w:rsid w:val="00F038AB"/>
    <w:rsid w:val="00F03A06"/>
    <w:rsid w:val="00F04BF8"/>
    <w:rsid w:val="00F05411"/>
    <w:rsid w:val="00F0724C"/>
    <w:rsid w:val="00F07EDC"/>
    <w:rsid w:val="00F101F8"/>
    <w:rsid w:val="00F10545"/>
    <w:rsid w:val="00F118D1"/>
    <w:rsid w:val="00F12514"/>
    <w:rsid w:val="00F12B18"/>
    <w:rsid w:val="00F1393B"/>
    <w:rsid w:val="00F15036"/>
    <w:rsid w:val="00F15444"/>
    <w:rsid w:val="00F1610C"/>
    <w:rsid w:val="00F161BC"/>
    <w:rsid w:val="00F16F43"/>
    <w:rsid w:val="00F179CF"/>
    <w:rsid w:val="00F213A6"/>
    <w:rsid w:val="00F21406"/>
    <w:rsid w:val="00F22A0F"/>
    <w:rsid w:val="00F22C00"/>
    <w:rsid w:val="00F22D22"/>
    <w:rsid w:val="00F23F7F"/>
    <w:rsid w:val="00F24103"/>
    <w:rsid w:val="00F247D5"/>
    <w:rsid w:val="00F254B5"/>
    <w:rsid w:val="00F25EFB"/>
    <w:rsid w:val="00F26EF7"/>
    <w:rsid w:val="00F270CC"/>
    <w:rsid w:val="00F27C39"/>
    <w:rsid w:val="00F30214"/>
    <w:rsid w:val="00F305D0"/>
    <w:rsid w:val="00F30877"/>
    <w:rsid w:val="00F30A5A"/>
    <w:rsid w:val="00F31E49"/>
    <w:rsid w:val="00F3248D"/>
    <w:rsid w:val="00F338BD"/>
    <w:rsid w:val="00F35B0F"/>
    <w:rsid w:val="00F364D8"/>
    <w:rsid w:val="00F36545"/>
    <w:rsid w:val="00F371DE"/>
    <w:rsid w:val="00F372FE"/>
    <w:rsid w:val="00F37596"/>
    <w:rsid w:val="00F3793D"/>
    <w:rsid w:val="00F408A5"/>
    <w:rsid w:val="00F40AA1"/>
    <w:rsid w:val="00F419E0"/>
    <w:rsid w:val="00F42DD6"/>
    <w:rsid w:val="00F44D29"/>
    <w:rsid w:val="00F452E8"/>
    <w:rsid w:val="00F47358"/>
    <w:rsid w:val="00F473DC"/>
    <w:rsid w:val="00F47CEC"/>
    <w:rsid w:val="00F5034E"/>
    <w:rsid w:val="00F51C4E"/>
    <w:rsid w:val="00F5205A"/>
    <w:rsid w:val="00F521B2"/>
    <w:rsid w:val="00F526FC"/>
    <w:rsid w:val="00F52748"/>
    <w:rsid w:val="00F5348B"/>
    <w:rsid w:val="00F5505B"/>
    <w:rsid w:val="00F56D04"/>
    <w:rsid w:val="00F57B06"/>
    <w:rsid w:val="00F57BD3"/>
    <w:rsid w:val="00F600C6"/>
    <w:rsid w:val="00F616FA"/>
    <w:rsid w:val="00F622CE"/>
    <w:rsid w:val="00F631B6"/>
    <w:rsid w:val="00F6467F"/>
    <w:rsid w:val="00F64874"/>
    <w:rsid w:val="00F65651"/>
    <w:rsid w:val="00F65C04"/>
    <w:rsid w:val="00F65F1A"/>
    <w:rsid w:val="00F67364"/>
    <w:rsid w:val="00F67D43"/>
    <w:rsid w:val="00F70579"/>
    <w:rsid w:val="00F70EDC"/>
    <w:rsid w:val="00F7165D"/>
    <w:rsid w:val="00F729AD"/>
    <w:rsid w:val="00F72F31"/>
    <w:rsid w:val="00F73485"/>
    <w:rsid w:val="00F744E9"/>
    <w:rsid w:val="00F74755"/>
    <w:rsid w:val="00F7517A"/>
    <w:rsid w:val="00F75588"/>
    <w:rsid w:val="00F758E8"/>
    <w:rsid w:val="00F77A85"/>
    <w:rsid w:val="00F77B3A"/>
    <w:rsid w:val="00F77CFB"/>
    <w:rsid w:val="00F77FE9"/>
    <w:rsid w:val="00F80AB4"/>
    <w:rsid w:val="00F81159"/>
    <w:rsid w:val="00F8186B"/>
    <w:rsid w:val="00F8202B"/>
    <w:rsid w:val="00F82B2B"/>
    <w:rsid w:val="00F831F8"/>
    <w:rsid w:val="00F8396D"/>
    <w:rsid w:val="00F86630"/>
    <w:rsid w:val="00F877AF"/>
    <w:rsid w:val="00F87877"/>
    <w:rsid w:val="00F91004"/>
    <w:rsid w:val="00F911A5"/>
    <w:rsid w:val="00F91683"/>
    <w:rsid w:val="00F9232E"/>
    <w:rsid w:val="00F93B9E"/>
    <w:rsid w:val="00F95317"/>
    <w:rsid w:val="00F95446"/>
    <w:rsid w:val="00F95B22"/>
    <w:rsid w:val="00F95E06"/>
    <w:rsid w:val="00F97503"/>
    <w:rsid w:val="00F97B95"/>
    <w:rsid w:val="00FA0BB8"/>
    <w:rsid w:val="00FA1235"/>
    <w:rsid w:val="00FA1C16"/>
    <w:rsid w:val="00FA2366"/>
    <w:rsid w:val="00FA302F"/>
    <w:rsid w:val="00FA322C"/>
    <w:rsid w:val="00FA3AC0"/>
    <w:rsid w:val="00FA4DD0"/>
    <w:rsid w:val="00FA5608"/>
    <w:rsid w:val="00FA5DB2"/>
    <w:rsid w:val="00FA6E18"/>
    <w:rsid w:val="00FA7050"/>
    <w:rsid w:val="00FA71D3"/>
    <w:rsid w:val="00FA790C"/>
    <w:rsid w:val="00FB0011"/>
    <w:rsid w:val="00FB02F6"/>
    <w:rsid w:val="00FB1426"/>
    <w:rsid w:val="00FB2D73"/>
    <w:rsid w:val="00FB4A42"/>
    <w:rsid w:val="00FB62CC"/>
    <w:rsid w:val="00FC0424"/>
    <w:rsid w:val="00FC061B"/>
    <w:rsid w:val="00FC128D"/>
    <w:rsid w:val="00FC1F89"/>
    <w:rsid w:val="00FC2830"/>
    <w:rsid w:val="00FC373D"/>
    <w:rsid w:val="00FC3F23"/>
    <w:rsid w:val="00FC42E6"/>
    <w:rsid w:val="00FC48DC"/>
    <w:rsid w:val="00FC6E55"/>
    <w:rsid w:val="00FC6FEE"/>
    <w:rsid w:val="00FC70E0"/>
    <w:rsid w:val="00FC7183"/>
    <w:rsid w:val="00FC78C6"/>
    <w:rsid w:val="00FC7A72"/>
    <w:rsid w:val="00FC7DFE"/>
    <w:rsid w:val="00FD0BED"/>
    <w:rsid w:val="00FD20FF"/>
    <w:rsid w:val="00FD4E35"/>
    <w:rsid w:val="00FD516A"/>
    <w:rsid w:val="00FD59A6"/>
    <w:rsid w:val="00FD6BD3"/>
    <w:rsid w:val="00FD7124"/>
    <w:rsid w:val="00FD7559"/>
    <w:rsid w:val="00FD7B8E"/>
    <w:rsid w:val="00FE0ECB"/>
    <w:rsid w:val="00FE1113"/>
    <w:rsid w:val="00FE2538"/>
    <w:rsid w:val="00FE2BC1"/>
    <w:rsid w:val="00FE32C5"/>
    <w:rsid w:val="00FE462B"/>
    <w:rsid w:val="00FE4638"/>
    <w:rsid w:val="00FE52B3"/>
    <w:rsid w:val="00FE540B"/>
    <w:rsid w:val="00FE558B"/>
    <w:rsid w:val="00FE5D21"/>
    <w:rsid w:val="00FE5DAB"/>
    <w:rsid w:val="00FF0DDF"/>
    <w:rsid w:val="00FF1627"/>
    <w:rsid w:val="00FF1E47"/>
    <w:rsid w:val="00FF26A7"/>
    <w:rsid w:val="00FF26C8"/>
    <w:rsid w:val="00FF272C"/>
    <w:rsid w:val="00FF3489"/>
    <w:rsid w:val="00FF3B17"/>
    <w:rsid w:val="00FF489E"/>
    <w:rsid w:val="00FF5986"/>
    <w:rsid w:val="00FF5F94"/>
    <w:rsid w:val="00FF6007"/>
    <w:rsid w:val="00FF7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41100C"/>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DocumentMap">
    <w:name w:val="Document Map"/>
    <w:basedOn w:val="Normal"/>
    <w:semiHidden/>
    <w:rsid w:val="006C39B4"/>
    <w:pPr>
      <w:shd w:val="clear" w:color="auto" w:fill="000080"/>
    </w:pPr>
    <w:rPr>
      <w:rFonts w:ascii="Tahoma" w:hAnsi="Tahoma" w:cs="Tahoma"/>
      <w:sz w:val="20"/>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loose">
    <w:name w:val="loose"/>
    <w:basedOn w:val="Normal"/>
    <w:rsid w:val="00064223"/>
    <w:pPr>
      <w:spacing w:before="262" w:line="240" w:lineRule="auto"/>
      <w:jc w:val="left"/>
    </w:pPr>
    <w:rPr>
      <w:rFonts w:eastAsia="Times New Roman"/>
      <w:szCs w:val="24"/>
      <w:lang w:val="en-US"/>
    </w:rPr>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character" w:customStyle="1" w:styleId="italic1">
    <w:name w:val="italic1"/>
    <w:rsid w:val="0006422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6F6"/>
    <w:pPr>
      <w:spacing w:line="360" w:lineRule="auto"/>
      <w:jc w:val="both"/>
    </w:pPr>
    <w:rPr>
      <w:sz w:val="24"/>
      <w:lang w:eastAsia="en-US"/>
    </w:rPr>
  </w:style>
  <w:style w:type="paragraph" w:styleId="Heading1">
    <w:name w:val="heading 1"/>
    <w:basedOn w:val="Normal"/>
    <w:next w:val="ParaNumbering"/>
    <w:qFormat/>
    <w:rsid w:val="0041100C"/>
    <w:pPr>
      <w:keepNext/>
      <w:spacing w:before="240" w:after="60" w:line="240" w:lineRule="auto"/>
      <w:outlineLvl w:val="0"/>
    </w:pPr>
    <w:rPr>
      <w:b/>
      <w:caps/>
      <w:kern w:val="28"/>
    </w:rPr>
  </w:style>
  <w:style w:type="paragraph" w:styleId="Heading2">
    <w:name w:val="heading 2"/>
    <w:basedOn w:val="Normal"/>
    <w:next w:val="ParaNumbering"/>
    <w:qFormat/>
    <w:rsid w:val="00E2113C"/>
    <w:pPr>
      <w:keepNext/>
      <w:spacing w:before="240" w:after="60" w:line="240" w:lineRule="auto"/>
      <w:outlineLvl w:val="1"/>
    </w:pPr>
    <w:rPr>
      <w:b/>
      <w:szCs w:val="24"/>
    </w:rPr>
  </w:style>
  <w:style w:type="paragraph" w:styleId="Heading3">
    <w:name w:val="heading 3"/>
    <w:basedOn w:val="Normal"/>
    <w:next w:val="ParaNumbering"/>
    <w:qFormat/>
    <w:rsid w:val="00E2113C"/>
    <w:pPr>
      <w:keepNext/>
      <w:spacing w:before="240" w:after="60" w:line="240" w:lineRule="auto"/>
      <w:outlineLvl w:val="2"/>
    </w:pPr>
    <w:rPr>
      <w:b/>
      <w:i/>
    </w:rPr>
  </w:style>
  <w:style w:type="paragraph" w:styleId="Heading4">
    <w:name w:val="heading 4"/>
    <w:basedOn w:val="Normal"/>
    <w:next w:val="ParaNumbering"/>
    <w:qFormat/>
    <w:rsid w:val="00E2113C"/>
    <w:pPr>
      <w:keepNext/>
      <w:spacing w:before="240" w:after="60" w:line="240" w:lineRule="auto"/>
      <w:jc w:val="left"/>
      <w:outlineLvl w:val="3"/>
    </w:pPr>
    <w:rPr>
      <w:b/>
      <w:smallCaps/>
      <w:szCs w:val="24"/>
    </w:rPr>
  </w:style>
  <w:style w:type="paragraph" w:styleId="Heading5">
    <w:name w:val="heading 5"/>
    <w:basedOn w:val="fcHeading1"/>
    <w:next w:val="ParaNumbering"/>
    <w:qFormat/>
    <w:rsid w:val="009844DE"/>
    <w:pPr>
      <w:outlineLvl w:val="4"/>
    </w:pPr>
  </w:style>
  <w:style w:type="paragraph" w:styleId="Heading6">
    <w:name w:val="heading 6"/>
    <w:basedOn w:val="fcHeading2"/>
    <w:next w:val="ParaNumbering"/>
    <w:qFormat/>
    <w:rsid w:val="009844DE"/>
    <w:pPr>
      <w:outlineLvl w:val="5"/>
    </w:pPr>
  </w:style>
  <w:style w:type="paragraph" w:styleId="Heading7">
    <w:name w:val="heading 7"/>
    <w:basedOn w:val="fcHeading3"/>
    <w:next w:val="ParaNumbering"/>
    <w:qFormat/>
    <w:rsid w:val="009844DE"/>
    <w:pPr>
      <w:outlineLvl w:val="6"/>
    </w:pPr>
  </w:style>
  <w:style w:type="paragraph" w:styleId="Heading8">
    <w:name w:val="heading 8"/>
    <w:basedOn w:val="fcHeading4"/>
    <w:next w:val="ParaNumbering"/>
    <w:qFormat/>
    <w:rsid w:val="009844DE"/>
    <w:pPr>
      <w:outlineLvl w:val="7"/>
    </w:pPr>
  </w:style>
  <w:style w:type="paragraph" w:styleId="Heading9">
    <w:name w:val="heading 9"/>
    <w:basedOn w:val="fcHeading5"/>
    <w:next w:val="ParaNumbering"/>
    <w:qFormat/>
    <w:rsid w:val="00CD29CD"/>
    <w:pPr>
      <w:outlineLvl w:val="8"/>
    </w:pPr>
    <w:rPr>
      <w:i/>
      <w:caps w:val="0"/>
      <w:smallCap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AE203B"/>
    <w:pPr>
      <w:numPr>
        <w:numId w:val="1"/>
      </w:numPr>
      <w:spacing w:before="180" w:after="180"/>
    </w:pPr>
  </w:style>
  <w:style w:type="paragraph" w:customStyle="1" w:styleId="Quote1">
    <w:name w:val="Quote1"/>
    <w:rsid w:val="002D3013"/>
    <w:pPr>
      <w:widowControl w:val="0"/>
      <w:ind w:left="737" w:right="737"/>
      <w:jc w:val="both"/>
    </w:pPr>
    <w:rPr>
      <w:sz w:val="22"/>
      <w:lang w:eastAsia="en-US"/>
    </w:rPr>
  </w:style>
  <w:style w:type="paragraph" w:customStyle="1" w:styleId="NormalHeadings">
    <w:name w:val="Normal Headings"/>
    <w:semiHidden/>
    <w:rsid w:val="00AE6C3C"/>
    <w:pPr>
      <w:widowControl w:val="0"/>
      <w:jc w:val="both"/>
    </w:pPr>
    <w:rPr>
      <w:b/>
      <w:sz w:val="24"/>
      <w:lang w:eastAsia="en-US"/>
    </w:rPr>
  </w:style>
  <w:style w:type="table" w:styleId="TableGrid">
    <w:name w:val="Table Grid"/>
    <w:basedOn w:val="TableNormal"/>
    <w:semiHidden/>
    <w:rsid w:val="007F04F8"/>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semiHidden/>
    <w:pPr>
      <w:spacing w:line="240" w:lineRule="auto"/>
    </w:pPr>
  </w:style>
  <w:style w:type="paragraph" w:styleId="BalloonText">
    <w:name w:val="Balloon Text"/>
    <w:basedOn w:val="Normal"/>
    <w:semiHidden/>
    <w:rsid w:val="002A2262"/>
    <w:rPr>
      <w:rFonts w:ascii="Tahoma" w:hAnsi="Tahoma" w:cs="Tahoma"/>
      <w:sz w:val="16"/>
      <w:szCs w:val="16"/>
    </w:rPr>
  </w:style>
  <w:style w:type="paragraph" w:customStyle="1" w:styleId="StyleBold">
    <w:name w:val="Style Bold"/>
    <w:basedOn w:val="Normal"/>
    <w:next w:val="Normal"/>
    <w:semiHidden/>
    <w:rsid w:val="00E43EF0"/>
    <w:rPr>
      <w:szCs w:val="24"/>
    </w:rPr>
  </w:style>
  <w:style w:type="paragraph" w:customStyle="1" w:styleId="Bold">
    <w:name w:val="Bold"/>
    <w:basedOn w:val="Normal"/>
    <w:next w:val="Normal"/>
    <w:semiHidden/>
    <w:rsid w:val="0052145E"/>
    <w:pPr>
      <w:suppressAutoHyphens/>
      <w:jc w:val="left"/>
    </w:pPr>
    <w:rPr>
      <w:b/>
      <w:szCs w:val="24"/>
    </w:rPr>
  </w:style>
  <w:style w:type="paragraph" w:customStyle="1" w:styleId="Certify">
    <w:name w:val="Certify"/>
    <w:basedOn w:val="Normal"/>
    <w:link w:val="CertifyChar"/>
    <w:semiHidden/>
    <w:rsid w:val="00863A90"/>
    <w:pPr>
      <w:spacing w:line="240" w:lineRule="auto"/>
    </w:pPr>
    <w:rPr>
      <w:szCs w:val="24"/>
    </w:rPr>
  </w:style>
  <w:style w:type="character" w:styleId="CommentReference">
    <w:name w:val="annotation reference"/>
    <w:semiHidden/>
    <w:rsid w:val="0098384A"/>
    <w:rPr>
      <w:sz w:val="16"/>
      <w:szCs w:val="16"/>
    </w:rPr>
  </w:style>
  <w:style w:type="paragraph" w:styleId="CommentText">
    <w:name w:val="annotation text"/>
    <w:basedOn w:val="Normal"/>
    <w:semiHidden/>
    <w:rsid w:val="0098384A"/>
    <w:rPr>
      <w:sz w:val="20"/>
    </w:rPr>
  </w:style>
  <w:style w:type="paragraph" w:styleId="CommentSubject">
    <w:name w:val="annotation subject"/>
    <w:basedOn w:val="CommentText"/>
    <w:next w:val="CommentText"/>
    <w:semiHidden/>
    <w:rsid w:val="0098384A"/>
    <w:rPr>
      <w:b/>
      <w:bCs/>
    </w:rPr>
  </w:style>
  <w:style w:type="paragraph" w:customStyle="1" w:styleId="FCBullets">
    <w:name w:val="FCBullets"/>
    <w:basedOn w:val="Normal"/>
    <w:rsid w:val="00520AF8"/>
    <w:pPr>
      <w:numPr>
        <w:numId w:val="3"/>
      </w:numPr>
      <w:spacing w:before="60" w:after="60"/>
    </w:pPr>
  </w:style>
  <w:style w:type="paragraph" w:customStyle="1" w:styleId="JudgeStyle">
    <w:name w:val="JudgeStyle"/>
    <w:basedOn w:val="Heading1"/>
    <w:next w:val="ParaNumbering"/>
    <w:semiHidden/>
    <w:rsid w:val="00AF32DE"/>
  </w:style>
  <w:style w:type="paragraph" w:styleId="TOC1">
    <w:name w:val="toc 1"/>
    <w:basedOn w:val="Normal"/>
    <w:next w:val="Normal"/>
    <w:autoRedefine/>
    <w:semiHidden/>
    <w:rsid w:val="00523039"/>
    <w:pPr>
      <w:tabs>
        <w:tab w:val="right" w:leader="dot" w:pos="9071"/>
      </w:tabs>
    </w:pPr>
  </w:style>
  <w:style w:type="paragraph" w:styleId="TOC2">
    <w:name w:val="toc 2"/>
    <w:basedOn w:val="Normal"/>
    <w:next w:val="Normal"/>
    <w:autoRedefine/>
    <w:semiHidden/>
    <w:rsid w:val="00523039"/>
    <w:pPr>
      <w:tabs>
        <w:tab w:val="right" w:leader="dot" w:pos="9071"/>
      </w:tabs>
      <w:ind w:left="240"/>
    </w:pPr>
  </w:style>
  <w:style w:type="paragraph" w:styleId="TOC3">
    <w:name w:val="toc 3"/>
    <w:basedOn w:val="Normal"/>
    <w:next w:val="Normal"/>
    <w:autoRedefine/>
    <w:semiHidden/>
    <w:rsid w:val="00523039"/>
    <w:pPr>
      <w:tabs>
        <w:tab w:val="right" w:leader="dot" w:pos="9071"/>
      </w:tabs>
      <w:ind w:left="480"/>
    </w:pPr>
  </w:style>
  <w:style w:type="paragraph" w:styleId="TOC4">
    <w:name w:val="toc 4"/>
    <w:basedOn w:val="Normal"/>
    <w:next w:val="Normal"/>
    <w:autoRedefine/>
    <w:semiHidden/>
    <w:rsid w:val="00523039"/>
    <w:pPr>
      <w:tabs>
        <w:tab w:val="right" w:leader="dot" w:pos="9071"/>
      </w:tabs>
      <w:ind w:left="720"/>
    </w:pPr>
  </w:style>
  <w:style w:type="paragraph" w:customStyle="1" w:styleId="NoNum">
    <w:name w:val="No Num"/>
    <w:basedOn w:val="Normal1linespace"/>
    <w:rsid w:val="00520AF8"/>
    <w:pPr>
      <w:spacing w:before="120" w:after="180" w:line="360" w:lineRule="auto"/>
    </w:pPr>
  </w:style>
  <w:style w:type="paragraph" w:customStyle="1" w:styleId="AppealTable">
    <w:name w:val="AppealTable"/>
    <w:basedOn w:val="Normal"/>
    <w:rsid w:val="00CF3E07"/>
    <w:pPr>
      <w:spacing w:line="240" w:lineRule="auto"/>
      <w:jc w:val="left"/>
    </w:pPr>
    <w:rPr>
      <w:b/>
      <w:caps/>
      <w:sz w:val="22"/>
      <w:szCs w:val="22"/>
    </w:rPr>
  </w:style>
  <w:style w:type="paragraph" w:customStyle="1" w:styleId="Quote3">
    <w:name w:val="Quote3"/>
    <w:basedOn w:val="Quote1"/>
    <w:rsid w:val="00A0029F"/>
    <w:pPr>
      <w:ind w:left="2160"/>
    </w:pPr>
  </w:style>
  <w:style w:type="paragraph" w:customStyle="1" w:styleId="Quote2">
    <w:name w:val="Quote2"/>
    <w:basedOn w:val="Quote1"/>
    <w:rsid w:val="00A0029F"/>
    <w:pPr>
      <w:ind w:left="1440"/>
    </w:pPr>
  </w:style>
  <w:style w:type="paragraph" w:customStyle="1" w:styleId="FTOC1">
    <w:name w:val="FTOC 1"/>
    <w:basedOn w:val="Normal"/>
    <w:semiHidden/>
    <w:rsid w:val="00D0047C"/>
    <w:pPr>
      <w:tabs>
        <w:tab w:val="right" w:leader="dot" w:pos="9072"/>
      </w:tabs>
      <w:spacing w:before="120" w:after="60" w:line="240" w:lineRule="auto"/>
    </w:pPr>
    <w:rPr>
      <w:b/>
      <w:caps/>
      <w:kern w:val="28"/>
    </w:rPr>
  </w:style>
  <w:style w:type="paragraph" w:customStyle="1" w:styleId="ListNo">
    <w:name w:val="List No"/>
    <w:basedOn w:val="Normal"/>
    <w:rsid w:val="003608C1"/>
    <w:pPr>
      <w:spacing w:before="60" w:after="60"/>
    </w:pPr>
  </w:style>
  <w:style w:type="paragraph" w:customStyle="1" w:styleId="FTOC2">
    <w:name w:val="FTOC 2"/>
    <w:basedOn w:val="Normal"/>
    <w:semiHidden/>
    <w:rsid w:val="00D0047C"/>
    <w:pPr>
      <w:tabs>
        <w:tab w:val="right" w:leader="dot" w:pos="9072"/>
      </w:tabs>
      <w:spacing w:before="120" w:after="60" w:line="240" w:lineRule="auto"/>
      <w:ind w:left="238"/>
    </w:pPr>
    <w:rPr>
      <w:b/>
    </w:rPr>
  </w:style>
  <w:style w:type="paragraph" w:customStyle="1" w:styleId="FTOC3">
    <w:name w:val="FTOC 3"/>
    <w:basedOn w:val="Normal"/>
    <w:semiHidden/>
    <w:rsid w:val="00D0047C"/>
    <w:pPr>
      <w:tabs>
        <w:tab w:val="right" w:leader="dot" w:pos="9072"/>
      </w:tabs>
      <w:spacing w:before="120" w:after="60" w:line="240" w:lineRule="auto"/>
      <w:ind w:left="482"/>
    </w:pPr>
    <w:rPr>
      <w:b/>
      <w:i/>
    </w:rPr>
  </w:style>
  <w:style w:type="paragraph" w:customStyle="1" w:styleId="FTOC4">
    <w:name w:val="FTOC 4"/>
    <w:basedOn w:val="Normal"/>
    <w:semiHidden/>
    <w:rsid w:val="00D0047C"/>
    <w:pPr>
      <w:tabs>
        <w:tab w:val="right" w:leader="dot" w:pos="9072"/>
      </w:tabs>
      <w:spacing w:before="120" w:after="60" w:line="240" w:lineRule="auto"/>
      <w:ind w:left="720"/>
    </w:pPr>
    <w:rPr>
      <w:b/>
      <w:smallCaps/>
    </w:rPr>
  </w:style>
  <w:style w:type="paragraph" w:styleId="DocumentMap">
    <w:name w:val="Document Map"/>
    <w:basedOn w:val="Normal"/>
    <w:semiHidden/>
    <w:rsid w:val="006C39B4"/>
    <w:pPr>
      <w:shd w:val="clear" w:color="auto" w:fill="000080"/>
    </w:pPr>
    <w:rPr>
      <w:rFonts w:ascii="Tahoma" w:hAnsi="Tahoma" w:cs="Tahoma"/>
      <w:sz w:val="20"/>
    </w:rPr>
  </w:style>
  <w:style w:type="paragraph" w:styleId="TOC5">
    <w:name w:val="toc 5"/>
    <w:basedOn w:val="Normal"/>
    <w:next w:val="Normal"/>
    <w:autoRedefine/>
    <w:semiHidden/>
    <w:rsid w:val="00525099"/>
    <w:pPr>
      <w:tabs>
        <w:tab w:val="right" w:leader="dot" w:pos="9072"/>
      </w:tabs>
      <w:ind w:left="960"/>
    </w:pPr>
  </w:style>
  <w:style w:type="numbering" w:styleId="111111">
    <w:name w:val="Outline List 2"/>
    <w:basedOn w:val="NoList"/>
    <w:semiHidden/>
    <w:rsid w:val="0047417B"/>
    <w:pPr>
      <w:numPr>
        <w:numId w:val="19"/>
      </w:numPr>
    </w:pPr>
  </w:style>
  <w:style w:type="numbering" w:styleId="1ai">
    <w:name w:val="Outline List 1"/>
    <w:basedOn w:val="NoList"/>
    <w:semiHidden/>
    <w:rsid w:val="0047417B"/>
    <w:pPr>
      <w:numPr>
        <w:numId w:val="20"/>
      </w:numPr>
    </w:pPr>
  </w:style>
  <w:style w:type="numbering" w:styleId="ArticleSection">
    <w:name w:val="Outline List 3"/>
    <w:basedOn w:val="NoList"/>
    <w:semiHidden/>
    <w:rsid w:val="0047417B"/>
    <w:pPr>
      <w:numPr>
        <w:numId w:val="21"/>
      </w:numPr>
    </w:pPr>
  </w:style>
  <w:style w:type="paragraph" w:styleId="BlockText">
    <w:name w:val="Block Text"/>
    <w:basedOn w:val="Normal"/>
    <w:semiHidden/>
    <w:rsid w:val="0047417B"/>
    <w:pPr>
      <w:spacing w:after="120"/>
      <w:ind w:left="1440" w:right="1440"/>
    </w:pPr>
  </w:style>
  <w:style w:type="paragraph" w:styleId="BodyText">
    <w:name w:val="Body Text"/>
    <w:basedOn w:val="Normal"/>
    <w:semiHidden/>
    <w:rsid w:val="0047417B"/>
    <w:pPr>
      <w:spacing w:after="120"/>
    </w:pPr>
  </w:style>
  <w:style w:type="paragraph" w:styleId="BodyText2">
    <w:name w:val="Body Text 2"/>
    <w:basedOn w:val="Normal"/>
    <w:semiHidden/>
    <w:rsid w:val="0047417B"/>
    <w:pPr>
      <w:spacing w:after="120" w:line="480" w:lineRule="auto"/>
    </w:pPr>
  </w:style>
  <w:style w:type="paragraph" w:styleId="BodyText3">
    <w:name w:val="Body Text 3"/>
    <w:basedOn w:val="Normal"/>
    <w:semiHidden/>
    <w:rsid w:val="0047417B"/>
    <w:pPr>
      <w:spacing w:after="120"/>
    </w:pPr>
    <w:rPr>
      <w:sz w:val="16"/>
      <w:szCs w:val="16"/>
    </w:rPr>
  </w:style>
  <w:style w:type="paragraph" w:styleId="BodyTextFirstIndent">
    <w:name w:val="Body Text First Indent"/>
    <w:basedOn w:val="BodyText"/>
    <w:semiHidden/>
    <w:rsid w:val="0047417B"/>
    <w:pPr>
      <w:ind w:firstLine="210"/>
    </w:pPr>
  </w:style>
  <w:style w:type="paragraph" w:styleId="BodyTextIndent">
    <w:name w:val="Body Text Indent"/>
    <w:basedOn w:val="Normal"/>
    <w:semiHidden/>
    <w:rsid w:val="0047417B"/>
    <w:pPr>
      <w:spacing w:after="120"/>
      <w:ind w:left="283"/>
    </w:pPr>
  </w:style>
  <w:style w:type="paragraph" w:styleId="BodyTextFirstIndent2">
    <w:name w:val="Body Text First Indent 2"/>
    <w:basedOn w:val="BodyTextIndent"/>
    <w:semiHidden/>
    <w:rsid w:val="0047417B"/>
    <w:pPr>
      <w:ind w:firstLine="210"/>
    </w:pPr>
  </w:style>
  <w:style w:type="paragraph" w:styleId="BodyTextIndent2">
    <w:name w:val="Body Text Indent 2"/>
    <w:basedOn w:val="Normal"/>
    <w:semiHidden/>
    <w:rsid w:val="0047417B"/>
    <w:pPr>
      <w:spacing w:after="120" w:line="480" w:lineRule="auto"/>
      <w:ind w:left="283"/>
    </w:pPr>
  </w:style>
  <w:style w:type="paragraph" w:styleId="BodyTextIndent3">
    <w:name w:val="Body Text Indent 3"/>
    <w:basedOn w:val="Normal"/>
    <w:semiHidden/>
    <w:rsid w:val="0047417B"/>
    <w:pPr>
      <w:spacing w:after="120"/>
      <w:ind w:left="283"/>
    </w:pPr>
    <w:rPr>
      <w:sz w:val="16"/>
      <w:szCs w:val="16"/>
    </w:rPr>
  </w:style>
  <w:style w:type="paragraph" w:styleId="Closing">
    <w:name w:val="Closing"/>
    <w:basedOn w:val="Normal"/>
    <w:semiHidden/>
    <w:rsid w:val="0047417B"/>
    <w:pPr>
      <w:ind w:left="4252"/>
    </w:pPr>
  </w:style>
  <w:style w:type="paragraph" w:styleId="Date">
    <w:name w:val="Date"/>
    <w:basedOn w:val="Normal"/>
    <w:next w:val="Normal"/>
    <w:semiHidden/>
    <w:rsid w:val="0047417B"/>
  </w:style>
  <w:style w:type="paragraph" w:styleId="E-mailSignature">
    <w:name w:val="E-mail Signature"/>
    <w:basedOn w:val="Normal"/>
    <w:semiHidden/>
    <w:rsid w:val="0047417B"/>
  </w:style>
  <w:style w:type="character" w:styleId="Emphasis">
    <w:name w:val="Emphasis"/>
    <w:qFormat/>
    <w:rsid w:val="0047417B"/>
    <w:rPr>
      <w:i/>
      <w:iCs/>
    </w:rPr>
  </w:style>
  <w:style w:type="paragraph" w:styleId="EnvelopeAddress">
    <w:name w:val="envelope address"/>
    <w:basedOn w:val="Normal"/>
    <w:semiHidden/>
    <w:rsid w:val="0047417B"/>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47417B"/>
    <w:rPr>
      <w:rFonts w:ascii="Arial" w:hAnsi="Arial" w:cs="Arial"/>
      <w:sz w:val="20"/>
    </w:rPr>
  </w:style>
  <w:style w:type="character" w:styleId="FollowedHyperlink">
    <w:name w:val="FollowedHyperlink"/>
    <w:semiHidden/>
    <w:rsid w:val="0047417B"/>
    <w:rPr>
      <w:color w:val="800080"/>
      <w:u w:val="single"/>
    </w:rPr>
  </w:style>
  <w:style w:type="character" w:styleId="HTMLAcronym">
    <w:name w:val="HTML Acronym"/>
    <w:basedOn w:val="DefaultParagraphFont"/>
    <w:semiHidden/>
    <w:rsid w:val="0047417B"/>
  </w:style>
  <w:style w:type="paragraph" w:styleId="HTMLAddress">
    <w:name w:val="HTML Address"/>
    <w:basedOn w:val="Normal"/>
    <w:semiHidden/>
    <w:rsid w:val="0047417B"/>
    <w:rPr>
      <w:i/>
      <w:iCs/>
    </w:rPr>
  </w:style>
  <w:style w:type="character" w:styleId="HTMLCite">
    <w:name w:val="HTML Cite"/>
    <w:semiHidden/>
    <w:rsid w:val="0047417B"/>
    <w:rPr>
      <w:i/>
      <w:iCs/>
    </w:rPr>
  </w:style>
  <w:style w:type="character" w:styleId="HTMLCode">
    <w:name w:val="HTML Code"/>
    <w:semiHidden/>
    <w:rsid w:val="0047417B"/>
    <w:rPr>
      <w:rFonts w:ascii="Courier New" w:hAnsi="Courier New" w:cs="Courier New"/>
      <w:sz w:val="20"/>
      <w:szCs w:val="20"/>
    </w:rPr>
  </w:style>
  <w:style w:type="character" w:styleId="HTMLDefinition">
    <w:name w:val="HTML Definition"/>
    <w:semiHidden/>
    <w:rsid w:val="0047417B"/>
    <w:rPr>
      <w:i/>
      <w:iCs/>
    </w:rPr>
  </w:style>
  <w:style w:type="character" w:styleId="HTMLKeyboard">
    <w:name w:val="HTML Keyboard"/>
    <w:semiHidden/>
    <w:rsid w:val="0047417B"/>
    <w:rPr>
      <w:rFonts w:ascii="Courier New" w:hAnsi="Courier New" w:cs="Courier New"/>
      <w:sz w:val="20"/>
      <w:szCs w:val="20"/>
    </w:rPr>
  </w:style>
  <w:style w:type="paragraph" w:styleId="HTMLPreformatted">
    <w:name w:val="HTML Preformatted"/>
    <w:basedOn w:val="Normal"/>
    <w:semiHidden/>
    <w:rsid w:val="0047417B"/>
    <w:rPr>
      <w:rFonts w:ascii="Courier New" w:hAnsi="Courier New" w:cs="Courier New"/>
      <w:sz w:val="20"/>
    </w:rPr>
  </w:style>
  <w:style w:type="character" w:styleId="HTMLSample">
    <w:name w:val="HTML Sample"/>
    <w:semiHidden/>
    <w:rsid w:val="0047417B"/>
    <w:rPr>
      <w:rFonts w:ascii="Courier New" w:hAnsi="Courier New" w:cs="Courier New"/>
    </w:rPr>
  </w:style>
  <w:style w:type="character" w:styleId="HTMLTypewriter">
    <w:name w:val="HTML Typewriter"/>
    <w:semiHidden/>
    <w:rsid w:val="0047417B"/>
    <w:rPr>
      <w:rFonts w:ascii="Courier New" w:hAnsi="Courier New" w:cs="Courier New"/>
      <w:sz w:val="20"/>
      <w:szCs w:val="20"/>
    </w:rPr>
  </w:style>
  <w:style w:type="character" w:styleId="HTMLVariable">
    <w:name w:val="HTML Variable"/>
    <w:semiHidden/>
    <w:rsid w:val="0047417B"/>
    <w:rPr>
      <w:i/>
      <w:iCs/>
    </w:rPr>
  </w:style>
  <w:style w:type="character" w:styleId="Hyperlink">
    <w:name w:val="Hyperlink"/>
    <w:semiHidden/>
    <w:rsid w:val="0047417B"/>
    <w:rPr>
      <w:color w:val="0000FF"/>
      <w:u w:val="single"/>
    </w:rPr>
  </w:style>
  <w:style w:type="character" w:styleId="LineNumber">
    <w:name w:val="line number"/>
    <w:basedOn w:val="DefaultParagraphFont"/>
    <w:semiHidden/>
    <w:rsid w:val="0047417B"/>
  </w:style>
  <w:style w:type="paragraph" w:styleId="List">
    <w:name w:val="List"/>
    <w:basedOn w:val="Normal"/>
    <w:semiHidden/>
    <w:rsid w:val="0047417B"/>
    <w:pPr>
      <w:ind w:left="283" w:hanging="283"/>
    </w:pPr>
  </w:style>
  <w:style w:type="paragraph" w:styleId="List2">
    <w:name w:val="List 2"/>
    <w:basedOn w:val="Normal"/>
    <w:semiHidden/>
    <w:rsid w:val="0047417B"/>
    <w:pPr>
      <w:ind w:left="566" w:hanging="283"/>
    </w:pPr>
  </w:style>
  <w:style w:type="paragraph" w:styleId="List3">
    <w:name w:val="List 3"/>
    <w:basedOn w:val="Normal"/>
    <w:semiHidden/>
    <w:rsid w:val="0047417B"/>
    <w:pPr>
      <w:ind w:left="849" w:hanging="283"/>
    </w:pPr>
  </w:style>
  <w:style w:type="paragraph" w:styleId="List4">
    <w:name w:val="List 4"/>
    <w:basedOn w:val="Normal"/>
    <w:semiHidden/>
    <w:rsid w:val="0047417B"/>
    <w:pPr>
      <w:ind w:left="1132" w:hanging="283"/>
    </w:pPr>
  </w:style>
  <w:style w:type="paragraph" w:styleId="List5">
    <w:name w:val="List 5"/>
    <w:basedOn w:val="Normal"/>
    <w:semiHidden/>
    <w:rsid w:val="0047417B"/>
    <w:pPr>
      <w:ind w:left="1415" w:hanging="283"/>
    </w:pPr>
  </w:style>
  <w:style w:type="paragraph" w:styleId="ListBullet">
    <w:name w:val="List Bullet"/>
    <w:basedOn w:val="Normal"/>
    <w:semiHidden/>
    <w:rsid w:val="0047417B"/>
    <w:pPr>
      <w:numPr>
        <w:numId w:val="4"/>
      </w:numPr>
    </w:pPr>
  </w:style>
  <w:style w:type="paragraph" w:styleId="ListBullet2">
    <w:name w:val="List Bullet 2"/>
    <w:basedOn w:val="Normal"/>
    <w:semiHidden/>
    <w:rsid w:val="0047417B"/>
    <w:pPr>
      <w:numPr>
        <w:numId w:val="5"/>
      </w:numPr>
    </w:pPr>
  </w:style>
  <w:style w:type="paragraph" w:styleId="ListBullet3">
    <w:name w:val="List Bullet 3"/>
    <w:basedOn w:val="Normal"/>
    <w:semiHidden/>
    <w:rsid w:val="0047417B"/>
    <w:pPr>
      <w:numPr>
        <w:numId w:val="6"/>
      </w:numPr>
    </w:pPr>
  </w:style>
  <w:style w:type="paragraph" w:styleId="ListBullet4">
    <w:name w:val="List Bullet 4"/>
    <w:basedOn w:val="Normal"/>
    <w:semiHidden/>
    <w:rsid w:val="0047417B"/>
    <w:pPr>
      <w:numPr>
        <w:numId w:val="7"/>
      </w:numPr>
    </w:pPr>
  </w:style>
  <w:style w:type="paragraph" w:styleId="ListBullet5">
    <w:name w:val="List Bullet 5"/>
    <w:basedOn w:val="Normal"/>
    <w:semiHidden/>
    <w:rsid w:val="0047417B"/>
    <w:pPr>
      <w:numPr>
        <w:numId w:val="8"/>
      </w:numPr>
    </w:pPr>
  </w:style>
  <w:style w:type="paragraph" w:styleId="ListContinue">
    <w:name w:val="List Continue"/>
    <w:basedOn w:val="Normal"/>
    <w:semiHidden/>
    <w:rsid w:val="0047417B"/>
    <w:pPr>
      <w:spacing w:after="120"/>
      <w:ind w:left="283"/>
    </w:pPr>
  </w:style>
  <w:style w:type="paragraph" w:styleId="ListContinue2">
    <w:name w:val="List Continue 2"/>
    <w:basedOn w:val="Normal"/>
    <w:semiHidden/>
    <w:rsid w:val="0047417B"/>
    <w:pPr>
      <w:spacing w:after="120"/>
      <w:ind w:left="566"/>
    </w:pPr>
  </w:style>
  <w:style w:type="paragraph" w:styleId="ListContinue3">
    <w:name w:val="List Continue 3"/>
    <w:basedOn w:val="Normal"/>
    <w:semiHidden/>
    <w:rsid w:val="0047417B"/>
    <w:pPr>
      <w:spacing w:after="120"/>
      <w:ind w:left="849"/>
    </w:pPr>
  </w:style>
  <w:style w:type="paragraph" w:styleId="ListContinue4">
    <w:name w:val="List Continue 4"/>
    <w:basedOn w:val="Normal"/>
    <w:semiHidden/>
    <w:rsid w:val="0047417B"/>
    <w:pPr>
      <w:spacing w:after="120"/>
      <w:ind w:left="1132"/>
    </w:pPr>
  </w:style>
  <w:style w:type="paragraph" w:styleId="ListContinue5">
    <w:name w:val="List Continue 5"/>
    <w:basedOn w:val="Normal"/>
    <w:semiHidden/>
    <w:rsid w:val="0047417B"/>
    <w:pPr>
      <w:spacing w:after="120"/>
      <w:ind w:left="1415"/>
    </w:pPr>
  </w:style>
  <w:style w:type="paragraph" w:styleId="ListNumber">
    <w:name w:val="List Number"/>
    <w:basedOn w:val="Normal"/>
    <w:semiHidden/>
    <w:rsid w:val="0047417B"/>
    <w:pPr>
      <w:numPr>
        <w:numId w:val="9"/>
      </w:numPr>
    </w:pPr>
  </w:style>
  <w:style w:type="paragraph" w:styleId="ListNumber2">
    <w:name w:val="List Number 2"/>
    <w:basedOn w:val="Normal"/>
    <w:semiHidden/>
    <w:rsid w:val="0047417B"/>
    <w:pPr>
      <w:numPr>
        <w:numId w:val="10"/>
      </w:numPr>
    </w:pPr>
  </w:style>
  <w:style w:type="paragraph" w:styleId="ListNumber3">
    <w:name w:val="List Number 3"/>
    <w:basedOn w:val="Normal"/>
    <w:semiHidden/>
    <w:rsid w:val="0047417B"/>
    <w:pPr>
      <w:numPr>
        <w:numId w:val="11"/>
      </w:numPr>
    </w:pPr>
  </w:style>
  <w:style w:type="paragraph" w:styleId="ListNumber4">
    <w:name w:val="List Number 4"/>
    <w:basedOn w:val="Normal"/>
    <w:semiHidden/>
    <w:rsid w:val="0047417B"/>
    <w:pPr>
      <w:numPr>
        <w:numId w:val="12"/>
      </w:numPr>
    </w:pPr>
  </w:style>
  <w:style w:type="paragraph" w:styleId="ListNumber5">
    <w:name w:val="List Number 5"/>
    <w:basedOn w:val="Normal"/>
    <w:semiHidden/>
    <w:rsid w:val="0047417B"/>
    <w:pPr>
      <w:numPr>
        <w:numId w:val="13"/>
      </w:numPr>
    </w:pPr>
  </w:style>
  <w:style w:type="paragraph" w:styleId="MessageHeader">
    <w:name w:val="Message Header"/>
    <w:basedOn w:val="Normal"/>
    <w:semiHidden/>
    <w:rsid w:val="004741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47417B"/>
    <w:rPr>
      <w:szCs w:val="24"/>
    </w:rPr>
  </w:style>
  <w:style w:type="paragraph" w:styleId="NormalIndent">
    <w:name w:val="Normal Indent"/>
    <w:basedOn w:val="Normal"/>
    <w:semiHidden/>
    <w:rsid w:val="0047417B"/>
    <w:pPr>
      <w:ind w:left="720"/>
    </w:pPr>
  </w:style>
  <w:style w:type="paragraph" w:styleId="NoteHeading">
    <w:name w:val="Note Heading"/>
    <w:basedOn w:val="Normal"/>
    <w:next w:val="Normal"/>
    <w:semiHidden/>
    <w:rsid w:val="0047417B"/>
  </w:style>
  <w:style w:type="character" w:styleId="PageNumber">
    <w:name w:val="page number"/>
    <w:basedOn w:val="DefaultParagraphFont"/>
    <w:semiHidden/>
    <w:rsid w:val="0047417B"/>
  </w:style>
  <w:style w:type="paragraph" w:styleId="PlainText">
    <w:name w:val="Plain Text"/>
    <w:basedOn w:val="Normal"/>
    <w:semiHidden/>
    <w:rsid w:val="0047417B"/>
    <w:rPr>
      <w:rFonts w:ascii="Courier New" w:hAnsi="Courier New" w:cs="Courier New"/>
      <w:sz w:val="20"/>
    </w:rPr>
  </w:style>
  <w:style w:type="paragraph" w:styleId="Salutation">
    <w:name w:val="Salutation"/>
    <w:basedOn w:val="Normal"/>
    <w:next w:val="Normal"/>
    <w:semiHidden/>
    <w:rsid w:val="0047417B"/>
  </w:style>
  <w:style w:type="paragraph" w:styleId="Signature">
    <w:name w:val="Signature"/>
    <w:basedOn w:val="Normal"/>
    <w:semiHidden/>
    <w:rsid w:val="0047417B"/>
    <w:pPr>
      <w:ind w:left="4252"/>
    </w:pPr>
  </w:style>
  <w:style w:type="character" w:styleId="Strong">
    <w:name w:val="Strong"/>
    <w:qFormat/>
    <w:rsid w:val="0047417B"/>
    <w:rPr>
      <w:b/>
      <w:bCs/>
    </w:rPr>
  </w:style>
  <w:style w:type="paragraph" w:styleId="Subtitle">
    <w:name w:val="Subtitle"/>
    <w:basedOn w:val="Normal"/>
    <w:qFormat/>
    <w:rsid w:val="0047417B"/>
    <w:pPr>
      <w:spacing w:after="60"/>
      <w:jc w:val="center"/>
      <w:outlineLvl w:val="1"/>
    </w:pPr>
    <w:rPr>
      <w:rFonts w:ascii="Arial" w:hAnsi="Arial" w:cs="Arial"/>
      <w:szCs w:val="24"/>
    </w:rPr>
  </w:style>
  <w:style w:type="table" w:styleId="Table3Deffects1">
    <w:name w:val="Table 3D effects 1"/>
    <w:basedOn w:val="TableNormal"/>
    <w:semiHidden/>
    <w:rsid w:val="0047417B"/>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7417B"/>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7417B"/>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417B"/>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417B"/>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417B"/>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417B"/>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417B"/>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417B"/>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417B"/>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417B"/>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417B"/>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417B"/>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417B"/>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417B"/>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417B"/>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7417B"/>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7417B"/>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7417B"/>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7417B"/>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7417B"/>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417B"/>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417B"/>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417B"/>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417B"/>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417B"/>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417B"/>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7417B"/>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7417B"/>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417B"/>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417B"/>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417B"/>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417B"/>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417B"/>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417B"/>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417B"/>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47417B"/>
    <w:pPr>
      <w:spacing w:before="240" w:after="60"/>
      <w:jc w:val="center"/>
      <w:outlineLvl w:val="0"/>
    </w:pPr>
    <w:rPr>
      <w:rFonts w:ascii="Arial" w:hAnsi="Arial" w:cs="Arial"/>
      <w:b/>
      <w:bCs/>
      <w:kern w:val="28"/>
      <w:sz w:val="32"/>
      <w:szCs w:val="32"/>
    </w:rPr>
  </w:style>
  <w:style w:type="paragraph" w:customStyle="1" w:styleId="bTOC1">
    <w:name w:val="bTOC 1"/>
    <w:basedOn w:val="TOC1"/>
    <w:semiHidden/>
    <w:rsid w:val="00936D50"/>
  </w:style>
  <w:style w:type="paragraph" w:customStyle="1" w:styleId="bTOC2">
    <w:name w:val="bTOC 2"/>
    <w:basedOn w:val="TOC2"/>
    <w:semiHidden/>
    <w:rsid w:val="00936D50"/>
  </w:style>
  <w:style w:type="paragraph" w:customStyle="1" w:styleId="bTOC3">
    <w:name w:val="bTOC 3"/>
    <w:basedOn w:val="TOC3"/>
    <w:semiHidden/>
    <w:rsid w:val="00936D50"/>
  </w:style>
  <w:style w:type="paragraph" w:customStyle="1" w:styleId="bTOC4">
    <w:name w:val="bTOC 4"/>
    <w:basedOn w:val="TOC4"/>
    <w:semiHidden/>
    <w:rsid w:val="00936D50"/>
  </w:style>
  <w:style w:type="paragraph" w:customStyle="1" w:styleId="loose">
    <w:name w:val="loose"/>
    <w:basedOn w:val="Normal"/>
    <w:rsid w:val="00064223"/>
    <w:pPr>
      <w:spacing w:before="262" w:line="240" w:lineRule="auto"/>
      <w:jc w:val="left"/>
    </w:pPr>
    <w:rPr>
      <w:rFonts w:eastAsia="Times New Roman"/>
      <w:szCs w:val="24"/>
      <w:lang w:val="en-US"/>
    </w:rPr>
  </w:style>
  <w:style w:type="paragraph" w:customStyle="1" w:styleId="Counsel">
    <w:name w:val="Counsel"/>
    <w:basedOn w:val="Normal"/>
    <w:rsid w:val="00302183"/>
    <w:pPr>
      <w:widowControl w:val="0"/>
      <w:suppressAutoHyphens/>
      <w:spacing w:line="240" w:lineRule="auto"/>
    </w:pPr>
  </w:style>
  <w:style w:type="character" w:customStyle="1" w:styleId="CertifyChar">
    <w:name w:val="Certify Char"/>
    <w:link w:val="Certify"/>
    <w:rsid w:val="00302183"/>
    <w:rPr>
      <w:sz w:val="24"/>
      <w:szCs w:val="24"/>
      <w:lang w:val="en-AU" w:eastAsia="en-US" w:bidi="ar-SA"/>
    </w:rPr>
  </w:style>
  <w:style w:type="paragraph" w:customStyle="1" w:styleId="fcHeading1">
    <w:name w:val="fcHeading 1"/>
    <w:basedOn w:val="Normal"/>
    <w:next w:val="ParaNumbering"/>
    <w:semiHidden/>
    <w:rsid w:val="009844DE"/>
    <w:pPr>
      <w:keepNext/>
      <w:numPr>
        <w:numId w:val="26"/>
      </w:numPr>
      <w:spacing w:before="240" w:after="60" w:line="240" w:lineRule="auto"/>
    </w:pPr>
    <w:rPr>
      <w:b/>
      <w:caps/>
      <w:kern w:val="28"/>
    </w:rPr>
  </w:style>
  <w:style w:type="paragraph" w:customStyle="1" w:styleId="fcHeading2">
    <w:name w:val="fcHeading 2"/>
    <w:basedOn w:val="Normal"/>
    <w:next w:val="ParaNumbering"/>
    <w:semiHidden/>
    <w:rsid w:val="009844DE"/>
    <w:pPr>
      <w:keepNext/>
      <w:numPr>
        <w:ilvl w:val="1"/>
        <w:numId w:val="26"/>
      </w:numPr>
      <w:spacing w:before="240" w:after="60" w:line="240" w:lineRule="auto"/>
    </w:pPr>
    <w:rPr>
      <w:b/>
    </w:rPr>
  </w:style>
  <w:style w:type="paragraph" w:customStyle="1" w:styleId="fcHeading3">
    <w:name w:val="fcHeading 3"/>
    <w:basedOn w:val="Normal"/>
    <w:next w:val="ParaNumbering"/>
    <w:semiHidden/>
    <w:rsid w:val="009844DE"/>
    <w:pPr>
      <w:keepNext/>
      <w:numPr>
        <w:ilvl w:val="2"/>
        <w:numId w:val="26"/>
      </w:numPr>
      <w:spacing w:before="240" w:after="60" w:line="240" w:lineRule="auto"/>
    </w:pPr>
    <w:rPr>
      <w:b/>
      <w:i/>
    </w:rPr>
  </w:style>
  <w:style w:type="paragraph" w:customStyle="1" w:styleId="fcHeading4">
    <w:name w:val="fcHeading 4"/>
    <w:basedOn w:val="Normal"/>
    <w:next w:val="ParaNumbering"/>
    <w:semiHidden/>
    <w:rsid w:val="009844DE"/>
    <w:pPr>
      <w:keepNext/>
      <w:numPr>
        <w:ilvl w:val="3"/>
        <w:numId w:val="26"/>
      </w:numPr>
      <w:spacing w:before="240" w:after="60" w:line="240" w:lineRule="auto"/>
    </w:pPr>
    <w:rPr>
      <w:b/>
      <w:smallCaps/>
    </w:rPr>
  </w:style>
  <w:style w:type="paragraph" w:customStyle="1" w:styleId="fcHeading5">
    <w:name w:val="fcHeading 5"/>
    <w:basedOn w:val="Normal"/>
    <w:next w:val="ParaNumbering"/>
    <w:semiHidden/>
    <w:rsid w:val="009844DE"/>
    <w:pPr>
      <w:keepNext/>
      <w:numPr>
        <w:ilvl w:val="4"/>
        <w:numId w:val="26"/>
      </w:numPr>
      <w:spacing w:before="240" w:after="60" w:line="240" w:lineRule="auto"/>
    </w:pPr>
    <w:rPr>
      <w:b/>
      <w:caps/>
    </w:rPr>
  </w:style>
  <w:style w:type="paragraph" w:customStyle="1" w:styleId="FTOC5">
    <w:name w:val="FTOC 5"/>
    <w:basedOn w:val="Normal"/>
    <w:semiHidden/>
    <w:rsid w:val="00D0047C"/>
    <w:pPr>
      <w:tabs>
        <w:tab w:val="right" w:leader="dot" w:pos="9072"/>
      </w:tabs>
      <w:spacing w:before="240" w:after="60" w:line="240" w:lineRule="auto"/>
      <w:ind w:left="709" w:hanging="709"/>
    </w:pPr>
    <w:rPr>
      <w:b/>
      <w:caps/>
      <w:kern w:val="28"/>
    </w:rPr>
  </w:style>
  <w:style w:type="paragraph" w:customStyle="1" w:styleId="FTOC6">
    <w:name w:val="FTOC 6"/>
    <w:basedOn w:val="Normal"/>
    <w:semiHidden/>
    <w:rsid w:val="00D0047C"/>
    <w:pPr>
      <w:tabs>
        <w:tab w:val="right" w:leader="dot" w:pos="9072"/>
      </w:tabs>
      <w:spacing w:before="240" w:after="60" w:line="240" w:lineRule="auto"/>
      <w:ind w:left="1418" w:hanging="709"/>
    </w:pPr>
    <w:rPr>
      <w:b/>
    </w:rPr>
  </w:style>
  <w:style w:type="paragraph" w:customStyle="1" w:styleId="FTOC7">
    <w:name w:val="FTOC 7"/>
    <w:basedOn w:val="Normal"/>
    <w:semiHidden/>
    <w:rsid w:val="004A1E99"/>
    <w:pPr>
      <w:keepNext/>
      <w:tabs>
        <w:tab w:val="right" w:leader="dot" w:pos="9072"/>
      </w:tabs>
      <w:spacing w:before="240" w:after="60" w:line="240" w:lineRule="auto"/>
      <w:ind w:left="2127" w:hanging="709"/>
    </w:pPr>
    <w:rPr>
      <w:b/>
      <w:i/>
    </w:rPr>
  </w:style>
  <w:style w:type="paragraph" w:customStyle="1" w:styleId="FTOC8">
    <w:name w:val="FTOC 8"/>
    <w:basedOn w:val="Normal"/>
    <w:semiHidden/>
    <w:rsid w:val="009E6792"/>
    <w:pPr>
      <w:keepNext/>
      <w:tabs>
        <w:tab w:val="right" w:leader="dot" w:pos="9072"/>
      </w:tabs>
      <w:spacing w:before="240" w:after="60" w:line="240" w:lineRule="auto"/>
      <w:ind w:left="3260" w:hanging="1134"/>
    </w:pPr>
    <w:rPr>
      <w:b/>
      <w:smallCaps/>
    </w:rPr>
  </w:style>
  <w:style w:type="paragraph" w:customStyle="1" w:styleId="FTOC9">
    <w:name w:val="FTOC 9"/>
    <w:basedOn w:val="Normal"/>
    <w:semiHidden/>
    <w:rsid w:val="009E6792"/>
    <w:pPr>
      <w:keepNext/>
      <w:tabs>
        <w:tab w:val="right" w:leader="dot" w:pos="9072"/>
      </w:tabs>
      <w:spacing w:before="240" w:after="60" w:line="240" w:lineRule="auto"/>
      <w:ind w:left="3969" w:hanging="1134"/>
    </w:pPr>
    <w:rPr>
      <w:b/>
      <w:caps/>
    </w:rPr>
  </w:style>
  <w:style w:type="paragraph" w:customStyle="1" w:styleId="bTOC5">
    <w:name w:val="bTOC 5"/>
    <w:basedOn w:val="Normal"/>
    <w:rsid w:val="004A1E99"/>
    <w:pPr>
      <w:keepNext/>
      <w:tabs>
        <w:tab w:val="right" w:leader="dot" w:pos="9072"/>
      </w:tabs>
      <w:spacing w:before="240" w:after="60" w:line="240" w:lineRule="auto"/>
      <w:ind w:left="709" w:hanging="709"/>
    </w:pPr>
  </w:style>
  <w:style w:type="paragraph" w:customStyle="1" w:styleId="bTOC6">
    <w:name w:val="bTOC 6"/>
    <w:basedOn w:val="Normal"/>
    <w:rsid w:val="004A1E99"/>
    <w:pPr>
      <w:keepNext/>
      <w:tabs>
        <w:tab w:val="right" w:leader="dot" w:pos="9072"/>
      </w:tabs>
      <w:spacing w:before="240" w:after="60" w:line="240" w:lineRule="auto"/>
      <w:ind w:left="1418" w:hanging="709"/>
    </w:pPr>
  </w:style>
  <w:style w:type="paragraph" w:customStyle="1" w:styleId="bTOC7">
    <w:name w:val="bTOC 7"/>
    <w:basedOn w:val="Normal"/>
    <w:rsid w:val="004A1E99"/>
    <w:pPr>
      <w:keepNext/>
      <w:tabs>
        <w:tab w:val="right" w:leader="dot" w:pos="9072"/>
      </w:tabs>
      <w:spacing w:before="240" w:after="60" w:line="240" w:lineRule="auto"/>
      <w:ind w:left="2127" w:hanging="709"/>
    </w:pPr>
  </w:style>
  <w:style w:type="paragraph" w:customStyle="1" w:styleId="bTOC8">
    <w:name w:val="bTOC 8"/>
    <w:basedOn w:val="Normal"/>
    <w:rsid w:val="00B01A77"/>
    <w:pPr>
      <w:keepNext/>
      <w:tabs>
        <w:tab w:val="right" w:leader="dot" w:pos="9072"/>
      </w:tabs>
      <w:spacing w:before="240" w:after="60" w:line="240" w:lineRule="auto"/>
      <w:ind w:left="3260" w:hanging="1134"/>
    </w:pPr>
  </w:style>
  <w:style w:type="paragraph" w:customStyle="1" w:styleId="bTOC9">
    <w:name w:val="bTOC 9"/>
    <w:basedOn w:val="Normal"/>
    <w:rsid w:val="00B01A77"/>
    <w:pPr>
      <w:keepNext/>
      <w:tabs>
        <w:tab w:val="right" w:leader="dot" w:pos="9072"/>
      </w:tabs>
      <w:spacing w:before="240" w:after="60" w:line="240" w:lineRule="auto"/>
      <w:ind w:left="3969" w:hanging="1134"/>
    </w:pPr>
  </w:style>
  <w:style w:type="character" w:customStyle="1" w:styleId="italic1">
    <w:name w:val="italic1"/>
    <w:rsid w:val="00064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5050">
      <w:bodyDiv w:val="1"/>
      <w:marLeft w:val="0"/>
      <w:marRight w:val="0"/>
      <w:marTop w:val="0"/>
      <w:marBottom w:val="0"/>
      <w:divBdr>
        <w:top w:val="none" w:sz="0" w:space="0" w:color="auto"/>
        <w:left w:val="none" w:sz="0" w:space="0" w:color="auto"/>
        <w:bottom w:val="none" w:sz="0" w:space="0" w:color="auto"/>
        <w:right w:val="none" w:sz="0" w:space="0" w:color="auto"/>
      </w:divBdr>
      <w:divsChild>
        <w:div w:id="597493849">
          <w:marLeft w:val="0"/>
          <w:marRight w:val="0"/>
          <w:marTop w:val="0"/>
          <w:marBottom w:val="0"/>
          <w:divBdr>
            <w:top w:val="none" w:sz="0" w:space="0" w:color="auto"/>
            <w:left w:val="none" w:sz="0" w:space="0" w:color="auto"/>
            <w:bottom w:val="none" w:sz="0" w:space="0" w:color="auto"/>
            <w:right w:val="none" w:sz="0" w:space="0" w:color="auto"/>
          </w:divBdr>
          <w:divsChild>
            <w:div w:id="1594047787">
              <w:marLeft w:val="0"/>
              <w:marRight w:val="0"/>
              <w:marTop w:val="0"/>
              <w:marBottom w:val="0"/>
              <w:divBdr>
                <w:top w:val="none" w:sz="0" w:space="0" w:color="auto"/>
                <w:left w:val="single" w:sz="4" w:space="0" w:color="E4E4E4"/>
                <w:bottom w:val="none" w:sz="0" w:space="0" w:color="auto"/>
                <w:right w:val="none" w:sz="0" w:space="0" w:color="auto"/>
              </w:divBdr>
              <w:divsChild>
                <w:div w:id="2125297791">
                  <w:marLeft w:val="0"/>
                  <w:marRight w:val="0"/>
                  <w:marTop w:val="0"/>
                  <w:marBottom w:val="0"/>
                  <w:divBdr>
                    <w:top w:val="none" w:sz="0" w:space="0" w:color="auto"/>
                    <w:left w:val="none" w:sz="0" w:space="0" w:color="auto"/>
                    <w:bottom w:val="none" w:sz="0" w:space="0" w:color="auto"/>
                    <w:right w:val="none" w:sz="0" w:space="0" w:color="auto"/>
                  </w:divBdr>
                  <w:divsChild>
                    <w:div w:id="1914048987">
                      <w:marLeft w:val="0"/>
                      <w:marRight w:val="0"/>
                      <w:marTop w:val="0"/>
                      <w:marBottom w:val="0"/>
                      <w:divBdr>
                        <w:top w:val="none" w:sz="0" w:space="0" w:color="auto"/>
                        <w:left w:val="none" w:sz="0" w:space="0" w:color="auto"/>
                        <w:bottom w:val="none" w:sz="0" w:space="0" w:color="auto"/>
                        <w:right w:val="none" w:sz="0" w:space="0" w:color="auto"/>
                      </w:divBdr>
                      <w:divsChild>
                        <w:div w:id="1178351339">
                          <w:marLeft w:val="0"/>
                          <w:marRight w:val="0"/>
                          <w:marTop w:val="0"/>
                          <w:marBottom w:val="88"/>
                          <w:divBdr>
                            <w:top w:val="none" w:sz="0" w:space="0" w:color="auto"/>
                            <w:left w:val="none" w:sz="0" w:space="0" w:color="auto"/>
                            <w:bottom w:val="none" w:sz="0" w:space="0" w:color="auto"/>
                            <w:right w:val="none" w:sz="0" w:space="0" w:color="auto"/>
                          </w:divBdr>
                          <w:divsChild>
                            <w:div w:id="856767951">
                              <w:marLeft w:val="0"/>
                              <w:marRight w:val="0"/>
                              <w:marTop w:val="88"/>
                              <w:marBottom w:val="0"/>
                              <w:divBdr>
                                <w:top w:val="none" w:sz="0" w:space="0" w:color="auto"/>
                                <w:left w:val="none" w:sz="0" w:space="0" w:color="auto"/>
                                <w:bottom w:val="none" w:sz="0" w:space="0" w:color="auto"/>
                                <w:right w:val="none" w:sz="0" w:space="0" w:color="auto"/>
                              </w:divBdr>
                              <w:divsChild>
                                <w:div w:id="1092165425">
                                  <w:marLeft w:val="0"/>
                                  <w:marRight w:val="0"/>
                                  <w:marTop w:val="0"/>
                                  <w:marBottom w:val="88"/>
                                  <w:divBdr>
                                    <w:top w:val="none" w:sz="0" w:space="0" w:color="auto"/>
                                    <w:left w:val="none" w:sz="0" w:space="0" w:color="auto"/>
                                    <w:bottom w:val="none" w:sz="0" w:space="0" w:color="auto"/>
                                    <w:right w:val="none" w:sz="0" w:space="0" w:color="auto"/>
                                  </w:divBdr>
                                  <w:divsChild>
                                    <w:div w:id="1512644348">
                                      <w:marLeft w:val="0"/>
                                      <w:marRight w:val="0"/>
                                      <w:marTop w:val="88"/>
                                      <w:marBottom w:val="0"/>
                                      <w:divBdr>
                                        <w:top w:val="none" w:sz="0" w:space="0" w:color="auto"/>
                                        <w:left w:val="none" w:sz="0" w:space="0" w:color="auto"/>
                                        <w:bottom w:val="none" w:sz="0" w:space="0" w:color="auto"/>
                                        <w:right w:val="none" w:sz="0" w:space="0" w:color="auto"/>
                                      </w:divBdr>
                                      <w:divsChild>
                                        <w:div w:id="668599509">
                                          <w:marLeft w:val="0"/>
                                          <w:marRight w:val="0"/>
                                          <w:marTop w:val="0"/>
                                          <w:marBottom w:val="88"/>
                                          <w:divBdr>
                                            <w:top w:val="none" w:sz="0" w:space="0" w:color="auto"/>
                                            <w:left w:val="none" w:sz="0" w:space="0" w:color="auto"/>
                                            <w:bottom w:val="none" w:sz="0" w:space="0" w:color="auto"/>
                                            <w:right w:val="none" w:sz="0" w:space="0" w:color="auto"/>
                                          </w:divBdr>
                                          <w:divsChild>
                                            <w:div w:id="959144961">
                                              <w:marLeft w:val="0"/>
                                              <w:marRight w:val="0"/>
                                              <w:marTop w:val="88"/>
                                              <w:marBottom w:val="0"/>
                                              <w:divBdr>
                                                <w:top w:val="none" w:sz="0" w:space="0" w:color="auto"/>
                                                <w:left w:val="none" w:sz="0" w:space="0" w:color="auto"/>
                                                <w:bottom w:val="none" w:sz="0" w:space="0" w:color="auto"/>
                                                <w:right w:val="none" w:sz="0" w:space="0" w:color="auto"/>
                                              </w:divBdr>
                                              <w:divsChild>
                                                <w:div w:id="563640430">
                                                  <w:marLeft w:val="0"/>
                                                  <w:marRight w:val="0"/>
                                                  <w:marTop w:val="0"/>
                                                  <w:marBottom w:val="88"/>
                                                  <w:divBdr>
                                                    <w:top w:val="none" w:sz="0" w:space="0" w:color="auto"/>
                                                    <w:left w:val="none" w:sz="0" w:space="0" w:color="auto"/>
                                                    <w:bottom w:val="none" w:sz="0" w:space="0" w:color="auto"/>
                                                    <w:right w:val="none" w:sz="0" w:space="0" w:color="auto"/>
                                                  </w:divBdr>
                                                  <w:divsChild>
                                                    <w:div w:id="732974300">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etup\13v1%20JUDG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13v1 JUDGMENT TEMPLATE.DOT</Template>
  <TotalTime>0</TotalTime>
  <Pages>45</Pages>
  <Words>20950</Words>
  <Characters>106221</Characters>
  <Application>Microsoft Office Word</Application>
  <DocSecurity>0</DocSecurity>
  <Lines>1770</Lines>
  <Paragraphs>443</Paragraphs>
  <ScaleCrop>false</ScaleCrop>
  <HeadingPairs>
    <vt:vector size="2" baseType="variant">
      <vt:variant>
        <vt:lpstr>Title</vt:lpstr>
      </vt:variant>
      <vt:variant>
        <vt:i4>1</vt:i4>
      </vt:variant>
    </vt:vector>
  </HeadingPairs>
  <TitlesOfParts>
    <vt:vector size="1" baseType="lpstr">
      <vt:lpstr>Judgment Template</vt:lpstr>
    </vt:vector>
  </TitlesOfParts>
  <Company>Federal Court of Australia</Company>
  <LinksUpToDate>false</LinksUpToDate>
  <CharactersWithSpaces>126728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Judgment Template</dc:title>
  <dc:creator>ivandi3s</dc:creator>
  <cp:lastModifiedBy>Anna Masters</cp:lastModifiedBy>
  <cp:revision>2</cp:revision>
  <cp:lastPrinted>2013-08-22T23:20:00Z</cp:lastPrinted>
  <dcterms:created xsi:type="dcterms:W3CDTF">2016-10-31T03:22:00Z</dcterms:created>
  <dcterms:modified xsi:type="dcterms:W3CDTF">2016-10-31T03:22:00Z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linkTarget="Applicant">
    <vt:lpwstr>RPL CENTRAL PTY LTD (ACN 136 181 989).Applicant.</vt:lpwstr>
  </property>
  <property fmtid="{D5CDD505-2E9C-101B-9397-08002B2CF9AE}" pid="3" name="Judge" linkTarget="Judge">
    <vt:lpwstr>MIDDLETON J</vt:lpwstr>
  </property>
  <property fmtid="{D5CDD505-2E9C-101B-9397-08002B2CF9AE}" pid="4" name="Judgment_dated" linkTarget="Judgment_dated">
    <vt:lpwstr>30 AUGUST 2013</vt:lpwstr>
  </property>
  <property fmtid="{D5CDD505-2E9C-101B-9397-08002B2CF9AE}" pid="5" name="Distribution" linkTarget="Distribution">
    <vt:lpwstr>GENERAL DISTRIBUTION</vt:lpwstr>
  </property>
  <property fmtid="{D5CDD505-2E9C-101B-9397-08002B2CF9AE}" pid="6" name="MNC" linkTarget="MNC">
    <vt:lpwstr>RPL Central Pty Ltd v Commissioner of Patents [2013] FCA 871</vt:lpwstr>
  </property>
  <property fmtid="{D5CDD505-2E9C-101B-9397-08002B2CF9AE}" pid="7" name="File_Number" linkTarget="Num">
    <vt:lpwstr>VID 817 of 2011</vt:lpwstr>
  </property>
  <property fmtid="{D5CDD505-2E9C-101B-9397-08002B2CF9AE}" pid="8" name="Pages">
    <vt:lpwstr>3</vt:lpwstr>
  </property>
  <property fmtid="{D5CDD505-2E9C-101B-9397-08002B2CF9AE}" pid="9" name="Parties" linkTarget="MNC">
    <vt:lpwstr>RPL Central Pty Ltd v Commissioner of Patents [2013] FCA 871</vt:lpwstr>
  </property>
  <property fmtid="{D5CDD505-2E9C-101B-9397-08002B2CF9AE}" pid="10" name="Place" linkTarget="Place">
    <vt:lpwstr>MELBOURNE</vt:lpwstr>
  </property>
  <property fmtid="{D5CDD505-2E9C-101B-9397-08002B2CF9AE}" pid="11" name="Respondent" linkTarget="Respondent">
    <vt:lpwstr>COMMISSIONER OF PATENTS.Respondent.</vt:lpwstr>
  </property>
  <property fmtid="{D5CDD505-2E9C-101B-9397-08002B2CF9AE}" pid="12" name="State" linkTarget="State">
    <vt:lpwstr>VICTORIA</vt:lpwstr>
  </property>
  <property fmtid="{D5CDD505-2E9C-101B-9397-08002B2CF9AE}" pid="13" name="Year">
    <vt:lpwstr>2006</vt:lpwstr>
  </property>
  <property fmtid="{D5CDD505-2E9C-101B-9397-08002B2CF9AE}" pid="14" name="Judgment Template">
    <vt:lpwstr>True</vt:lpwstr>
  </property>
  <property fmtid="{D5CDD505-2E9C-101B-9397-08002B2CF9AE}" pid="15" name="Legislation">
    <vt:lpwstr>Legislation</vt:lpwstr>
  </property>
  <property fmtid="{D5CDD505-2E9C-101B-9397-08002B2CF9AE}" pid="16" name="Catchwords">
    <vt:lpwstr>Catchwords</vt:lpwstr>
  </property>
  <property fmtid="{D5CDD505-2E9C-101B-9397-08002B2CF9AE}" pid="17" name="Words_Phrases">
    <vt:lpwstr>WordsPhrases</vt:lpwstr>
  </property>
  <property fmtid="{D5CDD505-2E9C-101B-9397-08002B2CF9AE}" pid="18" name="Cases_Cited">
    <vt:lpwstr>CasesCited</vt:lpwstr>
  </property>
</Properties>
</file>