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FAE77" w14:textId="77777777" w:rsidR="00395B24" w:rsidRDefault="00C403C1" w:rsidP="00A22932">
      <w:pPr>
        <w:pStyle w:val="CourtTitle"/>
      </w:pPr>
      <w:r>
        <w:fldChar w:fldCharType="begin"/>
      </w:r>
      <w:r>
        <w:instrText xml:space="preserve"> DOCPROPERTY  Court  \* MERGEFORMAT </w:instrText>
      </w:r>
      <w:r>
        <w:fldChar w:fldCharType="separate"/>
      </w:r>
      <w:r w:rsidR="009E6668">
        <w:t>Federal Court of Australia</w:t>
      </w:r>
      <w:r>
        <w:fldChar w:fldCharType="end"/>
      </w:r>
    </w:p>
    <w:p w14:paraId="2304D809" w14:textId="77777777" w:rsidR="00395B24" w:rsidRDefault="00395B24">
      <w:pPr>
        <w:pStyle w:val="NormalHeadings"/>
        <w:jc w:val="center"/>
        <w:rPr>
          <w:sz w:val="32"/>
        </w:rPr>
      </w:pPr>
    </w:p>
    <w:bookmarkStart w:id="0" w:name="MNC"/>
    <w:p w14:paraId="0BE08BB8" w14:textId="53C07CC6" w:rsidR="00374CC4" w:rsidRDefault="007938DB" w:rsidP="001A2B40">
      <w:pPr>
        <w:pStyle w:val="MNC"/>
      </w:pPr>
      <w:sdt>
        <w:sdtPr>
          <w:alias w:val="MNC"/>
          <w:tag w:val="MNC"/>
          <w:id w:val="343289786"/>
          <w:lock w:val="sdtLocked"/>
          <w:placeholder>
            <w:docPart w:val="2343076E67154D4A9127AF7071CE7D88"/>
          </w:placeholder>
          <w:dataBinding w:prefixMappings="xmlns:ns0='http://schemas.globalmacros.com/FCA'" w:xpath="/ns0:root[1]/ns0:Name[1]" w:storeItemID="{687E7CCB-4AA5-44E7-B148-17BA2B6F57C0}"/>
          <w:text w:multiLine="1"/>
        </w:sdtPr>
        <w:sdtEndPr/>
        <w:sdtContent>
          <w:r w:rsidR="00D96BDB" w:rsidRPr="00276CBB">
            <w:t>Construction, Forestry, Maritime, Mining &amp; Energy Union</w:t>
          </w:r>
          <w:r w:rsidR="00D96BDB">
            <w:t xml:space="preserve"> v Boggabri Coal Operations Pty Ltd [2021] FCA </w:t>
          </w:r>
          <w:r w:rsidR="00EE78C7">
            <w:t>719</w:t>
          </w:r>
          <w:r w:rsidR="00D96BDB" w:rsidRPr="00276CBB">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54"/>
        <w:gridCol w:w="35"/>
      </w:tblGrid>
      <w:tr w:rsidR="00395B24" w14:paraId="096B2E31" w14:textId="77777777" w:rsidTr="00CB6B69">
        <w:tc>
          <w:tcPr>
            <w:tcW w:w="3084" w:type="dxa"/>
            <w:shd w:val="clear" w:color="auto" w:fill="auto"/>
          </w:tcPr>
          <w:p w14:paraId="405CB908" w14:textId="77777777" w:rsidR="00395B24" w:rsidRDefault="002C7385" w:rsidP="00663878">
            <w:pPr>
              <w:pStyle w:val="Normal1linespace"/>
              <w:widowControl w:val="0"/>
              <w:jc w:val="left"/>
            </w:pPr>
            <w:r>
              <w:t>File number(s):</w:t>
            </w:r>
          </w:p>
        </w:tc>
        <w:tc>
          <w:tcPr>
            <w:tcW w:w="5989" w:type="dxa"/>
            <w:gridSpan w:val="2"/>
            <w:shd w:val="clear" w:color="auto" w:fill="auto"/>
          </w:tcPr>
          <w:p w14:paraId="403341AC" w14:textId="77777777" w:rsidR="00395B24" w:rsidRPr="001B1053" w:rsidRDefault="00CB6B69" w:rsidP="00663878">
            <w:pPr>
              <w:pStyle w:val="Normal1linespace"/>
              <w:widowControl w:val="0"/>
              <w:jc w:val="left"/>
            </w:pPr>
            <w:r w:rsidRPr="00CB6B69">
              <w:t>NSD</w:t>
            </w:r>
            <w:r>
              <w:t xml:space="preserve"> 751 of </w:t>
            </w:r>
            <w:r w:rsidRPr="00CB6B69">
              <w:t>2020</w:t>
            </w:r>
          </w:p>
        </w:tc>
      </w:tr>
      <w:tr w:rsidR="00395B24" w14:paraId="225FFD57" w14:textId="77777777" w:rsidTr="00CB6B69">
        <w:tc>
          <w:tcPr>
            <w:tcW w:w="3084" w:type="dxa"/>
            <w:shd w:val="clear" w:color="auto" w:fill="auto"/>
          </w:tcPr>
          <w:p w14:paraId="6FD7C4F2" w14:textId="77777777" w:rsidR="00395B24" w:rsidRDefault="00395B24" w:rsidP="00663878">
            <w:pPr>
              <w:pStyle w:val="Normal1linespace"/>
              <w:widowControl w:val="0"/>
              <w:jc w:val="left"/>
            </w:pPr>
          </w:p>
        </w:tc>
        <w:tc>
          <w:tcPr>
            <w:tcW w:w="5989" w:type="dxa"/>
            <w:gridSpan w:val="2"/>
            <w:shd w:val="clear" w:color="auto" w:fill="auto"/>
          </w:tcPr>
          <w:p w14:paraId="43AB6C21" w14:textId="77777777" w:rsidR="00395B24" w:rsidRDefault="00395B24" w:rsidP="00663878">
            <w:pPr>
              <w:pStyle w:val="Normal1linespace"/>
              <w:widowControl w:val="0"/>
              <w:jc w:val="left"/>
            </w:pPr>
          </w:p>
        </w:tc>
      </w:tr>
      <w:tr w:rsidR="00395B24" w14:paraId="1E2B265B" w14:textId="77777777" w:rsidTr="00CB6B69">
        <w:tc>
          <w:tcPr>
            <w:tcW w:w="3084" w:type="dxa"/>
            <w:shd w:val="clear" w:color="auto" w:fill="auto"/>
          </w:tcPr>
          <w:p w14:paraId="5786B3CB" w14:textId="77777777" w:rsidR="00395B24" w:rsidRDefault="002C7385" w:rsidP="00663878">
            <w:pPr>
              <w:pStyle w:val="Normal1linespace"/>
              <w:widowControl w:val="0"/>
              <w:jc w:val="left"/>
            </w:pPr>
            <w:r>
              <w:t>Judg</w:t>
            </w:r>
            <w:r w:rsidR="005724F6">
              <w:t>ment of</w:t>
            </w:r>
            <w:r>
              <w:t>:</w:t>
            </w:r>
          </w:p>
        </w:tc>
        <w:tc>
          <w:tcPr>
            <w:tcW w:w="5989" w:type="dxa"/>
            <w:gridSpan w:val="2"/>
            <w:shd w:val="clear" w:color="auto" w:fill="auto"/>
          </w:tcPr>
          <w:p w14:paraId="65AC4DA2" w14:textId="77777777" w:rsidR="00395B24" w:rsidRDefault="00CB6B69" w:rsidP="00663878">
            <w:pPr>
              <w:pStyle w:val="Normal1linespace"/>
              <w:widowControl w:val="0"/>
              <w:jc w:val="left"/>
              <w:rPr>
                <w:b/>
              </w:rPr>
            </w:pPr>
            <w:r>
              <w:rPr>
                <w:b/>
              </w:rPr>
              <w:t>JAGOT J</w:t>
            </w:r>
          </w:p>
        </w:tc>
      </w:tr>
      <w:tr w:rsidR="00395B24" w14:paraId="3F5AF67A" w14:textId="77777777" w:rsidTr="00CB6B69">
        <w:tc>
          <w:tcPr>
            <w:tcW w:w="3084" w:type="dxa"/>
            <w:shd w:val="clear" w:color="auto" w:fill="auto"/>
          </w:tcPr>
          <w:p w14:paraId="786B371D" w14:textId="77777777" w:rsidR="00395B24" w:rsidRDefault="00395B24" w:rsidP="00663878">
            <w:pPr>
              <w:pStyle w:val="Normal1linespace"/>
              <w:widowControl w:val="0"/>
              <w:jc w:val="left"/>
            </w:pPr>
          </w:p>
        </w:tc>
        <w:tc>
          <w:tcPr>
            <w:tcW w:w="5989" w:type="dxa"/>
            <w:gridSpan w:val="2"/>
            <w:shd w:val="clear" w:color="auto" w:fill="auto"/>
          </w:tcPr>
          <w:p w14:paraId="442E4D5E" w14:textId="77777777" w:rsidR="00395B24" w:rsidRDefault="00395B24" w:rsidP="00663878">
            <w:pPr>
              <w:pStyle w:val="Normal1linespace"/>
              <w:widowControl w:val="0"/>
              <w:jc w:val="left"/>
            </w:pPr>
          </w:p>
        </w:tc>
      </w:tr>
      <w:tr w:rsidR="00395B24" w14:paraId="4F28D50A" w14:textId="77777777" w:rsidTr="00CB6B69">
        <w:tc>
          <w:tcPr>
            <w:tcW w:w="3084" w:type="dxa"/>
            <w:shd w:val="clear" w:color="auto" w:fill="auto"/>
          </w:tcPr>
          <w:p w14:paraId="1FAE6C4E" w14:textId="77777777" w:rsidR="00395B24" w:rsidRDefault="002C7385" w:rsidP="00663878">
            <w:pPr>
              <w:pStyle w:val="Normal1linespace"/>
              <w:widowControl w:val="0"/>
              <w:jc w:val="left"/>
            </w:pPr>
            <w:r>
              <w:t>Date of judgment:</w:t>
            </w:r>
          </w:p>
        </w:tc>
        <w:tc>
          <w:tcPr>
            <w:tcW w:w="5989" w:type="dxa"/>
            <w:gridSpan w:val="2"/>
            <w:shd w:val="clear" w:color="auto" w:fill="auto"/>
          </w:tcPr>
          <w:p w14:paraId="017DB8D8" w14:textId="0596C338" w:rsidR="00395B24" w:rsidRDefault="0034683B" w:rsidP="00663878">
            <w:pPr>
              <w:pStyle w:val="Normal1linespace"/>
              <w:widowControl w:val="0"/>
              <w:jc w:val="left"/>
            </w:pPr>
            <w:bookmarkStart w:id="1" w:name="JudgmentDate"/>
            <w:r>
              <w:t>29 June 2021</w:t>
            </w:r>
            <w:r w:rsidR="002C7385">
              <w:t xml:space="preserve"> </w:t>
            </w:r>
            <w:bookmarkEnd w:id="1"/>
          </w:p>
        </w:tc>
      </w:tr>
      <w:tr w:rsidR="00395B24" w14:paraId="6CC1410A" w14:textId="77777777" w:rsidTr="00CB6B69">
        <w:tc>
          <w:tcPr>
            <w:tcW w:w="3084" w:type="dxa"/>
            <w:shd w:val="clear" w:color="auto" w:fill="auto"/>
          </w:tcPr>
          <w:p w14:paraId="6C81BEAB" w14:textId="77777777" w:rsidR="00395B24" w:rsidRDefault="00395B24" w:rsidP="00663878">
            <w:pPr>
              <w:pStyle w:val="Normal1linespace"/>
              <w:widowControl w:val="0"/>
              <w:jc w:val="left"/>
            </w:pPr>
          </w:p>
        </w:tc>
        <w:tc>
          <w:tcPr>
            <w:tcW w:w="5989" w:type="dxa"/>
            <w:gridSpan w:val="2"/>
            <w:shd w:val="clear" w:color="auto" w:fill="auto"/>
          </w:tcPr>
          <w:p w14:paraId="487C89DA" w14:textId="77777777" w:rsidR="00395B24" w:rsidRDefault="00395B24" w:rsidP="00663878">
            <w:pPr>
              <w:pStyle w:val="Normal1linespace"/>
              <w:widowControl w:val="0"/>
              <w:jc w:val="left"/>
            </w:pPr>
          </w:p>
        </w:tc>
      </w:tr>
      <w:tr w:rsidR="00395B24" w14:paraId="5D75DD2F" w14:textId="77777777" w:rsidTr="00CB6B69">
        <w:tc>
          <w:tcPr>
            <w:tcW w:w="3084" w:type="dxa"/>
            <w:shd w:val="clear" w:color="auto" w:fill="auto"/>
          </w:tcPr>
          <w:p w14:paraId="4CE91C76" w14:textId="77777777" w:rsidR="00395B24" w:rsidRDefault="002C7385" w:rsidP="00663878">
            <w:pPr>
              <w:pStyle w:val="Normal1linespace"/>
              <w:widowControl w:val="0"/>
              <w:jc w:val="left"/>
            </w:pPr>
            <w:r>
              <w:t>Catchwords:</w:t>
            </w:r>
          </w:p>
        </w:tc>
        <w:tc>
          <w:tcPr>
            <w:tcW w:w="5989" w:type="dxa"/>
            <w:gridSpan w:val="2"/>
            <w:shd w:val="clear" w:color="auto" w:fill="auto"/>
          </w:tcPr>
          <w:p w14:paraId="25F5B036" w14:textId="545603D6" w:rsidR="00395B24" w:rsidRDefault="008B7F64" w:rsidP="001E0E19">
            <w:pPr>
              <w:pStyle w:val="Normal1linespace"/>
              <w:widowControl w:val="0"/>
              <w:jc w:val="left"/>
            </w:pPr>
            <w:bookmarkStart w:id="2" w:name="Catchwords"/>
            <w:r>
              <w:rPr>
                <w:b/>
              </w:rPr>
              <w:t>INDUSTRIAL LAW</w:t>
            </w:r>
            <w:r>
              <w:t xml:space="preserve"> – </w:t>
            </w:r>
            <w:r w:rsidR="00C0197F">
              <w:t xml:space="preserve">taking </w:t>
            </w:r>
            <w:r w:rsidR="00F93CB5">
              <w:t>industrial action</w:t>
            </w:r>
            <w:r w:rsidR="006C1FCD">
              <w:t xml:space="preserve"> </w:t>
            </w:r>
            <w:r w:rsidR="006606B8">
              <w:t xml:space="preserve">– </w:t>
            </w:r>
            <w:r w:rsidR="00C0197F">
              <w:t xml:space="preserve">where </w:t>
            </w:r>
            <w:r w:rsidR="00D4304A">
              <w:t xml:space="preserve">respondent deducted pay for hours in which </w:t>
            </w:r>
            <w:r w:rsidR="00C0197F">
              <w:t xml:space="preserve">second applicant </w:t>
            </w:r>
            <w:r w:rsidR="00D4304A">
              <w:t xml:space="preserve">took </w:t>
            </w:r>
            <w:r w:rsidR="006B1708">
              <w:t xml:space="preserve">steps to secure and make safe </w:t>
            </w:r>
            <w:r w:rsidR="006B1708" w:rsidRPr="006B1708">
              <w:t>machinery</w:t>
            </w:r>
            <w:r w:rsidR="006B1708">
              <w:t xml:space="preserve"> </w:t>
            </w:r>
            <w:r w:rsidR="00BB0BF4">
              <w:t>in preparation for</w:t>
            </w:r>
            <w:r w:rsidR="006B1708">
              <w:t xml:space="preserve"> </w:t>
            </w:r>
            <w:r w:rsidR="005A49F6">
              <w:t>taking</w:t>
            </w:r>
            <w:r w:rsidR="006B1708">
              <w:t xml:space="preserve"> protected industrial action </w:t>
            </w:r>
            <w:r w:rsidR="00C0197F">
              <w:t>– whet</w:t>
            </w:r>
            <w:r w:rsidR="00FB13C0">
              <w:t xml:space="preserve">her such </w:t>
            </w:r>
            <w:r w:rsidR="006B1708">
              <w:t>steps,</w:t>
            </w:r>
            <w:r w:rsidR="00C0197F">
              <w:t xml:space="preserve"> </w:t>
            </w:r>
            <w:r w:rsidR="00FB13C0">
              <w:t>which occurred</w:t>
            </w:r>
            <w:r w:rsidR="00C0197F">
              <w:t xml:space="preserve"> before </w:t>
            </w:r>
            <w:r w:rsidR="00FB13C0">
              <w:t xml:space="preserve">the </w:t>
            </w:r>
            <w:r w:rsidR="000929E4">
              <w:t>commencement time</w:t>
            </w:r>
            <w:r w:rsidR="003C343B">
              <w:t xml:space="preserve"> of </w:t>
            </w:r>
            <w:r w:rsidR="000929E4">
              <w:t xml:space="preserve">the </w:t>
            </w:r>
            <w:r w:rsidR="00C0197F">
              <w:t>protected industrial action</w:t>
            </w:r>
            <w:r w:rsidR="00017A12">
              <w:t>,</w:t>
            </w:r>
            <w:r w:rsidR="001E0E19">
              <w:t xml:space="preserve"> </w:t>
            </w:r>
            <w:r w:rsidR="00FA6F63">
              <w:t xml:space="preserve">constituted </w:t>
            </w:r>
            <w:r w:rsidR="005A281A">
              <w:t>industrial action</w:t>
            </w:r>
            <w:r w:rsidR="006C1FCD">
              <w:t xml:space="preserve"> </w:t>
            </w:r>
            <w:r w:rsidR="00F93CB5">
              <w:t xml:space="preserve">– operation of </w:t>
            </w:r>
            <w:proofErr w:type="spellStart"/>
            <w:r w:rsidR="00F93CB5">
              <w:t>ss</w:t>
            </w:r>
            <w:proofErr w:type="spellEnd"/>
            <w:r w:rsidR="00F93CB5">
              <w:t xml:space="preserve"> 474(1), 19(1)(a) and 19(2)(a) of the </w:t>
            </w:r>
            <w:r w:rsidR="00F93CB5" w:rsidRPr="00E2527E">
              <w:rPr>
                <w:i/>
              </w:rPr>
              <w:t>Fair Work Act 2009</w:t>
            </w:r>
            <w:r w:rsidR="00F93CB5">
              <w:t xml:space="preserve"> (</w:t>
            </w:r>
            <w:proofErr w:type="spellStart"/>
            <w:r w:rsidR="00F93CB5">
              <w:t>Cth</w:t>
            </w:r>
            <w:proofErr w:type="spellEnd"/>
            <w:r w:rsidR="00F93CB5">
              <w:t xml:space="preserve">) </w:t>
            </w:r>
            <w:r>
              <w:t>–</w:t>
            </w:r>
            <w:r w:rsidR="00F93CB5">
              <w:t xml:space="preserve"> </w:t>
            </w:r>
            <w:r>
              <w:t>application dismissed</w:t>
            </w:r>
            <w:r w:rsidR="002C7385">
              <w:t xml:space="preserve"> </w:t>
            </w:r>
            <w:bookmarkEnd w:id="2"/>
          </w:p>
        </w:tc>
      </w:tr>
      <w:tr w:rsidR="00395B24" w14:paraId="550F2F54" w14:textId="77777777" w:rsidTr="00CB6B69">
        <w:tc>
          <w:tcPr>
            <w:tcW w:w="3084" w:type="dxa"/>
            <w:shd w:val="clear" w:color="auto" w:fill="auto"/>
          </w:tcPr>
          <w:p w14:paraId="0DB33E8D" w14:textId="77777777" w:rsidR="00395B24" w:rsidRDefault="00395B24" w:rsidP="00663878">
            <w:pPr>
              <w:pStyle w:val="Normal1linespace"/>
              <w:widowControl w:val="0"/>
              <w:jc w:val="left"/>
            </w:pPr>
          </w:p>
        </w:tc>
        <w:tc>
          <w:tcPr>
            <w:tcW w:w="5989" w:type="dxa"/>
            <w:gridSpan w:val="2"/>
            <w:shd w:val="clear" w:color="auto" w:fill="auto"/>
          </w:tcPr>
          <w:p w14:paraId="30735EF8" w14:textId="77777777" w:rsidR="00395B24" w:rsidRDefault="00395B24" w:rsidP="00663878">
            <w:pPr>
              <w:pStyle w:val="Normal1linespace"/>
              <w:widowControl w:val="0"/>
              <w:jc w:val="left"/>
            </w:pPr>
          </w:p>
        </w:tc>
      </w:tr>
      <w:tr w:rsidR="00395B24" w14:paraId="09AF53DF" w14:textId="77777777" w:rsidTr="00CB6B69">
        <w:tc>
          <w:tcPr>
            <w:tcW w:w="3084" w:type="dxa"/>
            <w:shd w:val="clear" w:color="auto" w:fill="auto"/>
          </w:tcPr>
          <w:p w14:paraId="42977E2F" w14:textId="77777777" w:rsidR="00395B24" w:rsidRDefault="002C7385" w:rsidP="00663878">
            <w:pPr>
              <w:pStyle w:val="Normal1linespace"/>
              <w:widowControl w:val="0"/>
              <w:jc w:val="left"/>
            </w:pPr>
            <w:r>
              <w:t>Legislation:</w:t>
            </w:r>
          </w:p>
        </w:tc>
        <w:tc>
          <w:tcPr>
            <w:tcW w:w="5989" w:type="dxa"/>
            <w:gridSpan w:val="2"/>
            <w:shd w:val="clear" w:color="auto" w:fill="auto"/>
          </w:tcPr>
          <w:p w14:paraId="48D0B4A7" w14:textId="77777777" w:rsidR="00395B24" w:rsidRDefault="009C67AB" w:rsidP="00596346">
            <w:pPr>
              <w:pStyle w:val="CasesLegislationAppealFrom"/>
              <w:spacing w:after="60"/>
            </w:pPr>
            <w:bookmarkStart w:id="3" w:name="Legislation"/>
            <w:r w:rsidRPr="00E2527E">
              <w:rPr>
                <w:i/>
              </w:rPr>
              <w:t>Fair Work Act 2009</w:t>
            </w:r>
            <w:r>
              <w:rPr>
                <w:i/>
              </w:rPr>
              <w:t xml:space="preserve"> </w:t>
            </w:r>
            <w:r w:rsidR="005E0E20">
              <w:t>(</w:t>
            </w:r>
            <w:proofErr w:type="spellStart"/>
            <w:r w:rsidR="005E0E20">
              <w:t>Cth</w:t>
            </w:r>
            <w:proofErr w:type="spellEnd"/>
            <w:r w:rsidR="005E0E20">
              <w:t xml:space="preserve">) </w:t>
            </w:r>
            <w:proofErr w:type="spellStart"/>
            <w:r w:rsidR="005E0E20">
              <w:t>ss</w:t>
            </w:r>
            <w:proofErr w:type="spellEnd"/>
            <w:r w:rsidR="005E0E20">
              <w:t> 19(1)(a), 19(2)(a),</w:t>
            </w:r>
            <w:r w:rsidR="00D26BFF">
              <w:t xml:space="preserve"> </w:t>
            </w:r>
            <w:r>
              <w:t>474(1)</w:t>
            </w:r>
            <w:r w:rsidR="00D26BFF">
              <w:t>, 539</w:t>
            </w:r>
            <w:r>
              <w:t xml:space="preserve"> </w:t>
            </w:r>
            <w:bookmarkEnd w:id="3"/>
          </w:p>
        </w:tc>
      </w:tr>
      <w:tr w:rsidR="00395B24" w14:paraId="27615BB5" w14:textId="77777777" w:rsidTr="00CB6B69">
        <w:tc>
          <w:tcPr>
            <w:tcW w:w="3084" w:type="dxa"/>
            <w:shd w:val="clear" w:color="auto" w:fill="auto"/>
          </w:tcPr>
          <w:p w14:paraId="26314663" w14:textId="77777777" w:rsidR="00395B24" w:rsidRDefault="00395B24" w:rsidP="00663878">
            <w:pPr>
              <w:pStyle w:val="Normal1linespace"/>
              <w:widowControl w:val="0"/>
              <w:jc w:val="left"/>
            </w:pPr>
          </w:p>
        </w:tc>
        <w:tc>
          <w:tcPr>
            <w:tcW w:w="5989" w:type="dxa"/>
            <w:gridSpan w:val="2"/>
            <w:shd w:val="clear" w:color="auto" w:fill="auto"/>
          </w:tcPr>
          <w:p w14:paraId="4B661C88" w14:textId="77777777" w:rsidR="00395B24" w:rsidRDefault="00395B24" w:rsidP="00663878">
            <w:pPr>
              <w:pStyle w:val="Normal1linespace"/>
              <w:widowControl w:val="0"/>
              <w:jc w:val="left"/>
            </w:pPr>
          </w:p>
        </w:tc>
      </w:tr>
      <w:tr w:rsidR="00CB6B69" w14:paraId="44C2389B" w14:textId="77777777" w:rsidTr="00CB6B69">
        <w:trPr>
          <w:gridAfter w:val="1"/>
          <w:wAfter w:w="35" w:type="dxa"/>
        </w:trPr>
        <w:tc>
          <w:tcPr>
            <w:tcW w:w="3084" w:type="dxa"/>
            <w:shd w:val="clear" w:color="auto" w:fill="auto"/>
          </w:tcPr>
          <w:p w14:paraId="5D080179" w14:textId="77777777" w:rsidR="00CB6B69" w:rsidRDefault="00CB6B69" w:rsidP="00CB6B69">
            <w:pPr>
              <w:pStyle w:val="Normal1linespace"/>
              <w:widowControl w:val="0"/>
              <w:jc w:val="left"/>
            </w:pPr>
            <w:r>
              <w:t xml:space="preserve">Division: </w:t>
            </w:r>
          </w:p>
        </w:tc>
        <w:tc>
          <w:tcPr>
            <w:tcW w:w="5954" w:type="dxa"/>
            <w:shd w:val="clear" w:color="auto" w:fill="auto"/>
          </w:tcPr>
          <w:p w14:paraId="172D6D2E" w14:textId="56B16503" w:rsidR="00CB6B69" w:rsidRDefault="00EE78C7" w:rsidP="00D82620">
            <w:pPr>
              <w:pStyle w:val="CasesLegislationAppealFrom"/>
              <w:spacing w:after="60"/>
            </w:pPr>
            <w:r w:rsidRPr="00EE78C7">
              <w:t>Fair Work Division</w:t>
            </w:r>
          </w:p>
        </w:tc>
      </w:tr>
      <w:tr w:rsidR="00CB6B69" w14:paraId="7578B59C" w14:textId="77777777" w:rsidTr="00CB6B69">
        <w:trPr>
          <w:gridAfter w:val="1"/>
          <w:wAfter w:w="35" w:type="dxa"/>
        </w:trPr>
        <w:tc>
          <w:tcPr>
            <w:tcW w:w="3084" w:type="dxa"/>
            <w:shd w:val="clear" w:color="auto" w:fill="auto"/>
          </w:tcPr>
          <w:p w14:paraId="6A02634E" w14:textId="77777777" w:rsidR="00CB6B69" w:rsidRDefault="00CB6B69" w:rsidP="00663878">
            <w:pPr>
              <w:pStyle w:val="Normal1linespace"/>
              <w:widowControl w:val="0"/>
              <w:jc w:val="left"/>
            </w:pPr>
          </w:p>
        </w:tc>
        <w:tc>
          <w:tcPr>
            <w:tcW w:w="5954" w:type="dxa"/>
            <w:shd w:val="clear" w:color="auto" w:fill="auto"/>
          </w:tcPr>
          <w:p w14:paraId="78A88EBC" w14:textId="77777777" w:rsidR="00CB6B69" w:rsidRDefault="00CB6B69" w:rsidP="00D82620">
            <w:pPr>
              <w:pStyle w:val="CasesLegislationAppealFrom"/>
              <w:spacing w:after="60"/>
            </w:pPr>
          </w:p>
        </w:tc>
      </w:tr>
      <w:tr w:rsidR="00CB6B69" w14:paraId="00006EFD" w14:textId="77777777" w:rsidTr="00CB6B69">
        <w:trPr>
          <w:gridAfter w:val="1"/>
          <w:wAfter w:w="35" w:type="dxa"/>
        </w:trPr>
        <w:tc>
          <w:tcPr>
            <w:tcW w:w="3084" w:type="dxa"/>
            <w:shd w:val="clear" w:color="auto" w:fill="auto"/>
          </w:tcPr>
          <w:p w14:paraId="32DC107E" w14:textId="77777777" w:rsidR="00CB6B69" w:rsidRDefault="00CB6B69" w:rsidP="00CB6B69">
            <w:pPr>
              <w:pStyle w:val="Normal1linespace"/>
              <w:widowControl w:val="0"/>
              <w:jc w:val="left"/>
            </w:pPr>
            <w:r>
              <w:t xml:space="preserve">Registry: </w:t>
            </w:r>
          </w:p>
        </w:tc>
        <w:tc>
          <w:tcPr>
            <w:tcW w:w="5954" w:type="dxa"/>
            <w:shd w:val="clear" w:color="auto" w:fill="auto"/>
          </w:tcPr>
          <w:p w14:paraId="3F717E20" w14:textId="77777777" w:rsidR="00CB6B69" w:rsidRDefault="00CB6B69" w:rsidP="00D82620">
            <w:pPr>
              <w:pStyle w:val="CasesLegislationAppealFrom"/>
              <w:spacing w:after="60"/>
            </w:pPr>
            <w:r>
              <w:t>New South Wales</w:t>
            </w:r>
          </w:p>
        </w:tc>
      </w:tr>
      <w:tr w:rsidR="00CB6B69" w14:paraId="6C3C143D" w14:textId="77777777" w:rsidTr="00CB6B69">
        <w:trPr>
          <w:gridAfter w:val="1"/>
          <w:wAfter w:w="35" w:type="dxa"/>
        </w:trPr>
        <w:tc>
          <w:tcPr>
            <w:tcW w:w="3084" w:type="dxa"/>
            <w:shd w:val="clear" w:color="auto" w:fill="auto"/>
          </w:tcPr>
          <w:p w14:paraId="2BAE9FD3" w14:textId="77777777" w:rsidR="00CB6B69" w:rsidRDefault="00CB6B69" w:rsidP="00663878">
            <w:pPr>
              <w:pStyle w:val="Normal1linespace"/>
              <w:widowControl w:val="0"/>
              <w:jc w:val="left"/>
            </w:pPr>
          </w:p>
        </w:tc>
        <w:tc>
          <w:tcPr>
            <w:tcW w:w="5954" w:type="dxa"/>
            <w:shd w:val="clear" w:color="auto" w:fill="auto"/>
          </w:tcPr>
          <w:p w14:paraId="6536392B" w14:textId="77777777" w:rsidR="00CB6B69" w:rsidRDefault="00CB6B69" w:rsidP="00D82620">
            <w:pPr>
              <w:pStyle w:val="CasesLegislationAppealFrom"/>
              <w:spacing w:after="60"/>
            </w:pPr>
          </w:p>
        </w:tc>
      </w:tr>
      <w:tr w:rsidR="00CB6B69" w14:paraId="23AFE32E" w14:textId="77777777" w:rsidTr="00CB6B69">
        <w:trPr>
          <w:gridAfter w:val="1"/>
          <w:wAfter w:w="35" w:type="dxa"/>
        </w:trPr>
        <w:tc>
          <w:tcPr>
            <w:tcW w:w="3084" w:type="dxa"/>
            <w:shd w:val="clear" w:color="auto" w:fill="auto"/>
          </w:tcPr>
          <w:p w14:paraId="57E15E65" w14:textId="77777777" w:rsidR="00CB6B69" w:rsidRDefault="00CB6B69" w:rsidP="00CB6B69">
            <w:pPr>
              <w:pStyle w:val="Normal1linespace"/>
              <w:widowControl w:val="0"/>
              <w:jc w:val="left"/>
            </w:pPr>
            <w:r>
              <w:t xml:space="preserve">National Practice Area: </w:t>
            </w:r>
          </w:p>
        </w:tc>
        <w:tc>
          <w:tcPr>
            <w:tcW w:w="5954" w:type="dxa"/>
            <w:shd w:val="clear" w:color="auto" w:fill="auto"/>
          </w:tcPr>
          <w:p w14:paraId="7BEF3ACE" w14:textId="77777777" w:rsidR="00CB6B69" w:rsidRDefault="008A4B3A" w:rsidP="00D82620">
            <w:pPr>
              <w:pStyle w:val="CasesLegislationAppealFrom"/>
              <w:spacing w:after="60"/>
            </w:pPr>
            <w:r w:rsidRPr="008A4B3A">
              <w:t>Employment and Industrial Relations</w:t>
            </w:r>
          </w:p>
        </w:tc>
      </w:tr>
      <w:tr w:rsidR="00CB6B69" w14:paraId="1A919F11" w14:textId="77777777" w:rsidTr="00CB6B69">
        <w:trPr>
          <w:gridAfter w:val="1"/>
          <w:wAfter w:w="35" w:type="dxa"/>
        </w:trPr>
        <w:tc>
          <w:tcPr>
            <w:tcW w:w="3084" w:type="dxa"/>
            <w:shd w:val="clear" w:color="auto" w:fill="auto"/>
          </w:tcPr>
          <w:p w14:paraId="2DAB1662" w14:textId="77777777" w:rsidR="00CB6B69" w:rsidRDefault="00CB6B69" w:rsidP="00663878">
            <w:pPr>
              <w:pStyle w:val="Normal1linespace"/>
              <w:widowControl w:val="0"/>
              <w:jc w:val="left"/>
            </w:pPr>
          </w:p>
        </w:tc>
        <w:tc>
          <w:tcPr>
            <w:tcW w:w="5954" w:type="dxa"/>
            <w:shd w:val="clear" w:color="auto" w:fill="auto"/>
          </w:tcPr>
          <w:p w14:paraId="178669B2" w14:textId="77777777" w:rsidR="00CB6B69" w:rsidRDefault="00CB6B69" w:rsidP="00D82620">
            <w:pPr>
              <w:pStyle w:val="CasesLegislationAppealFrom"/>
              <w:spacing w:after="60"/>
            </w:pPr>
          </w:p>
        </w:tc>
      </w:tr>
      <w:tr w:rsidR="00CB6B69" w14:paraId="6CD95B75" w14:textId="77777777" w:rsidTr="00CB6B69">
        <w:trPr>
          <w:gridAfter w:val="1"/>
          <w:wAfter w:w="35" w:type="dxa"/>
        </w:trPr>
        <w:tc>
          <w:tcPr>
            <w:tcW w:w="3084" w:type="dxa"/>
            <w:shd w:val="clear" w:color="auto" w:fill="auto"/>
          </w:tcPr>
          <w:p w14:paraId="5F901B00" w14:textId="77777777" w:rsidR="00CB6B69" w:rsidRDefault="00CB6B69" w:rsidP="00663878">
            <w:pPr>
              <w:pStyle w:val="Normal1linespace"/>
              <w:widowControl w:val="0"/>
              <w:jc w:val="left"/>
            </w:pPr>
            <w:r>
              <w:t>Number of paragraphs:</w:t>
            </w:r>
          </w:p>
        </w:tc>
        <w:tc>
          <w:tcPr>
            <w:tcW w:w="5954" w:type="dxa"/>
            <w:shd w:val="clear" w:color="auto" w:fill="auto"/>
          </w:tcPr>
          <w:p w14:paraId="3668C84F" w14:textId="77777777" w:rsidR="00CB6B69" w:rsidRDefault="007C75B1" w:rsidP="00D82620">
            <w:pPr>
              <w:pStyle w:val="CasesLegislationAppealFrom"/>
              <w:spacing w:after="60"/>
            </w:pPr>
            <w:r>
              <w:t>32</w:t>
            </w:r>
          </w:p>
        </w:tc>
      </w:tr>
      <w:tr w:rsidR="00CB6B69" w14:paraId="35F8DE13" w14:textId="77777777" w:rsidTr="00CB6B69">
        <w:trPr>
          <w:gridAfter w:val="1"/>
          <w:wAfter w:w="35" w:type="dxa"/>
        </w:trPr>
        <w:tc>
          <w:tcPr>
            <w:tcW w:w="3084" w:type="dxa"/>
            <w:shd w:val="clear" w:color="auto" w:fill="auto"/>
          </w:tcPr>
          <w:p w14:paraId="699692C2" w14:textId="77777777" w:rsidR="00CB6B69" w:rsidRDefault="00CB6B69" w:rsidP="00663878">
            <w:pPr>
              <w:pStyle w:val="Normal1linespace"/>
              <w:widowControl w:val="0"/>
              <w:jc w:val="left"/>
            </w:pPr>
          </w:p>
        </w:tc>
        <w:tc>
          <w:tcPr>
            <w:tcW w:w="5954" w:type="dxa"/>
            <w:shd w:val="clear" w:color="auto" w:fill="auto"/>
          </w:tcPr>
          <w:p w14:paraId="50891509" w14:textId="77777777" w:rsidR="00CB6B69" w:rsidRDefault="00CB6B69" w:rsidP="00D82620">
            <w:pPr>
              <w:pStyle w:val="CasesLegislationAppealFrom"/>
              <w:spacing w:after="60"/>
            </w:pPr>
          </w:p>
        </w:tc>
      </w:tr>
      <w:tr w:rsidR="00CB6B69" w14:paraId="2378EB1E" w14:textId="77777777" w:rsidTr="00CB6B69">
        <w:trPr>
          <w:gridAfter w:val="1"/>
          <w:wAfter w:w="35" w:type="dxa"/>
        </w:trPr>
        <w:tc>
          <w:tcPr>
            <w:tcW w:w="3084" w:type="dxa"/>
            <w:shd w:val="clear" w:color="auto" w:fill="auto"/>
          </w:tcPr>
          <w:p w14:paraId="276C56A5" w14:textId="77777777" w:rsidR="00CB6B69" w:rsidRDefault="00CB6B69" w:rsidP="00663878">
            <w:pPr>
              <w:pStyle w:val="Normal1linespace"/>
              <w:widowControl w:val="0"/>
              <w:jc w:val="left"/>
            </w:pPr>
            <w:r>
              <w:t>Dates of hearing:</w:t>
            </w:r>
          </w:p>
        </w:tc>
        <w:tc>
          <w:tcPr>
            <w:tcW w:w="5954" w:type="dxa"/>
            <w:shd w:val="clear" w:color="auto" w:fill="auto"/>
          </w:tcPr>
          <w:p w14:paraId="0244C652" w14:textId="77777777" w:rsidR="00CB6B69" w:rsidRDefault="00CB6B69" w:rsidP="00D82620">
            <w:pPr>
              <w:pStyle w:val="CasesLegislationAppealFrom"/>
              <w:spacing w:after="60"/>
            </w:pPr>
            <w:r>
              <w:t>22 June 2021</w:t>
            </w:r>
          </w:p>
        </w:tc>
      </w:tr>
      <w:tr w:rsidR="008A4B3A" w14:paraId="153CCBF9" w14:textId="77777777" w:rsidTr="00CB6B69">
        <w:trPr>
          <w:gridAfter w:val="1"/>
          <w:wAfter w:w="35" w:type="dxa"/>
        </w:trPr>
        <w:tc>
          <w:tcPr>
            <w:tcW w:w="3084" w:type="dxa"/>
            <w:shd w:val="clear" w:color="auto" w:fill="auto"/>
          </w:tcPr>
          <w:p w14:paraId="70E0A1A2" w14:textId="77777777" w:rsidR="008A4B3A" w:rsidRDefault="008A4B3A" w:rsidP="00663878">
            <w:pPr>
              <w:pStyle w:val="Normal1linespace"/>
              <w:widowControl w:val="0"/>
              <w:jc w:val="left"/>
            </w:pPr>
          </w:p>
        </w:tc>
        <w:tc>
          <w:tcPr>
            <w:tcW w:w="5954" w:type="dxa"/>
            <w:shd w:val="clear" w:color="auto" w:fill="auto"/>
          </w:tcPr>
          <w:p w14:paraId="74A5BC7C" w14:textId="77777777" w:rsidR="008A4B3A" w:rsidRDefault="008A4B3A" w:rsidP="00D82620">
            <w:pPr>
              <w:pStyle w:val="CasesLegislationAppealFrom"/>
              <w:spacing w:after="60"/>
            </w:pPr>
          </w:p>
        </w:tc>
      </w:tr>
      <w:tr w:rsidR="008A4B3A" w14:paraId="3DB51228" w14:textId="77777777" w:rsidTr="00CB6B69">
        <w:trPr>
          <w:gridAfter w:val="1"/>
          <w:wAfter w:w="35" w:type="dxa"/>
        </w:trPr>
        <w:tc>
          <w:tcPr>
            <w:tcW w:w="3084" w:type="dxa"/>
            <w:shd w:val="clear" w:color="auto" w:fill="auto"/>
          </w:tcPr>
          <w:p w14:paraId="5869CAB9" w14:textId="77777777" w:rsidR="008A4B3A" w:rsidRDefault="008A4B3A" w:rsidP="008A4B3A">
            <w:pPr>
              <w:pStyle w:val="Normal1linespace"/>
              <w:widowControl w:val="0"/>
              <w:jc w:val="left"/>
            </w:pPr>
            <w:r>
              <w:t xml:space="preserve">Counsel for the Applicants: </w:t>
            </w:r>
          </w:p>
        </w:tc>
        <w:tc>
          <w:tcPr>
            <w:tcW w:w="5954" w:type="dxa"/>
            <w:shd w:val="clear" w:color="auto" w:fill="auto"/>
          </w:tcPr>
          <w:p w14:paraId="6D930F0B" w14:textId="77777777" w:rsidR="008A4B3A" w:rsidRDefault="008A4B3A" w:rsidP="00D82620">
            <w:pPr>
              <w:pStyle w:val="CasesLegislationAppealFrom"/>
              <w:spacing w:after="60"/>
            </w:pPr>
            <w:r w:rsidRPr="008A4B3A">
              <w:t xml:space="preserve">Mr S </w:t>
            </w:r>
            <w:proofErr w:type="spellStart"/>
            <w:r w:rsidRPr="008A4B3A">
              <w:t>Crawshaw</w:t>
            </w:r>
            <w:proofErr w:type="spellEnd"/>
            <w:r w:rsidRPr="008A4B3A">
              <w:t xml:space="preserve"> SC</w:t>
            </w:r>
            <w:r>
              <w:t xml:space="preserve"> with Mr S Mueller</w:t>
            </w:r>
          </w:p>
        </w:tc>
      </w:tr>
      <w:tr w:rsidR="008A4B3A" w14:paraId="67B0886D" w14:textId="77777777" w:rsidTr="00CB6B69">
        <w:trPr>
          <w:gridAfter w:val="1"/>
          <w:wAfter w:w="35" w:type="dxa"/>
        </w:trPr>
        <w:tc>
          <w:tcPr>
            <w:tcW w:w="3084" w:type="dxa"/>
            <w:shd w:val="clear" w:color="auto" w:fill="auto"/>
          </w:tcPr>
          <w:p w14:paraId="6686576E" w14:textId="77777777" w:rsidR="008A4B3A" w:rsidRDefault="008A4B3A" w:rsidP="00663878">
            <w:pPr>
              <w:pStyle w:val="Normal1linespace"/>
              <w:widowControl w:val="0"/>
              <w:jc w:val="left"/>
            </w:pPr>
          </w:p>
        </w:tc>
        <w:tc>
          <w:tcPr>
            <w:tcW w:w="5954" w:type="dxa"/>
            <w:shd w:val="clear" w:color="auto" w:fill="auto"/>
          </w:tcPr>
          <w:p w14:paraId="4AD4FB11" w14:textId="77777777" w:rsidR="008A4B3A" w:rsidRDefault="008A4B3A" w:rsidP="00D82620">
            <w:pPr>
              <w:pStyle w:val="CasesLegislationAppealFrom"/>
              <w:spacing w:after="60"/>
            </w:pPr>
          </w:p>
        </w:tc>
      </w:tr>
      <w:tr w:rsidR="008A4B3A" w14:paraId="2942A2B1" w14:textId="77777777" w:rsidTr="00CB6B69">
        <w:trPr>
          <w:gridAfter w:val="1"/>
          <w:wAfter w:w="35" w:type="dxa"/>
        </w:trPr>
        <w:tc>
          <w:tcPr>
            <w:tcW w:w="3084" w:type="dxa"/>
            <w:shd w:val="clear" w:color="auto" w:fill="auto"/>
          </w:tcPr>
          <w:p w14:paraId="7A6EA1D9" w14:textId="77777777" w:rsidR="008A4B3A" w:rsidRDefault="008A4B3A" w:rsidP="008A4B3A">
            <w:pPr>
              <w:pStyle w:val="Normal1linespace"/>
              <w:widowControl w:val="0"/>
              <w:jc w:val="left"/>
            </w:pPr>
            <w:r>
              <w:t>Solicitor for the Applicants:</w:t>
            </w:r>
          </w:p>
        </w:tc>
        <w:tc>
          <w:tcPr>
            <w:tcW w:w="5954" w:type="dxa"/>
            <w:shd w:val="clear" w:color="auto" w:fill="auto"/>
          </w:tcPr>
          <w:p w14:paraId="01440363" w14:textId="77777777" w:rsidR="008A4B3A" w:rsidRDefault="008A4B3A" w:rsidP="00D82620">
            <w:pPr>
              <w:pStyle w:val="CasesLegislationAppealFrom"/>
              <w:spacing w:after="60"/>
            </w:pPr>
            <w:r w:rsidRPr="008A4B3A">
              <w:t>Construction, Forestry, Maritime, Mining &amp; Energy Union Northern Mining &amp; NSW Energy District</w:t>
            </w:r>
          </w:p>
        </w:tc>
      </w:tr>
      <w:tr w:rsidR="008A4B3A" w14:paraId="1FA04827" w14:textId="77777777" w:rsidTr="00CB6B69">
        <w:trPr>
          <w:gridAfter w:val="1"/>
          <w:wAfter w:w="35" w:type="dxa"/>
        </w:trPr>
        <w:tc>
          <w:tcPr>
            <w:tcW w:w="3084" w:type="dxa"/>
            <w:shd w:val="clear" w:color="auto" w:fill="auto"/>
          </w:tcPr>
          <w:p w14:paraId="7C681CD7" w14:textId="77777777" w:rsidR="008A4B3A" w:rsidRDefault="008A4B3A" w:rsidP="00663878">
            <w:pPr>
              <w:pStyle w:val="Normal1linespace"/>
              <w:widowControl w:val="0"/>
              <w:jc w:val="left"/>
            </w:pPr>
          </w:p>
        </w:tc>
        <w:tc>
          <w:tcPr>
            <w:tcW w:w="5954" w:type="dxa"/>
            <w:shd w:val="clear" w:color="auto" w:fill="auto"/>
          </w:tcPr>
          <w:p w14:paraId="412766D1" w14:textId="77777777" w:rsidR="008A4B3A" w:rsidRDefault="008A4B3A" w:rsidP="00D82620">
            <w:pPr>
              <w:pStyle w:val="CasesLegislationAppealFrom"/>
              <w:spacing w:after="60"/>
            </w:pPr>
          </w:p>
        </w:tc>
      </w:tr>
      <w:tr w:rsidR="008A4B3A" w14:paraId="6737A35B" w14:textId="77777777" w:rsidTr="00CB6B69">
        <w:trPr>
          <w:gridAfter w:val="1"/>
          <w:wAfter w:w="35" w:type="dxa"/>
        </w:trPr>
        <w:tc>
          <w:tcPr>
            <w:tcW w:w="3084" w:type="dxa"/>
            <w:shd w:val="clear" w:color="auto" w:fill="auto"/>
          </w:tcPr>
          <w:p w14:paraId="62FCCD0B" w14:textId="77777777" w:rsidR="008A4B3A" w:rsidRDefault="008A4B3A" w:rsidP="00663878">
            <w:pPr>
              <w:pStyle w:val="Normal1linespace"/>
              <w:widowControl w:val="0"/>
              <w:jc w:val="left"/>
            </w:pPr>
            <w:r>
              <w:t xml:space="preserve">Counsel for the Respondent: </w:t>
            </w:r>
          </w:p>
        </w:tc>
        <w:tc>
          <w:tcPr>
            <w:tcW w:w="5954" w:type="dxa"/>
            <w:shd w:val="clear" w:color="auto" w:fill="auto"/>
          </w:tcPr>
          <w:p w14:paraId="175306C6" w14:textId="77777777" w:rsidR="008A4B3A" w:rsidRDefault="008A4B3A" w:rsidP="00D82620">
            <w:pPr>
              <w:pStyle w:val="CasesLegislationAppealFrom"/>
              <w:spacing w:after="60"/>
            </w:pPr>
            <w:r w:rsidRPr="008A4B3A">
              <w:t xml:space="preserve">Mr Y </w:t>
            </w:r>
            <w:proofErr w:type="spellStart"/>
            <w:r w:rsidRPr="008A4B3A">
              <w:t>Shariff</w:t>
            </w:r>
            <w:proofErr w:type="spellEnd"/>
            <w:r w:rsidRPr="008A4B3A">
              <w:t xml:space="preserve"> SC</w:t>
            </w:r>
            <w:r>
              <w:t xml:space="preserve"> with Ms C Robertson </w:t>
            </w:r>
          </w:p>
        </w:tc>
      </w:tr>
      <w:tr w:rsidR="008A4B3A" w14:paraId="73CC0A0A" w14:textId="77777777" w:rsidTr="00CB6B69">
        <w:trPr>
          <w:gridAfter w:val="1"/>
          <w:wAfter w:w="35" w:type="dxa"/>
        </w:trPr>
        <w:tc>
          <w:tcPr>
            <w:tcW w:w="3084" w:type="dxa"/>
            <w:shd w:val="clear" w:color="auto" w:fill="auto"/>
          </w:tcPr>
          <w:p w14:paraId="5C82DA8F" w14:textId="77777777" w:rsidR="008A4B3A" w:rsidRDefault="008A4B3A" w:rsidP="00663878">
            <w:pPr>
              <w:pStyle w:val="Normal1linespace"/>
              <w:widowControl w:val="0"/>
              <w:jc w:val="left"/>
            </w:pPr>
          </w:p>
        </w:tc>
        <w:tc>
          <w:tcPr>
            <w:tcW w:w="5954" w:type="dxa"/>
            <w:shd w:val="clear" w:color="auto" w:fill="auto"/>
          </w:tcPr>
          <w:p w14:paraId="23078D7F" w14:textId="77777777" w:rsidR="008A4B3A" w:rsidRDefault="008A4B3A" w:rsidP="00D82620">
            <w:pPr>
              <w:pStyle w:val="CasesLegislationAppealFrom"/>
              <w:spacing w:after="60"/>
            </w:pPr>
          </w:p>
        </w:tc>
      </w:tr>
      <w:tr w:rsidR="008A4B3A" w14:paraId="18EC44BC" w14:textId="77777777" w:rsidTr="00CB6B69">
        <w:trPr>
          <w:gridAfter w:val="1"/>
          <w:wAfter w:w="35" w:type="dxa"/>
        </w:trPr>
        <w:tc>
          <w:tcPr>
            <w:tcW w:w="3084" w:type="dxa"/>
            <w:shd w:val="clear" w:color="auto" w:fill="auto"/>
          </w:tcPr>
          <w:p w14:paraId="75AA17B8" w14:textId="77777777" w:rsidR="008A4B3A" w:rsidRDefault="008A4B3A" w:rsidP="00663878">
            <w:pPr>
              <w:pStyle w:val="Normal1linespace"/>
              <w:widowControl w:val="0"/>
              <w:jc w:val="left"/>
            </w:pPr>
            <w:r>
              <w:t>Solicitor for the Respondent:</w:t>
            </w:r>
          </w:p>
        </w:tc>
        <w:tc>
          <w:tcPr>
            <w:tcW w:w="5954" w:type="dxa"/>
            <w:shd w:val="clear" w:color="auto" w:fill="auto"/>
          </w:tcPr>
          <w:p w14:paraId="195CD1E0" w14:textId="77777777" w:rsidR="008A4B3A" w:rsidRDefault="008A4B3A" w:rsidP="00D82620">
            <w:pPr>
              <w:pStyle w:val="CasesLegislationAppealFrom"/>
              <w:spacing w:after="60"/>
            </w:pPr>
            <w:proofErr w:type="spellStart"/>
            <w:r>
              <w:t>Ashurst</w:t>
            </w:r>
            <w:proofErr w:type="spellEnd"/>
            <w:r>
              <w:t xml:space="preserve"> Australia </w:t>
            </w:r>
          </w:p>
        </w:tc>
      </w:tr>
    </w:tbl>
    <w:p w14:paraId="3B15A947"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490BDF7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268"/>
        <w:gridCol w:w="4644"/>
        <w:gridCol w:w="2330"/>
      </w:tblGrid>
      <w:tr w:rsidR="00A46CCC" w14:paraId="0320C2EA" w14:textId="77777777" w:rsidTr="00F01994">
        <w:tc>
          <w:tcPr>
            <w:tcW w:w="6912" w:type="dxa"/>
            <w:gridSpan w:val="2"/>
          </w:tcPr>
          <w:p w14:paraId="678977F4" w14:textId="77777777" w:rsidR="00A46CCC" w:rsidRPr="001765E0" w:rsidRDefault="00A46CCC" w:rsidP="00525A49">
            <w:pPr>
              <w:pStyle w:val="NormalHeadings"/>
            </w:pPr>
          </w:p>
        </w:tc>
        <w:tc>
          <w:tcPr>
            <w:tcW w:w="2330" w:type="dxa"/>
          </w:tcPr>
          <w:p w14:paraId="1FCBB8AA" w14:textId="77777777" w:rsidR="00A46CCC" w:rsidRDefault="00E82BD1" w:rsidP="00F92355">
            <w:pPr>
              <w:pStyle w:val="NormalHeadings"/>
              <w:jc w:val="right"/>
            </w:pPr>
            <w:r>
              <w:t>NSD 751 of 2020</w:t>
            </w:r>
          </w:p>
          <w:p w14:paraId="4A142D75" w14:textId="77777777" w:rsidR="00960089" w:rsidRDefault="00960089" w:rsidP="00F92355">
            <w:pPr>
              <w:pStyle w:val="NormalHeadings"/>
              <w:jc w:val="right"/>
            </w:pPr>
          </w:p>
        </w:tc>
      </w:tr>
      <w:tr w:rsidR="00A46CCC" w14:paraId="3C93BCA0" w14:textId="77777777" w:rsidTr="00EF5926">
        <w:trPr>
          <w:trHeight w:val="386"/>
        </w:trPr>
        <w:tc>
          <w:tcPr>
            <w:tcW w:w="2268" w:type="dxa"/>
          </w:tcPr>
          <w:p w14:paraId="1AE24395" w14:textId="77777777" w:rsidR="00A46CCC" w:rsidRDefault="00A46CCC" w:rsidP="00FE34B5">
            <w:pPr>
              <w:pStyle w:val="NormalHeadings"/>
              <w:jc w:val="left"/>
              <w:rPr>
                <w:caps/>
                <w:szCs w:val="24"/>
              </w:rPr>
            </w:pPr>
            <w:bookmarkStart w:id="4" w:name="Parties"/>
            <w:r>
              <w:rPr>
                <w:caps/>
                <w:szCs w:val="24"/>
              </w:rPr>
              <w:t>BETWEEN:</w:t>
            </w:r>
          </w:p>
        </w:tc>
        <w:tc>
          <w:tcPr>
            <w:tcW w:w="6974" w:type="dxa"/>
            <w:gridSpan w:val="2"/>
          </w:tcPr>
          <w:p w14:paraId="754763ED" w14:textId="77777777" w:rsidR="00A46CCC" w:rsidRDefault="00E82BD1" w:rsidP="00FE34B5">
            <w:pPr>
              <w:pStyle w:val="NormalHeadings"/>
              <w:jc w:val="left"/>
              <w:rPr>
                <w:szCs w:val="24"/>
              </w:rPr>
            </w:pPr>
            <w:r w:rsidRPr="00E82BD1">
              <w:rPr>
                <w:szCs w:val="24"/>
              </w:rPr>
              <w:t>CONSTRUCTION, FORESTRY, MARITIME, MINING AND ENERGY UNION</w:t>
            </w:r>
          </w:p>
          <w:p w14:paraId="4ED15FCD" w14:textId="77777777" w:rsidR="00E82BD1" w:rsidRDefault="00E82BD1" w:rsidP="00B12BFB">
            <w:pPr>
              <w:pStyle w:val="PartyType"/>
              <w:rPr>
                <w:b/>
              </w:rPr>
            </w:pPr>
            <w:r>
              <w:t>First Applicant</w:t>
            </w:r>
          </w:p>
          <w:p w14:paraId="51551A1B" w14:textId="77777777" w:rsidR="00E82BD1" w:rsidRDefault="00E82BD1" w:rsidP="00FE34B5">
            <w:pPr>
              <w:pStyle w:val="NormalHeadings"/>
              <w:jc w:val="left"/>
              <w:rPr>
                <w:szCs w:val="24"/>
              </w:rPr>
            </w:pPr>
          </w:p>
          <w:p w14:paraId="48D76775" w14:textId="77777777" w:rsidR="00E82BD1" w:rsidRDefault="00E82BD1" w:rsidP="00FE34B5">
            <w:pPr>
              <w:pStyle w:val="NormalHeadings"/>
              <w:jc w:val="left"/>
            </w:pPr>
            <w:r w:rsidRPr="00E82BD1">
              <w:t>DAVID ERROL BOXSELL</w:t>
            </w:r>
          </w:p>
          <w:p w14:paraId="0AA8D1B1" w14:textId="77777777" w:rsidR="00E82BD1" w:rsidRPr="00B12BFB" w:rsidRDefault="00E82BD1" w:rsidP="00B12BFB">
            <w:pPr>
              <w:pStyle w:val="PartyType"/>
            </w:pPr>
            <w:r>
              <w:t>Second Applicant</w:t>
            </w:r>
          </w:p>
          <w:p w14:paraId="09813325" w14:textId="77777777" w:rsidR="00E82BD1" w:rsidRPr="006555B4" w:rsidRDefault="00E82BD1" w:rsidP="00FE34B5">
            <w:pPr>
              <w:pStyle w:val="NormalHeadings"/>
              <w:jc w:val="left"/>
            </w:pPr>
          </w:p>
        </w:tc>
      </w:tr>
      <w:tr w:rsidR="00A46CCC" w14:paraId="0E921ECD" w14:textId="77777777" w:rsidTr="00EF5926">
        <w:trPr>
          <w:trHeight w:val="386"/>
        </w:trPr>
        <w:tc>
          <w:tcPr>
            <w:tcW w:w="2268" w:type="dxa"/>
          </w:tcPr>
          <w:p w14:paraId="0AB82A15" w14:textId="77777777" w:rsidR="00A46CCC" w:rsidRDefault="00A46CCC" w:rsidP="00FE34B5">
            <w:pPr>
              <w:pStyle w:val="NormalHeadings"/>
              <w:jc w:val="left"/>
              <w:rPr>
                <w:caps/>
                <w:szCs w:val="24"/>
              </w:rPr>
            </w:pPr>
            <w:r>
              <w:rPr>
                <w:caps/>
                <w:szCs w:val="24"/>
              </w:rPr>
              <w:t>AND:</w:t>
            </w:r>
          </w:p>
        </w:tc>
        <w:tc>
          <w:tcPr>
            <w:tcW w:w="6974" w:type="dxa"/>
            <w:gridSpan w:val="2"/>
          </w:tcPr>
          <w:p w14:paraId="563326F1" w14:textId="77777777" w:rsidR="00E82BD1" w:rsidRPr="00E82BD1" w:rsidRDefault="00E82BD1" w:rsidP="00E82BD1">
            <w:pPr>
              <w:pStyle w:val="NormalHeadings"/>
              <w:jc w:val="left"/>
              <w:rPr>
                <w:szCs w:val="24"/>
              </w:rPr>
            </w:pPr>
            <w:bookmarkStart w:id="5" w:name="Respondent"/>
            <w:r w:rsidRPr="00E82BD1">
              <w:rPr>
                <w:szCs w:val="24"/>
              </w:rPr>
              <w:t>BOGGABRI COAL OPERATIONS PTY LTD ACN 600 191 455</w:t>
            </w:r>
          </w:p>
          <w:p w14:paraId="0369D80D" w14:textId="77777777" w:rsidR="00A46CCC" w:rsidRPr="00E82BD1" w:rsidRDefault="00E82BD1" w:rsidP="00B12BFB">
            <w:pPr>
              <w:pStyle w:val="PartyType"/>
              <w:rPr>
                <w:b/>
              </w:rPr>
            </w:pPr>
            <w:r w:rsidRPr="00E82BD1">
              <w:t>Respondent</w:t>
            </w:r>
            <w:r w:rsidR="00A46CCC" w:rsidRPr="00E82BD1">
              <w:t xml:space="preserve"> </w:t>
            </w:r>
            <w:bookmarkEnd w:id="5"/>
          </w:p>
        </w:tc>
      </w:tr>
    </w:tbl>
    <w:p w14:paraId="16B45B2B" w14:textId="77777777" w:rsidR="00395B24" w:rsidRDefault="00395B24">
      <w:pPr>
        <w:pStyle w:val="NormalHeadings"/>
      </w:pPr>
      <w:bookmarkStart w:id="6" w:name="CrossClaimPosition"/>
      <w:bookmarkEnd w:id="4"/>
      <w:bookmarkEnd w:id="6"/>
    </w:p>
    <w:tbl>
      <w:tblPr>
        <w:tblW w:w="0" w:type="auto"/>
        <w:tblLayout w:type="fixed"/>
        <w:tblLook w:val="0000" w:firstRow="0" w:lastRow="0" w:firstColumn="0" w:lastColumn="0" w:noHBand="0" w:noVBand="0"/>
        <w:tblCaption w:val="Judge"/>
        <w:tblDescription w:val="Judge"/>
      </w:tblPr>
      <w:tblGrid>
        <w:gridCol w:w="2376"/>
        <w:gridCol w:w="6866"/>
      </w:tblGrid>
      <w:tr w:rsidR="00395B24" w14:paraId="2CAC364A" w14:textId="77777777">
        <w:tc>
          <w:tcPr>
            <w:tcW w:w="2376" w:type="dxa"/>
          </w:tcPr>
          <w:p w14:paraId="201A390B" w14:textId="77777777" w:rsidR="00395B24" w:rsidRDefault="00974709">
            <w:pPr>
              <w:pStyle w:val="NormalHeadings"/>
              <w:spacing w:after="120"/>
              <w:jc w:val="left"/>
              <w:rPr>
                <w:caps/>
                <w:szCs w:val="24"/>
              </w:rPr>
            </w:pPr>
            <w:bookmarkStart w:id="7" w:name="JudgeText"/>
            <w:r>
              <w:rPr>
                <w:caps/>
                <w:szCs w:val="24"/>
              </w:rPr>
              <w:t>order made by</w:t>
            </w:r>
            <w:bookmarkEnd w:id="7"/>
            <w:r w:rsidR="002C7385">
              <w:rPr>
                <w:caps/>
                <w:szCs w:val="24"/>
              </w:rPr>
              <w:t>:</w:t>
            </w:r>
          </w:p>
        </w:tc>
        <w:tc>
          <w:tcPr>
            <w:tcW w:w="6866" w:type="dxa"/>
          </w:tcPr>
          <w:p w14:paraId="290B2C38" w14:textId="77777777" w:rsidR="00395B24" w:rsidRDefault="00BD2F5B">
            <w:pPr>
              <w:pStyle w:val="NormalHeadings"/>
              <w:jc w:val="left"/>
              <w:rPr>
                <w:caps/>
                <w:szCs w:val="24"/>
              </w:rPr>
            </w:pPr>
            <w:r>
              <w:rPr>
                <w:caps/>
                <w:szCs w:val="24"/>
              </w:rPr>
              <w:t>jagot j</w:t>
            </w:r>
          </w:p>
        </w:tc>
      </w:tr>
      <w:tr w:rsidR="00395B24" w14:paraId="403BCBF9" w14:textId="77777777">
        <w:tc>
          <w:tcPr>
            <w:tcW w:w="2376" w:type="dxa"/>
          </w:tcPr>
          <w:p w14:paraId="65AB7578" w14:textId="77777777" w:rsidR="00395B24" w:rsidRDefault="002C7385">
            <w:pPr>
              <w:pStyle w:val="NormalHeadings"/>
              <w:spacing w:after="120"/>
              <w:jc w:val="left"/>
              <w:rPr>
                <w:caps/>
                <w:szCs w:val="24"/>
              </w:rPr>
            </w:pPr>
            <w:r>
              <w:rPr>
                <w:caps/>
                <w:szCs w:val="24"/>
              </w:rPr>
              <w:t>DATE OF ORDER:</w:t>
            </w:r>
          </w:p>
        </w:tc>
        <w:tc>
          <w:tcPr>
            <w:tcW w:w="6866" w:type="dxa"/>
          </w:tcPr>
          <w:p w14:paraId="7DC66C75" w14:textId="63576C94" w:rsidR="00395B24" w:rsidRDefault="0034683B" w:rsidP="0034683B">
            <w:pPr>
              <w:pStyle w:val="NormalHeadings"/>
              <w:jc w:val="left"/>
              <w:rPr>
                <w:caps/>
                <w:szCs w:val="24"/>
              </w:rPr>
            </w:pPr>
            <w:r>
              <w:t>29 JUNE 2021</w:t>
            </w:r>
          </w:p>
        </w:tc>
      </w:tr>
    </w:tbl>
    <w:p w14:paraId="510CF8E1" w14:textId="77777777" w:rsidR="00395B24" w:rsidRDefault="00395B24">
      <w:pPr>
        <w:pStyle w:val="NormalHeadings"/>
        <w:rPr>
          <w:b w:val="0"/>
        </w:rPr>
      </w:pPr>
    </w:p>
    <w:p w14:paraId="79B4BF61" w14:textId="77777777" w:rsidR="008D1617" w:rsidRDefault="008D1617">
      <w:pPr>
        <w:pStyle w:val="NormalHeadings"/>
        <w:rPr>
          <w:b w:val="0"/>
        </w:rPr>
      </w:pPr>
    </w:p>
    <w:p w14:paraId="261EDECE" w14:textId="77777777" w:rsidR="00395B24" w:rsidRDefault="002C7385">
      <w:pPr>
        <w:pStyle w:val="NormalHeadings"/>
      </w:pPr>
      <w:r>
        <w:t>THE COURT ORDERS THAT:</w:t>
      </w:r>
    </w:p>
    <w:p w14:paraId="09565457" w14:textId="77777777" w:rsidR="007F60DF" w:rsidRDefault="007F60DF" w:rsidP="00243E5E">
      <w:pPr>
        <w:pStyle w:val="NormalHeadings"/>
      </w:pPr>
    </w:p>
    <w:p w14:paraId="184BA065" w14:textId="4DA8EA28" w:rsidR="000F4F9F" w:rsidRDefault="00FF2130" w:rsidP="000F4F9F">
      <w:pPr>
        <w:pStyle w:val="Order1"/>
      </w:pPr>
      <w:r>
        <w:t>The originating application be dismissed.</w:t>
      </w:r>
      <w:bookmarkStart w:id="8" w:name="OrdersStatement"/>
      <w:bookmarkEnd w:id="8"/>
    </w:p>
    <w:p w14:paraId="642BCDDB" w14:textId="77777777" w:rsidR="000F4F9F" w:rsidRDefault="000F4F9F" w:rsidP="000F4F9F">
      <w:pPr>
        <w:pStyle w:val="Order1"/>
        <w:numPr>
          <w:ilvl w:val="0"/>
          <w:numId w:val="0"/>
        </w:numPr>
        <w:ind w:left="720"/>
      </w:pPr>
    </w:p>
    <w:p w14:paraId="6DDA463D" w14:textId="15593953" w:rsidR="000F4F9F" w:rsidRDefault="000F4F9F" w:rsidP="000F4F9F">
      <w:pPr>
        <w:pStyle w:val="Order1"/>
        <w:numPr>
          <w:ilvl w:val="0"/>
          <w:numId w:val="0"/>
        </w:numPr>
        <w:ind w:left="720" w:hanging="720"/>
      </w:pPr>
    </w:p>
    <w:p w14:paraId="1AF8D389" w14:textId="32FC5903" w:rsidR="000F4F9F" w:rsidRDefault="000F4F9F" w:rsidP="000F4F9F">
      <w:pPr>
        <w:pStyle w:val="Order1"/>
        <w:numPr>
          <w:ilvl w:val="0"/>
          <w:numId w:val="0"/>
        </w:numPr>
        <w:ind w:left="720" w:hanging="720"/>
      </w:pPr>
      <w:r>
        <w:t xml:space="preserve">Note:    Entry of orders is dealt with in Rule 39.32 of the </w:t>
      </w:r>
      <w:r>
        <w:rPr>
          <w:i/>
          <w:iCs/>
        </w:rPr>
        <w:t>Federal Court Rules 2011</w:t>
      </w:r>
      <w:r>
        <w:t>.</w:t>
      </w:r>
    </w:p>
    <w:p w14:paraId="00A886CC" w14:textId="77777777" w:rsidR="009D328D" w:rsidRDefault="009D328D" w:rsidP="002B0E91">
      <w:pPr>
        <w:pStyle w:val="BodyText"/>
      </w:pPr>
    </w:p>
    <w:p w14:paraId="5C4800FF"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515B1C04" w14:textId="77777777" w:rsidR="00484F6D" w:rsidRPr="00045BB7" w:rsidRDefault="00484F6D" w:rsidP="00045BB7">
      <w:pPr>
        <w:pStyle w:val="NormalHeadings"/>
        <w:spacing w:line="480" w:lineRule="auto"/>
        <w:jc w:val="center"/>
        <w:rPr>
          <w:sz w:val="28"/>
          <w:szCs w:val="28"/>
        </w:rPr>
      </w:pPr>
      <w:bookmarkStart w:id="9" w:name="ReasonsPage"/>
      <w:bookmarkEnd w:id="9"/>
      <w:r w:rsidRPr="00045BB7">
        <w:rPr>
          <w:sz w:val="28"/>
          <w:szCs w:val="28"/>
        </w:rPr>
        <w:lastRenderedPageBreak/>
        <w:t>REASONS FOR JUDGMENT</w:t>
      </w:r>
    </w:p>
    <w:p w14:paraId="2F4EA18B" w14:textId="396AEA6D" w:rsidR="00694BEB" w:rsidRDefault="009003F1" w:rsidP="005E0510">
      <w:pPr>
        <w:pStyle w:val="NormalHeadings"/>
        <w:spacing w:line="360" w:lineRule="auto"/>
        <w:jc w:val="left"/>
        <w:rPr>
          <w:sz w:val="26"/>
          <w:szCs w:val="26"/>
        </w:rPr>
      </w:pPr>
      <w:r>
        <w:rPr>
          <w:sz w:val="26"/>
          <w:szCs w:val="26"/>
        </w:rPr>
        <w:t>JAGOT J:</w:t>
      </w:r>
    </w:p>
    <w:p w14:paraId="76980E09" w14:textId="77777777" w:rsidR="0051434F" w:rsidRDefault="00E2527E" w:rsidP="0051434F">
      <w:pPr>
        <w:pStyle w:val="ParaNumbering"/>
      </w:pPr>
      <w:r>
        <w:t xml:space="preserve">These reasons for judgment concern a narrow dispute about the operation of </w:t>
      </w:r>
      <w:proofErr w:type="spellStart"/>
      <w:r>
        <w:t>ss</w:t>
      </w:r>
      <w:proofErr w:type="spellEnd"/>
      <w:r>
        <w:t xml:space="preserve"> 474(1), 19(1)(a) </w:t>
      </w:r>
      <w:r w:rsidR="00EF55E1">
        <w:t xml:space="preserve">and 19(2)(a) </w:t>
      </w:r>
      <w:r>
        <w:t xml:space="preserve">of the </w:t>
      </w:r>
      <w:r w:rsidRPr="00E2527E">
        <w:rPr>
          <w:i/>
        </w:rPr>
        <w:t>Fair Work Act 2009</w:t>
      </w:r>
      <w:r>
        <w:t xml:space="preserve"> (</w:t>
      </w:r>
      <w:proofErr w:type="spellStart"/>
      <w:r>
        <w:t>Cth</w:t>
      </w:r>
      <w:proofErr w:type="spellEnd"/>
      <w:r>
        <w:t xml:space="preserve">) (the </w:t>
      </w:r>
      <w:r w:rsidRPr="00E2527E">
        <w:rPr>
          <w:b/>
        </w:rPr>
        <w:t>Act</w:t>
      </w:r>
      <w:r>
        <w:t>).</w:t>
      </w:r>
    </w:p>
    <w:p w14:paraId="425F667B" w14:textId="77777777" w:rsidR="00E2527E" w:rsidRDefault="00E2527E" w:rsidP="0051434F">
      <w:pPr>
        <w:pStyle w:val="ParaNumbering"/>
      </w:pPr>
      <w:r>
        <w:t>Section 474(1) provides:</w:t>
      </w:r>
    </w:p>
    <w:p w14:paraId="60EB5639" w14:textId="2CBE6CC9" w:rsidR="00E2527E" w:rsidRDefault="00E2527E" w:rsidP="005D1EAF">
      <w:pPr>
        <w:pStyle w:val="Quote1"/>
      </w:pPr>
      <w:r>
        <w:t xml:space="preserve">If an employee engaged, or engages, in industrial action that is not protected industrial action against an employer on a day, the employer must not make a payment to an employee in relation to: </w:t>
      </w:r>
    </w:p>
    <w:p w14:paraId="3F57A4DF" w14:textId="77777777" w:rsidR="00E2527E" w:rsidRDefault="00E2527E" w:rsidP="001B78CE">
      <w:pPr>
        <w:pStyle w:val="Quote2"/>
        <w:ind w:left="2160" w:hanging="720"/>
      </w:pPr>
      <w:r>
        <w:t>(a)</w:t>
      </w:r>
      <w:r>
        <w:tab/>
        <w:t xml:space="preserve">if the total duration of the industrial action on that day is at least 4 hours - the total duration of the industrial action on that day; or </w:t>
      </w:r>
    </w:p>
    <w:p w14:paraId="205CC286" w14:textId="77777777" w:rsidR="00E2527E" w:rsidRDefault="00E2527E" w:rsidP="001B78CE">
      <w:pPr>
        <w:pStyle w:val="Quote2"/>
        <w:ind w:left="2160" w:hanging="720"/>
      </w:pPr>
      <w:r>
        <w:t>(b)</w:t>
      </w:r>
      <w:r>
        <w:tab/>
        <w:t>otherwise - 4 hours of that day.</w:t>
      </w:r>
    </w:p>
    <w:p w14:paraId="219F5B69" w14:textId="77777777" w:rsidR="00E2527E" w:rsidRDefault="00E2527E" w:rsidP="00E2527E">
      <w:pPr>
        <w:pStyle w:val="ParaNumbering"/>
      </w:pPr>
      <w:r>
        <w:t>Section 474(1) is a civil remedy provision: s 539 of the Act.</w:t>
      </w:r>
    </w:p>
    <w:p w14:paraId="79827E9E" w14:textId="77777777" w:rsidR="00E2527E" w:rsidRDefault="00E2527E" w:rsidP="00E2527E">
      <w:pPr>
        <w:pStyle w:val="ParaNumbering"/>
      </w:pPr>
      <w:r>
        <w:t>Section 19(1)(a) provides:</w:t>
      </w:r>
    </w:p>
    <w:p w14:paraId="1E406B70" w14:textId="5F88F031" w:rsidR="00EF55E1" w:rsidRDefault="00EF55E1" w:rsidP="005D1EAF">
      <w:pPr>
        <w:pStyle w:val="Quote1"/>
      </w:pPr>
      <w:r w:rsidRPr="00EF55E1">
        <w:rPr>
          <w:b/>
          <w:i/>
        </w:rPr>
        <w:t>Industrial action</w:t>
      </w:r>
      <w:r>
        <w:t xml:space="preserve"> means action of any of the following kinds: </w:t>
      </w:r>
    </w:p>
    <w:p w14:paraId="28665ADE" w14:textId="77777777" w:rsidR="00E2527E" w:rsidRDefault="00EF55E1" w:rsidP="005D1EAF">
      <w:pPr>
        <w:pStyle w:val="Quote2"/>
        <w:ind w:left="1985" w:hanging="545"/>
      </w:pPr>
      <w:r>
        <w:t>(a)</w:t>
      </w:r>
      <w:r>
        <w:tab/>
        <w:t>the performance of work by an employee in a manner different from that in which it is customarily performed, or the adoption of a practice in relation to work by an employee, the result of which is a restriction or limitation on, or a delay in, the performance of the work;</w:t>
      </w:r>
    </w:p>
    <w:p w14:paraId="79B8AC72" w14:textId="77777777" w:rsidR="00EF55E1" w:rsidRDefault="00EF55E1" w:rsidP="00EF55E1">
      <w:pPr>
        <w:pStyle w:val="Quote1"/>
        <w:ind w:left="1985" w:hanging="567"/>
      </w:pPr>
      <w:r>
        <w:t>…</w:t>
      </w:r>
    </w:p>
    <w:p w14:paraId="3CBC7B4A" w14:textId="77777777" w:rsidR="00EF55E1" w:rsidRDefault="00EF55E1" w:rsidP="00EF55E1">
      <w:pPr>
        <w:pStyle w:val="ParaNumbering"/>
      </w:pPr>
      <w:r>
        <w:t>Section 19(2)</w:t>
      </w:r>
      <w:r w:rsidR="005E76A1">
        <w:t>(a)</w:t>
      </w:r>
      <w:r>
        <w:t xml:space="preserve"> provides:</w:t>
      </w:r>
    </w:p>
    <w:p w14:paraId="25D292B0" w14:textId="6A734736" w:rsidR="00EF55E1" w:rsidRDefault="00EF55E1" w:rsidP="005D1EAF">
      <w:pPr>
        <w:pStyle w:val="Quote1"/>
      </w:pPr>
      <w:r>
        <w:t xml:space="preserve">However, </w:t>
      </w:r>
      <w:r w:rsidRPr="00E97BE4">
        <w:rPr>
          <w:b/>
          <w:i/>
        </w:rPr>
        <w:t>industrial action</w:t>
      </w:r>
      <w:r>
        <w:t xml:space="preserve"> does not include the following: </w:t>
      </w:r>
    </w:p>
    <w:p w14:paraId="1A522462" w14:textId="77777777" w:rsidR="00EF55E1" w:rsidRDefault="00EF55E1" w:rsidP="005D1EAF">
      <w:pPr>
        <w:pStyle w:val="Quote2"/>
        <w:ind w:left="1985" w:hanging="545"/>
      </w:pPr>
      <w:r>
        <w:t>(a)</w:t>
      </w:r>
      <w:r>
        <w:tab/>
        <w:t>action by employees that is authorised or agreed to by the employer of the employees;</w:t>
      </w:r>
    </w:p>
    <w:p w14:paraId="5C4A9127" w14:textId="77777777" w:rsidR="00EF55E1" w:rsidRDefault="00EF55E1" w:rsidP="00EF55E1">
      <w:pPr>
        <w:pStyle w:val="Quote1"/>
        <w:ind w:left="1985" w:hanging="567"/>
      </w:pPr>
      <w:r>
        <w:t>…</w:t>
      </w:r>
    </w:p>
    <w:p w14:paraId="33AF5EEF" w14:textId="77777777" w:rsidR="00EF55E1" w:rsidRDefault="00EF55E1" w:rsidP="00EF55E1">
      <w:pPr>
        <w:pStyle w:val="ParaNumbering"/>
      </w:pPr>
      <w:r>
        <w:t xml:space="preserve">The material facts are not in dispute. </w:t>
      </w:r>
    </w:p>
    <w:p w14:paraId="69D9C187" w14:textId="55B03781" w:rsidR="00EF55E1" w:rsidRDefault="00EF55E1" w:rsidP="00EF55E1">
      <w:pPr>
        <w:pStyle w:val="ParaNumbering"/>
      </w:pPr>
      <w:bookmarkStart w:id="10" w:name="PastedTemp70"/>
      <w:r w:rsidRPr="00EF55E1">
        <w:t xml:space="preserve">The applicants and respondent were covered by the </w:t>
      </w:r>
      <w:r w:rsidRPr="00B675B5">
        <w:rPr>
          <w:i/>
        </w:rPr>
        <w:t>Boggabri Coal Operations Pty Ltd 2016 Enterprise Agreement</w:t>
      </w:r>
      <w:r w:rsidRPr="00EF55E1">
        <w:t xml:space="preserve"> (</w:t>
      </w:r>
      <w:r w:rsidRPr="00B675B5">
        <w:rPr>
          <w:b/>
        </w:rPr>
        <w:t>2016 Agreement</w:t>
      </w:r>
      <w:r w:rsidRPr="00EF55E1">
        <w:t>) which was an enterprise agreement made pursuant to the provisions of the</w:t>
      </w:r>
      <w:r>
        <w:t xml:space="preserve"> </w:t>
      </w:r>
      <w:bookmarkEnd w:id="10"/>
      <w:r w:rsidR="00B675B5">
        <w:t>Act.</w:t>
      </w:r>
    </w:p>
    <w:p w14:paraId="61E2358D" w14:textId="644E3CE2" w:rsidR="00B675B5" w:rsidRDefault="00B675B5" w:rsidP="00EF55E1">
      <w:pPr>
        <w:pStyle w:val="ParaNumbering"/>
      </w:pPr>
      <w:r>
        <w:t xml:space="preserve">The respondent’s employees who were members of the first applicant, the </w:t>
      </w:r>
      <w:r w:rsidR="00E97FEE">
        <w:t>Con</w:t>
      </w:r>
      <w:r w:rsidR="00FF2130">
        <w:t>struction, Forestry, Maritime, M</w:t>
      </w:r>
      <w:r w:rsidR="00E97FEE">
        <w:t>ining and Energy Union</w:t>
      </w:r>
      <w:r w:rsidR="008B7F64">
        <w:t xml:space="preserve"> (the </w:t>
      </w:r>
      <w:r w:rsidR="008B7F64" w:rsidRPr="00E97BE4">
        <w:rPr>
          <w:b/>
        </w:rPr>
        <w:t>Union</w:t>
      </w:r>
      <w:r w:rsidR="008B7F64">
        <w:t>)</w:t>
      </w:r>
      <w:r w:rsidR="00E97FEE">
        <w:t xml:space="preserve">, were authorised under the Act to take protected industrial action on a number of occasions in 2019, including insofar as the second applicant, Mr Boxsell, is concerned, </w:t>
      </w:r>
      <w:r w:rsidR="00D913E3">
        <w:t xml:space="preserve">for periods of two hours commencing </w:t>
      </w:r>
      <w:r w:rsidR="00E97FEE">
        <w:t>as follows:</w:t>
      </w:r>
    </w:p>
    <w:p w14:paraId="3E2D5670" w14:textId="77777777" w:rsidR="00E97FEE" w:rsidRDefault="00E97FEE" w:rsidP="00E97FEE">
      <w:pPr>
        <w:pStyle w:val="FCBullets"/>
      </w:pPr>
      <w:r>
        <w:lastRenderedPageBreak/>
        <w:t>30 September 2019 – 8.00am, 12.00pm, and 4.00pm;</w:t>
      </w:r>
    </w:p>
    <w:p w14:paraId="6C59D5F6" w14:textId="77777777" w:rsidR="00E97FEE" w:rsidRDefault="00E97FEE" w:rsidP="00E97FEE">
      <w:pPr>
        <w:pStyle w:val="FCBullets"/>
      </w:pPr>
      <w:r>
        <w:t>2 October 2019 – 8.00am; and</w:t>
      </w:r>
    </w:p>
    <w:p w14:paraId="4D721EF3" w14:textId="77777777" w:rsidR="00E97FEE" w:rsidRDefault="00E97FEE" w:rsidP="00E97FEE">
      <w:pPr>
        <w:pStyle w:val="FCBullets"/>
      </w:pPr>
      <w:r>
        <w:t>3 October 2019 – 12.00pm.</w:t>
      </w:r>
    </w:p>
    <w:p w14:paraId="2E1A2F5D" w14:textId="04B1DC04" w:rsidR="006A7636" w:rsidRDefault="001E0E19" w:rsidP="007938DB">
      <w:pPr>
        <w:pStyle w:val="NoNum"/>
      </w:pPr>
      <w:r>
        <w:t>(</w:t>
      </w:r>
      <w:r w:rsidR="006A7636">
        <w:t xml:space="preserve">Together, the </w:t>
      </w:r>
      <w:bookmarkStart w:id="11" w:name="_GoBack"/>
      <w:r w:rsidR="006A7636" w:rsidRPr="007938DB">
        <w:rPr>
          <w:b/>
        </w:rPr>
        <w:t xml:space="preserve">notified </w:t>
      </w:r>
      <w:r w:rsidR="004E7158" w:rsidRPr="007938DB">
        <w:rPr>
          <w:b/>
        </w:rPr>
        <w:t>commencement</w:t>
      </w:r>
      <w:r w:rsidR="008155CF" w:rsidRPr="007938DB">
        <w:rPr>
          <w:b/>
        </w:rPr>
        <w:t xml:space="preserve"> times</w:t>
      </w:r>
      <w:bookmarkEnd w:id="11"/>
      <w:r w:rsidRPr="007B33AF">
        <w:t>)</w:t>
      </w:r>
      <w:r w:rsidR="006A7636" w:rsidRPr="007B33AF">
        <w:t>.</w:t>
      </w:r>
    </w:p>
    <w:p w14:paraId="3D97C985" w14:textId="77777777" w:rsidR="00E97FEE" w:rsidRDefault="00E97FEE" w:rsidP="00E97FEE">
      <w:pPr>
        <w:pStyle w:val="ParaNumbering"/>
      </w:pPr>
      <w:r>
        <w:t xml:space="preserve">Mr </w:t>
      </w:r>
      <w:proofErr w:type="spellStart"/>
      <w:r>
        <w:t>Boxsell</w:t>
      </w:r>
      <w:proofErr w:type="spellEnd"/>
      <w:r>
        <w:t xml:space="preserve"> was rostered to work on those days as follows:</w:t>
      </w:r>
    </w:p>
    <w:p w14:paraId="031AB8C7" w14:textId="77777777" w:rsidR="00E97FEE" w:rsidRDefault="00D913E3" w:rsidP="00E97FEE">
      <w:pPr>
        <w:pStyle w:val="FCBullets"/>
      </w:pPr>
      <w:r>
        <w:t>30 September 2019 – 6.00am to 6.00pm with an authorised break from 10.56am to 11.52am;</w:t>
      </w:r>
    </w:p>
    <w:p w14:paraId="332F6C61" w14:textId="77777777" w:rsidR="00D913E3" w:rsidRDefault="00D913E3" w:rsidP="00E97FEE">
      <w:pPr>
        <w:pStyle w:val="FCBullets"/>
      </w:pPr>
      <w:r>
        <w:t>2 October 2019 – 6.00am to 6.00pm; and</w:t>
      </w:r>
    </w:p>
    <w:p w14:paraId="3D5DA706" w14:textId="77777777" w:rsidR="00D913E3" w:rsidRDefault="00D913E3" w:rsidP="00D913E3">
      <w:pPr>
        <w:pStyle w:val="FCBullets"/>
      </w:pPr>
      <w:r>
        <w:t xml:space="preserve">3 October 2019 – </w:t>
      </w:r>
      <w:r w:rsidR="000C6C75">
        <w:t xml:space="preserve">6.00am to 6.00pm </w:t>
      </w:r>
      <w:r>
        <w:t>with an authorised break from 9.58am to 11.06am.</w:t>
      </w:r>
    </w:p>
    <w:p w14:paraId="4CDD5D3B" w14:textId="77777777" w:rsidR="00D913E3" w:rsidRDefault="00D913E3" w:rsidP="00D913E3">
      <w:pPr>
        <w:pStyle w:val="ParaNumbering"/>
      </w:pPr>
      <w:r>
        <w:t>On each day, Mr Boxsell was operating a dozer.</w:t>
      </w:r>
    </w:p>
    <w:p w14:paraId="634E8848" w14:textId="33B31336" w:rsidR="00D913E3" w:rsidRDefault="007B7C83" w:rsidP="00D913E3">
      <w:pPr>
        <w:pStyle w:val="ParaNumbering"/>
      </w:pPr>
      <w:r>
        <w:t xml:space="preserve">Mr Boxsell, on the occasion of each protected industrial action and before the </w:t>
      </w:r>
      <w:r w:rsidR="004E7158">
        <w:t xml:space="preserve">notified </w:t>
      </w:r>
      <w:r>
        <w:t>commencement time</w:t>
      </w:r>
      <w:r w:rsidR="00116B51">
        <w:t>s</w:t>
      </w:r>
      <w:r>
        <w:t>, took a series of steps which he described as the process of “parking up and finishing the process of working at the mine” including parking the dozer, logging out of a tablet system, turning the dozer off, and walking to a pick-up area to be transported to the administration area</w:t>
      </w:r>
      <w:r w:rsidR="00C35DA8">
        <w:t xml:space="preserve">. He put the dozer into operational standby and turned the engine off </w:t>
      </w:r>
      <w:r w:rsidR="00475322">
        <w:t>(</w:t>
      </w:r>
      <w:r w:rsidR="00C35DA8">
        <w:t>as detailed below</w:t>
      </w:r>
      <w:r w:rsidR="00475322">
        <w:t>)</w:t>
      </w:r>
      <w:r w:rsidR="00C35DA8">
        <w:t xml:space="preserve"> before each protected industrial action</w:t>
      </w:r>
      <w:r w:rsidR="000929E4">
        <w:t xml:space="preserve"> at the following times</w:t>
      </w:r>
      <w:r w:rsidR="00C35DA8">
        <w:t>:</w:t>
      </w:r>
    </w:p>
    <w:p w14:paraId="56CF28EB" w14:textId="77777777" w:rsidR="00C35DA8" w:rsidRDefault="00C35DA8" w:rsidP="00C35DA8">
      <w:pPr>
        <w:pStyle w:val="FCBullets"/>
      </w:pPr>
      <w:r>
        <w:t>30 September 2019 – at 7.55am, 11.52am, and 3.53pm;</w:t>
      </w:r>
    </w:p>
    <w:p w14:paraId="64619563" w14:textId="77777777" w:rsidR="00C35DA8" w:rsidRDefault="00C35DA8" w:rsidP="00C35DA8">
      <w:pPr>
        <w:pStyle w:val="FCBullets"/>
      </w:pPr>
      <w:r>
        <w:t>2 October 2019 – at 7.52am; and</w:t>
      </w:r>
    </w:p>
    <w:p w14:paraId="0EACE4E3" w14:textId="77777777" w:rsidR="00C35DA8" w:rsidRDefault="00C35DA8" w:rsidP="00C35DA8">
      <w:pPr>
        <w:pStyle w:val="FCBullets"/>
      </w:pPr>
      <w:r>
        <w:t>3 October 2019 – at 11.51am.</w:t>
      </w:r>
    </w:p>
    <w:p w14:paraId="19D59DDA" w14:textId="77777777" w:rsidR="0036102E" w:rsidRDefault="0036102E" w:rsidP="00C35DA8">
      <w:pPr>
        <w:pStyle w:val="ParaNumbering"/>
      </w:pPr>
      <w:r>
        <w:t>Mr Boxsell agreed that:</w:t>
      </w:r>
    </w:p>
    <w:p w14:paraId="33156F51" w14:textId="77777777" w:rsidR="0036102E" w:rsidRDefault="00B32EB6" w:rsidP="0036102E">
      <w:pPr>
        <w:pStyle w:val="ListNo1"/>
      </w:pPr>
      <w:r>
        <w:t>the steps he described as involved in “parking up and finishing the process of working at the mine” were those he took at the end of his shift;</w:t>
      </w:r>
    </w:p>
    <w:p w14:paraId="585C35F7" w14:textId="77777777" w:rsidR="00B32EB6" w:rsidRDefault="00B32EB6" w:rsidP="0036102E">
      <w:pPr>
        <w:pStyle w:val="ListNo1"/>
      </w:pPr>
      <w:r>
        <w:t>on other occasions when the respondent directed him to cease work during a shift, he would act in accordance with the respondent’s directions;</w:t>
      </w:r>
    </w:p>
    <w:p w14:paraId="648F1FC4" w14:textId="77F4E005" w:rsidR="00B32EB6" w:rsidRDefault="00B32EB6" w:rsidP="00B32EB6">
      <w:pPr>
        <w:pStyle w:val="ListNo1"/>
      </w:pPr>
      <w:r>
        <w:t xml:space="preserve">the respondent had not directed him to cease work at or before the </w:t>
      </w:r>
      <w:r w:rsidR="00314AF4">
        <w:t xml:space="preserve">notified commencement </w:t>
      </w:r>
      <w:r>
        <w:t>times;</w:t>
      </w:r>
    </w:p>
    <w:p w14:paraId="61C296A4" w14:textId="0843251E" w:rsidR="00B32EB6" w:rsidRDefault="00B32EB6" w:rsidP="0036102E">
      <w:pPr>
        <w:pStyle w:val="ListNo1"/>
      </w:pPr>
      <w:r>
        <w:t xml:space="preserve">he took the steps he described as involved in “parking up and finishing the process of working at the mine” before the </w:t>
      </w:r>
      <w:r w:rsidR="004E7158">
        <w:t xml:space="preserve">notified </w:t>
      </w:r>
      <w:r>
        <w:t xml:space="preserve">commencement </w:t>
      </w:r>
      <w:r w:rsidR="005636B8">
        <w:t>times</w:t>
      </w:r>
      <w:r>
        <w:t xml:space="preserve"> for the purpose of engaging in the protected industrial action;</w:t>
      </w:r>
      <w:r w:rsidR="00FF2130">
        <w:t xml:space="preserve"> and</w:t>
      </w:r>
    </w:p>
    <w:p w14:paraId="0119F5C3" w14:textId="12F3A8C6" w:rsidR="00B32EB6" w:rsidRDefault="00B32EB6" w:rsidP="0036102E">
      <w:pPr>
        <w:pStyle w:val="ListNo1"/>
      </w:pPr>
      <w:r>
        <w:lastRenderedPageBreak/>
        <w:t>if he had not been taking t</w:t>
      </w:r>
      <w:r w:rsidR="0069013D">
        <w:t xml:space="preserve">he protected industrial action on the days in question, he would not have taken those steps before the </w:t>
      </w:r>
      <w:r w:rsidR="004E7158">
        <w:t xml:space="preserve">notified </w:t>
      </w:r>
      <w:r w:rsidR="0069013D">
        <w:t>commencement time</w:t>
      </w:r>
      <w:r w:rsidR="004E7158">
        <w:t>s</w:t>
      </w:r>
      <w:r w:rsidR="0069013D">
        <w:t xml:space="preserve"> but, rather, would have continued to operate the dozer</w:t>
      </w:r>
      <w:r w:rsidR="005E0E20">
        <w:t>,</w:t>
      </w:r>
      <w:r w:rsidR="0069013D">
        <w:t xml:space="preserve"> performing clean-up duties on the excavator flo</w:t>
      </w:r>
      <w:r w:rsidR="005E0E20">
        <w:t>o</w:t>
      </w:r>
      <w:r w:rsidR="0069013D">
        <w:t xml:space="preserve">r or dump where the hydraulic excavators were working. </w:t>
      </w:r>
    </w:p>
    <w:p w14:paraId="5BF5E7B2" w14:textId="77777777" w:rsidR="0069013D" w:rsidRDefault="0069013D" w:rsidP="00C35DA8">
      <w:pPr>
        <w:pStyle w:val="ParaNumbering"/>
      </w:pPr>
      <w:r>
        <w:t>Mr Boxsell further agreed that:</w:t>
      </w:r>
    </w:p>
    <w:p w14:paraId="03C677CD" w14:textId="289E623D" w:rsidR="0069013D" w:rsidRDefault="0069013D" w:rsidP="009C0735">
      <w:pPr>
        <w:pStyle w:val="ListNo1"/>
        <w:numPr>
          <w:ilvl w:val="0"/>
          <w:numId w:val="26"/>
        </w:numPr>
      </w:pPr>
      <w:r>
        <w:t xml:space="preserve">he understood that by a memorandum dated 26 September 2019 </w:t>
      </w:r>
      <w:r w:rsidR="005E0E20">
        <w:t xml:space="preserve">(the </w:t>
      </w:r>
      <w:r w:rsidR="005E0E20" w:rsidRPr="00E97BE4">
        <w:rPr>
          <w:b/>
        </w:rPr>
        <w:t>memorandum</w:t>
      </w:r>
      <w:r w:rsidR="005E0E20">
        <w:t xml:space="preserve">) </w:t>
      </w:r>
      <w:r>
        <w:t xml:space="preserve">the respondent had required him to continue working as normal up until the </w:t>
      </w:r>
      <w:r w:rsidR="004E7158">
        <w:t xml:space="preserve">notified </w:t>
      </w:r>
      <w:r>
        <w:t>commencement time</w:t>
      </w:r>
      <w:r w:rsidR="004E7158">
        <w:t>s</w:t>
      </w:r>
      <w:r>
        <w:t>;</w:t>
      </w:r>
    </w:p>
    <w:p w14:paraId="6FEEB422" w14:textId="77777777" w:rsidR="0069013D" w:rsidRDefault="0069013D" w:rsidP="009C0735">
      <w:pPr>
        <w:pStyle w:val="ListNo1"/>
        <w:numPr>
          <w:ilvl w:val="0"/>
          <w:numId w:val="26"/>
        </w:numPr>
      </w:pPr>
      <w:r>
        <w:t xml:space="preserve">he decided not to comply with that </w:t>
      </w:r>
      <w:r w:rsidR="005A06CE">
        <w:t>requirement; and</w:t>
      </w:r>
    </w:p>
    <w:p w14:paraId="33817330" w14:textId="1934E2A5" w:rsidR="005A06CE" w:rsidRDefault="005A06CE" w:rsidP="009C0735">
      <w:pPr>
        <w:pStyle w:val="ListNo1"/>
        <w:numPr>
          <w:ilvl w:val="0"/>
          <w:numId w:val="26"/>
        </w:numPr>
      </w:pPr>
      <w:r>
        <w:t xml:space="preserve">he spoke to and agreed with other </w:t>
      </w:r>
      <w:r w:rsidR="00E777E1">
        <w:t xml:space="preserve">employees who were </w:t>
      </w:r>
      <w:r>
        <w:t xml:space="preserve">Union </w:t>
      </w:r>
      <w:r w:rsidR="00577503">
        <w:t>members that they</w:t>
      </w:r>
      <w:r>
        <w:t xml:space="preserve"> would not comply with the respondent’s requirement that they continue working as normal up until the </w:t>
      </w:r>
      <w:r w:rsidR="004E7158">
        <w:t xml:space="preserve">notified </w:t>
      </w:r>
      <w:r>
        <w:t>commencement time</w:t>
      </w:r>
      <w:r w:rsidR="004E7158">
        <w:t>s</w:t>
      </w:r>
      <w:r>
        <w:t>.</w:t>
      </w:r>
    </w:p>
    <w:p w14:paraId="082CD594" w14:textId="791207BD" w:rsidR="00C35DA8" w:rsidRDefault="00C35DA8" w:rsidP="00C35DA8">
      <w:pPr>
        <w:pStyle w:val="ParaNumbering"/>
      </w:pPr>
      <w:r>
        <w:t xml:space="preserve">The respondent, on the basis that </w:t>
      </w:r>
      <w:r w:rsidR="0036102E">
        <w:t xml:space="preserve">the actions of Mr Boxsell before the taking of each protected industrial action were </w:t>
      </w:r>
      <w:r w:rsidR="001E0E19">
        <w:t>(</w:t>
      </w:r>
      <w:r w:rsidR="0036102E">
        <w:t>non-protected</w:t>
      </w:r>
      <w:r w:rsidR="001E0E19">
        <w:t>)</w:t>
      </w:r>
      <w:r w:rsidR="0036102E">
        <w:t xml:space="preserve"> industrial action</w:t>
      </w:r>
      <w:r>
        <w:t xml:space="preserve">, deducted four hours’ pay from Mr Boxsell’s </w:t>
      </w:r>
      <w:r w:rsidR="00DF338E">
        <w:t xml:space="preserve">income </w:t>
      </w:r>
      <w:r>
        <w:t>for 30 September and 2 and 3 October 2019</w:t>
      </w:r>
      <w:r w:rsidR="0036102E">
        <w:t xml:space="preserve"> as the respondent said it was required to do by s 474(1)</w:t>
      </w:r>
      <w:r w:rsidR="00FF2130">
        <w:t>(b)</w:t>
      </w:r>
      <w:r w:rsidR="0036102E">
        <w:t xml:space="preserve"> of the Act</w:t>
      </w:r>
      <w:r>
        <w:t>.</w:t>
      </w:r>
    </w:p>
    <w:p w14:paraId="3B0A39C6" w14:textId="77777777" w:rsidR="00C35DA8" w:rsidRDefault="0036102E" w:rsidP="00C35DA8">
      <w:pPr>
        <w:pStyle w:val="ParaNumbering"/>
      </w:pPr>
      <w:r>
        <w:t>According to the applicants, the respondent was wrong to deduct four hours’ pay from Mr Boxsell, as:</w:t>
      </w:r>
    </w:p>
    <w:p w14:paraId="125744D0" w14:textId="0E1675A8" w:rsidR="0036102E" w:rsidRDefault="0036102E" w:rsidP="009C0735">
      <w:pPr>
        <w:pStyle w:val="ListNo1"/>
        <w:numPr>
          <w:ilvl w:val="0"/>
          <w:numId w:val="27"/>
        </w:numPr>
      </w:pPr>
      <w:r>
        <w:t>for the purposes of s 19(1)(a) the relevant comparison is not between</w:t>
      </w:r>
      <w:r w:rsidR="005A06CE">
        <w:t xml:space="preserve"> (a) </w:t>
      </w:r>
      <w:r>
        <w:t xml:space="preserve">the </w:t>
      </w:r>
      <w:r w:rsidR="005A06CE">
        <w:t xml:space="preserve">work Mr Boxsell would normally be performing at the relevant times if protected industrial action were not being taken and the steps he took before the </w:t>
      </w:r>
      <w:r w:rsidR="00CC36D3">
        <w:t>notified commencement times</w:t>
      </w:r>
      <w:r w:rsidR="005A06CE">
        <w:t xml:space="preserve">, but rather is between (b) the steps Mr Boxsell would normally be performing before ceasing work and </w:t>
      </w:r>
      <w:r w:rsidR="00595CBA">
        <w:t>t</w:t>
      </w:r>
      <w:r w:rsidR="009C0735">
        <w:t>he steps he took before the</w:t>
      </w:r>
      <w:r w:rsidR="00CC36D3">
        <w:t xml:space="preserve"> notified commencement times</w:t>
      </w:r>
      <w:r w:rsidR="009C0735">
        <w:t>;</w:t>
      </w:r>
    </w:p>
    <w:p w14:paraId="38F797E9" w14:textId="0EAC6F13" w:rsidR="009C0735" w:rsidRDefault="009C0735" w:rsidP="009C0735">
      <w:pPr>
        <w:pStyle w:val="ListNo1"/>
        <w:numPr>
          <w:ilvl w:val="0"/>
          <w:numId w:val="27"/>
        </w:numPr>
      </w:pPr>
      <w:r>
        <w:t xml:space="preserve">on the basis of the proper comparison, there was no industrial action taken by Mr Boxsell before the </w:t>
      </w:r>
      <w:r w:rsidR="00CC36D3">
        <w:t xml:space="preserve">notified </w:t>
      </w:r>
      <w:r>
        <w:t>commencement time</w:t>
      </w:r>
      <w:r w:rsidR="00CC36D3">
        <w:t>s</w:t>
      </w:r>
      <w:r>
        <w:t xml:space="preserve"> as there was no </w:t>
      </w:r>
      <w:r w:rsidRPr="009C0735">
        <w:t xml:space="preserve">performance of work by </w:t>
      </w:r>
      <w:r>
        <w:t>him “</w:t>
      </w:r>
      <w:r w:rsidRPr="009C0735">
        <w:t>in a manner different from that in wh</w:t>
      </w:r>
      <w:r>
        <w:t xml:space="preserve">ich it is customarily performed” and no </w:t>
      </w:r>
      <w:r w:rsidRPr="009C0735">
        <w:t xml:space="preserve">adoption of a practice in relation to work by </w:t>
      </w:r>
      <w:r>
        <w:t>him “</w:t>
      </w:r>
      <w:r w:rsidRPr="009C0735">
        <w:t>the result of which is a restriction or limitation on, or a delay in, the performance of the work</w:t>
      </w:r>
      <w:r>
        <w:t>”;</w:t>
      </w:r>
    </w:p>
    <w:p w14:paraId="0D8B8FE7" w14:textId="77777777" w:rsidR="009C0735" w:rsidRDefault="009C0735" w:rsidP="009C0735">
      <w:pPr>
        <w:pStyle w:val="ListNo1"/>
        <w:numPr>
          <w:ilvl w:val="0"/>
          <w:numId w:val="27"/>
        </w:numPr>
      </w:pPr>
      <w:r>
        <w:t>in this regard, it is not relevant that the respondent did n</w:t>
      </w:r>
      <w:r w:rsidR="00B07AF6">
        <w:t>o</w:t>
      </w:r>
      <w:r>
        <w:t>t direct or require Mr Boxsell to take the protected ind</w:t>
      </w:r>
      <w:r w:rsidR="00B07AF6">
        <w:t>ustrial action;</w:t>
      </w:r>
    </w:p>
    <w:p w14:paraId="3E1C449E" w14:textId="77777777" w:rsidR="009C0735" w:rsidRDefault="009C0735" w:rsidP="009C0735">
      <w:pPr>
        <w:pStyle w:val="ListNo1"/>
        <w:numPr>
          <w:ilvl w:val="0"/>
          <w:numId w:val="27"/>
        </w:numPr>
      </w:pPr>
      <w:r>
        <w:lastRenderedPageBreak/>
        <w:t xml:space="preserve">in any event, considered objectively, the respondent must be taken to have authorised Mr Boxsell to take such steps as required to secure </w:t>
      </w:r>
      <w:r w:rsidR="00B07AF6">
        <w:t xml:space="preserve">and make safe </w:t>
      </w:r>
      <w:r>
        <w:t>the dozer before he took the protected industrial action;</w:t>
      </w:r>
    </w:p>
    <w:p w14:paraId="5D8147F9" w14:textId="082DD27F" w:rsidR="00B07AF6" w:rsidRDefault="00B07AF6" w:rsidP="009C0735">
      <w:pPr>
        <w:pStyle w:val="ListNo1"/>
        <w:numPr>
          <w:ilvl w:val="0"/>
          <w:numId w:val="27"/>
        </w:numPr>
      </w:pPr>
      <w:r>
        <w:t>the memorandum did not direct Mr Boxsell not to take such steps as required to secure and make safe the dozer before he took the protected industrial action;</w:t>
      </w:r>
    </w:p>
    <w:p w14:paraId="43B30ED9" w14:textId="60F0F427" w:rsidR="00B07AF6" w:rsidRDefault="00B07AF6" w:rsidP="009C0735">
      <w:pPr>
        <w:pStyle w:val="ListNo1"/>
        <w:numPr>
          <w:ilvl w:val="0"/>
          <w:numId w:val="27"/>
        </w:numPr>
      </w:pPr>
      <w:r>
        <w:t>the reference to “work as normal” in the memorandum must include the steps normally taken by Mr Boxsell to secure and make safe the dozer before he ceased work;</w:t>
      </w:r>
    </w:p>
    <w:p w14:paraId="474D6A2E" w14:textId="77777777" w:rsidR="00293A7D" w:rsidRDefault="00293A7D" w:rsidP="009C0735">
      <w:pPr>
        <w:pStyle w:val="ListNo1"/>
        <w:numPr>
          <w:ilvl w:val="0"/>
          <w:numId w:val="27"/>
        </w:numPr>
      </w:pPr>
      <w:r>
        <w:t>in the ordinary course, Mr Boxsell took the steps of securing and making safe the dozer during work hours meaning these steps were a normal part of his work taken before ceasing work;</w:t>
      </w:r>
    </w:p>
    <w:p w14:paraId="7FEF4E42" w14:textId="77777777" w:rsidR="00B07AF6" w:rsidRDefault="00B07AF6" w:rsidP="009C0735">
      <w:pPr>
        <w:pStyle w:val="ListNo1"/>
        <w:numPr>
          <w:ilvl w:val="0"/>
          <w:numId w:val="27"/>
        </w:numPr>
      </w:pPr>
      <w:r>
        <w:t>accordingly, given th</w:t>
      </w:r>
      <w:r w:rsidR="00293A7D">
        <w:t>a</w:t>
      </w:r>
      <w:r>
        <w:t xml:space="preserve">t </w:t>
      </w:r>
      <w:r w:rsidR="00293A7D">
        <w:t xml:space="preserve">Mr Boxsell </w:t>
      </w:r>
      <w:r w:rsidR="00A133C0">
        <w:t xml:space="preserve">could </w:t>
      </w:r>
      <w:r>
        <w:t xml:space="preserve">take the </w:t>
      </w:r>
      <w:r w:rsidR="00293A7D">
        <w:t>protected industrial action as identified, he was continuing to “work as normal” before taking the protected industrial action by taking the steps he would normally take to secure and make safe the dozer before he ceased work;</w:t>
      </w:r>
    </w:p>
    <w:p w14:paraId="1A9A3B3B" w14:textId="244424B8" w:rsidR="00293A7D" w:rsidRDefault="00293A7D" w:rsidP="009C0735">
      <w:pPr>
        <w:pStyle w:val="ListNo1"/>
        <w:numPr>
          <w:ilvl w:val="0"/>
          <w:numId w:val="27"/>
        </w:numPr>
      </w:pPr>
      <w:r>
        <w:t xml:space="preserve">the evidence of Mr Williscroft that he did not require or expect Mr Boxsell to take the steps he would normally take to secure and make safe the dozer before Mr Boxsell took the protected industrial action should not be accepted; </w:t>
      </w:r>
    </w:p>
    <w:p w14:paraId="29DF06A6" w14:textId="47437D9E" w:rsidR="009C0735" w:rsidRDefault="00B07AF6" w:rsidP="009C0735">
      <w:pPr>
        <w:pStyle w:val="ListNo1"/>
        <w:numPr>
          <w:ilvl w:val="0"/>
          <w:numId w:val="27"/>
        </w:numPr>
      </w:pPr>
      <w:r>
        <w:t>the evidence of Mr Boxsell is that the steps involved in “parking up and finishing the process of working at the mine” may take up to 40 minutes. If the respondent is correct, the protected industrial action would commence at different times</w:t>
      </w:r>
      <w:r w:rsidR="00FD4DA3">
        <w:t xml:space="preserve"> which </w:t>
      </w:r>
      <w:r w:rsidR="007A6DAB">
        <w:t xml:space="preserve">would </w:t>
      </w:r>
      <w:r w:rsidR="00706B20">
        <w:t>“</w:t>
      </w:r>
      <w:r w:rsidR="007A6DAB">
        <w:t>lead to uncertainty</w:t>
      </w:r>
      <w:r w:rsidR="00706B20">
        <w:t>”</w:t>
      </w:r>
      <w:r w:rsidR="00FD4DA3">
        <w:t>; and</w:t>
      </w:r>
    </w:p>
    <w:p w14:paraId="6C0EDB54" w14:textId="0337006D" w:rsidR="00FD4DA3" w:rsidRDefault="00FD4DA3" w:rsidP="009C0735">
      <w:pPr>
        <w:pStyle w:val="ListNo1"/>
        <w:numPr>
          <w:ilvl w:val="0"/>
          <w:numId w:val="27"/>
        </w:numPr>
      </w:pPr>
      <w:r>
        <w:t>if the respondent is correct, it must have contravened s 474(1)</w:t>
      </w:r>
      <w:r w:rsidR="00FF2130">
        <w:t>(b)</w:t>
      </w:r>
      <w:r>
        <w:t xml:space="preserve"> of the Act in respect of earlier protected industrial action when employees did the same thing and were paid without deductions as made in the present case. </w:t>
      </w:r>
    </w:p>
    <w:p w14:paraId="11011B3B" w14:textId="77777777" w:rsidR="00293A7D" w:rsidRDefault="00902225" w:rsidP="00293A7D">
      <w:pPr>
        <w:pStyle w:val="ParaNumbering"/>
      </w:pPr>
      <w:r>
        <w:t>I do not accept the applicants’ arguments.</w:t>
      </w:r>
    </w:p>
    <w:p w14:paraId="727E67B2" w14:textId="701809E5" w:rsidR="00A133C0" w:rsidRDefault="00A133C0" w:rsidP="00293A7D">
      <w:pPr>
        <w:pStyle w:val="ParaNumbering"/>
      </w:pPr>
      <w:r>
        <w:t xml:space="preserve">The taking of protected industrial action engages the immunity in s 415 of the Act. </w:t>
      </w:r>
    </w:p>
    <w:p w14:paraId="765CF984" w14:textId="789A5797" w:rsidR="00A133C0" w:rsidRDefault="00A133C0" w:rsidP="00293A7D">
      <w:pPr>
        <w:pStyle w:val="ParaNumbering"/>
      </w:pPr>
      <w:r>
        <w:t xml:space="preserve">In the present case, the protected industrial action was able to take place for each two hour period commencing at the notified </w:t>
      </w:r>
      <w:r w:rsidR="003D6BFB">
        <w:t>commencement</w:t>
      </w:r>
      <w:r w:rsidR="008155CF">
        <w:t xml:space="preserve"> </w:t>
      </w:r>
      <w:r>
        <w:t>time</w:t>
      </w:r>
      <w:r w:rsidR="008155CF">
        <w:t>s</w:t>
      </w:r>
      <w:r>
        <w:t xml:space="preserve">. </w:t>
      </w:r>
      <w:r w:rsidR="00EB4E08">
        <w:t xml:space="preserve">The respondent could have but did not direct or require Mr Boxsell to make the dozer he was operating safe and secure before the </w:t>
      </w:r>
      <w:r w:rsidR="00CC36D3">
        <w:t xml:space="preserve">notified </w:t>
      </w:r>
      <w:r w:rsidR="00EB4E08">
        <w:t xml:space="preserve">commencement </w:t>
      </w:r>
      <w:r w:rsidR="00CC36D3">
        <w:t>times</w:t>
      </w:r>
      <w:r w:rsidR="00EB4E08">
        <w:t xml:space="preserve">. As a result, in ascertaining whether Mr Boxsell took industrial action from 7.55am to 8.00am, 11.52am to 12.00pm, and 3.53pm to 4.00pm on 30 September </w:t>
      </w:r>
      <w:r w:rsidR="00EB4E08">
        <w:lastRenderedPageBreak/>
        <w:t>2019, 7.52am to 8.00am on 2 October 2019, and 11.51am to 12.00pm on 3 October 2019</w:t>
      </w:r>
      <w:r w:rsidR="00FF2130">
        <w:t>,</w:t>
      </w:r>
      <w:r w:rsidR="00EB4E08">
        <w:t xml:space="preserve"> the relevant comparison is between the work Mr Boxsell would </w:t>
      </w:r>
      <w:r w:rsidR="002029B8">
        <w:t xml:space="preserve">have customarily performed in those periods without the protected industrial action and the work he in fact performed. </w:t>
      </w:r>
    </w:p>
    <w:p w14:paraId="67DD45D8" w14:textId="19BDB6DE" w:rsidR="002029B8" w:rsidRDefault="002029B8" w:rsidP="00293A7D">
      <w:pPr>
        <w:pStyle w:val="ParaNumbering"/>
      </w:pPr>
      <w:r>
        <w:t xml:space="preserve">The misconception in the arguments for the applicants is that, implicitly at least, they assume that the taking of </w:t>
      </w:r>
      <w:r w:rsidR="00650153">
        <w:t xml:space="preserve">the </w:t>
      </w:r>
      <w:r>
        <w:t>protected in</w:t>
      </w:r>
      <w:r w:rsidR="00650153">
        <w:t>dustrial action wa</w:t>
      </w:r>
      <w:r>
        <w:t xml:space="preserve">s “authorised” by the respondent. The respondent did not authorise the protected industrial action. The employees, in taking the protected industrial action, have the immunity provided for in s 415 of the Act. That immunity relates only to the </w:t>
      </w:r>
      <w:r w:rsidR="00650153">
        <w:t xml:space="preserve">protected industrial action. In this case, that action as notified under s 414 of the Act was (relevantly) confined to the two hour periods commencing at the </w:t>
      </w:r>
      <w:r w:rsidR="005636B8">
        <w:t xml:space="preserve">notified commencing </w:t>
      </w:r>
      <w:r w:rsidR="00650153">
        <w:t xml:space="preserve">times. The protected industrial action did not commence at any earlier time. That is, there </w:t>
      </w:r>
      <w:r w:rsidR="00FF2130">
        <w:t xml:space="preserve">could be </w:t>
      </w:r>
      <w:r w:rsidR="00650153">
        <w:t>no protected industrial action preparatory to the taking of the protected industrial action</w:t>
      </w:r>
      <w:r w:rsidR="008155CF">
        <w:t xml:space="preserve"> </w:t>
      </w:r>
      <w:r w:rsidR="00CC36D3">
        <w:t>occurring</w:t>
      </w:r>
      <w:r w:rsidR="008155CF">
        <w:t xml:space="preserve"> before the notified </w:t>
      </w:r>
      <w:r w:rsidR="00CC36D3">
        <w:t>commencement</w:t>
      </w:r>
      <w:r w:rsidR="008155CF">
        <w:t xml:space="preserve"> times</w:t>
      </w:r>
      <w:r w:rsidR="00650153">
        <w:t xml:space="preserve">. </w:t>
      </w:r>
      <w:r>
        <w:t xml:space="preserve"> </w:t>
      </w:r>
    </w:p>
    <w:p w14:paraId="2ECD6A47" w14:textId="1E1D13CE" w:rsidR="00FF2130" w:rsidRDefault="00650153" w:rsidP="00293A7D">
      <w:pPr>
        <w:pStyle w:val="ParaNumbering"/>
      </w:pPr>
      <w:r>
        <w:t xml:space="preserve">It does not matter what steps Mr Boxsell would normally take at the end of his shift or before an authorised break. Nor does it matter that those steps themselves constitute a normal part of Mr Boxsell’s work in preparation for the end of his shift or the taking of an authorised break. The commencement of the protected industrial action did not </w:t>
      </w:r>
      <w:r w:rsidR="00FF2130">
        <w:t xml:space="preserve">in fact </w:t>
      </w:r>
      <w:r>
        <w:t xml:space="preserve">coincide with the end of a shift or an authorised break for Mr Boxsell. </w:t>
      </w:r>
    </w:p>
    <w:p w14:paraId="1972F478" w14:textId="77777777" w:rsidR="004A2F87" w:rsidRDefault="00650153" w:rsidP="00293A7D">
      <w:pPr>
        <w:pStyle w:val="ParaNumbering"/>
      </w:pPr>
      <w:r>
        <w:t xml:space="preserve">As a result, in deciding if Mr Boxsell took industrial action before taking the protected industrial action on each relevant occasion it is necessary to compare the work he would be customarily performing during his shift at those times and the work he in fact performed on the relevant days during those times. </w:t>
      </w:r>
    </w:p>
    <w:p w14:paraId="6A196ECA" w14:textId="77777777" w:rsidR="00650153" w:rsidRDefault="00650153" w:rsidP="00293A7D">
      <w:pPr>
        <w:pStyle w:val="ParaNumbering"/>
      </w:pPr>
      <w:r>
        <w:t>The results of that comparison are clear. Mr Boxse</w:t>
      </w:r>
      <w:r w:rsidR="00A1293E">
        <w:t>l</w:t>
      </w:r>
      <w:r>
        <w:t xml:space="preserve">l was </w:t>
      </w:r>
      <w:r w:rsidR="00A1293E">
        <w:t>performing his work during those periods in a manner different from that in which it is customarily performed. That is, during the relevant periods before the protected industrial action, Mr Boxsell was taking industrial action.</w:t>
      </w:r>
    </w:p>
    <w:p w14:paraId="6CBC3B5C" w14:textId="77777777" w:rsidR="004A2F87" w:rsidRDefault="00A1293E" w:rsidP="00293A7D">
      <w:pPr>
        <w:pStyle w:val="ParaNumbering"/>
      </w:pPr>
      <w:r>
        <w:t xml:space="preserve">Considered objectively, the respondent did not authorise Mr Boxsell to take that industrial action or agree to him doing so. The evidence of Mr Williscroft proves only that he did not authorise Mr Boxsell to take that industrial action or agree to him doing so. Nor is there any evidence to support an inference that the respondent authorised Mr Boxsell to take that industrial action or agreed to him doing so. </w:t>
      </w:r>
    </w:p>
    <w:p w14:paraId="0C3E1B8E" w14:textId="7FE6D687" w:rsidR="00A1293E" w:rsidRDefault="00A1293E" w:rsidP="00293A7D">
      <w:pPr>
        <w:pStyle w:val="ParaNumbering"/>
      </w:pPr>
      <w:r>
        <w:lastRenderedPageBreak/>
        <w:t xml:space="preserve">The applicants wrongly assume that there is a choice to be made between employees taking protected industrial action leaving equipment in an unsafe and unsecure manner so that they can commence the protected industrial action at the notified </w:t>
      </w:r>
      <w:r w:rsidR="00CC36D3">
        <w:t>commencement</w:t>
      </w:r>
      <w:r w:rsidR="003D6BFB">
        <w:t xml:space="preserve"> times</w:t>
      </w:r>
      <w:r w:rsidR="0016438F">
        <w:t>,</w:t>
      </w:r>
      <w:r w:rsidR="00116B51">
        <w:t xml:space="preserve"> </w:t>
      </w:r>
      <w:r>
        <w:t xml:space="preserve">and </w:t>
      </w:r>
      <w:r w:rsidR="009A74CF">
        <w:t xml:space="preserve">employees necessarily being authorised by employers to ensure equipment is safe and secure before the protected industrial action commences. There is no such choice necessary. Mr Boxsell chose to do what he did before each protected industrial action. He also could have chosen to </w:t>
      </w:r>
      <w:r w:rsidR="004A2F87">
        <w:t xml:space="preserve">take the steps he did to make the dozer safe and secure </w:t>
      </w:r>
      <w:r w:rsidR="009A74CF">
        <w:t>at and after the notified</w:t>
      </w:r>
      <w:r w:rsidR="004A2F87">
        <w:t xml:space="preserve"> commencement</w:t>
      </w:r>
      <w:r w:rsidR="00116B51">
        <w:t xml:space="preserve"> times</w:t>
      </w:r>
      <w:r w:rsidR="009A74CF">
        <w:t xml:space="preserve">. In so doing, he would not have been performing his work in the manner he would customarily </w:t>
      </w:r>
      <w:r w:rsidR="00FE34B5">
        <w:t xml:space="preserve">do so at the time. That is, he would be taking industrial action, but such action </w:t>
      </w:r>
      <w:r w:rsidR="004A2F87">
        <w:t xml:space="preserve">at that time </w:t>
      </w:r>
      <w:r w:rsidR="00FE34B5">
        <w:t xml:space="preserve">would be protected industrial action and subject to the immunity in s 415 of the Act. </w:t>
      </w:r>
    </w:p>
    <w:p w14:paraId="45B3D60D" w14:textId="77777777" w:rsidR="00FE34B5" w:rsidRDefault="00FE34B5" w:rsidP="00293A7D">
      <w:pPr>
        <w:pStyle w:val="ParaNumbering"/>
      </w:pPr>
      <w:r>
        <w:t xml:space="preserve">The applicants’ concern that the steps necessary to make equipment safe and secure may take up to 40 minutes is immaterial. In making equipment safe and secure, the employee is not performing work as they customarily would perform it if, during those same periods on days when protected industrial action is not being taken, the employee would not </w:t>
      </w:r>
      <w:r w:rsidR="004A2F87">
        <w:t xml:space="preserve">then </w:t>
      </w:r>
      <w:r>
        <w:t>be making the equipment safe and secure but, rather, would be operating the equipment (as in Mr Boxsell’s case). That is, in making equipment safe and secure in these circumstances</w:t>
      </w:r>
      <w:r w:rsidR="004A2F87">
        <w:t>,</w:t>
      </w:r>
      <w:r>
        <w:t xml:space="preserve"> the employee is taking industrial action and the immunity in s 415 will not apply unless the employee is taking that action within the notified period of the protected industrial action.</w:t>
      </w:r>
    </w:p>
    <w:p w14:paraId="1F2784CB" w14:textId="6543CD5C" w:rsidR="00FE34B5" w:rsidRDefault="00FE34B5" w:rsidP="00293A7D">
      <w:pPr>
        <w:pStyle w:val="ParaNumbering"/>
      </w:pPr>
      <w:r>
        <w:t xml:space="preserve">I accept that an employer could choose to </w:t>
      </w:r>
      <w:r w:rsidR="00DD2458">
        <w:t xml:space="preserve">authorise or agree to </w:t>
      </w:r>
      <w:r>
        <w:t xml:space="preserve">employees who propose to engage in protected industrial action </w:t>
      </w:r>
      <w:r w:rsidR="00DD2458">
        <w:t xml:space="preserve">making </w:t>
      </w:r>
      <w:r>
        <w:t xml:space="preserve">equipment they are using safe and secure </w:t>
      </w:r>
      <w:r w:rsidRPr="00DD2458">
        <w:rPr>
          <w:b/>
        </w:rPr>
        <w:t>before</w:t>
      </w:r>
      <w:r>
        <w:t xml:space="preserve"> the employees engage in the protected industrial action. In that event, the action tak</w:t>
      </w:r>
      <w:r w:rsidR="00140716">
        <w:t>en</w:t>
      </w:r>
      <w:r>
        <w:t xml:space="preserve"> in making the equipment safe and secure would not be industrial action by operation of s 19(2)(a) of the Act. But that is not what occurred in the present case.</w:t>
      </w:r>
      <w:r w:rsidR="00DD2458">
        <w:t xml:space="preserve"> </w:t>
      </w:r>
      <w:r w:rsidR="004A2F87">
        <w:t>I</w:t>
      </w:r>
      <w:r w:rsidR="00DD2458">
        <w:t>f</w:t>
      </w:r>
      <w:r w:rsidR="004A2F87">
        <w:t>, as in this case,</w:t>
      </w:r>
      <w:r w:rsidR="00DD2458">
        <w:t xml:space="preserve"> an employer does not authorise or agree to employees who propose to engage in protected industrial action making equipment they are using safe and secure </w:t>
      </w:r>
      <w:r w:rsidR="00DD2458" w:rsidRPr="00DD2458">
        <w:rPr>
          <w:b/>
        </w:rPr>
        <w:t>before</w:t>
      </w:r>
      <w:r w:rsidR="00DD2458">
        <w:t xml:space="preserve"> the employees engage in the protected industrial action, then the employees may be taking industrial action which is not protected industrial action during that period before the protected industrial action depending on the work the employee would otherwise customarily be performing during that period. </w:t>
      </w:r>
      <w:r w:rsidR="004A2F87">
        <w:t xml:space="preserve">In Mr Boxsell’s case, he was taking such industrial action. </w:t>
      </w:r>
    </w:p>
    <w:p w14:paraId="4A1E31F1" w14:textId="752A2493" w:rsidR="004A2F87" w:rsidRDefault="00FE34B5" w:rsidP="00293A7D">
      <w:pPr>
        <w:pStyle w:val="ParaNumbering"/>
      </w:pPr>
      <w:r>
        <w:t xml:space="preserve">Contrary to the submissions for the applicants, the memorandum is clear. The </w:t>
      </w:r>
      <w:r w:rsidR="00FD4DA3">
        <w:t xml:space="preserve">memorandum says that “every employee who is going to participate in a stoppage must work as normal right </w:t>
      </w:r>
      <w:r w:rsidR="00FD4DA3">
        <w:lastRenderedPageBreak/>
        <w:t xml:space="preserve">up to the scheduled start of the stoppage” and “[a]s an example, if protected action is called for 8am and finishes at 10am, you must continue to work until 8am and be back in the PSI room by 10am”. </w:t>
      </w:r>
    </w:p>
    <w:p w14:paraId="036ECE5C" w14:textId="77777777" w:rsidR="00FE34B5" w:rsidRDefault="00FD4DA3" w:rsidP="00293A7D">
      <w:pPr>
        <w:pStyle w:val="ParaNumbering"/>
      </w:pPr>
      <w:r>
        <w:t xml:space="preserve">The reference to “work as normal” does not beg the question. It is obvious it means “work as the employee would normally work as if the employee was not taking protected industrial action” right up until the moment the protected industrial action commences. It was clear that the respondent did not authorise or agree to Mr Boxsell doing what he did </w:t>
      </w:r>
      <w:r w:rsidR="00546016">
        <w:t xml:space="preserve">from 7.55am to 8.00am, 11.52am to 12.00pm, and 3.53pm to 4.00pm on 30 September 2019, 7.52am to 8.00am on 2 October 2019, and 11.51am to 12.00pm on 3 October 2019. Moreover, Mr Boxsell knew this is what the memorandum meant and that the respondent did not authorise or agree with him doing what he did during these periods, but did it anyway. </w:t>
      </w:r>
    </w:p>
    <w:p w14:paraId="4CEF50CD" w14:textId="78FB021D" w:rsidR="00546016" w:rsidRDefault="00546016" w:rsidP="00293A7D">
      <w:pPr>
        <w:pStyle w:val="ParaNumbering"/>
      </w:pPr>
      <w:r>
        <w:t xml:space="preserve">It is not the case that, on this approach, the protected industrial action would </w:t>
      </w:r>
      <w:r w:rsidR="00FD0FAE">
        <w:t xml:space="preserve">need to </w:t>
      </w:r>
      <w:r>
        <w:t xml:space="preserve">start at different times depending on how long it takes an employee to make their equipment safe and secure. </w:t>
      </w:r>
      <w:r w:rsidR="00FD0FAE">
        <w:t xml:space="preserve">It may be the case that a notice identifying different commencement times for different employees could be given under s 414 of the Act, but that is not the present case. Nothing about the current approach necessarily leads to any such potential </w:t>
      </w:r>
      <w:r w:rsidR="000B06BE">
        <w:t xml:space="preserve">uncertainty, as </w:t>
      </w:r>
      <w:r w:rsidR="001F6589">
        <w:t>suggested</w:t>
      </w:r>
      <w:r w:rsidR="000B06BE">
        <w:t xml:space="preserve"> by the applicant</w:t>
      </w:r>
      <w:r w:rsidR="00E97BE4">
        <w:t>s</w:t>
      </w:r>
      <w:r w:rsidR="00FD0FAE">
        <w:t>.</w:t>
      </w:r>
    </w:p>
    <w:p w14:paraId="13FB96DA" w14:textId="4EA1B394" w:rsidR="00FD0FAE" w:rsidRDefault="00FD0FAE" w:rsidP="00293A7D">
      <w:pPr>
        <w:pStyle w:val="ParaNumbering"/>
      </w:pPr>
      <w:r>
        <w:t>Nor is it relevant that the respondent might have contravened s 474(1) of the Act by paying employees when it ought to have deducted pay from the</w:t>
      </w:r>
      <w:r w:rsidR="003A75CE">
        <w:t>m</w:t>
      </w:r>
      <w:r>
        <w:t xml:space="preserve"> as required by s 474(1). The present case is not about any such alleged contravention, and nor could it be given the terms of s</w:t>
      </w:r>
      <w:r w:rsidR="00DD2458">
        <w:t> </w:t>
      </w:r>
      <w:r>
        <w:t>539 of the Act w</w:t>
      </w:r>
      <w:r w:rsidR="00DD2458">
        <w:t>h</w:t>
      </w:r>
      <w:r>
        <w:t xml:space="preserve">ich </w:t>
      </w:r>
      <w:r w:rsidR="00DD2458">
        <w:t xml:space="preserve">confines the person who may take action in relation to any alleged contravention of s 474(1) to a Fair Work Inspector. </w:t>
      </w:r>
    </w:p>
    <w:p w14:paraId="35D6DC86" w14:textId="2C732084" w:rsidR="00DD2458" w:rsidRDefault="00DD2458" w:rsidP="00FF2130">
      <w:pPr>
        <w:pStyle w:val="ParaNumbering"/>
      </w:pPr>
      <w:r>
        <w:t xml:space="preserve">For these reasons, the applicants cannot obtain the declaration and order they seek. The respondent was required by s 474(1)(b) of the Act to </w:t>
      </w:r>
      <w:r w:rsidR="00FF2130">
        <w:t xml:space="preserve">not make a payment to Mr Boxsell for 4 hours </w:t>
      </w:r>
      <w:r w:rsidR="004A2F87">
        <w:t xml:space="preserve">in respect of each </w:t>
      </w:r>
      <w:r w:rsidR="00FF2130">
        <w:t xml:space="preserve">of 30 September and 2 and 3 October 2019 because, on each of those days, he was engaged in </w:t>
      </w:r>
      <w:r w:rsidR="004A2F87">
        <w:t>industrial action that wa</w:t>
      </w:r>
      <w:r w:rsidR="00FF2130" w:rsidRPr="00FF2130">
        <w:t>s not protected industrial action against</w:t>
      </w:r>
      <w:r w:rsidR="00FF2130">
        <w:t xml:space="preserve"> the respondent from </w:t>
      </w:r>
      <w:r w:rsidR="00FF2130" w:rsidRPr="00FF2130">
        <w:t>7.55am to 8.00am, 11.52am to 12.00pm, and 3.53pm to 4.00pm on 30 September 2019, 7.52am to 8.00am on 2 October 2019, and 11.51am to 12.00pm on 3 October 2019</w:t>
      </w:r>
      <w:r w:rsidR="00FF2130">
        <w:t>.</w:t>
      </w:r>
    </w:p>
    <w:p w14:paraId="0ED6C46B" w14:textId="57B32312" w:rsidR="00FF2130" w:rsidRDefault="00FF2130" w:rsidP="00FF2130">
      <w:pPr>
        <w:pStyle w:val="ParaNumbering"/>
      </w:pPr>
      <w:r>
        <w:t>The originating application must be dismissed.</w:t>
      </w:r>
    </w:p>
    <w:tbl>
      <w:tblPr>
        <w:tblW w:w="0" w:type="auto"/>
        <w:tblLook w:val="04A0" w:firstRow="1" w:lastRow="0" w:firstColumn="1" w:lastColumn="0" w:noHBand="0" w:noVBand="1"/>
      </w:tblPr>
      <w:tblGrid>
        <w:gridCol w:w="3794"/>
      </w:tblGrid>
      <w:tr w:rsidR="00CB6B69" w:rsidRPr="00CB6B69" w14:paraId="05C5FC63" w14:textId="77777777">
        <w:tc>
          <w:tcPr>
            <w:tcW w:w="3794" w:type="dxa"/>
            <w:shd w:val="clear" w:color="auto" w:fill="auto"/>
          </w:tcPr>
          <w:p w14:paraId="2AF14A8E" w14:textId="77777777" w:rsidR="00CB6B69" w:rsidRPr="00CB6B69" w:rsidRDefault="00CB6B69" w:rsidP="00CB6B69">
            <w:pPr>
              <w:pStyle w:val="Normal1linespace"/>
            </w:pPr>
            <w:bookmarkStart w:id="12" w:name="Certification"/>
            <w:r w:rsidRPr="00CB6B69">
              <w:lastRenderedPageBreak/>
              <w:t xml:space="preserve">I certify that the preceding </w:t>
            </w:r>
            <w:bookmarkStart w:id="13" w:name="NumberWord"/>
            <w:r>
              <w:t>thirty-two</w:t>
            </w:r>
            <w:bookmarkEnd w:id="13"/>
            <w:r w:rsidRPr="00CB6B69">
              <w:t xml:space="preserve"> (</w:t>
            </w:r>
            <w:bookmarkStart w:id="14" w:name="NumberNumeral"/>
            <w:r>
              <w:t>32</w:t>
            </w:r>
            <w:bookmarkEnd w:id="14"/>
            <w:r w:rsidRPr="00CB6B69">
              <w:t xml:space="preserve">) numbered </w:t>
            </w:r>
            <w:bookmarkStart w:id="15" w:name="CertPara"/>
            <w:r>
              <w:t>paragraphs are</w:t>
            </w:r>
            <w:bookmarkEnd w:id="15"/>
            <w:r w:rsidRPr="00CB6B69">
              <w:t xml:space="preserve"> a true copy of the Reasons for Judgment of </w:t>
            </w:r>
            <w:bookmarkStart w:id="16" w:name="bkHonourable"/>
            <w:r w:rsidRPr="00CB6B69">
              <w:t xml:space="preserve">the Honourable </w:t>
            </w:r>
            <w:bookmarkStart w:id="17" w:name="Justice"/>
            <w:bookmarkEnd w:id="16"/>
            <w:r>
              <w:t>Justice Jagot</w:t>
            </w:r>
            <w:bookmarkEnd w:id="17"/>
            <w:r w:rsidRPr="00CB6B69">
              <w:t>.</w:t>
            </w:r>
          </w:p>
        </w:tc>
      </w:tr>
    </w:tbl>
    <w:p w14:paraId="17700A6E" w14:textId="77777777" w:rsidR="00CB6B69" w:rsidRDefault="00CB6B69" w:rsidP="00815065">
      <w:pPr>
        <w:pStyle w:val="BodyText"/>
      </w:pPr>
    </w:p>
    <w:p w14:paraId="6F6EE0FF" w14:textId="18B55581" w:rsidR="00CB6B69" w:rsidRDefault="00CB6B69" w:rsidP="00815065">
      <w:pPr>
        <w:pStyle w:val="BodyText"/>
      </w:pPr>
      <w:r>
        <w:t>Associate:</w:t>
      </w:r>
      <w:r w:rsidR="00C403C1">
        <w:t xml:space="preserve"> </w:t>
      </w:r>
    </w:p>
    <w:p w14:paraId="0BBA9BB6" w14:textId="77777777" w:rsidR="00CB6B69" w:rsidRDefault="00CB6B69" w:rsidP="00815065">
      <w:pPr>
        <w:pStyle w:val="BodyText"/>
      </w:pPr>
    </w:p>
    <w:p w14:paraId="10F45F60" w14:textId="22E751BC" w:rsidR="00CB6B69" w:rsidRDefault="00CB6B69" w:rsidP="00815065">
      <w:pPr>
        <w:pStyle w:val="BodyText"/>
        <w:tabs>
          <w:tab w:val="left" w:pos="1134"/>
        </w:tabs>
      </w:pPr>
      <w:r>
        <w:t>Dated:</w:t>
      </w:r>
      <w:r>
        <w:tab/>
      </w:r>
      <w:bookmarkStart w:id="18" w:name="CertifyDated"/>
      <w:r w:rsidR="002347DE">
        <w:t>29</w:t>
      </w:r>
      <w:r>
        <w:t xml:space="preserve"> June 2021</w:t>
      </w:r>
      <w:bookmarkEnd w:id="18"/>
    </w:p>
    <w:p w14:paraId="09FB9994" w14:textId="77777777" w:rsidR="00CB6B69" w:rsidRDefault="00CB6B69" w:rsidP="00815065">
      <w:pPr>
        <w:pStyle w:val="BodyText"/>
      </w:pPr>
    </w:p>
    <w:bookmarkEnd w:id="12"/>
    <w:p w14:paraId="143F82FB" w14:textId="77777777" w:rsidR="00CB6B69" w:rsidRDefault="00CB6B69" w:rsidP="00CB6B69">
      <w:pPr>
        <w:pStyle w:val="BodyText"/>
      </w:pPr>
    </w:p>
    <w:sectPr w:rsidR="00CB6B69"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A145" w14:textId="77777777" w:rsidR="00FE34B5" w:rsidRDefault="00FE34B5">
      <w:pPr>
        <w:spacing w:line="20" w:lineRule="exact"/>
      </w:pPr>
    </w:p>
    <w:p w14:paraId="17438838" w14:textId="77777777" w:rsidR="00FE34B5" w:rsidRDefault="00FE34B5"/>
    <w:p w14:paraId="14CD9002" w14:textId="77777777" w:rsidR="00FE34B5" w:rsidRDefault="00FE34B5"/>
  </w:endnote>
  <w:endnote w:type="continuationSeparator" w:id="0">
    <w:p w14:paraId="65A34B23" w14:textId="77777777" w:rsidR="00FE34B5" w:rsidRDefault="00FE34B5">
      <w:r>
        <w:t xml:space="preserve"> </w:t>
      </w:r>
    </w:p>
    <w:p w14:paraId="44867680" w14:textId="77777777" w:rsidR="00FE34B5" w:rsidRDefault="00FE34B5"/>
    <w:p w14:paraId="757CDED8" w14:textId="77777777" w:rsidR="00FE34B5" w:rsidRDefault="00FE34B5"/>
  </w:endnote>
  <w:endnote w:type="continuationNotice" w:id="1">
    <w:p w14:paraId="455B4544" w14:textId="77777777" w:rsidR="00FE34B5" w:rsidRDefault="00FE34B5">
      <w:r>
        <w:t xml:space="preserve"> </w:t>
      </w:r>
    </w:p>
    <w:p w14:paraId="597D1EC3" w14:textId="77777777" w:rsidR="00FE34B5" w:rsidRDefault="00FE34B5"/>
    <w:p w14:paraId="30120F9C" w14:textId="77777777" w:rsidR="00FE34B5" w:rsidRDefault="00FE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D609" w14:textId="2E6A5B7B" w:rsidR="00FE34B5" w:rsidRPr="00C47B9D" w:rsidRDefault="00FE34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C1EEF63" wp14:editId="69D25A6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CB41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E78C7">
          <w:rPr>
            <w:bCs/>
            <w:sz w:val="18"/>
            <w:szCs w:val="18"/>
          </w:rPr>
          <w:t xml:space="preserve">Construction, Forestry, Maritime, Mining &amp; Energy Union v Boggabri Coal Operations Pty Ltd [2021] FCA 719 </w:t>
        </w:r>
      </w:sdtContent>
    </w:sdt>
  </w:p>
  <w:p w14:paraId="6170E50B" w14:textId="21C77318" w:rsidR="00FE34B5" w:rsidRPr="00A436E8" w:rsidRDefault="00FE34B5" w:rsidP="00A436E8">
    <w:pPr>
      <w:pStyle w:val="Footer"/>
      <w:jc w:val="center"/>
      <w:rPr>
        <w:sz w:val="28"/>
      </w:rPr>
    </w:pPr>
    <w:r>
      <w:rPr>
        <w:b/>
        <w:sz w:val="28"/>
      </w:rPr>
      <w:t xml:space="preserve">DRAFT - Judgment Template v.1.1 - </w:t>
    </w:r>
    <w:r>
      <w:rPr>
        <w:b/>
        <w:sz w:val="28"/>
      </w:rPr>
      <w:fldChar w:fldCharType="begin"/>
    </w:r>
    <w:r>
      <w:rPr>
        <w:b/>
        <w:sz w:val="28"/>
      </w:rPr>
      <w:instrText xml:space="preserve"> DATE  \@ "d MMMM yyyy"  \* MERGEFORMAT </w:instrText>
    </w:r>
    <w:r>
      <w:rPr>
        <w:b/>
        <w:sz w:val="28"/>
      </w:rPr>
      <w:fldChar w:fldCharType="separate"/>
    </w:r>
    <w:r w:rsidR="007938DB">
      <w:rPr>
        <w:b/>
        <w:noProof/>
        <w:sz w:val="28"/>
      </w:rPr>
      <w:t>29 June 2021</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7938DB">
      <w:rPr>
        <w:b/>
        <w:noProof/>
        <w:sz w:val="28"/>
      </w:rPr>
      <w:t>10:23 AM</w:t>
    </w:r>
    <w:r>
      <w:rPr>
        <w:b/>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3ADB" w14:textId="7F0A4B5A" w:rsidR="00FE34B5" w:rsidRPr="00C47B9D" w:rsidRDefault="00FE34B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45E39037" wp14:editId="4620638C">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DDBD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31AFA6347CE34B7A9022CF6180B7AE22"/>
        </w:placeholder>
        <w:dataBinding w:prefixMappings="xmlns:ns0='http://schemas.globalmacros.com/FCA'" w:xpath="/ns0:root[1]/ns0:Name[1]" w:storeItemID="{687E7CCB-4AA5-44E7-B148-17BA2B6F57C0}"/>
        <w:text w:multiLine="1"/>
      </w:sdtPr>
      <w:sdtEndPr/>
      <w:sdtContent>
        <w:r w:rsidR="00EE78C7">
          <w:rPr>
            <w:bCs/>
            <w:sz w:val="18"/>
            <w:szCs w:val="18"/>
          </w:rPr>
          <w:t xml:space="preserve">Construction, Forestry, Maritime, Mining &amp; Energy Union v Boggabri Coal Operations Pty Ltd [2021] FCA 719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644CAC03" w14:textId="36726C0C" w:rsidR="00FE34B5" w:rsidRPr="00A84FD0" w:rsidRDefault="00FE34B5" w:rsidP="00A84FD0">
    <w:pPr>
      <w:pStyle w:val="Footer"/>
      <w:jc w:val="center"/>
      <w:rPr>
        <w:sz w:val="28"/>
      </w:rPr>
    </w:pPr>
    <w:r>
      <w:rPr>
        <w:b/>
        <w:sz w:val="28"/>
      </w:rPr>
      <w:t xml:space="preserve">DRAFT - Judgment Template v.1.1 - </w:t>
    </w:r>
    <w:r>
      <w:rPr>
        <w:b/>
        <w:sz w:val="28"/>
      </w:rPr>
      <w:fldChar w:fldCharType="begin"/>
    </w:r>
    <w:r>
      <w:rPr>
        <w:b/>
        <w:sz w:val="28"/>
      </w:rPr>
      <w:instrText xml:space="preserve"> DATE  \@ "d MMMM yyyy"  \* MERGEFORMAT </w:instrText>
    </w:r>
    <w:r>
      <w:rPr>
        <w:b/>
        <w:sz w:val="28"/>
      </w:rPr>
      <w:fldChar w:fldCharType="separate"/>
    </w:r>
    <w:r w:rsidR="007938DB">
      <w:rPr>
        <w:b/>
        <w:noProof/>
        <w:sz w:val="28"/>
      </w:rPr>
      <w:t>29 June 2021</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7938DB">
      <w:rPr>
        <w:b/>
        <w:noProof/>
        <w:sz w:val="28"/>
      </w:rPr>
      <w:t>10:23 AM</w:t>
    </w:r>
    <w:r>
      <w:rP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AB3C" w14:textId="6AE26195" w:rsidR="00FE34B5" w:rsidRPr="00C47B9D" w:rsidRDefault="00FE34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6397DC55" wp14:editId="53EC86F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4D60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4992C86EF3B4CB08F8BF9624159C112"/>
        </w:placeholder>
        <w:dataBinding w:prefixMappings="xmlns:ns0='http://schemas.globalmacros.com/FCA'" w:xpath="/ns0:root[1]/ns0:Name[1]" w:storeItemID="{687E7CCB-4AA5-44E7-B148-17BA2B6F57C0}"/>
        <w:text w:multiLine="1"/>
      </w:sdtPr>
      <w:sdtEndPr/>
      <w:sdtContent>
        <w:r w:rsidR="00EE78C7">
          <w:rPr>
            <w:bCs/>
            <w:sz w:val="18"/>
            <w:szCs w:val="18"/>
          </w:rPr>
          <w:t xml:space="preserve">Construction, Forestry, Maritime, Mining &amp; Energy Union v Boggabri Coal Operations Pty Ltd [2021] FCA 719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938DB">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E97D" w14:textId="1A458563" w:rsidR="00FE34B5" w:rsidRPr="00C47B9D" w:rsidRDefault="00FE34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34037725" wp14:editId="03FE9B1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8EC70"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6C8CA6EF1227437A80364B0E4CEA8C65"/>
        </w:placeholder>
        <w:dataBinding w:prefixMappings="xmlns:ns0='http://schemas.globalmacros.com/FCA'" w:xpath="/ns0:root[1]/ns0:Name[1]" w:storeItemID="{687E7CCB-4AA5-44E7-B148-17BA2B6F57C0}"/>
        <w:text w:multiLine="1"/>
      </w:sdtPr>
      <w:sdtEndPr/>
      <w:sdtContent>
        <w:r w:rsidR="00EE78C7">
          <w:rPr>
            <w:bCs/>
            <w:sz w:val="18"/>
            <w:szCs w:val="18"/>
          </w:rPr>
          <w:t xml:space="preserve">Construction, Forestry, Maritime, Mining &amp; Energy Union v Boggabri Coal Operations Pty Ltd [2021] FCA 719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938DB">
      <w:rPr>
        <w:bCs/>
        <w:noProof/>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D268D" w14:textId="21D8D9A3" w:rsidR="00FE34B5" w:rsidRPr="00C47B9D" w:rsidRDefault="00FE34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99164C0" wp14:editId="39D302F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3499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7353019389E147C1B4A5D582210DFBFE"/>
        </w:placeholder>
        <w:dataBinding w:prefixMappings="xmlns:ns0='http://schemas.globalmacros.com/FCA'" w:xpath="/ns0:root[1]/ns0:Name[1]" w:storeItemID="{687E7CCB-4AA5-44E7-B148-17BA2B6F57C0}"/>
        <w:text w:multiLine="1"/>
      </w:sdtPr>
      <w:sdtEndPr/>
      <w:sdtContent>
        <w:r w:rsidR="00EE78C7">
          <w:rPr>
            <w:bCs/>
            <w:sz w:val="18"/>
            <w:szCs w:val="18"/>
          </w:rPr>
          <w:t xml:space="preserve">Construction, Forestry, Maritime, Mining &amp; Energy Union v Boggabri Coal Operations Pty Ltd [2021] FCA 719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938D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6790B" w14:textId="77777777" w:rsidR="00FE34B5" w:rsidRDefault="00FE34B5"/>
    <w:p w14:paraId="2BAE6DB8" w14:textId="77777777" w:rsidR="00FE34B5" w:rsidRDefault="00FE34B5"/>
    <w:p w14:paraId="5DB3F3B3" w14:textId="77777777" w:rsidR="00FE34B5" w:rsidRDefault="00FE34B5"/>
  </w:footnote>
  <w:footnote w:type="continuationSeparator" w:id="0">
    <w:p w14:paraId="16ECF085" w14:textId="77777777" w:rsidR="00FE34B5" w:rsidRDefault="00FE34B5">
      <w:r>
        <w:continuationSeparator/>
      </w:r>
    </w:p>
    <w:p w14:paraId="1AD3DF5B" w14:textId="77777777" w:rsidR="00FE34B5" w:rsidRDefault="00FE34B5"/>
    <w:p w14:paraId="4D2C7302" w14:textId="77777777" w:rsidR="00FE34B5" w:rsidRDefault="00FE34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F826" w14:textId="77777777" w:rsidR="00FE34B5" w:rsidRDefault="00FE34B5">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9954" w14:textId="77777777" w:rsidR="00FE34B5" w:rsidRDefault="00FE34B5">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51FB" w14:textId="77777777" w:rsidR="00FE34B5" w:rsidRDefault="00FE34B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B137" w14:textId="77777777" w:rsidR="00FE34B5" w:rsidRDefault="00FE34B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CCA6" w14:textId="77777777" w:rsidR="00FE34B5" w:rsidRDefault="00FE34B5"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1"/>
  </w:num>
  <w:num w:numId="20">
    <w:abstractNumId w:val="17"/>
  </w:num>
  <w:num w:numId="21">
    <w:abstractNumId w:val="15"/>
  </w:num>
  <w:num w:numId="22">
    <w:abstractNumId w:val="16"/>
  </w:num>
  <w:num w:numId="23">
    <w:abstractNumId w:val="18"/>
  </w:num>
  <w:num w:numId="24">
    <w:abstractNumId w:val="10"/>
  </w:num>
  <w:num w:numId="25">
    <w:abstractNumId w:val="10"/>
  </w:num>
  <w:num w:numId="2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selParties" w:val="Appellant"/>
    <w:docVar w:name="CounselType" w:val="Counsel for the "/>
    <w:docVar w:name="DocCreated" w:val="True"/>
    <w:docVar w:name="grpRadioJudges" w:val="Justice"/>
    <w:docVar w:name="Judgdate" w:val="25 June 2021"/>
    <w:docVar w:name="Judge" w:val="Jagot"/>
    <w:docVar w:name="lstEntryList" w:val="-1"/>
    <w:docVar w:name="NumApps_" w:val="0"/>
    <w:docVar w:name="RadioJudge" w:val="False"/>
    <w:docVar w:name="RadioJustice" w:val="True"/>
    <w:docVar w:name="RadioJustices" w:val="False"/>
  </w:docVars>
  <w:rsids>
    <w:rsidRoot w:val="009E6668"/>
    <w:rsid w:val="00000747"/>
    <w:rsid w:val="000115C5"/>
    <w:rsid w:val="00013DF5"/>
    <w:rsid w:val="0001469E"/>
    <w:rsid w:val="00015993"/>
    <w:rsid w:val="00017A12"/>
    <w:rsid w:val="00021CCB"/>
    <w:rsid w:val="00022289"/>
    <w:rsid w:val="00027398"/>
    <w:rsid w:val="0003201A"/>
    <w:rsid w:val="0003207A"/>
    <w:rsid w:val="00032F9F"/>
    <w:rsid w:val="00033158"/>
    <w:rsid w:val="00041C07"/>
    <w:rsid w:val="00045B8D"/>
    <w:rsid w:val="00045BB7"/>
    <w:rsid w:val="00055719"/>
    <w:rsid w:val="0005641B"/>
    <w:rsid w:val="0006196A"/>
    <w:rsid w:val="00081497"/>
    <w:rsid w:val="00085255"/>
    <w:rsid w:val="000929E4"/>
    <w:rsid w:val="000A2E76"/>
    <w:rsid w:val="000A3F11"/>
    <w:rsid w:val="000A4807"/>
    <w:rsid w:val="000A4BE4"/>
    <w:rsid w:val="000B06BE"/>
    <w:rsid w:val="000C023E"/>
    <w:rsid w:val="000C5195"/>
    <w:rsid w:val="000C62EF"/>
    <w:rsid w:val="000C6C75"/>
    <w:rsid w:val="000D2137"/>
    <w:rsid w:val="000D3FD2"/>
    <w:rsid w:val="000D4B2E"/>
    <w:rsid w:val="000D7A39"/>
    <w:rsid w:val="000E3FC8"/>
    <w:rsid w:val="000E477E"/>
    <w:rsid w:val="000E7703"/>
    <w:rsid w:val="000E7BAE"/>
    <w:rsid w:val="000F133D"/>
    <w:rsid w:val="000F4F9F"/>
    <w:rsid w:val="00103161"/>
    <w:rsid w:val="0010536B"/>
    <w:rsid w:val="0011145C"/>
    <w:rsid w:val="001128BD"/>
    <w:rsid w:val="0011419D"/>
    <w:rsid w:val="00114B02"/>
    <w:rsid w:val="00116B51"/>
    <w:rsid w:val="001226C0"/>
    <w:rsid w:val="00123C37"/>
    <w:rsid w:val="00126EC8"/>
    <w:rsid w:val="0012731C"/>
    <w:rsid w:val="00132054"/>
    <w:rsid w:val="0013440D"/>
    <w:rsid w:val="00134964"/>
    <w:rsid w:val="001351B9"/>
    <w:rsid w:val="001360A9"/>
    <w:rsid w:val="00140716"/>
    <w:rsid w:val="00140E0D"/>
    <w:rsid w:val="001545DC"/>
    <w:rsid w:val="00155CD2"/>
    <w:rsid w:val="00162769"/>
    <w:rsid w:val="0016438F"/>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8CE"/>
    <w:rsid w:val="001B7940"/>
    <w:rsid w:val="001C171A"/>
    <w:rsid w:val="001C37CA"/>
    <w:rsid w:val="001C4085"/>
    <w:rsid w:val="001D4303"/>
    <w:rsid w:val="001D6746"/>
    <w:rsid w:val="001E0E19"/>
    <w:rsid w:val="001E3B49"/>
    <w:rsid w:val="001E4A05"/>
    <w:rsid w:val="001E7388"/>
    <w:rsid w:val="001F13DD"/>
    <w:rsid w:val="001F2473"/>
    <w:rsid w:val="001F2DBC"/>
    <w:rsid w:val="001F6589"/>
    <w:rsid w:val="001F73E8"/>
    <w:rsid w:val="0020262C"/>
    <w:rsid w:val="00202723"/>
    <w:rsid w:val="002029B8"/>
    <w:rsid w:val="00211A3E"/>
    <w:rsid w:val="00215BCA"/>
    <w:rsid w:val="00217AC4"/>
    <w:rsid w:val="00221461"/>
    <w:rsid w:val="00224537"/>
    <w:rsid w:val="0023137C"/>
    <w:rsid w:val="002345C9"/>
    <w:rsid w:val="002347DE"/>
    <w:rsid w:val="00235956"/>
    <w:rsid w:val="00243E5E"/>
    <w:rsid w:val="00247C9A"/>
    <w:rsid w:val="00247EB1"/>
    <w:rsid w:val="0025160C"/>
    <w:rsid w:val="002535D0"/>
    <w:rsid w:val="002539B3"/>
    <w:rsid w:val="00255262"/>
    <w:rsid w:val="00256336"/>
    <w:rsid w:val="00257C3E"/>
    <w:rsid w:val="002602C2"/>
    <w:rsid w:val="002604F5"/>
    <w:rsid w:val="00261EA4"/>
    <w:rsid w:val="002666C9"/>
    <w:rsid w:val="00270136"/>
    <w:rsid w:val="00270FD7"/>
    <w:rsid w:val="00274F5B"/>
    <w:rsid w:val="00276CBB"/>
    <w:rsid w:val="00280836"/>
    <w:rsid w:val="00282E1A"/>
    <w:rsid w:val="002840F1"/>
    <w:rsid w:val="0029042D"/>
    <w:rsid w:val="0029113B"/>
    <w:rsid w:val="002934C0"/>
    <w:rsid w:val="00293A7D"/>
    <w:rsid w:val="0029764C"/>
    <w:rsid w:val="002A1B50"/>
    <w:rsid w:val="002A7BB8"/>
    <w:rsid w:val="002B0E91"/>
    <w:rsid w:val="002B132C"/>
    <w:rsid w:val="002B3F23"/>
    <w:rsid w:val="002B4EB5"/>
    <w:rsid w:val="002B5AF5"/>
    <w:rsid w:val="002B6779"/>
    <w:rsid w:val="002B6C70"/>
    <w:rsid w:val="002B71C0"/>
    <w:rsid w:val="002B7A34"/>
    <w:rsid w:val="002C2617"/>
    <w:rsid w:val="002C31AD"/>
    <w:rsid w:val="002C7385"/>
    <w:rsid w:val="002D2DBB"/>
    <w:rsid w:val="002D37D8"/>
    <w:rsid w:val="002D54A6"/>
    <w:rsid w:val="002E5BF9"/>
    <w:rsid w:val="002E6A7A"/>
    <w:rsid w:val="002F14FC"/>
    <w:rsid w:val="002F1E49"/>
    <w:rsid w:val="002F4E9C"/>
    <w:rsid w:val="00302F4E"/>
    <w:rsid w:val="0031256C"/>
    <w:rsid w:val="00314AF4"/>
    <w:rsid w:val="00314D6C"/>
    <w:rsid w:val="00316D2A"/>
    <w:rsid w:val="00320F7F"/>
    <w:rsid w:val="00322A7C"/>
    <w:rsid w:val="00322EEC"/>
    <w:rsid w:val="00323061"/>
    <w:rsid w:val="003402D3"/>
    <w:rsid w:val="00343ABC"/>
    <w:rsid w:val="003463FE"/>
    <w:rsid w:val="0034683B"/>
    <w:rsid w:val="00347D41"/>
    <w:rsid w:val="003554B3"/>
    <w:rsid w:val="00356632"/>
    <w:rsid w:val="00357C7E"/>
    <w:rsid w:val="003601B0"/>
    <w:rsid w:val="0036102E"/>
    <w:rsid w:val="00361938"/>
    <w:rsid w:val="003653B6"/>
    <w:rsid w:val="00374CC4"/>
    <w:rsid w:val="003760E3"/>
    <w:rsid w:val="003774B2"/>
    <w:rsid w:val="00380F2D"/>
    <w:rsid w:val="003845A9"/>
    <w:rsid w:val="003850C9"/>
    <w:rsid w:val="00390883"/>
    <w:rsid w:val="003922F8"/>
    <w:rsid w:val="00395B24"/>
    <w:rsid w:val="003A2D38"/>
    <w:rsid w:val="003A75CE"/>
    <w:rsid w:val="003A7ECC"/>
    <w:rsid w:val="003B2C72"/>
    <w:rsid w:val="003B58B4"/>
    <w:rsid w:val="003C1333"/>
    <w:rsid w:val="003C20FF"/>
    <w:rsid w:val="003C343B"/>
    <w:rsid w:val="003C550A"/>
    <w:rsid w:val="003C6055"/>
    <w:rsid w:val="003D2650"/>
    <w:rsid w:val="003D560C"/>
    <w:rsid w:val="003D5C00"/>
    <w:rsid w:val="003D6BFB"/>
    <w:rsid w:val="003E3154"/>
    <w:rsid w:val="003E5874"/>
    <w:rsid w:val="003E72D3"/>
    <w:rsid w:val="003F193E"/>
    <w:rsid w:val="003F242C"/>
    <w:rsid w:val="003F34F1"/>
    <w:rsid w:val="00406A57"/>
    <w:rsid w:val="004104B6"/>
    <w:rsid w:val="00411AE8"/>
    <w:rsid w:val="00413B74"/>
    <w:rsid w:val="004342F3"/>
    <w:rsid w:val="00435C5F"/>
    <w:rsid w:val="00436155"/>
    <w:rsid w:val="00441E98"/>
    <w:rsid w:val="0044343F"/>
    <w:rsid w:val="00450F3A"/>
    <w:rsid w:val="004532F7"/>
    <w:rsid w:val="00455F8C"/>
    <w:rsid w:val="00464D51"/>
    <w:rsid w:val="00472027"/>
    <w:rsid w:val="004747B8"/>
    <w:rsid w:val="00475322"/>
    <w:rsid w:val="004804CF"/>
    <w:rsid w:val="00484962"/>
    <w:rsid w:val="00484F6D"/>
    <w:rsid w:val="00484FB7"/>
    <w:rsid w:val="0048554D"/>
    <w:rsid w:val="004864CD"/>
    <w:rsid w:val="0049225D"/>
    <w:rsid w:val="0049338A"/>
    <w:rsid w:val="0049417F"/>
    <w:rsid w:val="00496D41"/>
    <w:rsid w:val="004A2F87"/>
    <w:rsid w:val="004A6602"/>
    <w:rsid w:val="004A6A04"/>
    <w:rsid w:val="004B3EFA"/>
    <w:rsid w:val="004C2A87"/>
    <w:rsid w:val="004C4D7B"/>
    <w:rsid w:val="004C4ED3"/>
    <w:rsid w:val="004C667B"/>
    <w:rsid w:val="004C7ECD"/>
    <w:rsid w:val="004D2EA5"/>
    <w:rsid w:val="004D32A6"/>
    <w:rsid w:val="004D4643"/>
    <w:rsid w:val="004D53E5"/>
    <w:rsid w:val="004D74FC"/>
    <w:rsid w:val="004E6DC4"/>
    <w:rsid w:val="004E7158"/>
    <w:rsid w:val="004F21C1"/>
    <w:rsid w:val="004F38B8"/>
    <w:rsid w:val="00501A12"/>
    <w:rsid w:val="0050309C"/>
    <w:rsid w:val="005058B6"/>
    <w:rsid w:val="0051327C"/>
    <w:rsid w:val="0051346D"/>
    <w:rsid w:val="00513EAE"/>
    <w:rsid w:val="0051434F"/>
    <w:rsid w:val="00516806"/>
    <w:rsid w:val="0052098C"/>
    <w:rsid w:val="00525A49"/>
    <w:rsid w:val="005262D1"/>
    <w:rsid w:val="00530876"/>
    <w:rsid w:val="00535613"/>
    <w:rsid w:val="005359EB"/>
    <w:rsid w:val="0054254A"/>
    <w:rsid w:val="0054500B"/>
    <w:rsid w:val="00546016"/>
    <w:rsid w:val="005466B5"/>
    <w:rsid w:val="0054703E"/>
    <w:rsid w:val="005515DD"/>
    <w:rsid w:val="00554314"/>
    <w:rsid w:val="00562829"/>
    <w:rsid w:val="005629B3"/>
    <w:rsid w:val="005636B8"/>
    <w:rsid w:val="005724F6"/>
    <w:rsid w:val="00573359"/>
    <w:rsid w:val="00573AC4"/>
    <w:rsid w:val="00577503"/>
    <w:rsid w:val="005801FC"/>
    <w:rsid w:val="00585BA9"/>
    <w:rsid w:val="00587359"/>
    <w:rsid w:val="00595016"/>
    <w:rsid w:val="00595CBA"/>
    <w:rsid w:val="00596346"/>
    <w:rsid w:val="00597AAE"/>
    <w:rsid w:val="005A06CE"/>
    <w:rsid w:val="005A222C"/>
    <w:rsid w:val="005A281A"/>
    <w:rsid w:val="005A49F6"/>
    <w:rsid w:val="005A4DF8"/>
    <w:rsid w:val="005A78C8"/>
    <w:rsid w:val="005B1426"/>
    <w:rsid w:val="005B4373"/>
    <w:rsid w:val="005C0A8E"/>
    <w:rsid w:val="005C1767"/>
    <w:rsid w:val="005C185C"/>
    <w:rsid w:val="005C42EF"/>
    <w:rsid w:val="005D0A6B"/>
    <w:rsid w:val="005D1EAF"/>
    <w:rsid w:val="005E02F5"/>
    <w:rsid w:val="005E0510"/>
    <w:rsid w:val="005E08CB"/>
    <w:rsid w:val="005E0E20"/>
    <w:rsid w:val="005E10CF"/>
    <w:rsid w:val="005E176E"/>
    <w:rsid w:val="005E218E"/>
    <w:rsid w:val="005E35A0"/>
    <w:rsid w:val="005E4B43"/>
    <w:rsid w:val="005E76A1"/>
    <w:rsid w:val="005F0D1B"/>
    <w:rsid w:val="005F1865"/>
    <w:rsid w:val="006007BD"/>
    <w:rsid w:val="006013C8"/>
    <w:rsid w:val="0060270D"/>
    <w:rsid w:val="00604611"/>
    <w:rsid w:val="00611586"/>
    <w:rsid w:val="00612D26"/>
    <w:rsid w:val="00615855"/>
    <w:rsid w:val="00620DA8"/>
    <w:rsid w:val="00621887"/>
    <w:rsid w:val="00624520"/>
    <w:rsid w:val="006251BB"/>
    <w:rsid w:val="006271F5"/>
    <w:rsid w:val="00632300"/>
    <w:rsid w:val="00632BB7"/>
    <w:rsid w:val="00635B36"/>
    <w:rsid w:val="00636871"/>
    <w:rsid w:val="00640EE1"/>
    <w:rsid w:val="00640F4E"/>
    <w:rsid w:val="00643DE0"/>
    <w:rsid w:val="0064437D"/>
    <w:rsid w:val="00644E85"/>
    <w:rsid w:val="00650153"/>
    <w:rsid w:val="00650C7C"/>
    <w:rsid w:val="00652C52"/>
    <w:rsid w:val="0066063F"/>
    <w:rsid w:val="006606B8"/>
    <w:rsid w:val="00662BB0"/>
    <w:rsid w:val="00663878"/>
    <w:rsid w:val="00667773"/>
    <w:rsid w:val="00670743"/>
    <w:rsid w:val="006709DA"/>
    <w:rsid w:val="00680A85"/>
    <w:rsid w:val="00681ADF"/>
    <w:rsid w:val="00686F10"/>
    <w:rsid w:val="0069013D"/>
    <w:rsid w:val="00690EE2"/>
    <w:rsid w:val="00693854"/>
    <w:rsid w:val="00694BEB"/>
    <w:rsid w:val="006A0E20"/>
    <w:rsid w:val="006A1A25"/>
    <w:rsid w:val="006A24E3"/>
    <w:rsid w:val="006A5695"/>
    <w:rsid w:val="006A7636"/>
    <w:rsid w:val="006B0439"/>
    <w:rsid w:val="006B1708"/>
    <w:rsid w:val="006B311F"/>
    <w:rsid w:val="006B3904"/>
    <w:rsid w:val="006B5B7D"/>
    <w:rsid w:val="006C1FCD"/>
    <w:rsid w:val="006C5B46"/>
    <w:rsid w:val="006C6E39"/>
    <w:rsid w:val="006D0ECF"/>
    <w:rsid w:val="006D3D5B"/>
    <w:rsid w:val="006D4C92"/>
    <w:rsid w:val="006D4EB6"/>
    <w:rsid w:val="006D5B22"/>
    <w:rsid w:val="006E35BF"/>
    <w:rsid w:val="006E7850"/>
    <w:rsid w:val="006F46D6"/>
    <w:rsid w:val="007028D9"/>
    <w:rsid w:val="0070479F"/>
    <w:rsid w:val="00706B20"/>
    <w:rsid w:val="00707218"/>
    <w:rsid w:val="00710D04"/>
    <w:rsid w:val="00712B1D"/>
    <w:rsid w:val="00714612"/>
    <w:rsid w:val="00715751"/>
    <w:rsid w:val="007171BA"/>
    <w:rsid w:val="00717616"/>
    <w:rsid w:val="007325D9"/>
    <w:rsid w:val="0073583B"/>
    <w:rsid w:val="007360CA"/>
    <w:rsid w:val="0074667B"/>
    <w:rsid w:val="007470BD"/>
    <w:rsid w:val="00760EC0"/>
    <w:rsid w:val="0076386C"/>
    <w:rsid w:val="007711BD"/>
    <w:rsid w:val="0078003A"/>
    <w:rsid w:val="00780771"/>
    <w:rsid w:val="007929CF"/>
    <w:rsid w:val="007938DB"/>
    <w:rsid w:val="00794EA5"/>
    <w:rsid w:val="007A49E7"/>
    <w:rsid w:val="007A6DAB"/>
    <w:rsid w:val="007A6F28"/>
    <w:rsid w:val="007B03C6"/>
    <w:rsid w:val="007B0DB1"/>
    <w:rsid w:val="007B33AF"/>
    <w:rsid w:val="007B5673"/>
    <w:rsid w:val="007B7238"/>
    <w:rsid w:val="007B76FF"/>
    <w:rsid w:val="007B7C83"/>
    <w:rsid w:val="007C3BF6"/>
    <w:rsid w:val="007C67B3"/>
    <w:rsid w:val="007C75B1"/>
    <w:rsid w:val="007D0FD2"/>
    <w:rsid w:val="007D2EF8"/>
    <w:rsid w:val="007D561F"/>
    <w:rsid w:val="007D7FD2"/>
    <w:rsid w:val="007E13D9"/>
    <w:rsid w:val="007E2AEC"/>
    <w:rsid w:val="007E41BE"/>
    <w:rsid w:val="007E4DB6"/>
    <w:rsid w:val="007E6733"/>
    <w:rsid w:val="007E7CD4"/>
    <w:rsid w:val="007F04A2"/>
    <w:rsid w:val="007F12AC"/>
    <w:rsid w:val="007F4501"/>
    <w:rsid w:val="007F60DF"/>
    <w:rsid w:val="00801800"/>
    <w:rsid w:val="00801861"/>
    <w:rsid w:val="00801B5B"/>
    <w:rsid w:val="008155CF"/>
    <w:rsid w:val="008216E7"/>
    <w:rsid w:val="008221B2"/>
    <w:rsid w:val="00825BE6"/>
    <w:rsid w:val="008276B4"/>
    <w:rsid w:val="00831927"/>
    <w:rsid w:val="008334AC"/>
    <w:rsid w:val="00837288"/>
    <w:rsid w:val="00841BD3"/>
    <w:rsid w:val="0084273D"/>
    <w:rsid w:val="00842C10"/>
    <w:rsid w:val="00844E3F"/>
    <w:rsid w:val="00845A83"/>
    <w:rsid w:val="00846BB9"/>
    <w:rsid w:val="00851928"/>
    <w:rsid w:val="008649D5"/>
    <w:rsid w:val="008712BB"/>
    <w:rsid w:val="008830E7"/>
    <w:rsid w:val="00883313"/>
    <w:rsid w:val="00885511"/>
    <w:rsid w:val="00890EDE"/>
    <w:rsid w:val="00892B38"/>
    <w:rsid w:val="008A1741"/>
    <w:rsid w:val="008A2484"/>
    <w:rsid w:val="008A4B3A"/>
    <w:rsid w:val="008A52F3"/>
    <w:rsid w:val="008A532A"/>
    <w:rsid w:val="008B2D70"/>
    <w:rsid w:val="008B7F64"/>
    <w:rsid w:val="008C166C"/>
    <w:rsid w:val="008C26D9"/>
    <w:rsid w:val="008C6D50"/>
    <w:rsid w:val="008C7167"/>
    <w:rsid w:val="008C7503"/>
    <w:rsid w:val="008D1617"/>
    <w:rsid w:val="008D330F"/>
    <w:rsid w:val="008D48C1"/>
    <w:rsid w:val="008E6315"/>
    <w:rsid w:val="008F07FC"/>
    <w:rsid w:val="008F11E0"/>
    <w:rsid w:val="008F3EA7"/>
    <w:rsid w:val="008F5EFF"/>
    <w:rsid w:val="008F78BC"/>
    <w:rsid w:val="008F7B63"/>
    <w:rsid w:val="008F7D6A"/>
    <w:rsid w:val="009003F1"/>
    <w:rsid w:val="00901C86"/>
    <w:rsid w:val="00902225"/>
    <w:rsid w:val="00903603"/>
    <w:rsid w:val="0090486B"/>
    <w:rsid w:val="009054CB"/>
    <w:rsid w:val="00911F8D"/>
    <w:rsid w:val="00912F94"/>
    <w:rsid w:val="00914530"/>
    <w:rsid w:val="009171BC"/>
    <w:rsid w:val="0092497E"/>
    <w:rsid w:val="0092590B"/>
    <w:rsid w:val="00925BF3"/>
    <w:rsid w:val="00925E60"/>
    <w:rsid w:val="009264B3"/>
    <w:rsid w:val="00927185"/>
    <w:rsid w:val="00927EEB"/>
    <w:rsid w:val="00935A51"/>
    <w:rsid w:val="009365E0"/>
    <w:rsid w:val="00942BA2"/>
    <w:rsid w:val="009432B7"/>
    <w:rsid w:val="00944C86"/>
    <w:rsid w:val="00947C02"/>
    <w:rsid w:val="00950BE6"/>
    <w:rsid w:val="00957DE8"/>
    <w:rsid w:val="00960089"/>
    <w:rsid w:val="00960ECB"/>
    <w:rsid w:val="009615D6"/>
    <w:rsid w:val="00967855"/>
    <w:rsid w:val="00972CCA"/>
    <w:rsid w:val="00974709"/>
    <w:rsid w:val="00980736"/>
    <w:rsid w:val="0098103E"/>
    <w:rsid w:val="00981A39"/>
    <w:rsid w:val="00982D56"/>
    <w:rsid w:val="00983DBF"/>
    <w:rsid w:val="00987097"/>
    <w:rsid w:val="00991123"/>
    <w:rsid w:val="00991CAB"/>
    <w:rsid w:val="009A3A9C"/>
    <w:rsid w:val="009A52C8"/>
    <w:rsid w:val="009A74CF"/>
    <w:rsid w:val="009B046C"/>
    <w:rsid w:val="009B13FA"/>
    <w:rsid w:val="009B1E2D"/>
    <w:rsid w:val="009B4A89"/>
    <w:rsid w:val="009C0735"/>
    <w:rsid w:val="009C59FB"/>
    <w:rsid w:val="009C67AB"/>
    <w:rsid w:val="009C6F3B"/>
    <w:rsid w:val="009D1467"/>
    <w:rsid w:val="009D328D"/>
    <w:rsid w:val="009E1AA2"/>
    <w:rsid w:val="009E4FA6"/>
    <w:rsid w:val="009E6668"/>
    <w:rsid w:val="009E7D93"/>
    <w:rsid w:val="009F3C34"/>
    <w:rsid w:val="009F462C"/>
    <w:rsid w:val="009F5C33"/>
    <w:rsid w:val="00A026F0"/>
    <w:rsid w:val="00A03EAC"/>
    <w:rsid w:val="00A04DBB"/>
    <w:rsid w:val="00A06439"/>
    <w:rsid w:val="00A07EA0"/>
    <w:rsid w:val="00A10F72"/>
    <w:rsid w:val="00A11CA6"/>
    <w:rsid w:val="00A128CF"/>
    <w:rsid w:val="00A1293E"/>
    <w:rsid w:val="00A133C0"/>
    <w:rsid w:val="00A20C49"/>
    <w:rsid w:val="00A22932"/>
    <w:rsid w:val="00A269CA"/>
    <w:rsid w:val="00A336EE"/>
    <w:rsid w:val="00A33F46"/>
    <w:rsid w:val="00A3427E"/>
    <w:rsid w:val="00A35501"/>
    <w:rsid w:val="00A359AC"/>
    <w:rsid w:val="00A363D5"/>
    <w:rsid w:val="00A40F83"/>
    <w:rsid w:val="00A410FB"/>
    <w:rsid w:val="00A41413"/>
    <w:rsid w:val="00A431E6"/>
    <w:rsid w:val="00A436E8"/>
    <w:rsid w:val="00A45FB1"/>
    <w:rsid w:val="00A46CCC"/>
    <w:rsid w:val="00A47996"/>
    <w:rsid w:val="00A51CFE"/>
    <w:rsid w:val="00A5204D"/>
    <w:rsid w:val="00A60821"/>
    <w:rsid w:val="00A61605"/>
    <w:rsid w:val="00A63742"/>
    <w:rsid w:val="00A65F97"/>
    <w:rsid w:val="00A76C13"/>
    <w:rsid w:val="00A84FD0"/>
    <w:rsid w:val="00A92E79"/>
    <w:rsid w:val="00A950B6"/>
    <w:rsid w:val="00A950DA"/>
    <w:rsid w:val="00A95D45"/>
    <w:rsid w:val="00AB41C1"/>
    <w:rsid w:val="00AB4CF2"/>
    <w:rsid w:val="00AB6CCA"/>
    <w:rsid w:val="00AC223F"/>
    <w:rsid w:val="00AC33B1"/>
    <w:rsid w:val="00AD12A8"/>
    <w:rsid w:val="00AD40F8"/>
    <w:rsid w:val="00AE023F"/>
    <w:rsid w:val="00AF3577"/>
    <w:rsid w:val="00AF35F9"/>
    <w:rsid w:val="00B0424C"/>
    <w:rsid w:val="00B05C7D"/>
    <w:rsid w:val="00B07AF6"/>
    <w:rsid w:val="00B07E5E"/>
    <w:rsid w:val="00B12BFB"/>
    <w:rsid w:val="00B15D57"/>
    <w:rsid w:val="00B16347"/>
    <w:rsid w:val="00B17D6E"/>
    <w:rsid w:val="00B2435E"/>
    <w:rsid w:val="00B32EB6"/>
    <w:rsid w:val="00B346C3"/>
    <w:rsid w:val="00B4005C"/>
    <w:rsid w:val="00B4227E"/>
    <w:rsid w:val="00B4471C"/>
    <w:rsid w:val="00B451A6"/>
    <w:rsid w:val="00B56D6E"/>
    <w:rsid w:val="00B64347"/>
    <w:rsid w:val="00B65DC6"/>
    <w:rsid w:val="00B675B5"/>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0BF4"/>
    <w:rsid w:val="00BB1AFB"/>
    <w:rsid w:val="00BB27AE"/>
    <w:rsid w:val="00BB2DA2"/>
    <w:rsid w:val="00BB56DC"/>
    <w:rsid w:val="00BD2F5B"/>
    <w:rsid w:val="00BE183D"/>
    <w:rsid w:val="00BF5C1D"/>
    <w:rsid w:val="00BF5D7A"/>
    <w:rsid w:val="00C0197F"/>
    <w:rsid w:val="00C01C2E"/>
    <w:rsid w:val="00C02D33"/>
    <w:rsid w:val="00C04B53"/>
    <w:rsid w:val="00C07758"/>
    <w:rsid w:val="00C07C4E"/>
    <w:rsid w:val="00C1232C"/>
    <w:rsid w:val="00C17561"/>
    <w:rsid w:val="00C21EC2"/>
    <w:rsid w:val="00C233A7"/>
    <w:rsid w:val="00C27C6B"/>
    <w:rsid w:val="00C3594D"/>
    <w:rsid w:val="00C35DA8"/>
    <w:rsid w:val="00C36442"/>
    <w:rsid w:val="00C400CE"/>
    <w:rsid w:val="00C403C1"/>
    <w:rsid w:val="00C410FD"/>
    <w:rsid w:val="00C4186B"/>
    <w:rsid w:val="00C457DE"/>
    <w:rsid w:val="00C47DD3"/>
    <w:rsid w:val="00C53562"/>
    <w:rsid w:val="00C539FB"/>
    <w:rsid w:val="00C57ADC"/>
    <w:rsid w:val="00C66E57"/>
    <w:rsid w:val="00C74150"/>
    <w:rsid w:val="00C75594"/>
    <w:rsid w:val="00C81E21"/>
    <w:rsid w:val="00C85982"/>
    <w:rsid w:val="00C952B6"/>
    <w:rsid w:val="00C954B8"/>
    <w:rsid w:val="00CA0466"/>
    <w:rsid w:val="00CA246D"/>
    <w:rsid w:val="00CA50D9"/>
    <w:rsid w:val="00CB3054"/>
    <w:rsid w:val="00CB5636"/>
    <w:rsid w:val="00CB6B69"/>
    <w:rsid w:val="00CC36D3"/>
    <w:rsid w:val="00CC3EE5"/>
    <w:rsid w:val="00CD52B8"/>
    <w:rsid w:val="00CE425C"/>
    <w:rsid w:val="00CE58AC"/>
    <w:rsid w:val="00CE7E24"/>
    <w:rsid w:val="00CF0B03"/>
    <w:rsid w:val="00CF5A80"/>
    <w:rsid w:val="00D045EE"/>
    <w:rsid w:val="00D05091"/>
    <w:rsid w:val="00D06FA8"/>
    <w:rsid w:val="00D10CA6"/>
    <w:rsid w:val="00D10F21"/>
    <w:rsid w:val="00D134CF"/>
    <w:rsid w:val="00D1573B"/>
    <w:rsid w:val="00D24806"/>
    <w:rsid w:val="00D26BFF"/>
    <w:rsid w:val="00D34040"/>
    <w:rsid w:val="00D34E69"/>
    <w:rsid w:val="00D36C78"/>
    <w:rsid w:val="00D375EE"/>
    <w:rsid w:val="00D4304A"/>
    <w:rsid w:val="00D55AE8"/>
    <w:rsid w:val="00D56056"/>
    <w:rsid w:val="00D6085F"/>
    <w:rsid w:val="00D62699"/>
    <w:rsid w:val="00D65313"/>
    <w:rsid w:val="00D778E9"/>
    <w:rsid w:val="00D812BF"/>
    <w:rsid w:val="00D82620"/>
    <w:rsid w:val="00D85707"/>
    <w:rsid w:val="00D913E3"/>
    <w:rsid w:val="00D943C3"/>
    <w:rsid w:val="00D96BDB"/>
    <w:rsid w:val="00D9725F"/>
    <w:rsid w:val="00DA01B1"/>
    <w:rsid w:val="00DA11A2"/>
    <w:rsid w:val="00DA14ED"/>
    <w:rsid w:val="00DA26D6"/>
    <w:rsid w:val="00DB2EF1"/>
    <w:rsid w:val="00DB3DE1"/>
    <w:rsid w:val="00DB5DA0"/>
    <w:rsid w:val="00DB716C"/>
    <w:rsid w:val="00DC5C85"/>
    <w:rsid w:val="00DC7C5D"/>
    <w:rsid w:val="00DD2458"/>
    <w:rsid w:val="00DD4236"/>
    <w:rsid w:val="00DD44F1"/>
    <w:rsid w:val="00DD6957"/>
    <w:rsid w:val="00DD6E7A"/>
    <w:rsid w:val="00DE3067"/>
    <w:rsid w:val="00DF338E"/>
    <w:rsid w:val="00DF3EEE"/>
    <w:rsid w:val="00DF5747"/>
    <w:rsid w:val="00DF75E1"/>
    <w:rsid w:val="00E027BC"/>
    <w:rsid w:val="00E10F0D"/>
    <w:rsid w:val="00E14EA5"/>
    <w:rsid w:val="00E17E34"/>
    <w:rsid w:val="00E20057"/>
    <w:rsid w:val="00E2070E"/>
    <w:rsid w:val="00E21133"/>
    <w:rsid w:val="00E2327E"/>
    <w:rsid w:val="00E2527E"/>
    <w:rsid w:val="00E266EF"/>
    <w:rsid w:val="00E326A8"/>
    <w:rsid w:val="00E47428"/>
    <w:rsid w:val="00E52919"/>
    <w:rsid w:val="00E56C8E"/>
    <w:rsid w:val="00E5716B"/>
    <w:rsid w:val="00E57F1F"/>
    <w:rsid w:val="00E66B9F"/>
    <w:rsid w:val="00E70A6A"/>
    <w:rsid w:val="00E710D6"/>
    <w:rsid w:val="00E72070"/>
    <w:rsid w:val="00E73DA4"/>
    <w:rsid w:val="00E759A7"/>
    <w:rsid w:val="00E76E45"/>
    <w:rsid w:val="00E777C9"/>
    <w:rsid w:val="00E777E1"/>
    <w:rsid w:val="00E81DA6"/>
    <w:rsid w:val="00E82BD1"/>
    <w:rsid w:val="00E84212"/>
    <w:rsid w:val="00E9086C"/>
    <w:rsid w:val="00E90AAA"/>
    <w:rsid w:val="00E91A0F"/>
    <w:rsid w:val="00E94A71"/>
    <w:rsid w:val="00E94CBF"/>
    <w:rsid w:val="00E9794E"/>
    <w:rsid w:val="00E97BE4"/>
    <w:rsid w:val="00E97FEE"/>
    <w:rsid w:val="00EA03CE"/>
    <w:rsid w:val="00EA23E5"/>
    <w:rsid w:val="00EA4E2E"/>
    <w:rsid w:val="00EB2417"/>
    <w:rsid w:val="00EB2CCB"/>
    <w:rsid w:val="00EB4E08"/>
    <w:rsid w:val="00EB5B4C"/>
    <w:rsid w:val="00EB7A25"/>
    <w:rsid w:val="00EC0F3E"/>
    <w:rsid w:val="00EC57A7"/>
    <w:rsid w:val="00ED0817"/>
    <w:rsid w:val="00ED4EB7"/>
    <w:rsid w:val="00ED7DD9"/>
    <w:rsid w:val="00EE445B"/>
    <w:rsid w:val="00EE78C7"/>
    <w:rsid w:val="00EF3113"/>
    <w:rsid w:val="00EF3F84"/>
    <w:rsid w:val="00EF55E1"/>
    <w:rsid w:val="00EF5926"/>
    <w:rsid w:val="00F01994"/>
    <w:rsid w:val="00F123C4"/>
    <w:rsid w:val="00F176AC"/>
    <w:rsid w:val="00F26F28"/>
    <w:rsid w:val="00F27714"/>
    <w:rsid w:val="00F3276E"/>
    <w:rsid w:val="00F33D3C"/>
    <w:rsid w:val="00F350CD"/>
    <w:rsid w:val="00F37A91"/>
    <w:rsid w:val="00F408A0"/>
    <w:rsid w:val="00F4472A"/>
    <w:rsid w:val="00F45CF5"/>
    <w:rsid w:val="00F47DB0"/>
    <w:rsid w:val="00F50C3F"/>
    <w:rsid w:val="00F50E34"/>
    <w:rsid w:val="00F53EF7"/>
    <w:rsid w:val="00F54BF2"/>
    <w:rsid w:val="00F62171"/>
    <w:rsid w:val="00F764C3"/>
    <w:rsid w:val="00F775AC"/>
    <w:rsid w:val="00F84424"/>
    <w:rsid w:val="00F92355"/>
    <w:rsid w:val="00F93963"/>
    <w:rsid w:val="00F93CB5"/>
    <w:rsid w:val="00F94291"/>
    <w:rsid w:val="00FA0F24"/>
    <w:rsid w:val="00FA298A"/>
    <w:rsid w:val="00FA5B66"/>
    <w:rsid w:val="00FA6F63"/>
    <w:rsid w:val="00FB13C0"/>
    <w:rsid w:val="00FB30EB"/>
    <w:rsid w:val="00FB3129"/>
    <w:rsid w:val="00FB7982"/>
    <w:rsid w:val="00FC0734"/>
    <w:rsid w:val="00FC0FC5"/>
    <w:rsid w:val="00FC411A"/>
    <w:rsid w:val="00FC588F"/>
    <w:rsid w:val="00FC6879"/>
    <w:rsid w:val="00FD0FAE"/>
    <w:rsid w:val="00FD4DA3"/>
    <w:rsid w:val="00FE1B30"/>
    <w:rsid w:val="00FE34B5"/>
    <w:rsid w:val="00FE7B44"/>
    <w:rsid w:val="00FF2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581504"/>
  <w15:docId w15:val="{8415742A-5527-4A5A-B0C3-D64A8DAE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3076E67154D4A9127AF7071CE7D88"/>
        <w:category>
          <w:name w:val="General"/>
          <w:gallery w:val="placeholder"/>
        </w:category>
        <w:types>
          <w:type w:val="bbPlcHdr"/>
        </w:types>
        <w:behaviors>
          <w:behavior w:val="content"/>
        </w:behaviors>
        <w:guid w:val="{D89AE01D-C9A0-4D8C-BEF8-3339E0875119}"/>
      </w:docPartPr>
      <w:docPartBody>
        <w:p w:rsidR="005560E2" w:rsidRDefault="005560E2">
          <w:pPr>
            <w:pStyle w:val="2343076E67154D4A9127AF7071CE7D88"/>
          </w:pPr>
          <w:r>
            <w:rPr>
              <w:rStyle w:val="PlaceholderText"/>
            </w:rPr>
            <w:t>MNC Text</w:t>
          </w:r>
        </w:p>
      </w:docPartBody>
    </w:docPart>
    <w:docPart>
      <w:docPartPr>
        <w:name w:val="31AFA6347CE34B7A9022CF6180B7AE22"/>
        <w:category>
          <w:name w:val="General"/>
          <w:gallery w:val="placeholder"/>
        </w:category>
        <w:types>
          <w:type w:val="bbPlcHdr"/>
        </w:types>
        <w:behaviors>
          <w:behavior w:val="content"/>
        </w:behaviors>
        <w:guid w:val="{47B61553-9AD1-4343-A9A9-1EFFD509FB6F}"/>
      </w:docPartPr>
      <w:docPartBody>
        <w:p w:rsidR="005560E2" w:rsidRDefault="005560E2">
          <w:pPr>
            <w:pStyle w:val="31AFA6347CE34B7A9022CF6180B7AE22"/>
          </w:pPr>
          <w:r w:rsidRPr="005C44BE">
            <w:rPr>
              <w:rStyle w:val="PlaceholderText"/>
            </w:rPr>
            <w:t>Click or tap here to enter text.</w:t>
          </w:r>
        </w:p>
      </w:docPartBody>
    </w:docPart>
    <w:docPart>
      <w:docPartPr>
        <w:name w:val="84992C86EF3B4CB08F8BF9624159C112"/>
        <w:category>
          <w:name w:val="General"/>
          <w:gallery w:val="placeholder"/>
        </w:category>
        <w:types>
          <w:type w:val="bbPlcHdr"/>
        </w:types>
        <w:behaviors>
          <w:behavior w:val="content"/>
        </w:behaviors>
        <w:guid w:val="{8D40A927-FA8A-4873-BFE7-28196EC05CFB}"/>
      </w:docPartPr>
      <w:docPartBody>
        <w:p w:rsidR="005560E2" w:rsidRDefault="005560E2">
          <w:pPr>
            <w:pStyle w:val="84992C86EF3B4CB08F8BF9624159C112"/>
          </w:pPr>
          <w:r w:rsidRPr="005C44BE">
            <w:rPr>
              <w:rStyle w:val="PlaceholderText"/>
            </w:rPr>
            <w:t>Click or tap here to enter text.</w:t>
          </w:r>
        </w:p>
      </w:docPartBody>
    </w:docPart>
    <w:docPart>
      <w:docPartPr>
        <w:name w:val="6C8CA6EF1227437A80364B0E4CEA8C65"/>
        <w:category>
          <w:name w:val="General"/>
          <w:gallery w:val="placeholder"/>
        </w:category>
        <w:types>
          <w:type w:val="bbPlcHdr"/>
        </w:types>
        <w:behaviors>
          <w:behavior w:val="content"/>
        </w:behaviors>
        <w:guid w:val="{D498F6A8-EADD-4F6B-93E4-A607287600DB}"/>
      </w:docPartPr>
      <w:docPartBody>
        <w:p w:rsidR="005560E2" w:rsidRDefault="005560E2">
          <w:pPr>
            <w:pStyle w:val="6C8CA6EF1227437A80364B0E4CEA8C65"/>
          </w:pPr>
          <w:r w:rsidRPr="005C44BE">
            <w:rPr>
              <w:rStyle w:val="PlaceholderText"/>
            </w:rPr>
            <w:t>Click or tap here to enter text.</w:t>
          </w:r>
        </w:p>
      </w:docPartBody>
    </w:docPart>
    <w:docPart>
      <w:docPartPr>
        <w:name w:val="7353019389E147C1B4A5D582210DFBFE"/>
        <w:category>
          <w:name w:val="General"/>
          <w:gallery w:val="placeholder"/>
        </w:category>
        <w:types>
          <w:type w:val="bbPlcHdr"/>
        </w:types>
        <w:behaviors>
          <w:behavior w:val="content"/>
        </w:behaviors>
        <w:guid w:val="{968EB1EE-291D-4745-9012-EC5BE66D30F3}"/>
      </w:docPartPr>
      <w:docPartBody>
        <w:p w:rsidR="005560E2" w:rsidRDefault="005560E2">
          <w:pPr>
            <w:pStyle w:val="7353019389E147C1B4A5D582210DFBF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E2"/>
    <w:rsid w:val="005560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43076E67154D4A9127AF7071CE7D88">
    <w:name w:val="2343076E67154D4A9127AF7071CE7D88"/>
  </w:style>
  <w:style w:type="paragraph" w:customStyle="1" w:styleId="31AFA6347CE34B7A9022CF6180B7AE22">
    <w:name w:val="31AFA6347CE34B7A9022CF6180B7AE22"/>
  </w:style>
  <w:style w:type="paragraph" w:customStyle="1" w:styleId="84992C86EF3B4CB08F8BF9624159C112">
    <w:name w:val="84992C86EF3B4CB08F8BF9624159C112"/>
  </w:style>
  <w:style w:type="paragraph" w:customStyle="1" w:styleId="6C8CA6EF1227437A80364B0E4CEA8C65">
    <w:name w:val="6C8CA6EF1227437A80364B0E4CEA8C65"/>
  </w:style>
  <w:style w:type="paragraph" w:customStyle="1" w:styleId="7353019389E147C1B4A5D582210DFBFE">
    <w:name w:val="7353019389E147C1B4A5D582210DF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Construction, Forestry, Maritime, Mining &amp; Energy Union v Boggabri Coal Operations Pty Ltd [2021] FCA 719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B7AE889C-C0C0-4C07-8B20-7F678D52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10</Pages>
  <Words>2994</Words>
  <Characters>14663</Characters>
  <Application>Microsoft Office Word</Application>
  <DocSecurity>0</DocSecurity>
  <Lines>325</Lines>
  <Paragraphs>145</Paragraphs>
  <ScaleCrop>false</ScaleCrop>
  <HeadingPairs>
    <vt:vector size="2" baseType="variant">
      <vt:variant>
        <vt:lpstr>Title</vt:lpstr>
      </vt:variant>
      <vt:variant>
        <vt:i4>1</vt:i4>
      </vt:variant>
    </vt:vector>
  </HeadingPairs>
  <TitlesOfParts>
    <vt:vector size="1" baseType="lpstr">
      <vt:lpstr>Construction, Forestry, Maritime, Mining &amp; Energy Union v Boggabri Coal Operations Pty Ltd [2021] FCA 719 </vt:lpstr>
    </vt:vector>
  </TitlesOfParts>
  <Company>Federal Court of Australia</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Forestry, Maritime, Mining &amp; Energy Union v Boggabri Coal Operations Pty Ltd [2021] FCA 719</dc:title>
  <dc:creator>Justice Jagot (FCA)</dc:creator>
  <cp:lastModifiedBy>Federal Court of Australia</cp:lastModifiedBy>
  <cp:revision>6</cp:revision>
  <cp:lastPrinted>2021-06-24T03:22:00Z</cp:lastPrinted>
  <dcterms:created xsi:type="dcterms:W3CDTF">2021-06-28T23:53:00Z</dcterms:created>
  <dcterms:modified xsi:type="dcterms:W3CDTF">2021-06-29T00:23:00Z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ies>
</file>