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5B24" w:rsidRDefault="00360886" w:rsidP="00531537">
      <w:pPr>
        <w:pStyle w:val="CourtTitle"/>
      </w:pPr>
      <w:r>
        <w:fldChar w:fldCharType="begin"/>
      </w:r>
      <w:r>
        <w:instrText xml:space="preserve"> DOCPROPERTY  Court  \* MERGEFORMAT </w:instrText>
      </w:r>
      <w:r>
        <w:fldChar w:fldCharType="separate"/>
      </w:r>
      <w:r w:rsidR="00CC313A">
        <w:t>Federal Court of Australia</w:t>
      </w:r>
      <w:r>
        <w:fldChar w:fldCharType="end"/>
      </w:r>
    </w:p>
    <w:p w:rsidR="004D7950" w:rsidRDefault="004D7950" w:rsidP="00531537">
      <w:pPr>
        <w:pStyle w:val="NormalHeadings"/>
        <w:jc w:val="center"/>
        <w:rPr>
          <w:sz w:val="32"/>
        </w:rPr>
      </w:pPr>
    </w:p>
    <w:bookmarkStart w:id="0" w:name="MNC"/>
    <w:p w:rsidR="00374CC4" w:rsidRDefault="00B41800" w:rsidP="00531537">
      <w:pPr>
        <w:pStyle w:val="MNC"/>
      </w:pPr>
      <w:sdt>
        <w:sdtPr>
          <w:alias w:val="MNC"/>
          <w:tag w:val="MNC"/>
          <w:id w:val="343289786"/>
          <w:lock w:val="sdtLocked"/>
          <w:placeholder>
            <w:docPart w:val="7AB51F3E472949968D3465719F05CA7A"/>
          </w:placeholder>
          <w:dataBinding w:prefixMappings="xmlns:ns0='http://schemas.globalmacros.com/FCA'" w:xpath="/ns0:root[1]/ns0:Name[1]" w:storeItemID="{687E7CCB-4AA5-44E7-B148-17BA2B6F57C0}"/>
          <w:text w:multiLine="1"/>
        </w:sdtPr>
        <w:sdtEndPr/>
        <w:sdtContent>
          <w:r w:rsidR="00EC1F72">
            <w:t>Thornton v Minister for Immigration, Citizenship, Migrant Services and Multicultural Affairs [2022] FCAFC 23</w:t>
          </w:r>
        </w:sdtContent>
      </w:sdt>
      <w:bookmarkEnd w:id="0"/>
    </w:p>
    <w:tbl>
      <w:tblPr>
        <w:tblW w:w="9061" w:type="dxa"/>
        <w:tblLayout w:type="fixed"/>
        <w:tblLook w:val="01E0" w:firstRow="1" w:lastRow="1" w:firstColumn="1" w:lastColumn="1" w:noHBand="0" w:noVBand="0"/>
        <w:tblCaption w:val="Cover Table"/>
        <w:tblDescription w:val="Cover Table"/>
      </w:tblPr>
      <w:tblGrid>
        <w:gridCol w:w="3072"/>
        <w:gridCol w:w="5989"/>
      </w:tblGrid>
      <w:tr w:rsidR="00CC313A" w:rsidTr="00531537">
        <w:tc>
          <w:tcPr>
            <w:tcW w:w="3072" w:type="dxa"/>
            <w:shd w:val="clear" w:color="auto" w:fill="auto"/>
          </w:tcPr>
          <w:p w:rsidR="00CC313A" w:rsidRDefault="00CC313A" w:rsidP="00531537">
            <w:pPr>
              <w:pStyle w:val="Normal1linespace"/>
              <w:widowControl w:val="0"/>
              <w:spacing w:after="60"/>
              <w:jc w:val="left"/>
            </w:pPr>
            <w:bookmarkStart w:id="1" w:name="AppealFrom_row" w:colFirst="0" w:colLast="1"/>
            <w:r>
              <w:t>Appeal from:</w:t>
            </w:r>
          </w:p>
        </w:tc>
        <w:tc>
          <w:tcPr>
            <w:tcW w:w="5989" w:type="dxa"/>
            <w:shd w:val="clear" w:color="auto" w:fill="auto"/>
          </w:tcPr>
          <w:p w:rsidR="00CC313A" w:rsidRDefault="00B41800" w:rsidP="00531537">
            <w:pPr>
              <w:pStyle w:val="CasesLegislationAppealFrom"/>
              <w:spacing w:after="60"/>
            </w:pPr>
            <w:r>
              <w:fldChar w:fldCharType="begin"/>
            </w:r>
            <w:r>
              <w:instrText xml:space="preserve"> DOCPROPERTY  AppealFrom  \* MERGEFORMAT </w:instrText>
            </w:r>
            <w:r>
              <w:fldChar w:fldCharType="separate"/>
            </w:r>
            <w:r w:rsidR="00CC313A" w:rsidRPr="00CC313A">
              <w:rPr>
                <w:i/>
              </w:rPr>
              <w:t>Thornton v Minister for Immigration, Citizenship, Migrant Services and Multicultural Affairs</w:t>
            </w:r>
            <w:r w:rsidR="00CC313A">
              <w:t xml:space="preserve"> [2020] FCA 1500</w:t>
            </w:r>
            <w:r>
              <w:fldChar w:fldCharType="end"/>
            </w:r>
          </w:p>
        </w:tc>
      </w:tr>
      <w:tr w:rsidR="00CC313A" w:rsidTr="00531537">
        <w:tc>
          <w:tcPr>
            <w:tcW w:w="3072" w:type="dxa"/>
            <w:shd w:val="clear" w:color="auto" w:fill="auto"/>
          </w:tcPr>
          <w:p w:rsidR="00CC313A" w:rsidRDefault="00CC313A" w:rsidP="00531537">
            <w:pPr>
              <w:pStyle w:val="Normal1linespace"/>
              <w:widowControl w:val="0"/>
              <w:jc w:val="left"/>
            </w:pPr>
          </w:p>
        </w:tc>
        <w:tc>
          <w:tcPr>
            <w:tcW w:w="5989" w:type="dxa"/>
            <w:shd w:val="clear" w:color="auto" w:fill="auto"/>
          </w:tcPr>
          <w:p w:rsidR="00CC313A" w:rsidRDefault="00CC313A" w:rsidP="00531537">
            <w:pPr>
              <w:pStyle w:val="Normal1linespace"/>
              <w:widowControl w:val="0"/>
              <w:jc w:val="left"/>
            </w:pPr>
          </w:p>
        </w:tc>
      </w:tr>
      <w:bookmarkEnd w:id="1"/>
      <w:tr w:rsidR="00395B24" w:rsidTr="00531537">
        <w:tc>
          <w:tcPr>
            <w:tcW w:w="3072" w:type="dxa"/>
            <w:shd w:val="clear" w:color="auto" w:fill="auto"/>
          </w:tcPr>
          <w:p w:rsidR="00395B24" w:rsidRDefault="009477FC" w:rsidP="00531537">
            <w:pPr>
              <w:pStyle w:val="Normal1linespace"/>
              <w:widowControl w:val="0"/>
              <w:jc w:val="left"/>
            </w:pPr>
            <w:r>
              <w:t>File number</w:t>
            </w:r>
            <w:r w:rsidR="002C7385">
              <w:t>:</w:t>
            </w:r>
          </w:p>
        </w:tc>
        <w:tc>
          <w:tcPr>
            <w:tcW w:w="5989" w:type="dxa"/>
            <w:shd w:val="clear" w:color="auto" w:fill="auto"/>
          </w:tcPr>
          <w:p w:rsidR="00395B24" w:rsidRPr="00CC313A" w:rsidRDefault="00B41800" w:rsidP="00531537">
            <w:pPr>
              <w:pStyle w:val="Normal1linespace"/>
              <w:jc w:val="left"/>
            </w:pPr>
            <w:r>
              <w:fldChar w:fldCharType="begin" w:fldLock="1"/>
            </w:r>
            <w:r>
              <w:instrText xml:space="preserve"> REF  FileNo  \* MERGEFORMAT </w:instrText>
            </w:r>
            <w:r>
              <w:fldChar w:fldCharType="separate"/>
            </w:r>
            <w:r w:rsidR="00CC313A" w:rsidRPr="00CC313A">
              <w:t>QUD 363 of 2020</w:t>
            </w:r>
            <w:r>
              <w:fldChar w:fldCharType="end"/>
            </w:r>
          </w:p>
        </w:tc>
      </w:tr>
      <w:tr w:rsidR="00395B24" w:rsidTr="00531537">
        <w:tc>
          <w:tcPr>
            <w:tcW w:w="3072" w:type="dxa"/>
            <w:shd w:val="clear" w:color="auto" w:fill="auto"/>
          </w:tcPr>
          <w:p w:rsidR="00395B24" w:rsidRDefault="00395B24" w:rsidP="00531537">
            <w:pPr>
              <w:pStyle w:val="Normal1linespace"/>
              <w:widowControl w:val="0"/>
              <w:jc w:val="left"/>
            </w:pPr>
          </w:p>
        </w:tc>
        <w:tc>
          <w:tcPr>
            <w:tcW w:w="5989" w:type="dxa"/>
            <w:shd w:val="clear" w:color="auto" w:fill="auto"/>
          </w:tcPr>
          <w:p w:rsidR="00395B24" w:rsidRDefault="00395B24" w:rsidP="00531537">
            <w:pPr>
              <w:pStyle w:val="Normal1linespace"/>
              <w:widowControl w:val="0"/>
              <w:jc w:val="left"/>
            </w:pPr>
          </w:p>
        </w:tc>
      </w:tr>
      <w:tr w:rsidR="00395B24" w:rsidTr="00531537">
        <w:tc>
          <w:tcPr>
            <w:tcW w:w="3072" w:type="dxa"/>
            <w:shd w:val="clear" w:color="auto" w:fill="auto"/>
          </w:tcPr>
          <w:p w:rsidR="00395B24" w:rsidRDefault="002C7385" w:rsidP="00531537">
            <w:pPr>
              <w:pStyle w:val="Normal1linespace"/>
              <w:widowControl w:val="0"/>
              <w:jc w:val="left"/>
            </w:pPr>
            <w:r>
              <w:t>Judg</w:t>
            </w:r>
            <w:r w:rsidR="005724F6">
              <w:t>ment of</w:t>
            </w:r>
            <w:r>
              <w:t>:</w:t>
            </w:r>
          </w:p>
        </w:tc>
        <w:tc>
          <w:tcPr>
            <w:tcW w:w="5989" w:type="dxa"/>
            <w:shd w:val="clear" w:color="auto" w:fill="auto"/>
          </w:tcPr>
          <w:p w:rsidR="00395B24" w:rsidRDefault="002C7385" w:rsidP="00531537">
            <w:pPr>
              <w:pStyle w:val="Normal1linespace"/>
              <w:widowControl w:val="0"/>
              <w:jc w:val="left"/>
              <w:rPr>
                <w:b/>
              </w:rPr>
            </w:pPr>
            <w:r w:rsidRPr="00CC313A">
              <w:rPr>
                <w:b/>
              </w:rPr>
              <w:fldChar w:fldCharType="begin" w:fldLock="1"/>
            </w:r>
            <w:r w:rsidRPr="00CC313A">
              <w:rPr>
                <w:b/>
              </w:rPr>
              <w:instrText xml:space="preserve"> REF  Judge  \* MERGEFORMAT </w:instrText>
            </w:r>
            <w:r w:rsidRPr="00CC313A">
              <w:rPr>
                <w:b/>
              </w:rPr>
              <w:fldChar w:fldCharType="separate"/>
            </w:r>
            <w:r w:rsidR="00CC313A" w:rsidRPr="00CC313A">
              <w:rPr>
                <w:b/>
                <w:caps/>
                <w:szCs w:val="24"/>
              </w:rPr>
              <w:t>KATZMANN, SC DERRINGTON AND BANKS-SMITH JJ</w:t>
            </w:r>
            <w:r w:rsidRPr="00CC313A">
              <w:rPr>
                <w:b/>
              </w:rPr>
              <w:fldChar w:fldCharType="end"/>
            </w:r>
          </w:p>
        </w:tc>
      </w:tr>
      <w:tr w:rsidR="00395B24" w:rsidTr="00531537">
        <w:tc>
          <w:tcPr>
            <w:tcW w:w="3072" w:type="dxa"/>
            <w:shd w:val="clear" w:color="auto" w:fill="auto"/>
          </w:tcPr>
          <w:p w:rsidR="00395B24" w:rsidRDefault="00395B24" w:rsidP="00531537">
            <w:pPr>
              <w:pStyle w:val="Normal1linespace"/>
              <w:widowControl w:val="0"/>
              <w:jc w:val="left"/>
            </w:pPr>
          </w:p>
        </w:tc>
        <w:tc>
          <w:tcPr>
            <w:tcW w:w="5989" w:type="dxa"/>
            <w:shd w:val="clear" w:color="auto" w:fill="auto"/>
          </w:tcPr>
          <w:p w:rsidR="00395B24" w:rsidRDefault="00395B24" w:rsidP="00531537">
            <w:pPr>
              <w:pStyle w:val="Normal1linespace"/>
              <w:widowControl w:val="0"/>
              <w:jc w:val="left"/>
            </w:pPr>
          </w:p>
        </w:tc>
      </w:tr>
      <w:tr w:rsidR="00395B24" w:rsidTr="00531537">
        <w:tc>
          <w:tcPr>
            <w:tcW w:w="3072" w:type="dxa"/>
            <w:shd w:val="clear" w:color="auto" w:fill="auto"/>
          </w:tcPr>
          <w:p w:rsidR="00395B24" w:rsidRDefault="002C7385" w:rsidP="00531537">
            <w:pPr>
              <w:pStyle w:val="Normal1linespace"/>
              <w:widowControl w:val="0"/>
              <w:jc w:val="left"/>
            </w:pPr>
            <w:r>
              <w:t>Date of judgment:</w:t>
            </w:r>
          </w:p>
        </w:tc>
        <w:tc>
          <w:tcPr>
            <w:tcW w:w="5989" w:type="dxa"/>
            <w:shd w:val="clear" w:color="auto" w:fill="auto"/>
          </w:tcPr>
          <w:p w:rsidR="00395B24" w:rsidRDefault="000A6C53" w:rsidP="00531537">
            <w:pPr>
              <w:pStyle w:val="Normal1linespace"/>
              <w:widowControl w:val="0"/>
              <w:jc w:val="left"/>
            </w:pPr>
            <w:r>
              <w:t>25 February 2022</w:t>
            </w:r>
          </w:p>
        </w:tc>
      </w:tr>
      <w:tr w:rsidR="00395B24" w:rsidTr="00531537">
        <w:tc>
          <w:tcPr>
            <w:tcW w:w="3072" w:type="dxa"/>
            <w:shd w:val="clear" w:color="auto" w:fill="auto"/>
          </w:tcPr>
          <w:p w:rsidR="00395B24" w:rsidRDefault="00395B24" w:rsidP="00531537">
            <w:pPr>
              <w:pStyle w:val="Normal1linespace"/>
              <w:widowControl w:val="0"/>
              <w:jc w:val="left"/>
            </w:pPr>
          </w:p>
        </w:tc>
        <w:tc>
          <w:tcPr>
            <w:tcW w:w="5989" w:type="dxa"/>
            <w:shd w:val="clear" w:color="auto" w:fill="auto"/>
          </w:tcPr>
          <w:p w:rsidR="00395B24" w:rsidRDefault="00395B24" w:rsidP="00531537">
            <w:pPr>
              <w:pStyle w:val="Normal1linespace"/>
              <w:widowControl w:val="0"/>
              <w:jc w:val="left"/>
            </w:pPr>
          </w:p>
        </w:tc>
      </w:tr>
      <w:tr w:rsidR="00395B24" w:rsidTr="00531537">
        <w:tc>
          <w:tcPr>
            <w:tcW w:w="3072" w:type="dxa"/>
            <w:shd w:val="clear" w:color="auto" w:fill="auto"/>
          </w:tcPr>
          <w:p w:rsidR="00395B24" w:rsidRDefault="002C7385" w:rsidP="00531537">
            <w:pPr>
              <w:pStyle w:val="Normal1linespace"/>
              <w:widowControl w:val="0"/>
              <w:jc w:val="left"/>
            </w:pPr>
            <w:r>
              <w:t>Catchwords:</w:t>
            </w:r>
          </w:p>
        </w:tc>
        <w:tc>
          <w:tcPr>
            <w:tcW w:w="5989" w:type="dxa"/>
            <w:shd w:val="clear" w:color="auto" w:fill="auto"/>
          </w:tcPr>
          <w:p w:rsidR="008F1D88" w:rsidRPr="006343F1" w:rsidRDefault="008F1D88" w:rsidP="008F1D88">
            <w:pPr>
              <w:pStyle w:val="Normal1linespace"/>
              <w:widowControl w:val="0"/>
              <w:jc w:val="left"/>
            </w:pPr>
            <w:bookmarkStart w:id="2" w:name="Catchwords"/>
            <w:r w:rsidRPr="004F25D6">
              <w:rPr>
                <w:b/>
              </w:rPr>
              <w:t>MIGRATION</w:t>
            </w:r>
            <w:r>
              <w:t xml:space="preserve"> </w:t>
            </w:r>
            <w:r w:rsidRPr="00073D68">
              <w:t xml:space="preserve">– </w:t>
            </w:r>
            <w:r>
              <w:t xml:space="preserve">appeal from decision of primary judge dismissing application for judicial review of decision not to revoke mandatory visa cancellation under s 501CA(4) of the </w:t>
            </w:r>
            <w:r w:rsidRPr="000020EF">
              <w:rPr>
                <w:i/>
                <w:iCs/>
              </w:rPr>
              <w:t>Migration Act 1958</w:t>
            </w:r>
            <w:r>
              <w:t xml:space="preserve"> (</w:t>
            </w:r>
            <w:proofErr w:type="spellStart"/>
            <w:r>
              <w:t>Cth</w:t>
            </w:r>
            <w:proofErr w:type="spellEnd"/>
            <w:r>
              <w:t xml:space="preserve">) </w:t>
            </w:r>
            <w:r w:rsidRPr="00694EFE">
              <w:t xml:space="preserve">– whether Minister took into account an irrelevant consideration being unrecorded convictions as a juvenile – </w:t>
            </w:r>
            <w:r>
              <w:t xml:space="preserve">whether Minister failed to consider substantial or significant and clearly articulated claims </w:t>
            </w:r>
            <w:r w:rsidRPr="00073D68">
              <w:t>–</w:t>
            </w:r>
            <w:r>
              <w:t xml:space="preserve"> whether reasons fail to demonstrate an active intellectual process with respect to rehabilitative components of </w:t>
            </w:r>
            <w:r w:rsidRPr="006343F1">
              <w:t>sentence – whether decision legally unreasonable</w:t>
            </w:r>
          </w:p>
          <w:p w:rsidR="008F1D88" w:rsidRPr="006343F1" w:rsidRDefault="008F1D88" w:rsidP="008F1D88">
            <w:pPr>
              <w:pStyle w:val="Normal1linespace"/>
              <w:widowControl w:val="0"/>
              <w:jc w:val="left"/>
            </w:pPr>
          </w:p>
          <w:p w:rsidR="008F1D88" w:rsidRDefault="008F1D88" w:rsidP="008F1D88">
            <w:pPr>
              <w:pStyle w:val="Normal1linespace"/>
              <w:widowControl w:val="0"/>
              <w:jc w:val="left"/>
            </w:pPr>
            <w:r w:rsidRPr="004F25D6">
              <w:rPr>
                <w:b/>
              </w:rPr>
              <w:t>STATUTES</w:t>
            </w:r>
            <w:r w:rsidRPr="006343F1">
              <w:t xml:space="preserve"> – interpretation – general approaches to interpretation – whether s 12(3) of</w:t>
            </w:r>
            <w:r>
              <w:t xml:space="preserve"> the </w:t>
            </w:r>
            <w:r w:rsidRPr="006343F1">
              <w:rPr>
                <w:i/>
                <w:iCs/>
              </w:rPr>
              <w:t xml:space="preserve">Penalties and Sentences Act 1992 </w:t>
            </w:r>
            <w:r>
              <w:t xml:space="preserve">(Qld) and s 184 of the </w:t>
            </w:r>
            <w:r w:rsidRPr="006343F1">
              <w:rPr>
                <w:i/>
                <w:iCs/>
              </w:rPr>
              <w:t xml:space="preserve">Youth Justice Act 1992 </w:t>
            </w:r>
            <w:r>
              <w:t xml:space="preserve">(Qld) operate in manner contemplated by s 85ZR(2) of the </w:t>
            </w:r>
            <w:r w:rsidRPr="006343F1">
              <w:rPr>
                <w:i/>
                <w:iCs/>
              </w:rPr>
              <w:t>Crimes Act 1914</w:t>
            </w:r>
            <w:r>
              <w:t xml:space="preserve"> (</w:t>
            </w:r>
            <w:proofErr w:type="spellStart"/>
            <w:r>
              <w:t>Cth</w:t>
            </w:r>
            <w:proofErr w:type="spellEnd"/>
            <w:r>
              <w:t>)</w:t>
            </w:r>
            <w:bookmarkEnd w:id="2"/>
          </w:p>
          <w:p w:rsidR="001F4D98" w:rsidRDefault="001F4D98" w:rsidP="00531537">
            <w:pPr>
              <w:pStyle w:val="Normal1linespace"/>
              <w:widowControl w:val="0"/>
              <w:jc w:val="left"/>
            </w:pPr>
          </w:p>
        </w:tc>
      </w:tr>
      <w:tr w:rsidR="00395B24" w:rsidTr="00531537">
        <w:tc>
          <w:tcPr>
            <w:tcW w:w="3072" w:type="dxa"/>
            <w:shd w:val="clear" w:color="auto" w:fill="auto"/>
          </w:tcPr>
          <w:p w:rsidR="00395B24" w:rsidRDefault="002C7385" w:rsidP="00531537">
            <w:pPr>
              <w:pStyle w:val="Normal1linespace"/>
              <w:widowControl w:val="0"/>
              <w:jc w:val="left"/>
            </w:pPr>
            <w:r>
              <w:t>Legislation:</w:t>
            </w:r>
          </w:p>
        </w:tc>
        <w:tc>
          <w:tcPr>
            <w:tcW w:w="5989" w:type="dxa"/>
            <w:shd w:val="clear" w:color="auto" w:fill="auto"/>
          </w:tcPr>
          <w:p w:rsidR="008F1D88" w:rsidRDefault="008F1D88" w:rsidP="008F1D88">
            <w:pPr>
              <w:pStyle w:val="CasesLegislationAppealFrom"/>
              <w:spacing w:after="60"/>
            </w:pPr>
            <w:bookmarkStart w:id="3" w:name="Legislation"/>
            <w:r w:rsidRPr="002916C1">
              <w:rPr>
                <w:i/>
              </w:rPr>
              <w:t xml:space="preserve">Acts Interpretation Act </w:t>
            </w:r>
            <w:r w:rsidR="002916C1" w:rsidRPr="002916C1">
              <w:rPr>
                <w:rFonts w:ascii="TimesNewRomanPS" w:hAnsi="TimesNewRomanPS"/>
                <w:i/>
                <w:iCs/>
                <w:lang w:eastAsia="en-GB"/>
              </w:rPr>
              <w:t xml:space="preserve">1901 </w:t>
            </w:r>
            <w:r w:rsidR="002916C1" w:rsidRPr="002916C1">
              <w:rPr>
                <w:lang w:eastAsia="en-GB"/>
              </w:rPr>
              <w:t>(</w:t>
            </w:r>
            <w:proofErr w:type="spellStart"/>
            <w:r w:rsidR="002916C1" w:rsidRPr="002916C1">
              <w:rPr>
                <w:lang w:eastAsia="en-GB"/>
              </w:rPr>
              <w:t>Cth</w:t>
            </w:r>
            <w:proofErr w:type="spellEnd"/>
            <w:r w:rsidR="002916C1" w:rsidRPr="002916C1">
              <w:rPr>
                <w:lang w:eastAsia="en-GB"/>
              </w:rPr>
              <w:t xml:space="preserve">) </w:t>
            </w:r>
            <w:r w:rsidRPr="002916C1">
              <w:t>s 15AA</w:t>
            </w:r>
          </w:p>
          <w:p w:rsidR="00443062" w:rsidRPr="00443062" w:rsidRDefault="00443062" w:rsidP="008F1D88">
            <w:pPr>
              <w:pStyle w:val="CasesLegislationAppealFrom"/>
              <w:spacing w:after="60"/>
            </w:pPr>
            <w:r>
              <w:rPr>
                <w:i/>
              </w:rPr>
              <w:t xml:space="preserve">Acts Interpretation Act 1954 </w:t>
            </w:r>
            <w:r>
              <w:t>(Qld) s 14A</w:t>
            </w:r>
          </w:p>
          <w:p w:rsidR="002916C1" w:rsidRDefault="002916C1" w:rsidP="008F1D88">
            <w:pPr>
              <w:pStyle w:val="CasesLegislationAppealFrom"/>
              <w:spacing w:after="60"/>
              <w:rPr>
                <w:bCs/>
                <w:i/>
                <w:iCs/>
              </w:rPr>
            </w:pPr>
            <w:r w:rsidRPr="002916C1">
              <w:rPr>
                <w:bCs/>
                <w:i/>
                <w:iCs/>
              </w:rPr>
              <w:t>Crimes Act</w:t>
            </w:r>
            <w:r w:rsidRPr="002916C1">
              <w:rPr>
                <w:i/>
                <w:iCs/>
              </w:rPr>
              <w:t xml:space="preserve"> 1914</w:t>
            </w:r>
            <w:r w:rsidRPr="002916C1">
              <w:t xml:space="preserve"> (</w:t>
            </w:r>
            <w:proofErr w:type="spellStart"/>
            <w:r w:rsidRPr="002916C1">
              <w:t>Cth</w:t>
            </w:r>
            <w:proofErr w:type="spellEnd"/>
            <w:r w:rsidRPr="002916C1">
              <w:t xml:space="preserve">) </w:t>
            </w:r>
            <w:proofErr w:type="spellStart"/>
            <w:r w:rsidRPr="002916C1">
              <w:t>ss</w:t>
            </w:r>
            <w:proofErr w:type="spellEnd"/>
            <w:r w:rsidRPr="002916C1">
              <w:t xml:space="preserve"> 85ZR(2), 85ZZH</w:t>
            </w:r>
            <w:r w:rsidRPr="002916C1">
              <w:rPr>
                <w:bCs/>
                <w:i/>
                <w:iCs/>
              </w:rPr>
              <w:t xml:space="preserve"> </w:t>
            </w:r>
          </w:p>
          <w:p w:rsidR="002916C1" w:rsidRDefault="002916C1" w:rsidP="008F1D88">
            <w:pPr>
              <w:pStyle w:val="CasesLegislationAppealFrom"/>
              <w:spacing w:after="60"/>
              <w:rPr>
                <w:lang w:val="en-GB" w:eastAsia="en-AU"/>
              </w:rPr>
            </w:pPr>
            <w:r w:rsidRPr="002916C1">
              <w:rPr>
                <w:bCs/>
                <w:i/>
                <w:iCs/>
              </w:rPr>
              <w:t>Migration Act</w:t>
            </w:r>
            <w:r w:rsidRPr="002916C1">
              <w:rPr>
                <w:i/>
                <w:iCs/>
              </w:rPr>
              <w:t xml:space="preserve"> 1958 </w:t>
            </w:r>
            <w:r w:rsidRPr="002916C1">
              <w:t>(</w:t>
            </w:r>
            <w:proofErr w:type="spellStart"/>
            <w:r w:rsidRPr="002916C1">
              <w:t>Cth</w:t>
            </w:r>
            <w:proofErr w:type="spellEnd"/>
            <w:r w:rsidRPr="002916C1">
              <w:t>)</w:t>
            </w:r>
            <w:r w:rsidRPr="002916C1">
              <w:rPr>
                <w:szCs w:val="22"/>
              </w:rPr>
              <w:t xml:space="preserve"> </w:t>
            </w:r>
            <w:proofErr w:type="spellStart"/>
            <w:r w:rsidRPr="002916C1">
              <w:rPr>
                <w:szCs w:val="22"/>
              </w:rPr>
              <w:t>ss</w:t>
            </w:r>
            <w:proofErr w:type="spellEnd"/>
            <w:r w:rsidRPr="002916C1">
              <w:rPr>
                <w:szCs w:val="22"/>
              </w:rPr>
              <w:t xml:space="preserve"> </w:t>
            </w:r>
            <w:r w:rsidRPr="002916C1">
              <w:t xml:space="preserve">279, </w:t>
            </w:r>
            <w:r w:rsidRPr="002916C1">
              <w:rPr>
                <w:szCs w:val="22"/>
              </w:rPr>
              <w:t xml:space="preserve">501(1), </w:t>
            </w:r>
            <w:r w:rsidRPr="002916C1">
              <w:t>501(3A), 501(6)(a)</w:t>
            </w:r>
            <w:r>
              <w:t>, 501(7),</w:t>
            </w:r>
            <w:r w:rsidRPr="008F1D88">
              <w:t xml:space="preserve"> </w:t>
            </w:r>
            <w:r w:rsidRPr="002916C1">
              <w:rPr>
                <w:lang w:val="en-GB" w:eastAsia="en-AU"/>
              </w:rPr>
              <w:t xml:space="preserve">501CA </w:t>
            </w:r>
          </w:p>
          <w:p w:rsidR="008F1D88" w:rsidRPr="002916C1" w:rsidRDefault="008F1D88" w:rsidP="008F1D88">
            <w:pPr>
              <w:pStyle w:val="CasesLegislationAppealFrom"/>
              <w:spacing w:after="60"/>
            </w:pPr>
            <w:r w:rsidRPr="002916C1">
              <w:rPr>
                <w:bCs/>
                <w:i/>
                <w:iCs/>
              </w:rPr>
              <w:t>Penalties and Sentences Act</w:t>
            </w:r>
            <w:r w:rsidRPr="002916C1">
              <w:rPr>
                <w:i/>
                <w:iCs/>
              </w:rPr>
              <w:t xml:space="preserve"> 1992</w:t>
            </w:r>
            <w:r w:rsidRPr="002916C1">
              <w:t xml:space="preserve"> (Qld), s 12(3)</w:t>
            </w:r>
          </w:p>
          <w:p w:rsidR="008F1D88" w:rsidRPr="002916C1" w:rsidRDefault="008F1D88" w:rsidP="002916C1">
            <w:pPr>
              <w:pStyle w:val="CasesLegislationAppealFrom"/>
              <w:spacing w:after="60"/>
              <w:rPr>
                <w:i/>
                <w:iCs/>
                <w:lang w:val="en-GB" w:eastAsia="en-AU"/>
              </w:rPr>
            </w:pPr>
            <w:r w:rsidRPr="002916C1">
              <w:rPr>
                <w:bCs/>
                <w:i/>
                <w:iCs/>
              </w:rPr>
              <w:t>Youth Justice Act</w:t>
            </w:r>
            <w:r w:rsidRPr="002916C1">
              <w:rPr>
                <w:i/>
                <w:iCs/>
              </w:rPr>
              <w:t xml:space="preserve"> 1992</w:t>
            </w:r>
            <w:r w:rsidRPr="002916C1">
              <w:t xml:space="preserve"> (Qld)</w:t>
            </w:r>
            <w:r w:rsidR="002916C1" w:rsidRPr="002916C1">
              <w:t xml:space="preserve"> </w:t>
            </w:r>
            <w:proofErr w:type="spellStart"/>
            <w:r w:rsidR="002916C1" w:rsidRPr="002916C1">
              <w:t>ss</w:t>
            </w:r>
            <w:proofErr w:type="spellEnd"/>
            <w:r w:rsidR="002916C1" w:rsidRPr="002916C1">
              <w:t xml:space="preserve"> 148</w:t>
            </w:r>
            <w:r w:rsidR="002916C1">
              <w:t>,</w:t>
            </w:r>
            <w:r w:rsidR="002916C1" w:rsidRPr="002916C1">
              <w:t xml:space="preserve"> 184(2)</w:t>
            </w:r>
            <w:bookmarkEnd w:id="3"/>
          </w:p>
        </w:tc>
      </w:tr>
      <w:tr w:rsidR="00395B24" w:rsidTr="00531537">
        <w:tc>
          <w:tcPr>
            <w:tcW w:w="3072" w:type="dxa"/>
            <w:shd w:val="clear" w:color="auto" w:fill="auto"/>
          </w:tcPr>
          <w:p w:rsidR="00395B24" w:rsidRDefault="00395B24" w:rsidP="00531537">
            <w:pPr>
              <w:pStyle w:val="Normal1linespace"/>
              <w:widowControl w:val="0"/>
              <w:jc w:val="left"/>
            </w:pPr>
          </w:p>
        </w:tc>
        <w:tc>
          <w:tcPr>
            <w:tcW w:w="5989" w:type="dxa"/>
            <w:shd w:val="clear" w:color="auto" w:fill="auto"/>
          </w:tcPr>
          <w:p w:rsidR="00395B24" w:rsidRDefault="00395B24" w:rsidP="00531537">
            <w:pPr>
              <w:pStyle w:val="Normal1linespace"/>
              <w:widowControl w:val="0"/>
              <w:jc w:val="left"/>
            </w:pPr>
          </w:p>
        </w:tc>
      </w:tr>
      <w:tr w:rsidR="00395B24" w:rsidTr="00531537">
        <w:tc>
          <w:tcPr>
            <w:tcW w:w="3072" w:type="dxa"/>
            <w:shd w:val="clear" w:color="auto" w:fill="auto"/>
          </w:tcPr>
          <w:p w:rsidR="00395B24" w:rsidRDefault="002C7385" w:rsidP="00531537">
            <w:pPr>
              <w:pStyle w:val="Normal1linespace"/>
              <w:widowControl w:val="0"/>
              <w:jc w:val="left"/>
            </w:pPr>
            <w:r>
              <w:t>Cases cited:</w:t>
            </w:r>
          </w:p>
        </w:tc>
        <w:tc>
          <w:tcPr>
            <w:tcW w:w="5989" w:type="dxa"/>
            <w:shd w:val="clear" w:color="auto" w:fill="auto"/>
          </w:tcPr>
          <w:p w:rsidR="008F1D88" w:rsidRPr="002916C1" w:rsidRDefault="008F1D88" w:rsidP="008F1D88">
            <w:pPr>
              <w:pStyle w:val="CasesLegislationAppealFrom"/>
              <w:spacing w:after="60"/>
            </w:pPr>
            <w:bookmarkStart w:id="4" w:name="Cases_Cited"/>
            <w:r w:rsidRPr="002916C1">
              <w:rPr>
                <w:i/>
                <w:iCs/>
              </w:rPr>
              <w:t>Bull v Attorney-General (NSW)</w:t>
            </w:r>
            <w:r w:rsidRPr="002916C1">
              <w:t xml:space="preserve"> (1913) 17 CLR 370</w:t>
            </w:r>
          </w:p>
          <w:p w:rsidR="008F1D88" w:rsidRPr="002916C1" w:rsidRDefault="008F1D88" w:rsidP="008F1D88">
            <w:pPr>
              <w:pStyle w:val="CasesLegislationAppealFrom"/>
              <w:spacing w:after="60"/>
              <w:rPr>
                <w:lang w:eastAsia="en-GB"/>
              </w:rPr>
            </w:pPr>
            <w:r w:rsidRPr="002916C1">
              <w:rPr>
                <w:rFonts w:ascii="TimesNewRomanPS" w:hAnsi="TimesNewRomanPS"/>
                <w:i/>
                <w:iCs/>
                <w:lang w:eastAsia="en-GB"/>
              </w:rPr>
              <w:t xml:space="preserve">Certain Lloyd’s Underwriters v Cross </w:t>
            </w:r>
            <w:r w:rsidRPr="002916C1">
              <w:rPr>
                <w:lang w:eastAsia="en-GB"/>
              </w:rPr>
              <w:t>(2012) 248 CLR 378</w:t>
            </w:r>
          </w:p>
          <w:p w:rsidR="008F1D88" w:rsidRPr="002916C1" w:rsidRDefault="008F1D88" w:rsidP="008F1D88">
            <w:pPr>
              <w:pStyle w:val="CasesLegislationAppealFrom"/>
              <w:spacing w:after="60"/>
              <w:rPr>
                <w:lang w:eastAsia="en-GB"/>
              </w:rPr>
            </w:pPr>
            <w:r w:rsidRPr="002916C1">
              <w:rPr>
                <w:rFonts w:ascii="TimesNewRomanPS" w:hAnsi="TimesNewRomanPS"/>
                <w:i/>
                <w:iCs/>
                <w:lang w:eastAsia="en-GB"/>
              </w:rPr>
              <w:t>Federal Commissioner of Taxation v Consolidated Media Holdings Ltd</w:t>
            </w:r>
            <w:r w:rsidRPr="002916C1">
              <w:rPr>
                <w:lang w:eastAsia="en-GB"/>
              </w:rPr>
              <w:t xml:space="preserve"> (2012) 250 CLR 503</w:t>
            </w:r>
          </w:p>
          <w:p w:rsidR="008F1D88" w:rsidRPr="002916C1" w:rsidRDefault="008F1D88" w:rsidP="008F1D88">
            <w:pPr>
              <w:pStyle w:val="CasesLegislationAppealFrom"/>
              <w:spacing w:after="60"/>
            </w:pPr>
            <w:proofErr w:type="spellStart"/>
            <w:r w:rsidRPr="002916C1">
              <w:rPr>
                <w:bCs/>
                <w:i/>
                <w:iCs/>
              </w:rPr>
              <w:t>Hartwig</w:t>
            </w:r>
            <w:proofErr w:type="spellEnd"/>
            <w:r w:rsidRPr="002916C1">
              <w:rPr>
                <w:i/>
                <w:iCs/>
              </w:rPr>
              <w:t xml:space="preserve"> v P E Hack</w:t>
            </w:r>
            <w:r w:rsidRPr="002916C1">
              <w:t xml:space="preserve"> [2007] FCA 1039</w:t>
            </w:r>
          </w:p>
          <w:p w:rsidR="008F1D88" w:rsidRPr="002916C1" w:rsidRDefault="008F1D88" w:rsidP="008F1D88">
            <w:pPr>
              <w:pStyle w:val="CasesLegislationAppealFrom"/>
              <w:spacing w:after="60"/>
            </w:pPr>
            <w:r w:rsidRPr="002916C1">
              <w:rPr>
                <w:i/>
                <w:iCs/>
              </w:rPr>
              <w:lastRenderedPageBreak/>
              <w:t>Minister for Aboriginal Affairs v Peko-Wallsend</w:t>
            </w:r>
            <w:r w:rsidRPr="002916C1">
              <w:t xml:space="preserve"> (1986) 162 CLR 24</w:t>
            </w:r>
          </w:p>
          <w:p w:rsidR="008F1D88" w:rsidRPr="002916C1" w:rsidRDefault="008F1D88" w:rsidP="008F1D88">
            <w:pPr>
              <w:pStyle w:val="CasesLegislationAppealFrom"/>
              <w:spacing w:after="60"/>
            </w:pPr>
            <w:r w:rsidRPr="002916C1">
              <w:rPr>
                <w:i/>
                <w:iCs/>
              </w:rPr>
              <w:t>MZAPC v Minister for Immigration and Border Protection</w:t>
            </w:r>
            <w:r w:rsidRPr="002916C1">
              <w:t xml:space="preserve"> [2021] HCA 17; 390 ALR 590</w:t>
            </w:r>
          </w:p>
          <w:p w:rsidR="008F1D88" w:rsidRPr="002916C1" w:rsidRDefault="008F1D88" w:rsidP="008F1D88">
            <w:pPr>
              <w:pStyle w:val="CasesLegislationAppealFrom"/>
              <w:spacing w:after="60"/>
              <w:rPr>
                <w:lang w:eastAsia="en-GB"/>
              </w:rPr>
            </w:pPr>
            <w:r w:rsidRPr="002916C1">
              <w:rPr>
                <w:i/>
                <w:iCs/>
                <w:lang w:eastAsia="en-GB"/>
              </w:rPr>
              <w:t>R v A2</w:t>
            </w:r>
            <w:r w:rsidRPr="002916C1">
              <w:rPr>
                <w:lang w:eastAsia="en-GB"/>
              </w:rPr>
              <w:t xml:space="preserve"> 269 CLR 597</w:t>
            </w:r>
          </w:p>
          <w:p w:rsidR="008F1D88" w:rsidRPr="002916C1" w:rsidRDefault="008F1D88" w:rsidP="008F1D88">
            <w:pPr>
              <w:pStyle w:val="CasesLegislationAppealFrom"/>
              <w:spacing w:after="60"/>
            </w:pPr>
            <w:r w:rsidRPr="002916C1">
              <w:rPr>
                <w:i/>
                <w:iCs/>
              </w:rPr>
              <w:t xml:space="preserve">R v </w:t>
            </w:r>
            <w:proofErr w:type="spellStart"/>
            <w:r w:rsidRPr="002916C1">
              <w:rPr>
                <w:i/>
                <w:iCs/>
              </w:rPr>
              <w:t>Briese</w:t>
            </w:r>
            <w:proofErr w:type="spellEnd"/>
            <w:r w:rsidRPr="002916C1">
              <w:rPr>
                <w:i/>
                <w:iCs/>
              </w:rPr>
              <w:t>; Ex parte Attorney-General (Qld)</w:t>
            </w:r>
            <w:r w:rsidRPr="002916C1">
              <w:t xml:space="preserve"> [1997] QCA 10; [1988] 1 </w:t>
            </w:r>
            <w:proofErr w:type="spellStart"/>
            <w:r w:rsidRPr="002916C1">
              <w:t>Qd</w:t>
            </w:r>
            <w:proofErr w:type="spellEnd"/>
            <w:r w:rsidRPr="002916C1">
              <w:t xml:space="preserve"> R 487</w:t>
            </w:r>
          </w:p>
          <w:p w:rsidR="008F1D88" w:rsidRPr="002916C1" w:rsidRDefault="008F1D88" w:rsidP="008F1D88">
            <w:pPr>
              <w:pStyle w:val="CasesLegislationAppealFrom"/>
              <w:spacing w:after="60"/>
            </w:pPr>
            <w:r w:rsidRPr="002916C1">
              <w:rPr>
                <w:i/>
                <w:iCs/>
              </w:rPr>
              <w:t xml:space="preserve">R v </w:t>
            </w:r>
            <w:r w:rsidRPr="002916C1">
              <w:rPr>
                <w:bCs/>
                <w:i/>
                <w:iCs/>
              </w:rPr>
              <w:t>MDD</w:t>
            </w:r>
            <w:r w:rsidRPr="002916C1">
              <w:rPr>
                <w:i/>
                <w:iCs/>
              </w:rPr>
              <w:t xml:space="preserve"> </w:t>
            </w:r>
            <w:r w:rsidRPr="002916C1">
              <w:t>[2021] QCA 235</w:t>
            </w:r>
          </w:p>
          <w:p w:rsidR="008F1D88" w:rsidRPr="002916C1" w:rsidRDefault="008F1D88" w:rsidP="008F1D88">
            <w:pPr>
              <w:pStyle w:val="CasesLegislationAppealFrom"/>
              <w:spacing w:after="60"/>
            </w:pPr>
            <w:r w:rsidRPr="002916C1">
              <w:rPr>
                <w:rFonts w:ascii="TimesNewRomanPS" w:hAnsi="TimesNewRomanPS"/>
                <w:i/>
                <w:iCs/>
                <w:lang w:eastAsia="en-GB"/>
              </w:rPr>
              <w:t xml:space="preserve">SZTAL v Minister for Immigration and Border Protection </w:t>
            </w:r>
            <w:r w:rsidRPr="002916C1">
              <w:rPr>
                <w:lang w:eastAsia="en-GB"/>
              </w:rPr>
              <w:t>(2017) 262 CLR 362</w:t>
            </w:r>
            <w:bookmarkEnd w:id="4"/>
          </w:p>
        </w:tc>
      </w:tr>
      <w:tr w:rsidR="00CC313A" w:rsidTr="00531537">
        <w:tc>
          <w:tcPr>
            <w:tcW w:w="3072" w:type="dxa"/>
            <w:shd w:val="clear" w:color="auto" w:fill="auto"/>
          </w:tcPr>
          <w:p w:rsidR="00CC313A" w:rsidRDefault="00CC313A" w:rsidP="00531537">
            <w:pPr>
              <w:pStyle w:val="Normal1linespace"/>
              <w:widowControl w:val="0"/>
            </w:pPr>
          </w:p>
        </w:tc>
        <w:tc>
          <w:tcPr>
            <w:tcW w:w="5989" w:type="dxa"/>
            <w:shd w:val="clear" w:color="auto" w:fill="auto"/>
          </w:tcPr>
          <w:p w:rsidR="00CC313A" w:rsidRDefault="00CC313A" w:rsidP="00531537">
            <w:pPr>
              <w:pStyle w:val="Normal1linespace"/>
              <w:widowControl w:val="0"/>
              <w:jc w:val="left"/>
            </w:pPr>
          </w:p>
        </w:tc>
      </w:tr>
      <w:tr w:rsidR="00CC313A" w:rsidTr="00531537">
        <w:tc>
          <w:tcPr>
            <w:tcW w:w="3072" w:type="dxa"/>
            <w:shd w:val="clear" w:color="auto" w:fill="auto"/>
          </w:tcPr>
          <w:p w:rsidR="00CC313A" w:rsidRDefault="00CC313A" w:rsidP="00531537">
            <w:pPr>
              <w:pStyle w:val="Normal1linespace"/>
              <w:widowControl w:val="0"/>
            </w:pPr>
            <w:r>
              <w:t>Division:</w:t>
            </w:r>
          </w:p>
        </w:tc>
        <w:tc>
          <w:tcPr>
            <w:tcW w:w="5989" w:type="dxa"/>
            <w:shd w:val="clear" w:color="auto" w:fill="auto"/>
          </w:tcPr>
          <w:p w:rsidR="00CC313A" w:rsidRPr="00F17599" w:rsidRDefault="00360886" w:rsidP="00531537">
            <w:pPr>
              <w:pStyle w:val="Normal1linespace"/>
              <w:widowControl w:val="0"/>
              <w:jc w:val="left"/>
            </w:pPr>
            <w:fldSimple w:instr=" DOCPROPERTY  Division ">
              <w:r w:rsidR="00CC313A">
                <w:t>General Division</w:t>
              </w:r>
            </w:fldSimple>
          </w:p>
        </w:tc>
      </w:tr>
      <w:tr w:rsidR="00CC313A" w:rsidTr="00531537">
        <w:tc>
          <w:tcPr>
            <w:tcW w:w="3072" w:type="dxa"/>
            <w:shd w:val="clear" w:color="auto" w:fill="auto"/>
          </w:tcPr>
          <w:p w:rsidR="00CC313A" w:rsidRDefault="00CC313A" w:rsidP="00531537">
            <w:pPr>
              <w:pStyle w:val="Normal1linespace"/>
              <w:widowControl w:val="0"/>
            </w:pPr>
            <w:bookmarkStart w:id="5" w:name="Registry_rows" w:colFirst="0" w:colLast="1"/>
          </w:p>
        </w:tc>
        <w:tc>
          <w:tcPr>
            <w:tcW w:w="5989" w:type="dxa"/>
            <w:shd w:val="clear" w:color="auto" w:fill="auto"/>
          </w:tcPr>
          <w:p w:rsidR="00CC313A" w:rsidRDefault="00CC313A" w:rsidP="00531537">
            <w:pPr>
              <w:pStyle w:val="Normal1linespace"/>
              <w:widowControl w:val="0"/>
              <w:jc w:val="left"/>
            </w:pPr>
          </w:p>
        </w:tc>
      </w:tr>
      <w:tr w:rsidR="00CC313A" w:rsidTr="00531537">
        <w:tc>
          <w:tcPr>
            <w:tcW w:w="3072" w:type="dxa"/>
            <w:shd w:val="clear" w:color="auto" w:fill="auto"/>
          </w:tcPr>
          <w:p w:rsidR="00CC313A" w:rsidRDefault="00CC313A" w:rsidP="00531537">
            <w:pPr>
              <w:pStyle w:val="Normal1linespace"/>
              <w:widowControl w:val="0"/>
            </w:pPr>
            <w:r>
              <w:t>Registry:</w:t>
            </w:r>
          </w:p>
        </w:tc>
        <w:tc>
          <w:tcPr>
            <w:tcW w:w="5989" w:type="dxa"/>
            <w:shd w:val="clear" w:color="auto" w:fill="auto"/>
          </w:tcPr>
          <w:p w:rsidR="00CC313A" w:rsidRPr="00F17599" w:rsidRDefault="00360886" w:rsidP="00531537">
            <w:pPr>
              <w:pStyle w:val="Normal1linespace"/>
              <w:widowControl w:val="0"/>
              <w:jc w:val="left"/>
            </w:pPr>
            <w:fldSimple w:instr=" DOCPROPERTY  Registry ">
              <w:r w:rsidR="00CC313A">
                <w:t>Queensland</w:t>
              </w:r>
            </w:fldSimple>
          </w:p>
        </w:tc>
      </w:tr>
      <w:tr w:rsidR="00CC313A" w:rsidTr="00531537">
        <w:tc>
          <w:tcPr>
            <w:tcW w:w="3072" w:type="dxa"/>
            <w:shd w:val="clear" w:color="auto" w:fill="auto"/>
          </w:tcPr>
          <w:p w:rsidR="00CC313A" w:rsidRDefault="00CC313A" w:rsidP="00531537">
            <w:pPr>
              <w:pStyle w:val="Normal1linespace"/>
              <w:widowControl w:val="0"/>
            </w:pPr>
            <w:bookmarkStart w:id="6" w:name="NPARow" w:colFirst="0" w:colLast="1"/>
            <w:bookmarkEnd w:id="5"/>
          </w:p>
        </w:tc>
        <w:tc>
          <w:tcPr>
            <w:tcW w:w="5989" w:type="dxa"/>
            <w:shd w:val="clear" w:color="auto" w:fill="auto"/>
          </w:tcPr>
          <w:p w:rsidR="00CC313A" w:rsidRPr="00F17599" w:rsidRDefault="00CC313A" w:rsidP="00531537">
            <w:pPr>
              <w:pStyle w:val="Normal1linespace"/>
              <w:widowControl w:val="0"/>
              <w:jc w:val="left"/>
              <w:rPr>
                <w:b/>
              </w:rPr>
            </w:pPr>
          </w:p>
        </w:tc>
      </w:tr>
      <w:tr w:rsidR="00CC313A" w:rsidTr="00531537">
        <w:tc>
          <w:tcPr>
            <w:tcW w:w="3072" w:type="dxa"/>
            <w:shd w:val="clear" w:color="auto" w:fill="auto"/>
          </w:tcPr>
          <w:p w:rsidR="00CC313A" w:rsidRDefault="00CC313A" w:rsidP="00531537">
            <w:pPr>
              <w:pStyle w:val="Normal1linespace"/>
              <w:widowControl w:val="0"/>
            </w:pPr>
            <w:r>
              <w:t>National Practice Area:</w:t>
            </w:r>
          </w:p>
        </w:tc>
        <w:tc>
          <w:tcPr>
            <w:tcW w:w="5989" w:type="dxa"/>
            <w:shd w:val="clear" w:color="auto" w:fill="auto"/>
          </w:tcPr>
          <w:p w:rsidR="00CC313A" w:rsidRPr="00F17599" w:rsidRDefault="00B41800" w:rsidP="00531537">
            <w:pPr>
              <w:pStyle w:val="Normal1linespace"/>
              <w:widowControl w:val="0"/>
              <w:jc w:val="left"/>
              <w:rPr>
                <w:b/>
              </w:rPr>
            </w:pPr>
            <w:r>
              <w:fldChar w:fldCharType="begin"/>
            </w:r>
            <w:r>
              <w:instrText xml:space="preserve"> DOCPROPERTY  "Practice Area"  \* MERGEFORMAT </w:instrText>
            </w:r>
            <w:r>
              <w:fldChar w:fldCharType="separate"/>
            </w:r>
            <w:r w:rsidR="00CC313A">
              <w:t>Administrative and Constitutional Law and Human Rights</w:t>
            </w:r>
            <w:r>
              <w:fldChar w:fldCharType="end"/>
            </w:r>
          </w:p>
        </w:tc>
      </w:tr>
      <w:tr w:rsidR="00CC313A" w:rsidTr="00531537">
        <w:tc>
          <w:tcPr>
            <w:tcW w:w="3072" w:type="dxa"/>
            <w:shd w:val="clear" w:color="auto" w:fill="auto"/>
          </w:tcPr>
          <w:p w:rsidR="00CC313A" w:rsidRDefault="00CC313A" w:rsidP="00531537">
            <w:pPr>
              <w:pStyle w:val="Normal1linespace"/>
              <w:widowControl w:val="0"/>
            </w:pPr>
            <w:bookmarkStart w:id="7" w:name="SubAreaRow" w:colFirst="0" w:colLast="1"/>
            <w:bookmarkEnd w:id="6"/>
          </w:p>
        </w:tc>
        <w:tc>
          <w:tcPr>
            <w:tcW w:w="5989" w:type="dxa"/>
            <w:shd w:val="clear" w:color="auto" w:fill="auto"/>
          </w:tcPr>
          <w:p w:rsidR="00CC313A" w:rsidRDefault="00CC313A" w:rsidP="00531537">
            <w:pPr>
              <w:pStyle w:val="Normal1linespace"/>
              <w:widowControl w:val="0"/>
              <w:jc w:val="left"/>
            </w:pPr>
          </w:p>
        </w:tc>
      </w:tr>
      <w:bookmarkEnd w:id="7"/>
      <w:tr w:rsidR="006E1873" w:rsidTr="00531537">
        <w:tc>
          <w:tcPr>
            <w:tcW w:w="3072" w:type="dxa"/>
            <w:shd w:val="clear" w:color="auto" w:fill="auto"/>
          </w:tcPr>
          <w:p w:rsidR="006E1873" w:rsidRDefault="006E1873" w:rsidP="00531537">
            <w:pPr>
              <w:pStyle w:val="Normal1linespace"/>
              <w:widowControl w:val="0"/>
            </w:pPr>
            <w:r>
              <w:t>Number of paragraphs:</w:t>
            </w:r>
          </w:p>
        </w:tc>
        <w:tc>
          <w:tcPr>
            <w:tcW w:w="5989" w:type="dxa"/>
            <w:shd w:val="clear" w:color="auto" w:fill="auto"/>
          </w:tcPr>
          <w:p w:rsidR="006E1873" w:rsidRDefault="00EB175E" w:rsidP="00531537">
            <w:pPr>
              <w:pStyle w:val="Normal1linespace"/>
              <w:widowControl w:val="0"/>
              <w:jc w:val="left"/>
            </w:pPr>
            <w:bookmarkStart w:id="8" w:name="PlaceCategoryParagraphs"/>
            <w:r>
              <w:t>58</w:t>
            </w:r>
            <w:bookmarkEnd w:id="8"/>
          </w:p>
        </w:tc>
      </w:tr>
      <w:tr w:rsidR="002916C1" w:rsidTr="00531537">
        <w:tc>
          <w:tcPr>
            <w:tcW w:w="3072" w:type="dxa"/>
            <w:shd w:val="clear" w:color="auto" w:fill="auto"/>
          </w:tcPr>
          <w:p w:rsidR="002916C1" w:rsidRDefault="002916C1" w:rsidP="00531537">
            <w:pPr>
              <w:pStyle w:val="Normal1linespace"/>
              <w:widowControl w:val="0"/>
            </w:pPr>
          </w:p>
        </w:tc>
        <w:tc>
          <w:tcPr>
            <w:tcW w:w="5989" w:type="dxa"/>
            <w:shd w:val="clear" w:color="auto" w:fill="auto"/>
          </w:tcPr>
          <w:p w:rsidR="002916C1" w:rsidRDefault="002916C1" w:rsidP="00531537">
            <w:pPr>
              <w:pStyle w:val="Normal1linespace"/>
              <w:widowControl w:val="0"/>
              <w:jc w:val="left"/>
            </w:pPr>
          </w:p>
        </w:tc>
      </w:tr>
      <w:tr w:rsidR="006E1873" w:rsidTr="00531537">
        <w:tc>
          <w:tcPr>
            <w:tcW w:w="3072" w:type="dxa"/>
            <w:shd w:val="clear" w:color="auto" w:fill="auto"/>
          </w:tcPr>
          <w:p w:rsidR="006E1873" w:rsidRDefault="006E1873" w:rsidP="00531537">
            <w:pPr>
              <w:pStyle w:val="Normal1linespace"/>
              <w:widowControl w:val="0"/>
              <w:jc w:val="left"/>
            </w:pPr>
            <w:bookmarkStart w:id="9" w:name="CounselDate" w:colFirst="0" w:colLast="2"/>
            <w:r w:rsidRPr="006A24E3">
              <w:t>Date of hearing:</w:t>
            </w:r>
          </w:p>
        </w:tc>
        <w:tc>
          <w:tcPr>
            <w:tcW w:w="5989" w:type="dxa"/>
            <w:shd w:val="clear" w:color="auto" w:fill="auto"/>
          </w:tcPr>
          <w:p w:rsidR="006E1873" w:rsidRDefault="000A6C53" w:rsidP="00531537">
            <w:pPr>
              <w:pStyle w:val="Normal1linespace"/>
              <w:widowControl w:val="0"/>
              <w:jc w:val="left"/>
            </w:pPr>
            <w:bookmarkStart w:id="10" w:name="HearingDate"/>
            <w:r>
              <w:t>25</w:t>
            </w:r>
            <w:r w:rsidR="00C6415D">
              <w:t xml:space="preserve"> February 2022</w:t>
            </w:r>
            <w:r w:rsidR="006E1873">
              <w:t xml:space="preserve"> </w:t>
            </w:r>
            <w:bookmarkEnd w:id="10"/>
          </w:p>
        </w:tc>
      </w:tr>
      <w:tr w:rsidR="006E1873" w:rsidTr="00531537">
        <w:tc>
          <w:tcPr>
            <w:tcW w:w="3072" w:type="dxa"/>
            <w:shd w:val="clear" w:color="auto" w:fill="auto"/>
          </w:tcPr>
          <w:p w:rsidR="006E1873" w:rsidRDefault="006E1873" w:rsidP="00531537">
            <w:pPr>
              <w:pStyle w:val="Normal1linespace"/>
              <w:widowControl w:val="0"/>
              <w:jc w:val="left"/>
            </w:pPr>
          </w:p>
        </w:tc>
        <w:tc>
          <w:tcPr>
            <w:tcW w:w="5989" w:type="dxa"/>
            <w:shd w:val="clear" w:color="auto" w:fill="auto"/>
          </w:tcPr>
          <w:p w:rsidR="006E1873" w:rsidRDefault="006E1873" w:rsidP="00531537">
            <w:pPr>
              <w:pStyle w:val="Normal1linespace"/>
              <w:widowControl w:val="0"/>
              <w:jc w:val="left"/>
            </w:pPr>
          </w:p>
        </w:tc>
      </w:tr>
      <w:tr w:rsidR="00CC313A" w:rsidTr="00531537">
        <w:tc>
          <w:tcPr>
            <w:tcW w:w="3072" w:type="dxa"/>
            <w:shd w:val="clear" w:color="auto" w:fill="auto"/>
          </w:tcPr>
          <w:p w:rsidR="00CC313A" w:rsidRDefault="00C91D75" w:rsidP="00B41800">
            <w:pPr>
              <w:pStyle w:val="Normal1linespace"/>
              <w:widowControl w:val="0"/>
              <w:jc w:val="left"/>
            </w:pPr>
            <w:bookmarkStart w:id="11" w:name="Counsel" w:colFirst="0" w:colLast="2"/>
            <w:bookmarkEnd w:id="9"/>
            <w:r>
              <w:t>Counsel for the App</w:t>
            </w:r>
            <w:r w:rsidR="00B41800">
              <w:t>ellant</w:t>
            </w:r>
            <w:r>
              <w:t>:</w:t>
            </w:r>
          </w:p>
        </w:tc>
        <w:tc>
          <w:tcPr>
            <w:tcW w:w="5989" w:type="dxa"/>
            <w:shd w:val="clear" w:color="auto" w:fill="auto"/>
          </w:tcPr>
          <w:p w:rsidR="00CC313A" w:rsidRDefault="00C91D75" w:rsidP="00531537">
            <w:pPr>
              <w:pStyle w:val="Normal1linespace"/>
              <w:widowControl w:val="0"/>
              <w:jc w:val="left"/>
            </w:pPr>
            <w:bookmarkStart w:id="12" w:name="AppCounsel"/>
            <w:bookmarkEnd w:id="12"/>
            <w:r>
              <w:t xml:space="preserve">Mr G </w:t>
            </w:r>
            <w:proofErr w:type="spellStart"/>
            <w:r>
              <w:t>Rebetzke</w:t>
            </w:r>
            <w:proofErr w:type="spellEnd"/>
          </w:p>
        </w:tc>
      </w:tr>
      <w:tr w:rsidR="00CC313A" w:rsidTr="00531537">
        <w:tc>
          <w:tcPr>
            <w:tcW w:w="3072" w:type="dxa"/>
            <w:shd w:val="clear" w:color="auto" w:fill="auto"/>
          </w:tcPr>
          <w:p w:rsidR="00CC313A" w:rsidRDefault="00CC313A" w:rsidP="00531537">
            <w:pPr>
              <w:pStyle w:val="Normal1linespace"/>
              <w:widowControl w:val="0"/>
              <w:jc w:val="left"/>
            </w:pPr>
          </w:p>
        </w:tc>
        <w:tc>
          <w:tcPr>
            <w:tcW w:w="5989" w:type="dxa"/>
            <w:shd w:val="clear" w:color="auto" w:fill="auto"/>
          </w:tcPr>
          <w:p w:rsidR="00CC313A" w:rsidRDefault="00CC313A" w:rsidP="00531537">
            <w:pPr>
              <w:pStyle w:val="Normal1linespace"/>
              <w:widowControl w:val="0"/>
              <w:jc w:val="left"/>
            </w:pPr>
          </w:p>
        </w:tc>
      </w:tr>
      <w:tr w:rsidR="00CC313A" w:rsidTr="00531537">
        <w:tc>
          <w:tcPr>
            <w:tcW w:w="3072" w:type="dxa"/>
            <w:shd w:val="clear" w:color="auto" w:fill="auto"/>
          </w:tcPr>
          <w:p w:rsidR="00CC313A" w:rsidRDefault="00C91D75" w:rsidP="00B41800">
            <w:pPr>
              <w:pStyle w:val="Normal1linespace"/>
              <w:widowControl w:val="0"/>
              <w:jc w:val="left"/>
            </w:pPr>
            <w:r>
              <w:t>Solicitor for the App</w:t>
            </w:r>
            <w:r w:rsidR="00B41800">
              <w:t>ellant</w:t>
            </w:r>
            <w:bookmarkStart w:id="13" w:name="_GoBack"/>
            <w:bookmarkEnd w:id="13"/>
            <w:r>
              <w:t>:</w:t>
            </w:r>
          </w:p>
        </w:tc>
        <w:tc>
          <w:tcPr>
            <w:tcW w:w="5989" w:type="dxa"/>
            <w:shd w:val="clear" w:color="auto" w:fill="auto"/>
          </w:tcPr>
          <w:p w:rsidR="00CC313A" w:rsidRDefault="00C91D75" w:rsidP="00531537">
            <w:pPr>
              <w:pStyle w:val="Normal1linespace"/>
              <w:widowControl w:val="0"/>
              <w:jc w:val="left"/>
            </w:pPr>
            <w:r>
              <w:t>Armstrong Legal</w:t>
            </w:r>
          </w:p>
        </w:tc>
      </w:tr>
      <w:tr w:rsidR="00CC313A" w:rsidTr="00531537">
        <w:tc>
          <w:tcPr>
            <w:tcW w:w="3072" w:type="dxa"/>
            <w:shd w:val="clear" w:color="auto" w:fill="auto"/>
          </w:tcPr>
          <w:p w:rsidR="00CC313A" w:rsidRDefault="00CC313A" w:rsidP="00531537">
            <w:pPr>
              <w:pStyle w:val="Normal1linespace"/>
              <w:widowControl w:val="0"/>
              <w:jc w:val="left"/>
            </w:pPr>
          </w:p>
        </w:tc>
        <w:tc>
          <w:tcPr>
            <w:tcW w:w="5989" w:type="dxa"/>
            <w:shd w:val="clear" w:color="auto" w:fill="auto"/>
          </w:tcPr>
          <w:p w:rsidR="00CC313A" w:rsidRDefault="00CC313A" w:rsidP="00531537">
            <w:pPr>
              <w:pStyle w:val="Normal1linespace"/>
              <w:widowControl w:val="0"/>
              <w:jc w:val="left"/>
            </w:pPr>
          </w:p>
        </w:tc>
      </w:tr>
      <w:tr w:rsidR="00CC313A" w:rsidTr="00531537">
        <w:tc>
          <w:tcPr>
            <w:tcW w:w="3072" w:type="dxa"/>
            <w:shd w:val="clear" w:color="auto" w:fill="auto"/>
          </w:tcPr>
          <w:p w:rsidR="00CC313A" w:rsidRDefault="00C91D75" w:rsidP="00531537">
            <w:pPr>
              <w:pStyle w:val="Normal1linespace"/>
              <w:widowControl w:val="0"/>
              <w:jc w:val="left"/>
            </w:pPr>
            <w:r>
              <w:t>Counsel for the Respondent:</w:t>
            </w:r>
          </w:p>
        </w:tc>
        <w:tc>
          <w:tcPr>
            <w:tcW w:w="5989" w:type="dxa"/>
            <w:shd w:val="clear" w:color="auto" w:fill="auto"/>
          </w:tcPr>
          <w:p w:rsidR="00CC313A" w:rsidRDefault="00C91D75" w:rsidP="004F25D6">
            <w:pPr>
              <w:pStyle w:val="Normal1linespace"/>
              <w:widowControl w:val="0"/>
              <w:jc w:val="left"/>
            </w:pPr>
            <w:r>
              <w:t>M</w:t>
            </w:r>
            <w:r w:rsidR="004F25D6">
              <w:t xml:space="preserve">s </w:t>
            </w:r>
            <w:r>
              <w:t xml:space="preserve">A L Wheatley QC with Mr </w:t>
            </w:r>
            <w:r w:rsidR="008340BC">
              <w:t xml:space="preserve">A </w:t>
            </w:r>
            <w:r>
              <w:t>Scott</w:t>
            </w:r>
          </w:p>
        </w:tc>
      </w:tr>
      <w:tr w:rsidR="00CC313A" w:rsidTr="00531537">
        <w:tc>
          <w:tcPr>
            <w:tcW w:w="3072" w:type="dxa"/>
            <w:shd w:val="clear" w:color="auto" w:fill="auto"/>
          </w:tcPr>
          <w:p w:rsidR="00CC313A" w:rsidRDefault="00CC313A" w:rsidP="00531537">
            <w:pPr>
              <w:pStyle w:val="Normal1linespace"/>
              <w:widowControl w:val="0"/>
              <w:jc w:val="left"/>
            </w:pPr>
          </w:p>
        </w:tc>
        <w:tc>
          <w:tcPr>
            <w:tcW w:w="5989" w:type="dxa"/>
            <w:shd w:val="clear" w:color="auto" w:fill="auto"/>
          </w:tcPr>
          <w:p w:rsidR="00CC313A" w:rsidRDefault="00CC313A" w:rsidP="00531537">
            <w:pPr>
              <w:pStyle w:val="Normal1linespace"/>
              <w:widowControl w:val="0"/>
              <w:jc w:val="left"/>
            </w:pPr>
          </w:p>
        </w:tc>
      </w:tr>
      <w:tr w:rsidR="00CC313A" w:rsidTr="00531537">
        <w:tc>
          <w:tcPr>
            <w:tcW w:w="3072" w:type="dxa"/>
            <w:shd w:val="clear" w:color="auto" w:fill="auto"/>
          </w:tcPr>
          <w:p w:rsidR="00CC313A" w:rsidRDefault="00C91D75" w:rsidP="00531537">
            <w:pPr>
              <w:pStyle w:val="Normal1linespace"/>
              <w:widowControl w:val="0"/>
              <w:jc w:val="left"/>
            </w:pPr>
            <w:r>
              <w:t>Solicitor for the Respondent:</w:t>
            </w:r>
          </w:p>
        </w:tc>
        <w:tc>
          <w:tcPr>
            <w:tcW w:w="5989" w:type="dxa"/>
            <w:shd w:val="clear" w:color="auto" w:fill="auto"/>
          </w:tcPr>
          <w:p w:rsidR="00CC313A" w:rsidRDefault="00C91D75" w:rsidP="00531537">
            <w:pPr>
              <w:pStyle w:val="Normal1linespace"/>
              <w:widowControl w:val="0"/>
              <w:jc w:val="left"/>
            </w:pPr>
            <w:r>
              <w:t xml:space="preserve">Clayton </w:t>
            </w:r>
            <w:proofErr w:type="spellStart"/>
            <w:r>
              <w:t>Utz</w:t>
            </w:r>
            <w:proofErr w:type="spellEnd"/>
          </w:p>
        </w:tc>
      </w:tr>
      <w:bookmarkEnd w:id="11"/>
    </w:tbl>
    <w:p w:rsidR="00395B24" w:rsidRDefault="00395B24" w:rsidP="00531537">
      <w:pPr>
        <w:pStyle w:val="Normal1linespace"/>
        <w:sectPr w:rsidR="00395B24" w:rsidSect="001F2473">
          <w:footerReference w:type="default" r:id="rId12"/>
          <w:endnotePr>
            <w:numFmt w:val="decimal"/>
          </w:endnotePr>
          <w:type w:val="continuous"/>
          <w:pgSz w:w="11907" w:h="16840" w:code="9"/>
          <w:pgMar w:top="1440" w:right="1440" w:bottom="1440" w:left="1440" w:header="851" w:footer="768" w:gutter="0"/>
          <w:pgNumType w:start="1"/>
          <w:cols w:space="720"/>
          <w:noEndnote/>
          <w:titlePg/>
        </w:sectPr>
      </w:pPr>
    </w:p>
    <w:p w:rsidR="009477FC" w:rsidRPr="00045BB7" w:rsidRDefault="009477FC" w:rsidP="00531537">
      <w:pPr>
        <w:pStyle w:val="NormalHeadings"/>
        <w:spacing w:line="480" w:lineRule="auto"/>
        <w:jc w:val="center"/>
        <w:rPr>
          <w:sz w:val="28"/>
          <w:szCs w:val="28"/>
        </w:rPr>
      </w:pPr>
      <w:r w:rsidRPr="00045BB7">
        <w:rPr>
          <w:sz w:val="28"/>
          <w:szCs w:val="28"/>
        </w:rPr>
        <w:lastRenderedPageBreak/>
        <w:t>ORDERS</w:t>
      </w:r>
    </w:p>
    <w:tbl>
      <w:tblPr>
        <w:tblW w:w="0" w:type="auto"/>
        <w:tblLayout w:type="fixed"/>
        <w:tblLook w:val="0000" w:firstRow="0" w:lastRow="0" w:firstColumn="0" w:lastColumn="0" w:noHBand="0" w:noVBand="0"/>
        <w:tblCaption w:val="Parties"/>
        <w:tblDescription w:val="Parties"/>
      </w:tblPr>
      <w:tblGrid>
        <w:gridCol w:w="2376"/>
        <w:gridCol w:w="4536"/>
        <w:gridCol w:w="2330"/>
      </w:tblGrid>
      <w:tr w:rsidR="009477FC" w:rsidTr="003E6AB7">
        <w:tc>
          <w:tcPr>
            <w:tcW w:w="6912" w:type="dxa"/>
            <w:gridSpan w:val="2"/>
          </w:tcPr>
          <w:p w:rsidR="009477FC" w:rsidRPr="001765E0" w:rsidRDefault="009477FC" w:rsidP="00531537">
            <w:pPr>
              <w:pStyle w:val="NormalHeadings"/>
            </w:pPr>
          </w:p>
        </w:tc>
        <w:tc>
          <w:tcPr>
            <w:tcW w:w="2330" w:type="dxa"/>
          </w:tcPr>
          <w:p w:rsidR="009477FC" w:rsidRDefault="00CC313A" w:rsidP="00531537">
            <w:pPr>
              <w:pStyle w:val="NormalHeadings"/>
              <w:jc w:val="right"/>
            </w:pPr>
            <w:bookmarkStart w:id="14" w:name="FileNo"/>
            <w:r>
              <w:t>QUD 363 of 2020</w:t>
            </w:r>
            <w:bookmarkEnd w:id="14"/>
          </w:p>
        </w:tc>
      </w:tr>
      <w:tr w:rsidR="009477FC" w:rsidTr="003E6AB7">
        <w:tc>
          <w:tcPr>
            <w:tcW w:w="9242" w:type="dxa"/>
            <w:gridSpan w:val="3"/>
          </w:tcPr>
          <w:p w:rsidR="009477FC" w:rsidRPr="00A76C13" w:rsidRDefault="00CC313A" w:rsidP="00531537">
            <w:pPr>
              <w:pStyle w:val="NormalHeadings"/>
              <w:jc w:val="left"/>
            </w:pPr>
            <w:bookmarkStart w:id="15" w:name="InTheMatterOf"/>
            <w:r>
              <w:t xml:space="preserve"> </w:t>
            </w:r>
            <w:bookmarkEnd w:id="15"/>
          </w:p>
        </w:tc>
      </w:tr>
      <w:tr w:rsidR="009477FC" w:rsidTr="003E6AB7">
        <w:trPr>
          <w:trHeight w:val="386"/>
        </w:trPr>
        <w:tc>
          <w:tcPr>
            <w:tcW w:w="2376" w:type="dxa"/>
          </w:tcPr>
          <w:p w:rsidR="009477FC" w:rsidRDefault="009477FC" w:rsidP="00531537">
            <w:pPr>
              <w:pStyle w:val="NormalHeadings"/>
              <w:jc w:val="left"/>
              <w:rPr>
                <w:caps/>
                <w:szCs w:val="24"/>
              </w:rPr>
            </w:pPr>
            <w:bookmarkStart w:id="16" w:name="Parties"/>
            <w:r>
              <w:rPr>
                <w:caps/>
                <w:szCs w:val="24"/>
              </w:rPr>
              <w:t>BETWEEN:</w:t>
            </w:r>
          </w:p>
        </w:tc>
        <w:tc>
          <w:tcPr>
            <w:tcW w:w="6866" w:type="dxa"/>
            <w:gridSpan w:val="2"/>
          </w:tcPr>
          <w:p w:rsidR="00CC313A" w:rsidRDefault="00CC313A" w:rsidP="00531537">
            <w:pPr>
              <w:pStyle w:val="NormalHeadings"/>
              <w:jc w:val="left"/>
            </w:pPr>
            <w:bookmarkStart w:id="17" w:name="Applicant"/>
            <w:r>
              <w:t>ROSS THORNTON</w:t>
            </w:r>
          </w:p>
          <w:p w:rsidR="00CC313A" w:rsidRDefault="00CC313A" w:rsidP="00531537">
            <w:pPr>
              <w:pStyle w:val="PartyType"/>
            </w:pPr>
            <w:r>
              <w:t>App</w:t>
            </w:r>
            <w:r w:rsidR="00EB175E">
              <w:t>ellant</w:t>
            </w:r>
          </w:p>
          <w:bookmarkEnd w:id="17"/>
          <w:p w:rsidR="009477FC" w:rsidRPr="006555B4" w:rsidRDefault="009477FC" w:rsidP="00531537">
            <w:pPr>
              <w:pStyle w:val="NormalHeadings"/>
              <w:jc w:val="left"/>
            </w:pPr>
          </w:p>
        </w:tc>
      </w:tr>
      <w:tr w:rsidR="009477FC" w:rsidTr="003E6AB7">
        <w:trPr>
          <w:trHeight w:val="386"/>
        </w:trPr>
        <w:tc>
          <w:tcPr>
            <w:tcW w:w="2376" w:type="dxa"/>
          </w:tcPr>
          <w:p w:rsidR="009477FC" w:rsidRDefault="009477FC" w:rsidP="00531537">
            <w:pPr>
              <w:pStyle w:val="NormalHeadings"/>
              <w:jc w:val="left"/>
              <w:rPr>
                <w:caps/>
                <w:szCs w:val="24"/>
              </w:rPr>
            </w:pPr>
            <w:r>
              <w:rPr>
                <w:caps/>
                <w:szCs w:val="24"/>
              </w:rPr>
              <w:t>AND:</w:t>
            </w:r>
          </w:p>
        </w:tc>
        <w:tc>
          <w:tcPr>
            <w:tcW w:w="6866" w:type="dxa"/>
            <w:gridSpan w:val="2"/>
          </w:tcPr>
          <w:p w:rsidR="00CC313A" w:rsidRDefault="00CC313A" w:rsidP="00531537">
            <w:pPr>
              <w:pStyle w:val="NormalHeadings"/>
              <w:jc w:val="left"/>
            </w:pPr>
            <w:bookmarkStart w:id="18" w:name="Respondent"/>
            <w:r>
              <w:t>MINISTER FOR IMMIGRATION, CITIZENSHIP, MIGRANT SERVICES AND MULTICULTURAL AFFAIRS</w:t>
            </w:r>
          </w:p>
          <w:p w:rsidR="00CC313A" w:rsidRDefault="00CC313A" w:rsidP="00531537">
            <w:pPr>
              <w:pStyle w:val="PartyType"/>
            </w:pPr>
            <w:r>
              <w:t>Respondent</w:t>
            </w:r>
          </w:p>
          <w:bookmarkEnd w:id="18"/>
          <w:p w:rsidR="009477FC" w:rsidRPr="006555B4" w:rsidRDefault="009477FC" w:rsidP="00531537">
            <w:pPr>
              <w:pStyle w:val="NormalHeadings"/>
              <w:jc w:val="left"/>
            </w:pPr>
          </w:p>
        </w:tc>
      </w:tr>
    </w:tbl>
    <w:p w:rsidR="009477FC" w:rsidRDefault="009477FC" w:rsidP="00531537">
      <w:pPr>
        <w:pStyle w:val="NormalHeadings"/>
      </w:pPr>
      <w:bookmarkStart w:id="19" w:name="CrossClaimPosition"/>
      <w:bookmarkEnd w:id="16"/>
      <w:bookmarkEnd w:id="19"/>
    </w:p>
    <w:tbl>
      <w:tblPr>
        <w:tblW w:w="0" w:type="auto"/>
        <w:tblLayout w:type="fixed"/>
        <w:tblLook w:val="0000" w:firstRow="0" w:lastRow="0" w:firstColumn="0" w:lastColumn="0" w:noHBand="0" w:noVBand="0"/>
        <w:tblCaption w:val="Judge"/>
        <w:tblDescription w:val="Judge"/>
      </w:tblPr>
      <w:tblGrid>
        <w:gridCol w:w="2376"/>
        <w:gridCol w:w="6866"/>
      </w:tblGrid>
      <w:tr w:rsidR="009477FC" w:rsidTr="003E6AB7">
        <w:tc>
          <w:tcPr>
            <w:tcW w:w="2376" w:type="dxa"/>
          </w:tcPr>
          <w:p w:rsidR="009477FC" w:rsidRDefault="009477FC" w:rsidP="00531537">
            <w:pPr>
              <w:pStyle w:val="NormalHeadings"/>
              <w:spacing w:after="120"/>
              <w:jc w:val="left"/>
              <w:rPr>
                <w:caps/>
                <w:szCs w:val="24"/>
              </w:rPr>
            </w:pPr>
            <w:bookmarkStart w:id="20" w:name="JudgeText"/>
            <w:r>
              <w:rPr>
                <w:caps/>
                <w:szCs w:val="24"/>
              </w:rPr>
              <w:t>order made by</w:t>
            </w:r>
            <w:bookmarkEnd w:id="20"/>
            <w:r>
              <w:rPr>
                <w:caps/>
                <w:szCs w:val="24"/>
              </w:rPr>
              <w:t>:</w:t>
            </w:r>
          </w:p>
        </w:tc>
        <w:tc>
          <w:tcPr>
            <w:tcW w:w="6866" w:type="dxa"/>
          </w:tcPr>
          <w:p w:rsidR="009477FC" w:rsidRDefault="00CC313A" w:rsidP="00531537">
            <w:pPr>
              <w:pStyle w:val="NormalHeadings"/>
              <w:jc w:val="left"/>
              <w:rPr>
                <w:caps/>
                <w:szCs w:val="24"/>
              </w:rPr>
            </w:pPr>
            <w:bookmarkStart w:id="21" w:name="Judge"/>
            <w:r>
              <w:rPr>
                <w:caps/>
                <w:szCs w:val="24"/>
              </w:rPr>
              <w:t>KATZMANN, SC DERRINGTON AND BANKS-SMITH JJ</w:t>
            </w:r>
            <w:bookmarkEnd w:id="21"/>
          </w:p>
        </w:tc>
      </w:tr>
      <w:tr w:rsidR="009477FC" w:rsidTr="003E6AB7">
        <w:tc>
          <w:tcPr>
            <w:tcW w:w="2376" w:type="dxa"/>
          </w:tcPr>
          <w:p w:rsidR="009477FC" w:rsidRDefault="009477FC" w:rsidP="00531537">
            <w:pPr>
              <w:pStyle w:val="NormalHeadings"/>
              <w:spacing w:after="120"/>
              <w:jc w:val="left"/>
              <w:rPr>
                <w:caps/>
                <w:szCs w:val="24"/>
              </w:rPr>
            </w:pPr>
            <w:r>
              <w:rPr>
                <w:caps/>
                <w:szCs w:val="24"/>
              </w:rPr>
              <w:t>DATE OF ORDER:</w:t>
            </w:r>
          </w:p>
        </w:tc>
        <w:tc>
          <w:tcPr>
            <w:tcW w:w="6866" w:type="dxa"/>
          </w:tcPr>
          <w:p w:rsidR="009477FC" w:rsidRDefault="00CC313A" w:rsidP="00531537">
            <w:pPr>
              <w:pStyle w:val="NormalHeadings"/>
              <w:jc w:val="left"/>
              <w:rPr>
                <w:caps/>
                <w:szCs w:val="24"/>
              </w:rPr>
            </w:pPr>
            <w:bookmarkStart w:id="22" w:name="Judgment_Dated"/>
            <w:r>
              <w:rPr>
                <w:caps/>
                <w:szCs w:val="24"/>
              </w:rPr>
              <w:t>25 FEBRUARY 2022</w:t>
            </w:r>
            <w:bookmarkEnd w:id="22"/>
          </w:p>
        </w:tc>
      </w:tr>
    </w:tbl>
    <w:p w:rsidR="009477FC" w:rsidRDefault="009477FC" w:rsidP="00531537">
      <w:pPr>
        <w:pStyle w:val="NormalHeadings"/>
        <w:rPr>
          <w:b w:val="0"/>
        </w:rPr>
      </w:pPr>
    </w:p>
    <w:p w:rsidR="009477FC" w:rsidRDefault="009477FC" w:rsidP="00531537">
      <w:pPr>
        <w:pStyle w:val="NormalHeadings"/>
        <w:rPr>
          <w:b w:val="0"/>
        </w:rPr>
      </w:pPr>
    </w:p>
    <w:p w:rsidR="009477FC" w:rsidRDefault="009477FC" w:rsidP="00531537">
      <w:pPr>
        <w:pStyle w:val="NormalHeadings"/>
      </w:pPr>
      <w:r>
        <w:t>THE COURT ORDERS THAT:</w:t>
      </w:r>
    </w:p>
    <w:p w:rsidR="009477FC" w:rsidRDefault="009477FC" w:rsidP="00531537">
      <w:pPr>
        <w:pStyle w:val="NormalHeadings"/>
      </w:pPr>
    </w:p>
    <w:p w:rsidR="00940EF5" w:rsidRDefault="00940EF5" w:rsidP="00940EF5">
      <w:pPr>
        <w:pStyle w:val="Order1"/>
      </w:pPr>
      <w:r>
        <w:t>The appeal be allowed.</w:t>
      </w:r>
    </w:p>
    <w:p w:rsidR="00940EF5" w:rsidRDefault="00940EF5" w:rsidP="00940EF5">
      <w:pPr>
        <w:pStyle w:val="Order1"/>
      </w:pPr>
      <w:r>
        <w:t xml:space="preserve">The respondent pay the appellant’s costs. </w:t>
      </w:r>
    </w:p>
    <w:p w:rsidR="00940EF5" w:rsidRDefault="00940EF5" w:rsidP="00940EF5">
      <w:pPr>
        <w:pStyle w:val="Order1"/>
      </w:pPr>
      <w:r>
        <w:t xml:space="preserve">The </w:t>
      </w:r>
      <w:r w:rsidRPr="00EC1F72">
        <w:t>orders of the primary judge made on 19 October 2020</w:t>
      </w:r>
      <w:r>
        <w:t xml:space="preserve"> be set aside and in their place it be ordered that: </w:t>
      </w:r>
    </w:p>
    <w:p w:rsidR="00940EF5" w:rsidRDefault="00940EF5" w:rsidP="003E6AB7">
      <w:pPr>
        <w:pStyle w:val="ListNo2"/>
      </w:pPr>
      <w:r>
        <w:t xml:space="preserve">A writ of certiorari issue directed to the respondent quashing his </w:t>
      </w:r>
      <w:r w:rsidRPr="00EC1F72">
        <w:t>decision of 26</w:t>
      </w:r>
      <w:r w:rsidR="008340BC">
        <w:t> </w:t>
      </w:r>
      <w:r w:rsidRPr="00EC1F72">
        <w:t>April 2019;</w:t>
      </w:r>
    </w:p>
    <w:p w:rsidR="00940EF5" w:rsidRDefault="00940EF5" w:rsidP="003E6AB7">
      <w:pPr>
        <w:pStyle w:val="ListNo2"/>
      </w:pPr>
      <w:r>
        <w:t xml:space="preserve">A writ of mandamus issue directed to the respondent requiring him to determine the applicant’s application according to law; </w:t>
      </w:r>
    </w:p>
    <w:p w:rsidR="00940EF5" w:rsidRDefault="00940EF5" w:rsidP="003E6AB7">
      <w:pPr>
        <w:pStyle w:val="ListNo2"/>
      </w:pPr>
      <w:r>
        <w:t xml:space="preserve">The respondent pay the applicant’s costs. </w:t>
      </w:r>
    </w:p>
    <w:p w:rsidR="009477FC" w:rsidRDefault="009477FC" w:rsidP="00531537">
      <w:pPr>
        <w:pStyle w:val="Order1"/>
        <w:numPr>
          <w:ilvl w:val="0"/>
          <w:numId w:val="0"/>
        </w:numPr>
      </w:pPr>
    </w:p>
    <w:p w:rsidR="009477FC" w:rsidRDefault="009477FC" w:rsidP="00531537">
      <w:pPr>
        <w:pStyle w:val="BodyText"/>
      </w:pPr>
    </w:p>
    <w:p w:rsidR="009477FC" w:rsidRDefault="009477FC" w:rsidP="00531537">
      <w:pPr>
        <w:pStyle w:val="BodyText"/>
      </w:pPr>
    </w:p>
    <w:p w:rsidR="009477FC" w:rsidRDefault="009477FC" w:rsidP="00531537">
      <w:pPr>
        <w:pStyle w:val="BodyText"/>
      </w:pPr>
    </w:p>
    <w:p w:rsidR="002916C1" w:rsidRDefault="002916C1" w:rsidP="00531537">
      <w:pPr>
        <w:pStyle w:val="BodyText"/>
      </w:pPr>
    </w:p>
    <w:p w:rsidR="00940EF5" w:rsidRDefault="00940EF5" w:rsidP="00531537">
      <w:pPr>
        <w:pStyle w:val="BodyText"/>
      </w:pPr>
    </w:p>
    <w:p w:rsidR="009477FC" w:rsidRDefault="009477FC" w:rsidP="00531537">
      <w:pPr>
        <w:pStyle w:val="BodyText"/>
      </w:pPr>
    </w:p>
    <w:p w:rsidR="00F5641C" w:rsidRDefault="00F5641C" w:rsidP="00531537">
      <w:pPr>
        <w:pStyle w:val="BodyText"/>
      </w:pPr>
    </w:p>
    <w:p w:rsidR="00F5641C" w:rsidRDefault="00F5641C" w:rsidP="00531537">
      <w:pPr>
        <w:pStyle w:val="BodyText"/>
      </w:pPr>
    </w:p>
    <w:p w:rsidR="009477FC" w:rsidRDefault="009477FC" w:rsidP="00531537">
      <w:pPr>
        <w:pStyle w:val="BodyText"/>
      </w:pPr>
    </w:p>
    <w:p w:rsidR="009477FC" w:rsidRDefault="00CC313A" w:rsidP="00531537">
      <w:pPr>
        <w:pStyle w:val="SingleSpace"/>
        <w:jc w:val="center"/>
      </w:pPr>
      <w:bookmarkStart w:id="23" w:name="OrdersStatement"/>
      <w:r>
        <w:t>Note:</w:t>
      </w:r>
      <w:r>
        <w:tab/>
        <w:t xml:space="preserve">Entry of orders is dealt with in Rule 39.32 of the </w:t>
      </w:r>
      <w:r>
        <w:rPr>
          <w:i/>
        </w:rPr>
        <w:t>Federal Court Rules 2011</w:t>
      </w:r>
      <w:r>
        <w:t>.</w:t>
      </w:r>
      <w:bookmarkEnd w:id="23"/>
    </w:p>
    <w:p w:rsidR="00395B24" w:rsidRDefault="00395B24" w:rsidP="00531537">
      <w:pPr>
        <w:pStyle w:val="NormalHeadings"/>
        <w:spacing w:before="240" w:after="120"/>
        <w:rPr>
          <w:b w:val="0"/>
        </w:rPr>
        <w:sectPr w:rsidR="00395B24" w:rsidSect="0092590B">
          <w:headerReference w:type="default" r:id="rId13"/>
          <w:footerReference w:type="default" r:id="rId14"/>
          <w:headerReference w:type="first" r:id="rId15"/>
          <w:footerReference w:type="first" r:id="rId16"/>
          <w:endnotePr>
            <w:numFmt w:val="decimal"/>
          </w:endnotePr>
          <w:pgSz w:w="11907" w:h="16840" w:code="9"/>
          <w:pgMar w:top="1440" w:right="1440" w:bottom="1440" w:left="1440" w:header="851" w:footer="851" w:gutter="0"/>
          <w:pgNumType w:fmt="lowerRoman" w:start="1"/>
          <w:cols w:space="720"/>
          <w:noEndnote/>
          <w:titlePg/>
        </w:sectPr>
      </w:pPr>
    </w:p>
    <w:p w:rsidR="00484F6D" w:rsidRDefault="00484F6D" w:rsidP="00531537">
      <w:pPr>
        <w:pStyle w:val="NormalHeadings"/>
        <w:spacing w:line="480" w:lineRule="auto"/>
        <w:jc w:val="center"/>
        <w:rPr>
          <w:sz w:val="28"/>
          <w:szCs w:val="28"/>
        </w:rPr>
      </w:pPr>
      <w:bookmarkStart w:id="24" w:name="ReasonsPage"/>
      <w:bookmarkEnd w:id="24"/>
      <w:r w:rsidRPr="00045BB7">
        <w:rPr>
          <w:sz w:val="28"/>
          <w:szCs w:val="28"/>
        </w:rPr>
        <w:lastRenderedPageBreak/>
        <w:t>REASONS FOR JUDGMENT</w:t>
      </w:r>
    </w:p>
    <w:p w:rsidR="008E54E2" w:rsidRPr="00045BB7" w:rsidRDefault="008E54E2" w:rsidP="00531537">
      <w:pPr>
        <w:pStyle w:val="NormalHeadings"/>
        <w:spacing w:line="480" w:lineRule="auto"/>
        <w:jc w:val="center"/>
        <w:rPr>
          <w:sz w:val="28"/>
          <w:szCs w:val="28"/>
        </w:rPr>
      </w:pPr>
      <w:r>
        <w:rPr>
          <w:sz w:val="28"/>
          <w:szCs w:val="28"/>
        </w:rPr>
        <w:t>(Revised from transcript)</w:t>
      </w:r>
    </w:p>
    <w:p w:rsidR="008340BC" w:rsidRPr="00F5641C" w:rsidRDefault="008340BC" w:rsidP="00F5641C">
      <w:pPr>
        <w:pStyle w:val="NoNum"/>
        <w:rPr>
          <w:b/>
        </w:rPr>
      </w:pPr>
      <w:r w:rsidRPr="00F5641C">
        <w:rPr>
          <w:b/>
        </w:rPr>
        <w:t>KATZMANN J:</w:t>
      </w:r>
    </w:p>
    <w:p w:rsidR="008340BC" w:rsidRDefault="008340BC" w:rsidP="008340BC">
      <w:pPr>
        <w:pStyle w:val="ParaNumbering"/>
      </w:pPr>
      <w:r>
        <w:t>I call upon Justice Derrington to give the first judgment.</w:t>
      </w:r>
    </w:p>
    <w:p w:rsidR="00694BEB" w:rsidRPr="00F5641C" w:rsidRDefault="003810CE" w:rsidP="00F5641C">
      <w:pPr>
        <w:pStyle w:val="NoNum"/>
        <w:rPr>
          <w:b/>
        </w:rPr>
      </w:pPr>
      <w:r w:rsidRPr="00F5641C">
        <w:rPr>
          <w:b/>
        </w:rPr>
        <w:t>SC DERRINGTON J</w:t>
      </w:r>
      <w:r w:rsidR="008340BC" w:rsidRPr="00F5641C">
        <w:rPr>
          <w:b/>
        </w:rPr>
        <w:t>:</w:t>
      </w:r>
    </w:p>
    <w:p w:rsidR="00C11699" w:rsidRDefault="00C11699" w:rsidP="00531537">
      <w:pPr>
        <w:pStyle w:val="Heading2"/>
      </w:pPr>
      <w:r>
        <w:t>Introduction</w:t>
      </w:r>
    </w:p>
    <w:p w:rsidR="00866D57" w:rsidRPr="00EC1F72" w:rsidRDefault="00866D57" w:rsidP="00531537">
      <w:pPr>
        <w:pStyle w:val="ParaNumbering"/>
      </w:pPr>
      <w:r w:rsidRPr="00EC1F72">
        <w:t>Mr Ross Thornton</w:t>
      </w:r>
      <w:r w:rsidR="0083600A" w:rsidRPr="00EC1F72">
        <w:t xml:space="preserve"> is a citizen of the United Kingdom who </w:t>
      </w:r>
      <w:r w:rsidR="005D3288" w:rsidRPr="00EC1F72">
        <w:t xml:space="preserve">arrived </w:t>
      </w:r>
      <w:r w:rsidR="00814C37" w:rsidRPr="00EC1F72">
        <w:t xml:space="preserve">in Australia </w:t>
      </w:r>
      <w:r w:rsidR="005D3288" w:rsidRPr="00EC1F72">
        <w:t xml:space="preserve">with his </w:t>
      </w:r>
      <w:r w:rsidR="00814C37" w:rsidRPr="00EC1F72">
        <w:t xml:space="preserve">family in </w:t>
      </w:r>
      <w:r w:rsidR="00FF74BD" w:rsidRPr="00EC1F72">
        <w:t xml:space="preserve">1999 at the age of three. He has lived in Australia </w:t>
      </w:r>
      <w:r w:rsidR="00B6260C" w:rsidRPr="00EC1F72">
        <w:t>since that time on a succession of temporary visa</w:t>
      </w:r>
      <w:r w:rsidR="009477FC" w:rsidRPr="00EC1F72">
        <w:t>s</w:t>
      </w:r>
      <w:r w:rsidR="00B6260C" w:rsidRPr="00EC1F72">
        <w:t>, the last of which was a</w:t>
      </w:r>
      <w:r w:rsidR="00EC1F72" w:rsidRPr="00EC1F72">
        <w:t xml:space="preserve"> </w:t>
      </w:r>
      <w:r w:rsidR="00EC1F72" w:rsidRPr="0084392D">
        <w:t>Class BB</w:t>
      </w:r>
      <w:r w:rsidR="00B6260C" w:rsidRPr="00EC1F72">
        <w:t xml:space="preserve"> Subclass 155 (Five Year Resident Return) v</w:t>
      </w:r>
      <w:r w:rsidR="002C0E24" w:rsidRPr="00EC1F72">
        <w:t>isa.</w:t>
      </w:r>
    </w:p>
    <w:p w:rsidR="00CD1346" w:rsidRDefault="002C0E24" w:rsidP="00531537">
      <w:pPr>
        <w:pStyle w:val="ParaNumbering"/>
      </w:pPr>
      <w:r w:rsidRPr="00EC1F72">
        <w:t>On 21 February 2018,</w:t>
      </w:r>
      <w:r>
        <w:t xml:space="preserve"> </w:t>
      </w:r>
      <w:r w:rsidR="00962C7A">
        <w:t>Mr Thornton’s</w:t>
      </w:r>
      <w:r w:rsidR="00037674">
        <w:t xml:space="preserve"> visa was mandatorily </w:t>
      </w:r>
      <w:r w:rsidR="00A933CB">
        <w:t xml:space="preserve">cancelled pursuant to </w:t>
      </w:r>
      <w:r w:rsidR="00A933CB" w:rsidRPr="008F1D88">
        <w:t>s 501(3A</w:t>
      </w:r>
      <w:r w:rsidR="00C936FE" w:rsidRPr="008F1D88">
        <w:t xml:space="preserve">) of the </w:t>
      </w:r>
      <w:r w:rsidR="00C936FE" w:rsidRPr="008F1D88">
        <w:rPr>
          <w:b/>
          <w:bCs/>
          <w:i/>
          <w:iCs/>
        </w:rPr>
        <w:t>Migration Act</w:t>
      </w:r>
      <w:r w:rsidR="00C936FE" w:rsidRPr="008F1D88">
        <w:rPr>
          <w:i/>
          <w:iCs/>
        </w:rPr>
        <w:t xml:space="preserve"> 1958 </w:t>
      </w:r>
      <w:r w:rsidR="00C936FE" w:rsidRPr="008F1D88">
        <w:t>(</w:t>
      </w:r>
      <w:proofErr w:type="spellStart"/>
      <w:r w:rsidR="00C936FE" w:rsidRPr="008F1D88">
        <w:t>Cth</w:t>
      </w:r>
      <w:proofErr w:type="spellEnd"/>
      <w:r w:rsidR="00C936FE" w:rsidRPr="008F1D88">
        <w:t xml:space="preserve">) </w:t>
      </w:r>
      <w:r w:rsidR="00C936FE">
        <w:t>following his convi</w:t>
      </w:r>
      <w:r w:rsidR="00ED7FC1">
        <w:t>ction</w:t>
      </w:r>
      <w:r w:rsidR="00911BF0">
        <w:t xml:space="preserve"> on </w:t>
      </w:r>
      <w:r w:rsidR="00911BF0" w:rsidRPr="00EC1F72">
        <w:t>2 February 2018 for assaults occasioning bodily har</w:t>
      </w:r>
      <w:r w:rsidR="00D04279" w:rsidRPr="00EC1F72">
        <w:t>m</w:t>
      </w:r>
      <w:r w:rsidR="00CD0051" w:rsidRPr="00EC1F72">
        <w:t xml:space="preserve"> – domestic violence offence,</w:t>
      </w:r>
      <w:r w:rsidR="00CD0051">
        <w:t xml:space="preserve"> for which he was </w:t>
      </w:r>
      <w:r w:rsidR="00CD0051" w:rsidRPr="00EC1F72">
        <w:t>sentenced to 24 months</w:t>
      </w:r>
      <w:r w:rsidR="00CD0051">
        <w:t xml:space="preserve"> imprisonment, and for various other offences, for which he was sentenced to concurrent period</w:t>
      </w:r>
      <w:r w:rsidR="009F7C4F">
        <w:t>s</w:t>
      </w:r>
      <w:r w:rsidR="00CD0051">
        <w:t xml:space="preserve"> of imprisonment of </w:t>
      </w:r>
      <w:r w:rsidR="00CD0051" w:rsidRPr="00EC1F72">
        <w:t>one to 18 months, partly suspended.</w:t>
      </w:r>
      <w:r>
        <w:t xml:space="preserve"> At the time, Mr Thornton was just </w:t>
      </w:r>
      <w:r w:rsidR="00EC1F72" w:rsidRPr="0084392D">
        <w:t>21</w:t>
      </w:r>
      <w:r>
        <w:t xml:space="preserve"> years of age.</w:t>
      </w:r>
    </w:p>
    <w:p w:rsidR="00244422" w:rsidRDefault="00244422" w:rsidP="00531537">
      <w:pPr>
        <w:pStyle w:val="ParaNumbering"/>
        <w:tabs>
          <w:tab w:val="num" w:pos="720"/>
        </w:tabs>
      </w:pPr>
      <w:r w:rsidRPr="00EC1F72">
        <w:t>Section 501(</w:t>
      </w:r>
      <w:r w:rsidR="00784A2F" w:rsidRPr="00EC1F72">
        <w:t>3A</w:t>
      </w:r>
      <w:r w:rsidRPr="00EC1F72">
        <w:t>)</w:t>
      </w:r>
      <w:r>
        <w:t xml:space="preserve"> of the </w:t>
      </w:r>
      <w:r w:rsidRPr="00CA4367">
        <w:rPr>
          <w:i/>
          <w:iCs/>
        </w:rPr>
        <w:t>Migration Act</w:t>
      </w:r>
      <w:r>
        <w:t xml:space="preserve"> provides that the Minister </w:t>
      </w:r>
      <w:r w:rsidR="00784A2F">
        <w:t xml:space="preserve">must </w:t>
      </w:r>
      <w:r w:rsidR="00566AB5">
        <w:t xml:space="preserve">cancel </w:t>
      </w:r>
      <w:r>
        <w:t xml:space="preserve">a visa </w:t>
      </w:r>
      <w:r w:rsidR="006F6931">
        <w:t xml:space="preserve">that has been </w:t>
      </w:r>
      <w:r w:rsidR="00784A2F">
        <w:t xml:space="preserve">granted </w:t>
      </w:r>
      <w:r w:rsidR="006F6931">
        <w:t xml:space="preserve">to a person </w:t>
      </w:r>
      <w:r>
        <w:t>if the person does not satisfy the Minister that the person passes the character test.</w:t>
      </w:r>
    </w:p>
    <w:p w:rsidR="00244422" w:rsidRPr="008F1D88" w:rsidRDefault="00244422" w:rsidP="00531537">
      <w:pPr>
        <w:pStyle w:val="ParaNumbering"/>
        <w:tabs>
          <w:tab w:val="num" w:pos="720"/>
        </w:tabs>
      </w:pPr>
      <w:r w:rsidRPr="008F1D88">
        <w:t xml:space="preserve">Section </w:t>
      </w:r>
      <w:r w:rsidRPr="00EC1F72">
        <w:t>501(6)(a) provides</w:t>
      </w:r>
      <w:r>
        <w:t xml:space="preserve"> that </w:t>
      </w:r>
      <w:r w:rsidRPr="00CA4367">
        <w:rPr>
          <w:szCs w:val="22"/>
        </w:rPr>
        <w:t xml:space="preserve">a person does not pass the </w:t>
      </w:r>
      <w:r w:rsidRPr="00CA4367">
        <w:rPr>
          <w:bCs/>
          <w:iCs/>
          <w:szCs w:val="22"/>
        </w:rPr>
        <w:t>character tes</w:t>
      </w:r>
      <w:r>
        <w:rPr>
          <w:bCs/>
          <w:iCs/>
          <w:szCs w:val="22"/>
        </w:rPr>
        <w:t xml:space="preserve">t if </w:t>
      </w:r>
      <w:r w:rsidRPr="00CA4367">
        <w:rPr>
          <w:szCs w:val="22"/>
        </w:rPr>
        <w:t>the person has a substantial criminal record</w:t>
      </w:r>
      <w:r w:rsidR="003A0A4F">
        <w:rPr>
          <w:szCs w:val="22"/>
        </w:rPr>
        <w:t xml:space="preserve">. </w:t>
      </w:r>
      <w:r w:rsidRPr="00EC1F72">
        <w:rPr>
          <w:szCs w:val="22"/>
        </w:rPr>
        <w:t>Section 501(7)(c)</w:t>
      </w:r>
      <w:r>
        <w:rPr>
          <w:szCs w:val="22"/>
        </w:rPr>
        <w:t xml:space="preserve"> provides that a person has a substantial criminal record if the person has been sentenced to a term of imprisonment of </w:t>
      </w:r>
      <w:r w:rsidRPr="00EC1F72">
        <w:rPr>
          <w:szCs w:val="22"/>
        </w:rPr>
        <w:t xml:space="preserve">12 months or more. </w:t>
      </w:r>
      <w:r w:rsidR="00161CE8" w:rsidRPr="00EC1F72">
        <w:rPr>
          <w:szCs w:val="22"/>
        </w:rPr>
        <w:t xml:space="preserve">There is no </w:t>
      </w:r>
      <w:r w:rsidRPr="00EC1F72">
        <w:rPr>
          <w:szCs w:val="22"/>
        </w:rPr>
        <w:t xml:space="preserve">dispute that </w:t>
      </w:r>
      <w:r w:rsidR="00E143DD" w:rsidRPr="00EC1F72">
        <w:rPr>
          <w:szCs w:val="22"/>
        </w:rPr>
        <w:t xml:space="preserve">Mr Thornton </w:t>
      </w:r>
      <w:r w:rsidRPr="00EC1F72">
        <w:rPr>
          <w:szCs w:val="22"/>
        </w:rPr>
        <w:t>did not pass the character test in s 501(1)</w:t>
      </w:r>
      <w:r w:rsidRPr="008F1D88">
        <w:rPr>
          <w:szCs w:val="22"/>
        </w:rPr>
        <w:t xml:space="preserve"> of the </w:t>
      </w:r>
      <w:r w:rsidRPr="008F1D88">
        <w:rPr>
          <w:i/>
          <w:iCs/>
          <w:szCs w:val="22"/>
        </w:rPr>
        <w:t>Migration Act</w:t>
      </w:r>
      <w:r w:rsidRPr="008F1D88">
        <w:rPr>
          <w:szCs w:val="22"/>
        </w:rPr>
        <w:t>, because of the operation of subs (6)(a), on the basis of subs (7)(c).</w:t>
      </w:r>
    </w:p>
    <w:p w:rsidR="00313613" w:rsidRDefault="00313613" w:rsidP="00531537">
      <w:pPr>
        <w:pStyle w:val="ParaNumbering"/>
        <w:rPr>
          <w:lang w:val="en-GB" w:eastAsia="en-AU"/>
        </w:rPr>
      </w:pPr>
      <w:r>
        <w:rPr>
          <w:lang w:val="en-GB" w:eastAsia="en-AU"/>
        </w:rPr>
        <w:t>Relevantl</w:t>
      </w:r>
      <w:r w:rsidRPr="00EC1F72">
        <w:rPr>
          <w:lang w:val="en-GB" w:eastAsia="en-AU"/>
        </w:rPr>
        <w:t>y, s 501CA of</w:t>
      </w:r>
      <w:r w:rsidRPr="008F1D88">
        <w:rPr>
          <w:lang w:val="en-GB" w:eastAsia="en-AU"/>
        </w:rPr>
        <w:t xml:space="preserve"> the </w:t>
      </w:r>
      <w:r w:rsidRPr="008F1D88">
        <w:rPr>
          <w:i/>
          <w:iCs/>
          <w:lang w:val="en-GB" w:eastAsia="en-AU"/>
        </w:rPr>
        <w:t>Migration Act</w:t>
      </w:r>
      <w:r w:rsidRPr="008F1D88">
        <w:rPr>
          <w:lang w:val="en-GB" w:eastAsia="en-AU"/>
        </w:rPr>
        <w:t xml:space="preserve"> </w:t>
      </w:r>
      <w:r>
        <w:rPr>
          <w:lang w:val="en-GB" w:eastAsia="en-AU"/>
        </w:rPr>
        <w:t>provides:</w:t>
      </w:r>
    </w:p>
    <w:p w:rsidR="00313613" w:rsidRPr="009836C4" w:rsidRDefault="00313613" w:rsidP="00531537">
      <w:pPr>
        <w:pStyle w:val="Quote1"/>
        <w:ind w:left="1440" w:right="805" w:hanging="703"/>
        <w:rPr>
          <w:lang w:val="en-GB" w:eastAsia="en-AU"/>
        </w:rPr>
      </w:pPr>
      <w:r w:rsidRPr="009836C4">
        <w:rPr>
          <w:lang w:val="en-GB" w:eastAsia="en-AU"/>
        </w:rPr>
        <w:t>(1)</w:t>
      </w:r>
      <w:r w:rsidRPr="009836C4">
        <w:rPr>
          <w:lang w:val="en-GB" w:eastAsia="en-AU"/>
        </w:rPr>
        <w:tab/>
        <w:t xml:space="preserve">This section applies if the Minister makes a decision (the </w:t>
      </w:r>
      <w:r w:rsidRPr="009836C4">
        <w:rPr>
          <w:b/>
          <w:bCs/>
          <w:i/>
          <w:iCs/>
          <w:lang w:val="en-GB" w:eastAsia="en-AU"/>
        </w:rPr>
        <w:t>original decision</w:t>
      </w:r>
      <w:r w:rsidRPr="009836C4">
        <w:rPr>
          <w:lang w:val="en-GB" w:eastAsia="en-AU"/>
        </w:rPr>
        <w:t>) under subsection 501(3A) (person serving sentence of imprisonment) to cancel a visa that has been granted to a person.</w:t>
      </w:r>
    </w:p>
    <w:p w:rsidR="00313613" w:rsidRDefault="002D6264" w:rsidP="00531537">
      <w:pPr>
        <w:pStyle w:val="Quote1"/>
        <w:ind w:left="1440" w:right="805" w:hanging="703"/>
        <w:rPr>
          <w:lang w:val="en-GB" w:eastAsia="en-AU"/>
        </w:rPr>
      </w:pPr>
      <w:r>
        <w:rPr>
          <w:lang w:val="en-GB" w:eastAsia="en-AU"/>
        </w:rPr>
        <w:t>…</w:t>
      </w:r>
    </w:p>
    <w:p w:rsidR="00313613" w:rsidRPr="009836C4" w:rsidRDefault="00313613" w:rsidP="00531537">
      <w:pPr>
        <w:pStyle w:val="Quote1"/>
        <w:ind w:left="1440" w:right="805" w:hanging="703"/>
        <w:rPr>
          <w:lang w:val="en-GB" w:eastAsia="en-AU"/>
        </w:rPr>
      </w:pPr>
      <w:r w:rsidRPr="009836C4">
        <w:rPr>
          <w:lang w:val="en-GB" w:eastAsia="en-AU"/>
        </w:rPr>
        <w:lastRenderedPageBreak/>
        <w:t>(3)</w:t>
      </w:r>
      <w:r w:rsidRPr="009836C4">
        <w:rPr>
          <w:lang w:val="en-GB" w:eastAsia="en-AU"/>
        </w:rPr>
        <w:tab/>
        <w:t>As soon as practicable after making the original decision, the Minister must:</w:t>
      </w:r>
    </w:p>
    <w:p w:rsidR="00313613" w:rsidRPr="009836C4" w:rsidRDefault="00313613" w:rsidP="00531537">
      <w:pPr>
        <w:pStyle w:val="Quote2"/>
        <w:ind w:left="2160" w:right="805" w:hanging="720"/>
        <w:rPr>
          <w:lang w:val="en-GB" w:eastAsia="en-AU"/>
        </w:rPr>
      </w:pPr>
      <w:r w:rsidRPr="009836C4">
        <w:rPr>
          <w:lang w:val="en-GB" w:eastAsia="en-AU"/>
        </w:rPr>
        <w:t>(a)</w:t>
      </w:r>
      <w:r w:rsidRPr="009836C4">
        <w:rPr>
          <w:lang w:val="en-GB" w:eastAsia="en-AU"/>
        </w:rPr>
        <w:tab/>
        <w:t>give the person, in the way that the Minister considers appropriate in the circumstances:</w:t>
      </w:r>
    </w:p>
    <w:p w:rsidR="00313613" w:rsidRPr="009836C4" w:rsidRDefault="00313613" w:rsidP="00360886">
      <w:pPr>
        <w:pStyle w:val="Quote3"/>
        <w:rPr>
          <w:lang w:val="en-GB" w:eastAsia="en-AU"/>
        </w:rPr>
      </w:pPr>
      <w:r w:rsidRPr="009836C4">
        <w:rPr>
          <w:lang w:val="en-GB" w:eastAsia="en-AU"/>
        </w:rPr>
        <w:t>(</w:t>
      </w:r>
      <w:proofErr w:type="spellStart"/>
      <w:r w:rsidRPr="009836C4">
        <w:rPr>
          <w:lang w:val="en-GB" w:eastAsia="en-AU"/>
        </w:rPr>
        <w:t>i</w:t>
      </w:r>
      <w:proofErr w:type="spellEnd"/>
      <w:r w:rsidRPr="009836C4">
        <w:rPr>
          <w:lang w:val="en-GB" w:eastAsia="en-AU"/>
        </w:rPr>
        <w:t>)</w:t>
      </w:r>
      <w:r w:rsidRPr="009836C4">
        <w:rPr>
          <w:lang w:val="en-GB" w:eastAsia="en-AU"/>
        </w:rPr>
        <w:tab/>
        <w:t>a written notice that sets out the original decision; and</w:t>
      </w:r>
    </w:p>
    <w:p w:rsidR="00313613" w:rsidRPr="009836C4" w:rsidRDefault="00313613" w:rsidP="00360886">
      <w:pPr>
        <w:pStyle w:val="Quote3"/>
        <w:rPr>
          <w:lang w:val="en-GB" w:eastAsia="en-AU"/>
        </w:rPr>
      </w:pPr>
      <w:r w:rsidRPr="009836C4">
        <w:rPr>
          <w:lang w:val="en-GB" w:eastAsia="en-AU"/>
        </w:rPr>
        <w:t>(ii)</w:t>
      </w:r>
      <w:r w:rsidRPr="009836C4">
        <w:rPr>
          <w:lang w:val="en-GB" w:eastAsia="en-AU"/>
        </w:rPr>
        <w:tab/>
        <w:t>particulars of the relevant information; and</w:t>
      </w:r>
    </w:p>
    <w:p w:rsidR="00313613" w:rsidRDefault="00313613" w:rsidP="00531537">
      <w:pPr>
        <w:pStyle w:val="Quote2"/>
        <w:ind w:left="2160" w:right="805" w:hanging="720"/>
        <w:rPr>
          <w:lang w:val="en-GB" w:eastAsia="en-AU"/>
        </w:rPr>
      </w:pPr>
      <w:r w:rsidRPr="009836C4">
        <w:rPr>
          <w:lang w:val="en-GB" w:eastAsia="en-AU"/>
        </w:rPr>
        <w:t>(b)</w:t>
      </w:r>
      <w:r w:rsidRPr="009836C4">
        <w:rPr>
          <w:lang w:val="en-GB" w:eastAsia="en-AU"/>
        </w:rPr>
        <w:tab/>
        <w:t>invite the person to make representations to the Minister, within the period and in the manner ascertained in accordance with the regulations, about revocation of the original decision.</w:t>
      </w:r>
    </w:p>
    <w:p w:rsidR="00313613" w:rsidRPr="009836C4" w:rsidRDefault="00313613" w:rsidP="00531537">
      <w:pPr>
        <w:pStyle w:val="Quote1"/>
        <w:ind w:right="805"/>
        <w:rPr>
          <w:lang w:val="en-GB" w:eastAsia="en-AU"/>
        </w:rPr>
      </w:pPr>
      <w:r w:rsidRPr="009836C4">
        <w:rPr>
          <w:lang w:val="en-GB" w:eastAsia="en-AU"/>
        </w:rPr>
        <w:t>(4)</w:t>
      </w:r>
      <w:r w:rsidRPr="009836C4">
        <w:rPr>
          <w:lang w:val="en-GB" w:eastAsia="en-AU"/>
        </w:rPr>
        <w:tab/>
        <w:t>The Minister may revoke the original decision if:</w:t>
      </w:r>
    </w:p>
    <w:p w:rsidR="00313613" w:rsidRPr="009836C4" w:rsidRDefault="00313613" w:rsidP="00531537">
      <w:pPr>
        <w:pStyle w:val="Quote2"/>
        <w:ind w:left="2160" w:right="805" w:hanging="720"/>
        <w:rPr>
          <w:lang w:val="en-GB" w:eastAsia="en-AU"/>
        </w:rPr>
      </w:pPr>
      <w:r w:rsidRPr="009836C4">
        <w:rPr>
          <w:lang w:val="en-GB" w:eastAsia="en-AU"/>
        </w:rPr>
        <w:t>(a)</w:t>
      </w:r>
      <w:r w:rsidRPr="009836C4">
        <w:rPr>
          <w:lang w:val="en-GB" w:eastAsia="en-AU"/>
        </w:rPr>
        <w:tab/>
        <w:t>the person makes representations in accordance with the invitation; and</w:t>
      </w:r>
    </w:p>
    <w:p w:rsidR="00313613" w:rsidRPr="009836C4" w:rsidRDefault="00313613" w:rsidP="00531537">
      <w:pPr>
        <w:pStyle w:val="Quote2"/>
        <w:ind w:left="2160" w:right="805" w:hanging="720"/>
        <w:rPr>
          <w:lang w:val="en-GB" w:eastAsia="en-AU"/>
        </w:rPr>
      </w:pPr>
      <w:r w:rsidRPr="009836C4">
        <w:rPr>
          <w:lang w:val="en-GB" w:eastAsia="en-AU"/>
        </w:rPr>
        <w:t>(b)</w:t>
      </w:r>
      <w:r w:rsidRPr="009836C4">
        <w:rPr>
          <w:lang w:val="en-GB" w:eastAsia="en-AU"/>
        </w:rPr>
        <w:tab/>
        <w:t>the Minister is satisfied:</w:t>
      </w:r>
    </w:p>
    <w:p w:rsidR="00313613" w:rsidRPr="009836C4" w:rsidRDefault="00313613" w:rsidP="00360886">
      <w:pPr>
        <w:pStyle w:val="Quote3"/>
        <w:ind w:left="2880" w:hanging="720"/>
        <w:rPr>
          <w:lang w:val="en-GB" w:eastAsia="en-AU"/>
        </w:rPr>
      </w:pPr>
      <w:r w:rsidRPr="009836C4">
        <w:rPr>
          <w:lang w:val="en-GB" w:eastAsia="en-AU"/>
        </w:rPr>
        <w:t>(</w:t>
      </w:r>
      <w:proofErr w:type="spellStart"/>
      <w:r w:rsidRPr="009836C4">
        <w:rPr>
          <w:lang w:val="en-GB" w:eastAsia="en-AU"/>
        </w:rPr>
        <w:t>i</w:t>
      </w:r>
      <w:proofErr w:type="spellEnd"/>
      <w:r w:rsidRPr="009836C4">
        <w:rPr>
          <w:lang w:val="en-GB" w:eastAsia="en-AU"/>
        </w:rPr>
        <w:t>)</w:t>
      </w:r>
      <w:r w:rsidRPr="009836C4">
        <w:rPr>
          <w:lang w:val="en-GB" w:eastAsia="en-AU"/>
        </w:rPr>
        <w:tab/>
        <w:t>that the person passes the character test (as defined by section 501); or</w:t>
      </w:r>
    </w:p>
    <w:p w:rsidR="00244422" w:rsidRPr="002D6264" w:rsidRDefault="00313613" w:rsidP="00360886">
      <w:pPr>
        <w:pStyle w:val="Quote3"/>
        <w:ind w:left="2880" w:hanging="720"/>
        <w:rPr>
          <w:lang w:val="en-GB" w:eastAsia="en-AU"/>
        </w:rPr>
      </w:pPr>
      <w:r w:rsidRPr="009836C4">
        <w:rPr>
          <w:lang w:val="en-GB" w:eastAsia="en-AU"/>
        </w:rPr>
        <w:t>(ii)</w:t>
      </w:r>
      <w:r w:rsidRPr="009836C4">
        <w:rPr>
          <w:lang w:val="en-GB" w:eastAsia="en-AU"/>
        </w:rPr>
        <w:tab/>
        <w:t>that there is another reason why the original decision should be revoked.</w:t>
      </w:r>
    </w:p>
    <w:p w:rsidR="003D2608" w:rsidRDefault="002D6264" w:rsidP="00531537">
      <w:pPr>
        <w:pStyle w:val="ParaNumbering"/>
      </w:pPr>
      <w:r>
        <w:t>Subsequent to the cancellation of his v</w:t>
      </w:r>
      <w:r w:rsidR="00161CE8">
        <w:t xml:space="preserve">isa, </w:t>
      </w:r>
      <w:r w:rsidR="003D2608">
        <w:t xml:space="preserve">Mr Thornton made representations to the </w:t>
      </w:r>
      <w:r w:rsidR="003D2608" w:rsidRPr="00403C2F">
        <w:rPr>
          <w:b/>
          <w:bCs/>
        </w:rPr>
        <w:t>Minister</w:t>
      </w:r>
      <w:r w:rsidR="003D2608">
        <w:t xml:space="preserve"> </w:t>
      </w:r>
      <w:r w:rsidR="008C7253">
        <w:t xml:space="preserve">for Immigration, Citizenship, Migrant Services and Multicultural Affairs </w:t>
      </w:r>
      <w:r w:rsidR="00D94BA1">
        <w:t xml:space="preserve">seeking revocation of the </w:t>
      </w:r>
      <w:r w:rsidR="004F4DA4">
        <w:t>cancellation decision</w:t>
      </w:r>
      <w:r w:rsidR="00360F7A">
        <w:t>.</w:t>
      </w:r>
      <w:r w:rsidR="00403C2F">
        <w:t xml:space="preserve"> On </w:t>
      </w:r>
      <w:r w:rsidR="00403C2F" w:rsidRPr="00EC1F72">
        <w:t>26 April 2019,</w:t>
      </w:r>
      <w:r w:rsidR="00403C2F">
        <w:t xml:space="preserve"> the Minister</w:t>
      </w:r>
      <w:r w:rsidR="007D0185">
        <w:t xml:space="preserve"> </w:t>
      </w:r>
      <w:r w:rsidR="005F4D88">
        <w:t xml:space="preserve">determined not to revoke the cancellation decision, not being satisfied that Mr Thornton passed the </w:t>
      </w:r>
      <w:r w:rsidR="00470F62">
        <w:t>character test</w:t>
      </w:r>
      <w:r w:rsidR="00161CE8">
        <w:t>.</w:t>
      </w:r>
    </w:p>
    <w:p w:rsidR="009477FC" w:rsidRDefault="000A13BC" w:rsidP="00531537">
      <w:pPr>
        <w:pStyle w:val="ParaNumbering"/>
      </w:pPr>
      <w:r>
        <w:t xml:space="preserve">In considering whether there was ‘another reason’ why the cancellation decision </w:t>
      </w:r>
      <w:r w:rsidR="00492D6A">
        <w:t>should be revoked</w:t>
      </w:r>
      <w:r w:rsidR="007B35B6">
        <w:t>, the Mi</w:t>
      </w:r>
      <w:r w:rsidR="009733C2">
        <w:t>nister</w:t>
      </w:r>
      <w:r w:rsidR="005B3FE7">
        <w:t xml:space="preserve"> </w:t>
      </w:r>
      <w:r w:rsidR="009477FC">
        <w:t xml:space="preserve">said </w:t>
      </w:r>
      <w:r w:rsidR="0044757B" w:rsidRPr="0044757B">
        <w:t xml:space="preserve">at </w:t>
      </w:r>
      <w:r w:rsidR="0044757B" w:rsidRPr="00EC1F72">
        <w:t>[52]</w:t>
      </w:r>
      <w:r w:rsidR="009477FC" w:rsidRPr="00EC1F72">
        <w:t>:</w:t>
      </w:r>
    </w:p>
    <w:p w:rsidR="009477FC" w:rsidRPr="005B3FE7" w:rsidRDefault="009477FC" w:rsidP="00D8408D">
      <w:pPr>
        <w:pStyle w:val="Quote1"/>
        <w:spacing w:after="300"/>
      </w:pPr>
      <w:r w:rsidRPr="009477FC">
        <w:t xml:space="preserve">In reaching my decision about whether I am satisfied that there is another reason why the original decision should be revoked, I concluded that Mr </w:t>
      </w:r>
      <w:r w:rsidRPr="003A0A4F">
        <w:t>T</w:t>
      </w:r>
      <w:r w:rsidR="00EC1F72" w:rsidRPr="003A0A4F">
        <w:t>HORNTON</w:t>
      </w:r>
      <w:r w:rsidRPr="009477FC">
        <w:t xml:space="preserve"> represents an unacceptable risk of harm to the Australian community and that the protection of the Australian community outweighed any other considerations as described above.  These include his lengthy residence and bonds, employment and familial ties to Australia and the hardship Mr </w:t>
      </w:r>
      <w:r w:rsidRPr="003A0A4F">
        <w:t>T</w:t>
      </w:r>
      <w:r w:rsidR="00EC1F72" w:rsidRPr="003A0A4F">
        <w:t>HORNTON</w:t>
      </w:r>
      <w:r w:rsidRPr="003A0A4F">
        <w:t>,</w:t>
      </w:r>
      <w:r w:rsidRPr="009477FC">
        <w:t xml:space="preserve"> his family and social networks will endure in the event the original decision is not revoked.</w:t>
      </w:r>
    </w:p>
    <w:p w:rsidR="00F327BE" w:rsidRDefault="00B92A67" w:rsidP="00531537">
      <w:pPr>
        <w:pStyle w:val="ParaNumbering"/>
      </w:pPr>
      <w:r>
        <w:t xml:space="preserve">On </w:t>
      </w:r>
      <w:r w:rsidRPr="00EC1F72">
        <w:t>19 October 2020,</w:t>
      </w:r>
      <w:r>
        <w:t xml:space="preserve"> t</w:t>
      </w:r>
      <w:r w:rsidR="00F327BE">
        <w:t xml:space="preserve">he primary judge dismissed </w:t>
      </w:r>
      <w:r w:rsidR="007154E9">
        <w:t>Mr Thornton’s application for judicial review of the Minister’s decision.</w:t>
      </w:r>
    </w:p>
    <w:p w:rsidR="009733C2" w:rsidRDefault="009433C1" w:rsidP="00531537">
      <w:pPr>
        <w:pStyle w:val="ParaNumbering"/>
      </w:pPr>
      <w:r>
        <w:t xml:space="preserve">Mr Thornton </w:t>
      </w:r>
      <w:r w:rsidR="006E098C">
        <w:t>raises four grounds of appeal</w:t>
      </w:r>
      <w:r w:rsidR="00C426D8">
        <w:t>:</w:t>
      </w:r>
    </w:p>
    <w:p w:rsidR="00C426D8" w:rsidRPr="00EC1F72" w:rsidRDefault="009477FC" w:rsidP="00360886">
      <w:pPr>
        <w:pStyle w:val="Quote1"/>
        <w:ind w:left="1440" w:hanging="703"/>
      </w:pPr>
      <w:r w:rsidRPr="00EC1F72">
        <w:t>1.</w:t>
      </w:r>
      <w:r w:rsidRPr="00EC1F72">
        <w:tab/>
      </w:r>
      <w:r w:rsidR="001060C0" w:rsidRPr="00EC1F72">
        <w:t xml:space="preserve">The primary judge erred in rejecting ground 1 of the application before the Court (the application), by wrongly construing s 184(2) of the </w:t>
      </w:r>
      <w:r w:rsidR="001060C0" w:rsidRPr="00EC1F72">
        <w:rPr>
          <w:i/>
          <w:iCs/>
        </w:rPr>
        <w:t>Youth Justice Act 1992</w:t>
      </w:r>
      <w:r w:rsidR="001060C0" w:rsidRPr="00EC1F72">
        <w:t xml:space="preserve"> (Qld) as </w:t>
      </w:r>
      <w:r w:rsidR="00C103AA" w:rsidRPr="00EC1F72">
        <w:t>being a provision</w:t>
      </w:r>
      <w:r w:rsidR="0019725A" w:rsidRPr="00EC1F72">
        <w:t xml:space="preserve"> which does not </w:t>
      </w:r>
      <w:r w:rsidR="009F51DB" w:rsidRPr="00EC1F72">
        <w:t>“deem a person ‘never to have been convicted</w:t>
      </w:r>
      <w:r w:rsidR="00935B53" w:rsidRPr="00EC1F72">
        <w:t xml:space="preserve"> of an offence</w:t>
      </w:r>
      <w:r w:rsidR="004857C8" w:rsidRPr="00EC1F72">
        <w:t xml:space="preserve">’” for the purposes of s 85ZR(2) of the </w:t>
      </w:r>
      <w:r w:rsidR="004857C8" w:rsidRPr="00EC1F72">
        <w:rPr>
          <w:i/>
          <w:iCs/>
        </w:rPr>
        <w:t>Crimes Act 1914</w:t>
      </w:r>
      <w:r w:rsidR="004857C8" w:rsidRPr="00EC1F72">
        <w:t xml:space="preserve"> (</w:t>
      </w:r>
      <w:proofErr w:type="spellStart"/>
      <w:r w:rsidR="004857C8" w:rsidRPr="00EC1F72">
        <w:t>Cth</w:t>
      </w:r>
      <w:proofErr w:type="spellEnd"/>
      <w:r w:rsidR="004857C8" w:rsidRPr="00EC1F72">
        <w:t>).</w:t>
      </w:r>
    </w:p>
    <w:p w:rsidR="004857C8" w:rsidRPr="00EC1F72" w:rsidRDefault="009477FC" w:rsidP="00360886">
      <w:pPr>
        <w:pStyle w:val="Quote1"/>
        <w:ind w:left="1440" w:hanging="703"/>
      </w:pPr>
      <w:r w:rsidRPr="00EC1F72">
        <w:lastRenderedPageBreak/>
        <w:t>2.</w:t>
      </w:r>
      <w:r w:rsidRPr="00EC1F72">
        <w:tab/>
      </w:r>
      <w:r w:rsidR="004857C8" w:rsidRPr="00EC1F72">
        <w:t>The primary judge erred in rejecting ground 2 of the application by not accepting that the Respondent failed to take into account that a consequence of the decision would be to prevent th</w:t>
      </w:r>
      <w:r w:rsidR="008D1259" w:rsidRPr="00EC1F72">
        <w:t>e sentence imposed on the Appellant by the Magistrates Court of Queensland from being executed or carried out to its completion.</w:t>
      </w:r>
    </w:p>
    <w:p w:rsidR="00D21584" w:rsidRPr="00EC1F72" w:rsidRDefault="009477FC" w:rsidP="00360886">
      <w:pPr>
        <w:pStyle w:val="Quote1"/>
        <w:ind w:left="1440" w:hanging="703"/>
      </w:pPr>
      <w:r w:rsidRPr="00EC1F72">
        <w:t>3.</w:t>
      </w:r>
      <w:r w:rsidRPr="00EC1F72">
        <w:tab/>
      </w:r>
      <w:r w:rsidR="00D21584" w:rsidRPr="00EC1F72">
        <w:t xml:space="preserve">The primary judge erred in </w:t>
      </w:r>
      <w:r w:rsidR="0073064E" w:rsidRPr="00EC1F72">
        <w:t xml:space="preserve">concluding that the Respondent actively engaged with </w:t>
      </w:r>
      <w:r w:rsidR="006D4EF5" w:rsidRPr="00EC1F72">
        <w:t xml:space="preserve">the substantial or significant </w:t>
      </w:r>
      <w:r w:rsidR="00AC765D" w:rsidRPr="00EC1F72">
        <w:t>and clearly articulated claims raised by the Appellant as particularised in ground 3 of the application.</w:t>
      </w:r>
    </w:p>
    <w:p w:rsidR="00AC765D" w:rsidRDefault="009477FC" w:rsidP="00360886">
      <w:pPr>
        <w:pStyle w:val="Quote1"/>
        <w:ind w:left="1440" w:hanging="703"/>
      </w:pPr>
      <w:r w:rsidRPr="00EC1F72">
        <w:t>4.</w:t>
      </w:r>
      <w:r w:rsidRPr="00EC1F72">
        <w:tab/>
      </w:r>
      <w:r w:rsidR="00AC765D" w:rsidRPr="00EC1F72">
        <w:t xml:space="preserve">In relation </w:t>
      </w:r>
      <w:r w:rsidR="00D76D80" w:rsidRPr="00EC1F72">
        <w:t>to the unreasonableness g</w:t>
      </w:r>
      <w:r w:rsidR="00A31DE9" w:rsidRPr="00EC1F72">
        <w:t>r</w:t>
      </w:r>
      <w:r w:rsidR="00D76D80" w:rsidRPr="00EC1F72">
        <w:t>ound (ground 4</w:t>
      </w:r>
      <w:r w:rsidR="00A31DE9" w:rsidRPr="00EC1F72">
        <w:t>), the primary judge erred in not concluding that, while the Respondent considered the Appellant’s subjective intention to rehabilitate himself, the Respondent’s evaluation of risk was flawed by a failure to objectively consider the rehabilitative effect of the completion of the sentence imposed by the Magistrates Court of Queensland.</w:t>
      </w:r>
    </w:p>
    <w:p w:rsidR="00C426D8" w:rsidRDefault="008B4709" w:rsidP="00531537">
      <w:pPr>
        <w:pStyle w:val="ParaNumbering"/>
      </w:pPr>
      <w:r>
        <w:t xml:space="preserve">For the reasons that follow, the appeal must be </w:t>
      </w:r>
      <w:r w:rsidR="002D0F4E">
        <w:t>allowed</w:t>
      </w:r>
      <w:r>
        <w:t>.</w:t>
      </w:r>
    </w:p>
    <w:p w:rsidR="008B4709" w:rsidRDefault="008B4709" w:rsidP="00531537">
      <w:pPr>
        <w:pStyle w:val="Heading2"/>
      </w:pPr>
      <w:r>
        <w:t>Ground</w:t>
      </w:r>
      <w:r w:rsidR="00C11699">
        <w:t xml:space="preserve"> 1</w:t>
      </w:r>
    </w:p>
    <w:p w:rsidR="004D7F26" w:rsidRDefault="00F71442" w:rsidP="00531537">
      <w:pPr>
        <w:pStyle w:val="ParaNumbering"/>
      </w:pPr>
      <w:r>
        <w:t xml:space="preserve">As to </w:t>
      </w:r>
      <w:r w:rsidRPr="000537F6">
        <w:t>Ground 1</w:t>
      </w:r>
      <w:r>
        <w:t xml:space="preserve">, </w:t>
      </w:r>
      <w:r w:rsidR="008842E2">
        <w:t xml:space="preserve">the gravamen of Mr Thornton’s complaint is that the language </w:t>
      </w:r>
      <w:r w:rsidR="008842E2" w:rsidRPr="00EC1F72">
        <w:t xml:space="preserve">of s 12(3) of the </w:t>
      </w:r>
      <w:r w:rsidR="008842E2" w:rsidRPr="00EC1F72">
        <w:rPr>
          <w:b/>
          <w:bCs/>
          <w:i/>
          <w:iCs/>
        </w:rPr>
        <w:t>Penalties and Sentences Act</w:t>
      </w:r>
      <w:r w:rsidR="008842E2" w:rsidRPr="00EC1F72">
        <w:rPr>
          <w:i/>
          <w:iCs/>
        </w:rPr>
        <w:t xml:space="preserve"> 1</w:t>
      </w:r>
      <w:r w:rsidR="00195469" w:rsidRPr="00EC1F72">
        <w:rPr>
          <w:i/>
          <w:iCs/>
        </w:rPr>
        <w:t>992</w:t>
      </w:r>
      <w:r w:rsidR="00195469" w:rsidRPr="00EC1F72">
        <w:t xml:space="preserve"> (Qld) and s 184(2) of the </w:t>
      </w:r>
      <w:r w:rsidR="00195469" w:rsidRPr="00EC1F72">
        <w:rPr>
          <w:b/>
          <w:bCs/>
          <w:i/>
          <w:iCs/>
        </w:rPr>
        <w:t>Youth Justice Act</w:t>
      </w:r>
      <w:r w:rsidR="00195469" w:rsidRPr="00EC1F72">
        <w:rPr>
          <w:i/>
          <w:iCs/>
        </w:rPr>
        <w:t xml:space="preserve"> 1992</w:t>
      </w:r>
      <w:r w:rsidR="00195469" w:rsidRPr="00EC1F72">
        <w:t xml:space="preserve"> (Qld)</w:t>
      </w:r>
      <w:r w:rsidR="00195469" w:rsidRPr="008F1D88">
        <w:t xml:space="preserve"> </w:t>
      </w:r>
      <w:r w:rsidR="00195469">
        <w:t xml:space="preserve">is relevantly distinguishable and that the primary judge was wrong to apply the reasoning in </w:t>
      </w:r>
      <w:proofErr w:type="spellStart"/>
      <w:r w:rsidR="00195469" w:rsidRPr="00EC1F72">
        <w:rPr>
          <w:b/>
          <w:bCs/>
          <w:i/>
          <w:iCs/>
        </w:rPr>
        <w:t>Hartwig</w:t>
      </w:r>
      <w:proofErr w:type="spellEnd"/>
      <w:r w:rsidR="00EC1F72" w:rsidRPr="00EC1F72">
        <w:rPr>
          <w:i/>
          <w:iCs/>
        </w:rPr>
        <w:t xml:space="preserve"> v P</w:t>
      </w:r>
      <w:r w:rsidR="00195469" w:rsidRPr="00EC1F72">
        <w:rPr>
          <w:i/>
          <w:iCs/>
        </w:rPr>
        <w:t>E Hack</w:t>
      </w:r>
      <w:r w:rsidR="00C17303" w:rsidRPr="00EC1F72">
        <w:t xml:space="preserve"> [2007] FCA 1039</w:t>
      </w:r>
      <w:r w:rsidR="00C17303">
        <w:t xml:space="preserve"> to Mr Thornton’s juvenile history.</w:t>
      </w:r>
      <w:r w:rsidR="004B67D6">
        <w:t xml:space="preserve"> Mr Thornton contends th</w:t>
      </w:r>
      <w:r w:rsidR="002C4C2C">
        <w:t xml:space="preserve">at the combined effect </w:t>
      </w:r>
      <w:r w:rsidR="002C4C2C" w:rsidRPr="00EC1F72">
        <w:t xml:space="preserve">of </w:t>
      </w:r>
      <w:proofErr w:type="spellStart"/>
      <w:r w:rsidR="002C4C2C" w:rsidRPr="00EC1F72">
        <w:t>s</w:t>
      </w:r>
      <w:r w:rsidR="00C24362" w:rsidRPr="00EC1F72">
        <w:t>s</w:t>
      </w:r>
      <w:proofErr w:type="spellEnd"/>
      <w:r w:rsidR="002C4C2C" w:rsidRPr="00EC1F72">
        <w:t xml:space="preserve"> 14</w:t>
      </w:r>
      <w:r w:rsidR="00C24362" w:rsidRPr="00EC1F72">
        <w:t>8 and 1</w:t>
      </w:r>
      <w:r w:rsidR="00342BF6" w:rsidRPr="00EC1F72">
        <w:t xml:space="preserve">84 of the </w:t>
      </w:r>
      <w:r w:rsidR="00342BF6" w:rsidRPr="00EC1F72">
        <w:rPr>
          <w:i/>
          <w:iCs/>
        </w:rPr>
        <w:t>Youth Justice Act</w:t>
      </w:r>
      <w:r w:rsidR="00342BF6" w:rsidRPr="00EC1F72">
        <w:t xml:space="preserve"> is that the </w:t>
      </w:r>
      <w:r w:rsidR="00342BF6" w:rsidRPr="00EC1F72">
        <w:rPr>
          <w:i/>
          <w:iCs/>
        </w:rPr>
        <w:t>Youth Justice Act</w:t>
      </w:r>
      <w:r w:rsidR="00342BF6" w:rsidRPr="00DE742E">
        <w:rPr>
          <w:i/>
          <w:iCs/>
        </w:rPr>
        <w:t xml:space="preserve"> </w:t>
      </w:r>
      <w:r w:rsidR="00342BF6">
        <w:t>is State legislation that operates</w:t>
      </w:r>
      <w:r w:rsidR="00901D82">
        <w:t xml:space="preserve"> in the way </w:t>
      </w:r>
      <w:r w:rsidR="00901D82" w:rsidRPr="00EC1F72">
        <w:t xml:space="preserve">contemplated by s 85ZR(2) of the </w:t>
      </w:r>
      <w:r w:rsidR="00901D82" w:rsidRPr="00EC1F72">
        <w:rPr>
          <w:b/>
          <w:bCs/>
          <w:i/>
          <w:iCs/>
        </w:rPr>
        <w:t>Crimes Act</w:t>
      </w:r>
      <w:r w:rsidR="00901D82" w:rsidRPr="00EC1F72">
        <w:rPr>
          <w:i/>
          <w:iCs/>
        </w:rPr>
        <w:t xml:space="preserve"> </w:t>
      </w:r>
      <w:r w:rsidR="00F5739E" w:rsidRPr="00EC1F72">
        <w:rPr>
          <w:i/>
          <w:iCs/>
        </w:rPr>
        <w:t>1914</w:t>
      </w:r>
      <w:r w:rsidR="00F5739E" w:rsidRPr="00EC1F72">
        <w:t xml:space="preserve"> (</w:t>
      </w:r>
      <w:proofErr w:type="spellStart"/>
      <w:r w:rsidR="00F5739E" w:rsidRPr="00EC1F72">
        <w:t>Cth</w:t>
      </w:r>
      <w:proofErr w:type="spellEnd"/>
      <w:r w:rsidR="00F5739E" w:rsidRPr="00EC1F72">
        <w:t>)</w:t>
      </w:r>
      <w:r w:rsidR="001F2DB0" w:rsidRPr="00EC1F72">
        <w:t xml:space="preserve"> being</w:t>
      </w:r>
      <w:r w:rsidR="001F2DB0">
        <w:t xml:space="preserve"> that it ‘removes or disregards the conviction altogether’</w:t>
      </w:r>
      <w:r w:rsidR="0084392D">
        <w:t xml:space="preserve">. </w:t>
      </w:r>
      <w:r w:rsidR="001221FF">
        <w:t xml:space="preserve">Mr Thornton therefore contends that </w:t>
      </w:r>
      <w:r w:rsidR="00AD2E19">
        <w:t xml:space="preserve">not only does </w:t>
      </w:r>
      <w:r w:rsidR="001221FF">
        <w:t xml:space="preserve">the decision in </w:t>
      </w:r>
      <w:proofErr w:type="spellStart"/>
      <w:r w:rsidR="001221FF" w:rsidRPr="00052C69">
        <w:rPr>
          <w:i/>
          <w:iCs/>
        </w:rPr>
        <w:t>Hartwig</w:t>
      </w:r>
      <w:proofErr w:type="spellEnd"/>
      <w:r w:rsidR="001221FF">
        <w:t xml:space="preserve"> not preclude that conclusion</w:t>
      </w:r>
      <w:r w:rsidR="009E5A34">
        <w:t>, given that it was concerned only with the combine</w:t>
      </w:r>
      <w:r w:rsidR="007F4195">
        <w:t>d</w:t>
      </w:r>
      <w:r w:rsidR="009E5A34">
        <w:t xml:space="preserve"> effect of s 12(3) of the </w:t>
      </w:r>
      <w:r w:rsidR="009E5A34" w:rsidRPr="00341182">
        <w:rPr>
          <w:i/>
          <w:iCs/>
        </w:rPr>
        <w:t>Penalties and Sentences Act</w:t>
      </w:r>
      <w:r w:rsidR="009E5A34">
        <w:t xml:space="preserve"> and s 85ZR(2) of the </w:t>
      </w:r>
      <w:r w:rsidR="009E5A34" w:rsidRPr="005C4B9C">
        <w:rPr>
          <w:i/>
          <w:iCs/>
        </w:rPr>
        <w:t>Crimes Act</w:t>
      </w:r>
      <w:r w:rsidR="009E5A34">
        <w:t xml:space="preserve">, </w:t>
      </w:r>
      <w:r w:rsidR="00AD2E19">
        <w:t>but</w:t>
      </w:r>
      <w:r w:rsidR="009E5A34">
        <w:t xml:space="preserve"> </w:t>
      </w:r>
      <w:r w:rsidR="000A4731">
        <w:t>indeed</w:t>
      </w:r>
      <w:r w:rsidR="00AF03EC">
        <w:t xml:space="preserve"> is consistent with it (</w:t>
      </w:r>
      <w:proofErr w:type="spellStart"/>
      <w:r w:rsidR="00AF03EC" w:rsidRPr="00341182">
        <w:rPr>
          <w:i/>
          <w:iCs/>
        </w:rPr>
        <w:t>Hartwig</w:t>
      </w:r>
      <w:proofErr w:type="spellEnd"/>
      <w:r w:rsidR="00AF03EC">
        <w:t xml:space="preserve"> at </w:t>
      </w:r>
      <w:r w:rsidR="00052C69">
        <w:t>[8]).</w:t>
      </w:r>
    </w:p>
    <w:p w:rsidR="00387CDB" w:rsidRDefault="000D5524" w:rsidP="00531537">
      <w:pPr>
        <w:pStyle w:val="ParaNumbering"/>
      </w:pPr>
      <w:r>
        <w:t>The</w:t>
      </w:r>
      <w:r w:rsidR="00312B7B">
        <w:t xml:space="preserve"> significance of s </w:t>
      </w:r>
      <w:r w:rsidR="00312B7B" w:rsidRPr="00EC1F72">
        <w:t>85Z</w:t>
      </w:r>
      <w:r w:rsidR="00BF787E" w:rsidRPr="00EC1F72">
        <w:t>R(2)</w:t>
      </w:r>
      <w:r w:rsidR="00BF787E">
        <w:t xml:space="preserve"> of the </w:t>
      </w:r>
      <w:r w:rsidR="00BF787E" w:rsidRPr="006E5BE1">
        <w:rPr>
          <w:i/>
          <w:iCs/>
        </w:rPr>
        <w:t>Crimes Act</w:t>
      </w:r>
      <w:r w:rsidR="00BF787E">
        <w:t xml:space="preserve"> in the context of decisions made under the </w:t>
      </w:r>
      <w:r w:rsidR="00BF787E" w:rsidRPr="00C05405">
        <w:rPr>
          <w:i/>
          <w:iCs/>
        </w:rPr>
        <w:t>Migration Act</w:t>
      </w:r>
      <w:r w:rsidR="00BF787E">
        <w:t xml:space="preserve"> was not something </w:t>
      </w:r>
      <w:r w:rsidR="006E5BE1">
        <w:t xml:space="preserve">raised before the primary judge. Nevertheless, it is clear that Parliament </w:t>
      </w:r>
      <w:r w:rsidR="0011731D">
        <w:t xml:space="preserve">has been concerned to delineate the extent to which </w:t>
      </w:r>
      <w:r w:rsidR="002D489E">
        <w:t xml:space="preserve">the </w:t>
      </w:r>
      <w:r w:rsidR="0011731D">
        <w:t>disclosure of</w:t>
      </w:r>
      <w:r w:rsidR="002D489E">
        <w:t xml:space="preserve"> convictions is to be treated by decision</w:t>
      </w:r>
      <w:r w:rsidR="009727E5">
        <w:t xml:space="preserve"> </w:t>
      </w:r>
      <w:r w:rsidR="002D489E">
        <w:t xml:space="preserve">makers under the </w:t>
      </w:r>
      <w:r w:rsidR="002D489E" w:rsidRPr="00C05405">
        <w:rPr>
          <w:i/>
          <w:iCs/>
        </w:rPr>
        <w:t>Migration Act</w:t>
      </w:r>
      <w:r w:rsidR="00C05405">
        <w:t>.</w:t>
      </w:r>
    </w:p>
    <w:p w:rsidR="00C05405" w:rsidRPr="00824638" w:rsidRDefault="00EC1F72" w:rsidP="00531537">
      <w:pPr>
        <w:pStyle w:val="ParaNumbering"/>
      </w:pPr>
      <w:r w:rsidRPr="0084392D">
        <w:t>Part VIIC, Division 6,</w:t>
      </w:r>
      <w:r w:rsidRPr="00EC1F72">
        <w:t xml:space="preserve"> </w:t>
      </w:r>
      <w:r w:rsidR="00C05405" w:rsidRPr="00EC1F72">
        <w:t xml:space="preserve">Subdivision </w:t>
      </w:r>
      <w:r w:rsidR="00ED264D">
        <w:t>B</w:t>
      </w:r>
      <w:r w:rsidR="00C05405" w:rsidRPr="00EC1F72">
        <w:t xml:space="preserve">—Exclusions (Division 3) of the </w:t>
      </w:r>
      <w:r w:rsidR="00C05405" w:rsidRPr="00EC1F72">
        <w:rPr>
          <w:i/>
          <w:iCs/>
        </w:rPr>
        <w:t>Crimes Act</w:t>
      </w:r>
      <w:r w:rsidR="00C05405" w:rsidRPr="00EC1F72">
        <w:t>,</w:t>
      </w:r>
      <w:r w:rsidR="00C05405" w:rsidRPr="009A1343">
        <w:t xml:space="preserve"> </w:t>
      </w:r>
      <w:r w:rsidR="00C05405">
        <w:t xml:space="preserve">which is concerned with ‘spent’ convictions, is important in construing the relevance of s 85ZR(2) to a decision under the </w:t>
      </w:r>
      <w:r w:rsidR="00C05405" w:rsidRPr="009A1343">
        <w:rPr>
          <w:i/>
          <w:iCs/>
        </w:rPr>
        <w:t>Migration Act</w:t>
      </w:r>
      <w:r w:rsidR="00C05405">
        <w:t>.</w:t>
      </w:r>
      <w:r w:rsidR="00900785">
        <w:t xml:space="preserve"> </w:t>
      </w:r>
      <w:r w:rsidR="00900785" w:rsidRPr="008F1D88">
        <w:t>Section 85ZZH</w:t>
      </w:r>
      <w:r w:rsidR="00900785">
        <w:t xml:space="preserve"> provides:</w:t>
      </w:r>
    </w:p>
    <w:p w:rsidR="00C05405" w:rsidRPr="00F87305" w:rsidRDefault="00C05405" w:rsidP="00531537">
      <w:pPr>
        <w:pStyle w:val="Quote1"/>
      </w:pPr>
      <w:r w:rsidRPr="00F87305">
        <w:t>Division 3 does not apply in relation to the disclosure of information to or by, or the taking into account of information by a person or body referred to in one of the following paragraphs for the purpose specified in relation to the person or body:</w:t>
      </w:r>
    </w:p>
    <w:p w:rsidR="00C05405" w:rsidRPr="00F87305" w:rsidRDefault="00C05405" w:rsidP="00531537">
      <w:pPr>
        <w:pStyle w:val="Quote1"/>
      </w:pPr>
      <w:r w:rsidRPr="00F87305">
        <w:t>…</w:t>
      </w:r>
    </w:p>
    <w:p w:rsidR="00C05405" w:rsidRPr="00A72810" w:rsidRDefault="00C05405" w:rsidP="00D8408D">
      <w:pPr>
        <w:pStyle w:val="Quote1"/>
        <w:spacing w:after="300"/>
        <w:ind w:left="1440" w:hanging="703"/>
      </w:pPr>
      <w:r w:rsidRPr="00F87305">
        <w:lastRenderedPageBreak/>
        <w:t>(d)</w:t>
      </w:r>
      <w:r w:rsidRPr="00F87305">
        <w:tab/>
        <w:t xml:space="preserve">a person who makes a decision under the </w:t>
      </w:r>
      <w:r w:rsidRPr="00F87305">
        <w:rPr>
          <w:i/>
          <w:iCs/>
        </w:rPr>
        <w:t>Migration Act 1958</w:t>
      </w:r>
      <w:r w:rsidRPr="00F87305">
        <w:t xml:space="preserve"> … for the purpose of making that decision.</w:t>
      </w:r>
    </w:p>
    <w:p w:rsidR="00C05405" w:rsidRPr="00F87305" w:rsidRDefault="00C05405" w:rsidP="00531537">
      <w:pPr>
        <w:pStyle w:val="ParaNumbering"/>
      </w:pPr>
      <w:r>
        <w:t xml:space="preserve">On its face, </w:t>
      </w:r>
      <w:r w:rsidRPr="00F87305">
        <w:t>s 85ZZH(d)</w:t>
      </w:r>
      <w:r>
        <w:t xml:space="preserve"> </w:t>
      </w:r>
      <w:r w:rsidRPr="00FE1C9A">
        <w:rPr>
          <w:i/>
          <w:iCs/>
        </w:rPr>
        <w:t>requires</w:t>
      </w:r>
      <w:r>
        <w:t xml:space="preserve"> a person to disclose the circumstances of a ‘spent’ offence in the context of an application under the </w:t>
      </w:r>
      <w:r w:rsidRPr="00F74190">
        <w:rPr>
          <w:i/>
          <w:iCs/>
        </w:rPr>
        <w:t>Migration Act</w:t>
      </w:r>
      <w:r>
        <w:t>. As is typical of Commonwealth legislative drafting, however, there is an exemption from the exception (to be found in another Act), at least in relation to persons seeking to be registered as migration agents.</w:t>
      </w:r>
      <w:r w:rsidRPr="004979D1">
        <w:t xml:space="preserve"> </w:t>
      </w:r>
      <w:r>
        <w:t xml:space="preserve">Part 3 of the </w:t>
      </w:r>
      <w:r w:rsidRPr="004979D1">
        <w:rPr>
          <w:i/>
          <w:iCs/>
        </w:rPr>
        <w:t>Migration Act</w:t>
      </w:r>
      <w:r>
        <w:t xml:space="preserve">, </w:t>
      </w:r>
      <w:r w:rsidRPr="00637D0F">
        <w:rPr>
          <w:i/>
          <w:iCs/>
        </w:rPr>
        <w:t>inter alia</w:t>
      </w:r>
      <w:r>
        <w:t>, regulates migration age</w:t>
      </w:r>
      <w:r w:rsidRPr="00F87305">
        <w:t xml:space="preserve">nts. Section 279 of the </w:t>
      </w:r>
      <w:r w:rsidRPr="00F87305">
        <w:rPr>
          <w:i/>
          <w:iCs/>
        </w:rPr>
        <w:t>Migration Act</w:t>
      </w:r>
      <w:r w:rsidRPr="00F87305">
        <w:t xml:space="preserve"> provides:</w:t>
      </w:r>
      <w:r w:rsidR="00F87305" w:rsidRPr="00F87305">
        <w:t xml:space="preserve"> </w:t>
      </w:r>
    </w:p>
    <w:p w:rsidR="00C05405" w:rsidRPr="00A72810" w:rsidRDefault="00C05405" w:rsidP="00D8408D">
      <w:pPr>
        <w:pStyle w:val="Quote1"/>
        <w:spacing w:after="300"/>
      </w:pPr>
      <w:r w:rsidRPr="00F87305">
        <w:t xml:space="preserve">Despite paragraph 85ZZH(d) of the </w:t>
      </w:r>
      <w:r w:rsidRPr="00F87305">
        <w:rPr>
          <w:i/>
        </w:rPr>
        <w:t>Crimes Act 1914</w:t>
      </w:r>
      <w:r w:rsidRPr="00F87305">
        <w:t>, Part VIIC of that Act applies to this Part.</w:t>
      </w:r>
    </w:p>
    <w:p w:rsidR="00D03B5E" w:rsidRDefault="00C05405" w:rsidP="00531537">
      <w:pPr>
        <w:pStyle w:val="ParaNumbering"/>
      </w:pPr>
      <w:r>
        <w:t>The consequence of this section is that applicants for registration as migr</w:t>
      </w:r>
      <w:r w:rsidR="00FC2CA0">
        <w:t>ation</w:t>
      </w:r>
      <w:r>
        <w:t xml:space="preserve"> agents are </w:t>
      </w:r>
      <w:r w:rsidRPr="00666390">
        <w:rPr>
          <w:i/>
          <w:iCs/>
        </w:rPr>
        <w:t>not</w:t>
      </w:r>
      <w:r>
        <w:t xml:space="preserve"> required to disclose a spent offence, despite the prima facie obligation to do so contained in s 85ZZH(d). Spent offences are not protected from disclosure in relation to any other decisions made under the </w:t>
      </w:r>
      <w:r w:rsidRPr="00BF17A3">
        <w:rPr>
          <w:i/>
          <w:iCs/>
        </w:rPr>
        <w:t>Migration Act</w:t>
      </w:r>
      <w:r>
        <w:t>, including those relating to the cancellation or refusal of a visa.</w:t>
      </w:r>
    </w:p>
    <w:p w:rsidR="00C05405" w:rsidRDefault="00C05405" w:rsidP="00531537">
      <w:pPr>
        <w:pStyle w:val="ParaNumbering"/>
      </w:pPr>
      <w:r>
        <w:t>By contrast</w:t>
      </w:r>
      <w:r w:rsidR="00F87305">
        <w:t>,</w:t>
      </w:r>
      <w:r>
        <w:t xml:space="preserve"> pardons or quashed convictions, dealt with </w:t>
      </w:r>
      <w:r w:rsidRPr="00F87305">
        <w:t xml:space="preserve">in </w:t>
      </w:r>
      <w:r w:rsidR="00F87305" w:rsidRPr="00F87305">
        <w:t>Division 2</w:t>
      </w:r>
      <w:r w:rsidR="00D8430A">
        <w:t xml:space="preserve">, </w:t>
      </w:r>
      <w:r w:rsidRPr="00F87305">
        <w:t>remain pro</w:t>
      </w:r>
      <w:r>
        <w:t xml:space="preserve">tected from disclosure for all purposes related to decisions under the </w:t>
      </w:r>
      <w:r w:rsidRPr="0042320E">
        <w:rPr>
          <w:i/>
          <w:iCs/>
        </w:rPr>
        <w:t>Migration Act</w:t>
      </w:r>
      <w:r>
        <w:t>, including those relating to the cancellation or refusal of vis</w:t>
      </w:r>
      <w:r w:rsidRPr="00D8430A">
        <w:t>as. The express exclusion of ‘spent’ offences from the protective provisions of Division 3 of</w:t>
      </w:r>
      <w:r>
        <w:t xml:space="preserve"> the </w:t>
      </w:r>
      <w:r w:rsidRPr="007533A4">
        <w:rPr>
          <w:i/>
          <w:iCs/>
        </w:rPr>
        <w:t>Crimes Act</w:t>
      </w:r>
      <w:r>
        <w:t xml:space="preserve"> evinces a legislative intention to retain the protection for offences captured by s 85ZR(2), which is in Division 2, even when a decision is to be made under the </w:t>
      </w:r>
      <w:r w:rsidRPr="006D11CE">
        <w:rPr>
          <w:i/>
          <w:iCs/>
        </w:rPr>
        <w:t>Migration Act</w:t>
      </w:r>
      <w:r>
        <w:t>. It follows that a decision-maker who takes into account a conviction t</w:t>
      </w:r>
      <w:r w:rsidR="00D8430A">
        <w:t xml:space="preserve">hat falls within the scope of s </w:t>
      </w:r>
      <w:r>
        <w:t xml:space="preserve">85ZR(2) takes into account an irrelevant consideration. </w:t>
      </w:r>
    </w:p>
    <w:p w:rsidR="00415E17" w:rsidRDefault="004D7F26" w:rsidP="00531537">
      <w:pPr>
        <w:pStyle w:val="ParaNumbering"/>
      </w:pPr>
      <w:r>
        <w:t xml:space="preserve">The question which arose in </w:t>
      </w:r>
      <w:proofErr w:type="spellStart"/>
      <w:r w:rsidRPr="004D7F26">
        <w:rPr>
          <w:i/>
          <w:iCs/>
        </w:rPr>
        <w:t>Hartwig</w:t>
      </w:r>
      <w:proofErr w:type="spellEnd"/>
      <w:r>
        <w:t xml:space="preserve"> was whether </w:t>
      </w:r>
      <w:r>
        <w:rPr>
          <w:lang w:eastAsia="en-AU"/>
        </w:rPr>
        <w:t>the Administrative Appeals Tribunal was</w:t>
      </w:r>
      <w:r w:rsidR="00CE3173">
        <w:rPr>
          <w:lang w:eastAsia="en-AU"/>
        </w:rPr>
        <w:t>,</w:t>
      </w:r>
      <w:r>
        <w:rPr>
          <w:lang w:eastAsia="en-AU"/>
        </w:rPr>
        <w:t xml:space="preserve"> </w:t>
      </w:r>
      <w:r w:rsidR="0055741D">
        <w:rPr>
          <w:lang w:eastAsia="en-AU"/>
        </w:rPr>
        <w:t>by vi</w:t>
      </w:r>
      <w:r w:rsidR="00F22C8A">
        <w:rPr>
          <w:lang w:eastAsia="en-AU"/>
        </w:rPr>
        <w:t>r</w:t>
      </w:r>
      <w:r w:rsidR="00CE3173">
        <w:rPr>
          <w:lang w:eastAsia="en-AU"/>
        </w:rPr>
        <w:t>tue of s 12</w:t>
      </w:r>
      <w:r w:rsidR="00F71E69">
        <w:rPr>
          <w:lang w:eastAsia="en-AU"/>
        </w:rPr>
        <w:t>(3)</w:t>
      </w:r>
      <w:r w:rsidR="004E2609">
        <w:rPr>
          <w:lang w:eastAsia="en-AU"/>
        </w:rPr>
        <w:t xml:space="preserve"> </w:t>
      </w:r>
      <w:r w:rsidR="004E2609">
        <w:t xml:space="preserve">of the </w:t>
      </w:r>
      <w:r w:rsidR="004E2609" w:rsidRPr="00341182">
        <w:rPr>
          <w:i/>
          <w:iCs/>
        </w:rPr>
        <w:t>Penalties and Sentences Act</w:t>
      </w:r>
      <w:r w:rsidR="004E2609">
        <w:rPr>
          <w:i/>
          <w:iCs/>
        </w:rPr>
        <w:t>,</w:t>
      </w:r>
      <w:r w:rsidR="004E2609">
        <w:rPr>
          <w:lang w:eastAsia="en-AU"/>
        </w:rPr>
        <w:t xml:space="preserve"> </w:t>
      </w:r>
      <w:r>
        <w:rPr>
          <w:lang w:eastAsia="en-AU"/>
        </w:rPr>
        <w:t>entitled to take account of the fact of conviction</w:t>
      </w:r>
      <w:r w:rsidR="006D1EF0">
        <w:rPr>
          <w:lang w:eastAsia="en-AU"/>
        </w:rPr>
        <w:t xml:space="preserve"> (albeit that none was recorded</w:t>
      </w:r>
      <w:r w:rsidR="004E2609">
        <w:rPr>
          <w:lang w:eastAsia="en-AU"/>
        </w:rPr>
        <w:t>)</w:t>
      </w:r>
      <w:r>
        <w:rPr>
          <w:lang w:eastAsia="en-AU"/>
        </w:rPr>
        <w:t>, being the acceptance of the record and the plea upon which it was based, together with such facts and circumstances as are necessary to provide an understanding of the offence,</w:t>
      </w:r>
      <w:r w:rsidR="006D1EF0">
        <w:rPr>
          <w:lang w:eastAsia="en-AU"/>
        </w:rPr>
        <w:t xml:space="preserve"> </w:t>
      </w:r>
      <w:r>
        <w:rPr>
          <w:lang w:eastAsia="en-AU"/>
        </w:rPr>
        <w:t xml:space="preserve">so far as they </w:t>
      </w:r>
      <w:r w:rsidR="001222DF">
        <w:rPr>
          <w:lang w:eastAsia="en-AU"/>
        </w:rPr>
        <w:t>were</w:t>
      </w:r>
      <w:r>
        <w:rPr>
          <w:lang w:eastAsia="en-AU"/>
        </w:rPr>
        <w:t xml:space="preserve"> relevant to the question before the AAT, which involve</w:t>
      </w:r>
      <w:r w:rsidR="001222DF">
        <w:rPr>
          <w:lang w:eastAsia="en-AU"/>
        </w:rPr>
        <w:t>d</w:t>
      </w:r>
      <w:r>
        <w:rPr>
          <w:lang w:eastAsia="en-AU"/>
        </w:rPr>
        <w:t xml:space="preserve"> the purpose for which a person is said to be fit and proper.</w:t>
      </w:r>
    </w:p>
    <w:p w:rsidR="00882CA2" w:rsidRPr="00D8430A" w:rsidRDefault="00882CA2" w:rsidP="00531537">
      <w:pPr>
        <w:pStyle w:val="ParaNumbering"/>
      </w:pPr>
      <w:r w:rsidRPr="00D8430A">
        <w:t xml:space="preserve">In </w:t>
      </w:r>
      <w:proofErr w:type="spellStart"/>
      <w:r w:rsidRPr="00D8430A">
        <w:rPr>
          <w:i/>
          <w:iCs/>
        </w:rPr>
        <w:t>Hartwig</w:t>
      </w:r>
      <w:proofErr w:type="spellEnd"/>
      <w:r w:rsidRPr="00D8430A">
        <w:t xml:space="preserve">, </w:t>
      </w:r>
      <w:proofErr w:type="spellStart"/>
      <w:r w:rsidRPr="00D8430A">
        <w:t>Kiefel</w:t>
      </w:r>
      <w:proofErr w:type="spellEnd"/>
      <w:r w:rsidRPr="00D8430A">
        <w:t xml:space="preserve"> J held</w:t>
      </w:r>
      <w:r w:rsidR="008823A4" w:rsidRPr="00D8430A">
        <w:t>:</w:t>
      </w:r>
    </w:p>
    <w:p w:rsidR="004D7F26" w:rsidRPr="00D8430A" w:rsidRDefault="008823A4" w:rsidP="00F5641C">
      <w:pPr>
        <w:pStyle w:val="Quote1"/>
        <w:spacing w:after="0"/>
        <w:ind w:left="1440" w:hanging="703"/>
      </w:pPr>
      <w:r w:rsidRPr="00D8430A">
        <w:rPr>
          <w:sz w:val="18"/>
          <w:szCs w:val="18"/>
          <w:lang w:eastAsia="en-AU"/>
        </w:rPr>
        <w:t>8</w:t>
      </w:r>
      <w:r w:rsidR="008F6E78" w:rsidRPr="00D8430A">
        <w:rPr>
          <w:lang w:eastAsia="en-AU"/>
        </w:rPr>
        <w:tab/>
      </w:r>
      <w:r w:rsidR="004D7F26" w:rsidRPr="00D8430A">
        <w:rPr>
          <w:lang w:eastAsia="en-AU"/>
        </w:rPr>
        <w:t xml:space="preserve">The nature of the State legislation, to which s 85ZR(2) of the </w:t>
      </w:r>
      <w:r w:rsidR="004D7F26" w:rsidRPr="00D8430A">
        <w:rPr>
          <w:i/>
          <w:lang w:eastAsia="en-AU"/>
        </w:rPr>
        <w:t>Crimes Act</w:t>
      </w:r>
      <w:r w:rsidR="004D7F26" w:rsidRPr="00D8430A">
        <w:rPr>
          <w:lang w:eastAsia="en-AU"/>
        </w:rPr>
        <w:t xml:space="preserve"> (</w:t>
      </w:r>
      <w:proofErr w:type="spellStart"/>
      <w:r w:rsidR="004D7F26" w:rsidRPr="00D8430A">
        <w:rPr>
          <w:lang w:eastAsia="en-AU"/>
        </w:rPr>
        <w:t>Cth</w:t>
      </w:r>
      <w:proofErr w:type="spellEnd"/>
      <w:r w:rsidR="004D7F26" w:rsidRPr="00D8430A">
        <w:rPr>
          <w:lang w:eastAsia="en-AU"/>
        </w:rPr>
        <w:t xml:space="preserve">) refers, is one which deems a person never to have </w:t>
      </w:r>
      <w:r w:rsidR="004D7F26" w:rsidRPr="00D8430A">
        <w:rPr>
          <w:i/>
          <w:lang w:eastAsia="en-AU"/>
        </w:rPr>
        <w:t>been</w:t>
      </w:r>
      <w:r w:rsidR="004D7F26" w:rsidRPr="00D8430A">
        <w:rPr>
          <w:lang w:eastAsia="en-AU"/>
        </w:rPr>
        <w:t xml:space="preserve"> convicted of an offence.  The effect of the provision must be such as to take away the </w:t>
      </w:r>
      <w:r w:rsidR="004D7F26" w:rsidRPr="00D8430A">
        <w:rPr>
          <w:i/>
          <w:lang w:eastAsia="en-AU"/>
        </w:rPr>
        <w:t>fact</w:t>
      </w:r>
      <w:r w:rsidR="004D7F26" w:rsidRPr="00D8430A">
        <w:rPr>
          <w:lang w:eastAsia="en-AU"/>
        </w:rPr>
        <w:t xml:space="preserve"> of the conviction, as a pardon might do.  It is not without significance that the section </w:t>
      </w:r>
      <w:r w:rsidR="004D7F26" w:rsidRPr="00D8430A">
        <w:rPr>
          <w:lang w:eastAsia="en-AU"/>
        </w:rPr>
        <w:lastRenderedPageBreak/>
        <w:t>is headed ‘</w:t>
      </w:r>
      <w:r w:rsidR="004D7F26" w:rsidRPr="00D8430A">
        <w:rPr>
          <w:i/>
          <w:lang w:eastAsia="en-AU"/>
        </w:rPr>
        <w:t>Pardons for Persons Wrongly Convicted’</w:t>
      </w:r>
      <w:r w:rsidR="004D7F26" w:rsidRPr="00D8430A">
        <w:rPr>
          <w:lang w:eastAsia="en-AU"/>
        </w:rPr>
        <w:t>.  Other legislation of the type to which s 85ZR(2) refers maybe that which deems a person not to have been convicted after the lapse of a number of years.</w:t>
      </w:r>
    </w:p>
    <w:p w:rsidR="004D7F26" w:rsidRPr="00D8430A" w:rsidRDefault="004D7F26" w:rsidP="00F5641C">
      <w:pPr>
        <w:pStyle w:val="Quote1"/>
        <w:spacing w:after="0"/>
        <w:ind w:left="720" w:right="805"/>
        <w:rPr>
          <w:szCs w:val="22"/>
          <w:lang w:eastAsia="en-AU"/>
        </w:rPr>
      </w:pPr>
      <w:r w:rsidRPr="00D8430A">
        <w:rPr>
          <w:szCs w:val="22"/>
          <w:lang w:eastAsia="en-AU"/>
        </w:rPr>
        <w:t>…</w:t>
      </w:r>
    </w:p>
    <w:p w:rsidR="004D7F26" w:rsidRPr="00D8430A" w:rsidRDefault="004D7F26" w:rsidP="00F5641C">
      <w:pPr>
        <w:pStyle w:val="Quote1"/>
        <w:spacing w:after="0"/>
        <w:ind w:left="1440" w:right="805" w:hanging="720"/>
        <w:rPr>
          <w:lang w:eastAsia="en-AU"/>
        </w:rPr>
      </w:pPr>
      <w:r w:rsidRPr="00D8430A">
        <w:rPr>
          <w:sz w:val="18"/>
          <w:szCs w:val="18"/>
          <w:lang w:eastAsia="en-AU"/>
        </w:rPr>
        <w:t>11</w:t>
      </w:r>
      <w:r w:rsidR="008F6E78" w:rsidRPr="00D8430A">
        <w:rPr>
          <w:lang w:eastAsia="en-AU"/>
        </w:rPr>
        <w:t xml:space="preserve"> </w:t>
      </w:r>
      <w:r w:rsidR="008F6E78" w:rsidRPr="00D8430A">
        <w:rPr>
          <w:lang w:eastAsia="en-AU"/>
        </w:rPr>
        <w:tab/>
      </w:r>
      <w:r w:rsidRPr="00D8430A">
        <w:rPr>
          <w:lang w:eastAsia="en-AU"/>
        </w:rPr>
        <w:t xml:space="preserve">Section 12(3) of the </w:t>
      </w:r>
      <w:r w:rsidRPr="00D8430A">
        <w:rPr>
          <w:i/>
          <w:lang w:eastAsia="en-AU"/>
        </w:rPr>
        <w:t>Penalties and Sentences Act</w:t>
      </w:r>
      <w:r w:rsidRPr="00D8430A">
        <w:rPr>
          <w:lang w:eastAsia="en-AU"/>
        </w:rPr>
        <w:t xml:space="preserve"> (Qld) and s 85ZR(2) of the </w:t>
      </w:r>
      <w:r w:rsidRPr="00D8430A">
        <w:rPr>
          <w:i/>
          <w:lang w:eastAsia="en-AU"/>
        </w:rPr>
        <w:t>Crimes Act</w:t>
      </w:r>
      <w:r w:rsidRPr="00D8430A">
        <w:rPr>
          <w:lang w:eastAsia="en-AU"/>
        </w:rPr>
        <w:t xml:space="preserve"> (</w:t>
      </w:r>
      <w:proofErr w:type="spellStart"/>
      <w:r w:rsidRPr="00D8430A">
        <w:rPr>
          <w:lang w:eastAsia="en-AU"/>
        </w:rPr>
        <w:t>Cth</w:t>
      </w:r>
      <w:proofErr w:type="spellEnd"/>
      <w:r w:rsidRPr="00D8430A">
        <w:rPr>
          <w:lang w:eastAsia="en-AU"/>
        </w:rPr>
        <w:t xml:space="preserve">) are however dissimilar.  The former is concerned that there be no record of a conviction.  The Commonwealth provision envisages a state legislation provision, which removes or disregards the conviction altogether.  Their common purpose might be said to be rehabilitation, but they arise in different ways, and from a different circumstance.  In my view, the Commonwealth provision is not referring to a provision such as the non-recording provision in s 12(3) of the </w:t>
      </w:r>
      <w:r w:rsidRPr="00D8430A">
        <w:rPr>
          <w:i/>
          <w:lang w:eastAsia="en-AU"/>
        </w:rPr>
        <w:t>Penalties and Sentences Act</w:t>
      </w:r>
      <w:r w:rsidRPr="00D8430A">
        <w:rPr>
          <w:lang w:eastAsia="en-AU"/>
        </w:rPr>
        <w:t xml:space="preserve"> (Qld).  The Commonwealth provision does not operate on that provision in the way contended for.</w:t>
      </w:r>
    </w:p>
    <w:p w:rsidR="00FC0493" w:rsidRPr="00D8430A" w:rsidRDefault="00D8430A" w:rsidP="00531537">
      <w:pPr>
        <w:pStyle w:val="ParaNumbering"/>
      </w:pPr>
      <w:r w:rsidRPr="00D8430A">
        <w:t>Section 12</w:t>
      </w:r>
      <w:r w:rsidR="00FC0493" w:rsidRPr="00D8430A">
        <w:t xml:space="preserve"> of the</w:t>
      </w:r>
      <w:r w:rsidR="00FC0493" w:rsidRPr="00D8430A">
        <w:rPr>
          <w:b/>
          <w:bCs/>
          <w:i/>
          <w:iCs/>
        </w:rPr>
        <w:t xml:space="preserve"> </w:t>
      </w:r>
      <w:r w:rsidR="00FC0493" w:rsidRPr="00D8430A">
        <w:rPr>
          <w:i/>
          <w:iCs/>
        </w:rPr>
        <w:t>Penalties and Sentences Act</w:t>
      </w:r>
      <w:r w:rsidR="00FC0493" w:rsidRPr="00D8430A">
        <w:t xml:space="preserve"> provides:</w:t>
      </w:r>
    </w:p>
    <w:p w:rsidR="0016568A" w:rsidRPr="00D8430A" w:rsidRDefault="0016568A" w:rsidP="00D8430A">
      <w:pPr>
        <w:pStyle w:val="Quote1"/>
        <w:ind w:left="1440" w:hanging="703"/>
      </w:pPr>
      <w:r w:rsidRPr="00D8430A">
        <w:t>(2)</w:t>
      </w:r>
      <w:r w:rsidRPr="00D8430A">
        <w:tab/>
        <w:t>In considering whether or not to record a conviction, a court must have regard to all circumstances of the case</w:t>
      </w:r>
      <w:r w:rsidR="00387B45" w:rsidRPr="00D8430A">
        <w:t>,</w:t>
      </w:r>
      <w:r w:rsidRPr="00D8430A">
        <w:t xml:space="preserve"> including</w:t>
      </w:r>
      <w:r w:rsidR="00387B45" w:rsidRPr="00D8430A">
        <w:t>—</w:t>
      </w:r>
    </w:p>
    <w:p w:rsidR="0016568A" w:rsidRPr="00D8430A" w:rsidRDefault="0016568A" w:rsidP="00360886">
      <w:pPr>
        <w:pStyle w:val="Quote2"/>
      </w:pPr>
      <w:r w:rsidRPr="00D8430A">
        <w:t xml:space="preserve">(a) </w:t>
      </w:r>
      <w:r w:rsidRPr="00D8430A">
        <w:tab/>
        <w:t>the nature of the offence; and</w:t>
      </w:r>
    </w:p>
    <w:p w:rsidR="0016568A" w:rsidRPr="00D8430A" w:rsidRDefault="0016568A" w:rsidP="00360886">
      <w:pPr>
        <w:pStyle w:val="Quote2"/>
      </w:pPr>
      <w:r w:rsidRPr="00D8430A">
        <w:t>(b)</w:t>
      </w:r>
      <w:r w:rsidRPr="00D8430A">
        <w:tab/>
        <w:t>the</w:t>
      </w:r>
      <w:r w:rsidR="00387B45" w:rsidRPr="00D8430A">
        <w:t xml:space="preserve"> offender’s character and age</w:t>
      </w:r>
      <w:r w:rsidRPr="00D8430A">
        <w:t>; and</w:t>
      </w:r>
    </w:p>
    <w:p w:rsidR="0016568A" w:rsidRPr="00D8430A" w:rsidRDefault="0016568A" w:rsidP="00360886">
      <w:pPr>
        <w:pStyle w:val="Quote2"/>
      </w:pPr>
      <w:r w:rsidRPr="00D8430A">
        <w:t>(c)</w:t>
      </w:r>
      <w:r w:rsidRPr="00D8430A">
        <w:tab/>
        <w:t>the impact th</w:t>
      </w:r>
      <w:r w:rsidR="00387B45" w:rsidRPr="00D8430A">
        <w:t>at</w:t>
      </w:r>
      <w:r w:rsidRPr="00D8430A">
        <w:t xml:space="preserve"> recording </w:t>
      </w:r>
      <w:r w:rsidR="00387B45" w:rsidRPr="00D8430A">
        <w:t xml:space="preserve">a </w:t>
      </w:r>
      <w:r w:rsidRPr="00D8430A">
        <w:t xml:space="preserve">conviction will have on the </w:t>
      </w:r>
      <w:r w:rsidR="00D201A9" w:rsidRPr="00D8430A">
        <w:tab/>
      </w:r>
      <w:r w:rsidR="00D201A9" w:rsidRPr="00D8430A">
        <w:tab/>
      </w:r>
      <w:r w:rsidR="00D201A9" w:rsidRPr="00D8430A">
        <w:tab/>
      </w:r>
      <w:r w:rsidR="00387B45" w:rsidRPr="00D8430A">
        <w:t>offender’s</w:t>
      </w:r>
      <w:r w:rsidRPr="00D8430A">
        <w:t xml:space="preserve"> — </w:t>
      </w:r>
    </w:p>
    <w:p w:rsidR="0016568A" w:rsidRPr="00D8430A" w:rsidRDefault="0016568A" w:rsidP="00360886">
      <w:pPr>
        <w:pStyle w:val="Quote3"/>
      </w:pPr>
      <w:r w:rsidRPr="00D8430A">
        <w:t>(</w:t>
      </w:r>
      <w:proofErr w:type="spellStart"/>
      <w:r w:rsidRPr="00D8430A">
        <w:t>i</w:t>
      </w:r>
      <w:proofErr w:type="spellEnd"/>
      <w:r w:rsidRPr="00D8430A">
        <w:t>)</w:t>
      </w:r>
      <w:r w:rsidRPr="00D8430A">
        <w:tab/>
      </w:r>
      <w:r w:rsidR="00387B45" w:rsidRPr="00D8430A">
        <w:t>economic or social wellbeing</w:t>
      </w:r>
      <w:r w:rsidRPr="00D8430A">
        <w:t>; or</w:t>
      </w:r>
    </w:p>
    <w:p w:rsidR="0016568A" w:rsidRPr="00D8430A" w:rsidRDefault="0016568A" w:rsidP="00360886">
      <w:pPr>
        <w:pStyle w:val="Quote3"/>
      </w:pPr>
      <w:r w:rsidRPr="00D8430A">
        <w:t>(ii)</w:t>
      </w:r>
      <w:r w:rsidRPr="00D8430A">
        <w:tab/>
      </w:r>
      <w:r w:rsidR="00387B45" w:rsidRPr="00D8430A">
        <w:t>chance</w:t>
      </w:r>
      <w:r w:rsidR="00D8430A" w:rsidRPr="00D8430A">
        <w:t>s</w:t>
      </w:r>
      <w:r w:rsidR="00387B45" w:rsidRPr="00D8430A">
        <w:t xml:space="preserve"> of </w:t>
      </w:r>
      <w:r w:rsidRPr="00D8430A">
        <w:t>finding employment.</w:t>
      </w:r>
    </w:p>
    <w:p w:rsidR="00FC0493" w:rsidRPr="00D8430A" w:rsidRDefault="00FC0493" w:rsidP="00D8430A">
      <w:pPr>
        <w:pStyle w:val="Quote1"/>
      </w:pPr>
      <w:r w:rsidRPr="00D8430A">
        <w:t xml:space="preserve">(3) </w:t>
      </w:r>
      <w:r w:rsidRPr="00D8430A">
        <w:tab/>
        <w:t>Except as otherwise expressly provided by this or another Act—</w:t>
      </w:r>
    </w:p>
    <w:p w:rsidR="00FC0493" w:rsidRPr="00D8430A" w:rsidRDefault="00FC0493" w:rsidP="00360886">
      <w:pPr>
        <w:pStyle w:val="Quote2"/>
        <w:ind w:left="2160" w:hanging="720"/>
      </w:pPr>
      <w:r w:rsidRPr="00D8430A">
        <w:t xml:space="preserve">(a) </w:t>
      </w:r>
      <w:r w:rsidRPr="00D8430A">
        <w:tab/>
        <w:t xml:space="preserve">a conviction without recording </w:t>
      </w:r>
      <w:r w:rsidRPr="00D8430A">
        <w:rPr>
          <w:b/>
          <w:bCs/>
          <w:i/>
          <w:iCs/>
        </w:rPr>
        <w:t>the conviction</w:t>
      </w:r>
      <w:r w:rsidRPr="00D8430A">
        <w:t xml:space="preserve"> is taken not to be a conviction f</w:t>
      </w:r>
      <w:r w:rsidR="00C73AE1" w:rsidRPr="00D8430A">
        <w:t xml:space="preserve">or </w:t>
      </w:r>
      <w:r w:rsidRPr="00D8430A">
        <w:t>any purpose;</w:t>
      </w:r>
    </w:p>
    <w:p w:rsidR="00252AE5" w:rsidRPr="00D8430A" w:rsidRDefault="00252AE5" w:rsidP="00360886">
      <w:pPr>
        <w:pStyle w:val="Quote2"/>
        <w:ind w:left="2160" w:hanging="720"/>
        <w:rPr>
          <w:lang w:eastAsia="en-GB"/>
        </w:rPr>
      </w:pPr>
      <w:r w:rsidRPr="00D8430A">
        <w:rPr>
          <w:lang w:eastAsia="en-GB"/>
        </w:rPr>
        <w:t>(b)  </w:t>
      </w:r>
      <w:r w:rsidRPr="00D8430A">
        <w:rPr>
          <w:lang w:eastAsia="en-GB"/>
        </w:rPr>
        <w:tab/>
        <w:t xml:space="preserve">the conviction must not be entered in any records except— </w:t>
      </w:r>
    </w:p>
    <w:p w:rsidR="00252AE5" w:rsidRPr="00D8430A" w:rsidRDefault="00252AE5" w:rsidP="00360886">
      <w:pPr>
        <w:pStyle w:val="Quote3"/>
        <w:ind w:left="2880" w:hanging="720"/>
        <w:rPr>
          <w:lang w:eastAsia="en-GB"/>
        </w:rPr>
      </w:pPr>
      <w:r w:rsidRPr="00D8430A">
        <w:rPr>
          <w:lang w:eastAsia="en-GB"/>
        </w:rPr>
        <w:t>(</w:t>
      </w:r>
      <w:proofErr w:type="spellStart"/>
      <w:r w:rsidRPr="00D8430A">
        <w:rPr>
          <w:lang w:eastAsia="en-GB"/>
        </w:rPr>
        <w:t>i</w:t>
      </w:r>
      <w:proofErr w:type="spellEnd"/>
      <w:r w:rsidRPr="00D8430A">
        <w:rPr>
          <w:lang w:eastAsia="en-GB"/>
        </w:rPr>
        <w:t>)  </w:t>
      </w:r>
      <w:r w:rsidR="00A02C57" w:rsidRPr="00D8430A">
        <w:rPr>
          <w:lang w:eastAsia="en-GB"/>
        </w:rPr>
        <w:tab/>
      </w:r>
      <w:r w:rsidRPr="00D8430A">
        <w:rPr>
          <w:lang w:eastAsia="en-GB"/>
        </w:rPr>
        <w:t xml:space="preserve">in the records of the court before which the offender was convicted; and </w:t>
      </w:r>
    </w:p>
    <w:p w:rsidR="00252AE5" w:rsidRDefault="00252AE5" w:rsidP="00360886">
      <w:pPr>
        <w:pStyle w:val="Quote3"/>
        <w:ind w:left="2880" w:hanging="720"/>
        <w:rPr>
          <w:lang w:eastAsia="en-GB"/>
        </w:rPr>
      </w:pPr>
      <w:r w:rsidRPr="00D8430A">
        <w:rPr>
          <w:lang w:eastAsia="en-GB"/>
        </w:rPr>
        <w:t>(ii)  </w:t>
      </w:r>
      <w:r w:rsidR="00A02C57" w:rsidRPr="00D8430A">
        <w:rPr>
          <w:lang w:eastAsia="en-GB"/>
        </w:rPr>
        <w:tab/>
      </w:r>
      <w:r w:rsidRPr="00D8430A">
        <w:rPr>
          <w:lang w:eastAsia="en-GB"/>
        </w:rPr>
        <w:t>in the offender’s criminal history but only for the purposes of subsection (4)(b).</w:t>
      </w:r>
      <w:r w:rsidRPr="001225F6">
        <w:rPr>
          <w:lang w:eastAsia="en-GB"/>
        </w:rPr>
        <w:t xml:space="preserve"> </w:t>
      </w:r>
    </w:p>
    <w:p w:rsidR="00354186" w:rsidRPr="001225F6" w:rsidRDefault="00354186" w:rsidP="00D8408D">
      <w:pPr>
        <w:pStyle w:val="Quote1"/>
        <w:spacing w:after="300"/>
        <w:rPr>
          <w:lang w:eastAsia="en-GB"/>
        </w:rPr>
      </w:pPr>
      <w:r>
        <w:rPr>
          <w:lang w:eastAsia="en-GB"/>
        </w:rPr>
        <w:t>(Emphasis added)</w:t>
      </w:r>
    </w:p>
    <w:p w:rsidR="0020554C" w:rsidRPr="00D8430A" w:rsidRDefault="0020554C" w:rsidP="00531537">
      <w:pPr>
        <w:pStyle w:val="ParaNumbering"/>
      </w:pPr>
      <w:r w:rsidRPr="00D8430A">
        <w:t xml:space="preserve">The </w:t>
      </w:r>
      <w:r w:rsidRPr="00D8430A">
        <w:rPr>
          <w:i/>
          <w:iCs/>
        </w:rPr>
        <w:t>Youth Justice Act</w:t>
      </w:r>
      <w:r w:rsidRPr="00D8430A">
        <w:t xml:space="preserve"> provides, relevantly:</w:t>
      </w:r>
    </w:p>
    <w:p w:rsidR="0020554C" w:rsidRPr="00D8430A" w:rsidRDefault="0020554C" w:rsidP="00531537">
      <w:pPr>
        <w:pStyle w:val="Quote1"/>
        <w:rPr>
          <w:b/>
        </w:rPr>
      </w:pPr>
      <w:r w:rsidRPr="00D8430A">
        <w:rPr>
          <w:b/>
        </w:rPr>
        <w:t>183</w:t>
      </w:r>
      <w:r w:rsidRPr="00D8430A">
        <w:rPr>
          <w:b/>
        </w:rPr>
        <w:tab/>
        <w:t>Recording of a conviction</w:t>
      </w:r>
    </w:p>
    <w:p w:rsidR="0020554C" w:rsidRPr="00D8430A" w:rsidRDefault="0020554C" w:rsidP="00F5641C">
      <w:pPr>
        <w:pStyle w:val="Quote2"/>
        <w:spacing w:after="0"/>
        <w:ind w:left="2160" w:hanging="720"/>
      </w:pPr>
      <w:r w:rsidRPr="00D8430A">
        <w:t xml:space="preserve">(1) </w:t>
      </w:r>
      <w:r w:rsidR="00BF2E05" w:rsidRPr="00D8430A">
        <w:tab/>
      </w:r>
      <w:r w:rsidRPr="00D8430A">
        <w:t>Other than under this section, a conviction is not to be recorded against a child who is found guilty of an offence</w:t>
      </w:r>
      <w:r w:rsidR="00BF2E05" w:rsidRPr="00D8430A">
        <w:t>.</w:t>
      </w:r>
    </w:p>
    <w:p w:rsidR="00BF2E05" w:rsidRPr="00D8430A" w:rsidRDefault="00BF2E05" w:rsidP="00531537">
      <w:pPr>
        <w:pStyle w:val="Quote2"/>
      </w:pPr>
      <w:r w:rsidRPr="00D8430A">
        <w:t>…</w:t>
      </w:r>
    </w:p>
    <w:p w:rsidR="00BF2E05" w:rsidRPr="00D8430A" w:rsidRDefault="00F732F1" w:rsidP="000C5903">
      <w:pPr>
        <w:pStyle w:val="Quote1"/>
        <w:keepNext/>
        <w:rPr>
          <w:b/>
        </w:rPr>
      </w:pPr>
      <w:r w:rsidRPr="00D8430A">
        <w:rPr>
          <w:b/>
        </w:rPr>
        <w:t>184</w:t>
      </w:r>
      <w:r w:rsidR="00BF2E05" w:rsidRPr="00D8430A">
        <w:rPr>
          <w:b/>
        </w:rPr>
        <w:tab/>
        <w:t>Considerations whether or not to record conviction</w:t>
      </w:r>
    </w:p>
    <w:p w:rsidR="00A02C57" w:rsidRPr="00D8430A" w:rsidRDefault="006C40C8" w:rsidP="00531537">
      <w:pPr>
        <w:pStyle w:val="Quote2"/>
        <w:ind w:left="2160" w:hanging="720"/>
      </w:pPr>
      <w:r w:rsidRPr="00D8430A">
        <w:t>(1)</w:t>
      </w:r>
      <w:r w:rsidRPr="00D8430A">
        <w:tab/>
        <w:t>In considering whether or not to record a conviction, a court must have regard</w:t>
      </w:r>
      <w:r w:rsidR="00D201A9" w:rsidRPr="00D8430A">
        <w:t xml:space="preserve"> </w:t>
      </w:r>
      <w:r w:rsidRPr="00D8430A">
        <w:t>to all circumstances of the case including</w:t>
      </w:r>
      <w:r w:rsidR="00D201A9" w:rsidRPr="00D8430A">
        <w:t xml:space="preserve"> —</w:t>
      </w:r>
    </w:p>
    <w:p w:rsidR="006A136A" w:rsidRPr="00D8430A" w:rsidRDefault="006A136A" w:rsidP="00360886">
      <w:pPr>
        <w:pStyle w:val="Quote3"/>
        <w:ind w:left="2880" w:hanging="720"/>
      </w:pPr>
      <w:r w:rsidRPr="00D8430A">
        <w:lastRenderedPageBreak/>
        <w:t xml:space="preserve">(a) </w:t>
      </w:r>
      <w:r w:rsidRPr="00D8430A">
        <w:tab/>
        <w:t>the nature of the offence; and</w:t>
      </w:r>
    </w:p>
    <w:p w:rsidR="006A136A" w:rsidRPr="00D8430A" w:rsidRDefault="006A136A" w:rsidP="00360886">
      <w:pPr>
        <w:pStyle w:val="Quote3"/>
        <w:ind w:left="2880" w:hanging="720"/>
      </w:pPr>
      <w:r w:rsidRPr="00D8430A">
        <w:t>(b)</w:t>
      </w:r>
      <w:r w:rsidRPr="00D8430A">
        <w:tab/>
        <w:t>the child’s age and any previous convictions; and</w:t>
      </w:r>
    </w:p>
    <w:p w:rsidR="006A136A" w:rsidRPr="00D8430A" w:rsidRDefault="006A136A" w:rsidP="00360886">
      <w:pPr>
        <w:pStyle w:val="Quote3"/>
        <w:ind w:left="2880" w:hanging="720"/>
      </w:pPr>
      <w:r w:rsidRPr="00D8430A">
        <w:t>(c)</w:t>
      </w:r>
      <w:r w:rsidRPr="00D8430A">
        <w:tab/>
        <w:t xml:space="preserve">the impact </w:t>
      </w:r>
      <w:r w:rsidR="00D8430A" w:rsidRPr="00D8430A">
        <w:t>the recording of a</w:t>
      </w:r>
      <w:r w:rsidR="0021287C" w:rsidRPr="00D8430A">
        <w:t xml:space="preserve"> conviction will have on the child’s chances of—</w:t>
      </w:r>
      <w:r w:rsidRPr="00D8430A">
        <w:t xml:space="preserve"> </w:t>
      </w:r>
    </w:p>
    <w:p w:rsidR="0021287C" w:rsidRPr="00D8430A" w:rsidRDefault="0021287C" w:rsidP="00360886">
      <w:pPr>
        <w:pStyle w:val="Quote4"/>
      </w:pPr>
      <w:r w:rsidRPr="00D8430A">
        <w:t>(</w:t>
      </w:r>
      <w:proofErr w:type="spellStart"/>
      <w:r w:rsidRPr="00D8430A">
        <w:t>i</w:t>
      </w:r>
      <w:proofErr w:type="spellEnd"/>
      <w:r w:rsidRPr="00D8430A">
        <w:t>)</w:t>
      </w:r>
      <w:r w:rsidRPr="00D8430A">
        <w:tab/>
        <w:t>rehabilitation generally; or</w:t>
      </w:r>
    </w:p>
    <w:p w:rsidR="0021287C" w:rsidRPr="00D8430A" w:rsidRDefault="0021287C" w:rsidP="00360886">
      <w:pPr>
        <w:pStyle w:val="Quote4"/>
      </w:pPr>
      <w:r w:rsidRPr="00D8430A">
        <w:t>(ii)</w:t>
      </w:r>
      <w:r w:rsidRPr="00D8430A">
        <w:tab/>
        <w:t>finding or retaining employment.</w:t>
      </w:r>
    </w:p>
    <w:p w:rsidR="00F732F1" w:rsidRPr="00A72810" w:rsidRDefault="00F732F1" w:rsidP="00531537">
      <w:pPr>
        <w:pStyle w:val="Quote2"/>
        <w:ind w:left="2160" w:hanging="720"/>
      </w:pPr>
      <w:r w:rsidRPr="00D8430A">
        <w:t>(2)</w:t>
      </w:r>
      <w:r w:rsidRPr="00D8430A">
        <w:tab/>
        <w:t xml:space="preserve">Except as otherwise provided this or another Act, </w:t>
      </w:r>
      <w:r w:rsidRPr="00D8430A">
        <w:rPr>
          <w:b/>
          <w:bCs/>
          <w:i/>
          <w:iCs/>
        </w:rPr>
        <w:t>a finding of guilt</w:t>
      </w:r>
      <w:r w:rsidRPr="00D8430A">
        <w:t xml:space="preserve"> without the recording of </w:t>
      </w:r>
      <w:r w:rsidR="00BE1E7F" w:rsidRPr="00D8430A">
        <w:t>a</w:t>
      </w:r>
      <w:r w:rsidRPr="00D8430A">
        <w:t xml:space="preserve"> conviction is not taken to be a conviction for any purpose.</w:t>
      </w:r>
    </w:p>
    <w:p w:rsidR="0021287C" w:rsidRPr="00A72810" w:rsidRDefault="0021287C" w:rsidP="00D8408D">
      <w:pPr>
        <w:pStyle w:val="Quote1"/>
        <w:spacing w:after="300"/>
      </w:pPr>
      <w:r w:rsidRPr="00A72810">
        <w:t>(Emphasis added)</w:t>
      </w:r>
    </w:p>
    <w:p w:rsidR="005C1211" w:rsidRPr="004B3D26" w:rsidRDefault="00DB01BA" w:rsidP="00531537">
      <w:pPr>
        <w:pStyle w:val="ParaNumbering"/>
      </w:pPr>
      <w:r>
        <w:t xml:space="preserve">The primary </w:t>
      </w:r>
      <w:r w:rsidR="00DE218C">
        <w:t xml:space="preserve">judge held that the language of s 12(3) of the </w:t>
      </w:r>
      <w:r w:rsidR="00DE218C" w:rsidRPr="007324FB">
        <w:rPr>
          <w:i/>
          <w:lang w:eastAsia="en-AU"/>
        </w:rPr>
        <w:t>Penalties and Sentences Act</w:t>
      </w:r>
      <w:r w:rsidR="00DE218C">
        <w:rPr>
          <w:lang w:eastAsia="en-AU"/>
        </w:rPr>
        <w:t xml:space="preserve"> </w:t>
      </w:r>
      <w:r w:rsidR="00DE218C">
        <w:t xml:space="preserve">was not relevantly distinguishable from the language of s 184(2) of the </w:t>
      </w:r>
      <w:r w:rsidR="00DE218C" w:rsidRPr="00BC7C4E">
        <w:rPr>
          <w:i/>
          <w:iCs/>
        </w:rPr>
        <w:t>Youth Justice Act</w:t>
      </w:r>
      <w:r w:rsidR="00BC7C4E">
        <w:t xml:space="preserve">, the difference being ‘merely that “conviction” in s 12(3) of the </w:t>
      </w:r>
      <w:r w:rsidR="00BC7C4E" w:rsidRPr="004B3D26">
        <w:rPr>
          <w:i/>
          <w:iCs/>
          <w:lang w:eastAsia="en-AU"/>
        </w:rPr>
        <w:t>Penalties and Sentences Act</w:t>
      </w:r>
      <w:r w:rsidR="00BC7C4E">
        <w:rPr>
          <w:iCs/>
          <w:lang w:eastAsia="en-AU"/>
        </w:rPr>
        <w:t xml:space="preserve"> is separately defined, whereas s 184(2)</w:t>
      </w:r>
      <w:r w:rsidR="00BC7C4E" w:rsidRPr="00BC7C4E">
        <w:t xml:space="preserve"> </w:t>
      </w:r>
      <w:r w:rsidR="00BC7C4E">
        <w:t xml:space="preserve">of the </w:t>
      </w:r>
      <w:r w:rsidR="00BC7C4E" w:rsidRPr="004B3D26">
        <w:rPr>
          <w:i/>
        </w:rPr>
        <w:t>Youth Justice Act</w:t>
      </w:r>
      <w:r w:rsidR="00BC7C4E">
        <w:t xml:space="preserve"> is drafted to incorporate a similar </w:t>
      </w:r>
      <w:r w:rsidR="004B3D26">
        <w:t>definition</w:t>
      </w:r>
      <w:r w:rsidR="004D0842">
        <w:t>’</w:t>
      </w:r>
      <w:r w:rsidR="0023329E">
        <w:t xml:space="preserve"> </w:t>
      </w:r>
      <w:r w:rsidR="0023329E" w:rsidRPr="004B3D26">
        <w:t>(</w:t>
      </w:r>
      <w:r w:rsidR="0023329E" w:rsidRPr="004B3D26">
        <w:rPr>
          <w:b/>
          <w:bCs/>
        </w:rPr>
        <w:t>Reasons</w:t>
      </w:r>
      <w:r w:rsidR="0023329E" w:rsidRPr="004B3D26">
        <w:t xml:space="preserve"> at</w:t>
      </w:r>
      <w:r w:rsidR="00670725" w:rsidRPr="004B3D26">
        <w:t xml:space="preserve"> [31]). His Honour concluded</w:t>
      </w:r>
      <w:r w:rsidR="005237D7" w:rsidRPr="004B3D26">
        <w:t>:</w:t>
      </w:r>
    </w:p>
    <w:p w:rsidR="005237D7" w:rsidRPr="004B3D26" w:rsidRDefault="005237D7" w:rsidP="00531537">
      <w:pPr>
        <w:pStyle w:val="Quote1"/>
        <w:ind w:left="1440" w:hanging="703"/>
        <w:rPr>
          <w:lang w:eastAsia="en-AU"/>
        </w:rPr>
      </w:pPr>
      <w:r w:rsidRPr="004B3D26">
        <w:rPr>
          <w:sz w:val="18"/>
          <w:szCs w:val="18"/>
        </w:rPr>
        <w:t>31</w:t>
      </w:r>
      <w:r w:rsidRPr="004B3D26">
        <w:tab/>
      </w:r>
      <w:r w:rsidR="004B3D26" w:rsidRPr="004B3D26">
        <w:t xml:space="preserve">… </w:t>
      </w:r>
      <w:r w:rsidRPr="004B3D26">
        <w:t xml:space="preserve">Like s 12(3) of the </w:t>
      </w:r>
      <w:r w:rsidRPr="004B3D26">
        <w:rPr>
          <w:lang w:eastAsia="en-AU"/>
        </w:rPr>
        <w:t>Penalties and Sentences Act</w:t>
      </w:r>
      <w:r w:rsidR="00E95317" w:rsidRPr="004B3D26">
        <w:rPr>
          <w:lang w:eastAsia="en-AU"/>
        </w:rPr>
        <w:t>, s 184(2) of the Youth Justice Act does not deem a person “never to have been convicted of an offence”. Accordingly, s 85ZR(2) has no application.</w:t>
      </w:r>
    </w:p>
    <w:p w:rsidR="00E95317" w:rsidRPr="00A72810" w:rsidRDefault="00E95317" w:rsidP="00D8408D">
      <w:pPr>
        <w:pStyle w:val="Quote1"/>
        <w:spacing w:after="300"/>
        <w:ind w:left="1440" w:hanging="703"/>
      </w:pPr>
      <w:r w:rsidRPr="004B3D26">
        <w:rPr>
          <w:sz w:val="18"/>
          <w:szCs w:val="18"/>
        </w:rPr>
        <w:t>32</w:t>
      </w:r>
      <w:r w:rsidRPr="004B3D26">
        <w:tab/>
        <w:t xml:space="preserve">It follows that s 12(3) of the </w:t>
      </w:r>
      <w:r w:rsidRPr="004B3D26">
        <w:rPr>
          <w:lang w:eastAsia="en-AU"/>
        </w:rPr>
        <w:t>Penalties and Sentences Act, s 184(2) of the Youth Justice Act</w:t>
      </w:r>
      <w:r w:rsidR="004E3396" w:rsidRPr="004B3D26">
        <w:rPr>
          <w:lang w:eastAsia="en-AU"/>
        </w:rPr>
        <w:t xml:space="preserve"> and s 85ZR(2) of the Crimes Act do not prohibit the Minister from taking into account a finding</w:t>
      </w:r>
      <w:r w:rsidR="00FE2BAF" w:rsidRPr="004B3D26">
        <w:rPr>
          <w:lang w:eastAsia="en-AU"/>
        </w:rPr>
        <w:t xml:space="preserve"> of guilt, or acceptance of a plea of guilty, and </w:t>
      </w:r>
      <w:r w:rsidR="004E3396" w:rsidRPr="004B3D26">
        <w:rPr>
          <w:lang w:eastAsia="en-AU"/>
        </w:rPr>
        <w:t xml:space="preserve"> </w:t>
      </w:r>
      <w:r w:rsidR="00FE2BAF" w:rsidRPr="004B3D26">
        <w:rPr>
          <w:lang w:eastAsia="en-AU"/>
        </w:rPr>
        <w:t>the facts and circumstances of the offence. To the extent that the Minister considered such matters in the exercise of his powers under s 501CA(4) of the Act, the Minister did not take an irrel</w:t>
      </w:r>
      <w:r w:rsidR="00CE5453" w:rsidRPr="004B3D26">
        <w:rPr>
          <w:lang w:eastAsia="en-AU"/>
        </w:rPr>
        <w:t>evant consideration into account.</w:t>
      </w:r>
    </w:p>
    <w:p w:rsidR="001E609A" w:rsidRPr="008924FA" w:rsidRDefault="00706755" w:rsidP="00531537">
      <w:pPr>
        <w:pStyle w:val="ParaNumbering"/>
      </w:pPr>
      <w:r>
        <w:t xml:space="preserve">The question before the primary judge </w:t>
      </w:r>
      <w:r w:rsidR="00D32417">
        <w:t xml:space="preserve">and before this </w:t>
      </w:r>
      <w:r w:rsidR="004D0842">
        <w:t>C</w:t>
      </w:r>
      <w:r w:rsidR="00D32417">
        <w:t xml:space="preserve">ourt </w:t>
      </w:r>
      <w:r w:rsidR="003E0006">
        <w:t>concern</w:t>
      </w:r>
      <w:r w:rsidR="00D32417">
        <w:t>s</w:t>
      </w:r>
      <w:r w:rsidR="003E0006">
        <w:t xml:space="preserve"> a matter of statutory construction.</w:t>
      </w:r>
      <w:r w:rsidR="00FE5323">
        <w:t xml:space="preserve"> T</w:t>
      </w:r>
      <w:r w:rsidR="00FE5323" w:rsidRPr="00FE5323">
        <w:rPr>
          <w:lang w:eastAsia="en-GB"/>
        </w:rPr>
        <w:t xml:space="preserve">he applicable principles, which require consideration of the text, context and purpose, are well established: see, in particular, </w:t>
      </w:r>
      <w:r w:rsidR="00FE5323" w:rsidRPr="004B3D26">
        <w:rPr>
          <w:rFonts w:ascii="TimesNewRomanPS" w:hAnsi="TimesNewRomanPS"/>
          <w:i/>
          <w:iCs/>
          <w:lang w:eastAsia="en-GB"/>
        </w:rPr>
        <w:t xml:space="preserve">Federal Commissioner of Taxation v Consolidated Media Holdings Ltd </w:t>
      </w:r>
      <w:r w:rsidR="00FE5323" w:rsidRPr="004B3D26">
        <w:rPr>
          <w:lang w:eastAsia="en-GB"/>
        </w:rPr>
        <w:t>[2012] HCA 55; 250 CLR 503 at [3</w:t>
      </w:r>
      <w:r w:rsidR="00FE5323" w:rsidRPr="008924FA">
        <w:rPr>
          <w:lang w:eastAsia="en-GB"/>
        </w:rPr>
        <w:t xml:space="preserve">9]; </w:t>
      </w:r>
      <w:r w:rsidR="00FE5323" w:rsidRPr="008924FA">
        <w:rPr>
          <w:rFonts w:ascii="TimesNewRomanPS" w:hAnsi="TimesNewRomanPS"/>
          <w:i/>
          <w:iCs/>
          <w:lang w:eastAsia="en-GB"/>
        </w:rPr>
        <w:t xml:space="preserve">Certain Lloyd’s Underwriters v Cross </w:t>
      </w:r>
      <w:r w:rsidR="00FE5323" w:rsidRPr="008924FA">
        <w:rPr>
          <w:lang w:eastAsia="en-GB"/>
        </w:rPr>
        <w:t xml:space="preserve">[2012] HCA 56; 248 CLR 378 at [25]-[26]; and </w:t>
      </w:r>
      <w:r w:rsidR="00FE5323" w:rsidRPr="008924FA">
        <w:rPr>
          <w:rFonts w:ascii="TimesNewRomanPS" w:hAnsi="TimesNewRomanPS"/>
          <w:i/>
          <w:iCs/>
          <w:lang w:eastAsia="en-GB"/>
        </w:rPr>
        <w:t xml:space="preserve">SZTAL v Minister for Immigration and Border Protection </w:t>
      </w:r>
      <w:r w:rsidR="00FE5323" w:rsidRPr="008924FA">
        <w:rPr>
          <w:lang w:eastAsia="en-GB"/>
        </w:rPr>
        <w:t>[2017] HCA 34; 262 CLR 362 at [14]. Mo</w:t>
      </w:r>
      <w:r w:rsidR="0093219E" w:rsidRPr="008924FA">
        <w:rPr>
          <w:lang w:eastAsia="en-GB"/>
        </w:rPr>
        <w:t>re</w:t>
      </w:r>
      <w:r w:rsidR="00FE5323" w:rsidRPr="008924FA">
        <w:rPr>
          <w:lang w:eastAsia="en-GB"/>
        </w:rPr>
        <w:t xml:space="preserve"> recently, in </w:t>
      </w:r>
      <w:r w:rsidR="00FE5323" w:rsidRPr="008924FA">
        <w:rPr>
          <w:i/>
          <w:iCs/>
          <w:lang w:eastAsia="en-GB"/>
        </w:rPr>
        <w:t>R v A2</w:t>
      </w:r>
      <w:r w:rsidR="003B2BD2" w:rsidRPr="008924FA">
        <w:rPr>
          <w:lang w:eastAsia="en-GB"/>
        </w:rPr>
        <w:t xml:space="preserve"> [2019] HCA 35;</w:t>
      </w:r>
      <w:r w:rsidR="007F0586" w:rsidRPr="008924FA">
        <w:rPr>
          <w:lang w:eastAsia="en-GB"/>
        </w:rPr>
        <w:t xml:space="preserve"> 269 CLR 597, the High Court </w:t>
      </w:r>
      <w:r w:rsidR="0093219E" w:rsidRPr="008924FA">
        <w:rPr>
          <w:lang w:eastAsia="en-GB"/>
        </w:rPr>
        <w:t>h</w:t>
      </w:r>
      <w:r w:rsidR="007F0586" w:rsidRPr="008924FA">
        <w:rPr>
          <w:lang w:eastAsia="en-GB"/>
        </w:rPr>
        <w:t>as reiterated</w:t>
      </w:r>
      <w:r w:rsidR="001E609A" w:rsidRPr="008924FA">
        <w:rPr>
          <w:lang w:eastAsia="en-GB"/>
        </w:rPr>
        <w:t xml:space="preserve">, at [33] per </w:t>
      </w:r>
      <w:proofErr w:type="spellStart"/>
      <w:r w:rsidR="001E609A" w:rsidRPr="008924FA">
        <w:rPr>
          <w:lang w:eastAsia="en-GB"/>
        </w:rPr>
        <w:t>Kiefel</w:t>
      </w:r>
      <w:proofErr w:type="spellEnd"/>
      <w:r w:rsidR="001E609A" w:rsidRPr="008924FA">
        <w:rPr>
          <w:lang w:eastAsia="en-GB"/>
        </w:rPr>
        <w:t xml:space="preserve"> CJ and </w:t>
      </w:r>
      <w:r w:rsidR="0009344C" w:rsidRPr="008924FA">
        <w:rPr>
          <w:lang w:eastAsia="en-GB"/>
        </w:rPr>
        <w:t xml:space="preserve">Keane J </w:t>
      </w:r>
      <w:r w:rsidR="004D0842">
        <w:rPr>
          <w:lang w:eastAsia="en-GB"/>
        </w:rPr>
        <w:t>(</w:t>
      </w:r>
      <w:r w:rsidR="0009344C" w:rsidRPr="008924FA">
        <w:rPr>
          <w:lang w:eastAsia="en-GB"/>
        </w:rPr>
        <w:t>with</w:t>
      </w:r>
      <w:r w:rsidR="007F0586" w:rsidRPr="008924FA">
        <w:rPr>
          <w:lang w:eastAsia="en-GB"/>
        </w:rPr>
        <w:t xml:space="preserve"> </w:t>
      </w:r>
      <w:r w:rsidR="0009344C" w:rsidRPr="008924FA">
        <w:rPr>
          <w:lang w:eastAsia="en-GB"/>
        </w:rPr>
        <w:t xml:space="preserve">whose reasons Nettle and Gordon JJ agreed) </w:t>
      </w:r>
      <w:r w:rsidR="007F0586" w:rsidRPr="008924FA">
        <w:rPr>
          <w:lang w:eastAsia="en-GB"/>
        </w:rPr>
        <w:t>that</w:t>
      </w:r>
      <w:r w:rsidR="001E609A" w:rsidRPr="008924FA">
        <w:rPr>
          <w:lang w:eastAsia="en-GB"/>
        </w:rPr>
        <w:t>:</w:t>
      </w:r>
    </w:p>
    <w:p w:rsidR="00A64F5D" w:rsidRPr="00A72810" w:rsidRDefault="00A64F5D" w:rsidP="00531537">
      <w:pPr>
        <w:pStyle w:val="Quote1"/>
        <w:rPr>
          <w:lang w:eastAsia="en-GB"/>
        </w:rPr>
      </w:pPr>
      <w:r w:rsidRPr="008924FA">
        <w:rPr>
          <w:lang w:eastAsia="en-GB"/>
        </w:rPr>
        <w:t xml:space="preserve">Consideration of the context for the provision is undertaken at the first stage of the process of construction. Context is to be understood in its widest sense. It includes surrounding statutory provisions, what may be drawn from other aspects of the statute and the statute as a whole. It extends to the mischief which it may be seen that the statute is intended to remedy. “Mischief” is an old expression. It may be understood to refer to a state of affairs which to date the law has not addressed. It is in that sense a </w:t>
      </w:r>
      <w:r w:rsidRPr="008924FA">
        <w:rPr>
          <w:lang w:eastAsia="en-GB"/>
        </w:rPr>
        <w:lastRenderedPageBreak/>
        <w:t>defect in the law which is now sought to be remedied. The mischief may point most clearly to what it is that the statute seeks to achieve.</w:t>
      </w:r>
      <w:r w:rsidRPr="00A72810">
        <w:rPr>
          <w:lang w:eastAsia="en-GB"/>
        </w:rPr>
        <w:t xml:space="preserve"> </w:t>
      </w:r>
    </w:p>
    <w:p w:rsidR="00FE5323" w:rsidRPr="00A72810" w:rsidRDefault="00A64F5D" w:rsidP="00D8408D">
      <w:pPr>
        <w:pStyle w:val="Quote1"/>
        <w:spacing w:after="300"/>
        <w:rPr>
          <w:lang w:eastAsia="en-GB"/>
        </w:rPr>
      </w:pPr>
      <w:r w:rsidRPr="00A72810">
        <w:rPr>
          <w:lang w:eastAsia="en-GB"/>
        </w:rPr>
        <w:t>(Footnotes omitted)</w:t>
      </w:r>
    </w:p>
    <w:p w:rsidR="00CE49FD" w:rsidRDefault="00185371" w:rsidP="00531537">
      <w:pPr>
        <w:pStyle w:val="ParaNumbering"/>
      </w:pPr>
      <w:r>
        <w:t xml:space="preserve">Drawing on the surrounding statutory provisions </w:t>
      </w:r>
      <w:r w:rsidR="00503BCA">
        <w:t xml:space="preserve">of both the </w:t>
      </w:r>
      <w:r w:rsidR="00503BCA" w:rsidRPr="00CE49FD">
        <w:rPr>
          <w:i/>
          <w:iCs/>
        </w:rPr>
        <w:t>Youth Justice Act</w:t>
      </w:r>
      <w:r w:rsidR="00503BCA">
        <w:t xml:space="preserve"> and the </w:t>
      </w:r>
      <w:r w:rsidR="00503BCA" w:rsidRPr="00CE49FD">
        <w:rPr>
          <w:i/>
          <w:iCs/>
        </w:rPr>
        <w:t>Crimes Act,</w:t>
      </w:r>
      <w:r w:rsidR="00503BCA">
        <w:t xml:space="preserve"> </w:t>
      </w:r>
      <w:r w:rsidR="0021088C">
        <w:t xml:space="preserve">the mischief to which they were directed, </w:t>
      </w:r>
      <w:r w:rsidR="00503BCA">
        <w:t xml:space="preserve">and their relevance to the </w:t>
      </w:r>
      <w:r w:rsidR="00503BCA" w:rsidRPr="00CE49FD">
        <w:rPr>
          <w:i/>
          <w:iCs/>
        </w:rPr>
        <w:t>Migration Act</w:t>
      </w:r>
      <w:r w:rsidR="00EF515D">
        <w:t xml:space="preserve">, provides the necessary context </w:t>
      </w:r>
      <w:r w:rsidR="0021088C">
        <w:t xml:space="preserve">for the proper construction of </w:t>
      </w:r>
      <w:r w:rsidR="00CE49FD">
        <w:t xml:space="preserve">s 184(2) of the </w:t>
      </w:r>
      <w:r w:rsidR="00CE49FD" w:rsidRPr="00CE49FD">
        <w:rPr>
          <w:i/>
          <w:iCs/>
        </w:rPr>
        <w:t>Youth Justice Act</w:t>
      </w:r>
      <w:r w:rsidR="00CE49FD">
        <w:t>.</w:t>
      </w:r>
    </w:p>
    <w:p w:rsidR="00BE1E7F" w:rsidRDefault="00BE1E7F" w:rsidP="00531537">
      <w:pPr>
        <w:pStyle w:val="ParaNumbering"/>
      </w:pPr>
      <w:r>
        <w:t>Both Mr Thornton and the Minister concentrated their submissions primarily on the textual differences between the rele</w:t>
      </w:r>
      <w:r w:rsidR="00BD6AE1">
        <w:t xml:space="preserve">vant statutory provisions and did not develop </w:t>
      </w:r>
      <w:r w:rsidR="00431055">
        <w:t xml:space="preserve">in any depth </w:t>
      </w:r>
      <w:r w:rsidR="00531EDB">
        <w:t xml:space="preserve">their </w:t>
      </w:r>
      <w:r w:rsidR="00BD6AE1">
        <w:t>submissions</w:t>
      </w:r>
      <w:r w:rsidR="00431055">
        <w:t xml:space="preserve"> </w:t>
      </w:r>
      <w:r w:rsidR="00531EDB">
        <w:t xml:space="preserve">with respect to the context or purpose of s 184(2) of the </w:t>
      </w:r>
      <w:r w:rsidR="00531EDB" w:rsidRPr="00531EDB">
        <w:rPr>
          <w:i/>
          <w:iCs/>
        </w:rPr>
        <w:t>Youth Justice Act</w:t>
      </w:r>
      <w:r w:rsidR="00531EDB">
        <w:t>.</w:t>
      </w:r>
    </w:p>
    <w:p w:rsidR="005057A3" w:rsidRDefault="005057A3" w:rsidP="00531537">
      <w:pPr>
        <w:pStyle w:val="ParaNumbering"/>
      </w:pPr>
      <w:r>
        <w:t xml:space="preserve">Mr Thornton contends that the text and context of the </w:t>
      </w:r>
      <w:r w:rsidRPr="00162B05">
        <w:rPr>
          <w:i/>
          <w:iCs/>
        </w:rPr>
        <w:t>Youth Justice Act</w:t>
      </w:r>
      <w:r>
        <w:t xml:space="preserve"> indicate that, unlike the position for adult offenders, it was the intention of the Queensland Parliament that child offenders should, as a rule, be treated as if they have never been convicted of an offence. He points to the adoption of the term ‘finding of guilt’ instead of ‘conviction’ in the </w:t>
      </w:r>
      <w:r w:rsidRPr="00162B05">
        <w:rPr>
          <w:i/>
          <w:iCs/>
        </w:rPr>
        <w:t>Youth Justice Act</w:t>
      </w:r>
      <w:r>
        <w:t xml:space="preserve">, and </w:t>
      </w:r>
      <w:r w:rsidRPr="008924FA">
        <w:t>the use of the indefinite article in s 184(2), ‘</w:t>
      </w:r>
      <w:r w:rsidRPr="008924FA">
        <w:rPr>
          <w:u w:val="single"/>
        </w:rPr>
        <w:t>a finding of guilt</w:t>
      </w:r>
      <w:r w:rsidRPr="008924FA">
        <w:t xml:space="preserve"> without the recording of </w:t>
      </w:r>
      <w:r w:rsidRPr="008924FA">
        <w:rPr>
          <w:u w:val="single"/>
        </w:rPr>
        <w:t>a</w:t>
      </w:r>
      <w:r w:rsidRPr="008924FA">
        <w:t xml:space="preserve"> conviction’</w:t>
      </w:r>
      <w:r>
        <w:t>, as evi</w:t>
      </w:r>
      <w:r w:rsidR="008526CB">
        <w:t>ncing</w:t>
      </w:r>
      <w:r>
        <w:t xml:space="preserve"> an intention not to treat a finding of guilt against a child as a conviction unless</w:t>
      </w:r>
      <w:r w:rsidR="008526CB">
        <w:t>,</w:t>
      </w:r>
      <w:r>
        <w:t xml:space="preserve"> exceptionally, the conviction is recorded. </w:t>
      </w:r>
      <w:r w:rsidR="00A61039">
        <w:t>A further matter tending to support</w:t>
      </w:r>
      <w:r w:rsidR="003D68F5">
        <w:t xml:space="preserve"> the conclusion that s 184(2) </w:t>
      </w:r>
      <w:r w:rsidR="00826BEA" w:rsidRPr="00826BEA">
        <w:rPr>
          <w:i/>
          <w:iCs/>
        </w:rPr>
        <w:t>Youth Justice Act</w:t>
      </w:r>
      <w:r w:rsidR="00826BEA">
        <w:t xml:space="preserve"> </w:t>
      </w:r>
      <w:r w:rsidR="003D68F5">
        <w:t>was intended to operate differently from s 12(3)</w:t>
      </w:r>
      <w:r w:rsidR="00F57A80">
        <w:t xml:space="preserve"> </w:t>
      </w:r>
      <w:r w:rsidR="00826BEA">
        <w:t xml:space="preserve">of the </w:t>
      </w:r>
      <w:r w:rsidR="00826BEA" w:rsidRPr="00826BEA">
        <w:rPr>
          <w:i/>
          <w:iCs/>
        </w:rPr>
        <w:t>Penalties and Sentences Act</w:t>
      </w:r>
      <w:r w:rsidR="00826BEA">
        <w:t xml:space="preserve"> </w:t>
      </w:r>
      <w:r w:rsidR="00F57A80">
        <w:t xml:space="preserve">is </w:t>
      </w:r>
      <w:r w:rsidR="00F57A80" w:rsidRPr="008924FA">
        <w:t>that s 184(</w:t>
      </w:r>
      <w:r w:rsidR="00323C84" w:rsidRPr="008924FA">
        <w:t>1) and s 12(2) (</w:t>
      </w:r>
      <w:r w:rsidR="00826BEA" w:rsidRPr="008924FA">
        <w:t xml:space="preserve">the factors to be taken into account when considering whether to record a conviction) </w:t>
      </w:r>
      <w:r w:rsidR="00323C84" w:rsidRPr="008924FA">
        <w:t xml:space="preserve">are in virtually identical language. </w:t>
      </w:r>
      <w:r w:rsidR="007534E2" w:rsidRPr="008924FA">
        <w:t xml:space="preserve">Inferentially, a deliberate decision was taken to use the phrase </w:t>
      </w:r>
      <w:r w:rsidR="006F40D3" w:rsidRPr="008924FA">
        <w:t>‘a finding of guilt</w:t>
      </w:r>
      <w:r w:rsidR="009D40D9" w:rsidRPr="008924FA">
        <w:t xml:space="preserve"> without recording a conviction</w:t>
      </w:r>
      <w:r w:rsidR="006F40D3" w:rsidRPr="008924FA">
        <w:t xml:space="preserve">’ in s 184(2) rather than </w:t>
      </w:r>
      <w:r w:rsidR="009D40D9" w:rsidRPr="008924FA">
        <w:t xml:space="preserve">‘a conviction without recording </w:t>
      </w:r>
      <w:r w:rsidR="00F12863" w:rsidRPr="008924FA">
        <w:t>the</w:t>
      </w:r>
      <w:r w:rsidR="009D40D9" w:rsidRPr="008924FA">
        <w:t xml:space="preserve"> conviction’</w:t>
      </w:r>
      <w:r w:rsidR="009D40D9">
        <w:t xml:space="preserve"> in s 12(3). </w:t>
      </w:r>
      <w:r>
        <w:t>It is to be inferred that, in using different language, Parliament intended the language to bear a different meaning particularly in circumstance</w:t>
      </w:r>
      <w:r w:rsidR="00ED264D">
        <w:t>s</w:t>
      </w:r>
      <w:r>
        <w:t xml:space="preserve"> where both statutes were passed in the same </w:t>
      </w:r>
      <w:r w:rsidR="004D0842">
        <w:t>p</w:t>
      </w:r>
      <w:r>
        <w:t>arliamentary term.</w:t>
      </w:r>
    </w:p>
    <w:p w:rsidR="005057A3" w:rsidRPr="008924FA" w:rsidRDefault="005057A3" w:rsidP="00531537">
      <w:pPr>
        <w:pStyle w:val="ParaNumbering"/>
      </w:pPr>
      <w:r w:rsidRPr="008924FA">
        <w:t xml:space="preserve">Further, Mr Thornton points to the contextual fact that while the </w:t>
      </w:r>
      <w:r w:rsidRPr="008924FA">
        <w:rPr>
          <w:i/>
          <w:iCs/>
        </w:rPr>
        <w:t>Penalties and Sentences Act</w:t>
      </w:r>
      <w:r w:rsidRPr="008924FA">
        <w:t xml:space="preserve"> provides specifically for a ‘conviction without recording the conviction’ to be entered in the record for certain purposes (s 12(3)(b))</w:t>
      </w:r>
      <w:r w:rsidR="008924FA" w:rsidRPr="008924FA">
        <w:t>, t</w:t>
      </w:r>
      <w:r w:rsidRPr="008924FA">
        <w:t xml:space="preserve">he </w:t>
      </w:r>
      <w:r w:rsidRPr="008924FA">
        <w:rPr>
          <w:i/>
          <w:iCs/>
        </w:rPr>
        <w:t>Youth Justice Act</w:t>
      </w:r>
      <w:r w:rsidRPr="008924FA">
        <w:t xml:space="preserve"> restricts any finding of guilt to the child’s criminal history as it is relevant to subsequent sentencing </w:t>
      </w:r>
      <w:r w:rsidRPr="008924FA">
        <w:rPr>
          <w:i/>
          <w:iCs/>
        </w:rPr>
        <w:t>as a child</w:t>
      </w:r>
      <w:r w:rsidRPr="008924FA">
        <w:t xml:space="preserve"> but otherwise contains no similar authorisation to record, or use, a ‘finding of guilt’ for any purpose other than to ‘stop’ a subsequent proceeding against the child for the same offence (s 184(3)).</w:t>
      </w:r>
    </w:p>
    <w:p w:rsidR="005057A3" w:rsidRPr="002C256D" w:rsidRDefault="005057A3" w:rsidP="00531537">
      <w:pPr>
        <w:pStyle w:val="ParaNumbering"/>
      </w:pPr>
      <w:r w:rsidRPr="002C256D">
        <w:t>Section 148 of</w:t>
      </w:r>
      <w:r>
        <w:t xml:space="preserve"> the </w:t>
      </w:r>
      <w:r w:rsidRPr="0001293C">
        <w:rPr>
          <w:i/>
          <w:iCs/>
        </w:rPr>
        <w:t>Youth Justice Act</w:t>
      </w:r>
      <w:r>
        <w:t xml:space="preserve"> is said to provide yet further context by providing that if no conviction is recorded, a finding of guilt against a child must not be admitted in subsequent </w:t>
      </w:r>
      <w:r>
        <w:lastRenderedPageBreak/>
        <w:t xml:space="preserve">proceedings against an adult for an offence. The effect of this section is to remove the fact of a finding of guilt as a child from being admissible in proceedings once that child reaches adulthood. This contrasts with the effect of the </w:t>
      </w:r>
      <w:r w:rsidRPr="00A664D7">
        <w:rPr>
          <w:i/>
          <w:iCs/>
        </w:rPr>
        <w:t>Penalties and Sentences Act</w:t>
      </w:r>
      <w:r>
        <w:t xml:space="preserve"> where the fact of the exercise of the discretion not to record a conviction is admissible in any future sentencing </w:t>
      </w:r>
      <w:r w:rsidRPr="002C256D">
        <w:t xml:space="preserve">proceedings. The Queensland Court of Appeal has recently reiterated, in </w:t>
      </w:r>
      <w:r w:rsidRPr="002C256D">
        <w:rPr>
          <w:i/>
          <w:iCs/>
        </w:rPr>
        <w:t xml:space="preserve">R v </w:t>
      </w:r>
      <w:r w:rsidRPr="002C256D">
        <w:rPr>
          <w:b/>
          <w:bCs/>
          <w:i/>
          <w:iCs/>
        </w:rPr>
        <w:t>MDD</w:t>
      </w:r>
      <w:r w:rsidRPr="002C256D">
        <w:rPr>
          <w:i/>
          <w:iCs/>
        </w:rPr>
        <w:t xml:space="preserve"> </w:t>
      </w:r>
      <w:r w:rsidRPr="002C256D">
        <w:t xml:space="preserve">[2021] QCA 235 at [21] per McMurdo JA with Fraser JA agreeing, that the exercise of the discretion as to whether a conviction should be recorded under the </w:t>
      </w:r>
      <w:r w:rsidRPr="002C256D">
        <w:rPr>
          <w:i/>
          <w:iCs/>
        </w:rPr>
        <w:t>Youth Justice Act</w:t>
      </w:r>
      <w:r w:rsidRPr="002C256D">
        <w:t>,</w:t>
      </w:r>
    </w:p>
    <w:p w:rsidR="005057A3" w:rsidRPr="00A72810" w:rsidRDefault="002C256D" w:rsidP="00531537">
      <w:pPr>
        <w:pStyle w:val="Quote1"/>
      </w:pPr>
      <w:r w:rsidRPr="00977D98">
        <w:t>…</w:t>
      </w:r>
      <w:r w:rsidRPr="002C256D">
        <w:t xml:space="preserve"> </w:t>
      </w:r>
      <w:r w:rsidR="005057A3" w:rsidRPr="002C256D">
        <w:t xml:space="preserve">involves a different weighing of considerations from those applying to adult offenders under the </w:t>
      </w:r>
      <w:r w:rsidR="005057A3" w:rsidRPr="002C256D">
        <w:rPr>
          <w:i/>
          <w:iCs/>
        </w:rPr>
        <w:t xml:space="preserve">Penalties and Sentences Act 1992 </w:t>
      </w:r>
      <w:r w:rsidR="005057A3" w:rsidRPr="002C256D">
        <w:t>(Qld). Unlike the decision for adult offenders, s 183 proceeds from the primary position that a conviction is not to be recorded.</w:t>
      </w:r>
    </w:p>
    <w:p w:rsidR="005057A3" w:rsidRPr="002C256D" w:rsidRDefault="005057A3" w:rsidP="00D8408D">
      <w:pPr>
        <w:pStyle w:val="Quote1"/>
        <w:spacing w:after="300"/>
      </w:pPr>
      <w:r w:rsidRPr="002C256D">
        <w:t xml:space="preserve">(Footnotes omitted) </w:t>
      </w:r>
    </w:p>
    <w:p w:rsidR="005057A3" w:rsidRPr="00A72810" w:rsidRDefault="005057A3" w:rsidP="00531537">
      <w:pPr>
        <w:pStyle w:val="ParaNumbering"/>
      </w:pPr>
      <w:r w:rsidRPr="002C256D">
        <w:t xml:space="preserve">As </w:t>
      </w:r>
      <w:proofErr w:type="spellStart"/>
      <w:r w:rsidRPr="002C256D">
        <w:t>Dowsett</w:t>
      </w:r>
      <w:proofErr w:type="spellEnd"/>
      <w:r w:rsidRPr="002C256D">
        <w:t xml:space="preserve"> J observed in </w:t>
      </w:r>
      <w:r w:rsidRPr="002C256D">
        <w:rPr>
          <w:i/>
          <w:iCs/>
        </w:rPr>
        <w:t xml:space="preserve">R v </w:t>
      </w:r>
      <w:proofErr w:type="spellStart"/>
      <w:r w:rsidRPr="002C256D">
        <w:rPr>
          <w:i/>
          <w:iCs/>
        </w:rPr>
        <w:t>Briese</w:t>
      </w:r>
      <w:proofErr w:type="spellEnd"/>
      <w:r w:rsidRPr="002C256D">
        <w:rPr>
          <w:i/>
          <w:iCs/>
        </w:rPr>
        <w:t>; Ex parte Attorney-General (Qld)</w:t>
      </w:r>
      <w:r w:rsidRPr="002C256D">
        <w:t xml:space="preserve"> [1997] QCA 10; [</w:t>
      </w:r>
      <w:r w:rsidR="00ED264D" w:rsidRPr="002C256D">
        <w:t>19</w:t>
      </w:r>
      <w:r w:rsidR="00ED264D">
        <w:t>9</w:t>
      </w:r>
      <w:r w:rsidR="00ED264D" w:rsidRPr="002C256D">
        <w:t>8</w:t>
      </w:r>
      <w:r w:rsidRPr="002C256D">
        <w:t xml:space="preserve">] 1 </w:t>
      </w:r>
      <w:proofErr w:type="spellStart"/>
      <w:r w:rsidRPr="002C256D">
        <w:t>Qd</w:t>
      </w:r>
      <w:proofErr w:type="spellEnd"/>
      <w:r w:rsidRPr="002C256D">
        <w:t xml:space="preserve"> R 487 at 496</w:t>
      </w:r>
      <w:r>
        <w:t xml:space="preserve">, the </w:t>
      </w:r>
      <w:r w:rsidR="00977D98">
        <w:t xml:space="preserve">purpose of recording a conviction is not stated in the </w:t>
      </w:r>
      <w:r w:rsidRPr="00121C08">
        <w:rPr>
          <w:i/>
          <w:iCs/>
        </w:rPr>
        <w:t>Penalties and Sentences Act</w:t>
      </w:r>
      <w:r w:rsidR="00977D98">
        <w:t>.</w:t>
      </w:r>
      <w:r w:rsidR="003B150F">
        <w:t xml:space="preserve"> </w:t>
      </w:r>
      <w:r>
        <w:t xml:space="preserve">He observed that a decision not to record a conviction will seriously limit public access to information in which the public might have a legitimate interest in knowing that a person has been convicted of a certain offence and that ‘generally speaking, </w:t>
      </w:r>
      <w:r w:rsidRPr="00F81572">
        <w:t>the more serious the offence, the greater the legitimate public interest’ in knowing of that offence (at 498).</w:t>
      </w:r>
      <w:r>
        <w:t xml:space="preserve"> </w:t>
      </w:r>
      <w:r w:rsidR="00977D98">
        <w:t xml:space="preserve">Similarly, no purpose of recording a conviction is stated in the </w:t>
      </w:r>
      <w:r w:rsidR="00977D98" w:rsidRPr="00977D98">
        <w:rPr>
          <w:i/>
          <w:iCs/>
        </w:rPr>
        <w:t>Youth Justice Act</w:t>
      </w:r>
      <w:r w:rsidR="00977D98">
        <w:t xml:space="preserve">. </w:t>
      </w:r>
      <w:r>
        <w:t>The Court of Appeal</w:t>
      </w:r>
      <w:r w:rsidR="00D529F9">
        <w:t xml:space="preserve"> </w:t>
      </w:r>
      <w:r w:rsidR="00D529F9" w:rsidRPr="00977D98">
        <w:t xml:space="preserve">in </w:t>
      </w:r>
      <w:r w:rsidR="00D529F9" w:rsidRPr="00977D98">
        <w:rPr>
          <w:i/>
        </w:rPr>
        <w:t>MDD</w:t>
      </w:r>
      <w:r>
        <w:t xml:space="preserve"> accepted that the power to order a conviction for a child offender requires a consideration of the same competing interests to whic</w:t>
      </w:r>
      <w:r w:rsidRPr="00D529F9">
        <w:t xml:space="preserve">h </w:t>
      </w:r>
      <w:proofErr w:type="spellStart"/>
      <w:r w:rsidRPr="00D529F9">
        <w:t>Dowsett</w:t>
      </w:r>
      <w:proofErr w:type="spellEnd"/>
      <w:r w:rsidRPr="00D529F9">
        <w:t xml:space="preserve"> J referred</w:t>
      </w:r>
      <w:r w:rsidR="00D529F9" w:rsidRPr="00D529F9">
        <w:t>,</w:t>
      </w:r>
      <w:r w:rsidRPr="00D529F9">
        <w:t xml:space="preserve"> adding that (</w:t>
      </w:r>
      <w:r w:rsidRPr="00D529F9">
        <w:rPr>
          <w:i/>
          <w:iCs/>
        </w:rPr>
        <w:t>MDD</w:t>
      </w:r>
      <w:r w:rsidRPr="00D529F9">
        <w:t xml:space="preserve"> at [24] per McMurdo JA),</w:t>
      </w:r>
      <w:r w:rsidRPr="00A72810">
        <w:t xml:space="preserve"> </w:t>
      </w:r>
    </w:p>
    <w:p w:rsidR="005057A3" w:rsidRPr="00A72810" w:rsidRDefault="00F81572" w:rsidP="00531537">
      <w:pPr>
        <w:pStyle w:val="Quote1"/>
      </w:pPr>
      <w:r w:rsidRPr="00977D98">
        <w:t xml:space="preserve">… </w:t>
      </w:r>
      <w:r w:rsidR="005057A3" w:rsidRPr="00977D98">
        <w:t>i</w:t>
      </w:r>
      <w:r w:rsidR="005057A3" w:rsidRPr="00D529F9">
        <w:t xml:space="preserve">n the case of child offender, greater weight is given to the interests of the offender. As I said in </w:t>
      </w:r>
      <w:r w:rsidR="005057A3" w:rsidRPr="00D529F9">
        <w:rPr>
          <w:i/>
          <w:iCs/>
        </w:rPr>
        <w:t>R v SCU</w:t>
      </w:r>
      <w:r w:rsidR="005057A3" w:rsidRPr="00D529F9">
        <w:t xml:space="preserve">, by several provisions of the </w:t>
      </w:r>
      <w:r w:rsidR="005057A3" w:rsidRPr="00D529F9">
        <w:rPr>
          <w:i/>
          <w:iCs/>
        </w:rPr>
        <w:t>Youth Justice Act</w:t>
      </w:r>
      <w:r w:rsidR="005057A3" w:rsidRPr="00D529F9">
        <w:t>, the consideration of rehabilitation will be given a priority which it will not always have for an adult offender.</w:t>
      </w:r>
      <w:r w:rsidR="005057A3" w:rsidRPr="00A72810">
        <w:t xml:space="preserve">  </w:t>
      </w:r>
    </w:p>
    <w:p w:rsidR="005057A3" w:rsidRPr="00A72810" w:rsidRDefault="005057A3" w:rsidP="000C5903">
      <w:pPr>
        <w:pStyle w:val="Quote1"/>
        <w:spacing w:after="300"/>
      </w:pPr>
      <w:r w:rsidRPr="00A72810">
        <w:t>(Footnotes omitted)</w:t>
      </w:r>
    </w:p>
    <w:p w:rsidR="003A0A4F" w:rsidRDefault="005057A3" w:rsidP="003A0A4F">
      <w:pPr>
        <w:pStyle w:val="ParaNumbering"/>
      </w:pPr>
      <w:r>
        <w:t xml:space="preserve">The different considerations encompassed by the </w:t>
      </w:r>
      <w:r w:rsidRPr="007F526C">
        <w:rPr>
          <w:i/>
          <w:iCs/>
        </w:rPr>
        <w:t>Penalties and Sentences Act</w:t>
      </w:r>
      <w:r>
        <w:t xml:space="preserve"> on the one hand and the </w:t>
      </w:r>
      <w:r w:rsidRPr="007F526C">
        <w:rPr>
          <w:i/>
          <w:iCs/>
        </w:rPr>
        <w:t>Youth Justice Act</w:t>
      </w:r>
      <w:r>
        <w:t xml:space="preserve"> on the other are also reflected in the r</w:t>
      </w:r>
      <w:r w:rsidRPr="00D529F9">
        <w:t>espective Purposes (s 3) and Objectives (s 2) provisions</w:t>
      </w:r>
      <w:r>
        <w:t xml:space="preserve"> of the Acts. The former is concerned, </w:t>
      </w:r>
      <w:r w:rsidRPr="001506D6">
        <w:rPr>
          <w:i/>
          <w:iCs/>
        </w:rPr>
        <w:t>inter alia</w:t>
      </w:r>
      <w:r>
        <w:t xml:space="preserve">, with ‘providing for a sufficient range of sentences for the appropriate punishment and rehabilitation of offenders, and, in appropriate circumstances, ensuring that protection of the Queensland community is a paramount consideration’. The latter is concerned, </w:t>
      </w:r>
      <w:r w:rsidRPr="001506D6">
        <w:rPr>
          <w:i/>
          <w:iCs/>
        </w:rPr>
        <w:t>inter alia</w:t>
      </w:r>
      <w:r>
        <w:t xml:space="preserve">, with establishing the basis for </w:t>
      </w:r>
      <w:r>
        <w:lastRenderedPageBreak/>
        <w:t xml:space="preserve">administration of juvenile justice and ensuring that children are dealt with according to the principles established under the </w:t>
      </w:r>
      <w:r w:rsidRPr="007F526C">
        <w:rPr>
          <w:i/>
          <w:iCs/>
        </w:rPr>
        <w:t>Youth Justice Act</w:t>
      </w:r>
      <w:r>
        <w:t xml:space="preserve">. </w:t>
      </w:r>
    </w:p>
    <w:p w:rsidR="00736B1C" w:rsidRDefault="005057A3" w:rsidP="003A0A4F">
      <w:pPr>
        <w:pStyle w:val="ParaNumbering"/>
      </w:pPr>
      <w:r w:rsidRPr="00D529F9">
        <w:t>Those principles</w:t>
      </w:r>
      <w:r w:rsidR="00D529F9" w:rsidRPr="00D529F9">
        <w:t>,</w:t>
      </w:r>
      <w:r w:rsidRPr="00D529F9">
        <w:t xml:space="preserve"> </w:t>
      </w:r>
      <w:r w:rsidR="003B150F" w:rsidRPr="00D529F9">
        <w:t xml:space="preserve">contained </w:t>
      </w:r>
      <w:r w:rsidR="00D529F9" w:rsidRPr="00D529F9">
        <w:t xml:space="preserve">in Schedule </w:t>
      </w:r>
      <w:r w:rsidR="00D529F9" w:rsidRPr="00977D98">
        <w:t>1</w:t>
      </w:r>
      <w:r w:rsidR="00D529F9" w:rsidRPr="00D529F9">
        <w:t>,</w:t>
      </w:r>
      <w:r>
        <w:t xml:space="preserve"> emphasise the child-centric approach to juvenile justice and, in particular, include the principle</w:t>
      </w:r>
      <w:r w:rsidR="00D529F9" w:rsidRPr="00977D98">
        <w:t>s</w:t>
      </w:r>
      <w:r>
        <w:t xml:space="preserve"> that a child should be </w:t>
      </w:r>
      <w:r w:rsidRPr="00011AAD">
        <w:t>dealt with ‘in a way that allows the child to be reintegrated into the community</w:t>
      </w:r>
      <w:r w:rsidR="00D529F9" w:rsidRPr="00011AAD">
        <w:t xml:space="preserve">’ </w:t>
      </w:r>
      <w:r w:rsidRPr="008944BA">
        <w:t xml:space="preserve">and </w:t>
      </w:r>
      <w:r w:rsidR="008944BA">
        <w:t>‘</w:t>
      </w:r>
      <w:r w:rsidRPr="008944BA">
        <w:t xml:space="preserve">to continue the child’s education </w:t>
      </w:r>
      <w:r w:rsidRPr="003A0A4F">
        <w:t>training or employment without interruption or disturbance</w:t>
      </w:r>
      <w:r w:rsidR="00ED264D">
        <w:t>,</w:t>
      </w:r>
      <w:r w:rsidRPr="003A0A4F">
        <w:t xml:space="preserve"> if practicable’.</w:t>
      </w:r>
      <w:r w:rsidR="00DD70A0" w:rsidRPr="003A0A4F">
        <w:t xml:space="preserve"> Being a beneficial</w:t>
      </w:r>
      <w:r w:rsidR="00DD70A0">
        <w:t xml:space="preserve"> provision, it is one that is to be interpreted liberally</w:t>
      </w:r>
      <w:r w:rsidR="0094688B">
        <w:t xml:space="preserve"> to take account of and give effect to the purposes of the legislation, </w:t>
      </w:r>
      <w:r w:rsidR="006D74E2">
        <w:t>particularly as it is a provision directed at protecting the rights of a child</w:t>
      </w:r>
      <w:r w:rsidR="0036013A">
        <w:t>. Any ambiguity is to be construed beneficiall</w:t>
      </w:r>
      <w:r w:rsidR="00C507D5">
        <w:t xml:space="preserve">y so as to give the fullest relief which the fair meaning of the language will </w:t>
      </w:r>
      <w:r w:rsidR="00C507D5" w:rsidRPr="001F1772">
        <w:t>allow</w:t>
      </w:r>
      <w:r w:rsidR="0036013A" w:rsidRPr="001F1772">
        <w:t xml:space="preserve">: </w:t>
      </w:r>
      <w:r w:rsidR="003B150F" w:rsidRPr="001F1772">
        <w:t xml:space="preserve"> </w:t>
      </w:r>
      <w:r w:rsidR="00900388" w:rsidRPr="003A0A4F">
        <w:rPr>
          <w:i/>
          <w:iCs/>
        </w:rPr>
        <w:t>Bull v Attorney-General (NSW)</w:t>
      </w:r>
      <w:r w:rsidR="00900388" w:rsidRPr="001F1772">
        <w:t xml:space="preserve"> </w:t>
      </w:r>
      <w:r w:rsidR="00011AAD" w:rsidRPr="001F1772">
        <w:t xml:space="preserve">[1913] FCA 60; </w:t>
      </w:r>
      <w:r w:rsidR="00900388" w:rsidRPr="001F1772">
        <w:t>17 CLR 370 at 384</w:t>
      </w:r>
      <w:r w:rsidR="00C507D5" w:rsidRPr="001F1772">
        <w:t xml:space="preserve"> per</w:t>
      </w:r>
      <w:r w:rsidR="004C5944" w:rsidRPr="001F1772">
        <w:t xml:space="preserve"> </w:t>
      </w:r>
      <w:r w:rsidR="00236A15" w:rsidRPr="001F1772">
        <w:t>Isaacs J</w:t>
      </w:r>
      <w:r w:rsidR="00C507D5" w:rsidRPr="001F1772">
        <w:t>.</w:t>
      </w:r>
    </w:p>
    <w:p w:rsidR="00443062" w:rsidRPr="003A0A4F" w:rsidRDefault="00443062" w:rsidP="003A0A4F">
      <w:pPr>
        <w:pStyle w:val="ParaNumbering"/>
      </w:pPr>
      <w:r>
        <w:t>Section 14A</w:t>
      </w:r>
      <w:r w:rsidR="00CC69DE">
        <w:t>(1)</w:t>
      </w:r>
      <w:r>
        <w:t xml:space="preserve"> of the </w:t>
      </w:r>
      <w:r>
        <w:rPr>
          <w:i/>
        </w:rPr>
        <w:t xml:space="preserve">Acts Interpretation Act 1954 </w:t>
      </w:r>
      <w:r>
        <w:t xml:space="preserve">(Qld) stipulates that, in interpreting a provision of an Act, “the interpretation that will best achieve the purpose of the Act is to be preferred to any other purpose”:  cf. </w:t>
      </w:r>
      <w:r>
        <w:rPr>
          <w:i/>
        </w:rPr>
        <w:t xml:space="preserve">Acts Interpretation Act 1901 </w:t>
      </w:r>
      <w:r>
        <w:t>(</w:t>
      </w:r>
      <w:proofErr w:type="spellStart"/>
      <w:r>
        <w:t>Cth</w:t>
      </w:r>
      <w:proofErr w:type="spellEnd"/>
      <w:r>
        <w:t>), s 15AA</w:t>
      </w:r>
      <w:r w:rsidR="00CC69DE">
        <w:t>, which is in substantially the same terms</w:t>
      </w:r>
      <w:r>
        <w:t>.</w:t>
      </w:r>
    </w:p>
    <w:p w:rsidR="00257978" w:rsidRPr="00257978" w:rsidRDefault="0056656B" w:rsidP="00531537">
      <w:pPr>
        <w:pStyle w:val="ParaNumbering"/>
        <w:rPr>
          <w:sz w:val="22"/>
          <w:szCs w:val="22"/>
        </w:rPr>
      </w:pPr>
      <w:r>
        <w:t xml:space="preserve">The relevant provisions of the </w:t>
      </w:r>
      <w:r w:rsidRPr="00211CE8">
        <w:rPr>
          <w:i/>
          <w:iCs/>
        </w:rPr>
        <w:t>Crimes Act</w:t>
      </w:r>
      <w:r>
        <w:t xml:space="preserve"> are </w:t>
      </w:r>
      <w:r w:rsidRPr="001F1772">
        <w:t xml:space="preserve">found in Part VIIC—Pardons, quashed convictions and spent convictions. </w:t>
      </w:r>
      <w:r w:rsidR="003B150F" w:rsidRPr="001F1772">
        <w:t>Section 85ZR deals with pardons for persons wrongly convicted and provides that:</w:t>
      </w:r>
    </w:p>
    <w:p w:rsidR="0056656B" w:rsidRPr="003A0A4F" w:rsidRDefault="0056656B" w:rsidP="001F1772">
      <w:pPr>
        <w:pStyle w:val="Quote1"/>
        <w:rPr>
          <w:b/>
        </w:rPr>
      </w:pPr>
      <w:r w:rsidRPr="003A0A4F">
        <w:rPr>
          <w:b/>
        </w:rPr>
        <w:t xml:space="preserve">Division 2 – Pardons for persons wrongly convicted and </w:t>
      </w:r>
      <w:r w:rsidR="00ED264D">
        <w:rPr>
          <w:b/>
        </w:rPr>
        <w:t>quashed</w:t>
      </w:r>
      <w:r w:rsidR="00ED264D" w:rsidRPr="003A0A4F">
        <w:rPr>
          <w:b/>
        </w:rPr>
        <w:t xml:space="preserve"> </w:t>
      </w:r>
      <w:r w:rsidRPr="003A0A4F">
        <w:rPr>
          <w:b/>
        </w:rPr>
        <w:t>convictions</w:t>
      </w:r>
    </w:p>
    <w:p w:rsidR="0056656B" w:rsidRPr="003A0A4F" w:rsidRDefault="0056656B" w:rsidP="001F1772">
      <w:pPr>
        <w:pStyle w:val="Quote1"/>
        <w:rPr>
          <w:b/>
        </w:rPr>
      </w:pPr>
      <w:r w:rsidRPr="003A0A4F">
        <w:rPr>
          <w:b/>
        </w:rPr>
        <w:t>85ZR Pardons for persons wrongly convicted</w:t>
      </w:r>
    </w:p>
    <w:p w:rsidR="0056656B" w:rsidRPr="003A0A4F" w:rsidRDefault="0056656B" w:rsidP="00F5641C">
      <w:pPr>
        <w:pStyle w:val="Quote1"/>
        <w:spacing w:after="0"/>
      </w:pPr>
      <w:r w:rsidRPr="003A0A4F">
        <w:t>…</w:t>
      </w:r>
    </w:p>
    <w:p w:rsidR="0056656B" w:rsidRPr="001F1772" w:rsidRDefault="0056656B" w:rsidP="001F1772">
      <w:pPr>
        <w:pStyle w:val="Quote1"/>
        <w:ind w:left="1440" w:hanging="703"/>
        <w:rPr>
          <w:color w:val="000000"/>
        </w:rPr>
      </w:pPr>
      <w:r w:rsidRPr="001F1772">
        <w:rPr>
          <w:color w:val="000000"/>
        </w:rPr>
        <w:t xml:space="preserve">(2)  </w:t>
      </w:r>
      <w:r w:rsidRPr="001F1772">
        <w:rPr>
          <w:color w:val="000000"/>
        </w:rPr>
        <w:tab/>
        <w:t>Despite any other Commonwealth law or any Territory law, where, under a State law or a foreign law a person is, in particular circumstances or for a particular purpose, to be taken never to have been convicted of an offence under a law of that State or foreign country:</w:t>
      </w:r>
    </w:p>
    <w:p w:rsidR="0056656B" w:rsidRPr="001F1772" w:rsidRDefault="0056656B" w:rsidP="00360886">
      <w:pPr>
        <w:pStyle w:val="Quote2"/>
        <w:ind w:left="2160" w:hanging="720"/>
      </w:pPr>
      <w:r w:rsidRPr="001F1772">
        <w:t xml:space="preserve">(a)  </w:t>
      </w:r>
      <w:r w:rsidRPr="001F1772">
        <w:tab/>
        <w:t>the person shall be taken, in any Territory, in corresponding circumstances or for a corresponding purpose, never to have been convicted of that offence; and</w:t>
      </w:r>
    </w:p>
    <w:p w:rsidR="0056656B" w:rsidRPr="00824638" w:rsidRDefault="0056656B" w:rsidP="00360886">
      <w:pPr>
        <w:pStyle w:val="Quote2"/>
        <w:ind w:left="2160" w:hanging="720"/>
      </w:pPr>
      <w:r w:rsidRPr="001F1772">
        <w:t xml:space="preserve">(b)  </w:t>
      </w:r>
      <w:r w:rsidRPr="001F1772">
        <w:tab/>
        <w:t>the person shall be taken, in any State or foreign country, in corresponding circumstances or for a corresponding purpose, by any Commonwealth authority in that State or country, never to have been convicted of that offence.</w:t>
      </w:r>
    </w:p>
    <w:p w:rsidR="000D7BE2" w:rsidRPr="00036066" w:rsidRDefault="0056656B" w:rsidP="00D8408D">
      <w:pPr>
        <w:pStyle w:val="Quote1"/>
        <w:spacing w:after="300"/>
      </w:pPr>
      <w:r w:rsidRPr="003A0A4F">
        <w:t>…</w:t>
      </w:r>
    </w:p>
    <w:p w:rsidR="00F5641C" w:rsidRDefault="00F5641C">
      <w:pPr>
        <w:spacing w:line="240" w:lineRule="auto"/>
        <w:jc w:val="left"/>
      </w:pPr>
      <w:r>
        <w:br w:type="page"/>
      </w:r>
    </w:p>
    <w:p w:rsidR="007711CA" w:rsidRPr="005F425B" w:rsidRDefault="000D7BE2" w:rsidP="001F1772">
      <w:pPr>
        <w:pStyle w:val="ParaNumbering"/>
        <w:rPr>
          <w:sz w:val="22"/>
          <w:szCs w:val="22"/>
        </w:rPr>
      </w:pPr>
      <w:r w:rsidRPr="001F1772">
        <w:lastRenderedPageBreak/>
        <w:t xml:space="preserve">Mr Thornton submits that the true construction of the combined effect of </w:t>
      </w:r>
      <w:proofErr w:type="spellStart"/>
      <w:r w:rsidRPr="001F1772">
        <w:t>ss</w:t>
      </w:r>
      <w:proofErr w:type="spellEnd"/>
      <w:r w:rsidRPr="001F1772">
        <w:t xml:space="preserve"> 148 and 184 of the </w:t>
      </w:r>
      <w:r w:rsidRPr="001F1772">
        <w:rPr>
          <w:i/>
          <w:iCs/>
        </w:rPr>
        <w:t>Youth Justice Act</w:t>
      </w:r>
      <w:r w:rsidRPr="001F1772">
        <w:t xml:space="preserve"> is that it is </w:t>
      </w:r>
      <w:r w:rsidR="00433BE6">
        <w:t>s</w:t>
      </w:r>
      <w:r w:rsidRPr="001F1772">
        <w:t>tate legislation that operates in the way contemplated by s</w:t>
      </w:r>
      <w:r w:rsidR="00F3179F" w:rsidRPr="001F1772">
        <w:t> </w:t>
      </w:r>
      <w:r w:rsidRPr="001F1772">
        <w:t>85ZR(2)</w:t>
      </w:r>
      <w:r>
        <w:t xml:space="preserve"> of the </w:t>
      </w:r>
      <w:r w:rsidRPr="00C90E27">
        <w:rPr>
          <w:i/>
          <w:iCs/>
        </w:rPr>
        <w:t>Crimes Act.</w:t>
      </w:r>
      <w:r>
        <w:t xml:space="preserve"> Mr Thornton’s submission must be accepted. </w:t>
      </w:r>
      <w:r w:rsidR="009D50A6">
        <w:t xml:space="preserve">It is tolerably clear that the </w:t>
      </w:r>
      <w:r w:rsidR="009D50A6" w:rsidRPr="00037AB8">
        <w:rPr>
          <w:i/>
          <w:iCs/>
        </w:rPr>
        <w:t>Penalties and Sentences Act</w:t>
      </w:r>
      <w:r w:rsidR="009D50A6">
        <w:t xml:space="preserve"> and the </w:t>
      </w:r>
      <w:r w:rsidR="009D50A6" w:rsidRPr="00037AB8">
        <w:rPr>
          <w:i/>
          <w:iCs/>
        </w:rPr>
        <w:t>Youth Justice Act</w:t>
      </w:r>
      <w:r w:rsidR="009D50A6">
        <w:t xml:space="preserve"> are directed at addressing different mischiefs. </w:t>
      </w:r>
      <w:r w:rsidR="009D50A6" w:rsidRPr="001F1772">
        <w:t xml:space="preserve">A construction of s 184(2) of the </w:t>
      </w:r>
      <w:r w:rsidR="009D50A6" w:rsidRPr="001F1772">
        <w:rPr>
          <w:i/>
          <w:iCs/>
        </w:rPr>
        <w:t>Youth</w:t>
      </w:r>
      <w:r w:rsidR="009D50A6" w:rsidRPr="00037AB8">
        <w:rPr>
          <w:i/>
          <w:iCs/>
        </w:rPr>
        <w:t xml:space="preserve"> Justice Act</w:t>
      </w:r>
      <w:r w:rsidR="009D50A6">
        <w:t xml:space="preserve"> that removes or disregards a finding of guilt against a child in circumstances where a conviction has not been recorded is consistent with the mischief sought to be addressed by that Act.</w:t>
      </w:r>
    </w:p>
    <w:p w:rsidR="00FC2A05" w:rsidRPr="001F1772" w:rsidRDefault="00FC2A05" w:rsidP="00531537">
      <w:pPr>
        <w:pStyle w:val="ParaNumbering"/>
      </w:pPr>
      <w:r w:rsidRPr="001F1772">
        <w:t xml:space="preserve">It is </w:t>
      </w:r>
      <w:r w:rsidR="00646955" w:rsidRPr="001F1772">
        <w:t xml:space="preserve">also </w:t>
      </w:r>
      <w:r w:rsidR="00F94D54" w:rsidRPr="001F1772">
        <w:t>consistent with the ‘particular</w:t>
      </w:r>
      <w:r w:rsidR="00B9380F" w:rsidRPr="001F1772">
        <w:t>’ purpose referred to in</w:t>
      </w:r>
      <w:r w:rsidR="00664D86" w:rsidRPr="001F1772">
        <w:t xml:space="preserve"> </w:t>
      </w:r>
      <w:r w:rsidR="00B9380F" w:rsidRPr="001F1772">
        <w:t xml:space="preserve">s 85ZR(2) being that a finding of guilt on the part of a child </w:t>
      </w:r>
      <w:r w:rsidR="007D3A52" w:rsidRPr="001F1772">
        <w:t xml:space="preserve">is only to be taken as a conviction as provided for by the </w:t>
      </w:r>
      <w:r w:rsidR="007D3A52" w:rsidRPr="001F1772">
        <w:rPr>
          <w:i/>
          <w:iCs/>
        </w:rPr>
        <w:t>Youth Justice Act</w:t>
      </w:r>
      <w:r w:rsidR="00823162" w:rsidRPr="001F1772">
        <w:t xml:space="preserve"> or some</w:t>
      </w:r>
      <w:r w:rsidR="003202FD" w:rsidRPr="001F1772">
        <w:t xml:space="preserve"> other</w:t>
      </w:r>
      <w:r w:rsidR="00823162" w:rsidRPr="001F1772">
        <w:t xml:space="preserve"> </w:t>
      </w:r>
      <w:r w:rsidR="00F3179F" w:rsidRPr="001F1772">
        <w:t>Act</w:t>
      </w:r>
      <w:r w:rsidR="007D3A52" w:rsidRPr="001F1772">
        <w:t>. The</w:t>
      </w:r>
      <w:r w:rsidR="003202FD" w:rsidRPr="001F1772">
        <w:t xml:space="preserve"> </w:t>
      </w:r>
      <w:r w:rsidR="00D43DD9" w:rsidRPr="001F1772">
        <w:t xml:space="preserve">Court </w:t>
      </w:r>
      <w:r w:rsidR="00F3179F" w:rsidRPr="001F1772">
        <w:t xml:space="preserve">has </w:t>
      </w:r>
      <w:r w:rsidR="00D43DD9" w:rsidRPr="001F1772">
        <w:t xml:space="preserve">not </w:t>
      </w:r>
      <w:r w:rsidR="00F3179F" w:rsidRPr="001F1772">
        <w:t xml:space="preserve">been </w:t>
      </w:r>
      <w:r w:rsidR="00D43DD9" w:rsidRPr="001F1772">
        <w:t>taken to any other Act which provides for such a finding of guilt to be taken into account in the context of a decision under s</w:t>
      </w:r>
      <w:r w:rsidR="00433BE6">
        <w:t> </w:t>
      </w:r>
      <w:r w:rsidR="00D43DD9" w:rsidRPr="001F1772">
        <w:t>501(</w:t>
      </w:r>
      <w:r w:rsidR="003A0A4F">
        <w:t>CA</w:t>
      </w:r>
      <w:r w:rsidR="00D43DD9" w:rsidRPr="001F1772">
        <w:t>)</w:t>
      </w:r>
      <w:r w:rsidR="003A0A4F">
        <w:t>(4)</w:t>
      </w:r>
      <w:r w:rsidR="00D43DD9" w:rsidRPr="001F1772">
        <w:t xml:space="preserve"> of the </w:t>
      </w:r>
      <w:r w:rsidR="00D43DD9" w:rsidRPr="001F1772">
        <w:rPr>
          <w:i/>
          <w:iCs/>
        </w:rPr>
        <w:t>Migration Act</w:t>
      </w:r>
      <w:r w:rsidR="00D43DD9" w:rsidRPr="001F1772">
        <w:t>.</w:t>
      </w:r>
    </w:p>
    <w:p w:rsidR="000D7BE2" w:rsidRDefault="000D7BE2" w:rsidP="00531537">
      <w:pPr>
        <w:pStyle w:val="ParaNumbering"/>
      </w:pPr>
      <w:r>
        <w:t xml:space="preserve">Although the term ‘pardon’ seems inapposite in the present </w:t>
      </w:r>
      <w:r w:rsidRPr="00371757">
        <w:t xml:space="preserve">context, s 184(2) of the </w:t>
      </w:r>
      <w:r w:rsidRPr="00371757">
        <w:rPr>
          <w:i/>
          <w:iCs/>
        </w:rPr>
        <w:t>Youth Justice Act</w:t>
      </w:r>
      <w:r w:rsidRPr="00371757">
        <w:t xml:space="preserve"> is nevertheless an example of the type of state </w:t>
      </w:r>
      <w:r w:rsidR="00CC69DE" w:rsidRPr="00371757">
        <w:t>legislati</w:t>
      </w:r>
      <w:r w:rsidR="00CC69DE">
        <w:t>ve</w:t>
      </w:r>
      <w:r w:rsidR="00CC69DE" w:rsidRPr="00371757">
        <w:t xml:space="preserve"> </w:t>
      </w:r>
      <w:r w:rsidRPr="00371757">
        <w:t>provision expressly provided for in s 85ZR(2) as one ‘which removes or disregards the conviction altogether’</w:t>
      </w:r>
      <w:r w:rsidR="00F3179F" w:rsidRPr="00371757">
        <w:t xml:space="preserve">, as was said by </w:t>
      </w:r>
      <w:proofErr w:type="spellStart"/>
      <w:r w:rsidR="00F3179F" w:rsidRPr="00371757">
        <w:t>Kiefel</w:t>
      </w:r>
      <w:proofErr w:type="spellEnd"/>
      <w:r w:rsidR="00F3179F" w:rsidRPr="00371757">
        <w:t xml:space="preserve"> J in </w:t>
      </w:r>
      <w:proofErr w:type="spellStart"/>
      <w:r w:rsidRPr="00371757">
        <w:rPr>
          <w:i/>
          <w:iCs/>
        </w:rPr>
        <w:t>Hartwig</w:t>
      </w:r>
      <w:proofErr w:type="spellEnd"/>
      <w:r w:rsidRPr="00371757">
        <w:t xml:space="preserve"> at [11], the effect of </w:t>
      </w:r>
      <w:r w:rsidR="00CC69DE">
        <w:t>which</w:t>
      </w:r>
      <w:r w:rsidRPr="00371757">
        <w:t xml:space="preserve"> ‘as to take away the fact of the conviction, as a pardon might do’ (</w:t>
      </w:r>
      <w:proofErr w:type="spellStart"/>
      <w:r w:rsidRPr="00371757">
        <w:rPr>
          <w:i/>
          <w:iCs/>
        </w:rPr>
        <w:t>Hartwig</w:t>
      </w:r>
      <w:proofErr w:type="spellEnd"/>
      <w:r w:rsidRPr="00371757">
        <w:t xml:space="preserve"> at [8]).</w:t>
      </w:r>
      <w:r>
        <w:t xml:space="preserve"> </w:t>
      </w:r>
      <w:r w:rsidR="00F3179F">
        <w:t>Thus, the effect of s </w:t>
      </w:r>
      <w:r>
        <w:t>85ZR(2) is that Mr Thornton is taken never to have been found guilty of any offence committed as a child</w:t>
      </w:r>
      <w:r w:rsidR="00B46F9E">
        <w:t xml:space="preserve"> </w:t>
      </w:r>
      <w:r w:rsidR="009D1C32">
        <w:t xml:space="preserve">and </w:t>
      </w:r>
      <w:r w:rsidR="00B46F9E">
        <w:t>to prohibit the Minister from taking into account a conviction of a child where there has been an order that no conviction be recorded.</w:t>
      </w:r>
    </w:p>
    <w:p w:rsidR="004C423A" w:rsidRDefault="000D7BE2" w:rsidP="00531537">
      <w:pPr>
        <w:pStyle w:val="ParaNumbering"/>
      </w:pPr>
      <w:r w:rsidRPr="00371757">
        <w:t xml:space="preserve">Before the primary judge, the Minister accepted in oral argument that he had taken into account findings of guilt in respect of offences where a court had ordered that no conviction be recorded (Reasons at [20]). </w:t>
      </w:r>
      <w:r w:rsidR="002C2072" w:rsidRPr="00371757">
        <w:t xml:space="preserve">The fact of </w:t>
      </w:r>
      <w:r w:rsidR="00904754" w:rsidRPr="00371757">
        <w:t xml:space="preserve">the </w:t>
      </w:r>
      <w:r w:rsidR="00353057" w:rsidRPr="00371757">
        <w:t>six</w:t>
      </w:r>
      <w:r w:rsidR="00904754" w:rsidRPr="00371757">
        <w:t xml:space="preserve"> findings of guilt against Mr Thornton when he was a</w:t>
      </w:r>
      <w:r w:rsidR="00904754">
        <w:t xml:space="preserve"> child was </w:t>
      </w:r>
      <w:r w:rsidR="002C2072">
        <w:t>an irrelevant consideration</w:t>
      </w:r>
      <w:r w:rsidR="008605D7">
        <w:t xml:space="preserve">: </w:t>
      </w:r>
      <w:r w:rsidR="008605D7" w:rsidRPr="00371757">
        <w:rPr>
          <w:i/>
          <w:iCs/>
        </w:rPr>
        <w:t>Minister for Aboriginal Affairs v Peko-Wallsend</w:t>
      </w:r>
      <w:r w:rsidR="008605D7" w:rsidRPr="00371757">
        <w:t xml:space="preserve"> (1986) 162 CLR 24</w:t>
      </w:r>
      <w:r w:rsidR="00D44C22" w:rsidRPr="00371757">
        <w:t xml:space="preserve"> at 40</w:t>
      </w:r>
      <w:r w:rsidR="00904754">
        <w:t xml:space="preserve">. </w:t>
      </w:r>
      <w:r w:rsidR="004C423A">
        <w:t>It was an error to take those findings of guilt into account.</w:t>
      </w:r>
      <w:r w:rsidR="00646955">
        <w:t xml:space="preserve"> The Minister conceded that</w:t>
      </w:r>
      <w:r w:rsidR="00D12AB3">
        <w:t>, subject to the question of materiality,</w:t>
      </w:r>
      <w:r w:rsidR="00646955">
        <w:t xml:space="preserve"> </w:t>
      </w:r>
      <w:r w:rsidR="00D12AB3">
        <w:t xml:space="preserve">any such error would be </w:t>
      </w:r>
      <w:r w:rsidR="00F3179F">
        <w:t>jurisdictional</w:t>
      </w:r>
      <w:r w:rsidR="00646955">
        <w:t>.</w:t>
      </w:r>
    </w:p>
    <w:p w:rsidR="00043A30" w:rsidRDefault="00904754" w:rsidP="00531537">
      <w:pPr>
        <w:pStyle w:val="ParaNumbering"/>
      </w:pPr>
      <w:r>
        <w:t>The primary judge ought to have found</w:t>
      </w:r>
      <w:r w:rsidR="001507D7">
        <w:t xml:space="preserve"> that the Minister erred </w:t>
      </w:r>
      <w:r w:rsidR="00A85DEF">
        <w:t xml:space="preserve">in taking </w:t>
      </w:r>
      <w:r w:rsidR="00CC69DE">
        <w:t xml:space="preserve">into account </w:t>
      </w:r>
      <w:r w:rsidR="0004541A">
        <w:t>Mr</w:t>
      </w:r>
      <w:r w:rsidR="00CC69DE">
        <w:t> </w:t>
      </w:r>
      <w:r w:rsidR="0004541A">
        <w:t>Thornton’s criminal history as a juvenile</w:t>
      </w:r>
      <w:r w:rsidR="002C2072">
        <w:t>.</w:t>
      </w:r>
    </w:p>
    <w:p w:rsidR="00F5641C" w:rsidRDefault="00F5641C">
      <w:pPr>
        <w:spacing w:line="240" w:lineRule="auto"/>
        <w:jc w:val="left"/>
        <w:rPr>
          <w:b/>
          <w:i/>
        </w:rPr>
      </w:pPr>
      <w:r>
        <w:br w:type="page"/>
      </w:r>
    </w:p>
    <w:p w:rsidR="00004AC5" w:rsidRPr="004C423A" w:rsidRDefault="00245789" w:rsidP="00531537">
      <w:pPr>
        <w:pStyle w:val="Heading3"/>
      </w:pPr>
      <w:r w:rsidRPr="004C423A">
        <w:lastRenderedPageBreak/>
        <w:t>Was the error m</w:t>
      </w:r>
      <w:r w:rsidR="00004AC5" w:rsidRPr="004C423A">
        <w:t>aterial</w:t>
      </w:r>
      <w:r w:rsidRPr="004C423A">
        <w:t>?</w:t>
      </w:r>
    </w:p>
    <w:p w:rsidR="0078182B" w:rsidRDefault="00245789" w:rsidP="00531537">
      <w:pPr>
        <w:pStyle w:val="ParaNumbering"/>
      </w:pPr>
      <w:r w:rsidRPr="00F20B6C">
        <w:t>In his representations to the Minister, Mr Thornton did not dispute the information in the National Police Certificate dated 23 May 2018</w:t>
      </w:r>
      <w:r>
        <w:t xml:space="preserve">. That certificate included the six offences for which no conviction was recorded when he </w:t>
      </w:r>
      <w:r w:rsidRPr="00F34284">
        <w:t>was aged 16 and 17</w:t>
      </w:r>
      <w:r w:rsidR="004952D7" w:rsidRPr="00F34284">
        <w:t xml:space="preserve"> and detailed offences of going armed to cause fear</w:t>
      </w:r>
      <w:r w:rsidR="00F34284" w:rsidRPr="00F34284">
        <w:t>,</w:t>
      </w:r>
      <w:r w:rsidR="00F40C81" w:rsidRPr="00F34284">
        <w:t xml:space="preserve"> and </w:t>
      </w:r>
      <w:r w:rsidR="004952D7" w:rsidRPr="00F34284">
        <w:t>serious assault</w:t>
      </w:r>
      <w:r w:rsidR="00F40C81" w:rsidRPr="00F34284">
        <w:t>s</w:t>
      </w:r>
      <w:r w:rsidR="004952D7" w:rsidRPr="00F34284">
        <w:t xml:space="preserve"> on police</w:t>
      </w:r>
      <w:r w:rsidR="00F40C81" w:rsidRPr="00F34284">
        <w:t>.</w:t>
      </w:r>
      <w:r>
        <w:t xml:space="preserve"> </w:t>
      </w:r>
      <w:r w:rsidR="00AF4BDA">
        <w:t xml:space="preserve">There is no suggestion on the material that the Minister’s attention was drawn to </w:t>
      </w:r>
      <w:r w:rsidR="00DC349C">
        <w:t xml:space="preserve">s 85ZR(2) of the </w:t>
      </w:r>
      <w:r w:rsidR="00DC349C" w:rsidRPr="00F34284">
        <w:rPr>
          <w:i/>
          <w:iCs/>
        </w:rPr>
        <w:t>Crimes Act</w:t>
      </w:r>
      <w:r w:rsidR="00DC349C" w:rsidRPr="00F34284">
        <w:t>.</w:t>
      </w:r>
      <w:r w:rsidR="00AF4BDA" w:rsidRPr="00F34284">
        <w:t xml:space="preserve"> </w:t>
      </w:r>
      <w:r w:rsidRPr="00F34284">
        <w:t xml:space="preserve">Subsequent to reaching his majority in September of 2014, Mr Thornton was dealt with for two drug offences committed before he turned 18 and </w:t>
      </w:r>
      <w:r w:rsidR="00F3179F" w:rsidRPr="00F34284">
        <w:t xml:space="preserve">again </w:t>
      </w:r>
      <w:r w:rsidRPr="00F34284">
        <w:t>no conviction was recorded.</w:t>
      </w:r>
    </w:p>
    <w:p w:rsidR="00245789" w:rsidRPr="00984120" w:rsidRDefault="00245789" w:rsidP="00531537">
      <w:pPr>
        <w:pStyle w:val="ParaNumbering"/>
      </w:pPr>
      <w:r w:rsidRPr="00F34284">
        <w:t xml:space="preserve">Between January 2015 and February 2018, Mr Thornton had convictions recorded for </w:t>
      </w:r>
      <w:r w:rsidR="00F3179F" w:rsidRPr="00F34284">
        <w:t xml:space="preserve">approximately </w:t>
      </w:r>
      <w:r w:rsidRPr="00F34284">
        <w:t xml:space="preserve">23 offences including various drug offences, contraventions of domestic violence orders, assaulting police, and ultimately, the assault occasioning bodily harm </w:t>
      </w:r>
      <w:r w:rsidRPr="00984120">
        <w:t xml:space="preserve">(domestic violence offence) for which he received a two-year </w:t>
      </w:r>
      <w:r w:rsidR="00F3179F" w:rsidRPr="00984120">
        <w:t xml:space="preserve">period </w:t>
      </w:r>
      <w:r w:rsidRPr="00984120">
        <w:t>of imprisonment.</w:t>
      </w:r>
    </w:p>
    <w:p w:rsidR="00BE6A1D" w:rsidRPr="00984120" w:rsidRDefault="00442BC8" w:rsidP="00531537">
      <w:pPr>
        <w:pStyle w:val="ParaNumbering"/>
      </w:pPr>
      <w:r w:rsidRPr="00984120">
        <w:t xml:space="preserve">Mr Thornton bears the </w:t>
      </w:r>
      <w:r w:rsidR="0035188C" w:rsidRPr="00984120">
        <w:t>onus of establishing that, had the error not been made, it could realistically have resulted in a different decision by the Minister</w:t>
      </w:r>
      <w:r w:rsidR="00DF58E8" w:rsidRPr="00984120">
        <w:t xml:space="preserve">, as stated by the High Court in </w:t>
      </w:r>
      <w:r w:rsidR="00004AC5" w:rsidRPr="00984120">
        <w:rPr>
          <w:i/>
          <w:iCs/>
        </w:rPr>
        <w:t>MZAPC v Minister for Immigration and Border Protection</w:t>
      </w:r>
      <w:r w:rsidR="00004AC5" w:rsidRPr="00984120">
        <w:t xml:space="preserve"> [2021] HCA 17; 390 ALR 590 at [60] per </w:t>
      </w:r>
      <w:proofErr w:type="spellStart"/>
      <w:r w:rsidR="00004AC5" w:rsidRPr="00984120">
        <w:t>Kiefel</w:t>
      </w:r>
      <w:proofErr w:type="spellEnd"/>
      <w:r w:rsidR="00004AC5" w:rsidRPr="00984120">
        <w:t xml:space="preserve"> CJ, </w:t>
      </w:r>
      <w:proofErr w:type="spellStart"/>
      <w:r w:rsidR="00004AC5" w:rsidRPr="00984120">
        <w:t>Gageler</w:t>
      </w:r>
      <w:proofErr w:type="spellEnd"/>
      <w:r w:rsidR="00004AC5" w:rsidRPr="00984120">
        <w:t>, Keane and Gleeson JJ.</w:t>
      </w:r>
    </w:p>
    <w:p w:rsidR="002900DF" w:rsidRPr="00984120" w:rsidRDefault="00F943F8" w:rsidP="00531537">
      <w:pPr>
        <w:pStyle w:val="ParaNumbering"/>
      </w:pPr>
      <w:r w:rsidRPr="00984120">
        <w:t xml:space="preserve">In considering the nature and seriousness </w:t>
      </w:r>
      <w:r w:rsidR="0088687C" w:rsidRPr="00984120">
        <w:t>of Mr Thornton’s criminal conduct, t</w:t>
      </w:r>
      <w:r w:rsidR="00683F7A" w:rsidRPr="00984120">
        <w:t xml:space="preserve">he Minister </w:t>
      </w:r>
      <w:r w:rsidR="002900DF" w:rsidRPr="00984120">
        <w:t>made particular note of his juvenile offences at [28]:</w:t>
      </w:r>
    </w:p>
    <w:p w:rsidR="002900DF" w:rsidRPr="00A72810" w:rsidRDefault="002900DF" w:rsidP="00D8408D">
      <w:pPr>
        <w:pStyle w:val="Quote1"/>
        <w:spacing w:after="300"/>
        <w:ind w:left="1440" w:hanging="703"/>
      </w:pPr>
      <w:r w:rsidRPr="00984120">
        <w:t>28</w:t>
      </w:r>
      <w:r w:rsidR="00366E5A" w:rsidRPr="00984120">
        <w:t>.</w:t>
      </w:r>
      <w:r w:rsidRPr="00984120">
        <w:tab/>
        <w:t>I note the MR THORNTON has a history of mainly drug-related and violent offences since he was 16 years old. Between 2012 and 2014 he appeared in juvenile courts three times and adult courts twice</w:t>
      </w:r>
      <w:r w:rsidR="00956860" w:rsidRPr="00984120">
        <w:t>, for assaults of police and some other offences, without any convictions being recorded</w:t>
      </w:r>
      <w:r w:rsidR="00F535C0" w:rsidRPr="00984120">
        <w:t>, though he was fined and placed on probation.</w:t>
      </w:r>
      <w:r w:rsidR="00F535C0" w:rsidRPr="00A72810">
        <w:t xml:space="preserve"> </w:t>
      </w:r>
    </w:p>
    <w:p w:rsidR="00683F7A" w:rsidRPr="00984120" w:rsidRDefault="00B80803" w:rsidP="00531537">
      <w:pPr>
        <w:pStyle w:val="ParaNumbering"/>
      </w:pPr>
      <w:r w:rsidRPr="00984120">
        <w:t>The Minister</w:t>
      </w:r>
      <w:r w:rsidR="00984120" w:rsidRPr="00984120">
        <w:t xml:space="preserve"> at [30]</w:t>
      </w:r>
      <w:r w:rsidRPr="00984120">
        <w:t xml:space="preserve"> </w:t>
      </w:r>
      <w:r w:rsidR="00683F7A" w:rsidRPr="00984120">
        <w:t>referred to the sentencing remarks</w:t>
      </w:r>
      <w:r w:rsidR="00D5194D" w:rsidRPr="00984120">
        <w:t xml:space="preserve"> of the Magistrate </w:t>
      </w:r>
      <w:r w:rsidR="002F4C02" w:rsidRPr="00984120">
        <w:t>who noted that Mr</w:t>
      </w:r>
      <w:r w:rsidR="00A24A9E">
        <w:t> </w:t>
      </w:r>
      <w:r w:rsidR="002F4C02" w:rsidRPr="00984120">
        <w:t>Thornton had been on bail from earlier domestic violence offences when he assaulted his 19</w:t>
      </w:r>
      <w:r w:rsidR="00892E2B" w:rsidRPr="00984120">
        <w:t>-</w:t>
      </w:r>
      <w:r w:rsidR="002F4C02" w:rsidRPr="00984120">
        <w:t>year</w:t>
      </w:r>
      <w:r w:rsidR="00892E2B" w:rsidRPr="00984120">
        <w:t xml:space="preserve"> </w:t>
      </w:r>
      <w:r w:rsidR="002F4C02" w:rsidRPr="00984120">
        <w:t>old victim</w:t>
      </w:r>
      <w:r w:rsidR="00176EE6" w:rsidRPr="00984120">
        <w:t xml:space="preserve">, breaking her nose. The Magistrate had called </w:t>
      </w:r>
      <w:r w:rsidR="004B261B" w:rsidRPr="00984120">
        <w:t>the offence ‘pretty awful’ and referred to domestic</w:t>
      </w:r>
      <w:r w:rsidR="00B20DBF" w:rsidRPr="00984120">
        <w:t xml:space="preserve"> violence as</w:t>
      </w:r>
      <w:r w:rsidR="002C1040" w:rsidRPr="00984120">
        <w:t xml:space="preserve"> ‘an insidious, prevalent and serious problem in our society’</w:t>
      </w:r>
      <w:r w:rsidR="00374A07" w:rsidRPr="00984120">
        <w:t xml:space="preserve"> (Minister</w:t>
      </w:r>
      <w:r w:rsidR="00372131" w:rsidRPr="00984120">
        <w:t>’s reasons at [30]).</w:t>
      </w:r>
    </w:p>
    <w:p w:rsidR="006C63F3" w:rsidRPr="00984120" w:rsidRDefault="001A1645" w:rsidP="00531537">
      <w:pPr>
        <w:pStyle w:val="ParaNumbering"/>
      </w:pPr>
      <w:r w:rsidRPr="00984120">
        <w:t xml:space="preserve">The Minister </w:t>
      </w:r>
      <w:r w:rsidR="00062AA0" w:rsidRPr="00984120">
        <w:t xml:space="preserve">next referred </w:t>
      </w:r>
      <w:r w:rsidR="00372131" w:rsidRPr="00984120">
        <w:t>Mr Thornt</w:t>
      </w:r>
      <w:r w:rsidR="00263FB6" w:rsidRPr="00984120">
        <w:t>o</w:t>
      </w:r>
      <w:r w:rsidR="00372131" w:rsidRPr="00984120">
        <w:t>n’</w:t>
      </w:r>
      <w:r w:rsidR="00263FB6" w:rsidRPr="00984120">
        <w:t xml:space="preserve">s repeated commission of </w:t>
      </w:r>
      <w:r w:rsidR="0061317D" w:rsidRPr="00984120">
        <w:t>‘</w:t>
      </w:r>
      <w:r w:rsidR="00263FB6" w:rsidRPr="00984120">
        <w:t xml:space="preserve">offences of or related to </w:t>
      </w:r>
      <w:r w:rsidR="000831B3" w:rsidRPr="00984120">
        <w:t xml:space="preserve">domestic </w:t>
      </w:r>
      <w:r w:rsidR="00263FB6" w:rsidRPr="00984120">
        <w:t>violenc</w:t>
      </w:r>
      <w:r w:rsidR="000831B3" w:rsidRPr="00984120">
        <w:t>e</w:t>
      </w:r>
      <w:r w:rsidR="0061317D" w:rsidRPr="00984120">
        <w:t>,</w:t>
      </w:r>
      <w:r w:rsidR="000831B3" w:rsidRPr="00984120">
        <w:t xml:space="preserve"> and other assault </w:t>
      </w:r>
      <w:r w:rsidR="00BB4758" w:rsidRPr="00984120">
        <w:t>offences</w:t>
      </w:r>
      <w:r w:rsidR="0061317D" w:rsidRPr="00984120">
        <w:t>’ which ‘adds more gravity to his offending’</w:t>
      </w:r>
      <w:r w:rsidR="00BB4758" w:rsidRPr="00984120">
        <w:t xml:space="preserve"> </w:t>
      </w:r>
      <w:r w:rsidR="000831B3" w:rsidRPr="00984120">
        <w:t>(Minister’s reasons at [31])</w:t>
      </w:r>
      <w:r w:rsidR="00BB4758" w:rsidRPr="00984120">
        <w:t xml:space="preserve">. </w:t>
      </w:r>
      <w:r w:rsidR="00EA0A33" w:rsidRPr="00984120">
        <w:t xml:space="preserve">From the </w:t>
      </w:r>
      <w:r w:rsidR="00756E47" w:rsidRPr="00984120">
        <w:t>information contained in the National Police Certificate,</w:t>
      </w:r>
      <w:r w:rsidR="00BA203B" w:rsidRPr="00984120">
        <w:t xml:space="preserve"> it would seem that</w:t>
      </w:r>
      <w:r w:rsidR="00756E47" w:rsidRPr="00984120">
        <w:t xml:space="preserve"> </w:t>
      </w:r>
      <w:r w:rsidR="00BA203B" w:rsidRPr="00984120">
        <w:t>t</w:t>
      </w:r>
      <w:r w:rsidR="00BB4758" w:rsidRPr="00984120">
        <w:t xml:space="preserve">he reference to the </w:t>
      </w:r>
      <w:r w:rsidR="009154D0" w:rsidRPr="00984120">
        <w:t xml:space="preserve">‘other assault offences’ </w:t>
      </w:r>
      <w:r w:rsidR="00BA203B" w:rsidRPr="00984120">
        <w:t xml:space="preserve">was </w:t>
      </w:r>
      <w:r w:rsidR="00542CC6" w:rsidRPr="00984120">
        <w:t xml:space="preserve">largely informed by </w:t>
      </w:r>
      <w:r w:rsidR="009154D0" w:rsidRPr="00984120">
        <w:t xml:space="preserve">the </w:t>
      </w:r>
      <w:r w:rsidR="00736B8F" w:rsidRPr="00984120">
        <w:t xml:space="preserve">several </w:t>
      </w:r>
      <w:r w:rsidR="00F9169A" w:rsidRPr="00984120">
        <w:t xml:space="preserve">quite serious assaults </w:t>
      </w:r>
      <w:r w:rsidR="009154D0" w:rsidRPr="00984120">
        <w:t xml:space="preserve">committed </w:t>
      </w:r>
      <w:r w:rsidR="00F9169A" w:rsidRPr="00984120">
        <w:t xml:space="preserve">by Mr Thornton </w:t>
      </w:r>
      <w:r w:rsidR="009154D0" w:rsidRPr="00984120">
        <w:t>as a</w:t>
      </w:r>
      <w:r w:rsidR="00EA0A33" w:rsidRPr="00984120">
        <w:t xml:space="preserve"> child</w:t>
      </w:r>
      <w:r w:rsidR="00F9169A" w:rsidRPr="00984120">
        <w:t xml:space="preserve">. </w:t>
      </w:r>
    </w:p>
    <w:p w:rsidR="0093219E" w:rsidRDefault="00CD3DAC" w:rsidP="00531537">
      <w:pPr>
        <w:pStyle w:val="ParaNumbering"/>
      </w:pPr>
      <w:r>
        <w:lastRenderedPageBreak/>
        <w:t xml:space="preserve">In his summation, the </w:t>
      </w:r>
      <w:r w:rsidR="000831B3">
        <w:t>Minister said</w:t>
      </w:r>
      <w:r w:rsidR="00E46201">
        <w:t>:</w:t>
      </w:r>
    </w:p>
    <w:p w:rsidR="00E46201" w:rsidRPr="00984120" w:rsidRDefault="00BF0D6D" w:rsidP="00531537">
      <w:pPr>
        <w:pStyle w:val="Quote1"/>
        <w:ind w:left="1440" w:hanging="703"/>
      </w:pPr>
      <w:r w:rsidRPr="00984120">
        <w:t>49</w:t>
      </w:r>
      <w:r w:rsidR="00366E5A" w:rsidRPr="00984120">
        <w:t>.</w:t>
      </w:r>
      <w:r w:rsidRPr="00984120">
        <w:tab/>
      </w:r>
      <w:r w:rsidR="00970044" w:rsidRPr="00984120">
        <w:t>…in considering whether I was satisfied that there is another reason why the original decision should be revoked, I gave significant weight to the serious nature of the crimes committed by Mr THORNTON</w:t>
      </w:r>
      <w:r w:rsidR="006643FE" w:rsidRPr="00984120">
        <w:t xml:space="preserve">, that are of a </w:t>
      </w:r>
      <w:r w:rsidR="00C769DE" w:rsidRPr="00984120">
        <w:t xml:space="preserve">violent </w:t>
      </w:r>
      <w:r w:rsidR="006643FE" w:rsidRPr="00984120">
        <w:t>nature.</w:t>
      </w:r>
    </w:p>
    <w:p w:rsidR="006643FE" w:rsidRPr="00984120" w:rsidRDefault="008F3382" w:rsidP="00531537">
      <w:pPr>
        <w:pStyle w:val="Quote1"/>
        <w:ind w:left="1440" w:hanging="703"/>
      </w:pPr>
      <w:r w:rsidRPr="00984120">
        <w:t>5</w:t>
      </w:r>
      <w:r w:rsidR="00580D9B" w:rsidRPr="00984120">
        <w:t>0</w:t>
      </w:r>
      <w:r w:rsidR="00366E5A" w:rsidRPr="00984120">
        <w:t>.</w:t>
      </w:r>
      <w:r w:rsidRPr="00984120">
        <w:tab/>
        <w:t>Further, I find that the Australian community could be exposed to harm should Mr THORNTON reoffend in a similar fashion. I could not rule out the possibility of further offending by Mr THORNTON.</w:t>
      </w:r>
    </w:p>
    <w:p w:rsidR="00580D9B" w:rsidRPr="00984120" w:rsidRDefault="00580D9B" w:rsidP="00531537">
      <w:pPr>
        <w:pStyle w:val="Quote1"/>
        <w:ind w:left="1440" w:hanging="703"/>
      </w:pPr>
      <w:r w:rsidRPr="00984120">
        <w:t>51</w:t>
      </w:r>
      <w:r w:rsidR="00366E5A" w:rsidRPr="00984120">
        <w:t>.</w:t>
      </w:r>
      <w:r w:rsidRPr="00984120">
        <w:tab/>
        <w:t xml:space="preserve">I am cognisant that where harm could be inflicted on the Australian community even other strong countervailing </w:t>
      </w:r>
      <w:r w:rsidR="00E6268E" w:rsidRPr="00984120">
        <w:t xml:space="preserve">considerations may be insufficient for me to revoke the original decision to cancel the visa, even applying a higher tolerance of criminal conduct by Mr THORNTON, than I otherwise would, because he has lived in Australia for most of </w:t>
      </w:r>
      <w:r w:rsidR="005E4B87" w:rsidRPr="00984120">
        <w:t>h</w:t>
      </w:r>
      <w:r w:rsidR="00E6268E" w:rsidRPr="00984120">
        <w:t>is life.</w:t>
      </w:r>
    </w:p>
    <w:p w:rsidR="00E6268E" w:rsidRPr="00A72810" w:rsidRDefault="005E4B87" w:rsidP="00D8408D">
      <w:pPr>
        <w:pStyle w:val="Quote1"/>
        <w:spacing w:after="300"/>
        <w:ind w:left="1440" w:hanging="703"/>
      </w:pPr>
      <w:r w:rsidRPr="00984120">
        <w:t>52</w:t>
      </w:r>
      <w:r w:rsidR="00366E5A" w:rsidRPr="00984120">
        <w:t>.</w:t>
      </w:r>
      <w:r w:rsidRPr="00984120">
        <w:tab/>
        <w:t>In reaching my decision about whether I am satisfied that there is another reason why the original decision should be revoked, I concluded that Mr THORNTON represents an unacceptable risk of harm to the Australian community and that the protection of the Australian community outweighed any other consideration as described above. These include his lengthy residence and bonds, employment and familial</w:t>
      </w:r>
      <w:r w:rsidR="0020710A" w:rsidRPr="00984120">
        <w:t xml:space="preserve"> [ties] to Australia, and the hardship Mr </w:t>
      </w:r>
      <w:r w:rsidR="000C5903" w:rsidRPr="00984120">
        <w:t>THORNTON</w:t>
      </w:r>
      <w:r w:rsidR="000C5903">
        <w:t>, his</w:t>
      </w:r>
      <w:r w:rsidR="0020710A" w:rsidRPr="00984120">
        <w:t xml:space="preserve"> family and social networks will endure in the event the original </w:t>
      </w:r>
      <w:r w:rsidR="00437748" w:rsidRPr="00984120">
        <w:t>decision is not revoked.</w:t>
      </w:r>
    </w:p>
    <w:p w:rsidR="00E46201" w:rsidRDefault="004B1094" w:rsidP="00531537">
      <w:pPr>
        <w:pStyle w:val="ParaNumbering"/>
      </w:pPr>
      <w:r>
        <w:t xml:space="preserve">In my view, there is a </w:t>
      </w:r>
      <w:r w:rsidR="002B1D6B">
        <w:t>realistic possibility that</w:t>
      </w:r>
      <w:r w:rsidR="00DF58E8">
        <w:t>,</w:t>
      </w:r>
      <w:r w:rsidR="00093FAC">
        <w:t xml:space="preserve"> had the </w:t>
      </w:r>
      <w:r w:rsidR="000B086F">
        <w:t>Minister</w:t>
      </w:r>
      <w:r w:rsidR="00093FAC">
        <w:t xml:space="preserve">’s reasoning not been tainted by </w:t>
      </w:r>
      <w:r w:rsidR="00A46AA7">
        <w:t>Mr Thornton’s criminal history as a child,</w:t>
      </w:r>
      <w:r w:rsidR="000B086F">
        <w:t xml:space="preserve"> </w:t>
      </w:r>
      <w:r w:rsidR="00497BD5">
        <w:t xml:space="preserve">a different decision </w:t>
      </w:r>
      <w:r w:rsidR="00A46AA7">
        <w:t xml:space="preserve">could have been made by </w:t>
      </w:r>
      <w:r w:rsidR="00497BD5">
        <w:t>the Minister.</w:t>
      </w:r>
    </w:p>
    <w:p w:rsidR="00BD5DD5" w:rsidRDefault="00BD5DD5" w:rsidP="00531537">
      <w:pPr>
        <w:pStyle w:val="ParaNumbering"/>
      </w:pPr>
      <w:r>
        <w:t xml:space="preserve">Ground 1 </w:t>
      </w:r>
      <w:r w:rsidR="00A97325">
        <w:t>is upheld.</w:t>
      </w:r>
    </w:p>
    <w:p w:rsidR="000C3D2A" w:rsidRDefault="000C3D2A" w:rsidP="00531537">
      <w:pPr>
        <w:pStyle w:val="Heading2"/>
      </w:pPr>
      <w:r>
        <w:t>Grounds 2</w:t>
      </w:r>
      <w:r w:rsidR="00BD5849">
        <w:t>, 3</w:t>
      </w:r>
      <w:r w:rsidR="004F728B">
        <w:t>,</w:t>
      </w:r>
      <w:r>
        <w:t xml:space="preserve"> and </w:t>
      </w:r>
      <w:r w:rsidR="00BD5849">
        <w:t>4</w:t>
      </w:r>
    </w:p>
    <w:p w:rsidR="00D4016B" w:rsidRDefault="002C4610" w:rsidP="00531537">
      <w:pPr>
        <w:pStyle w:val="ParaNumbering"/>
      </w:pPr>
      <w:r>
        <w:t xml:space="preserve">In light of the conclusion </w:t>
      </w:r>
      <w:r w:rsidR="00672179">
        <w:t>that I have reached in relation to Ground 1, it is strictly unnecessary to consider the further grounds of appeal</w:t>
      </w:r>
      <w:r w:rsidR="00D22C8E">
        <w:t>.</w:t>
      </w:r>
      <w:r w:rsidR="00672179">
        <w:t xml:space="preserve"> </w:t>
      </w:r>
      <w:r w:rsidR="00D22C8E">
        <w:t>T</w:t>
      </w:r>
      <w:r w:rsidR="00672179">
        <w:t>hey can</w:t>
      </w:r>
      <w:r w:rsidR="004F728B">
        <w:t>,</w:t>
      </w:r>
      <w:r w:rsidR="004F728B" w:rsidRPr="004F728B">
        <w:t xml:space="preserve"> </w:t>
      </w:r>
      <w:r w:rsidR="004F728B">
        <w:t>however,</w:t>
      </w:r>
      <w:r w:rsidR="00672179">
        <w:t xml:space="preserve"> be dealt with</w:t>
      </w:r>
      <w:r w:rsidR="004F728B">
        <w:t xml:space="preserve"> briefly. </w:t>
      </w:r>
      <w:r w:rsidR="003129DA">
        <w:t>Mr</w:t>
      </w:r>
      <w:r w:rsidR="00CC69DE">
        <w:t> </w:t>
      </w:r>
      <w:r w:rsidR="003129DA">
        <w:t xml:space="preserve">Thornton invited the Court </w:t>
      </w:r>
      <w:r w:rsidR="004F728B">
        <w:t xml:space="preserve">to deal with </w:t>
      </w:r>
      <w:r w:rsidR="00F667F0" w:rsidRPr="004F728B">
        <w:t>Grounds 2</w:t>
      </w:r>
      <w:r w:rsidR="004F728B">
        <w:t>,</w:t>
      </w:r>
      <w:r w:rsidR="00F667F0" w:rsidRPr="004F728B">
        <w:t xml:space="preserve"> </w:t>
      </w:r>
      <w:r w:rsidR="009A7039" w:rsidRPr="004F728B">
        <w:t>3</w:t>
      </w:r>
      <w:r w:rsidR="001725C9">
        <w:t xml:space="preserve">, </w:t>
      </w:r>
      <w:r w:rsidR="004F728B">
        <w:t>and 4 together. He submit</w:t>
      </w:r>
      <w:r w:rsidR="00674B6C">
        <w:t xml:space="preserve">ted that </w:t>
      </w:r>
      <w:r w:rsidR="00C941A3">
        <w:t xml:space="preserve">the same considerations that underpinned Grounds 2 and 3 were relevant to </w:t>
      </w:r>
      <w:r w:rsidR="00674B6C">
        <w:t>Ground 4</w:t>
      </w:r>
      <w:r w:rsidR="00D4016B">
        <w:t>.</w:t>
      </w:r>
      <w:r w:rsidR="00674B6C">
        <w:t xml:space="preserve"> </w:t>
      </w:r>
    </w:p>
    <w:p w:rsidR="00FF3730" w:rsidRDefault="00C14FE7" w:rsidP="00531537">
      <w:pPr>
        <w:pStyle w:val="ParaNumbering"/>
      </w:pPr>
      <w:r>
        <w:t>T</w:t>
      </w:r>
      <w:r w:rsidR="001725C9">
        <w:t xml:space="preserve">he primary judge found, correctly with respect, that </w:t>
      </w:r>
      <w:r w:rsidR="00DC6701">
        <w:t xml:space="preserve">the Minister had not failed to take into account </w:t>
      </w:r>
      <w:r w:rsidR="00EA44A1">
        <w:t xml:space="preserve">that </w:t>
      </w:r>
      <w:r w:rsidR="00DC6701">
        <w:t>a consequence of the decision</w:t>
      </w:r>
      <w:r w:rsidR="00EA44A1">
        <w:t xml:space="preserve"> would be to prevent the sentence being imposed on Mr Thornton from being executed or carried out to its completion</w:t>
      </w:r>
      <w:r w:rsidR="002F21BC">
        <w:t xml:space="preserve">, nor had the Minister failed </w:t>
      </w:r>
      <w:r w:rsidR="00874924">
        <w:t>to consider substantial or significant and clearly articulated claims by Mr Thornton</w:t>
      </w:r>
      <w:r w:rsidR="00B7335C">
        <w:t xml:space="preserve"> relating to the effect of his parole and probation</w:t>
      </w:r>
      <w:r w:rsidR="00FB5F99">
        <w:t xml:space="preserve"> requirements.</w:t>
      </w:r>
      <w:r w:rsidR="00D22C8E">
        <w:t xml:space="preserve"> </w:t>
      </w:r>
      <w:r w:rsidR="00DF58E8">
        <w:t>Both cla</w:t>
      </w:r>
      <w:r w:rsidR="00D8408D">
        <w:t>ims, although significant to Mr </w:t>
      </w:r>
      <w:r w:rsidR="00DF58E8">
        <w:t>Thornton’s position, were not extensive.</w:t>
      </w:r>
    </w:p>
    <w:p w:rsidR="006209C0" w:rsidRDefault="00C41FA7" w:rsidP="00531537">
      <w:pPr>
        <w:pStyle w:val="ParaNumbering"/>
      </w:pPr>
      <w:r>
        <w:lastRenderedPageBreak/>
        <w:t xml:space="preserve">As was observed by </w:t>
      </w:r>
      <w:r w:rsidRPr="00C778B0">
        <w:t>the primary judge, the Minister referred expressly</w:t>
      </w:r>
      <w:r w:rsidR="00525DF8" w:rsidRPr="00C778B0">
        <w:t xml:space="preserve"> to </w:t>
      </w:r>
      <w:r w:rsidR="009E27E6" w:rsidRPr="00C778B0">
        <w:t>the period of probation in [32] of his reasons</w:t>
      </w:r>
      <w:r w:rsidR="00F40EF4" w:rsidRPr="00C778B0">
        <w:t xml:space="preserve"> and</w:t>
      </w:r>
      <w:r w:rsidR="00F0380B" w:rsidRPr="00C778B0">
        <w:t>, at [40]</w:t>
      </w:r>
      <w:r w:rsidR="00A24A9E">
        <w:t>–</w:t>
      </w:r>
      <w:r w:rsidR="00F0380B" w:rsidRPr="00C778B0">
        <w:t>[41]</w:t>
      </w:r>
      <w:r w:rsidR="00AC3647" w:rsidRPr="00C778B0">
        <w:t>,</w:t>
      </w:r>
      <w:r w:rsidR="00F40EF4" w:rsidRPr="00C778B0">
        <w:t xml:space="preserve"> to</w:t>
      </w:r>
      <w:r w:rsidR="00F40EF4">
        <w:t xml:space="preserve"> the </w:t>
      </w:r>
      <w:r w:rsidR="00116649">
        <w:t xml:space="preserve">intent of the </w:t>
      </w:r>
      <w:r w:rsidR="00F0380B">
        <w:t>three</w:t>
      </w:r>
      <w:r w:rsidR="00AC3647">
        <w:t>-</w:t>
      </w:r>
      <w:r w:rsidR="00F0380B">
        <w:t>year parole order</w:t>
      </w:r>
      <w:r w:rsidR="00AC3647">
        <w:t xml:space="preserve">. </w:t>
      </w:r>
      <w:r w:rsidR="00B33A7D">
        <w:t>Contrary to Mr Thornton’s submissions</w:t>
      </w:r>
      <w:r w:rsidR="00C07D39">
        <w:t xml:space="preserve">, the Minister </w:t>
      </w:r>
      <w:r w:rsidR="005056F8">
        <w:t>did grapple with the fact that Mr Thornton would not be unconditionally released into the community an</w:t>
      </w:r>
      <w:r w:rsidR="005A4553">
        <w:t xml:space="preserve">d that the orders had been crafted with the intention of facilitating Mr Thornton’s rehabilitation. </w:t>
      </w:r>
      <w:r w:rsidR="008D029F" w:rsidRPr="00C778B0">
        <w:t>The Minister referred specifically to</w:t>
      </w:r>
      <w:r w:rsidR="00505E45" w:rsidRPr="00C778B0">
        <w:t xml:space="preserve"> Mr Thornton’s requirement to report to a parole officer for three years with regular drug testing</w:t>
      </w:r>
      <w:r w:rsidR="00BB736B" w:rsidRPr="00C778B0">
        <w:t xml:space="preserve">, </w:t>
      </w:r>
      <w:r w:rsidR="00535705" w:rsidRPr="00C778B0">
        <w:t xml:space="preserve">and </w:t>
      </w:r>
      <w:r w:rsidR="00BB736B" w:rsidRPr="00C778B0">
        <w:t xml:space="preserve">his </w:t>
      </w:r>
      <w:r w:rsidR="00071ACA" w:rsidRPr="00C778B0">
        <w:t xml:space="preserve">psychologist’s assessment that </w:t>
      </w:r>
      <w:r w:rsidR="00D07698" w:rsidRPr="00C778B0">
        <w:t>‘if Mr Thornton can abide to the parole condition</w:t>
      </w:r>
      <w:r w:rsidR="00312219" w:rsidRPr="00C778B0">
        <w:t>…his risk of re-offending will be reduced’</w:t>
      </w:r>
      <w:r w:rsidR="00535705" w:rsidRPr="00C778B0">
        <w:t>.</w:t>
      </w:r>
      <w:r w:rsidR="00D004DE" w:rsidRPr="00C778B0">
        <w:t xml:space="preserve"> The</w:t>
      </w:r>
      <w:r w:rsidR="00D004DE">
        <w:t xml:space="preserve"> </w:t>
      </w:r>
      <w:r w:rsidR="00D004DE" w:rsidRPr="00C778B0">
        <w:t xml:space="preserve">Minister </w:t>
      </w:r>
      <w:r w:rsidR="00FC47BB" w:rsidRPr="00C778B0">
        <w:t>discussed the relative difference between avoiding drugs and alcohol within a prison environment</w:t>
      </w:r>
      <w:r w:rsidR="00F4484D" w:rsidRPr="00C778B0">
        <w:t xml:space="preserve"> as compared with the true risk of recidivism in the community. </w:t>
      </w:r>
      <w:r w:rsidR="00CC009F" w:rsidRPr="00C778B0">
        <w:t>He also</w:t>
      </w:r>
      <w:r w:rsidR="004F79A7" w:rsidRPr="00C778B0">
        <w:t xml:space="preserve"> observed that Mr Thornton’s claimed protective factors of employment and family support and been in existence</w:t>
      </w:r>
      <w:r w:rsidR="00902A22" w:rsidRPr="00C778B0">
        <w:t xml:space="preserve"> in the past but</w:t>
      </w:r>
      <w:r w:rsidR="00902A22">
        <w:t xml:space="preserve"> had not prevented his offending.</w:t>
      </w:r>
      <w:r w:rsidR="004F79A7">
        <w:t xml:space="preserve"> </w:t>
      </w:r>
      <w:r w:rsidR="00CC009F">
        <w:t xml:space="preserve">In light </w:t>
      </w:r>
      <w:r w:rsidR="00902A22">
        <w:t>of his consideration of all these matters, t</w:t>
      </w:r>
      <w:r w:rsidR="00F4484D">
        <w:t>he Minister found that</w:t>
      </w:r>
      <w:r w:rsidR="00CC009F">
        <w:t xml:space="preserve"> Mr Thornton</w:t>
      </w:r>
      <w:r w:rsidR="00902A22">
        <w:t xml:space="preserve">’s risk of </w:t>
      </w:r>
      <w:r w:rsidR="001D34B8">
        <w:t>reoffending was lower than it was at the time of his most recent offending,</w:t>
      </w:r>
      <w:r w:rsidR="0077134F">
        <w:t xml:space="preserve"> but</w:t>
      </w:r>
      <w:r w:rsidR="001D34B8">
        <w:t xml:space="preserve"> there was </w:t>
      </w:r>
      <w:r w:rsidR="0077134F">
        <w:t xml:space="preserve">still </w:t>
      </w:r>
      <w:r w:rsidR="001D34B8">
        <w:t>an ongoing risk that Mr Thornton will reoffend and t</w:t>
      </w:r>
      <w:r w:rsidR="006E339F">
        <w:t xml:space="preserve">hat it could result in physical and psychological harm to members of the Australian community. </w:t>
      </w:r>
      <w:r w:rsidR="00DE0B0D">
        <w:t>By contrasting the progress Mr Thornton had made whil</w:t>
      </w:r>
      <w:r w:rsidR="001F19C2">
        <w:t>e in a custodial environment with the pressures of being in the community, the Minister did not limit his consideration of rehabilitation to in-prison rehabilitation, contrary to Mr Thornton’s submissions.</w:t>
      </w:r>
      <w:r w:rsidR="00DF58E8">
        <w:t xml:space="preserve"> No error on the part of the Minister has been established in this respect.</w:t>
      </w:r>
    </w:p>
    <w:p w:rsidR="00086384" w:rsidRPr="00C778B0" w:rsidRDefault="00086384" w:rsidP="00531537">
      <w:pPr>
        <w:pStyle w:val="ParaNumbering"/>
      </w:pPr>
      <w:r>
        <w:t>Mr Thor</w:t>
      </w:r>
      <w:r w:rsidR="00350F67">
        <w:t>n</w:t>
      </w:r>
      <w:r>
        <w:t xml:space="preserve">ton </w:t>
      </w:r>
      <w:r w:rsidR="00350F67">
        <w:t xml:space="preserve">contends </w:t>
      </w:r>
      <w:r w:rsidR="00270DF8">
        <w:t xml:space="preserve">further </w:t>
      </w:r>
      <w:r w:rsidR="00852468">
        <w:t>that the primary judge</w:t>
      </w:r>
      <w:r w:rsidR="00193000">
        <w:t xml:space="preserve"> ought to have found that</w:t>
      </w:r>
      <w:r w:rsidR="0079250F">
        <w:t>,</w:t>
      </w:r>
      <w:r w:rsidR="00193000">
        <w:t xml:space="preserve"> </w:t>
      </w:r>
      <w:r>
        <w:t xml:space="preserve">while the </w:t>
      </w:r>
      <w:r w:rsidR="00E14CE4">
        <w:t>Minister</w:t>
      </w:r>
      <w:r>
        <w:t xml:space="preserve"> considered </w:t>
      </w:r>
      <w:r w:rsidR="00DF58E8">
        <w:t>his</w:t>
      </w:r>
      <w:r w:rsidR="006308B4">
        <w:t xml:space="preserve"> </w:t>
      </w:r>
      <w:r>
        <w:t>subjective intention to rehabilitate himself, the</w:t>
      </w:r>
      <w:r w:rsidR="001C6CAA">
        <w:t xml:space="preserve"> </w:t>
      </w:r>
      <w:r w:rsidR="00E14CE4">
        <w:t>Minister</w:t>
      </w:r>
      <w:r>
        <w:t>’s evaluation of risk was flawed by a failure to objectively consider the rehabilitative effect of the completion of the sentence imposed by the Magistrates Court of Queensland</w:t>
      </w:r>
      <w:r w:rsidR="00E14CE4">
        <w:t xml:space="preserve"> and so was legally </w:t>
      </w:r>
      <w:r w:rsidR="00E14CE4" w:rsidRPr="00C778B0">
        <w:t>unreasonable</w:t>
      </w:r>
      <w:r w:rsidR="001C6CAA" w:rsidRPr="00C778B0">
        <w:t>.</w:t>
      </w:r>
    </w:p>
    <w:p w:rsidR="00096B31" w:rsidRPr="00C778B0" w:rsidRDefault="005B2823" w:rsidP="00531537">
      <w:pPr>
        <w:pStyle w:val="ParaNumbering"/>
      </w:pPr>
      <w:r w:rsidRPr="00C778B0">
        <w:t xml:space="preserve">As was held by the </w:t>
      </w:r>
      <w:r w:rsidR="00541101" w:rsidRPr="00C778B0">
        <w:t xml:space="preserve">primary </w:t>
      </w:r>
      <w:r w:rsidR="00AD1037" w:rsidRPr="00C778B0">
        <w:t>judg</w:t>
      </w:r>
      <w:r w:rsidR="005A2927" w:rsidRPr="00C778B0">
        <w:t>e, this contention cannot be sustained.</w:t>
      </w:r>
      <w:r w:rsidR="00815F00" w:rsidRPr="00C778B0">
        <w:t xml:space="preserve"> At [35]</w:t>
      </w:r>
      <w:r w:rsidR="00A24A9E">
        <w:t>–</w:t>
      </w:r>
      <w:r w:rsidR="00815F00" w:rsidRPr="00C778B0">
        <w:t>[41] of his reasons, the Minister considere</w:t>
      </w:r>
      <w:r w:rsidR="006E57CA" w:rsidRPr="00C778B0">
        <w:t>d Mr Thornton’s representations as to why he would not reoffend if released into the community after serving his</w:t>
      </w:r>
      <w:r w:rsidR="00D438F0" w:rsidRPr="00C778B0">
        <w:t xml:space="preserve"> period of imprisonment. In particular, the Minister </w:t>
      </w:r>
      <w:r w:rsidR="00CC70E1" w:rsidRPr="00C778B0">
        <w:t>referred to Mr Thornton’s representations that</w:t>
      </w:r>
      <w:r w:rsidR="00DF58E8" w:rsidRPr="00C778B0">
        <w:t>,</w:t>
      </w:r>
      <w:r w:rsidR="00CC70E1" w:rsidRPr="00C778B0">
        <w:t xml:space="preserve"> while on bail, he lived with his family, was employed, did not use drugs or alcohol, and ‘</w:t>
      </w:r>
      <w:r w:rsidR="003A18D8" w:rsidRPr="00C778B0">
        <w:t>totally turned his life around’;</w:t>
      </w:r>
      <w:r w:rsidR="007439B8" w:rsidRPr="00C778B0">
        <w:t xml:space="preserve"> he has sought professional assistance;</w:t>
      </w:r>
      <w:r w:rsidR="003A18D8" w:rsidRPr="00C778B0">
        <w:t xml:space="preserve"> his rehabilitative efforts will be </w:t>
      </w:r>
      <w:r w:rsidR="007439B8" w:rsidRPr="00C778B0">
        <w:t xml:space="preserve">supported by his family and monitored by parole officers; </w:t>
      </w:r>
      <w:r w:rsidR="00934314" w:rsidRPr="00C778B0">
        <w:t>he will attend a domestic violence perpetrators program</w:t>
      </w:r>
      <w:r w:rsidR="00AB55F2" w:rsidRPr="00C778B0">
        <w:t xml:space="preserve"> and report to a parole officer for three years with regular drug tests</w:t>
      </w:r>
      <w:r w:rsidR="00917FBB" w:rsidRPr="00C778B0">
        <w:t>.</w:t>
      </w:r>
    </w:p>
    <w:p w:rsidR="00917FBB" w:rsidRDefault="00D643BA" w:rsidP="00531537">
      <w:pPr>
        <w:pStyle w:val="ParaNumbering"/>
      </w:pPr>
      <w:r>
        <w:lastRenderedPageBreak/>
        <w:t>Nevertheless, as was within the Minister’s scope of decisional freedom,</w:t>
      </w:r>
      <w:r w:rsidR="00841A80">
        <w:t xml:space="preserve"> he concluded that there r</w:t>
      </w:r>
      <w:r w:rsidR="00CA2357">
        <w:t>e</w:t>
      </w:r>
      <w:r w:rsidR="00841A80">
        <w:t>mained an ongoing risk</w:t>
      </w:r>
      <w:r w:rsidR="00CA2357">
        <w:t xml:space="preserve"> that Mr Thornton will reoffend, </w:t>
      </w:r>
      <w:r w:rsidR="00841A80">
        <w:t>not</w:t>
      </w:r>
      <w:r w:rsidR="00CA2357">
        <w:t>ing</w:t>
      </w:r>
      <w:r>
        <w:t xml:space="preserve"> that </w:t>
      </w:r>
      <w:r w:rsidR="00CC22C6">
        <w:t xml:space="preserve">avoiding alcohol and drugs was easier in a custodial environment and that </w:t>
      </w:r>
      <w:r w:rsidR="0097647B">
        <w:t>the protective factors of employment and family support had not prevented</w:t>
      </w:r>
      <w:r w:rsidR="00E41F94">
        <w:t xml:space="preserve"> Mr Thornton’s </w:t>
      </w:r>
      <w:r w:rsidR="0040469F">
        <w:t xml:space="preserve">previous </w:t>
      </w:r>
      <w:r w:rsidR="00E41F94">
        <w:t>o</w:t>
      </w:r>
      <w:r w:rsidR="00E41F94" w:rsidRPr="00C778B0">
        <w:t>ffending</w:t>
      </w:r>
      <w:r w:rsidR="0040469F" w:rsidRPr="00C778B0">
        <w:t>.</w:t>
      </w:r>
      <w:r w:rsidR="009E6B85" w:rsidRPr="00C778B0">
        <w:t xml:space="preserve"> As the primary judge held at [58], </w:t>
      </w:r>
      <w:r w:rsidR="007C3219" w:rsidRPr="00C778B0">
        <w:t>t</w:t>
      </w:r>
      <w:r w:rsidR="00CB266C" w:rsidRPr="00C778B0">
        <w:t xml:space="preserve">his conclusion </w:t>
      </w:r>
      <w:r w:rsidR="007C3219" w:rsidRPr="00C778B0">
        <w:t>‘</w:t>
      </w:r>
      <w:r w:rsidR="00CB266C" w:rsidRPr="00C778B0">
        <w:t>was logically and reasonably av</w:t>
      </w:r>
      <w:r w:rsidR="009E6B85" w:rsidRPr="00C778B0">
        <w:t>ailable</w:t>
      </w:r>
      <w:r w:rsidR="007C3219" w:rsidRPr="00C778B0">
        <w:t>, given his history of drug and alcohol addi</w:t>
      </w:r>
      <w:r w:rsidR="00C07B74" w:rsidRPr="00C778B0">
        <w:t>c</w:t>
      </w:r>
      <w:r w:rsidR="007C3219" w:rsidRPr="00C778B0">
        <w:t>tion and his crim</w:t>
      </w:r>
      <w:r w:rsidR="00C07B74" w:rsidRPr="00C778B0">
        <w:t xml:space="preserve">inal record’. </w:t>
      </w:r>
      <w:r w:rsidR="00F71442" w:rsidRPr="00C778B0">
        <w:t>The</w:t>
      </w:r>
      <w:r w:rsidR="00F71442">
        <w:t xml:space="preserve"> Minister found expressly that the ongoing risk was lower than it was at the time of his most recent offending</w:t>
      </w:r>
      <w:r w:rsidR="009868E5">
        <w:t xml:space="preserve"> and t</w:t>
      </w:r>
      <w:r w:rsidR="00F71442">
        <w:t xml:space="preserve">hat finding followed logically from the Minister’s consideration of the rehabilitative measures encompassed by his periods of parole and probation. </w:t>
      </w:r>
      <w:r w:rsidR="00C07B74">
        <w:t>Mr Thornton</w:t>
      </w:r>
      <w:r w:rsidR="00511D00">
        <w:t xml:space="preserve"> cannot demonstrate that there was no evident and intelligible justification for the decision.</w:t>
      </w:r>
    </w:p>
    <w:p w:rsidR="00511D00" w:rsidRDefault="006E00E1" w:rsidP="00531537">
      <w:pPr>
        <w:pStyle w:val="ParaNumbering"/>
      </w:pPr>
      <w:r>
        <w:t>No error on the part of the Minister having been established, Grounds 2, 3, and 4 cannot succeed</w:t>
      </w:r>
      <w:r w:rsidR="00511D00">
        <w:t>.</w:t>
      </w:r>
    </w:p>
    <w:p w:rsidR="00724325" w:rsidRDefault="00724325" w:rsidP="00531537">
      <w:pPr>
        <w:pStyle w:val="Heading2"/>
      </w:pPr>
      <w:r>
        <w:t>Disposition</w:t>
      </w:r>
    </w:p>
    <w:p w:rsidR="00950416" w:rsidRDefault="00724325" w:rsidP="00531537">
      <w:pPr>
        <w:pStyle w:val="ParaNumbering"/>
      </w:pPr>
      <w:r>
        <w:t>For these reasons, the appeal must be</w:t>
      </w:r>
      <w:r w:rsidR="00792AF9">
        <w:t xml:space="preserve"> allowed</w:t>
      </w:r>
      <w:r>
        <w:t>.</w:t>
      </w:r>
    </w:p>
    <w:p w:rsidR="008340BC" w:rsidRPr="00F5641C" w:rsidRDefault="008340BC" w:rsidP="00F5641C">
      <w:pPr>
        <w:pStyle w:val="NoNum"/>
        <w:rPr>
          <w:b/>
        </w:rPr>
      </w:pPr>
      <w:r w:rsidRPr="00F5641C">
        <w:rPr>
          <w:b/>
        </w:rPr>
        <w:t>KATZMANN J:</w:t>
      </w:r>
    </w:p>
    <w:p w:rsidR="008340BC" w:rsidRPr="00EB175E" w:rsidRDefault="008340BC" w:rsidP="008340BC">
      <w:pPr>
        <w:pStyle w:val="ParaNumbering"/>
      </w:pPr>
      <w:r w:rsidRPr="00EB175E">
        <w:t>I agree.</w:t>
      </w:r>
    </w:p>
    <w:p w:rsidR="008340BC" w:rsidRPr="00F5641C" w:rsidRDefault="008340BC" w:rsidP="00F5641C">
      <w:pPr>
        <w:pStyle w:val="NoNum"/>
        <w:rPr>
          <w:b/>
        </w:rPr>
      </w:pPr>
      <w:r w:rsidRPr="00F5641C">
        <w:rPr>
          <w:b/>
        </w:rPr>
        <w:t>BANKS-SMITH J:</w:t>
      </w:r>
    </w:p>
    <w:p w:rsidR="008340BC" w:rsidRPr="00EB175E" w:rsidRDefault="008340BC" w:rsidP="008340BC">
      <w:pPr>
        <w:pStyle w:val="ParaNumbering"/>
      </w:pPr>
      <w:r w:rsidRPr="00EB175E">
        <w:t>I also agree.</w:t>
      </w:r>
    </w:p>
    <w:p w:rsidR="00D8408D" w:rsidRPr="00F5641C" w:rsidRDefault="008E54E2" w:rsidP="00F5641C">
      <w:pPr>
        <w:pStyle w:val="NoNum"/>
        <w:rPr>
          <w:b/>
          <w:highlight w:val="yellow"/>
        </w:rPr>
      </w:pPr>
      <w:r w:rsidRPr="00F5641C">
        <w:rPr>
          <w:b/>
        </w:rPr>
        <w:t>KATZMANN J:</w:t>
      </w:r>
    </w:p>
    <w:p w:rsidR="00EB175E" w:rsidRDefault="00EB175E" w:rsidP="008340BC">
      <w:pPr>
        <w:pStyle w:val="ParaNumbering"/>
      </w:pPr>
      <w:r>
        <w:t>The orders of the Court will be:</w:t>
      </w:r>
    </w:p>
    <w:p w:rsidR="00EB175E" w:rsidRDefault="00EB175E" w:rsidP="00EB175E">
      <w:pPr>
        <w:pStyle w:val="ListNo1"/>
        <w:numPr>
          <w:ilvl w:val="0"/>
          <w:numId w:val="35"/>
        </w:numPr>
      </w:pPr>
      <w:r>
        <w:t>The appeal be allowed.</w:t>
      </w:r>
    </w:p>
    <w:p w:rsidR="00EB175E" w:rsidRDefault="00EB175E" w:rsidP="00360886">
      <w:pPr>
        <w:pStyle w:val="ListNo1"/>
        <w:numPr>
          <w:ilvl w:val="0"/>
          <w:numId w:val="35"/>
        </w:numPr>
      </w:pPr>
      <w:r>
        <w:t xml:space="preserve">The respondent pay the appellant’s costs. </w:t>
      </w:r>
    </w:p>
    <w:p w:rsidR="00EB175E" w:rsidRDefault="00EB175E" w:rsidP="00360886">
      <w:pPr>
        <w:pStyle w:val="ListNo1"/>
        <w:numPr>
          <w:ilvl w:val="0"/>
          <w:numId w:val="35"/>
        </w:numPr>
      </w:pPr>
      <w:r>
        <w:t xml:space="preserve">The </w:t>
      </w:r>
      <w:r w:rsidRPr="00EC1F72">
        <w:t>orders of the primary judge made on 19 October 2020</w:t>
      </w:r>
      <w:r>
        <w:t xml:space="preserve"> be set aside and in their place it be ordered that: </w:t>
      </w:r>
    </w:p>
    <w:p w:rsidR="00EB175E" w:rsidRDefault="00EB175E" w:rsidP="00360886">
      <w:pPr>
        <w:pStyle w:val="ListNo2"/>
        <w:numPr>
          <w:ilvl w:val="1"/>
          <w:numId w:val="35"/>
        </w:numPr>
      </w:pPr>
      <w:r>
        <w:t xml:space="preserve">A writ of certiorari issue directed to the respondent quashing his </w:t>
      </w:r>
      <w:r w:rsidRPr="00EC1F72">
        <w:t>decision of 26</w:t>
      </w:r>
      <w:r>
        <w:t> </w:t>
      </w:r>
      <w:r w:rsidRPr="00EC1F72">
        <w:t>April 2019;</w:t>
      </w:r>
    </w:p>
    <w:p w:rsidR="00F5641C" w:rsidRDefault="00F5641C">
      <w:pPr>
        <w:spacing w:line="240" w:lineRule="auto"/>
        <w:jc w:val="left"/>
      </w:pPr>
      <w:r>
        <w:br w:type="page"/>
      </w:r>
    </w:p>
    <w:p w:rsidR="00EB175E" w:rsidRDefault="00EB175E" w:rsidP="00360886">
      <w:pPr>
        <w:pStyle w:val="ListNo2"/>
        <w:numPr>
          <w:ilvl w:val="1"/>
          <w:numId w:val="35"/>
        </w:numPr>
      </w:pPr>
      <w:r>
        <w:lastRenderedPageBreak/>
        <w:t xml:space="preserve">A writ of mandamus issue directed to the respondent requiring him to determine the applicant’s application according to law; </w:t>
      </w:r>
    </w:p>
    <w:p w:rsidR="00EB175E" w:rsidRDefault="00EB175E" w:rsidP="00360886">
      <w:pPr>
        <w:pStyle w:val="ListNo2"/>
        <w:numPr>
          <w:ilvl w:val="1"/>
          <w:numId w:val="35"/>
        </w:numPr>
      </w:pPr>
      <w:r>
        <w:t xml:space="preserve">The respondent pay the applicant’s costs. </w:t>
      </w:r>
    </w:p>
    <w:p w:rsidR="00F5641C" w:rsidRDefault="00F5641C" w:rsidP="00F5641C">
      <w:pPr>
        <w:pStyle w:val="NoNum"/>
      </w:pPr>
    </w:p>
    <w:tbl>
      <w:tblPr>
        <w:tblW w:w="0" w:type="auto"/>
        <w:tblLook w:val="04A0" w:firstRow="1" w:lastRow="0" w:firstColumn="1" w:lastColumn="0" w:noHBand="0" w:noVBand="1"/>
      </w:tblPr>
      <w:tblGrid>
        <w:gridCol w:w="3794"/>
      </w:tblGrid>
      <w:tr w:rsidR="00CC313A" w:rsidRPr="00CC313A">
        <w:tc>
          <w:tcPr>
            <w:tcW w:w="3794" w:type="dxa"/>
            <w:shd w:val="clear" w:color="auto" w:fill="auto"/>
          </w:tcPr>
          <w:p w:rsidR="00CC313A" w:rsidRPr="00CC313A" w:rsidRDefault="00CC313A" w:rsidP="00531537">
            <w:pPr>
              <w:pStyle w:val="Normal1linespace"/>
            </w:pPr>
            <w:bookmarkStart w:id="25" w:name="Certification"/>
            <w:r w:rsidRPr="00CC313A">
              <w:t xml:space="preserve">I certify that the preceding </w:t>
            </w:r>
            <w:bookmarkStart w:id="26" w:name="NumberWord"/>
            <w:r w:rsidR="00EB175E">
              <w:t>fifty-eight</w:t>
            </w:r>
            <w:bookmarkEnd w:id="26"/>
            <w:r w:rsidRPr="00CC313A">
              <w:t xml:space="preserve"> (</w:t>
            </w:r>
            <w:bookmarkStart w:id="27" w:name="NumberNumeral"/>
            <w:r w:rsidR="00EB175E">
              <w:t>58</w:t>
            </w:r>
            <w:bookmarkEnd w:id="27"/>
            <w:r w:rsidRPr="00CC313A">
              <w:t xml:space="preserve">) numbered </w:t>
            </w:r>
            <w:bookmarkStart w:id="28" w:name="CertPara"/>
            <w:r w:rsidR="00EB175E">
              <w:t>paragraphs are</w:t>
            </w:r>
            <w:bookmarkEnd w:id="28"/>
            <w:r w:rsidRPr="00CC313A">
              <w:t xml:space="preserve"> a true copy of the Reasons for Judgment of </w:t>
            </w:r>
            <w:bookmarkStart w:id="29" w:name="bkHonourable"/>
            <w:r w:rsidRPr="00CC313A">
              <w:t xml:space="preserve">the Honourable </w:t>
            </w:r>
            <w:bookmarkStart w:id="30" w:name="Justice"/>
            <w:bookmarkEnd w:id="29"/>
            <w:r w:rsidR="00EB175E">
              <w:t>Justices Katzmann, SC Derrington and Banks-Smith</w:t>
            </w:r>
            <w:bookmarkEnd w:id="30"/>
            <w:r w:rsidRPr="00CC313A">
              <w:t>.</w:t>
            </w:r>
          </w:p>
        </w:tc>
      </w:tr>
    </w:tbl>
    <w:p w:rsidR="00CC313A" w:rsidRDefault="00CC313A" w:rsidP="00531537">
      <w:pPr>
        <w:pStyle w:val="BodyText"/>
      </w:pPr>
    </w:p>
    <w:p w:rsidR="00CC313A" w:rsidRDefault="00CC313A" w:rsidP="00531537">
      <w:pPr>
        <w:pStyle w:val="BodyText"/>
      </w:pPr>
      <w:r>
        <w:t>Associate:</w:t>
      </w:r>
      <w:r w:rsidR="00C91D75" w:rsidRPr="00C91D75">
        <w:t xml:space="preserve"> </w:t>
      </w:r>
    </w:p>
    <w:p w:rsidR="00CC313A" w:rsidRDefault="00CC313A" w:rsidP="00531537">
      <w:pPr>
        <w:pStyle w:val="BodyText"/>
        <w:tabs>
          <w:tab w:val="left" w:pos="1134"/>
        </w:tabs>
      </w:pPr>
      <w:r>
        <w:t>Dated:</w:t>
      </w:r>
      <w:r>
        <w:tab/>
      </w:r>
      <w:bookmarkStart w:id="31" w:name="CertifyDated"/>
      <w:bookmarkEnd w:id="25"/>
      <w:r w:rsidR="00EB175E">
        <w:t>25 February 2022</w:t>
      </w:r>
      <w:bookmarkEnd w:id="31"/>
    </w:p>
    <w:sectPr w:rsidR="00CC313A" w:rsidSect="00A84FD0">
      <w:headerReference w:type="even" r:id="rId17"/>
      <w:headerReference w:type="default" r:id="rId18"/>
      <w:footerReference w:type="default" r:id="rId19"/>
      <w:headerReference w:type="first" r:id="rId20"/>
      <w:footerReference w:type="first" r:id="rId21"/>
      <w:endnotePr>
        <w:numFmt w:val="decimal"/>
      </w:endnotePr>
      <w:pgSz w:w="11907" w:h="16840" w:code="9"/>
      <w:pgMar w:top="1440" w:right="1440" w:bottom="1440" w:left="1440" w:header="851" w:footer="851"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2DF5" w:rsidRDefault="00F82DF5">
      <w:pPr>
        <w:spacing w:line="20" w:lineRule="exact"/>
      </w:pPr>
    </w:p>
    <w:p w:rsidR="00F82DF5" w:rsidRDefault="00F82DF5"/>
    <w:p w:rsidR="00F82DF5" w:rsidRDefault="00F82DF5"/>
  </w:endnote>
  <w:endnote w:type="continuationSeparator" w:id="0">
    <w:p w:rsidR="00F82DF5" w:rsidRDefault="00F82DF5">
      <w:r>
        <w:t xml:space="preserve"> </w:t>
      </w:r>
    </w:p>
    <w:p w:rsidR="00F82DF5" w:rsidRDefault="00F82DF5"/>
    <w:p w:rsidR="00F82DF5" w:rsidRDefault="00F82DF5"/>
  </w:endnote>
  <w:endnote w:type="continuationNotice" w:id="1">
    <w:p w:rsidR="00F82DF5" w:rsidRDefault="00F82DF5">
      <w:r>
        <w:t xml:space="preserve"> </w:t>
      </w:r>
    </w:p>
    <w:p w:rsidR="00F82DF5" w:rsidRDefault="00F82DF5"/>
    <w:p w:rsidR="00F82DF5" w:rsidRDefault="00F82D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TimesNewRomanPS">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36E8" w:rsidRPr="00C47B9D" w:rsidRDefault="00A436E8"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58240" behindDoc="0" locked="0" layoutInCell="1" allowOverlap="1" wp14:anchorId="5D887EDB" wp14:editId="58778328">
              <wp:simplePos x="0" y="0"/>
              <wp:positionH relativeFrom="column">
                <wp:posOffset>-28575</wp:posOffset>
              </wp:positionH>
              <wp:positionV relativeFrom="paragraph">
                <wp:posOffset>-635</wp:posOffset>
              </wp:positionV>
              <wp:extent cx="2943225"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BFF37BF" id="Straight Connector 5"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25pt,-.05pt" to="22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" strokecolor="black [3213]"/>
          </w:pict>
        </mc:Fallback>
      </mc:AlternateContent>
    </w:r>
    <w:sdt>
      <w:sdtPr>
        <w:rPr>
          <w:bCs/>
          <w:sz w:val="18"/>
          <w:szCs w:val="18"/>
        </w:rPr>
        <w:tag w:val="MNC"/>
        <w:id w:val="1707292070"/>
        <w:dataBinding w:prefixMappings="xmlns:ns0='http://schemas.globalmacros.com/FCA'" w:xpath="/ns0:root[1]/ns0:Name[1]" w:storeItemID="{687E7CCB-4AA5-44E7-B148-17BA2B6F57C0}"/>
        <w:text w:multiLine="1"/>
      </w:sdtPr>
      <w:sdtEndPr/>
      <w:sdtContent>
        <w:r w:rsidR="00EC1F72">
          <w:rPr>
            <w:bCs/>
            <w:sz w:val="18"/>
            <w:szCs w:val="18"/>
          </w:rPr>
          <w:t>Thornton v Minister for Immigration, Citizenship, Migrant Services and Multicultural Affairs [2022] FCAFC 23</w:t>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4FD0" w:rsidRPr="00C47B9D" w:rsidRDefault="00A84FD0" w:rsidP="00E94CBF">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58242" behindDoc="0" locked="0" layoutInCell="1" allowOverlap="1" wp14:anchorId="7BEF6913" wp14:editId="2A9EEC0C">
              <wp:simplePos x="0" y="0"/>
              <wp:positionH relativeFrom="column">
                <wp:posOffset>-28575</wp:posOffset>
              </wp:positionH>
              <wp:positionV relativeFrom="paragraph">
                <wp:posOffset>21590</wp:posOffset>
              </wp:positionV>
              <wp:extent cx="2943225"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737627C" id="Straight Connector 6" o:spid="_x0000_s1026" style="position:absolute;z-index:251658242;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" strokecolor="black [3213]"/>
          </w:pict>
        </mc:Fallback>
      </mc:AlternateContent>
    </w:r>
    <w:sdt>
      <w:sdtPr>
        <w:rPr>
          <w:bCs/>
          <w:sz w:val="18"/>
          <w:szCs w:val="18"/>
        </w:rPr>
        <w:tag w:val="MNC"/>
        <w:id w:val="-831216538"/>
        <w:placeholder>
          <w:docPart w:val="EF84723EB1C744B5BD335FA6AE2FFB57"/>
        </w:placeholder>
        <w:dataBinding w:prefixMappings="xmlns:ns0='http://schemas.globalmacros.com/FCA'" w:xpath="/ns0:root[1]/ns0:Name[1]" w:storeItemID="{687E7CCB-4AA5-44E7-B148-17BA2B6F57C0}"/>
        <w:text w:multiLine="1"/>
      </w:sdtPr>
      <w:sdtEndPr/>
      <w:sdtContent>
        <w:r w:rsidR="00EC1F72">
          <w:rPr>
            <w:bCs/>
            <w:sz w:val="18"/>
            <w:szCs w:val="18"/>
          </w:rPr>
          <w:t>Thornton v Minister for Immigration, Citizenship, Migrant Services and Multicultural Affairs [2022] FCAFC 23</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940EF5">
      <w:rPr>
        <w:bCs/>
        <w:noProof/>
        <w:sz w:val="20"/>
      </w:rPr>
      <w:t>ii</w:t>
    </w:r>
    <w:r w:rsidRPr="00EA7F6D">
      <w:rPr>
        <w:bCs/>
        <w:noProof/>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36E8" w:rsidRPr="00C47B9D" w:rsidRDefault="00A436E8"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58241" behindDoc="0" locked="0" layoutInCell="1" allowOverlap="1" wp14:anchorId="2DD262CD" wp14:editId="7B250F29">
              <wp:simplePos x="0" y="0"/>
              <wp:positionH relativeFrom="column">
                <wp:posOffset>-28575</wp:posOffset>
              </wp:positionH>
              <wp:positionV relativeFrom="paragraph">
                <wp:posOffset>21590</wp:posOffset>
              </wp:positionV>
              <wp:extent cx="294322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C3575DF" id="Straight Connector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" strokecolor="black [3213]"/>
          </w:pict>
        </mc:Fallback>
      </mc:AlternateContent>
    </w:r>
    <w:sdt>
      <w:sdtPr>
        <w:rPr>
          <w:bCs/>
          <w:sz w:val="18"/>
          <w:szCs w:val="18"/>
        </w:rPr>
        <w:tag w:val="MNC"/>
        <w:id w:val="510263260"/>
        <w:placeholder>
          <w:docPart w:val="98AF57F2E4B149488F0C197B8A6B0D5B"/>
        </w:placeholder>
        <w:dataBinding w:prefixMappings="xmlns:ns0='http://schemas.globalmacros.com/FCA'" w:xpath="/ns0:root[1]/ns0:Name[1]" w:storeItemID="{687E7CCB-4AA5-44E7-B148-17BA2B6F57C0}"/>
        <w:text w:multiLine="1"/>
      </w:sdtPr>
      <w:sdtEndPr/>
      <w:sdtContent>
        <w:r w:rsidR="00EC1F72">
          <w:rPr>
            <w:bCs/>
            <w:sz w:val="18"/>
            <w:szCs w:val="18"/>
          </w:rPr>
          <w:t>Thornton v Minister for Immigration, Citizenship, Migrant Services and Multicultural Affairs [2022] FCAFC 23</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B41800">
      <w:rPr>
        <w:bCs/>
        <w:noProof/>
        <w:sz w:val="20"/>
      </w:rPr>
      <w:t>i</w:t>
    </w:r>
    <w:r w:rsidRPr="00EA7F6D">
      <w:rPr>
        <w:bCs/>
        <w:noProof/>
        <w:sz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4FD0" w:rsidRPr="00C47B9D" w:rsidRDefault="00A84FD0"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58244" behindDoc="0" locked="0" layoutInCell="1" allowOverlap="1" wp14:anchorId="17D0C8E8" wp14:editId="3FB83B7B">
              <wp:simplePos x="0" y="0"/>
              <wp:positionH relativeFrom="column">
                <wp:posOffset>-28575</wp:posOffset>
              </wp:positionH>
              <wp:positionV relativeFrom="paragraph">
                <wp:posOffset>21590</wp:posOffset>
              </wp:positionV>
              <wp:extent cx="2943225"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C40EAAC" id="Straight Connector 7" o:spid="_x0000_s1026" style="position:absolute;z-index:251658244;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" strokecolor="black [3213]"/>
          </w:pict>
        </mc:Fallback>
      </mc:AlternateContent>
    </w:r>
    <w:sdt>
      <w:sdtPr>
        <w:rPr>
          <w:bCs/>
          <w:sz w:val="18"/>
          <w:szCs w:val="18"/>
        </w:rPr>
        <w:tag w:val="MNC"/>
        <w:id w:val="1095746746"/>
        <w:placeholder>
          <w:docPart w:val="29B20B5F52624C38AD9E62FE7B1660E3"/>
        </w:placeholder>
        <w:dataBinding w:prefixMappings="xmlns:ns0='http://schemas.globalmacros.com/FCA'" w:xpath="/ns0:root[1]/ns0:Name[1]" w:storeItemID="{687E7CCB-4AA5-44E7-B148-17BA2B6F57C0}"/>
        <w:text w:multiLine="1"/>
      </w:sdtPr>
      <w:sdtEndPr/>
      <w:sdtContent>
        <w:r w:rsidR="00EC1F72">
          <w:rPr>
            <w:bCs/>
            <w:sz w:val="18"/>
            <w:szCs w:val="18"/>
          </w:rPr>
          <w:t>Thornton v Minister for Immigration, Citizenship, Migrant Services and Multicultural Affairs [2022] FCAFC 23</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B41800">
      <w:rPr>
        <w:bCs/>
        <w:noProof/>
        <w:sz w:val="20"/>
      </w:rPr>
      <w:t>15</w:t>
    </w:r>
    <w:r w:rsidRPr="00EA7F6D">
      <w:rPr>
        <w:bCs/>
        <w:noProof/>
        <w:sz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4FD0" w:rsidRPr="00C47B9D" w:rsidRDefault="00A84FD0"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58243" behindDoc="0" locked="0" layoutInCell="1" allowOverlap="1" wp14:anchorId="19CEB74D" wp14:editId="2A5AC1BE">
              <wp:simplePos x="0" y="0"/>
              <wp:positionH relativeFrom="column">
                <wp:posOffset>-28575</wp:posOffset>
              </wp:positionH>
              <wp:positionV relativeFrom="paragraph">
                <wp:posOffset>21590</wp:posOffset>
              </wp:positionV>
              <wp:extent cx="294322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EA8102D" id="Straight Connector 3" o:spid="_x0000_s1026" style="position:absolute;z-index:251658243;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" strokecolor="black [3213]"/>
          </w:pict>
        </mc:Fallback>
      </mc:AlternateContent>
    </w:r>
    <w:sdt>
      <w:sdtPr>
        <w:rPr>
          <w:bCs/>
          <w:sz w:val="18"/>
          <w:szCs w:val="18"/>
        </w:rPr>
        <w:tag w:val="MNC"/>
        <w:id w:val="-1532949365"/>
        <w:placeholder>
          <w:docPart w:val="262D01DBCF77449BB11649F370B21330"/>
        </w:placeholder>
        <w:dataBinding w:prefixMappings="xmlns:ns0='http://schemas.globalmacros.com/FCA'" w:xpath="/ns0:root[1]/ns0:Name[1]" w:storeItemID="{687E7CCB-4AA5-44E7-B148-17BA2B6F57C0}"/>
        <w:text w:multiLine="1"/>
      </w:sdtPr>
      <w:sdtEndPr/>
      <w:sdtContent>
        <w:r w:rsidR="00EC1F72">
          <w:rPr>
            <w:bCs/>
            <w:sz w:val="18"/>
            <w:szCs w:val="18"/>
          </w:rPr>
          <w:t>Thornton v Minister for Immigration, Citizenship, Migrant Services and Multicultural Affairs [2022] FCAFC 23</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B41800">
      <w:rPr>
        <w:bCs/>
        <w:noProof/>
        <w:sz w:val="20"/>
      </w:rPr>
      <w:t>1</w:t>
    </w:r>
    <w:r w:rsidRPr="00EA7F6D">
      <w:rPr>
        <w:bCs/>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2DF5" w:rsidRDefault="00F82DF5"/>
  </w:footnote>
  <w:footnote w:type="continuationSeparator" w:id="0">
    <w:p w:rsidR="00F82DF5" w:rsidRDefault="00F82DF5">
      <w:r>
        <w:continuationSeparator/>
      </w:r>
    </w:p>
    <w:p w:rsidR="00F82DF5" w:rsidRDefault="00F82DF5"/>
    <w:p w:rsidR="00F82DF5" w:rsidRDefault="00F82DF5"/>
  </w:footnote>
  <w:footnote w:type="continuationNotice" w:id="1">
    <w:p w:rsidR="00F82DF5" w:rsidRDefault="00F82DF5">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5B24" w:rsidRDefault="00395B24">
    <w:pPr>
      <w:tabs>
        <w:tab w:val="center" w:pos="4512"/>
      </w:tabs>
      <w:suppressAutoHyphen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5B24" w:rsidRDefault="00395B24">
    <w:pPr>
      <w:pStyle w:val="Header"/>
      <w:tabs>
        <w:tab w:val="clear" w:pos="4320"/>
        <w:tab w:val="clear" w:pos="8640"/>
      </w:tabs>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5B24" w:rsidRDefault="00395B24"/>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5B24" w:rsidRDefault="00395B24">
    <w:pPr>
      <w:tabs>
        <w:tab w:val="center" w:pos="4512"/>
      </w:tabs>
      <w:suppressAutoHyphens/>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5B24" w:rsidRDefault="00395B24" w:rsidP="00A436E8">
    <w:pPr>
      <w:pStyle w:val="Header"/>
      <w:tabs>
        <w:tab w:val="clear" w:pos="4320"/>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23ACBC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04AF16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63689C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B22946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8E2E98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726AA5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D947F0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C5AED4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5EC114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6DC146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9E2A2F"/>
    <w:multiLevelType w:val="multilevel"/>
    <w:tmpl w:val="F61AF490"/>
    <w:styleLink w:val="FCListNoalt"/>
    <w:lvl w:ilvl="0">
      <w:start w:val="1"/>
      <w:numFmt w:val="lowerLetter"/>
      <w:lvlRestart w:val="0"/>
      <w:pStyle w:val="ListNo1alt"/>
      <w:lvlText w:val="(%1)"/>
      <w:lvlJc w:val="left"/>
      <w:pPr>
        <w:tabs>
          <w:tab w:val="num" w:pos="720"/>
        </w:tabs>
        <w:ind w:left="720" w:hanging="720"/>
      </w:pPr>
      <w:rPr>
        <w:rFonts w:ascii="Times New Roman" w:hAnsi="Times New Roman" w:hint="default"/>
      </w:rPr>
    </w:lvl>
    <w:lvl w:ilvl="1">
      <w:start w:val="1"/>
      <w:numFmt w:val="lowerRoman"/>
      <w:pStyle w:val="ListNo2alt"/>
      <w:lvlText w:val="(%2)"/>
      <w:lvlJc w:val="left"/>
      <w:pPr>
        <w:tabs>
          <w:tab w:val="num" w:pos="1440"/>
        </w:tabs>
        <w:ind w:left="1440" w:hanging="720"/>
      </w:pPr>
      <w:rPr>
        <w:rFonts w:hint="default"/>
      </w:rPr>
    </w:lvl>
    <w:lvl w:ilvl="2">
      <w:start w:val="1"/>
      <w:numFmt w:val="upperLetter"/>
      <w:pStyle w:val="ListNo3alt"/>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1" w15:restartNumberingAfterBreak="0">
    <w:nsid w:val="09F81F64"/>
    <w:multiLevelType w:val="hybridMultilevel"/>
    <w:tmpl w:val="D7A0A3CC"/>
    <w:lvl w:ilvl="0" w:tplc="2874578A">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0B9B7C7A"/>
    <w:multiLevelType w:val="hybridMultilevel"/>
    <w:tmpl w:val="0D8E828C"/>
    <w:lvl w:ilvl="0" w:tplc="E5462CDA">
      <w:start w:val="1"/>
      <w:numFmt w:val="bullet"/>
      <w:pStyle w:val="Quote2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3" w15:restartNumberingAfterBreak="0">
    <w:nsid w:val="168F28D0"/>
    <w:multiLevelType w:val="multilevel"/>
    <w:tmpl w:val="D26E5E56"/>
    <w:lvl w:ilvl="0">
      <w:start w:val="1"/>
      <w:numFmt w:val="bullet"/>
      <w:pStyle w:val="FCBullets"/>
      <w:lvlText w:val=""/>
      <w:lvlJc w:val="left"/>
      <w:pPr>
        <w:tabs>
          <w:tab w:val="num" w:pos="720"/>
        </w:tabs>
        <w:ind w:left="720" w:hanging="720"/>
      </w:pPr>
      <w:rPr>
        <w:rFonts w:ascii="Symbol" w:hAnsi="Symbol" w:hint="default"/>
      </w:rPr>
    </w:lvl>
    <w:lvl w:ilvl="1">
      <w:start w:val="1"/>
      <w:numFmt w:val="bullet"/>
      <w:pStyle w:val="FCBullets2"/>
      <w:lvlText w:val=""/>
      <w:lvlJc w:val="left"/>
      <w:pPr>
        <w:tabs>
          <w:tab w:val="num" w:pos="1440"/>
        </w:tabs>
        <w:ind w:left="1440" w:hanging="720"/>
      </w:pPr>
      <w:rPr>
        <w:rFonts w:ascii="Symbol" w:hAnsi="Symbol" w:hint="default"/>
        <w:sz w:val="24"/>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14" w15:restartNumberingAfterBreak="0">
    <w:nsid w:val="1A8D4738"/>
    <w:multiLevelType w:val="hybridMultilevel"/>
    <w:tmpl w:val="BD5C1B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C1468D3"/>
    <w:multiLevelType w:val="multilevel"/>
    <w:tmpl w:val="0F0EC90E"/>
    <w:styleLink w:val="FCListNo"/>
    <w:lvl w:ilvl="0">
      <w:start w:val="1"/>
      <w:numFmt w:val="decimal"/>
      <w:lvlRestart w:val="0"/>
      <w:pStyle w:val="ListNo1"/>
      <w:lvlText w:val="(%1)"/>
      <w:lvlJc w:val="left"/>
      <w:pPr>
        <w:tabs>
          <w:tab w:val="num" w:pos="720"/>
        </w:tabs>
        <w:ind w:left="720" w:hanging="720"/>
      </w:pPr>
      <w:rPr>
        <w:rFonts w:ascii="Times New Roman" w:hAnsi="Times New Roman" w:hint="default"/>
      </w:rPr>
    </w:lvl>
    <w:lvl w:ilvl="1">
      <w:start w:val="1"/>
      <w:numFmt w:val="lowerLetter"/>
      <w:pStyle w:val="ListNo2"/>
      <w:lvlText w:val="(%2)"/>
      <w:lvlJc w:val="left"/>
      <w:pPr>
        <w:tabs>
          <w:tab w:val="num" w:pos="1440"/>
        </w:tabs>
        <w:ind w:left="1440" w:hanging="720"/>
      </w:pPr>
      <w:rPr>
        <w:rFonts w:hint="default"/>
      </w:rPr>
    </w:lvl>
    <w:lvl w:ilvl="2">
      <w:start w:val="1"/>
      <w:numFmt w:val="lowerRoman"/>
      <w:pStyle w:val="ListNo3"/>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6" w15:restartNumberingAfterBreak="0">
    <w:nsid w:val="29AE3DD1"/>
    <w:multiLevelType w:val="singleLevel"/>
    <w:tmpl w:val="5C92B9B0"/>
    <w:lvl w:ilvl="0">
      <w:start w:val="1"/>
      <w:numFmt w:val="decimal"/>
      <w:lvlRestart w:val="0"/>
      <w:pStyle w:val="ParaNumbering"/>
      <w:lvlText w:val="%1"/>
      <w:lvlJc w:val="left"/>
      <w:pPr>
        <w:tabs>
          <w:tab w:val="num" w:pos="720"/>
        </w:tabs>
        <w:ind w:left="0" w:hanging="720"/>
      </w:pPr>
      <w:rPr>
        <w:rFonts w:hint="default"/>
        <w:sz w:val="20"/>
      </w:rPr>
    </w:lvl>
  </w:abstractNum>
  <w:abstractNum w:abstractNumId="17" w15:restartNumberingAfterBreak="0">
    <w:nsid w:val="2AD4345C"/>
    <w:multiLevelType w:val="multilevel"/>
    <w:tmpl w:val="A1C8FFD0"/>
    <w:styleLink w:val="FCOrders"/>
    <w:lvl w:ilvl="0">
      <w:start w:val="1"/>
      <w:numFmt w:val="decimal"/>
      <w:pStyle w:val="Order1"/>
      <w:lvlText w:val="%1."/>
      <w:lvlJc w:val="left"/>
      <w:pPr>
        <w:tabs>
          <w:tab w:val="num" w:pos="720"/>
        </w:tabs>
        <w:ind w:left="720" w:hanging="720"/>
      </w:pPr>
      <w:rPr>
        <w:rFonts w:ascii="Times New Roman" w:hAnsi="Times New Roman" w:hint="default"/>
        <w:sz w:val="24"/>
      </w:rPr>
    </w:lvl>
    <w:lvl w:ilvl="1">
      <w:start w:val="1"/>
      <w:numFmt w:val="lowerLetter"/>
      <w:pStyle w:val="Order2"/>
      <w:lvlText w:val="(%2)"/>
      <w:lvlJc w:val="left"/>
      <w:pPr>
        <w:tabs>
          <w:tab w:val="num" w:pos="1440"/>
        </w:tabs>
        <w:ind w:left="1440" w:hanging="720"/>
      </w:pPr>
      <w:rPr>
        <w:rFonts w:hint="default"/>
      </w:rPr>
    </w:lvl>
    <w:lvl w:ilvl="2">
      <w:start w:val="1"/>
      <w:numFmt w:val="lowerRoman"/>
      <w:pStyle w:val="Order3"/>
      <w:lvlText w:val="(%3)"/>
      <w:lvlJc w:val="left"/>
      <w:pPr>
        <w:tabs>
          <w:tab w:val="num" w:pos="1440"/>
        </w:tabs>
        <w:ind w:left="2160" w:hanging="720"/>
      </w:pPr>
      <w:rPr>
        <w:rFonts w:hint="default"/>
      </w:rPr>
    </w:lvl>
    <w:lvl w:ilvl="3">
      <w:start w:val="1"/>
      <w:numFmt w:val="upperLetter"/>
      <w:pStyle w:val="Order4"/>
      <w:lvlText w:val="%4."/>
      <w:lvlJc w:val="left"/>
      <w:pPr>
        <w:tabs>
          <w:tab w:val="num" w:pos="2160"/>
        </w:tabs>
        <w:ind w:left="2880" w:hanging="720"/>
      </w:pPr>
      <w:rPr>
        <w:rFonts w:hint="default"/>
      </w:rPr>
    </w:lvl>
    <w:lvl w:ilvl="4">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18" w15:restartNumberingAfterBreak="0">
    <w:nsid w:val="2AF11FCB"/>
    <w:multiLevelType w:val="hybridMultilevel"/>
    <w:tmpl w:val="94A6534E"/>
    <w:lvl w:ilvl="0" w:tplc="31029F3C">
      <w:start w:val="1"/>
      <w:numFmt w:val="bullet"/>
      <w:pStyle w:val="Quote4Bullet"/>
      <w:lvlText w:val=""/>
      <w:lvlJc w:val="left"/>
      <w:pPr>
        <w:ind w:left="3600" w:hanging="360"/>
      </w:pPr>
      <w:rPr>
        <w:rFonts w:ascii="Symbol" w:hAnsi="Symbol" w:hint="default"/>
        <w:sz w:val="16"/>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19" w15:restartNumberingAfterBreak="0">
    <w:nsid w:val="32D95B3D"/>
    <w:multiLevelType w:val="multilevel"/>
    <w:tmpl w:val="253A8338"/>
    <w:styleLink w:val="FCNotes"/>
    <w:lvl w:ilvl="0">
      <w:start w:val="1"/>
      <w:numFmt w:val="upperLetter"/>
      <w:pStyle w:val="Notes"/>
      <w:lvlText w:val="%1."/>
      <w:lvlJc w:val="left"/>
      <w:pPr>
        <w:tabs>
          <w:tab w:val="num" w:pos="720"/>
        </w:tabs>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33561E2E"/>
    <w:multiLevelType w:val="hybridMultilevel"/>
    <w:tmpl w:val="433821BE"/>
    <w:lvl w:ilvl="0" w:tplc="DE3AD0E2">
      <w:start w:val="1"/>
      <w:numFmt w:val="bullet"/>
      <w:pStyle w:val="Quote3Bullet"/>
      <w:lvlText w:val=""/>
      <w:lvlJc w:val="left"/>
      <w:pPr>
        <w:ind w:left="2880" w:hanging="360"/>
      </w:pPr>
      <w:rPr>
        <w:rFonts w:ascii="Wingdings" w:hAnsi="Wingdings" w:hint="default"/>
      </w:rPr>
    </w:lvl>
    <w:lvl w:ilvl="1" w:tplc="0C090003">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21" w15:restartNumberingAfterBreak="0">
    <w:nsid w:val="494817A7"/>
    <w:multiLevelType w:val="multilevel"/>
    <w:tmpl w:val="0F0EC90E"/>
    <w:numStyleLink w:val="FCListNo"/>
  </w:abstractNum>
  <w:abstractNum w:abstractNumId="22" w15:restartNumberingAfterBreak="0">
    <w:nsid w:val="49B30D2B"/>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4A736C9D"/>
    <w:multiLevelType w:val="multilevel"/>
    <w:tmpl w:val="0C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4" w15:restartNumberingAfterBreak="0">
    <w:nsid w:val="5F796D12"/>
    <w:multiLevelType w:val="multilevel"/>
    <w:tmpl w:val="1A9C288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5745395"/>
    <w:multiLevelType w:val="hybridMultilevel"/>
    <w:tmpl w:val="0EF29C76"/>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68713D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7" w15:restartNumberingAfterBreak="0">
    <w:nsid w:val="68B372C5"/>
    <w:multiLevelType w:val="multilevel"/>
    <w:tmpl w:val="A3E04A68"/>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F9B6398"/>
    <w:multiLevelType w:val="hybridMultilevel"/>
    <w:tmpl w:val="0E4CBD92"/>
    <w:lvl w:ilvl="0" w:tplc="907C4790">
      <w:start w:val="1"/>
      <w:numFmt w:val="bullet"/>
      <w:pStyle w:val="Quote1Bullet"/>
      <w:lvlText w:val=""/>
      <w:lvlJc w:val="left"/>
      <w:pPr>
        <w:ind w:left="1457" w:hanging="360"/>
      </w:pPr>
      <w:rPr>
        <w:rFonts w:ascii="Wingdings" w:hAnsi="Wingdings"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29" w15:restartNumberingAfterBreak="0">
    <w:nsid w:val="7D0861FF"/>
    <w:multiLevelType w:val="multilevel"/>
    <w:tmpl w:val="1BC46E94"/>
    <w:lvl w:ilvl="0">
      <w:start w:val="1"/>
      <w:numFmt w:val="decimal"/>
      <w:lvlRestart w:val="0"/>
      <w:pStyle w:val="fcHeading1"/>
      <w:lvlText w:val="%1."/>
      <w:lvlJc w:val="left"/>
      <w:pPr>
        <w:tabs>
          <w:tab w:val="num" w:pos="1134"/>
        </w:tabs>
        <w:ind w:left="1134" w:hanging="1134"/>
      </w:pPr>
      <w:rPr>
        <w:rFonts w:hint="default"/>
      </w:rPr>
    </w:lvl>
    <w:lvl w:ilvl="1">
      <w:start w:val="1"/>
      <w:numFmt w:val="decimal"/>
      <w:pStyle w:val="fcHeading2"/>
      <w:lvlText w:val="%1.%2"/>
      <w:lvlJc w:val="left"/>
      <w:pPr>
        <w:tabs>
          <w:tab w:val="num" w:pos="1134"/>
        </w:tabs>
        <w:ind w:left="1134" w:hanging="1134"/>
      </w:pPr>
      <w:rPr>
        <w:rFonts w:hint="default"/>
      </w:rPr>
    </w:lvl>
    <w:lvl w:ilvl="2">
      <w:start w:val="1"/>
      <w:numFmt w:val="decimal"/>
      <w:pStyle w:val="fcHeading3"/>
      <w:lvlText w:val="%1.%2.%3"/>
      <w:lvlJc w:val="left"/>
      <w:pPr>
        <w:tabs>
          <w:tab w:val="num" w:pos="1134"/>
        </w:tabs>
        <w:ind w:left="1134" w:hanging="1134"/>
      </w:pPr>
      <w:rPr>
        <w:rFonts w:hint="default"/>
      </w:rPr>
    </w:lvl>
    <w:lvl w:ilvl="3">
      <w:start w:val="1"/>
      <w:numFmt w:val="decimal"/>
      <w:pStyle w:val="fcHeading4"/>
      <w:lvlText w:val="%1.%2.%3.%4"/>
      <w:lvlJc w:val="left"/>
      <w:pPr>
        <w:tabs>
          <w:tab w:val="num" w:pos="1134"/>
        </w:tabs>
        <w:ind w:left="1134" w:hanging="1134"/>
      </w:pPr>
      <w:rPr>
        <w:rFonts w:hint="default"/>
      </w:rPr>
    </w:lvl>
    <w:lvl w:ilvl="4">
      <w:start w:val="1"/>
      <w:numFmt w:val="decimal"/>
      <w:pStyle w:val="fcHeading5"/>
      <w:lvlText w:val="%1.%2.%3.%4.%5"/>
      <w:lvlJc w:val="left"/>
      <w:pPr>
        <w:tabs>
          <w:tab w:val="num" w:pos="1134"/>
        </w:tabs>
        <w:ind w:left="1134" w:hanging="113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num w:numId="1">
    <w:abstractNumId w:val="16"/>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6"/>
  </w:num>
  <w:num w:numId="13">
    <w:abstractNumId w:val="22"/>
  </w:num>
  <w:num w:numId="14">
    <w:abstractNumId w:val="23"/>
  </w:num>
  <w:num w:numId="15">
    <w:abstractNumId w:val="29"/>
  </w:num>
  <w:num w:numId="16">
    <w:abstractNumId w:val="15"/>
  </w:num>
  <w:num w:numId="17">
    <w:abstractNumId w:val="28"/>
  </w:num>
  <w:num w:numId="18">
    <w:abstractNumId w:val="12"/>
  </w:num>
  <w:num w:numId="19">
    <w:abstractNumId w:val="20"/>
  </w:num>
  <w:num w:numId="20">
    <w:abstractNumId w:val="17"/>
  </w:num>
  <w:num w:numId="21">
    <w:abstractNumId w:val="18"/>
  </w:num>
  <w:num w:numId="22">
    <w:abstractNumId w:val="21"/>
  </w:num>
  <w:num w:numId="23">
    <w:abstractNumId w:val="10"/>
  </w:num>
  <w:num w:numId="24">
    <w:abstractNumId w:val="10"/>
  </w:num>
  <w:num w:numId="25">
    <w:abstractNumId w:val="13"/>
  </w:num>
  <w:num w:numId="26">
    <w:abstractNumId w:val="19"/>
  </w:num>
  <w:num w:numId="27">
    <w:abstractNumId w:val="19"/>
  </w:num>
  <w:num w:numId="28">
    <w:abstractNumId w:val="19"/>
  </w:num>
  <w:num w:numId="29">
    <w:abstractNumId w:val="14"/>
  </w:num>
  <w:num w:numId="30">
    <w:abstractNumId w:val="25"/>
  </w:num>
  <w:num w:numId="31">
    <w:abstractNumId w:val="11"/>
  </w:num>
  <w:num w:numId="32">
    <w:abstractNumId w:val="27"/>
  </w:num>
  <w:num w:numId="33">
    <w:abstractNumId w:val="24"/>
  </w:num>
  <w:num w:numId="34">
    <w:abstractNumId w:val="17"/>
    <w:lvlOverride w:ilvl="0">
      <w:startOverride w:val="1"/>
    </w:lvlOverride>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 w:numId="35">
    <w:abstractNumId w:val="2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AU"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GB" w:vendorID="64" w:dllVersion="6" w:nlCheck="1" w:checkStyle="1"/>
  <w:activeWritingStyle w:appName="MSWord" w:lang="en-AU" w:vendorID="64" w:dllVersion="131078" w:nlCheck="1" w:checkStyle="1"/>
  <w:activeWritingStyle w:appName="MSWord" w:lang="en-GB" w:vendorID="64" w:dllVersion="131078" w:nlCheck="1" w:checkStyle="1"/>
  <w:activeWritingStyle w:appName="MSWord" w:lang="en-AU" w:vendorID="8" w:dllVersion="513" w:checkStyle="1"/>
  <w:proofState w:spelling="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916"/>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PAndAnother" w:val="True"/>
    <w:docVar w:name="APPAndOthers" w:val="False"/>
    <w:docVar w:name="AppealText" w:val="Thornton v Minister for Immigration, Citizenship, Migrant Services and Multicultural Affairs [2020] FCA 1500"/>
    <w:docVar w:name="Applicant" w:val="ROSS THORNTON"/>
    <w:docVar w:name="CounselParties" w:val="Applicant"/>
    <w:docVar w:name="CounselType" w:val="Solicitor for the "/>
    <w:docVar w:name="Court" w:val="Federal Court of Australia (FCA)"/>
    <w:docVar w:name="Cross1AndAnother" w:val="True"/>
    <w:docVar w:name="Cross1AndOthers" w:val="False"/>
    <w:docVar w:name="Cross2AndAnother" w:val="True"/>
    <w:docVar w:name="Cross2AndOthers" w:val="False"/>
    <w:docVar w:name="Defenders" w:val="(and another named in the Schedule)"/>
    <w:docVar w:name="Division" w:val="FCA General Division"/>
    <w:docVar w:name="DocCreated" w:val="True"/>
    <w:docVar w:name="FileNumbers" w:val="QUD 363 of 2020"/>
    <w:docVar w:name="Initiators" w:val="(and another named in the Schedule)"/>
    <w:docVar w:name="Judgdate" w:val="25 February 2022"/>
    <w:docVar w:name="Judge" w:val="Katzmann, SC Derrington and Banks-Smith"/>
    <w:docVar w:name="JudgeType" w:val="Justices"/>
    <w:docVar w:name="lstEntryList" w:val="-1"/>
    <w:docVar w:name="myEntryList" w:val="Counsel for the Applicant=Mr G Rebetzke|Solicitor for the Applicant=Armstrong Legal|Counsel for the Respondent=Mr A L Wheatley QC with Mr Scott|Solicitor for the Respondent=Clayton Utz"/>
    <w:docVar w:name="NSD" w:val="NSD "/>
    <w:docVar w:name="NumApps" w:val="1"/>
    <w:docVar w:name="NumApps_" w:val="1"/>
    <w:docVar w:name="NumCrossResps" w:val="0"/>
    <w:docVar w:name="NumDefs" w:val="1"/>
    <w:docVar w:name="NumOthers" w:val="0"/>
    <w:docVar w:name="OtherNum" w:val="0"/>
    <w:docVar w:name="Parties1" w:val="Applicant"/>
    <w:docVar w:name="Parties2" w:val="Respondent"/>
    <w:docVar w:name="Parties3" w:val="Cross-Appellant"/>
    <w:docVar w:name="Parties4" w:val="Cross-Defendant"/>
    <w:docVar w:name="Parties5" w:val="Intervener"/>
    <w:docVar w:name="Place" w:val="N/A FCA"/>
    <w:docVar w:name="PracticeArea" w:val="Administrative and Constitutional Law and Human Rights"/>
    <w:docVar w:name="RESAndAnother" w:val="True"/>
    <w:docVar w:name="RESAndOthers" w:val="False"/>
    <w:docVar w:name="Respondent" w:val="MINISTER FOR IMMIGRATION, CITIZENSHIP, MIGRANT SERVICES AND MULTICULTURAL AFFAIRS"/>
    <w:docVar w:name="ResState" w:val="Queensland"/>
    <w:docVar w:name="SubArea" w:val="(none)"/>
  </w:docVars>
  <w:rsids>
    <w:rsidRoot w:val="006E1873"/>
    <w:rsid w:val="00000747"/>
    <w:rsid w:val="0000159D"/>
    <w:rsid w:val="000020EF"/>
    <w:rsid w:val="00004AC5"/>
    <w:rsid w:val="00005DC2"/>
    <w:rsid w:val="00010C7A"/>
    <w:rsid w:val="000115C5"/>
    <w:rsid w:val="00011AAD"/>
    <w:rsid w:val="00011E14"/>
    <w:rsid w:val="0001293C"/>
    <w:rsid w:val="0001469E"/>
    <w:rsid w:val="00015993"/>
    <w:rsid w:val="00016789"/>
    <w:rsid w:val="00021CCB"/>
    <w:rsid w:val="00022289"/>
    <w:rsid w:val="000237E9"/>
    <w:rsid w:val="000253E5"/>
    <w:rsid w:val="00026320"/>
    <w:rsid w:val="000268D5"/>
    <w:rsid w:val="00027398"/>
    <w:rsid w:val="0003201A"/>
    <w:rsid w:val="0003207A"/>
    <w:rsid w:val="000328FB"/>
    <w:rsid w:val="00032F9F"/>
    <w:rsid w:val="00033A4E"/>
    <w:rsid w:val="00036066"/>
    <w:rsid w:val="00037016"/>
    <w:rsid w:val="00037674"/>
    <w:rsid w:val="00037AB8"/>
    <w:rsid w:val="000401F7"/>
    <w:rsid w:val="00041C07"/>
    <w:rsid w:val="00043A30"/>
    <w:rsid w:val="00044A84"/>
    <w:rsid w:val="0004541A"/>
    <w:rsid w:val="00045BB7"/>
    <w:rsid w:val="00052C69"/>
    <w:rsid w:val="000537F6"/>
    <w:rsid w:val="00055719"/>
    <w:rsid w:val="0005641B"/>
    <w:rsid w:val="00056F5F"/>
    <w:rsid w:val="0006196A"/>
    <w:rsid w:val="00062AA0"/>
    <w:rsid w:val="000650F0"/>
    <w:rsid w:val="0006540A"/>
    <w:rsid w:val="00071ACA"/>
    <w:rsid w:val="00071FB3"/>
    <w:rsid w:val="00072208"/>
    <w:rsid w:val="00073D68"/>
    <w:rsid w:val="0007677F"/>
    <w:rsid w:val="00077768"/>
    <w:rsid w:val="00081497"/>
    <w:rsid w:val="000831B3"/>
    <w:rsid w:val="000831EC"/>
    <w:rsid w:val="0008338E"/>
    <w:rsid w:val="00084126"/>
    <w:rsid w:val="00085255"/>
    <w:rsid w:val="00086384"/>
    <w:rsid w:val="00092715"/>
    <w:rsid w:val="0009344C"/>
    <w:rsid w:val="00093FAC"/>
    <w:rsid w:val="000960F6"/>
    <w:rsid w:val="00096232"/>
    <w:rsid w:val="00096B31"/>
    <w:rsid w:val="000A0ACE"/>
    <w:rsid w:val="000A13BC"/>
    <w:rsid w:val="000A2E76"/>
    <w:rsid w:val="000A333F"/>
    <w:rsid w:val="000A4731"/>
    <w:rsid w:val="000A4807"/>
    <w:rsid w:val="000A4BE4"/>
    <w:rsid w:val="000A6C53"/>
    <w:rsid w:val="000A7104"/>
    <w:rsid w:val="000B086F"/>
    <w:rsid w:val="000B5475"/>
    <w:rsid w:val="000C023E"/>
    <w:rsid w:val="000C3B52"/>
    <w:rsid w:val="000C3D2A"/>
    <w:rsid w:val="000C405D"/>
    <w:rsid w:val="000C5195"/>
    <w:rsid w:val="000C5903"/>
    <w:rsid w:val="000C62EF"/>
    <w:rsid w:val="000D09FD"/>
    <w:rsid w:val="000D2137"/>
    <w:rsid w:val="000D3FD2"/>
    <w:rsid w:val="000D4B2E"/>
    <w:rsid w:val="000D5524"/>
    <w:rsid w:val="000D6D6C"/>
    <w:rsid w:val="000D7BE2"/>
    <w:rsid w:val="000E0DB7"/>
    <w:rsid w:val="000E3FC8"/>
    <w:rsid w:val="000E6AD7"/>
    <w:rsid w:val="000E7BAE"/>
    <w:rsid w:val="000F133D"/>
    <w:rsid w:val="000F2D47"/>
    <w:rsid w:val="001004A8"/>
    <w:rsid w:val="00105027"/>
    <w:rsid w:val="0010536B"/>
    <w:rsid w:val="001057C5"/>
    <w:rsid w:val="001060C0"/>
    <w:rsid w:val="0011145C"/>
    <w:rsid w:val="001128BD"/>
    <w:rsid w:val="0011419D"/>
    <w:rsid w:val="00114B02"/>
    <w:rsid w:val="00116649"/>
    <w:rsid w:val="0011731D"/>
    <w:rsid w:val="00121C08"/>
    <w:rsid w:val="001221FF"/>
    <w:rsid w:val="001222DF"/>
    <w:rsid w:val="001225F6"/>
    <w:rsid w:val="001226C0"/>
    <w:rsid w:val="00126EC8"/>
    <w:rsid w:val="00126FB4"/>
    <w:rsid w:val="0012731C"/>
    <w:rsid w:val="00130FD8"/>
    <w:rsid w:val="00131795"/>
    <w:rsid w:val="00132054"/>
    <w:rsid w:val="00134964"/>
    <w:rsid w:val="001351B9"/>
    <w:rsid w:val="001506D6"/>
    <w:rsid w:val="001507D7"/>
    <w:rsid w:val="0015118A"/>
    <w:rsid w:val="0015410A"/>
    <w:rsid w:val="00155CD2"/>
    <w:rsid w:val="00161CE8"/>
    <w:rsid w:val="00162B05"/>
    <w:rsid w:val="00163E6A"/>
    <w:rsid w:val="0016568A"/>
    <w:rsid w:val="0016676B"/>
    <w:rsid w:val="001672D8"/>
    <w:rsid w:val="001725C9"/>
    <w:rsid w:val="001727A4"/>
    <w:rsid w:val="00172BA0"/>
    <w:rsid w:val="0017376C"/>
    <w:rsid w:val="001738AB"/>
    <w:rsid w:val="001765E0"/>
    <w:rsid w:val="00176EE6"/>
    <w:rsid w:val="00177759"/>
    <w:rsid w:val="00180B28"/>
    <w:rsid w:val="00180BB3"/>
    <w:rsid w:val="00182771"/>
    <w:rsid w:val="00185371"/>
    <w:rsid w:val="00185DD6"/>
    <w:rsid w:val="00185E6B"/>
    <w:rsid w:val="00187BBC"/>
    <w:rsid w:val="00193000"/>
    <w:rsid w:val="001932F3"/>
    <w:rsid w:val="00194011"/>
    <w:rsid w:val="00195469"/>
    <w:rsid w:val="0019725A"/>
    <w:rsid w:val="001A1645"/>
    <w:rsid w:val="001A2B40"/>
    <w:rsid w:val="001A4309"/>
    <w:rsid w:val="001A46AE"/>
    <w:rsid w:val="001A648F"/>
    <w:rsid w:val="001A6C52"/>
    <w:rsid w:val="001B1053"/>
    <w:rsid w:val="001B14AC"/>
    <w:rsid w:val="001B168C"/>
    <w:rsid w:val="001B2DA5"/>
    <w:rsid w:val="001B7940"/>
    <w:rsid w:val="001C171A"/>
    <w:rsid w:val="001C2FE0"/>
    <w:rsid w:val="001C37CA"/>
    <w:rsid w:val="001C4085"/>
    <w:rsid w:val="001C6CAA"/>
    <w:rsid w:val="001D0080"/>
    <w:rsid w:val="001D256D"/>
    <w:rsid w:val="001D34B8"/>
    <w:rsid w:val="001D4303"/>
    <w:rsid w:val="001D6746"/>
    <w:rsid w:val="001D6B81"/>
    <w:rsid w:val="001D6BAD"/>
    <w:rsid w:val="001E0C61"/>
    <w:rsid w:val="001E3B49"/>
    <w:rsid w:val="001E4A05"/>
    <w:rsid w:val="001E609A"/>
    <w:rsid w:val="001E6A19"/>
    <w:rsid w:val="001E7388"/>
    <w:rsid w:val="001F13BB"/>
    <w:rsid w:val="001F13DD"/>
    <w:rsid w:val="001F1772"/>
    <w:rsid w:val="001F19C2"/>
    <w:rsid w:val="001F2473"/>
    <w:rsid w:val="001F2DB0"/>
    <w:rsid w:val="001F2DBC"/>
    <w:rsid w:val="001F4D98"/>
    <w:rsid w:val="001F73E8"/>
    <w:rsid w:val="001F760A"/>
    <w:rsid w:val="002018E1"/>
    <w:rsid w:val="0020262C"/>
    <w:rsid w:val="00202723"/>
    <w:rsid w:val="0020554C"/>
    <w:rsid w:val="0020710A"/>
    <w:rsid w:val="00207ED8"/>
    <w:rsid w:val="0021088C"/>
    <w:rsid w:val="00211A3E"/>
    <w:rsid w:val="00211CE8"/>
    <w:rsid w:val="0021287C"/>
    <w:rsid w:val="00213F20"/>
    <w:rsid w:val="00214055"/>
    <w:rsid w:val="00215BCA"/>
    <w:rsid w:val="002160F5"/>
    <w:rsid w:val="00216ECD"/>
    <w:rsid w:val="00217AC4"/>
    <w:rsid w:val="00221461"/>
    <w:rsid w:val="00224537"/>
    <w:rsid w:val="002273E4"/>
    <w:rsid w:val="0023329E"/>
    <w:rsid w:val="00235956"/>
    <w:rsid w:val="00236A15"/>
    <w:rsid w:val="00243E5E"/>
    <w:rsid w:val="00244422"/>
    <w:rsid w:val="00245789"/>
    <w:rsid w:val="002467A6"/>
    <w:rsid w:val="00247C9A"/>
    <w:rsid w:val="0025160C"/>
    <w:rsid w:val="00252AE5"/>
    <w:rsid w:val="002535D0"/>
    <w:rsid w:val="002539B3"/>
    <w:rsid w:val="00255A7E"/>
    <w:rsid w:val="00256336"/>
    <w:rsid w:val="00257978"/>
    <w:rsid w:val="00257C3E"/>
    <w:rsid w:val="002602C2"/>
    <w:rsid w:val="00263FB6"/>
    <w:rsid w:val="00264F8E"/>
    <w:rsid w:val="002666C9"/>
    <w:rsid w:val="00270136"/>
    <w:rsid w:val="00270DF8"/>
    <w:rsid w:val="00270FD7"/>
    <w:rsid w:val="002727D5"/>
    <w:rsid w:val="00274F5B"/>
    <w:rsid w:val="00277994"/>
    <w:rsid w:val="00280836"/>
    <w:rsid w:val="00282E1A"/>
    <w:rsid w:val="002840F1"/>
    <w:rsid w:val="00284C94"/>
    <w:rsid w:val="00285922"/>
    <w:rsid w:val="002900DF"/>
    <w:rsid w:val="002906D3"/>
    <w:rsid w:val="0029113B"/>
    <w:rsid w:val="002916C1"/>
    <w:rsid w:val="00292869"/>
    <w:rsid w:val="002934C0"/>
    <w:rsid w:val="00293E1F"/>
    <w:rsid w:val="0029764C"/>
    <w:rsid w:val="002A0DA2"/>
    <w:rsid w:val="002A1B50"/>
    <w:rsid w:val="002A3433"/>
    <w:rsid w:val="002A4813"/>
    <w:rsid w:val="002B0E91"/>
    <w:rsid w:val="002B132C"/>
    <w:rsid w:val="002B1D6B"/>
    <w:rsid w:val="002B300A"/>
    <w:rsid w:val="002B3F23"/>
    <w:rsid w:val="002B4EB5"/>
    <w:rsid w:val="002B5526"/>
    <w:rsid w:val="002B5AF5"/>
    <w:rsid w:val="002B6779"/>
    <w:rsid w:val="002B71C0"/>
    <w:rsid w:val="002B7A34"/>
    <w:rsid w:val="002C0E24"/>
    <w:rsid w:val="002C1040"/>
    <w:rsid w:val="002C2072"/>
    <w:rsid w:val="002C256D"/>
    <w:rsid w:val="002C31AD"/>
    <w:rsid w:val="002C4610"/>
    <w:rsid w:val="002C4C2C"/>
    <w:rsid w:val="002C7385"/>
    <w:rsid w:val="002D0F4E"/>
    <w:rsid w:val="002D267F"/>
    <w:rsid w:val="002D2DBB"/>
    <w:rsid w:val="002D37D8"/>
    <w:rsid w:val="002D489E"/>
    <w:rsid w:val="002D54A6"/>
    <w:rsid w:val="002D6264"/>
    <w:rsid w:val="002E3779"/>
    <w:rsid w:val="002E5BF9"/>
    <w:rsid w:val="002E6A7A"/>
    <w:rsid w:val="002F1E49"/>
    <w:rsid w:val="002F21BC"/>
    <w:rsid w:val="002F33B4"/>
    <w:rsid w:val="002F4C02"/>
    <w:rsid w:val="002F4E9C"/>
    <w:rsid w:val="002F6E15"/>
    <w:rsid w:val="00302F4E"/>
    <w:rsid w:val="00303AC1"/>
    <w:rsid w:val="00304EB4"/>
    <w:rsid w:val="00307F58"/>
    <w:rsid w:val="00310CE7"/>
    <w:rsid w:val="00312219"/>
    <w:rsid w:val="0031256C"/>
    <w:rsid w:val="003129DA"/>
    <w:rsid w:val="00312B7B"/>
    <w:rsid w:val="00313613"/>
    <w:rsid w:val="00314D6C"/>
    <w:rsid w:val="00316D2A"/>
    <w:rsid w:val="003202FD"/>
    <w:rsid w:val="003205A3"/>
    <w:rsid w:val="00322A7C"/>
    <w:rsid w:val="00322EEC"/>
    <w:rsid w:val="00323061"/>
    <w:rsid w:val="00323C84"/>
    <w:rsid w:val="00326F60"/>
    <w:rsid w:val="003402D3"/>
    <w:rsid w:val="0034068E"/>
    <w:rsid w:val="00341182"/>
    <w:rsid w:val="003414B4"/>
    <w:rsid w:val="00342BF6"/>
    <w:rsid w:val="00343ABC"/>
    <w:rsid w:val="003463FE"/>
    <w:rsid w:val="003472FC"/>
    <w:rsid w:val="00347D41"/>
    <w:rsid w:val="00350F67"/>
    <w:rsid w:val="0035188C"/>
    <w:rsid w:val="00352D6A"/>
    <w:rsid w:val="00353057"/>
    <w:rsid w:val="00354186"/>
    <w:rsid w:val="00354442"/>
    <w:rsid w:val="003554B3"/>
    <w:rsid w:val="00356632"/>
    <w:rsid w:val="00356CAB"/>
    <w:rsid w:val="003570D1"/>
    <w:rsid w:val="00357C7E"/>
    <w:rsid w:val="0036013A"/>
    <w:rsid w:val="00360886"/>
    <w:rsid w:val="00360F7A"/>
    <w:rsid w:val="003653B6"/>
    <w:rsid w:val="00366D76"/>
    <w:rsid w:val="00366E5A"/>
    <w:rsid w:val="00370327"/>
    <w:rsid w:val="00371757"/>
    <w:rsid w:val="00372131"/>
    <w:rsid w:val="00374A07"/>
    <w:rsid w:val="00374ABE"/>
    <w:rsid w:val="00374CC4"/>
    <w:rsid w:val="003774B2"/>
    <w:rsid w:val="00380F2D"/>
    <w:rsid w:val="003810CE"/>
    <w:rsid w:val="00381B34"/>
    <w:rsid w:val="003845A9"/>
    <w:rsid w:val="003850C9"/>
    <w:rsid w:val="00386A49"/>
    <w:rsid w:val="00387B45"/>
    <w:rsid w:val="00387CDB"/>
    <w:rsid w:val="00390883"/>
    <w:rsid w:val="00391E7B"/>
    <w:rsid w:val="003922F8"/>
    <w:rsid w:val="00395B24"/>
    <w:rsid w:val="00396A6E"/>
    <w:rsid w:val="003A01DA"/>
    <w:rsid w:val="003A0A4F"/>
    <w:rsid w:val="003A18D8"/>
    <w:rsid w:val="003A1A6B"/>
    <w:rsid w:val="003A2D38"/>
    <w:rsid w:val="003A6437"/>
    <w:rsid w:val="003A7ECC"/>
    <w:rsid w:val="003B150F"/>
    <w:rsid w:val="003B2BD2"/>
    <w:rsid w:val="003B2C72"/>
    <w:rsid w:val="003B32F5"/>
    <w:rsid w:val="003B58B4"/>
    <w:rsid w:val="003C1333"/>
    <w:rsid w:val="003C20FF"/>
    <w:rsid w:val="003C430E"/>
    <w:rsid w:val="003C550A"/>
    <w:rsid w:val="003C6055"/>
    <w:rsid w:val="003D02B2"/>
    <w:rsid w:val="003D2608"/>
    <w:rsid w:val="003D2650"/>
    <w:rsid w:val="003D560C"/>
    <w:rsid w:val="003D5C00"/>
    <w:rsid w:val="003D68F5"/>
    <w:rsid w:val="003E0006"/>
    <w:rsid w:val="003E3154"/>
    <w:rsid w:val="003E5874"/>
    <w:rsid w:val="003E6AB7"/>
    <w:rsid w:val="003E72D3"/>
    <w:rsid w:val="003F193E"/>
    <w:rsid w:val="003F242C"/>
    <w:rsid w:val="003F34F1"/>
    <w:rsid w:val="004031D8"/>
    <w:rsid w:val="00403C2F"/>
    <w:rsid w:val="0040469F"/>
    <w:rsid w:val="004104B6"/>
    <w:rsid w:val="00410B34"/>
    <w:rsid w:val="00411AE8"/>
    <w:rsid w:val="00413B74"/>
    <w:rsid w:val="00415A64"/>
    <w:rsid w:val="00415E17"/>
    <w:rsid w:val="0042320E"/>
    <w:rsid w:val="00425508"/>
    <w:rsid w:val="00431055"/>
    <w:rsid w:val="0043256A"/>
    <w:rsid w:val="00433BE6"/>
    <w:rsid w:val="004342F3"/>
    <w:rsid w:val="00434CA3"/>
    <w:rsid w:val="00435C5F"/>
    <w:rsid w:val="00436155"/>
    <w:rsid w:val="00436460"/>
    <w:rsid w:val="00437748"/>
    <w:rsid w:val="00441E98"/>
    <w:rsid w:val="00442BC8"/>
    <w:rsid w:val="00443062"/>
    <w:rsid w:val="004455C1"/>
    <w:rsid w:val="0044757B"/>
    <w:rsid w:val="00450F3A"/>
    <w:rsid w:val="004532F7"/>
    <w:rsid w:val="00464D51"/>
    <w:rsid w:val="00470F62"/>
    <w:rsid w:val="00472027"/>
    <w:rsid w:val="004721C3"/>
    <w:rsid w:val="00472687"/>
    <w:rsid w:val="00474516"/>
    <w:rsid w:val="004770D8"/>
    <w:rsid w:val="004804CF"/>
    <w:rsid w:val="00483314"/>
    <w:rsid w:val="00484962"/>
    <w:rsid w:val="00484F6D"/>
    <w:rsid w:val="00484FB7"/>
    <w:rsid w:val="0048554D"/>
    <w:rsid w:val="004857C8"/>
    <w:rsid w:val="00492D6A"/>
    <w:rsid w:val="00493128"/>
    <w:rsid w:val="0049338A"/>
    <w:rsid w:val="0049417F"/>
    <w:rsid w:val="004952D7"/>
    <w:rsid w:val="00496D41"/>
    <w:rsid w:val="004979D1"/>
    <w:rsid w:val="00497BD5"/>
    <w:rsid w:val="004A0A77"/>
    <w:rsid w:val="004A2DFE"/>
    <w:rsid w:val="004A6602"/>
    <w:rsid w:val="004B1094"/>
    <w:rsid w:val="004B261B"/>
    <w:rsid w:val="004B346E"/>
    <w:rsid w:val="004B35B1"/>
    <w:rsid w:val="004B3D26"/>
    <w:rsid w:val="004B3EFA"/>
    <w:rsid w:val="004B5235"/>
    <w:rsid w:val="004B67D6"/>
    <w:rsid w:val="004B707C"/>
    <w:rsid w:val="004C2A87"/>
    <w:rsid w:val="004C3B81"/>
    <w:rsid w:val="004C423A"/>
    <w:rsid w:val="004C4D7B"/>
    <w:rsid w:val="004C4ED3"/>
    <w:rsid w:val="004C5944"/>
    <w:rsid w:val="004C667B"/>
    <w:rsid w:val="004C7ECD"/>
    <w:rsid w:val="004D0842"/>
    <w:rsid w:val="004D2EA5"/>
    <w:rsid w:val="004D32A6"/>
    <w:rsid w:val="004D53E5"/>
    <w:rsid w:val="004D7950"/>
    <w:rsid w:val="004D7F26"/>
    <w:rsid w:val="004E2609"/>
    <w:rsid w:val="004E3396"/>
    <w:rsid w:val="004E4B53"/>
    <w:rsid w:val="004E6DC4"/>
    <w:rsid w:val="004E7B5F"/>
    <w:rsid w:val="004F12A8"/>
    <w:rsid w:val="004F21C1"/>
    <w:rsid w:val="004F25D6"/>
    <w:rsid w:val="004F3917"/>
    <w:rsid w:val="004F4DA4"/>
    <w:rsid w:val="004F728B"/>
    <w:rsid w:val="004F7453"/>
    <w:rsid w:val="004F79A7"/>
    <w:rsid w:val="00501A12"/>
    <w:rsid w:val="0050309C"/>
    <w:rsid w:val="00503BCA"/>
    <w:rsid w:val="005056F8"/>
    <w:rsid w:val="005057A3"/>
    <w:rsid w:val="00505E45"/>
    <w:rsid w:val="00511D00"/>
    <w:rsid w:val="0051327C"/>
    <w:rsid w:val="0051346D"/>
    <w:rsid w:val="00513EAE"/>
    <w:rsid w:val="00513F84"/>
    <w:rsid w:val="0051434F"/>
    <w:rsid w:val="00516806"/>
    <w:rsid w:val="00517F8A"/>
    <w:rsid w:val="0052098C"/>
    <w:rsid w:val="005237D7"/>
    <w:rsid w:val="0052465F"/>
    <w:rsid w:val="00525A49"/>
    <w:rsid w:val="00525DF8"/>
    <w:rsid w:val="005262D1"/>
    <w:rsid w:val="00530876"/>
    <w:rsid w:val="00531537"/>
    <w:rsid w:val="00531EDB"/>
    <w:rsid w:val="00533533"/>
    <w:rsid w:val="005349A2"/>
    <w:rsid w:val="00535613"/>
    <w:rsid w:val="00535705"/>
    <w:rsid w:val="005359EB"/>
    <w:rsid w:val="005402B2"/>
    <w:rsid w:val="00541101"/>
    <w:rsid w:val="0054254A"/>
    <w:rsid w:val="00542CC6"/>
    <w:rsid w:val="005432A7"/>
    <w:rsid w:val="0054500B"/>
    <w:rsid w:val="005466B5"/>
    <w:rsid w:val="00554314"/>
    <w:rsid w:val="00554E7D"/>
    <w:rsid w:val="0055741D"/>
    <w:rsid w:val="00562829"/>
    <w:rsid w:val="005629B3"/>
    <w:rsid w:val="00563E60"/>
    <w:rsid w:val="00564AD3"/>
    <w:rsid w:val="0056656B"/>
    <w:rsid w:val="00566AB5"/>
    <w:rsid w:val="005710B7"/>
    <w:rsid w:val="0057128A"/>
    <w:rsid w:val="005724F6"/>
    <w:rsid w:val="00573AC4"/>
    <w:rsid w:val="005743A2"/>
    <w:rsid w:val="00574DE5"/>
    <w:rsid w:val="00574F59"/>
    <w:rsid w:val="005801FC"/>
    <w:rsid w:val="00580D9B"/>
    <w:rsid w:val="00583446"/>
    <w:rsid w:val="0058480A"/>
    <w:rsid w:val="00585BA9"/>
    <w:rsid w:val="00587359"/>
    <w:rsid w:val="00595016"/>
    <w:rsid w:val="00597999"/>
    <w:rsid w:val="00597AAE"/>
    <w:rsid w:val="005A1395"/>
    <w:rsid w:val="005A222C"/>
    <w:rsid w:val="005A2927"/>
    <w:rsid w:val="005A4553"/>
    <w:rsid w:val="005A4DF8"/>
    <w:rsid w:val="005A78C8"/>
    <w:rsid w:val="005B1426"/>
    <w:rsid w:val="005B2823"/>
    <w:rsid w:val="005B3840"/>
    <w:rsid w:val="005B3FE7"/>
    <w:rsid w:val="005B649B"/>
    <w:rsid w:val="005B7CE1"/>
    <w:rsid w:val="005C0A8E"/>
    <w:rsid w:val="005C1211"/>
    <w:rsid w:val="005C1767"/>
    <w:rsid w:val="005C185C"/>
    <w:rsid w:val="005C3266"/>
    <w:rsid w:val="005C42EF"/>
    <w:rsid w:val="005C4B9C"/>
    <w:rsid w:val="005D0746"/>
    <w:rsid w:val="005D21AB"/>
    <w:rsid w:val="005D3288"/>
    <w:rsid w:val="005D38E4"/>
    <w:rsid w:val="005E02F5"/>
    <w:rsid w:val="005E0510"/>
    <w:rsid w:val="005E0F56"/>
    <w:rsid w:val="005E176E"/>
    <w:rsid w:val="005E218E"/>
    <w:rsid w:val="005E26FA"/>
    <w:rsid w:val="005E35A0"/>
    <w:rsid w:val="005E4B87"/>
    <w:rsid w:val="005F0D1B"/>
    <w:rsid w:val="005F1865"/>
    <w:rsid w:val="005F284A"/>
    <w:rsid w:val="005F351A"/>
    <w:rsid w:val="005F425B"/>
    <w:rsid w:val="005F4D88"/>
    <w:rsid w:val="005F5DEF"/>
    <w:rsid w:val="006007BD"/>
    <w:rsid w:val="0060095E"/>
    <w:rsid w:val="006013C8"/>
    <w:rsid w:val="006025DC"/>
    <w:rsid w:val="0060270D"/>
    <w:rsid w:val="00604342"/>
    <w:rsid w:val="00604611"/>
    <w:rsid w:val="00611586"/>
    <w:rsid w:val="00612D26"/>
    <w:rsid w:val="00612DA6"/>
    <w:rsid w:val="0061317D"/>
    <w:rsid w:val="00615855"/>
    <w:rsid w:val="006209C0"/>
    <w:rsid w:val="00620CE7"/>
    <w:rsid w:val="00620DA8"/>
    <w:rsid w:val="00621887"/>
    <w:rsid w:val="006220DB"/>
    <w:rsid w:val="006236A3"/>
    <w:rsid w:val="00624520"/>
    <w:rsid w:val="00625F81"/>
    <w:rsid w:val="006271F5"/>
    <w:rsid w:val="006308B4"/>
    <w:rsid w:val="00632300"/>
    <w:rsid w:val="00632A3A"/>
    <w:rsid w:val="00632BB7"/>
    <w:rsid w:val="006343F1"/>
    <w:rsid w:val="00635B36"/>
    <w:rsid w:val="00636871"/>
    <w:rsid w:val="00637D0F"/>
    <w:rsid w:val="00640EE1"/>
    <w:rsid w:val="00640F4E"/>
    <w:rsid w:val="00643DE0"/>
    <w:rsid w:val="0064437D"/>
    <w:rsid w:val="00644E85"/>
    <w:rsid w:val="00645935"/>
    <w:rsid w:val="00646955"/>
    <w:rsid w:val="006516D8"/>
    <w:rsid w:val="00652C52"/>
    <w:rsid w:val="00654F84"/>
    <w:rsid w:val="0066063F"/>
    <w:rsid w:val="00662BB0"/>
    <w:rsid w:val="00663878"/>
    <w:rsid w:val="00663A96"/>
    <w:rsid w:val="006643FE"/>
    <w:rsid w:val="00664D86"/>
    <w:rsid w:val="00666390"/>
    <w:rsid w:val="00667773"/>
    <w:rsid w:val="00667C2F"/>
    <w:rsid w:val="00670725"/>
    <w:rsid w:val="00670743"/>
    <w:rsid w:val="00672179"/>
    <w:rsid w:val="00674B6C"/>
    <w:rsid w:val="00677658"/>
    <w:rsid w:val="00677FD0"/>
    <w:rsid w:val="00680A85"/>
    <w:rsid w:val="00681ADF"/>
    <w:rsid w:val="00683863"/>
    <w:rsid w:val="00683F7A"/>
    <w:rsid w:val="00690EE2"/>
    <w:rsid w:val="00691110"/>
    <w:rsid w:val="006927A6"/>
    <w:rsid w:val="00693854"/>
    <w:rsid w:val="00694BEB"/>
    <w:rsid w:val="00694EFE"/>
    <w:rsid w:val="006A0E20"/>
    <w:rsid w:val="006A136A"/>
    <w:rsid w:val="006A24E3"/>
    <w:rsid w:val="006A310A"/>
    <w:rsid w:val="006A5695"/>
    <w:rsid w:val="006B0439"/>
    <w:rsid w:val="006B3904"/>
    <w:rsid w:val="006B4FD2"/>
    <w:rsid w:val="006B5B7D"/>
    <w:rsid w:val="006B5EDC"/>
    <w:rsid w:val="006B7804"/>
    <w:rsid w:val="006B7A08"/>
    <w:rsid w:val="006C40C8"/>
    <w:rsid w:val="006C41C2"/>
    <w:rsid w:val="006C47D7"/>
    <w:rsid w:val="006C5B46"/>
    <w:rsid w:val="006C63F3"/>
    <w:rsid w:val="006C6E39"/>
    <w:rsid w:val="006D0ECF"/>
    <w:rsid w:val="006D11CE"/>
    <w:rsid w:val="006D1EF0"/>
    <w:rsid w:val="006D23E7"/>
    <w:rsid w:val="006D3D5B"/>
    <w:rsid w:val="006D4C92"/>
    <w:rsid w:val="006D4EB6"/>
    <w:rsid w:val="006D4EF5"/>
    <w:rsid w:val="006D74E2"/>
    <w:rsid w:val="006D7FBC"/>
    <w:rsid w:val="006E00E1"/>
    <w:rsid w:val="006E098C"/>
    <w:rsid w:val="006E1873"/>
    <w:rsid w:val="006E339F"/>
    <w:rsid w:val="006E35BF"/>
    <w:rsid w:val="006E49F9"/>
    <w:rsid w:val="006E57CA"/>
    <w:rsid w:val="006E5BE1"/>
    <w:rsid w:val="006E7850"/>
    <w:rsid w:val="006F19D8"/>
    <w:rsid w:val="006F2DF6"/>
    <w:rsid w:val="006F40D3"/>
    <w:rsid w:val="006F46D6"/>
    <w:rsid w:val="006F4BBB"/>
    <w:rsid w:val="006F6703"/>
    <w:rsid w:val="006F6931"/>
    <w:rsid w:val="0070008E"/>
    <w:rsid w:val="00701C5F"/>
    <w:rsid w:val="007028D9"/>
    <w:rsid w:val="00705FF6"/>
    <w:rsid w:val="00706755"/>
    <w:rsid w:val="00707218"/>
    <w:rsid w:val="00710D04"/>
    <w:rsid w:val="0071136C"/>
    <w:rsid w:val="00712B1D"/>
    <w:rsid w:val="007154E9"/>
    <w:rsid w:val="00715751"/>
    <w:rsid w:val="00715F44"/>
    <w:rsid w:val="007171BA"/>
    <w:rsid w:val="00717616"/>
    <w:rsid w:val="00724325"/>
    <w:rsid w:val="00724A31"/>
    <w:rsid w:val="0073064E"/>
    <w:rsid w:val="007325D9"/>
    <w:rsid w:val="007338ED"/>
    <w:rsid w:val="0073413F"/>
    <w:rsid w:val="0073583B"/>
    <w:rsid w:val="00735B38"/>
    <w:rsid w:val="007360CA"/>
    <w:rsid w:val="00736B1C"/>
    <w:rsid w:val="00736B8F"/>
    <w:rsid w:val="00736F98"/>
    <w:rsid w:val="007439B8"/>
    <w:rsid w:val="0074534F"/>
    <w:rsid w:val="00745BBB"/>
    <w:rsid w:val="0074667B"/>
    <w:rsid w:val="007470BD"/>
    <w:rsid w:val="007533A4"/>
    <w:rsid w:val="007534E2"/>
    <w:rsid w:val="00756E47"/>
    <w:rsid w:val="00757DFF"/>
    <w:rsid w:val="00760EC0"/>
    <w:rsid w:val="007674A4"/>
    <w:rsid w:val="007709B8"/>
    <w:rsid w:val="007711BD"/>
    <w:rsid w:val="007711CA"/>
    <w:rsid w:val="0077134F"/>
    <w:rsid w:val="0078003A"/>
    <w:rsid w:val="00780771"/>
    <w:rsid w:val="0078182B"/>
    <w:rsid w:val="007834C6"/>
    <w:rsid w:val="00784A2F"/>
    <w:rsid w:val="0079250F"/>
    <w:rsid w:val="007929CF"/>
    <w:rsid w:val="00792AF9"/>
    <w:rsid w:val="00797BA8"/>
    <w:rsid w:val="007A081D"/>
    <w:rsid w:val="007A1976"/>
    <w:rsid w:val="007A49E7"/>
    <w:rsid w:val="007A58FC"/>
    <w:rsid w:val="007A630D"/>
    <w:rsid w:val="007A688E"/>
    <w:rsid w:val="007A6F28"/>
    <w:rsid w:val="007A75E9"/>
    <w:rsid w:val="007B03C6"/>
    <w:rsid w:val="007B0DB1"/>
    <w:rsid w:val="007B1FC0"/>
    <w:rsid w:val="007B35B6"/>
    <w:rsid w:val="007B5673"/>
    <w:rsid w:val="007B7238"/>
    <w:rsid w:val="007B76FF"/>
    <w:rsid w:val="007C3219"/>
    <w:rsid w:val="007C3BF6"/>
    <w:rsid w:val="007C67B3"/>
    <w:rsid w:val="007D0185"/>
    <w:rsid w:val="007D0FD2"/>
    <w:rsid w:val="007D2EF8"/>
    <w:rsid w:val="007D3A52"/>
    <w:rsid w:val="007D561F"/>
    <w:rsid w:val="007D5C8C"/>
    <w:rsid w:val="007D7FD2"/>
    <w:rsid w:val="007E13D9"/>
    <w:rsid w:val="007E2AEC"/>
    <w:rsid w:val="007E38E8"/>
    <w:rsid w:val="007E41BE"/>
    <w:rsid w:val="007E4DB6"/>
    <w:rsid w:val="007E6733"/>
    <w:rsid w:val="007E7CD4"/>
    <w:rsid w:val="007F0586"/>
    <w:rsid w:val="007F12AC"/>
    <w:rsid w:val="007F4195"/>
    <w:rsid w:val="007F4501"/>
    <w:rsid w:val="007F526C"/>
    <w:rsid w:val="007F60DF"/>
    <w:rsid w:val="008010D3"/>
    <w:rsid w:val="00801800"/>
    <w:rsid w:val="00801861"/>
    <w:rsid w:val="00801B5B"/>
    <w:rsid w:val="00805A30"/>
    <w:rsid w:val="00805D55"/>
    <w:rsid w:val="008074D3"/>
    <w:rsid w:val="008146E5"/>
    <w:rsid w:val="0081492F"/>
    <w:rsid w:val="00814C37"/>
    <w:rsid w:val="00814F73"/>
    <w:rsid w:val="00815F00"/>
    <w:rsid w:val="00820616"/>
    <w:rsid w:val="008216E7"/>
    <w:rsid w:val="00823162"/>
    <w:rsid w:val="00824638"/>
    <w:rsid w:val="00824F2A"/>
    <w:rsid w:val="00825BE6"/>
    <w:rsid w:val="008265DB"/>
    <w:rsid w:val="00826BEA"/>
    <w:rsid w:val="00827571"/>
    <w:rsid w:val="008276B4"/>
    <w:rsid w:val="00831927"/>
    <w:rsid w:val="008340BC"/>
    <w:rsid w:val="0083511F"/>
    <w:rsid w:val="0083600A"/>
    <w:rsid w:val="00837288"/>
    <w:rsid w:val="00841A80"/>
    <w:rsid w:val="00841BD3"/>
    <w:rsid w:val="0084273D"/>
    <w:rsid w:val="00842C10"/>
    <w:rsid w:val="0084392D"/>
    <w:rsid w:val="00844E3F"/>
    <w:rsid w:val="00845A83"/>
    <w:rsid w:val="00846BB9"/>
    <w:rsid w:val="00851ECE"/>
    <w:rsid w:val="00852468"/>
    <w:rsid w:val="00852609"/>
    <w:rsid w:val="008526CB"/>
    <w:rsid w:val="008548C9"/>
    <w:rsid w:val="008605D7"/>
    <w:rsid w:val="008649D5"/>
    <w:rsid w:val="00866D57"/>
    <w:rsid w:val="008712BB"/>
    <w:rsid w:val="00874924"/>
    <w:rsid w:val="008823A4"/>
    <w:rsid w:val="00882CA2"/>
    <w:rsid w:val="008830E7"/>
    <w:rsid w:val="008842E2"/>
    <w:rsid w:val="008863C0"/>
    <w:rsid w:val="0088687C"/>
    <w:rsid w:val="00886F23"/>
    <w:rsid w:val="0088796D"/>
    <w:rsid w:val="00890EDE"/>
    <w:rsid w:val="008924FA"/>
    <w:rsid w:val="00892B38"/>
    <w:rsid w:val="00892C38"/>
    <w:rsid w:val="00892E2B"/>
    <w:rsid w:val="00893928"/>
    <w:rsid w:val="008944BA"/>
    <w:rsid w:val="00894634"/>
    <w:rsid w:val="00896658"/>
    <w:rsid w:val="008A1741"/>
    <w:rsid w:val="008A2484"/>
    <w:rsid w:val="008A4E5F"/>
    <w:rsid w:val="008A52F3"/>
    <w:rsid w:val="008A78E7"/>
    <w:rsid w:val="008B3483"/>
    <w:rsid w:val="008B4709"/>
    <w:rsid w:val="008B5B31"/>
    <w:rsid w:val="008B63A7"/>
    <w:rsid w:val="008C224E"/>
    <w:rsid w:val="008C2611"/>
    <w:rsid w:val="008C26D9"/>
    <w:rsid w:val="008C413B"/>
    <w:rsid w:val="008C6D50"/>
    <w:rsid w:val="008C7167"/>
    <w:rsid w:val="008C7253"/>
    <w:rsid w:val="008C7503"/>
    <w:rsid w:val="008D029F"/>
    <w:rsid w:val="008D1259"/>
    <w:rsid w:val="008D1617"/>
    <w:rsid w:val="008D330F"/>
    <w:rsid w:val="008D3EDE"/>
    <w:rsid w:val="008D48C1"/>
    <w:rsid w:val="008E54E2"/>
    <w:rsid w:val="008E6315"/>
    <w:rsid w:val="008F0354"/>
    <w:rsid w:val="008F0480"/>
    <w:rsid w:val="008F07FC"/>
    <w:rsid w:val="008F1056"/>
    <w:rsid w:val="008F11E0"/>
    <w:rsid w:val="008F1D88"/>
    <w:rsid w:val="008F3382"/>
    <w:rsid w:val="008F3EA7"/>
    <w:rsid w:val="008F651D"/>
    <w:rsid w:val="008F6E2B"/>
    <w:rsid w:val="008F6E78"/>
    <w:rsid w:val="008F78BC"/>
    <w:rsid w:val="008F7B63"/>
    <w:rsid w:val="008F7D6A"/>
    <w:rsid w:val="00900388"/>
    <w:rsid w:val="00900785"/>
    <w:rsid w:val="00901C86"/>
    <w:rsid w:val="00901D82"/>
    <w:rsid w:val="00902A22"/>
    <w:rsid w:val="00903006"/>
    <w:rsid w:val="00903603"/>
    <w:rsid w:val="00904754"/>
    <w:rsid w:val="009054CB"/>
    <w:rsid w:val="0090610A"/>
    <w:rsid w:val="00911BF0"/>
    <w:rsid w:val="00911F8D"/>
    <w:rsid w:val="00912F94"/>
    <w:rsid w:val="00913D1C"/>
    <w:rsid w:val="009154D0"/>
    <w:rsid w:val="00916ECA"/>
    <w:rsid w:val="009171BC"/>
    <w:rsid w:val="00917FBB"/>
    <w:rsid w:val="009203FC"/>
    <w:rsid w:val="0092497E"/>
    <w:rsid w:val="0092590B"/>
    <w:rsid w:val="00925BF3"/>
    <w:rsid w:val="00925E60"/>
    <w:rsid w:val="009264B3"/>
    <w:rsid w:val="0092772F"/>
    <w:rsid w:val="00931E4C"/>
    <w:rsid w:val="0093219E"/>
    <w:rsid w:val="00932951"/>
    <w:rsid w:val="00932F5F"/>
    <w:rsid w:val="009341AE"/>
    <w:rsid w:val="00934314"/>
    <w:rsid w:val="00935B53"/>
    <w:rsid w:val="009365E0"/>
    <w:rsid w:val="00940EF5"/>
    <w:rsid w:val="00941981"/>
    <w:rsid w:val="00942BA2"/>
    <w:rsid w:val="009432B7"/>
    <w:rsid w:val="009433C1"/>
    <w:rsid w:val="00944C86"/>
    <w:rsid w:val="0094688B"/>
    <w:rsid w:val="009477FC"/>
    <w:rsid w:val="00947C02"/>
    <w:rsid w:val="00950416"/>
    <w:rsid w:val="00950BE6"/>
    <w:rsid w:val="00952935"/>
    <w:rsid w:val="00955D96"/>
    <w:rsid w:val="009567B3"/>
    <w:rsid w:val="00956860"/>
    <w:rsid w:val="00957DE8"/>
    <w:rsid w:val="00960ECB"/>
    <w:rsid w:val="009615D6"/>
    <w:rsid w:val="009619E7"/>
    <w:rsid w:val="00961BD5"/>
    <w:rsid w:val="00962C7A"/>
    <w:rsid w:val="0096704C"/>
    <w:rsid w:val="00967855"/>
    <w:rsid w:val="00970044"/>
    <w:rsid w:val="00971CD1"/>
    <w:rsid w:val="00971D8B"/>
    <w:rsid w:val="009727E5"/>
    <w:rsid w:val="009733C2"/>
    <w:rsid w:val="00974709"/>
    <w:rsid w:val="00974FE3"/>
    <w:rsid w:val="0097647B"/>
    <w:rsid w:val="00977D98"/>
    <w:rsid w:val="00977E79"/>
    <w:rsid w:val="009801AE"/>
    <w:rsid w:val="00980736"/>
    <w:rsid w:val="00980AA1"/>
    <w:rsid w:val="00981A39"/>
    <w:rsid w:val="00982D56"/>
    <w:rsid w:val="00983DBF"/>
    <w:rsid w:val="00984120"/>
    <w:rsid w:val="009868E5"/>
    <w:rsid w:val="00987097"/>
    <w:rsid w:val="00991123"/>
    <w:rsid w:val="00991A49"/>
    <w:rsid w:val="00991CAB"/>
    <w:rsid w:val="009A1343"/>
    <w:rsid w:val="009A3A9C"/>
    <w:rsid w:val="009A7039"/>
    <w:rsid w:val="009B046C"/>
    <w:rsid w:val="009B13FA"/>
    <w:rsid w:val="009B1E2D"/>
    <w:rsid w:val="009C59FB"/>
    <w:rsid w:val="009C6F3B"/>
    <w:rsid w:val="009D1467"/>
    <w:rsid w:val="009D1C32"/>
    <w:rsid w:val="009D30F8"/>
    <w:rsid w:val="009D328D"/>
    <w:rsid w:val="009D40D9"/>
    <w:rsid w:val="009D50A6"/>
    <w:rsid w:val="009D7E24"/>
    <w:rsid w:val="009E27E6"/>
    <w:rsid w:val="009E2869"/>
    <w:rsid w:val="009E4FA6"/>
    <w:rsid w:val="009E5A34"/>
    <w:rsid w:val="009E6B85"/>
    <w:rsid w:val="009E6CA8"/>
    <w:rsid w:val="009E7D37"/>
    <w:rsid w:val="009E7D93"/>
    <w:rsid w:val="009F3C34"/>
    <w:rsid w:val="009F462C"/>
    <w:rsid w:val="009F51DB"/>
    <w:rsid w:val="009F5C33"/>
    <w:rsid w:val="009F7C4F"/>
    <w:rsid w:val="00A00711"/>
    <w:rsid w:val="00A026F0"/>
    <w:rsid w:val="00A02C57"/>
    <w:rsid w:val="00A02CC0"/>
    <w:rsid w:val="00A03EAC"/>
    <w:rsid w:val="00A04DBB"/>
    <w:rsid w:val="00A07EA0"/>
    <w:rsid w:val="00A11CA6"/>
    <w:rsid w:val="00A11EB7"/>
    <w:rsid w:val="00A1526E"/>
    <w:rsid w:val="00A17D7D"/>
    <w:rsid w:val="00A20C49"/>
    <w:rsid w:val="00A22932"/>
    <w:rsid w:val="00A235EA"/>
    <w:rsid w:val="00A24A9E"/>
    <w:rsid w:val="00A25099"/>
    <w:rsid w:val="00A269CA"/>
    <w:rsid w:val="00A270A5"/>
    <w:rsid w:val="00A31DE9"/>
    <w:rsid w:val="00A336EE"/>
    <w:rsid w:val="00A33F46"/>
    <w:rsid w:val="00A3427E"/>
    <w:rsid w:val="00A359AC"/>
    <w:rsid w:val="00A40F83"/>
    <w:rsid w:val="00A410FB"/>
    <w:rsid w:val="00A41413"/>
    <w:rsid w:val="00A42905"/>
    <w:rsid w:val="00A431E6"/>
    <w:rsid w:val="00A436E8"/>
    <w:rsid w:val="00A45FB1"/>
    <w:rsid w:val="00A46A0F"/>
    <w:rsid w:val="00A46AA7"/>
    <w:rsid w:val="00A46C71"/>
    <w:rsid w:val="00A46CCC"/>
    <w:rsid w:val="00A47189"/>
    <w:rsid w:val="00A47996"/>
    <w:rsid w:val="00A51CFE"/>
    <w:rsid w:val="00A5204D"/>
    <w:rsid w:val="00A56E77"/>
    <w:rsid w:val="00A61039"/>
    <w:rsid w:val="00A61605"/>
    <w:rsid w:val="00A6210A"/>
    <w:rsid w:val="00A64F5D"/>
    <w:rsid w:val="00A65C51"/>
    <w:rsid w:val="00A65F97"/>
    <w:rsid w:val="00A664D7"/>
    <w:rsid w:val="00A72810"/>
    <w:rsid w:val="00A73B04"/>
    <w:rsid w:val="00A76C13"/>
    <w:rsid w:val="00A84FD0"/>
    <w:rsid w:val="00A85DEF"/>
    <w:rsid w:val="00A92E79"/>
    <w:rsid w:val="00A933CB"/>
    <w:rsid w:val="00A950B6"/>
    <w:rsid w:val="00A95D45"/>
    <w:rsid w:val="00A97325"/>
    <w:rsid w:val="00A97D19"/>
    <w:rsid w:val="00AA3EA8"/>
    <w:rsid w:val="00AA7A38"/>
    <w:rsid w:val="00AB41C1"/>
    <w:rsid w:val="00AB4CF2"/>
    <w:rsid w:val="00AB55F2"/>
    <w:rsid w:val="00AB6CCA"/>
    <w:rsid w:val="00AB73F9"/>
    <w:rsid w:val="00AB7AE1"/>
    <w:rsid w:val="00AC1B05"/>
    <w:rsid w:val="00AC223F"/>
    <w:rsid w:val="00AC33B1"/>
    <w:rsid w:val="00AC3647"/>
    <w:rsid w:val="00AC603A"/>
    <w:rsid w:val="00AC765D"/>
    <w:rsid w:val="00AD1037"/>
    <w:rsid w:val="00AD12A8"/>
    <w:rsid w:val="00AD1BF1"/>
    <w:rsid w:val="00AD2E19"/>
    <w:rsid w:val="00AE023F"/>
    <w:rsid w:val="00AE04AE"/>
    <w:rsid w:val="00AE5ADF"/>
    <w:rsid w:val="00AE7649"/>
    <w:rsid w:val="00AF03EC"/>
    <w:rsid w:val="00AF3577"/>
    <w:rsid w:val="00AF35F9"/>
    <w:rsid w:val="00AF4BDA"/>
    <w:rsid w:val="00B02306"/>
    <w:rsid w:val="00B0424C"/>
    <w:rsid w:val="00B05194"/>
    <w:rsid w:val="00B059B7"/>
    <w:rsid w:val="00B05C7D"/>
    <w:rsid w:val="00B07273"/>
    <w:rsid w:val="00B15D57"/>
    <w:rsid w:val="00B16347"/>
    <w:rsid w:val="00B17D6E"/>
    <w:rsid w:val="00B2096C"/>
    <w:rsid w:val="00B20DBF"/>
    <w:rsid w:val="00B231EB"/>
    <w:rsid w:val="00B2435E"/>
    <w:rsid w:val="00B27AE1"/>
    <w:rsid w:val="00B32461"/>
    <w:rsid w:val="00B33A7D"/>
    <w:rsid w:val="00B346C3"/>
    <w:rsid w:val="00B36E33"/>
    <w:rsid w:val="00B4005C"/>
    <w:rsid w:val="00B41800"/>
    <w:rsid w:val="00B4227E"/>
    <w:rsid w:val="00B4471C"/>
    <w:rsid w:val="00B451A6"/>
    <w:rsid w:val="00B46F9E"/>
    <w:rsid w:val="00B514E3"/>
    <w:rsid w:val="00B56D6E"/>
    <w:rsid w:val="00B60D7D"/>
    <w:rsid w:val="00B6260C"/>
    <w:rsid w:val="00B64347"/>
    <w:rsid w:val="00B64528"/>
    <w:rsid w:val="00B64907"/>
    <w:rsid w:val="00B65DC6"/>
    <w:rsid w:val="00B67AC2"/>
    <w:rsid w:val="00B722DE"/>
    <w:rsid w:val="00B7335C"/>
    <w:rsid w:val="00B73BF0"/>
    <w:rsid w:val="00B751E3"/>
    <w:rsid w:val="00B75BA6"/>
    <w:rsid w:val="00B75F0B"/>
    <w:rsid w:val="00B76C44"/>
    <w:rsid w:val="00B77FB3"/>
    <w:rsid w:val="00B80803"/>
    <w:rsid w:val="00B8184A"/>
    <w:rsid w:val="00B82283"/>
    <w:rsid w:val="00B828D8"/>
    <w:rsid w:val="00B83F87"/>
    <w:rsid w:val="00B87CDC"/>
    <w:rsid w:val="00B902A4"/>
    <w:rsid w:val="00B910C1"/>
    <w:rsid w:val="00B92A67"/>
    <w:rsid w:val="00B9380F"/>
    <w:rsid w:val="00B946FE"/>
    <w:rsid w:val="00B97701"/>
    <w:rsid w:val="00BA1FB1"/>
    <w:rsid w:val="00BA203B"/>
    <w:rsid w:val="00BA2CA4"/>
    <w:rsid w:val="00BA2EFA"/>
    <w:rsid w:val="00BA3DBC"/>
    <w:rsid w:val="00BA707A"/>
    <w:rsid w:val="00BA7BA4"/>
    <w:rsid w:val="00BB03B9"/>
    <w:rsid w:val="00BB1AFB"/>
    <w:rsid w:val="00BB27AE"/>
    <w:rsid w:val="00BB2DA2"/>
    <w:rsid w:val="00BB4337"/>
    <w:rsid w:val="00BB4758"/>
    <w:rsid w:val="00BB49CC"/>
    <w:rsid w:val="00BB5498"/>
    <w:rsid w:val="00BB56DC"/>
    <w:rsid w:val="00BB6BA9"/>
    <w:rsid w:val="00BB736B"/>
    <w:rsid w:val="00BC16A1"/>
    <w:rsid w:val="00BC7C4E"/>
    <w:rsid w:val="00BD4DEF"/>
    <w:rsid w:val="00BD5849"/>
    <w:rsid w:val="00BD5DD5"/>
    <w:rsid w:val="00BD63BC"/>
    <w:rsid w:val="00BD6AE1"/>
    <w:rsid w:val="00BE183D"/>
    <w:rsid w:val="00BE1E7F"/>
    <w:rsid w:val="00BE6A1D"/>
    <w:rsid w:val="00BF0D6D"/>
    <w:rsid w:val="00BF17A3"/>
    <w:rsid w:val="00BF1C55"/>
    <w:rsid w:val="00BF24C2"/>
    <w:rsid w:val="00BF2922"/>
    <w:rsid w:val="00BF2E05"/>
    <w:rsid w:val="00BF31F9"/>
    <w:rsid w:val="00BF5D7A"/>
    <w:rsid w:val="00BF6730"/>
    <w:rsid w:val="00BF6E20"/>
    <w:rsid w:val="00BF787E"/>
    <w:rsid w:val="00C01C2E"/>
    <w:rsid w:val="00C02D33"/>
    <w:rsid w:val="00C04B53"/>
    <w:rsid w:val="00C05405"/>
    <w:rsid w:val="00C07B74"/>
    <w:rsid w:val="00C07D39"/>
    <w:rsid w:val="00C103AA"/>
    <w:rsid w:val="00C11699"/>
    <w:rsid w:val="00C1232C"/>
    <w:rsid w:val="00C135A0"/>
    <w:rsid w:val="00C14FE7"/>
    <w:rsid w:val="00C17303"/>
    <w:rsid w:val="00C24362"/>
    <w:rsid w:val="00C27C6B"/>
    <w:rsid w:val="00C3594D"/>
    <w:rsid w:val="00C36442"/>
    <w:rsid w:val="00C36E84"/>
    <w:rsid w:val="00C36F9E"/>
    <w:rsid w:val="00C37E47"/>
    <w:rsid w:val="00C400CE"/>
    <w:rsid w:val="00C410FD"/>
    <w:rsid w:val="00C41FA7"/>
    <w:rsid w:val="00C426D8"/>
    <w:rsid w:val="00C428AA"/>
    <w:rsid w:val="00C42AE0"/>
    <w:rsid w:val="00C457DE"/>
    <w:rsid w:val="00C47DD3"/>
    <w:rsid w:val="00C507D5"/>
    <w:rsid w:val="00C5316F"/>
    <w:rsid w:val="00C53562"/>
    <w:rsid w:val="00C539FB"/>
    <w:rsid w:val="00C5417D"/>
    <w:rsid w:val="00C5481B"/>
    <w:rsid w:val="00C56DC8"/>
    <w:rsid w:val="00C56FED"/>
    <w:rsid w:val="00C57A24"/>
    <w:rsid w:val="00C608BB"/>
    <w:rsid w:val="00C6415D"/>
    <w:rsid w:val="00C66AA3"/>
    <w:rsid w:val="00C66E57"/>
    <w:rsid w:val="00C724D7"/>
    <w:rsid w:val="00C73AE1"/>
    <w:rsid w:val="00C74150"/>
    <w:rsid w:val="00C75594"/>
    <w:rsid w:val="00C769DE"/>
    <w:rsid w:val="00C778B0"/>
    <w:rsid w:val="00C83F4B"/>
    <w:rsid w:val="00C85982"/>
    <w:rsid w:val="00C90E27"/>
    <w:rsid w:val="00C91D75"/>
    <w:rsid w:val="00C936CF"/>
    <w:rsid w:val="00C936FE"/>
    <w:rsid w:val="00C941A3"/>
    <w:rsid w:val="00C94782"/>
    <w:rsid w:val="00C97C89"/>
    <w:rsid w:val="00CA0466"/>
    <w:rsid w:val="00CA2357"/>
    <w:rsid w:val="00CA246D"/>
    <w:rsid w:val="00CA50D9"/>
    <w:rsid w:val="00CA62EB"/>
    <w:rsid w:val="00CB266C"/>
    <w:rsid w:val="00CB3054"/>
    <w:rsid w:val="00CB365F"/>
    <w:rsid w:val="00CB44D5"/>
    <w:rsid w:val="00CB5636"/>
    <w:rsid w:val="00CB5F30"/>
    <w:rsid w:val="00CC009F"/>
    <w:rsid w:val="00CC137D"/>
    <w:rsid w:val="00CC22C6"/>
    <w:rsid w:val="00CC3107"/>
    <w:rsid w:val="00CC313A"/>
    <w:rsid w:val="00CC3EE5"/>
    <w:rsid w:val="00CC69DE"/>
    <w:rsid w:val="00CC6E47"/>
    <w:rsid w:val="00CC70E1"/>
    <w:rsid w:val="00CD0051"/>
    <w:rsid w:val="00CD1346"/>
    <w:rsid w:val="00CD3DAC"/>
    <w:rsid w:val="00CE3173"/>
    <w:rsid w:val="00CE425C"/>
    <w:rsid w:val="00CE49FD"/>
    <w:rsid w:val="00CE5453"/>
    <w:rsid w:val="00CE58AC"/>
    <w:rsid w:val="00CE6DD7"/>
    <w:rsid w:val="00CE7C79"/>
    <w:rsid w:val="00CF5A80"/>
    <w:rsid w:val="00D004DE"/>
    <w:rsid w:val="00D03B5E"/>
    <w:rsid w:val="00D04279"/>
    <w:rsid w:val="00D045EE"/>
    <w:rsid w:val="00D05091"/>
    <w:rsid w:val="00D07698"/>
    <w:rsid w:val="00D10CA6"/>
    <w:rsid w:val="00D10F21"/>
    <w:rsid w:val="00D12AB3"/>
    <w:rsid w:val="00D1314D"/>
    <w:rsid w:val="00D134CF"/>
    <w:rsid w:val="00D1573B"/>
    <w:rsid w:val="00D162A7"/>
    <w:rsid w:val="00D201A9"/>
    <w:rsid w:val="00D21584"/>
    <w:rsid w:val="00D229DB"/>
    <w:rsid w:val="00D22C8E"/>
    <w:rsid w:val="00D230C5"/>
    <w:rsid w:val="00D24806"/>
    <w:rsid w:val="00D2746F"/>
    <w:rsid w:val="00D32417"/>
    <w:rsid w:val="00D34040"/>
    <w:rsid w:val="00D34E69"/>
    <w:rsid w:val="00D36C78"/>
    <w:rsid w:val="00D36EF1"/>
    <w:rsid w:val="00D375EE"/>
    <w:rsid w:val="00D4016B"/>
    <w:rsid w:val="00D438F0"/>
    <w:rsid w:val="00D43DD9"/>
    <w:rsid w:val="00D44C22"/>
    <w:rsid w:val="00D5194D"/>
    <w:rsid w:val="00D529F9"/>
    <w:rsid w:val="00D55AE8"/>
    <w:rsid w:val="00D56056"/>
    <w:rsid w:val="00D6085F"/>
    <w:rsid w:val="00D62699"/>
    <w:rsid w:val="00D643BA"/>
    <w:rsid w:val="00D76D80"/>
    <w:rsid w:val="00D778E9"/>
    <w:rsid w:val="00D80AB1"/>
    <w:rsid w:val="00D812BF"/>
    <w:rsid w:val="00D81F83"/>
    <w:rsid w:val="00D82620"/>
    <w:rsid w:val="00D83194"/>
    <w:rsid w:val="00D8408D"/>
    <w:rsid w:val="00D8430A"/>
    <w:rsid w:val="00D85707"/>
    <w:rsid w:val="00D865BE"/>
    <w:rsid w:val="00D94BA1"/>
    <w:rsid w:val="00D9725F"/>
    <w:rsid w:val="00DA01B1"/>
    <w:rsid w:val="00DA0A3D"/>
    <w:rsid w:val="00DA11A2"/>
    <w:rsid w:val="00DA14ED"/>
    <w:rsid w:val="00DA26D6"/>
    <w:rsid w:val="00DA33AA"/>
    <w:rsid w:val="00DA3B13"/>
    <w:rsid w:val="00DB01BA"/>
    <w:rsid w:val="00DB131E"/>
    <w:rsid w:val="00DB2231"/>
    <w:rsid w:val="00DB2EF1"/>
    <w:rsid w:val="00DB3D39"/>
    <w:rsid w:val="00DB3DE1"/>
    <w:rsid w:val="00DB58A5"/>
    <w:rsid w:val="00DB5DA0"/>
    <w:rsid w:val="00DB716C"/>
    <w:rsid w:val="00DB7629"/>
    <w:rsid w:val="00DC349C"/>
    <w:rsid w:val="00DC5684"/>
    <w:rsid w:val="00DC5AB7"/>
    <w:rsid w:val="00DC5C85"/>
    <w:rsid w:val="00DC6701"/>
    <w:rsid w:val="00DC7ACD"/>
    <w:rsid w:val="00DC7C5D"/>
    <w:rsid w:val="00DD4236"/>
    <w:rsid w:val="00DD44F1"/>
    <w:rsid w:val="00DD6957"/>
    <w:rsid w:val="00DD6E7A"/>
    <w:rsid w:val="00DD70A0"/>
    <w:rsid w:val="00DD7262"/>
    <w:rsid w:val="00DE0B0D"/>
    <w:rsid w:val="00DE1C09"/>
    <w:rsid w:val="00DE218C"/>
    <w:rsid w:val="00DE3067"/>
    <w:rsid w:val="00DE4E25"/>
    <w:rsid w:val="00DE742E"/>
    <w:rsid w:val="00DE7A40"/>
    <w:rsid w:val="00DF09EC"/>
    <w:rsid w:val="00DF3EEE"/>
    <w:rsid w:val="00DF4B9C"/>
    <w:rsid w:val="00DF58E8"/>
    <w:rsid w:val="00DF75E1"/>
    <w:rsid w:val="00E0183B"/>
    <w:rsid w:val="00E027BC"/>
    <w:rsid w:val="00E045BE"/>
    <w:rsid w:val="00E05332"/>
    <w:rsid w:val="00E10F0D"/>
    <w:rsid w:val="00E143DD"/>
    <w:rsid w:val="00E14CE4"/>
    <w:rsid w:val="00E14EA5"/>
    <w:rsid w:val="00E2070E"/>
    <w:rsid w:val="00E21133"/>
    <w:rsid w:val="00E2327E"/>
    <w:rsid w:val="00E23577"/>
    <w:rsid w:val="00E266EF"/>
    <w:rsid w:val="00E302A8"/>
    <w:rsid w:val="00E326A8"/>
    <w:rsid w:val="00E32936"/>
    <w:rsid w:val="00E372AB"/>
    <w:rsid w:val="00E41F94"/>
    <w:rsid w:val="00E4379F"/>
    <w:rsid w:val="00E46201"/>
    <w:rsid w:val="00E47428"/>
    <w:rsid w:val="00E47C4F"/>
    <w:rsid w:val="00E51C71"/>
    <w:rsid w:val="00E56C8E"/>
    <w:rsid w:val="00E5716B"/>
    <w:rsid w:val="00E572DD"/>
    <w:rsid w:val="00E57F1F"/>
    <w:rsid w:val="00E6268E"/>
    <w:rsid w:val="00E643C7"/>
    <w:rsid w:val="00E66B9F"/>
    <w:rsid w:val="00E70A6A"/>
    <w:rsid w:val="00E710D6"/>
    <w:rsid w:val="00E73218"/>
    <w:rsid w:val="00E73DA4"/>
    <w:rsid w:val="00E74701"/>
    <w:rsid w:val="00E74D81"/>
    <w:rsid w:val="00E76E45"/>
    <w:rsid w:val="00E777C9"/>
    <w:rsid w:val="00E81DA6"/>
    <w:rsid w:val="00E83FE3"/>
    <w:rsid w:val="00E84212"/>
    <w:rsid w:val="00E9086C"/>
    <w:rsid w:val="00E90AAA"/>
    <w:rsid w:val="00E90BFC"/>
    <w:rsid w:val="00E91A0F"/>
    <w:rsid w:val="00E94A71"/>
    <w:rsid w:val="00E94CBF"/>
    <w:rsid w:val="00E95317"/>
    <w:rsid w:val="00EA03CE"/>
    <w:rsid w:val="00EA0A33"/>
    <w:rsid w:val="00EA23E5"/>
    <w:rsid w:val="00EA44A1"/>
    <w:rsid w:val="00EA4E2E"/>
    <w:rsid w:val="00EA59EB"/>
    <w:rsid w:val="00EB175E"/>
    <w:rsid w:val="00EB2417"/>
    <w:rsid w:val="00EB2CCB"/>
    <w:rsid w:val="00EB7A25"/>
    <w:rsid w:val="00EC06C6"/>
    <w:rsid w:val="00EC0F3E"/>
    <w:rsid w:val="00EC1F72"/>
    <w:rsid w:val="00EC57A7"/>
    <w:rsid w:val="00ED0817"/>
    <w:rsid w:val="00ED264D"/>
    <w:rsid w:val="00ED6ED2"/>
    <w:rsid w:val="00ED7DD9"/>
    <w:rsid w:val="00ED7FC1"/>
    <w:rsid w:val="00EE1F48"/>
    <w:rsid w:val="00EE445B"/>
    <w:rsid w:val="00EF3113"/>
    <w:rsid w:val="00EF3F84"/>
    <w:rsid w:val="00EF4FA2"/>
    <w:rsid w:val="00EF515D"/>
    <w:rsid w:val="00EF51AA"/>
    <w:rsid w:val="00F0016A"/>
    <w:rsid w:val="00F00957"/>
    <w:rsid w:val="00F02BC8"/>
    <w:rsid w:val="00F0380B"/>
    <w:rsid w:val="00F12863"/>
    <w:rsid w:val="00F1594D"/>
    <w:rsid w:val="00F176AC"/>
    <w:rsid w:val="00F20B6C"/>
    <w:rsid w:val="00F22C8A"/>
    <w:rsid w:val="00F26F28"/>
    <w:rsid w:val="00F27714"/>
    <w:rsid w:val="00F3179F"/>
    <w:rsid w:val="00F3276E"/>
    <w:rsid w:val="00F327BE"/>
    <w:rsid w:val="00F33D3C"/>
    <w:rsid w:val="00F34284"/>
    <w:rsid w:val="00F37A91"/>
    <w:rsid w:val="00F408A0"/>
    <w:rsid w:val="00F40C81"/>
    <w:rsid w:val="00F40EF4"/>
    <w:rsid w:val="00F42590"/>
    <w:rsid w:val="00F4484D"/>
    <w:rsid w:val="00F45CF5"/>
    <w:rsid w:val="00F47DB0"/>
    <w:rsid w:val="00F50C3F"/>
    <w:rsid w:val="00F50E34"/>
    <w:rsid w:val="00F510A9"/>
    <w:rsid w:val="00F51AFB"/>
    <w:rsid w:val="00F535C0"/>
    <w:rsid w:val="00F53985"/>
    <w:rsid w:val="00F53EF7"/>
    <w:rsid w:val="00F54BF2"/>
    <w:rsid w:val="00F5641C"/>
    <w:rsid w:val="00F5739E"/>
    <w:rsid w:val="00F573DD"/>
    <w:rsid w:val="00F57A80"/>
    <w:rsid w:val="00F609C0"/>
    <w:rsid w:val="00F644BD"/>
    <w:rsid w:val="00F667F0"/>
    <w:rsid w:val="00F71442"/>
    <w:rsid w:val="00F71E69"/>
    <w:rsid w:val="00F732F1"/>
    <w:rsid w:val="00F74190"/>
    <w:rsid w:val="00F775AC"/>
    <w:rsid w:val="00F81572"/>
    <w:rsid w:val="00F81E44"/>
    <w:rsid w:val="00F82DF5"/>
    <w:rsid w:val="00F83E9E"/>
    <w:rsid w:val="00F848AE"/>
    <w:rsid w:val="00F87305"/>
    <w:rsid w:val="00F8792F"/>
    <w:rsid w:val="00F9169A"/>
    <w:rsid w:val="00F9214D"/>
    <w:rsid w:val="00F92355"/>
    <w:rsid w:val="00F93963"/>
    <w:rsid w:val="00F94291"/>
    <w:rsid w:val="00F943F8"/>
    <w:rsid w:val="00F94D54"/>
    <w:rsid w:val="00FA21D8"/>
    <w:rsid w:val="00FA298A"/>
    <w:rsid w:val="00FA3E5E"/>
    <w:rsid w:val="00FA5B66"/>
    <w:rsid w:val="00FA629E"/>
    <w:rsid w:val="00FB0B9C"/>
    <w:rsid w:val="00FB169C"/>
    <w:rsid w:val="00FB2F0C"/>
    <w:rsid w:val="00FB30EB"/>
    <w:rsid w:val="00FB4074"/>
    <w:rsid w:val="00FB5F99"/>
    <w:rsid w:val="00FB7982"/>
    <w:rsid w:val="00FC0493"/>
    <w:rsid w:val="00FC0734"/>
    <w:rsid w:val="00FC0FC5"/>
    <w:rsid w:val="00FC2A05"/>
    <w:rsid w:val="00FC2CA0"/>
    <w:rsid w:val="00FC47BB"/>
    <w:rsid w:val="00FC588F"/>
    <w:rsid w:val="00FC6879"/>
    <w:rsid w:val="00FD374F"/>
    <w:rsid w:val="00FD43C2"/>
    <w:rsid w:val="00FD57CC"/>
    <w:rsid w:val="00FE1B30"/>
    <w:rsid w:val="00FE1C9A"/>
    <w:rsid w:val="00FE2BAF"/>
    <w:rsid w:val="00FE5323"/>
    <w:rsid w:val="00FE6C20"/>
    <w:rsid w:val="00FE7B44"/>
    <w:rsid w:val="00FF3730"/>
    <w:rsid w:val="00FF3CE3"/>
    <w:rsid w:val="00FF4171"/>
    <w:rsid w:val="00FF6D8C"/>
    <w:rsid w:val="00FF74B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764F417"/>
  <w15:docId w15:val="{C65F3276-F39E-4630-9A4E-8B3196DA8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AU" w:eastAsia="en-AU"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765E0"/>
    <w:pPr>
      <w:spacing w:line="360" w:lineRule="auto"/>
      <w:jc w:val="both"/>
    </w:pPr>
    <w:rPr>
      <w:sz w:val="24"/>
      <w:lang w:eastAsia="en-US"/>
    </w:rPr>
  </w:style>
  <w:style w:type="paragraph" w:styleId="Heading1">
    <w:name w:val="heading 1"/>
    <w:basedOn w:val="Normal"/>
    <w:next w:val="ParaNumbering"/>
    <w:qFormat/>
    <w:pPr>
      <w:keepNext/>
      <w:spacing w:before="240" w:after="60" w:line="240" w:lineRule="auto"/>
      <w:outlineLvl w:val="0"/>
    </w:pPr>
    <w:rPr>
      <w:b/>
      <w:caps/>
      <w:kern w:val="28"/>
    </w:rPr>
  </w:style>
  <w:style w:type="paragraph" w:styleId="Heading2">
    <w:name w:val="heading 2"/>
    <w:basedOn w:val="Normal"/>
    <w:next w:val="ParaNumbering"/>
    <w:link w:val="Heading2Char"/>
    <w:qFormat/>
    <w:pPr>
      <w:keepNext/>
      <w:spacing w:before="240" w:after="60" w:line="240" w:lineRule="auto"/>
      <w:outlineLvl w:val="1"/>
    </w:pPr>
    <w:rPr>
      <w:b/>
      <w:szCs w:val="24"/>
    </w:rPr>
  </w:style>
  <w:style w:type="paragraph" w:styleId="Heading3">
    <w:name w:val="heading 3"/>
    <w:basedOn w:val="Normal"/>
    <w:next w:val="ParaNumbering"/>
    <w:qFormat/>
    <w:pPr>
      <w:keepNext/>
      <w:spacing w:before="240" w:after="60" w:line="240" w:lineRule="auto"/>
      <w:outlineLvl w:val="2"/>
    </w:pPr>
    <w:rPr>
      <w:b/>
      <w:i/>
    </w:rPr>
  </w:style>
  <w:style w:type="paragraph" w:styleId="Heading4">
    <w:name w:val="heading 4"/>
    <w:basedOn w:val="Normal"/>
    <w:next w:val="ParaNumbering"/>
    <w:qFormat/>
    <w:rsid w:val="009F5C33"/>
    <w:pPr>
      <w:keepNext/>
      <w:spacing w:before="240" w:after="60" w:line="240" w:lineRule="auto"/>
      <w:jc w:val="left"/>
      <w:outlineLvl w:val="3"/>
    </w:pPr>
    <w:rPr>
      <w:i/>
      <w:szCs w:val="24"/>
    </w:rPr>
  </w:style>
  <w:style w:type="paragraph" w:styleId="Heading5">
    <w:name w:val="heading 5"/>
    <w:basedOn w:val="fcHeading1"/>
    <w:next w:val="ParaNumbering"/>
    <w:qFormat/>
    <w:rsid w:val="000E7BAE"/>
    <w:pPr>
      <w:outlineLvl w:val="4"/>
    </w:pPr>
    <w:rPr>
      <w:caps w:val="0"/>
    </w:rPr>
  </w:style>
  <w:style w:type="paragraph" w:styleId="Heading6">
    <w:name w:val="heading 6"/>
    <w:basedOn w:val="fcHeading2"/>
    <w:next w:val="ParaNumbering"/>
    <w:qFormat/>
    <w:pPr>
      <w:outlineLvl w:val="5"/>
    </w:pPr>
  </w:style>
  <w:style w:type="paragraph" w:styleId="Heading7">
    <w:name w:val="heading 7"/>
    <w:basedOn w:val="fcHeading3"/>
    <w:next w:val="ParaNumbering"/>
    <w:qFormat/>
    <w:rsid w:val="00635B36"/>
    <w:pPr>
      <w:outlineLvl w:val="6"/>
    </w:pPr>
    <w:rPr>
      <w:i w:val="0"/>
    </w:rPr>
  </w:style>
  <w:style w:type="paragraph" w:styleId="Heading8">
    <w:name w:val="heading 8"/>
    <w:basedOn w:val="fcHeading4"/>
    <w:next w:val="ParaNumbering"/>
    <w:rsid w:val="00635B36"/>
    <w:pPr>
      <w:outlineLvl w:val="7"/>
    </w:pPr>
    <w:rPr>
      <w:smallCaps w:val="0"/>
    </w:rPr>
  </w:style>
  <w:style w:type="paragraph" w:styleId="Heading9">
    <w:name w:val="heading 9"/>
    <w:basedOn w:val="fcHeading5"/>
    <w:next w:val="ParaNumbering"/>
    <w:rsid w:val="00635B36"/>
    <w:pPr>
      <w:outlineLvl w:val="8"/>
    </w:pPr>
    <w:rPr>
      <w:cap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dersPage">
    <w:name w:val="OrdersPage"/>
    <w:basedOn w:val="Normal"/>
    <w:semiHidden/>
    <w:pPr>
      <w:spacing w:line="240" w:lineRule="auto"/>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customStyle="1" w:styleId="ParaNumbering">
    <w:name w:val="ParaNumbering"/>
    <w:basedOn w:val="Normal"/>
    <w:rsid w:val="00967855"/>
    <w:pPr>
      <w:numPr>
        <w:numId w:val="1"/>
      </w:numPr>
      <w:tabs>
        <w:tab w:val="clear" w:pos="720"/>
      </w:tabs>
      <w:spacing w:before="180" w:after="180"/>
    </w:pPr>
  </w:style>
  <w:style w:type="paragraph" w:customStyle="1" w:styleId="Quote1">
    <w:name w:val="Quote1"/>
    <w:link w:val="Quote1Char"/>
    <w:rsid w:val="00960ECB"/>
    <w:pPr>
      <w:widowControl w:val="0"/>
      <w:spacing w:after="180"/>
      <w:ind w:left="737" w:right="737"/>
      <w:jc w:val="both"/>
    </w:pPr>
    <w:rPr>
      <w:sz w:val="22"/>
      <w:lang w:eastAsia="en-US"/>
    </w:rPr>
  </w:style>
  <w:style w:type="paragraph" w:customStyle="1" w:styleId="NormalHeadings">
    <w:name w:val="Normal Headings"/>
    <w:link w:val="NormalHeadingsChar"/>
    <w:pPr>
      <w:widowControl w:val="0"/>
      <w:jc w:val="both"/>
    </w:pPr>
    <w:rPr>
      <w:b/>
      <w:sz w:val="24"/>
      <w:lang w:eastAsia="en-US"/>
    </w:rPr>
  </w:style>
  <w:style w:type="table" w:styleId="TableGrid">
    <w:name w:val="Table Grid"/>
    <w:basedOn w:val="TableNormal"/>
    <w:semiHidden/>
    <w:pPr>
      <w:widowControl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aNeutralStyle">
    <w:name w:val="Media Neutral Style"/>
    <w:basedOn w:val="Normal"/>
    <w:next w:val="Normal1linespace"/>
    <w:semiHidden/>
    <w:pPr>
      <w:spacing w:before="20" w:after="20"/>
      <w:jc w:val="center"/>
    </w:pPr>
    <w:rPr>
      <w:b/>
      <w:sz w:val="26"/>
    </w:rPr>
  </w:style>
  <w:style w:type="paragraph" w:customStyle="1" w:styleId="Normal1linespace">
    <w:name w:val="Normal1linespace"/>
    <w:basedOn w:val="Normal"/>
    <w:pPr>
      <w:spacing w:line="240" w:lineRule="auto"/>
    </w:pPr>
  </w:style>
  <w:style w:type="paragraph" w:styleId="BalloonText">
    <w:name w:val="Balloon Text"/>
    <w:basedOn w:val="Normal"/>
    <w:semiHidden/>
    <w:rPr>
      <w:rFonts w:ascii="Tahoma" w:hAnsi="Tahoma" w:cs="Tahoma"/>
      <w:sz w:val="16"/>
      <w:szCs w:val="16"/>
    </w:rPr>
  </w:style>
  <w:style w:type="paragraph" w:customStyle="1" w:styleId="StyleBold">
    <w:name w:val="Style Bold"/>
    <w:basedOn w:val="Normal"/>
    <w:next w:val="BodyText"/>
    <w:semiHidden/>
    <w:rPr>
      <w:szCs w:val="24"/>
    </w:rPr>
  </w:style>
  <w:style w:type="paragraph" w:customStyle="1" w:styleId="Bold">
    <w:name w:val="Bold"/>
    <w:basedOn w:val="Normal"/>
    <w:next w:val="Normal"/>
    <w:semiHidden/>
    <w:pPr>
      <w:suppressAutoHyphens/>
      <w:jc w:val="left"/>
    </w:pPr>
    <w:rPr>
      <w:b/>
      <w:szCs w:val="24"/>
    </w:rPr>
  </w:style>
  <w:style w:type="paragraph" w:customStyle="1" w:styleId="Certify">
    <w:name w:val="Certify"/>
    <w:basedOn w:val="Normal"/>
    <w:link w:val="CertifyChar"/>
    <w:semiHidden/>
    <w:pPr>
      <w:spacing w:line="240" w:lineRule="auto"/>
    </w:pPr>
    <w:rPr>
      <w:szCs w:val="24"/>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FCBullets">
    <w:name w:val="FCBullets"/>
    <w:basedOn w:val="Normal"/>
    <w:rsid w:val="001C2FE0"/>
    <w:pPr>
      <w:numPr>
        <w:numId w:val="25"/>
      </w:numPr>
      <w:spacing w:before="60" w:after="60"/>
    </w:pPr>
  </w:style>
  <w:style w:type="paragraph" w:customStyle="1" w:styleId="JudgeStyle">
    <w:name w:val="JudgeStyle"/>
    <w:basedOn w:val="Heading1"/>
    <w:next w:val="ParaNumbering"/>
    <w:semiHidden/>
  </w:style>
  <w:style w:type="paragraph" w:styleId="TOC1">
    <w:name w:val="toc 1"/>
    <w:basedOn w:val="Normal"/>
    <w:next w:val="Normal"/>
    <w:autoRedefine/>
    <w:semiHidden/>
    <w:pPr>
      <w:tabs>
        <w:tab w:val="right" w:leader="dot" w:pos="9071"/>
      </w:tabs>
    </w:pPr>
  </w:style>
  <w:style w:type="paragraph" w:styleId="TOC2">
    <w:name w:val="toc 2"/>
    <w:basedOn w:val="Normal"/>
    <w:next w:val="Normal"/>
    <w:autoRedefine/>
    <w:semiHidden/>
    <w:pPr>
      <w:tabs>
        <w:tab w:val="right" w:leader="dot" w:pos="9071"/>
      </w:tabs>
      <w:ind w:left="240"/>
    </w:pPr>
  </w:style>
  <w:style w:type="paragraph" w:styleId="TOC3">
    <w:name w:val="toc 3"/>
    <w:basedOn w:val="Normal"/>
    <w:next w:val="Normal"/>
    <w:autoRedefine/>
    <w:semiHidden/>
    <w:pPr>
      <w:tabs>
        <w:tab w:val="right" w:leader="dot" w:pos="9071"/>
      </w:tabs>
      <w:ind w:left="480"/>
    </w:pPr>
  </w:style>
  <w:style w:type="paragraph" w:styleId="TOC4">
    <w:name w:val="toc 4"/>
    <w:basedOn w:val="Normal"/>
    <w:next w:val="Normal"/>
    <w:autoRedefine/>
    <w:semiHidden/>
    <w:pPr>
      <w:tabs>
        <w:tab w:val="right" w:leader="dot" w:pos="9071"/>
      </w:tabs>
      <w:ind w:left="720"/>
    </w:pPr>
  </w:style>
  <w:style w:type="paragraph" w:customStyle="1" w:styleId="NoNum">
    <w:name w:val="No Num"/>
    <w:basedOn w:val="Normal1linespace"/>
    <w:pPr>
      <w:spacing w:before="120" w:after="180" w:line="360" w:lineRule="auto"/>
    </w:pPr>
  </w:style>
  <w:style w:type="paragraph" w:customStyle="1" w:styleId="AppealTable">
    <w:name w:val="AppealTable"/>
    <w:basedOn w:val="Normal"/>
    <w:unhideWhenUsed/>
    <w:pPr>
      <w:spacing w:line="240" w:lineRule="auto"/>
      <w:jc w:val="left"/>
    </w:pPr>
    <w:rPr>
      <w:b/>
      <w:caps/>
      <w:sz w:val="22"/>
      <w:szCs w:val="22"/>
    </w:rPr>
  </w:style>
  <w:style w:type="paragraph" w:customStyle="1" w:styleId="Quote3">
    <w:name w:val="Quote3"/>
    <w:basedOn w:val="Quote1"/>
    <w:pPr>
      <w:ind w:left="2160"/>
    </w:pPr>
  </w:style>
  <w:style w:type="paragraph" w:customStyle="1" w:styleId="Quote2">
    <w:name w:val="Quote2"/>
    <w:basedOn w:val="Quote1"/>
    <w:pPr>
      <w:ind w:left="1440"/>
    </w:pPr>
  </w:style>
  <w:style w:type="paragraph" w:customStyle="1" w:styleId="FTOC1">
    <w:name w:val="FTOC 1"/>
    <w:basedOn w:val="Normal"/>
    <w:semiHidden/>
    <w:rsid w:val="00681ADF"/>
    <w:pPr>
      <w:tabs>
        <w:tab w:val="right" w:leader="dot" w:pos="9072"/>
      </w:tabs>
      <w:spacing w:before="120" w:after="60" w:line="240" w:lineRule="auto"/>
      <w:jc w:val="left"/>
    </w:pPr>
    <w:rPr>
      <w:b/>
      <w:caps/>
      <w:kern w:val="28"/>
    </w:rPr>
  </w:style>
  <w:style w:type="paragraph" w:customStyle="1" w:styleId="ListNo1">
    <w:name w:val="List No 1"/>
    <w:basedOn w:val="Normal"/>
    <w:rsid w:val="0052098C"/>
    <w:pPr>
      <w:numPr>
        <w:numId w:val="22"/>
      </w:numPr>
      <w:spacing w:before="60" w:after="60"/>
    </w:pPr>
  </w:style>
  <w:style w:type="paragraph" w:customStyle="1" w:styleId="FTOC2">
    <w:name w:val="FTOC 2"/>
    <w:basedOn w:val="Normal"/>
    <w:semiHidden/>
    <w:rsid w:val="00681ADF"/>
    <w:pPr>
      <w:tabs>
        <w:tab w:val="right" w:leader="dot" w:pos="9072"/>
      </w:tabs>
      <w:spacing w:before="120" w:after="60" w:line="240" w:lineRule="auto"/>
      <w:ind w:left="238"/>
      <w:jc w:val="left"/>
    </w:pPr>
    <w:rPr>
      <w:b/>
    </w:rPr>
  </w:style>
  <w:style w:type="paragraph" w:customStyle="1" w:styleId="FTOC3">
    <w:name w:val="FTOC 3"/>
    <w:basedOn w:val="Normal"/>
    <w:semiHidden/>
    <w:rsid w:val="00681ADF"/>
    <w:pPr>
      <w:tabs>
        <w:tab w:val="right" w:leader="dot" w:pos="9072"/>
      </w:tabs>
      <w:spacing w:before="120" w:after="60" w:line="240" w:lineRule="auto"/>
      <w:ind w:left="482"/>
      <w:jc w:val="left"/>
    </w:pPr>
    <w:rPr>
      <w:b/>
      <w:i/>
    </w:rPr>
  </w:style>
  <w:style w:type="paragraph" w:customStyle="1" w:styleId="FTOC4">
    <w:name w:val="FTOC 4"/>
    <w:basedOn w:val="Normal"/>
    <w:semiHidden/>
    <w:rsid w:val="00681ADF"/>
    <w:pPr>
      <w:tabs>
        <w:tab w:val="right" w:leader="dot" w:pos="9072"/>
      </w:tabs>
      <w:spacing w:before="120" w:after="60" w:line="240" w:lineRule="auto"/>
      <w:ind w:left="720"/>
      <w:jc w:val="left"/>
    </w:pPr>
    <w:rPr>
      <w:i/>
    </w:rPr>
  </w:style>
  <w:style w:type="paragraph" w:styleId="TOC5">
    <w:name w:val="toc 5"/>
    <w:basedOn w:val="Normal"/>
    <w:next w:val="Normal"/>
    <w:autoRedefine/>
    <w:semiHidden/>
    <w:pPr>
      <w:tabs>
        <w:tab w:val="right" w:leader="dot" w:pos="9072"/>
      </w:tabs>
      <w:ind w:left="960"/>
    </w:pPr>
  </w:style>
  <w:style w:type="numbering" w:styleId="111111">
    <w:name w:val="Outline List 2"/>
    <w:basedOn w:val="NoList"/>
    <w:semiHidden/>
    <w:pPr>
      <w:numPr>
        <w:numId w:val="12"/>
      </w:numPr>
    </w:pPr>
  </w:style>
  <w:style w:type="numbering" w:styleId="1ai">
    <w:name w:val="Outline List 1"/>
    <w:basedOn w:val="NoList"/>
    <w:semiHidden/>
    <w:pPr>
      <w:numPr>
        <w:numId w:val="13"/>
      </w:numPr>
    </w:pPr>
  </w:style>
  <w:style w:type="numbering" w:styleId="ArticleSection">
    <w:name w:val="Outline List 3"/>
    <w:basedOn w:val="NoList"/>
    <w:semiHidden/>
    <w:pPr>
      <w:numPr>
        <w:numId w:val="14"/>
      </w:numPr>
    </w:pPr>
  </w:style>
  <w:style w:type="paragraph" w:styleId="BodyText">
    <w:name w:val="Body Text"/>
    <w:basedOn w:val="Normal"/>
    <w:link w:val="BodyTextChar"/>
    <w:qFormat/>
    <w:rsid w:val="002B0E91"/>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losing">
    <w:name w:val="Closing"/>
    <w:basedOn w:val="Normal"/>
    <w:semiHidden/>
    <w:pPr>
      <w:ind w:left="4252"/>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semiHidden/>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semiHidden/>
    <w:rPr>
      <w:rFonts w:ascii="Arial" w:hAnsi="Arial" w:cs="Arial"/>
      <w:sz w:val="20"/>
    </w:rPr>
  </w:style>
  <w:style w:type="character" w:styleId="FollowedHyperlink">
    <w:name w:val="FollowedHyperlink"/>
    <w:semiHidden/>
    <w:rPr>
      <w:color w:val="800080"/>
      <w:u w:val="single"/>
    </w:r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semiHidden/>
    <w:rPr>
      <w:color w:val="0000FF"/>
      <w:u w:val="single"/>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semiHidden/>
    <w:pPr>
      <w:numPr>
        <w:numId w:val="2"/>
      </w:numPr>
    </w:pPr>
  </w:style>
  <w:style w:type="paragraph" w:styleId="ListBullet2">
    <w:name w:val="List Bullet 2"/>
    <w:basedOn w:val="Normal"/>
    <w:semiHidden/>
    <w:pPr>
      <w:numPr>
        <w:numId w:val="3"/>
      </w:numPr>
    </w:pPr>
  </w:style>
  <w:style w:type="paragraph" w:styleId="ListBullet3">
    <w:name w:val="List Bullet 3"/>
    <w:basedOn w:val="Normal"/>
    <w:semiHidden/>
    <w:pPr>
      <w:numPr>
        <w:numId w:val="4"/>
      </w:numPr>
    </w:pPr>
  </w:style>
  <w:style w:type="paragraph" w:styleId="ListBullet4">
    <w:name w:val="List Bullet 4"/>
    <w:basedOn w:val="Normal"/>
    <w:semiHidden/>
    <w:pPr>
      <w:numPr>
        <w:numId w:val="5"/>
      </w:numPr>
    </w:pPr>
  </w:style>
  <w:style w:type="paragraph" w:styleId="ListBullet5">
    <w:name w:val="List Bullet 5"/>
    <w:basedOn w:val="Normal"/>
    <w:semiHidden/>
    <w:pPr>
      <w:numPr>
        <w:numId w:val="6"/>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pPr>
  </w:style>
  <w:style w:type="paragraph" w:styleId="ListNumber3">
    <w:name w:val="List Number 3"/>
    <w:basedOn w:val="Normal"/>
    <w:semiHidden/>
    <w:pPr>
      <w:numPr>
        <w:numId w:val="9"/>
      </w:numPr>
    </w:pPr>
  </w:style>
  <w:style w:type="paragraph" w:styleId="ListNumber4">
    <w:name w:val="List Number 4"/>
    <w:basedOn w:val="Normal"/>
    <w:semiHidden/>
    <w:pPr>
      <w:numPr>
        <w:numId w:val="10"/>
      </w:numPr>
    </w:pPr>
  </w:style>
  <w:style w:type="paragraph" w:styleId="ListNumber5">
    <w:name w:val="List Number 5"/>
    <w:basedOn w:val="Normal"/>
    <w:semiHidden/>
    <w:pPr>
      <w:numPr>
        <w:numId w:val="11"/>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NormalWeb">
    <w:name w:val="Normal (Web)"/>
    <w:basedOn w:val="Normal"/>
    <w:uiPriority w:val="99"/>
    <w:semiHidden/>
    <w:rPr>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semiHidden/>
    <w:rPr>
      <w:b/>
      <w:bCs/>
    </w:rPr>
  </w:style>
  <w:style w:type="paragraph" w:styleId="Subtitle">
    <w:name w:val="Subtitle"/>
    <w:basedOn w:val="Normal"/>
    <w:semiHidden/>
    <w:pPr>
      <w:spacing w:after="60"/>
      <w:jc w:val="center"/>
      <w:outlineLvl w:val="1"/>
    </w:pPr>
    <w:rPr>
      <w:rFonts w:ascii="Arial" w:hAnsi="Arial" w:cs="Arial"/>
      <w:szCs w:val="24"/>
    </w:rPr>
  </w:style>
  <w:style w:type="table" w:styleId="Table3Deffects1">
    <w:name w:val="Table 3D effects 1"/>
    <w:basedOn w:val="TableNormal"/>
    <w:semiHidden/>
    <w:pPr>
      <w:spacing w:line="36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line="36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pPr>
      <w:spacing w:line="36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line="36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line="36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pPr>
      <w:spacing w:line="36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pPr>
      <w:spacing w:line="36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pPr>
      <w:spacing w:line="36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line="36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pPr>
      <w:spacing w:line="36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pPr>
      <w:spacing w:line="36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pPr>
      <w:spacing w:line="36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pPr>
      <w:spacing w:line="36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pPr>
      <w:spacing w:line="36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line="36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pPr>
      <w:spacing w:line="36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pPr>
      <w:spacing w:line="36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pPr>
      <w:spacing w:line="36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pPr>
      <w:spacing w:line="36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pPr>
      <w:spacing w:line="36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line="36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pPr>
      <w:spacing w:line="36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pPr>
      <w:spacing w:line="36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line="36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line="36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line="36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line="36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pPr>
      <w:spacing w:line="36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pPr>
      <w:spacing w:line="36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pPr>
      <w:spacing w:line="36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pPr>
      <w:spacing w:line="36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TOC1">
    <w:name w:val="bTOC 1"/>
    <w:basedOn w:val="TOC1"/>
    <w:rsid w:val="00323061"/>
    <w:pPr>
      <w:spacing w:before="120" w:after="60" w:line="240" w:lineRule="auto"/>
      <w:jc w:val="left"/>
    </w:pPr>
  </w:style>
  <w:style w:type="paragraph" w:customStyle="1" w:styleId="bTOC2">
    <w:name w:val="bTOC 2"/>
    <w:basedOn w:val="TOC2"/>
    <w:semiHidden/>
    <w:rsid w:val="00323061"/>
    <w:pPr>
      <w:spacing w:before="120" w:after="60" w:line="240" w:lineRule="auto"/>
      <w:ind w:left="238"/>
      <w:jc w:val="left"/>
    </w:pPr>
  </w:style>
  <w:style w:type="paragraph" w:customStyle="1" w:styleId="bTOC3">
    <w:name w:val="bTOC 3"/>
    <w:basedOn w:val="TOC3"/>
    <w:semiHidden/>
    <w:rsid w:val="00323061"/>
    <w:pPr>
      <w:spacing w:before="120" w:after="60" w:line="240" w:lineRule="auto"/>
      <w:ind w:left="482"/>
      <w:jc w:val="left"/>
    </w:pPr>
  </w:style>
  <w:style w:type="paragraph" w:customStyle="1" w:styleId="bTOC4">
    <w:name w:val="bTOC 4"/>
    <w:basedOn w:val="TOC4"/>
    <w:semiHidden/>
    <w:rsid w:val="00323061"/>
    <w:pPr>
      <w:spacing w:before="120" w:after="60" w:line="240" w:lineRule="auto"/>
      <w:jc w:val="left"/>
    </w:pPr>
  </w:style>
  <w:style w:type="paragraph" w:customStyle="1" w:styleId="Counsel">
    <w:name w:val="Counsel"/>
    <w:basedOn w:val="Normal"/>
    <w:unhideWhenUsed/>
    <w:pPr>
      <w:widowControl w:val="0"/>
      <w:suppressAutoHyphens/>
      <w:spacing w:line="240" w:lineRule="auto"/>
    </w:pPr>
  </w:style>
  <w:style w:type="character" w:customStyle="1" w:styleId="CertifyChar">
    <w:name w:val="Certify Char"/>
    <w:link w:val="Certify"/>
    <w:rPr>
      <w:sz w:val="24"/>
      <w:szCs w:val="24"/>
      <w:lang w:val="en-AU" w:eastAsia="en-US" w:bidi="ar-SA"/>
    </w:rPr>
  </w:style>
  <w:style w:type="paragraph" w:customStyle="1" w:styleId="fcHeading1">
    <w:name w:val="fcHeading 1"/>
    <w:basedOn w:val="Normal"/>
    <w:next w:val="ParaNumbering"/>
    <w:semiHidden/>
    <w:pPr>
      <w:keepNext/>
      <w:numPr>
        <w:numId w:val="15"/>
      </w:numPr>
      <w:spacing w:before="240" w:after="60" w:line="240" w:lineRule="auto"/>
    </w:pPr>
    <w:rPr>
      <w:b/>
      <w:caps/>
      <w:kern w:val="28"/>
    </w:rPr>
  </w:style>
  <w:style w:type="paragraph" w:customStyle="1" w:styleId="fcHeading2">
    <w:name w:val="fcHeading 2"/>
    <w:basedOn w:val="Normal"/>
    <w:next w:val="ParaNumbering"/>
    <w:semiHidden/>
    <w:pPr>
      <w:keepNext/>
      <w:numPr>
        <w:ilvl w:val="1"/>
        <w:numId w:val="15"/>
      </w:numPr>
      <w:spacing w:before="240" w:after="60" w:line="240" w:lineRule="auto"/>
    </w:pPr>
    <w:rPr>
      <w:b/>
    </w:rPr>
  </w:style>
  <w:style w:type="paragraph" w:customStyle="1" w:styleId="fcHeading3">
    <w:name w:val="fcHeading 3"/>
    <w:basedOn w:val="Normal"/>
    <w:next w:val="ParaNumbering"/>
    <w:semiHidden/>
    <w:pPr>
      <w:keepNext/>
      <w:numPr>
        <w:ilvl w:val="2"/>
        <w:numId w:val="15"/>
      </w:numPr>
      <w:spacing w:before="240" w:after="60" w:line="240" w:lineRule="auto"/>
    </w:pPr>
    <w:rPr>
      <w:b/>
      <w:i/>
    </w:rPr>
  </w:style>
  <w:style w:type="paragraph" w:customStyle="1" w:styleId="fcHeading4">
    <w:name w:val="fcHeading 4"/>
    <w:basedOn w:val="Normal"/>
    <w:next w:val="ParaNumbering"/>
    <w:semiHidden/>
    <w:pPr>
      <w:keepNext/>
      <w:numPr>
        <w:ilvl w:val="3"/>
        <w:numId w:val="15"/>
      </w:numPr>
      <w:spacing w:before="240" w:after="60" w:line="240" w:lineRule="auto"/>
    </w:pPr>
    <w:rPr>
      <w:b/>
      <w:smallCaps/>
    </w:rPr>
  </w:style>
  <w:style w:type="paragraph" w:customStyle="1" w:styleId="fcHeading5">
    <w:name w:val="fcHeading 5"/>
    <w:basedOn w:val="Normal"/>
    <w:next w:val="ParaNumbering"/>
    <w:semiHidden/>
    <w:pPr>
      <w:keepNext/>
      <w:numPr>
        <w:ilvl w:val="4"/>
        <w:numId w:val="15"/>
      </w:numPr>
      <w:spacing w:before="240" w:after="60" w:line="240" w:lineRule="auto"/>
    </w:pPr>
    <w:rPr>
      <w:b/>
      <w:caps/>
    </w:rPr>
  </w:style>
  <w:style w:type="paragraph" w:customStyle="1" w:styleId="FTOC5">
    <w:name w:val="FTOC 5"/>
    <w:basedOn w:val="Normal"/>
    <w:semiHidden/>
    <w:rsid w:val="006516D8"/>
    <w:pPr>
      <w:tabs>
        <w:tab w:val="right" w:leader="dot" w:pos="9072"/>
      </w:tabs>
      <w:spacing w:before="120" w:after="60" w:line="240" w:lineRule="auto"/>
      <w:ind w:left="567" w:hanging="567"/>
      <w:jc w:val="left"/>
    </w:pPr>
    <w:rPr>
      <w:b/>
      <w:kern w:val="28"/>
    </w:rPr>
  </w:style>
  <w:style w:type="paragraph" w:customStyle="1" w:styleId="FTOC6">
    <w:name w:val="FTOC 6"/>
    <w:basedOn w:val="Normal"/>
    <w:semiHidden/>
    <w:rsid w:val="006516D8"/>
    <w:pPr>
      <w:tabs>
        <w:tab w:val="right" w:leader="dot" w:pos="9072"/>
      </w:tabs>
      <w:spacing w:before="120" w:after="60" w:line="240" w:lineRule="auto"/>
      <w:ind w:left="1304" w:hanging="737"/>
      <w:jc w:val="left"/>
    </w:pPr>
    <w:rPr>
      <w:b/>
    </w:rPr>
  </w:style>
  <w:style w:type="paragraph" w:customStyle="1" w:styleId="FTOC7">
    <w:name w:val="FTOC 7"/>
    <w:basedOn w:val="Normal"/>
    <w:semiHidden/>
    <w:rsid w:val="006516D8"/>
    <w:pPr>
      <w:tabs>
        <w:tab w:val="right" w:leader="dot" w:pos="9072"/>
      </w:tabs>
      <w:spacing w:before="120" w:after="60" w:line="240" w:lineRule="auto"/>
      <w:ind w:left="2325" w:hanging="1021"/>
      <w:jc w:val="left"/>
    </w:pPr>
    <w:rPr>
      <w:b/>
    </w:rPr>
  </w:style>
  <w:style w:type="paragraph" w:customStyle="1" w:styleId="FTOC8">
    <w:name w:val="FTOC 8"/>
    <w:basedOn w:val="Normal"/>
    <w:semiHidden/>
    <w:rsid w:val="006516D8"/>
    <w:pPr>
      <w:tabs>
        <w:tab w:val="right" w:leader="dot" w:pos="9072"/>
      </w:tabs>
      <w:spacing w:before="120" w:after="60" w:line="240" w:lineRule="auto"/>
      <w:ind w:left="3232" w:hanging="1418"/>
      <w:jc w:val="left"/>
    </w:pPr>
    <w:rPr>
      <w:b/>
    </w:rPr>
  </w:style>
  <w:style w:type="paragraph" w:customStyle="1" w:styleId="FTOC9">
    <w:name w:val="FTOC 9"/>
    <w:basedOn w:val="Normal"/>
    <w:semiHidden/>
    <w:rsid w:val="006516D8"/>
    <w:pPr>
      <w:tabs>
        <w:tab w:val="right" w:leader="dot" w:pos="9072"/>
      </w:tabs>
      <w:spacing w:before="120" w:after="60" w:line="240" w:lineRule="auto"/>
      <w:ind w:left="4082" w:hanging="1701"/>
      <w:jc w:val="left"/>
    </w:pPr>
    <w:rPr>
      <w:b/>
    </w:rPr>
  </w:style>
  <w:style w:type="paragraph" w:customStyle="1" w:styleId="bTOC5">
    <w:name w:val="bTOC 5"/>
    <w:basedOn w:val="Normal"/>
    <w:semiHidden/>
    <w:rsid w:val="00323061"/>
    <w:pPr>
      <w:tabs>
        <w:tab w:val="right" w:leader="dot" w:pos="9072"/>
      </w:tabs>
      <w:spacing w:before="120" w:after="60" w:line="240" w:lineRule="auto"/>
      <w:ind w:left="709" w:hanging="709"/>
      <w:jc w:val="left"/>
    </w:pPr>
  </w:style>
  <w:style w:type="paragraph" w:customStyle="1" w:styleId="bTOC6">
    <w:name w:val="bTOC 6"/>
    <w:basedOn w:val="Normal"/>
    <w:semiHidden/>
    <w:rsid w:val="00323061"/>
    <w:pPr>
      <w:tabs>
        <w:tab w:val="right" w:leader="dot" w:pos="9072"/>
      </w:tabs>
      <w:spacing w:before="120" w:after="60" w:line="240" w:lineRule="auto"/>
      <w:ind w:left="1418" w:hanging="709"/>
      <w:jc w:val="left"/>
    </w:pPr>
  </w:style>
  <w:style w:type="paragraph" w:customStyle="1" w:styleId="bTOC7">
    <w:name w:val="bTOC 7"/>
    <w:basedOn w:val="Normal"/>
    <w:semiHidden/>
    <w:rsid w:val="00F51AFB"/>
    <w:pPr>
      <w:tabs>
        <w:tab w:val="right" w:leader="dot" w:pos="9072"/>
      </w:tabs>
      <w:spacing w:before="120" w:after="60" w:line="240" w:lineRule="auto"/>
      <w:ind w:left="2240" w:hanging="822"/>
      <w:jc w:val="left"/>
    </w:pPr>
  </w:style>
  <w:style w:type="paragraph" w:customStyle="1" w:styleId="bTOC8">
    <w:name w:val="bTOC 8"/>
    <w:basedOn w:val="Normal"/>
    <w:semiHidden/>
    <w:rsid w:val="00F51AFB"/>
    <w:pPr>
      <w:keepNext/>
      <w:tabs>
        <w:tab w:val="right" w:leader="dot" w:pos="9072"/>
      </w:tabs>
      <w:spacing w:before="120" w:after="60" w:line="240" w:lineRule="auto"/>
      <w:ind w:left="3373" w:hanging="1247"/>
      <w:jc w:val="left"/>
    </w:pPr>
  </w:style>
  <w:style w:type="paragraph" w:customStyle="1" w:styleId="bTOC9">
    <w:name w:val="bTOC 9"/>
    <w:basedOn w:val="Normal"/>
    <w:semiHidden/>
    <w:rsid w:val="00F51AFB"/>
    <w:pPr>
      <w:keepNext/>
      <w:tabs>
        <w:tab w:val="right" w:leader="dot" w:pos="9072"/>
      </w:tabs>
      <w:spacing w:before="120" w:after="60" w:line="240" w:lineRule="auto"/>
      <w:ind w:left="4082" w:hanging="1247"/>
      <w:jc w:val="left"/>
    </w:pPr>
  </w:style>
  <w:style w:type="paragraph" w:customStyle="1" w:styleId="ListNo2">
    <w:name w:val="List No 2"/>
    <w:basedOn w:val="ListNo1"/>
    <w:rsid w:val="0052098C"/>
    <w:pPr>
      <w:numPr>
        <w:ilvl w:val="1"/>
      </w:numPr>
    </w:pPr>
  </w:style>
  <w:style w:type="paragraph" w:customStyle="1" w:styleId="ListNo3">
    <w:name w:val="List No 3"/>
    <w:basedOn w:val="ListNo2"/>
    <w:rsid w:val="0052098C"/>
    <w:pPr>
      <w:numPr>
        <w:ilvl w:val="2"/>
      </w:numPr>
    </w:pPr>
  </w:style>
  <w:style w:type="numbering" w:customStyle="1" w:styleId="FCListNo">
    <w:name w:val="FCListNo"/>
    <w:uiPriority w:val="99"/>
    <w:rsid w:val="0052098C"/>
    <w:pPr>
      <w:numPr>
        <w:numId w:val="16"/>
      </w:numPr>
    </w:pPr>
  </w:style>
  <w:style w:type="paragraph" w:customStyle="1" w:styleId="SingleSpace">
    <w:name w:val="SingleSpace"/>
    <w:basedOn w:val="Normal"/>
    <w:rsid w:val="00055719"/>
    <w:pPr>
      <w:spacing w:line="240" w:lineRule="auto"/>
    </w:pPr>
    <w:rPr>
      <w:szCs w:val="22"/>
    </w:rPr>
  </w:style>
  <w:style w:type="paragraph" w:customStyle="1" w:styleId="Quote1Bullet">
    <w:name w:val="Quote1 Bullet"/>
    <w:basedOn w:val="Quote1"/>
    <w:rsid w:val="00EF3F84"/>
    <w:pPr>
      <w:numPr>
        <w:numId w:val="17"/>
      </w:numPr>
      <w:ind w:left="1440" w:hanging="720"/>
    </w:pPr>
  </w:style>
  <w:style w:type="paragraph" w:customStyle="1" w:styleId="Quote2Bullet">
    <w:name w:val="Quote2 Bullet"/>
    <w:basedOn w:val="Quote2"/>
    <w:rsid w:val="00EF3F84"/>
    <w:pPr>
      <w:numPr>
        <w:numId w:val="18"/>
      </w:numPr>
      <w:ind w:hanging="720"/>
    </w:pPr>
  </w:style>
  <w:style w:type="paragraph" w:customStyle="1" w:styleId="Quote3Bullet">
    <w:name w:val="Quote3 Bullet"/>
    <w:basedOn w:val="Quote3"/>
    <w:rsid w:val="00EE445B"/>
    <w:pPr>
      <w:numPr>
        <w:numId w:val="19"/>
      </w:numPr>
      <w:ind w:hanging="720"/>
    </w:pPr>
  </w:style>
  <w:style w:type="paragraph" w:customStyle="1" w:styleId="Order1">
    <w:name w:val="Order 1"/>
    <w:basedOn w:val="Normal"/>
    <w:rsid w:val="004104B6"/>
    <w:pPr>
      <w:numPr>
        <w:numId w:val="20"/>
      </w:numPr>
      <w:spacing w:before="60" w:after="60"/>
    </w:pPr>
  </w:style>
  <w:style w:type="numbering" w:customStyle="1" w:styleId="FCOrders">
    <w:name w:val="FCOrders"/>
    <w:uiPriority w:val="99"/>
    <w:rsid w:val="004104B6"/>
    <w:pPr>
      <w:numPr>
        <w:numId w:val="20"/>
      </w:numPr>
    </w:pPr>
  </w:style>
  <w:style w:type="paragraph" w:customStyle="1" w:styleId="BodyTextBold">
    <w:name w:val="Body Text Bold"/>
    <w:basedOn w:val="BodyText"/>
    <w:rsid w:val="00484F6D"/>
    <w:rPr>
      <w:b/>
    </w:rPr>
  </w:style>
  <w:style w:type="paragraph" w:customStyle="1" w:styleId="GeneralHeading">
    <w:name w:val="General Heading"/>
    <w:basedOn w:val="BodyTextBold"/>
    <w:next w:val="BodyText"/>
    <w:rsid w:val="008C7167"/>
    <w:pPr>
      <w:spacing w:line="480" w:lineRule="auto"/>
      <w:jc w:val="center"/>
    </w:pPr>
    <w:rPr>
      <w:sz w:val="28"/>
    </w:rPr>
  </w:style>
  <w:style w:type="paragraph" w:customStyle="1" w:styleId="ReasonJudge">
    <w:name w:val="Reason Judge"/>
    <w:basedOn w:val="BodyText"/>
    <w:next w:val="BodyText"/>
    <w:rsid w:val="008C7167"/>
    <w:pPr>
      <w:jc w:val="left"/>
    </w:pPr>
    <w:rPr>
      <w:b/>
      <w:sz w:val="26"/>
    </w:rPr>
  </w:style>
  <w:style w:type="paragraph" w:customStyle="1" w:styleId="FileNo">
    <w:name w:val="FileNo"/>
    <w:basedOn w:val="NormalHeadings"/>
    <w:rsid w:val="007E4DB6"/>
    <w:pPr>
      <w:tabs>
        <w:tab w:val="right" w:pos="3609"/>
      </w:tabs>
      <w:spacing w:line="276" w:lineRule="auto"/>
      <w:jc w:val="right"/>
    </w:pPr>
    <w:rPr>
      <w:szCs w:val="24"/>
    </w:rPr>
  </w:style>
  <w:style w:type="paragraph" w:customStyle="1" w:styleId="CasesLegislationAppealFrom">
    <w:name w:val="Cases Legislation Appeal From"/>
    <w:basedOn w:val="Normal1linespace"/>
    <w:rsid w:val="000C023E"/>
    <w:pPr>
      <w:widowControl w:val="0"/>
      <w:spacing w:after="100"/>
      <w:jc w:val="left"/>
    </w:pPr>
  </w:style>
  <w:style w:type="paragraph" w:customStyle="1" w:styleId="PartyName">
    <w:name w:val="Party Name"/>
    <w:basedOn w:val="NormalHeadings"/>
    <w:rsid w:val="00A45FB1"/>
    <w:pPr>
      <w:jc w:val="left"/>
    </w:pPr>
    <w:rPr>
      <w:szCs w:val="24"/>
    </w:rPr>
  </w:style>
  <w:style w:type="paragraph" w:customStyle="1" w:styleId="PartyType">
    <w:name w:val="Party Type"/>
    <w:basedOn w:val="PartyName"/>
    <w:rsid w:val="00A45FB1"/>
    <w:rPr>
      <w:b w:val="0"/>
    </w:rPr>
  </w:style>
  <w:style w:type="paragraph" w:customStyle="1" w:styleId="Small-TableswithinQuotes">
    <w:name w:val="Small - Tables within Quotes"/>
    <w:basedOn w:val="BodyText"/>
    <w:rsid w:val="005E0510"/>
    <w:pPr>
      <w:spacing w:line="240" w:lineRule="auto"/>
      <w:jc w:val="left"/>
    </w:pPr>
    <w:rPr>
      <w:sz w:val="22"/>
    </w:rPr>
  </w:style>
  <w:style w:type="character" w:customStyle="1" w:styleId="BodyTextChar">
    <w:name w:val="Body Text Char"/>
    <w:basedOn w:val="DefaultParagraphFont"/>
    <w:link w:val="BodyText"/>
    <w:rsid w:val="00E91A0F"/>
    <w:rPr>
      <w:sz w:val="24"/>
      <w:lang w:eastAsia="en-US"/>
    </w:rPr>
  </w:style>
  <w:style w:type="character" w:customStyle="1" w:styleId="NormalHeadingsChar">
    <w:name w:val="Normal Headings Char"/>
    <w:basedOn w:val="DefaultParagraphFont"/>
    <w:link w:val="NormalHeadings"/>
    <w:rsid w:val="00E91A0F"/>
    <w:rPr>
      <w:b/>
      <w:sz w:val="24"/>
      <w:lang w:eastAsia="en-US"/>
    </w:rPr>
  </w:style>
  <w:style w:type="paragraph" w:customStyle="1" w:styleId="CourtTitle">
    <w:name w:val="CourtTitle"/>
    <w:basedOn w:val="NormalHeadings"/>
    <w:rsid w:val="00285922"/>
    <w:pPr>
      <w:jc w:val="center"/>
    </w:pPr>
    <w:rPr>
      <w:caps/>
      <w:sz w:val="32"/>
    </w:rPr>
  </w:style>
  <w:style w:type="paragraph" w:customStyle="1" w:styleId="MNC">
    <w:name w:val="MNC"/>
    <w:basedOn w:val="MediaNeutralStyle"/>
    <w:rsid w:val="00085255"/>
    <w:pPr>
      <w:spacing w:after="240"/>
    </w:pPr>
    <w:rPr>
      <w:sz w:val="28"/>
    </w:rPr>
  </w:style>
  <w:style w:type="paragraph" w:customStyle="1" w:styleId="Quote4">
    <w:name w:val="Quote4"/>
    <w:basedOn w:val="Quote1"/>
    <w:rsid w:val="00DF75E1"/>
    <w:pPr>
      <w:ind w:left="2880"/>
    </w:pPr>
  </w:style>
  <w:style w:type="paragraph" w:customStyle="1" w:styleId="Quote4Bullet">
    <w:name w:val="Quote4 Bullet"/>
    <w:basedOn w:val="Quote4"/>
    <w:rsid w:val="00EE445B"/>
    <w:pPr>
      <w:numPr>
        <w:numId w:val="21"/>
      </w:numPr>
      <w:ind w:hanging="720"/>
    </w:pPr>
  </w:style>
  <w:style w:type="character" w:styleId="PlaceholderText">
    <w:name w:val="Placeholder Text"/>
    <w:basedOn w:val="DefaultParagraphFont"/>
    <w:uiPriority w:val="99"/>
    <w:semiHidden/>
    <w:rsid w:val="00CF5A80"/>
    <w:rPr>
      <w:color w:val="808080"/>
    </w:rPr>
  </w:style>
  <w:style w:type="paragraph" w:customStyle="1" w:styleId="Order2">
    <w:name w:val="Order 2"/>
    <w:basedOn w:val="Order1"/>
    <w:rsid w:val="001351B9"/>
    <w:pPr>
      <w:numPr>
        <w:ilvl w:val="1"/>
      </w:numPr>
      <w:tabs>
        <w:tab w:val="clear" w:pos="1440"/>
      </w:tabs>
    </w:pPr>
  </w:style>
  <w:style w:type="paragraph" w:customStyle="1" w:styleId="Order3">
    <w:name w:val="Order 3"/>
    <w:basedOn w:val="Order2"/>
    <w:rsid w:val="00DD6957"/>
    <w:pPr>
      <w:numPr>
        <w:ilvl w:val="2"/>
      </w:numPr>
    </w:pPr>
  </w:style>
  <w:style w:type="paragraph" w:customStyle="1" w:styleId="ListNo1alt">
    <w:name w:val="List No 1 (alt)"/>
    <w:basedOn w:val="Normal"/>
    <w:rsid w:val="008A1741"/>
    <w:pPr>
      <w:numPr>
        <w:numId w:val="24"/>
      </w:numPr>
      <w:spacing w:before="60" w:after="60"/>
    </w:pPr>
  </w:style>
  <w:style w:type="paragraph" w:customStyle="1" w:styleId="ListNo2alt">
    <w:name w:val="List No 2 (alt)"/>
    <w:basedOn w:val="ListNo1alt"/>
    <w:rsid w:val="008A1741"/>
    <w:pPr>
      <w:numPr>
        <w:ilvl w:val="1"/>
      </w:numPr>
    </w:pPr>
  </w:style>
  <w:style w:type="paragraph" w:customStyle="1" w:styleId="ListNo3alt">
    <w:name w:val="List No 3 (alt)"/>
    <w:basedOn w:val="ListNo2alt"/>
    <w:rsid w:val="008A1741"/>
    <w:pPr>
      <w:numPr>
        <w:ilvl w:val="2"/>
      </w:numPr>
    </w:pPr>
  </w:style>
  <w:style w:type="numbering" w:customStyle="1" w:styleId="FCListNoalt">
    <w:name w:val="FC List No (alt)"/>
    <w:uiPriority w:val="99"/>
    <w:rsid w:val="008A1741"/>
    <w:pPr>
      <w:numPr>
        <w:numId w:val="23"/>
      </w:numPr>
    </w:pPr>
  </w:style>
  <w:style w:type="paragraph" w:customStyle="1" w:styleId="Order4">
    <w:name w:val="Order 4"/>
    <w:basedOn w:val="Order3"/>
    <w:rsid w:val="004104B6"/>
    <w:pPr>
      <w:numPr>
        <w:ilvl w:val="3"/>
      </w:numPr>
    </w:pPr>
  </w:style>
  <w:style w:type="paragraph" w:styleId="FootnoteText">
    <w:name w:val="footnote text"/>
    <w:basedOn w:val="Normal"/>
    <w:link w:val="FootnoteTextChar"/>
    <w:semiHidden/>
    <w:unhideWhenUsed/>
    <w:rsid w:val="00077768"/>
    <w:pPr>
      <w:spacing w:line="240" w:lineRule="auto"/>
    </w:pPr>
    <w:rPr>
      <w:sz w:val="20"/>
    </w:rPr>
  </w:style>
  <w:style w:type="character" w:customStyle="1" w:styleId="FootnoteTextChar">
    <w:name w:val="Footnote Text Char"/>
    <w:basedOn w:val="DefaultParagraphFont"/>
    <w:link w:val="FootnoteText"/>
    <w:semiHidden/>
    <w:rsid w:val="00077768"/>
    <w:rPr>
      <w:lang w:eastAsia="en-US"/>
    </w:rPr>
  </w:style>
  <w:style w:type="character" w:styleId="FootnoteReference">
    <w:name w:val="footnote reference"/>
    <w:basedOn w:val="DefaultParagraphFont"/>
    <w:semiHidden/>
    <w:unhideWhenUsed/>
    <w:rsid w:val="00077768"/>
    <w:rPr>
      <w:vertAlign w:val="superscript"/>
    </w:rPr>
  </w:style>
  <w:style w:type="paragraph" w:customStyle="1" w:styleId="FCBullets2">
    <w:name w:val="FCBullets2"/>
    <w:basedOn w:val="FCBullets"/>
    <w:rsid w:val="001C2FE0"/>
    <w:pPr>
      <w:numPr>
        <w:ilvl w:val="1"/>
      </w:numPr>
    </w:pPr>
  </w:style>
  <w:style w:type="numbering" w:customStyle="1" w:styleId="FCNotes">
    <w:name w:val="FCNotes"/>
    <w:uiPriority w:val="99"/>
    <w:rsid w:val="00805A30"/>
    <w:pPr>
      <w:numPr>
        <w:numId w:val="26"/>
      </w:numPr>
    </w:pPr>
  </w:style>
  <w:style w:type="paragraph" w:customStyle="1" w:styleId="Notes">
    <w:name w:val="Notes"/>
    <w:basedOn w:val="Normal"/>
    <w:rsid w:val="00805A30"/>
    <w:pPr>
      <w:numPr>
        <w:numId w:val="28"/>
      </w:numPr>
      <w:spacing w:before="60" w:after="60"/>
    </w:pPr>
  </w:style>
  <w:style w:type="paragraph" w:customStyle="1" w:styleId="OrdersHeading1">
    <w:name w:val="Orders Heading 1"/>
    <w:basedOn w:val="Normal"/>
    <w:next w:val="BodyText"/>
    <w:rsid w:val="001E0C61"/>
    <w:pPr>
      <w:keepNext/>
      <w:spacing w:before="240" w:after="180" w:line="240" w:lineRule="auto"/>
    </w:pPr>
    <w:rPr>
      <w:b/>
      <w:caps/>
    </w:rPr>
  </w:style>
  <w:style w:type="paragraph" w:customStyle="1" w:styleId="OrdersHeading2">
    <w:name w:val="Orders Heading 2"/>
    <w:basedOn w:val="Normal"/>
    <w:next w:val="BodyText"/>
    <w:rsid w:val="001E0C61"/>
    <w:pPr>
      <w:keepNext/>
      <w:spacing w:before="240" w:after="180" w:line="240" w:lineRule="auto"/>
    </w:pPr>
    <w:rPr>
      <w:b/>
    </w:rPr>
  </w:style>
  <w:style w:type="paragraph" w:customStyle="1" w:styleId="subsection">
    <w:name w:val="subsection"/>
    <w:basedOn w:val="Normal"/>
    <w:rsid w:val="00011E14"/>
    <w:pPr>
      <w:spacing w:before="100" w:beforeAutospacing="1" w:after="100" w:afterAutospacing="1" w:line="240" w:lineRule="auto"/>
      <w:jc w:val="left"/>
    </w:pPr>
    <w:rPr>
      <w:rFonts w:eastAsia="Times New Roman"/>
      <w:szCs w:val="24"/>
      <w:lang w:eastAsia="en-GB"/>
    </w:rPr>
  </w:style>
  <w:style w:type="paragraph" w:customStyle="1" w:styleId="paragraph">
    <w:name w:val="paragraph"/>
    <w:basedOn w:val="Normal"/>
    <w:rsid w:val="00011E14"/>
    <w:pPr>
      <w:spacing w:before="100" w:beforeAutospacing="1" w:after="100" w:afterAutospacing="1" w:line="240" w:lineRule="auto"/>
      <w:jc w:val="left"/>
    </w:pPr>
    <w:rPr>
      <w:rFonts w:eastAsia="Times New Roman"/>
      <w:szCs w:val="24"/>
      <w:lang w:eastAsia="en-GB"/>
    </w:rPr>
  </w:style>
  <w:style w:type="character" w:customStyle="1" w:styleId="Heading2Char">
    <w:name w:val="Heading 2 Char"/>
    <w:basedOn w:val="DefaultParagraphFont"/>
    <w:link w:val="Heading2"/>
    <w:rsid w:val="00244422"/>
    <w:rPr>
      <w:b/>
      <w:sz w:val="24"/>
      <w:szCs w:val="24"/>
      <w:lang w:eastAsia="en-US"/>
    </w:rPr>
  </w:style>
  <w:style w:type="character" w:customStyle="1" w:styleId="Quote1Char">
    <w:name w:val="Quote1 Char"/>
    <w:basedOn w:val="DefaultParagraphFont"/>
    <w:link w:val="Quote1"/>
    <w:locked/>
    <w:rsid w:val="00313613"/>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109952">
      <w:bodyDiv w:val="1"/>
      <w:marLeft w:val="0"/>
      <w:marRight w:val="0"/>
      <w:marTop w:val="0"/>
      <w:marBottom w:val="0"/>
      <w:divBdr>
        <w:top w:val="none" w:sz="0" w:space="0" w:color="auto"/>
        <w:left w:val="none" w:sz="0" w:space="0" w:color="auto"/>
        <w:bottom w:val="none" w:sz="0" w:space="0" w:color="auto"/>
        <w:right w:val="none" w:sz="0" w:space="0" w:color="auto"/>
      </w:divBdr>
      <w:divsChild>
        <w:div w:id="486475560">
          <w:marLeft w:val="0"/>
          <w:marRight w:val="0"/>
          <w:marTop w:val="0"/>
          <w:marBottom w:val="0"/>
          <w:divBdr>
            <w:top w:val="none" w:sz="0" w:space="0" w:color="auto"/>
            <w:left w:val="none" w:sz="0" w:space="0" w:color="auto"/>
            <w:bottom w:val="none" w:sz="0" w:space="0" w:color="auto"/>
            <w:right w:val="none" w:sz="0" w:space="0" w:color="auto"/>
          </w:divBdr>
          <w:divsChild>
            <w:div w:id="204026868">
              <w:marLeft w:val="0"/>
              <w:marRight w:val="0"/>
              <w:marTop w:val="0"/>
              <w:marBottom w:val="0"/>
              <w:divBdr>
                <w:top w:val="none" w:sz="0" w:space="0" w:color="auto"/>
                <w:left w:val="none" w:sz="0" w:space="0" w:color="auto"/>
                <w:bottom w:val="none" w:sz="0" w:space="0" w:color="auto"/>
                <w:right w:val="none" w:sz="0" w:space="0" w:color="auto"/>
              </w:divBdr>
              <w:divsChild>
                <w:div w:id="186432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442548">
      <w:bodyDiv w:val="1"/>
      <w:marLeft w:val="0"/>
      <w:marRight w:val="0"/>
      <w:marTop w:val="0"/>
      <w:marBottom w:val="0"/>
      <w:divBdr>
        <w:top w:val="none" w:sz="0" w:space="0" w:color="auto"/>
        <w:left w:val="none" w:sz="0" w:space="0" w:color="auto"/>
        <w:bottom w:val="none" w:sz="0" w:space="0" w:color="auto"/>
        <w:right w:val="none" w:sz="0" w:space="0" w:color="auto"/>
      </w:divBdr>
      <w:divsChild>
        <w:div w:id="1620187766">
          <w:marLeft w:val="0"/>
          <w:marRight w:val="0"/>
          <w:marTop w:val="0"/>
          <w:marBottom w:val="0"/>
          <w:divBdr>
            <w:top w:val="none" w:sz="0" w:space="0" w:color="auto"/>
            <w:left w:val="none" w:sz="0" w:space="0" w:color="auto"/>
            <w:bottom w:val="none" w:sz="0" w:space="0" w:color="auto"/>
            <w:right w:val="none" w:sz="0" w:space="0" w:color="auto"/>
          </w:divBdr>
          <w:divsChild>
            <w:div w:id="1262958762">
              <w:marLeft w:val="0"/>
              <w:marRight w:val="0"/>
              <w:marTop w:val="0"/>
              <w:marBottom w:val="0"/>
              <w:divBdr>
                <w:top w:val="none" w:sz="0" w:space="0" w:color="auto"/>
                <w:left w:val="none" w:sz="0" w:space="0" w:color="auto"/>
                <w:bottom w:val="none" w:sz="0" w:space="0" w:color="auto"/>
                <w:right w:val="none" w:sz="0" w:space="0" w:color="auto"/>
              </w:divBdr>
              <w:divsChild>
                <w:div w:id="7216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235483">
      <w:bodyDiv w:val="1"/>
      <w:marLeft w:val="0"/>
      <w:marRight w:val="0"/>
      <w:marTop w:val="0"/>
      <w:marBottom w:val="0"/>
      <w:divBdr>
        <w:top w:val="none" w:sz="0" w:space="0" w:color="auto"/>
        <w:left w:val="none" w:sz="0" w:space="0" w:color="auto"/>
        <w:bottom w:val="none" w:sz="0" w:space="0" w:color="auto"/>
        <w:right w:val="none" w:sz="0" w:space="0" w:color="auto"/>
      </w:divBdr>
      <w:divsChild>
        <w:div w:id="1220357354">
          <w:marLeft w:val="0"/>
          <w:marRight w:val="0"/>
          <w:marTop w:val="0"/>
          <w:marBottom w:val="0"/>
          <w:divBdr>
            <w:top w:val="none" w:sz="0" w:space="0" w:color="auto"/>
            <w:left w:val="none" w:sz="0" w:space="0" w:color="auto"/>
            <w:bottom w:val="none" w:sz="0" w:space="0" w:color="auto"/>
            <w:right w:val="none" w:sz="0" w:space="0" w:color="auto"/>
          </w:divBdr>
          <w:divsChild>
            <w:div w:id="830373368">
              <w:marLeft w:val="0"/>
              <w:marRight w:val="0"/>
              <w:marTop w:val="0"/>
              <w:marBottom w:val="0"/>
              <w:divBdr>
                <w:top w:val="none" w:sz="0" w:space="0" w:color="auto"/>
                <w:left w:val="none" w:sz="0" w:space="0" w:color="auto"/>
                <w:bottom w:val="none" w:sz="0" w:space="0" w:color="auto"/>
                <w:right w:val="none" w:sz="0" w:space="0" w:color="auto"/>
              </w:divBdr>
              <w:divsChild>
                <w:div w:id="1446578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3624080">
      <w:bodyDiv w:val="1"/>
      <w:marLeft w:val="0"/>
      <w:marRight w:val="0"/>
      <w:marTop w:val="0"/>
      <w:marBottom w:val="0"/>
      <w:divBdr>
        <w:top w:val="none" w:sz="0" w:space="0" w:color="auto"/>
        <w:left w:val="none" w:sz="0" w:space="0" w:color="auto"/>
        <w:bottom w:val="none" w:sz="0" w:space="0" w:color="auto"/>
        <w:right w:val="none" w:sz="0" w:space="0" w:color="auto"/>
      </w:divBdr>
    </w:div>
    <w:div w:id="1969123724">
      <w:bodyDiv w:val="1"/>
      <w:marLeft w:val="0"/>
      <w:marRight w:val="0"/>
      <w:marTop w:val="0"/>
      <w:marBottom w:val="0"/>
      <w:divBdr>
        <w:top w:val="none" w:sz="0" w:space="0" w:color="auto"/>
        <w:left w:val="none" w:sz="0" w:space="0" w:color="auto"/>
        <w:bottom w:val="none" w:sz="0" w:space="0" w:color="auto"/>
        <w:right w:val="none" w:sz="0" w:space="0" w:color="auto"/>
      </w:divBdr>
      <w:divsChild>
        <w:div w:id="4402352">
          <w:marLeft w:val="0"/>
          <w:marRight w:val="0"/>
          <w:marTop w:val="0"/>
          <w:marBottom w:val="0"/>
          <w:divBdr>
            <w:top w:val="none" w:sz="0" w:space="0" w:color="auto"/>
            <w:left w:val="none" w:sz="0" w:space="0" w:color="auto"/>
            <w:bottom w:val="none" w:sz="0" w:space="0" w:color="auto"/>
            <w:right w:val="none" w:sz="0" w:space="0" w:color="auto"/>
          </w:divBdr>
          <w:divsChild>
            <w:div w:id="13581433">
              <w:marLeft w:val="0"/>
              <w:marRight w:val="0"/>
              <w:marTop w:val="0"/>
              <w:marBottom w:val="0"/>
              <w:divBdr>
                <w:top w:val="none" w:sz="0" w:space="0" w:color="auto"/>
                <w:left w:val="none" w:sz="0" w:space="0" w:color="auto"/>
                <w:bottom w:val="none" w:sz="0" w:space="0" w:color="auto"/>
                <w:right w:val="none" w:sz="0" w:space="0" w:color="auto"/>
              </w:divBdr>
              <w:divsChild>
                <w:div w:id="110673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H:\My%20Documents\Judg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AB51F3E472949968D3465719F05CA7A"/>
        <w:category>
          <w:name w:val="General"/>
          <w:gallery w:val="placeholder"/>
        </w:category>
        <w:types>
          <w:type w:val="bbPlcHdr"/>
        </w:types>
        <w:behaviors>
          <w:behavior w:val="content"/>
        </w:behaviors>
        <w:guid w:val="{81DAE14B-1E36-4E58-AD99-0251B4A078B4}"/>
      </w:docPartPr>
      <w:docPartBody>
        <w:p w:rsidR="003E3A5D" w:rsidRDefault="009464D8">
          <w:pPr>
            <w:pStyle w:val="7AB51F3E472949968D3465719F05CA7A"/>
          </w:pPr>
          <w:r>
            <w:rPr>
              <w:rStyle w:val="PlaceholderText"/>
            </w:rPr>
            <w:t>MNC Text</w:t>
          </w:r>
        </w:p>
      </w:docPartBody>
    </w:docPart>
    <w:docPart>
      <w:docPartPr>
        <w:name w:val="EF84723EB1C744B5BD335FA6AE2FFB57"/>
        <w:category>
          <w:name w:val="General"/>
          <w:gallery w:val="placeholder"/>
        </w:category>
        <w:types>
          <w:type w:val="bbPlcHdr"/>
        </w:types>
        <w:behaviors>
          <w:behavior w:val="content"/>
        </w:behaviors>
        <w:guid w:val="{9E0A9FFB-DF66-458C-8F0B-CF75CF7ADF8A}"/>
      </w:docPartPr>
      <w:docPartBody>
        <w:p w:rsidR="003E3A5D" w:rsidRDefault="009464D8">
          <w:pPr>
            <w:pStyle w:val="EF84723EB1C744B5BD335FA6AE2FFB57"/>
          </w:pPr>
          <w:r w:rsidRPr="005C44BE">
            <w:rPr>
              <w:rStyle w:val="PlaceholderText"/>
            </w:rPr>
            <w:t>Click or tap here to enter text.</w:t>
          </w:r>
        </w:p>
      </w:docPartBody>
    </w:docPart>
    <w:docPart>
      <w:docPartPr>
        <w:name w:val="98AF57F2E4B149488F0C197B8A6B0D5B"/>
        <w:category>
          <w:name w:val="General"/>
          <w:gallery w:val="placeholder"/>
        </w:category>
        <w:types>
          <w:type w:val="bbPlcHdr"/>
        </w:types>
        <w:behaviors>
          <w:behavior w:val="content"/>
        </w:behaviors>
        <w:guid w:val="{3BDA4942-B794-4A90-B2C3-206AE855F74A}"/>
      </w:docPartPr>
      <w:docPartBody>
        <w:p w:rsidR="003E3A5D" w:rsidRDefault="009464D8">
          <w:pPr>
            <w:pStyle w:val="98AF57F2E4B149488F0C197B8A6B0D5B"/>
          </w:pPr>
          <w:r w:rsidRPr="005C44BE">
            <w:rPr>
              <w:rStyle w:val="PlaceholderText"/>
            </w:rPr>
            <w:t>Click or tap here to enter text.</w:t>
          </w:r>
        </w:p>
      </w:docPartBody>
    </w:docPart>
    <w:docPart>
      <w:docPartPr>
        <w:name w:val="29B20B5F52624C38AD9E62FE7B1660E3"/>
        <w:category>
          <w:name w:val="General"/>
          <w:gallery w:val="placeholder"/>
        </w:category>
        <w:types>
          <w:type w:val="bbPlcHdr"/>
        </w:types>
        <w:behaviors>
          <w:behavior w:val="content"/>
        </w:behaviors>
        <w:guid w:val="{BC88E713-9255-4856-AF2B-A14C63F59F08}"/>
      </w:docPartPr>
      <w:docPartBody>
        <w:p w:rsidR="003E3A5D" w:rsidRDefault="009464D8">
          <w:pPr>
            <w:pStyle w:val="29B20B5F52624C38AD9E62FE7B1660E3"/>
          </w:pPr>
          <w:r w:rsidRPr="005C44BE">
            <w:rPr>
              <w:rStyle w:val="PlaceholderText"/>
            </w:rPr>
            <w:t>Click or tap here to enter text.</w:t>
          </w:r>
        </w:p>
      </w:docPartBody>
    </w:docPart>
    <w:docPart>
      <w:docPartPr>
        <w:name w:val="262D01DBCF77449BB11649F370B21330"/>
        <w:category>
          <w:name w:val="General"/>
          <w:gallery w:val="placeholder"/>
        </w:category>
        <w:types>
          <w:type w:val="bbPlcHdr"/>
        </w:types>
        <w:behaviors>
          <w:behavior w:val="content"/>
        </w:behaviors>
        <w:guid w:val="{3DFBA239-CDF6-4A0B-B1A2-8478B4DED253}"/>
      </w:docPartPr>
      <w:docPartBody>
        <w:p w:rsidR="003E3A5D" w:rsidRDefault="009464D8">
          <w:pPr>
            <w:pStyle w:val="262D01DBCF77449BB11649F370B21330"/>
          </w:pPr>
          <w:r w:rsidRPr="005C44B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TimesNewRomanPS">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A5D"/>
    <w:rsid w:val="00137E88"/>
    <w:rsid w:val="00213C83"/>
    <w:rsid w:val="003837AF"/>
    <w:rsid w:val="003E3A5D"/>
    <w:rsid w:val="005723F4"/>
    <w:rsid w:val="005D4761"/>
    <w:rsid w:val="009464D8"/>
    <w:rsid w:val="00A4169E"/>
    <w:rsid w:val="00AA32EE"/>
    <w:rsid w:val="00BA79B2"/>
    <w:rsid w:val="00D65D7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7AB51F3E472949968D3465719F05CA7A">
    <w:name w:val="7AB51F3E472949968D3465719F05CA7A"/>
  </w:style>
  <w:style w:type="paragraph" w:customStyle="1" w:styleId="EF84723EB1C744B5BD335FA6AE2FFB57">
    <w:name w:val="EF84723EB1C744B5BD335FA6AE2FFB57"/>
  </w:style>
  <w:style w:type="paragraph" w:customStyle="1" w:styleId="98AF57F2E4B149488F0C197B8A6B0D5B">
    <w:name w:val="98AF57F2E4B149488F0C197B8A6B0D5B"/>
  </w:style>
  <w:style w:type="paragraph" w:customStyle="1" w:styleId="29B20B5F52624C38AD9E62FE7B1660E3">
    <w:name w:val="29B20B5F52624C38AD9E62FE7B1660E3"/>
  </w:style>
  <w:style w:type="paragraph" w:customStyle="1" w:styleId="262D01DBCF77449BB11649F370B21330">
    <w:name w:val="262D01DBCF77449BB11649F370B2133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9038CD8FC737549AA49F52A6CDD024B" ma:contentTypeVersion="4" ma:contentTypeDescription="Create a new document." ma:contentTypeScope="" ma:versionID="5db74db4ab709e5821bb801eeb2e85fa">
  <xsd:schema xmlns:xsd="http://www.w3.org/2001/XMLSchema" xmlns:xs="http://www.w3.org/2001/XMLSchema" xmlns:p="http://schemas.microsoft.com/office/2006/metadata/properties" xmlns:ns3="9cb67157-2a84-4d71-9bf6-5197b63f335a" targetNamespace="http://schemas.microsoft.com/office/2006/metadata/properties" ma:root="true" ma:fieldsID="54e8e9a53c8e30a352ddd1f2c3fb2aac" ns3:_="">
    <xsd:import namespace="9cb67157-2a84-4d71-9bf6-5197b63f335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b67157-2a84-4d71-9bf6-5197b63f33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root xmlns="http://schemas.globalmacros.com/FCA">
  <Name>Thornton v Minister for Immigration, Citizenship, Migrant Services and Multicultural Affairs [2022] FCAFC 23</Name>
</root>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E216DC-8D5D-40D2-B11F-B2983AC319DF}">
  <ds:schemaRefs>
    <ds:schemaRef ds:uri="http://schemas.microsoft.com/office/infopath/2007/PartnerControls"/>
    <ds:schemaRef ds:uri="http://purl.org/dc/terms/"/>
    <ds:schemaRef ds:uri="http://schemas.microsoft.com/office/2006/documentManagement/types"/>
    <ds:schemaRef ds:uri="http://purl.org/dc/elements/1.1/"/>
    <ds:schemaRef ds:uri="http://schemas.openxmlformats.org/package/2006/metadata/core-properties"/>
    <ds:schemaRef ds:uri="9cb67157-2a84-4d71-9bf6-5197b63f335a"/>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49A6F6CE-3DCD-4F83-BA0B-5FC6782CBB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b67157-2a84-4d71-9bf6-5197b63f3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7E7CCB-4AA5-44E7-B148-17BA2B6F57C0}">
  <ds:schemaRefs>
    <ds:schemaRef ds:uri="http://schemas.globalmacros.com/FCA"/>
  </ds:schemaRefs>
</ds:datastoreItem>
</file>

<file path=customXml/itemProps4.xml><?xml version="1.0" encoding="utf-8"?>
<ds:datastoreItem xmlns:ds="http://schemas.openxmlformats.org/officeDocument/2006/customXml" ds:itemID="{7149B2F8-2B4D-47FA-86B7-AC3912EE972C}">
  <ds:schemaRefs>
    <ds:schemaRef ds:uri="http://schemas.microsoft.com/sharepoint/v3/contenttype/forms"/>
  </ds:schemaRefs>
</ds:datastoreItem>
</file>

<file path=customXml/itemProps5.xml><?xml version="1.0" encoding="utf-8"?>
<ds:datastoreItem xmlns:ds="http://schemas.openxmlformats.org/officeDocument/2006/customXml" ds:itemID="{2E951362-5943-4069-BE4B-955D9C9A6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Judgment.dotx</Template>
  <TotalTime>4</TotalTime>
  <Pages>18</Pages>
  <Words>5648</Words>
  <Characters>32194</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Thornton v Minister for Immigration, Citizenship, Migrant Services and Multicultural Affairs [2022] FCAFC 23</vt:lpstr>
    </vt:vector>
  </TitlesOfParts>
  <Company>Federal Court of Australia</Company>
  <LinksUpToDate>false</LinksUpToDate>
  <CharactersWithSpaces>37767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Thornton v Minister for Immigration, Citizenship, Migrant Services and Multicultural Affairs [2022] FCAFC 23</dc:title>
  <dc:subject/>
  <dc:creator>Federal Court of Australia</dc:creator>
  <cp:keywords/>
  <dc:description/>
  <cp:lastModifiedBy>Federal Court of Australia</cp:lastModifiedBy>
  <cp:revision>4</cp:revision>
  <cp:lastPrinted>2022-02-25T03:10:00Z</cp:lastPrinted>
  <dcterms:created xsi:type="dcterms:W3CDTF">2022-03-07T22:26:00Z</dcterms:created>
  <dcterms:modified xsi:type="dcterms:W3CDTF">2022-03-08T22:00:00Z</dcterms:modified>
  <cp:version>v1.2</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licant">
    <vt:lpwstr> </vt:lpwstr>
  </property>
  <property fmtid="{D5CDD505-2E9C-101B-9397-08002B2CF9AE}" pid="3" name="Distribution">
    <vt:lpwstr>GENERAL DISTRIBUTION</vt:lpwstr>
  </property>
  <property fmtid="{D5CDD505-2E9C-101B-9397-08002B2CF9AE}" pid="4" name="MNC">
    <vt:lpwstr> </vt:lpwstr>
  </property>
  <property fmtid="{D5CDD505-2E9C-101B-9397-08002B2CF9AE}" pid="5" name="Pages">
    <vt:lpwstr>17</vt:lpwstr>
  </property>
  <property fmtid="{D5CDD505-2E9C-101B-9397-08002B2CF9AE}" pid="6" name="Parties">
    <vt:lpwstr> </vt:lpwstr>
  </property>
  <property fmtid="{D5CDD505-2E9C-101B-9397-08002B2CF9AE}" pid="7" name="Place">
    <vt:lpwstr>N/A FCA</vt:lpwstr>
  </property>
  <property fmtid="{D5CDD505-2E9C-101B-9397-08002B2CF9AE}" pid="8" name="Respondent">
    <vt:lpwstr> </vt:lpwstr>
  </property>
  <property fmtid="{D5CDD505-2E9C-101B-9397-08002B2CF9AE}" pid="9" name="Year">
    <vt:lpwstr>2020</vt:lpwstr>
  </property>
  <property fmtid="{D5CDD505-2E9C-101B-9397-08002B2CF9AE}" pid="10" name="Judgment Template">
    <vt:lpwstr>True</vt:lpwstr>
  </property>
  <property fmtid="{D5CDD505-2E9C-101B-9397-08002B2CF9AE}" pid="11" name="VERSION">
    <vt:lpwstr>1.0</vt:lpwstr>
  </property>
  <property fmtid="{D5CDD505-2E9C-101B-9397-08002B2CF9AE}" pid="12" name="Registry">
    <vt:lpwstr>Queensland</vt:lpwstr>
  </property>
  <property fmtid="{D5CDD505-2E9C-101B-9397-08002B2CF9AE}" pid="13" name="Division">
    <vt:lpwstr>General Division</vt:lpwstr>
  </property>
  <property fmtid="{D5CDD505-2E9C-101B-9397-08002B2CF9AE}" pid="14" name="FileNo">
    <vt:lpwstr>&lt;FILE NO&gt;</vt:lpwstr>
  </property>
  <property fmtid="{D5CDD505-2E9C-101B-9397-08002B2CF9AE}" pid="15" name="Practice Area">
    <vt:lpwstr>Administrative and Constitutional Law and Human Rights</vt:lpwstr>
  </property>
  <property fmtid="{D5CDD505-2E9C-101B-9397-08002B2CF9AE}" pid="16" name="Court">
    <vt:lpwstr>Federal Court of Australia</vt:lpwstr>
  </property>
  <property fmtid="{D5CDD505-2E9C-101B-9397-08002B2CF9AE}" pid="17" name="Sub Area">
    <vt:lpwstr>(none)</vt:lpwstr>
  </property>
  <property fmtid="{D5CDD505-2E9C-101B-9397-08002B2CF9AE}" pid="18" name="AppealFrom">
    <vt:lpwstr>Thornton v Minister for Immigration, Citizenship, Migrant Services and Multicultural Affairs [2020] FCA 1500</vt:lpwstr>
  </property>
  <property fmtid="{D5CDD505-2E9C-101B-9397-08002B2CF9AE}" pid="19" name="DivisionTitle">
    <vt:lpwstr>none</vt:lpwstr>
  </property>
  <property fmtid="{D5CDD505-2E9C-101B-9397-08002B2CF9AE}" pid="20" name="Judge">
    <vt:lpwstr>Judge</vt:lpwstr>
  </property>
  <property fmtid="{D5CDD505-2E9C-101B-9397-08002B2CF9AE}" pid="21" name="Judgment_dated">
    <vt:lpwstr>Judgment_dated</vt:lpwstr>
  </property>
  <property fmtid="{D5CDD505-2E9C-101B-9397-08002B2CF9AE}" pid="22" name="Legislation">
    <vt:lpwstr>Legislation</vt:lpwstr>
  </property>
  <property fmtid="{D5CDD505-2E9C-101B-9397-08002B2CF9AE}" pid="23" name="Catchwords">
    <vt:lpwstr>Catchwords</vt:lpwstr>
  </property>
  <property fmtid="{D5CDD505-2E9C-101B-9397-08002B2CF9AE}" pid="24" name="Words_Phrases">
    <vt:lpwstr>WordsPhrases</vt:lpwstr>
  </property>
  <property fmtid="{D5CDD505-2E9C-101B-9397-08002B2CF9AE}" pid="25" name="Cases_Cited">
    <vt:lpwstr>CasesCited</vt:lpwstr>
  </property>
  <property fmtid="{D5CDD505-2E9C-101B-9397-08002B2CF9AE}" pid="26" name="File_Number">
    <vt:lpwstr>Num</vt:lpwstr>
  </property>
  <property fmtid="{D5CDD505-2E9C-101B-9397-08002B2CF9AE}" pid="27" name="State">
    <vt:lpwstr>State</vt:lpwstr>
  </property>
  <property fmtid="{D5CDD505-2E9C-101B-9397-08002B2CF9AE}" pid="28" name="ContentTypeId">
    <vt:lpwstr>0x01010089038CD8FC737549AA49F52A6CDD024B</vt:lpwstr>
  </property>
</Properties>
</file>