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047BC3" w14:textId="44405F44" w:rsidR="00395B24" w:rsidRDefault="00A924E8" w:rsidP="00A22932">
      <w:pPr>
        <w:pStyle w:val="CourtTitle"/>
      </w:pPr>
      <w:r>
        <w:fldChar w:fldCharType="begin"/>
      </w:r>
      <w:r>
        <w:instrText xml:space="preserve"> DOCPROPERTY  Court  \* MERGEFORMAT </w:instrText>
      </w:r>
      <w:r>
        <w:fldChar w:fldCharType="separate"/>
      </w:r>
      <w:r w:rsidR="00655A09">
        <w:t>Federal Court of Australia</w:t>
      </w:r>
      <w:r>
        <w:fldChar w:fldCharType="end"/>
      </w:r>
    </w:p>
    <w:p w14:paraId="290CB804" w14:textId="77777777" w:rsidR="004D7950" w:rsidRDefault="004D7950">
      <w:pPr>
        <w:pStyle w:val="NormalHeadings"/>
        <w:jc w:val="center"/>
        <w:rPr>
          <w:sz w:val="32"/>
        </w:rPr>
      </w:pPr>
    </w:p>
    <w:bookmarkStart w:id="0" w:name="MNC"/>
    <w:p w14:paraId="67FC3290" w14:textId="24C86524" w:rsidR="00374CC4" w:rsidRDefault="00240525" w:rsidP="001A2B40">
      <w:pPr>
        <w:pStyle w:val="MNC"/>
      </w:pPr>
      <w:sdt>
        <w:sdtPr>
          <w:alias w:val="MNC"/>
          <w:tag w:val="MNC"/>
          <w:id w:val="343289786"/>
          <w:lock w:val="sdtLocked"/>
          <w:placeholder>
            <w:docPart w:val="3CF614EAF8A04249AD877A08E0F77873"/>
          </w:placeholder>
          <w:dataBinding w:prefixMappings="xmlns:ns0='http://schemas.globalmacros.com/FCA'" w:xpath="/ns0:root[1]/ns0:Name[1]" w:storeItemID="{687E7CCB-4AA5-44E7-B148-17BA2B6F57C0}"/>
          <w:text w:multiLine="1"/>
        </w:sdtPr>
        <w:sdtEndPr/>
        <w:sdtContent>
          <w:r w:rsidR="005333F8">
            <w:t>Parry v Universit</w:t>
          </w:r>
          <w:r w:rsidR="00DC7A4F">
            <w:t>y of South Australia [2022] FCAFC</w:t>
          </w:r>
          <w:r w:rsidR="00FD2211">
            <w:t xml:space="preserve"> 168</w:t>
          </w:r>
          <w:r w:rsidR="00693854">
            <w:t xml:space="preserve"> </w:t>
          </w:r>
        </w:sdtContent>
      </w:sdt>
      <w:bookmarkEnd w:id="0"/>
    </w:p>
    <w:tbl>
      <w:tblPr>
        <w:tblW w:w="9073" w:type="dxa"/>
        <w:tblLayout w:type="fixed"/>
        <w:tblLook w:val="01E0" w:firstRow="1" w:lastRow="1" w:firstColumn="1" w:lastColumn="1" w:noHBand="0" w:noVBand="0"/>
        <w:tblCaption w:val="Cover Table"/>
        <w:tblDescription w:val="Cover Table"/>
      </w:tblPr>
      <w:tblGrid>
        <w:gridCol w:w="3083"/>
        <w:gridCol w:w="5990"/>
      </w:tblGrid>
      <w:tr w:rsidR="00655A09" w14:paraId="4B5EE927" w14:textId="77777777" w:rsidTr="00152917">
        <w:tc>
          <w:tcPr>
            <w:tcW w:w="3083" w:type="dxa"/>
            <w:shd w:val="clear" w:color="auto" w:fill="auto"/>
          </w:tcPr>
          <w:p w14:paraId="512CB898" w14:textId="77777777" w:rsidR="00655A09" w:rsidRDefault="00655A09" w:rsidP="002539B3">
            <w:pPr>
              <w:pStyle w:val="Normal1linespace"/>
              <w:widowControl w:val="0"/>
              <w:spacing w:after="60"/>
              <w:jc w:val="left"/>
            </w:pPr>
            <w:bookmarkStart w:id="1" w:name="AppealFrom_row" w:colFirst="0" w:colLast="1"/>
            <w:r>
              <w:t>Appeal from:</w:t>
            </w:r>
          </w:p>
        </w:tc>
        <w:tc>
          <w:tcPr>
            <w:tcW w:w="5990" w:type="dxa"/>
            <w:shd w:val="clear" w:color="auto" w:fill="auto"/>
          </w:tcPr>
          <w:p w14:paraId="3BB289D8" w14:textId="77777777" w:rsidR="00655A09" w:rsidRDefault="00FF2FBB" w:rsidP="00FF2FBB">
            <w:pPr>
              <w:pStyle w:val="CasesLegislationAppealFrom"/>
              <w:spacing w:after="60"/>
            </w:pPr>
            <w:r w:rsidRPr="0095486E">
              <w:rPr>
                <w:i/>
              </w:rPr>
              <w:t>Parry v University of South Australia</w:t>
            </w:r>
            <w:r>
              <w:t xml:space="preserve"> [2022] FCA 49</w:t>
            </w:r>
          </w:p>
        </w:tc>
      </w:tr>
      <w:tr w:rsidR="00655A09" w14:paraId="09DA9F9A" w14:textId="77777777" w:rsidTr="00152917">
        <w:tc>
          <w:tcPr>
            <w:tcW w:w="3083" w:type="dxa"/>
            <w:shd w:val="clear" w:color="auto" w:fill="auto"/>
          </w:tcPr>
          <w:p w14:paraId="1323542A" w14:textId="77777777" w:rsidR="00655A09" w:rsidRDefault="00655A09" w:rsidP="00663878">
            <w:pPr>
              <w:pStyle w:val="Normal1linespace"/>
              <w:widowControl w:val="0"/>
              <w:jc w:val="left"/>
            </w:pPr>
          </w:p>
        </w:tc>
        <w:tc>
          <w:tcPr>
            <w:tcW w:w="5990" w:type="dxa"/>
            <w:shd w:val="clear" w:color="auto" w:fill="auto"/>
          </w:tcPr>
          <w:p w14:paraId="4D607E50" w14:textId="77777777" w:rsidR="00655A09" w:rsidRDefault="00655A09" w:rsidP="00663878">
            <w:pPr>
              <w:pStyle w:val="Normal1linespace"/>
              <w:widowControl w:val="0"/>
              <w:jc w:val="left"/>
            </w:pPr>
          </w:p>
        </w:tc>
      </w:tr>
      <w:bookmarkEnd w:id="1"/>
      <w:tr w:rsidR="00395B24" w14:paraId="6F270B69" w14:textId="77777777" w:rsidTr="00152917">
        <w:tc>
          <w:tcPr>
            <w:tcW w:w="3083" w:type="dxa"/>
            <w:shd w:val="clear" w:color="auto" w:fill="auto"/>
          </w:tcPr>
          <w:p w14:paraId="232996F0" w14:textId="77777777" w:rsidR="00395B24" w:rsidRDefault="002C7385" w:rsidP="00663878">
            <w:pPr>
              <w:pStyle w:val="Normal1linespace"/>
              <w:widowControl w:val="0"/>
              <w:jc w:val="left"/>
            </w:pPr>
            <w:r>
              <w:t>File number(s):</w:t>
            </w:r>
          </w:p>
        </w:tc>
        <w:tc>
          <w:tcPr>
            <w:tcW w:w="5990" w:type="dxa"/>
            <w:shd w:val="clear" w:color="auto" w:fill="auto"/>
          </w:tcPr>
          <w:p w14:paraId="0D902D50" w14:textId="77777777" w:rsidR="00395B24" w:rsidRPr="00655A09" w:rsidRDefault="00240525" w:rsidP="00655A09">
            <w:pPr>
              <w:pStyle w:val="Normal1linespace"/>
              <w:jc w:val="left"/>
            </w:pPr>
            <w:r>
              <w:fldChar w:fldCharType="begin" w:fldLock="1"/>
            </w:r>
            <w:r>
              <w:instrText xml:space="preserve"> REF  FileNo  \* MERGEFORMAT </w:instrText>
            </w:r>
            <w:r>
              <w:fldChar w:fldCharType="separate"/>
            </w:r>
            <w:r w:rsidR="00655A09" w:rsidRPr="00655A09">
              <w:t>SAD 52 of 2022</w:t>
            </w:r>
            <w:r>
              <w:fldChar w:fldCharType="end"/>
            </w:r>
          </w:p>
        </w:tc>
      </w:tr>
      <w:tr w:rsidR="00395B24" w14:paraId="2898F03D" w14:textId="77777777" w:rsidTr="00152917">
        <w:tc>
          <w:tcPr>
            <w:tcW w:w="3083" w:type="dxa"/>
            <w:shd w:val="clear" w:color="auto" w:fill="auto"/>
          </w:tcPr>
          <w:p w14:paraId="47EDA192" w14:textId="77777777" w:rsidR="00395B24" w:rsidRDefault="00395B24" w:rsidP="00663878">
            <w:pPr>
              <w:pStyle w:val="Normal1linespace"/>
              <w:widowControl w:val="0"/>
              <w:jc w:val="left"/>
            </w:pPr>
          </w:p>
        </w:tc>
        <w:tc>
          <w:tcPr>
            <w:tcW w:w="5990" w:type="dxa"/>
            <w:shd w:val="clear" w:color="auto" w:fill="auto"/>
          </w:tcPr>
          <w:p w14:paraId="025C4392" w14:textId="77777777" w:rsidR="00395B24" w:rsidRDefault="00395B24" w:rsidP="00663878">
            <w:pPr>
              <w:pStyle w:val="Normal1linespace"/>
              <w:widowControl w:val="0"/>
              <w:jc w:val="left"/>
            </w:pPr>
          </w:p>
        </w:tc>
      </w:tr>
      <w:tr w:rsidR="00395B24" w14:paraId="3A2F2A40" w14:textId="77777777" w:rsidTr="00152917">
        <w:tc>
          <w:tcPr>
            <w:tcW w:w="3083" w:type="dxa"/>
            <w:shd w:val="clear" w:color="auto" w:fill="auto"/>
          </w:tcPr>
          <w:p w14:paraId="0E45107C" w14:textId="77777777" w:rsidR="00395B24" w:rsidRDefault="002C7385" w:rsidP="00663878">
            <w:pPr>
              <w:pStyle w:val="Normal1linespace"/>
              <w:widowControl w:val="0"/>
              <w:jc w:val="left"/>
            </w:pPr>
            <w:r>
              <w:t>Judg</w:t>
            </w:r>
            <w:r w:rsidR="005724F6">
              <w:t>ment of</w:t>
            </w:r>
            <w:r>
              <w:t>:</w:t>
            </w:r>
          </w:p>
        </w:tc>
        <w:tc>
          <w:tcPr>
            <w:tcW w:w="5990" w:type="dxa"/>
            <w:shd w:val="clear" w:color="auto" w:fill="auto"/>
          </w:tcPr>
          <w:p w14:paraId="0A9611A2" w14:textId="40BB5FEA" w:rsidR="00395B24" w:rsidRDefault="002C7385" w:rsidP="0095486E">
            <w:pPr>
              <w:pStyle w:val="Normal1linespace"/>
              <w:widowControl w:val="0"/>
              <w:jc w:val="left"/>
              <w:rPr>
                <w:b/>
              </w:rPr>
            </w:pPr>
            <w:r w:rsidRPr="00655A09">
              <w:rPr>
                <w:b/>
              </w:rPr>
              <w:fldChar w:fldCharType="begin" w:fldLock="1"/>
            </w:r>
            <w:r w:rsidRPr="00655A09">
              <w:rPr>
                <w:b/>
              </w:rPr>
              <w:instrText xml:space="preserve"> REF  Judge  \* MERGEFORMAT </w:instrText>
            </w:r>
            <w:r w:rsidRPr="00655A09">
              <w:rPr>
                <w:b/>
              </w:rPr>
              <w:fldChar w:fldCharType="separate"/>
            </w:r>
            <w:r w:rsidR="00655A09" w:rsidRPr="00655A09">
              <w:rPr>
                <w:b/>
                <w:caps/>
                <w:szCs w:val="24"/>
              </w:rPr>
              <w:t>BANKS-SMITH, O</w:t>
            </w:r>
            <w:r w:rsidR="00A14B02">
              <w:rPr>
                <w:b/>
                <w:caps/>
                <w:szCs w:val="24"/>
              </w:rPr>
              <w:t>'</w:t>
            </w:r>
            <w:r w:rsidR="00655A09" w:rsidRPr="00655A09">
              <w:rPr>
                <w:b/>
                <w:caps/>
                <w:szCs w:val="24"/>
              </w:rPr>
              <w:t>SULLIVAN</w:t>
            </w:r>
            <w:r w:rsidR="0095486E">
              <w:rPr>
                <w:b/>
                <w:caps/>
                <w:szCs w:val="24"/>
              </w:rPr>
              <w:t xml:space="preserve"> AND</w:t>
            </w:r>
            <w:r w:rsidR="00655A09" w:rsidRPr="00655A09">
              <w:rPr>
                <w:b/>
                <w:caps/>
                <w:szCs w:val="24"/>
              </w:rPr>
              <w:t xml:space="preserve"> FEUTRILL JJ</w:t>
            </w:r>
            <w:r w:rsidRPr="00655A09">
              <w:rPr>
                <w:b/>
              </w:rPr>
              <w:fldChar w:fldCharType="end"/>
            </w:r>
          </w:p>
        </w:tc>
      </w:tr>
      <w:tr w:rsidR="00395B24" w14:paraId="2AAED826" w14:textId="77777777" w:rsidTr="00152917">
        <w:tc>
          <w:tcPr>
            <w:tcW w:w="3083" w:type="dxa"/>
            <w:shd w:val="clear" w:color="auto" w:fill="auto"/>
          </w:tcPr>
          <w:p w14:paraId="3E74AE25" w14:textId="77777777" w:rsidR="00395B24" w:rsidRDefault="00395B24" w:rsidP="00663878">
            <w:pPr>
              <w:pStyle w:val="Normal1linespace"/>
              <w:widowControl w:val="0"/>
              <w:jc w:val="left"/>
            </w:pPr>
          </w:p>
        </w:tc>
        <w:tc>
          <w:tcPr>
            <w:tcW w:w="5990" w:type="dxa"/>
            <w:shd w:val="clear" w:color="auto" w:fill="auto"/>
          </w:tcPr>
          <w:p w14:paraId="1D499391" w14:textId="77777777" w:rsidR="00395B24" w:rsidRDefault="00395B24" w:rsidP="00663878">
            <w:pPr>
              <w:pStyle w:val="Normal1linespace"/>
              <w:widowControl w:val="0"/>
              <w:jc w:val="left"/>
            </w:pPr>
          </w:p>
        </w:tc>
      </w:tr>
      <w:tr w:rsidR="00395B24" w14:paraId="492F6579" w14:textId="77777777" w:rsidTr="00152917">
        <w:tc>
          <w:tcPr>
            <w:tcW w:w="3083" w:type="dxa"/>
            <w:shd w:val="clear" w:color="auto" w:fill="auto"/>
          </w:tcPr>
          <w:p w14:paraId="10A705AC" w14:textId="77777777" w:rsidR="00395B24" w:rsidRDefault="002C7385" w:rsidP="00663878">
            <w:pPr>
              <w:pStyle w:val="Normal1linespace"/>
              <w:widowControl w:val="0"/>
              <w:jc w:val="left"/>
            </w:pPr>
            <w:r>
              <w:t>Date of judgment:</w:t>
            </w:r>
          </w:p>
        </w:tc>
        <w:tc>
          <w:tcPr>
            <w:tcW w:w="5990" w:type="dxa"/>
            <w:shd w:val="clear" w:color="auto" w:fill="auto"/>
          </w:tcPr>
          <w:p w14:paraId="72913F1E" w14:textId="6CEE655C" w:rsidR="00395B24" w:rsidRDefault="00FD2211" w:rsidP="00FD2211">
            <w:pPr>
              <w:pStyle w:val="Normal1linespace"/>
              <w:widowControl w:val="0"/>
              <w:jc w:val="left"/>
            </w:pPr>
            <w:bookmarkStart w:id="2" w:name="JudgmentDate"/>
            <w:r>
              <w:t>29 September 2022</w:t>
            </w:r>
            <w:bookmarkEnd w:id="2"/>
          </w:p>
        </w:tc>
      </w:tr>
      <w:tr w:rsidR="00395B24" w14:paraId="70968F3B" w14:textId="77777777" w:rsidTr="00152917">
        <w:tc>
          <w:tcPr>
            <w:tcW w:w="3083" w:type="dxa"/>
            <w:shd w:val="clear" w:color="auto" w:fill="auto"/>
          </w:tcPr>
          <w:p w14:paraId="3A54AB4C" w14:textId="77777777" w:rsidR="00395B24" w:rsidRDefault="00395B24" w:rsidP="00663878">
            <w:pPr>
              <w:pStyle w:val="Normal1linespace"/>
              <w:widowControl w:val="0"/>
              <w:jc w:val="left"/>
            </w:pPr>
          </w:p>
        </w:tc>
        <w:tc>
          <w:tcPr>
            <w:tcW w:w="5990" w:type="dxa"/>
            <w:shd w:val="clear" w:color="auto" w:fill="auto"/>
          </w:tcPr>
          <w:p w14:paraId="5D3C625E" w14:textId="77777777" w:rsidR="00395B24" w:rsidRDefault="00395B24" w:rsidP="00663878">
            <w:pPr>
              <w:pStyle w:val="Normal1linespace"/>
              <w:widowControl w:val="0"/>
              <w:jc w:val="left"/>
            </w:pPr>
          </w:p>
        </w:tc>
      </w:tr>
      <w:tr w:rsidR="00395B24" w14:paraId="235083BD" w14:textId="77777777" w:rsidTr="00152917">
        <w:tc>
          <w:tcPr>
            <w:tcW w:w="3083" w:type="dxa"/>
            <w:shd w:val="clear" w:color="auto" w:fill="auto"/>
          </w:tcPr>
          <w:p w14:paraId="5B01B787" w14:textId="77777777" w:rsidR="00395B24" w:rsidRDefault="002C7385" w:rsidP="00663878">
            <w:pPr>
              <w:pStyle w:val="Normal1linespace"/>
              <w:widowControl w:val="0"/>
              <w:jc w:val="left"/>
            </w:pPr>
            <w:r>
              <w:t>Catchwords:</w:t>
            </w:r>
          </w:p>
        </w:tc>
        <w:tc>
          <w:tcPr>
            <w:tcW w:w="5990" w:type="dxa"/>
            <w:shd w:val="clear" w:color="auto" w:fill="auto"/>
          </w:tcPr>
          <w:p w14:paraId="6BEAA1DD" w14:textId="0C83BF16" w:rsidR="00395B24" w:rsidRPr="00F90F50" w:rsidRDefault="00F90F50" w:rsidP="00F90F50">
            <w:pPr>
              <w:spacing w:line="240" w:lineRule="auto"/>
              <w:rPr>
                <w:color w:val="000000"/>
                <w:szCs w:val="24"/>
                <w:shd w:val="clear" w:color="auto" w:fill="FFFFFF"/>
              </w:rPr>
            </w:pPr>
            <w:bookmarkStart w:id="3" w:name="Catchwords"/>
            <w:r w:rsidRPr="00032E52">
              <w:rPr>
                <w:b/>
                <w:szCs w:val="24"/>
              </w:rPr>
              <w:t>EMPLOYMENT LAW</w:t>
            </w:r>
            <w:r w:rsidRPr="00032E52">
              <w:rPr>
                <w:szCs w:val="24"/>
              </w:rPr>
              <w:t xml:space="preserve"> – appeal from orders dismissing an application alleging contravention of s 340 of the Fair Work Act 2009 (</w:t>
            </w:r>
            <w:proofErr w:type="spellStart"/>
            <w:r w:rsidRPr="00032E52">
              <w:rPr>
                <w:szCs w:val="24"/>
              </w:rPr>
              <w:t>Cth</w:t>
            </w:r>
            <w:proofErr w:type="spellEnd"/>
            <w:r w:rsidRPr="00032E52">
              <w:rPr>
                <w:szCs w:val="24"/>
              </w:rPr>
              <w:t xml:space="preserve">) (FWA) </w:t>
            </w:r>
            <w:r w:rsidRPr="00032E52">
              <w:rPr>
                <w:color w:val="000000"/>
                <w:szCs w:val="24"/>
                <w:shd w:val="clear" w:color="auto" w:fill="FFFFFF"/>
              </w:rPr>
              <w:t>– where primary judge found that the respondent terminated the applicant’s employment for reasons that did not include his possession or exercise of a workplace right to protect his health and safety in the workplace – where primary judge found that the respondent terminated the applicant’s employment because of his failure to perform his duties – where primary judge found the applicant’s failure to perform his duties did not constitute the exercise of a workplace right – whether primary judge erred in concluding that the reason for the employee’s dismissal was his failure to attend his duties and did not include any reason sanctioned by s 340 of the FWA – whether the primary judge had a conflict of interest or displayed actual or apprehended bias – whether the primary judge misused her advantage when making findings of fact based on the credibility of the applicant – no conflict of interest established – no actual or apprehended bias established – the primary judge did not misuse her advantage when making findings of fact based on the credibility of the applicant – appeal dismissed</w:t>
            </w:r>
            <w:bookmarkEnd w:id="3"/>
          </w:p>
        </w:tc>
      </w:tr>
      <w:tr w:rsidR="00395B24" w14:paraId="4B4E708C" w14:textId="77777777" w:rsidTr="00152917">
        <w:tc>
          <w:tcPr>
            <w:tcW w:w="3083" w:type="dxa"/>
            <w:shd w:val="clear" w:color="auto" w:fill="auto"/>
          </w:tcPr>
          <w:p w14:paraId="62DAA53A" w14:textId="77777777" w:rsidR="00395B24" w:rsidRDefault="00395B24" w:rsidP="00663878">
            <w:pPr>
              <w:pStyle w:val="Normal1linespace"/>
              <w:widowControl w:val="0"/>
              <w:jc w:val="left"/>
            </w:pPr>
          </w:p>
        </w:tc>
        <w:tc>
          <w:tcPr>
            <w:tcW w:w="5990" w:type="dxa"/>
            <w:shd w:val="clear" w:color="auto" w:fill="auto"/>
          </w:tcPr>
          <w:p w14:paraId="79018B6B" w14:textId="77777777" w:rsidR="00395B24" w:rsidRDefault="00395B24" w:rsidP="00663878">
            <w:pPr>
              <w:pStyle w:val="Normal1linespace"/>
              <w:widowControl w:val="0"/>
              <w:jc w:val="left"/>
            </w:pPr>
          </w:p>
        </w:tc>
      </w:tr>
      <w:tr w:rsidR="00395B24" w14:paraId="1759C632" w14:textId="77777777" w:rsidTr="00152917">
        <w:tc>
          <w:tcPr>
            <w:tcW w:w="3083" w:type="dxa"/>
            <w:shd w:val="clear" w:color="auto" w:fill="auto"/>
          </w:tcPr>
          <w:p w14:paraId="1B407B43" w14:textId="77777777" w:rsidR="00395B24" w:rsidRDefault="002C7385" w:rsidP="00663878">
            <w:pPr>
              <w:pStyle w:val="Normal1linespace"/>
              <w:widowControl w:val="0"/>
              <w:jc w:val="left"/>
            </w:pPr>
            <w:r>
              <w:t>Legislation:</w:t>
            </w:r>
          </w:p>
        </w:tc>
        <w:tc>
          <w:tcPr>
            <w:tcW w:w="5990" w:type="dxa"/>
            <w:shd w:val="clear" w:color="auto" w:fill="auto"/>
          </w:tcPr>
          <w:p w14:paraId="13C568FF" w14:textId="314D2213" w:rsidR="00395B24" w:rsidRDefault="000C2F57" w:rsidP="00D82620">
            <w:pPr>
              <w:pStyle w:val="CasesLegislationAppealFrom"/>
              <w:spacing w:after="60"/>
            </w:pPr>
            <w:bookmarkStart w:id="4" w:name="Legislation"/>
            <w:r w:rsidRPr="00CC3DC5">
              <w:rPr>
                <w:i/>
              </w:rPr>
              <w:t>Fair Work Act 2009</w:t>
            </w:r>
            <w:r>
              <w:t xml:space="preserve"> (</w:t>
            </w:r>
            <w:proofErr w:type="spellStart"/>
            <w:r>
              <w:t>Cth</w:t>
            </w:r>
            <w:proofErr w:type="spellEnd"/>
            <w:r>
              <w:t xml:space="preserve">), </w:t>
            </w:r>
            <w:proofErr w:type="spellStart"/>
            <w:r>
              <w:t>ss</w:t>
            </w:r>
            <w:proofErr w:type="spellEnd"/>
            <w:r>
              <w:t xml:space="preserve"> 340, 342(1), 361</w:t>
            </w:r>
            <w:r w:rsidR="002C7385">
              <w:t xml:space="preserve"> </w:t>
            </w:r>
            <w:bookmarkEnd w:id="4"/>
          </w:p>
        </w:tc>
      </w:tr>
      <w:tr w:rsidR="00395B24" w14:paraId="7BDF5481" w14:textId="77777777" w:rsidTr="00152917">
        <w:tc>
          <w:tcPr>
            <w:tcW w:w="3083" w:type="dxa"/>
            <w:shd w:val="clear" w:color="auto" w:fill="auto"/>
          </w:tcPr>
          <w:p w14:paraId="6A15318C" w14:textId="77777777" w:rsidR="00395B24" w:rsidRDefault="00395B24" w:rsidP="00663878">
            <w:pPr>
              <w:pStyle w:val="Normal1linespace"/>
              <w:widowControl w:val="0"/>
              <w:jc w:val="left"/>
            </w:pPr>
          </w:p>
        </w:tc>
        <w:tc>
          <w:tcPr>
            <w:tcW w:w="5990" w:type="dxa"/>
            <w:shd w:val="clear" w:color="auto" w:fill="auto"/>
          </w:tcPr>
          <w:p w14:paraId="4A1AA957" w14:textId="77777777" w:rsidR="00395B24" w:rsidRDefault="00395B24" w:rsidP="00663878">
            <w:pPr>
              <w:pStyle w:val="Normal1linespace"/>
              <w:widowControl w:val="0"/>
              <w:jc w:val="left"/>
            </w:pPr>
          </w:p>
        </w:tc>
      </w:tr>
      <w:tr w:rsidR="00395B24" w14:paraId="531A0658" w14:textId="77777777" w:rsidTr="00152917">
        <w:tc>
          <w:tcPr>
            <w:tcW w:w="3083" w:type="dxa"/>
            <w:shd w:val="clear" w:color="auto" w:fill="auto"/>
          </w:tcPr>
          <w:p w14:paraId="41B9DA44" w14:textId="77777777" w:rsidR="00395B24" w:rsidRDefault="002C7385" w:rsidP="00663878">
            <w:pPr>
              <w:pStyle w:val="Normal1linespace"/>
              <w:widowControl w:val="0"/>
              <w:jc w:val="left"/>
            </w:pPr>
            <w:r>
              <w:t>Cases cited:</w:t>
            </w:r>
          </w:p>
        </w:tc>
        <w:tc>
          <w:tcPr>
            <w:tcW w:w="5990" w:type="dxa"/>
            <w:shd w:val="clear" w:color="auto" w:fill="auto"/>
          </w:tcPr>
          <w:p w14:paraId="0B1D54B3" w14:textId="77777777" w:rsidR="000C2F57" w:rsidRPr="009A2D8D" w:rsidRDefault="000C2F57" w:rsidP="00D82620">
            <w:pPr>
              <w:pStyle w:val="CasesLegislationAppealFrom"/>
              <w:spacing w:after="60"/>
            </w:pPr>
            <w:bookmarkStart w:id="5" w:name="Cases_Cited"/>
            <w:r w:rsidRPr="009A2D8D">
              <w:rPr>
                <w:i/>
              </w:rPr>
              <w:t>Board of Bendigo Regional Institute of Technical and Further Education v Barclay [No 1]</w:t>
            </w:r>
            <w:r w:rsidRPr="009A2D8D">
              <w:t xml:space="preserve"> [2012] HCA 32; (2012) 248 CLR 500</w:t>
            </w:r>
          </w:p>
          <w:p w14:paraId="7F4705EE" w14:textId="77777777" w:rsidR="000C2F57" w:rsidRPr="009A2D8D" w:rsidRDefault="000C2F57" w:rsidP="00D82620">
            <w:pPr>
              <w:pStyle w:val="CasesLegislationAppealFrom"/>
              <w:spacing w:after="60"/>
            </w:pPr>
            <w:proofErr w:type="spellStart"/>
            <w:r w:rsidRPr="009A2D8D">
              <w:rPr>
                <w:i/>
              </w:rPr>
              <w:t>Charisteas</w:t>
            </w:r>
            <w:proofErr w:type="spellEnd"/>
            <w:r w:rsidRPr="009A2D8D">
              <w:rPr>
                <w:i/>
              </w:rPr>
              <w:t xml:space="preserve"> v </w:t>
            </w:r>
            <w:proofErr w:type="spellStart"/>
            <w:r w:rsidRPr="009A2D8D">
              <w:rPr>
                <w:i/>
              </w:rPr>
              <w:t>Charisteas</w:t>
            </w:r>
            <w:proofErr w:type="spellEnd"/>
            <w:r w:rsidRPr="009A2D8D">
              <w:t xml:space="preserve"> [2021] HCA 29; (2021) 393 ALR 389</w:t>
            </w:r>
          </w:p>
          <w:p w14:paraId="62BB706C" w14:textId="48177E4B" w:rsidR="000C2F57" w:rsidRPr="009A2D8D" w:rsidRDefault="000C2F57" w:rsidP="00D82620">
            <w:pPr>
              <w:pStyle w:val="CasesLegislationAppealFrom"/>
              <w:spacing w:after="60"/>
            </w:pPr>
            <w:r w:rsidRPr="009A2D8D">
              <w:rPr>
                <w:i/>
              </w:rPr>
              <w:t>Devries v Australian National Railways Commission</w:t>
            </w:r>
            <w:r w:rsidRPr="009A2D8D">
              <w:t xml:space="preserve"> </w:t>
            </w:r>
            <w:r w:rsidR="009B12CC" w:rsidRPr="009A2D8D">
              <w:t xml:space="preserve">[1993] HCA 78; </w:t>
            </w:r>
            <w:r w:rsidRPr="009A2D8D">
              <w:t>(1993) 177 CLR 472</w:t>
            </w:r>
          </w:p>
          <w:p w14:paraId="4BD4CDE7" w14:textId="77777777" w:rsidR="000C2F57" w:rsidRPr="009A2D8D" w:rsidRDefault="000C2F57" w:rsidP="00D82620">
            <w:pPr>
              <w:pStyle w:val="CasesLegislationAppealFrom"/>
              <w:spacing w:after="60"/>
            </w:pPr>
            <w:proofErr w:type="spellStart"/>
            <w:r w:rsidRPr="009A2D8D">
              <w:rPr>
                <w:i/>
              </w:rPr>
              <w:t>Ebner</w:t>
            </w:r>
            <w:proofErr w:type="spellEnd"/>
            <w:r w:rsidRPr="009A2D8D">
              <w:rPr>
                <w:i/>
              </w:rPr>
              <w:t xml:space="preserve"> v Official Trustee in Bankruptcy </w:t>
            </w:r>
            <w:r w:rsidRPr="009A2D8D">
              <w:t>[2000] HCA 63; (2000) 205 CLR 337</w:t>
            </w:r>
          </w:p>
          <w:p w14:paraId="3DEBFB9F" w14:textId="77777777" w:rsidR="000C2F57" w:rsidRPr="009A2D8D" w:rsidRDefault="000C2F57" w:rsidP="00D82620">
            <w:pPr>
              <w:pStyle w:val="CasesLegislationAppealFrom"/>
              <w:spacing w:after="60"/>
            </w:pPr>
            <w:r w:rsidRPr="009A2D8D">
              <w:rPr>
                <w:i/>
              </w:rPr>
              <w:t>Fox v Percy</w:t>
            </w:r>
            <w:r w:rsidRPr="009A2D8D">
              <w:t xml:space="preserve"> [2003] HCA 22; (2003) 214 CLR 118</w:t>
            </w:r>
          </w:p>
          <w:p w14:paraId="2120E166" w14:textId="77777777" w:rsidR="000C2F57" w:rsidRPr="009A2D8D" w:rsidRDefault="000C2F57" w:rsidP="00D82620">
            <w:pPr>
              <w:pStyle w:val="CasesLegislationAppealFrom"/>
              <w:spacing w:after="60"/>
            </w:pPr>
            <w:r w:rsidRPr="009A2D8D">
              <w:rPr>
                <w:i/>
              </w:rPr>
              <w:lastRenderedPageBreak/>
              <w:t xml:space="preserve">General Motors-Holden Pty Ltd v Bowling </w:t>
            </w:r>
            <w:r w:rsidRPr="009A2D8D">
              <w:t>(1976) 12 ALR 605</w:t>
            </w:r>
          </w:p>
          <w:p w14:paraId="0573C958" w14:textId="77777777" w:rsidR="000C2F57" w:rsidRPr="009A2D8D" w:rsidRDefault="000C2F57" w:rsidP="00D82620">
            <w:pPr>
              <w:pStyle w:val="CasesLegislationAppealFrom"/>
              <w:spacing w:after="60"/>
            </w:pPr>
            <w:r w:rsidRPr="009A2D8D">
              <w:rPr>
                <w:i/>
              </w:rPr>
              <w:t xml:space="preserve">Minister for Immigration and Multicultural Affairs v </w:t>
            </w:r>
            <w:proofErr w:type="spellStart"/>
            <w:r w:rsidRPr="009A2D8D">
              <w:rPr>
                <w:i/>
              </w:rPr>
              <w:t>Jia</w:t>
            </w:r>
            <w:proofErr w:type="spellEnd"/>
            <w:r w:rsidRPr="009A2D8D">
              <w:rPr>
                <w:i/>
              </w:rPr>
              <w:t xml:space="preserve"> </w:t>
            </w:r>
            <w:proofErr w:type="spellStart"/>
            <w:r w:rsidRPr="009A2D8D">
              <w:rPr>
                <w:i/>
              </w:rPr>
              <w:t>Legeng</w:t>
            </w:r>
            <w:proofErr w:type="spellEnd"/>
            <w:r w:rsidRPr="009A2D8D">
              <w:t xml:space="preserve"> [2001] HCA 17; (2001) 205 CLR 507</w:t>
            </w:r>
          </w:p>
          <w:p w14:paraId="45FFECCA" w14:textId="77777777" w:rsidR="000C2F57" w:rsidRPr="009A2D8D" w:rsidRDefault="000C2F57" w:rsidP="00D82620">
            <w:pPr>
              <w:pStyle w:val="CasesLegislationAppealFrom"/>
              <w:spacing w:after="60"/>
            </w:pPr>
            <w:r w:rsidRPr="009A2D8D">
              <w:rPr>
                <w:i/>
              </w:rPr>
              <w:t>Parry v University of South Australia</w:t>
            </w:r>
            <w:r w:rsidRPr="009A2D8D">
              <w:t xml:space="preserve"> [2022] FCA 49</w:t>
            </w:r>
          </w:p>
          <w:p w14:paraId="062BE797" w14:textId="63AD6DCB" w:rsidR="000C2F57" w:rsidRPr="009A2D8D" w:rsidRDefault="000C2F57" w:rsidP="00D82620">
            <w:pPr>
              <w:pStyle w:val="CasesLegislationAppealFrom"/>
              <w:spacing w:after="60"/>
            </w:pPr>
            <w:r w:rsidRPr="009A2D8D">
              <w:rPr>
                <w:i/>
              </w:rPr>
              <w:t>R v Australian Stevedoring Industry Board; Ex Pa</w:t>
            </w:r>
            <w:r w:rsidR="000C74A3" w:rsidRPr="009A2D8D">
              <w:rPr>
                <w:i/>
              </w:rPr>
              <w:t xml:space="preserve">rte Melbourne Stevedoring Co </w:t>
            </w:r>
            <w:r w:rsidRPr="009A2D8D">
              <w:rPr>
                <w:i/>
              </w:rPr>
              <w:t xml:space="preserve">Pty Ltd </w:t>
            </w:r>
            <w:r w:rsidR="000C74A3" w:rsidRPr="009A2D8D">
              <w:t xml:space="preserve">[1953] HCA 22; </w:t>
            </w:r>
            <w:r w:rsidRPr="009A2D8D">
              <w:t>(1953) 88 CLR 100</w:t>
            </w:r>
          </w:p>
          <w:p w14:paraId="5D60360A" w14:textId="77777777" w:rsidR="000C2F57" w:rsidRPr="009A2D8D" w:rsidRDefault="000C2F57" w:rsidP="00D82620">
            <w:pPr>
              <w:pStyle w:val="CasesLegislationAppealFrom"/>
              <w:spacing w:after="60"/>
            </w:pPr>
            <w:r w:rsidRPr="009A2D8D">
              <w:rPr>
                <w:i/>
                <w:szCs w:val="24"/>
              </w:rPr>
              <w:t xml:space="preserve">R v Rich (Ruling No. 21) </w:t>
            </w:r>
            <w:r w:rsidRPr="009A2D8D">
              <w:rPr>
                <w:szCs w:val="24"/>
              </w:rPr>
              <w:t>[2009] VSC 32</w:t>
            </w:r>
          </w:p>
          <w:p w14:paraId="4F060196" w14:textId="0A439DB0" w:rsidR="000C2F57" w:rsidRPr="009A2D8D" w:rsidRDefault="000C2F57" w:rsidP="00D82620">
            <w:pPr>
              <w:pStyle w:val="CasesLegislationAppealFrom"/>
              <w:spacing w:after="60"/>
            </w:pPr>
            <w:r w:rsidRPr="009A2D8D">
              <w:rPr>
                <w:i/>
              </w:rPr>
              <w:t xml:space="preserve">State Rail Authority of New South Wales v </w:t>
            </w:r>
            <w:proofErr w:type="spellStart"/>
            <w:r w:rsidRPr="009A2D8D">
              <w:rPr>
                <w:i/>
              </w:rPr>
              <w:t>Earthline</w:t>
            </w:r>
            <w:proofErr w:type="spellEnd"/>
            <w:r w:rsidRPr="009A2D8D">
              <w:rPr>
                <w:i/>
              </w:rPr>
              <w:t xml:space="preserve"> Constructions Pty Ltd </w:t>
            </w:r>
            <w:r w:rsidR="004748C9" w:rsidRPr="009A2D8D">
              <w:rPr>
                <w:i/>
              </w:rPr>
              <w:t>(I</w:t>
            </w:r>
            <w:r w:rsidRPr="009A2D8D">
              <w:rPr>
                <w:i/>
              </w:rPr>
              <w:t xml:space="preserve">n </w:t>
            </w:r>
            <w:proofErr w:type="spellStart"/>
            <w:r w:rsidRPr="009A2D8D">
              <w:rPr>
                <w:i/>
              </w:rPr>
              <w:t>liq</w:t>
            </w:r>
            <w:proofErr w:type="spellEnd"/>
            <w:r w:rsidRPr="009A2D8D">
              <w:rPr>
                <w:i/>
              </w:rPr>
              <w:t xml:space="preserve">) </w:t>
            </w:r>
            <w:r w:rsidR="004748C9" w:rsidRPr="00CC3DC5">
              <w:t>[</w:t>
            </w:r>
            <w:r w:rsidR="000E5377">
              <w:t>1999] HCA 3;</w:t>
            </w:r>
            <w:r w:rsidR="004748C9" w:rsidRPr="00CC3DC5">
              <w:t xml:space="preserve"> </w:t>
            </w:r>
            <w:r w:rsidRPr="009A2D8D">
              <w:t>(1999) 160 ALR 588</w:t>
            </w:r>
          </w:p>
          <w:p w14:paraId="3477BD2C" w14:textId="78FBB097" w:rsidR="000C2F57" w:rsidRPr="009A2D8D" w:rsidRDefault="000C2F57" w:rsidP="00D82620">
            <w:pPr>
              <w:pStyle w:val="CasesLegislationAppealFrom"/>
              <w:spacing w:after="60"/>
            </w:pPr>
            <w:r w:rsidRPr="009A2D8D">
              <w:rPr>
                <w:i/>
              </w:rPr>
              <w:t>Sun v Minister for Immigration and Ethnic Affairs</w:t>
            </w:r>
            <w:r w:rsidRPr="009A2D8D">
              <w:t xml:space="preserve"> (1997) 81 FCR 71</w:t>
            </w:r>
            <w:r w:rsidR="000E5377">
              <w:t>;</w:t>
            </w:r>
            <w:r w:rsidR="00414EB1" w:rsidRPr="009A2D8D">
              <w:t xml:space="preserve"> (1997) 151 ALR 505</w:t>
            </w:r>
          </w:p>
          <w:p w14:paraId="11F730DB" w14:textId="56066C47" w:rsidR="00395B24" w:rsidRPr="009A2D8D" w:rsidRDefault="009A2D8D">
            <w:pPr>
              <w:pStyle w:val="CasesLegislationAppealFrom"/>
              <w:spacing w:after="60"/>
            </w:pPr>
            <w:proofErr w:type="spellStart"/>
            <w:r w:rsidRPr="009A2D8D">
              <w:rPr>
                <w:i/>
              </w:rPr>
              <w:t>Zaltni</w:t>
            </w:r>
            <w:proofErr w:type="spellEnd"/>
            <w:r w:rsidRPr="009A2D8D">
              <w:rPr>
                <w:i/>
              </w:rPr>
              <w:t xml:space="preserve"> v Minister for Immigration and Multicultural Affairs</w:t>
            </w:r>
            <w:r w:rsidRPr="009A2D8D">
              <w:t xml:space="preserve"> [2000] FCA 399</w:t>
            </w:r>
            <w:bookmarkEnd w:id="5"/>
          </w:p>
        </w:tc>
      </w:tr>
      <w:tr w:rsidR="00655A09" w14:paraId="19656B9E" w14:textId="77777777" w:rsidTr="00152917">
        <w:tc>
          <w:tcPr>
            <w:tcW w:w="3083" w:type="dxa"/>
            <w:shd w:val="clear" w:color="auto" w:fill="auto"/>
          </w:tcPr>
          <w:p w14:paraId="28722E12" w14:textId="77777777" w:rsidR="00655A09" w:rsidRDefault="00655A09" w:rsidP="00BD354E">
            <w:pPr>
              <w:pStyle w:val="Normal1linespace"/>
              <w:widowControl w:val="0"/>
            </w:pPr>
          </w:p>
        </w:tc>
        <w:tc>
          <w:tcPr>
            <w:tcW w:w="5990" w:type="dxa"/>
            <w:shd w:val="clear" w:color="auto" w:fill="auto"/>
          </w:tcPr>
          <w:p w14:paraId="3F5E22AF" w14:textId="77777777" w:rsidR="00655A09" w:rsidRDefault="00655A09" w:rsidP="00BD354E">
            <w:pPr>
              <w:pStyle w:val="Normal1linespace"/>
              <w:widowControl w:val="0"/>
              <w:jc w:val="left"/>
            </w:pPr>
          </w:p>
        </w:tc>
      </w:tr>
      <w:tr w:rsidR="00655A09" w14:paraId="69D9A9CD" w14:textId="77777777" w:rsidTr="00152917">
        <w:tc>
          <w:tcPr>
            <w:tcW w:w="3083" w:type="dxa"/>
            <w:shd w:val="clear" w:color="auto" w:fill="auto"/>
          </w:tcPr>
          <w:p w14:paraId="62DE5048" w14:textId="77777777" w:rsidR="00655A09" w:rsidRDefault="00655A09" w:rsidP="00501A12">
            <w:pPr>
              <w:pStyle w:val="Normal1linespace"/>
              <w:widowControl w:val="0"/>
            </w:pPr>
            <w:r>
              <w:t>Division:</w:t>
            </w:r>
          </w:p>
        </w:tc>
        <w:tc>
          <w:tcPr>
            <w:tcW w:w="5990" w:type="dxa"/>
            <w:shd w:val="clear" w:color="auto" w:fill="auto"/>
          </w:tcPr>
          <w:p w14:paraId="05BAC9BA" w14:textId="71496ABE" w:rsidR="00655A09" w:rsidRPr="00F17599" w:rsidRDefault="00FB7D42" w:rsidP="00501A12">
            <w:pPr>
              <w:pStyle w:val="Normal1linespace"/>
              <w:widowControl w:val="0"/>
              <w:jc w:val="left"/>
            </w:pPr>
            <w:r>
              <w:t>Fair Work Division</w:t>
            </w:r>
          </w:p>
        </w:tc>
      </w:tr>
      <w:tr w:rsidR="00655A09" w14:paraId="55C0D3E4" w14:textId="77777777" w:rsidTr="00152917">
        <w:tc>
          <w:tcPr>
            <w:tcW w:w="3083" w:type="dxa"/>
            <w:shd w:val="clear" w:color="auto" w:fill="auto"/>
          </w:tcPr>
          <w:p w14:paraId="5E541761" w14:textId="77777777" w:rsidR="00655A09" w:rsidRDefault="00655A09" w:rsidP="00501A12">
            <w:pPr>
              <w:pStyle w:val="Normal1linespace"/>
              <w:widowControl w:val="0"/>
            </w:pPr>
            <w:bookmarkStart w:id="6" w:name="Registry_rows" w:colFirst="0" w:colLast="1"/>
          </w:p>
        </w:tc>
        <w:tc>
          <w:tcPr>
            <w:tcW w:w="5990" w:type="dxa"/>
            <w:shd w:val="clear" w:color="auto" w:fill="auto"/>
          </w:tcPr>
          <w:p w14:paraId="5B11D262" w14:textId="77777777" w:rsidR="00655A09" w:rsidRDefault="00655A09" w:rsidP="00501A12">
            <w:pPr>
              <w:pStyle w:val="Normal1linespace"/>
              <w:widowControl w:val="0"/>
              <w:jc w:val="left"/>
            </w:pPr>
          </w:p>
        </w:tc>
      </w:tr>
      <w:tr w:rsidR="00655A09" w14:paraId="4E0E8606" w14:textId="77777777" w:rsidTr="00152917">
        <w:tc>
          <w:tcPr>
            <w:tcW w:w="3083" w:type="dxa"/>
            <w:shd w:val="clear" w:color="auto" w:fill="auto"/>
          </w:tcPr>
          <w:p w14:paraId="618DA6F2" w14:textId="77777777" w:rsidR="00655A09" w:rsidRDefault="00655A09" w:rsidP="00501A12">
            <w:pPr>
              <w:pStyle w:val="Normal1linespace"/>
              <w:widowControl w:val="0"/>
            </w:pPr>
            <w:r>
              <w:t>Registry:</w:t>
            </w:r>
          </w:p>
        </w:tc>
        <w:tc>
          <w:tcPr>
            <w:tcW w:w="5990" w:type="dxa"/>
            <w:shd w:val="clear" w:color="auto" w:fill="auto"/>
          </w:tcPr>
          <w:p w14:paraId="124A78F2" w14:textId="77777777" w:rsidR="00655A09" w:rsidRPr="00F17599" w:rsidRDefault="00240525" w:rsidP="00501A12">
            <w:pPr>
              <w:pStyle w:val="Normal1linespace"/>
              <w:widowControl w:val="0"/>
              <w:jc w:val="left"/>
            </w:pPr>
            <w:r>
              <w:fldChar w:fldCharType="begin"/>
            </w:r>
            <w:r>
              <w:instrText xml:space="preserve"> DOCPROPERTY  Registry </w:instrText>
            </w:r>
            <w:r>
              <w:fldChar w:fldCharType="separate"/>
            </w:r>
            <w:r w:rsidR="00655A09">
              <w:t>South Australia</w:t>
            </w:r>
            <w:r>
              <w:fldChar w:fldCharType="end"/>
            </w:r>
          </w:p>
        </w:tc>
      </w:tr>
      <w:tr w:rsidR="00655A09" w14:paraId="7FA4FF34" w14:textId="77777777" w:rsidTr="00152917">
        <w:tc>
          <w:tcPr>
            <w:tcW w:w="3083" w:type="dxa"/>
            <w:shd w:val="clear" w:color="auto" w:fill="auto"/>
          </w:tcPr>
          <w:p w14:paraId="1E38712B" w14:textId="77777777" w:rsidR="00655A09" w:rsidRDefault="00655A09" w:rsidP="00501A12">
            <w:pPr>
              <w:pStyle w:val="Normal1linespace"/>
              <w:widowControl w:val="0"/>
            </w:pPr>
            <w:bookmarkStart w:id="7" w:name="NPARow" w:colFirst="0" w:colLast="1"/>
            <w:bookmarkEnd w:id="6"/>
          </w:p>
        </w:tc>
        <w:tc>
          <w:tcPr>
            <w:tcW w:w="5990" w:type="dxa"/>
            <w:shd w:val="clear" w:color="auto" w:fill="auto"/>
          </w:tcPr>
          <w:p w14:paraId="765A420E" w14:textId="77777777" w:rsidR="00655A09" w:rsidRPr="00F17599" w:rsidRDefault="00655A09" w:rsidP="00501A12">
            <w:pPr>
              <w:pStyle w:val="Normal1linespace"/>
              <w:widowControl w:val="0"/>
              <w:jc w:val="left"/>
              <w:rPr>
                <w:b/>
              </w:rPr>
            </w:pPr>
          </w:p>
        </w:tc>
      </w:tr>
      <w:tr w:rsidR="00655A09" w14:paraId="23DBBF8B" w14:textId="77777777" w:rsidTr="00152917">
        <w:tc>
          <w:tcPr>
            <w:tcW w:w="3083" w:type="dxa"/>
            <w:shd w:val="clear" w:color="auto" w:fill="auto"/>
          </w:tcPr>
          <w:p w14:paraId="77DF7249" w14:textId="77777777" w:rsidR="00655A09" w:rsidRDefault="00655A09" w:rsidP="00501A12">
            <w:pPr>
              <w:pStyle w:val="Normal1linespace"/>
              <w:widowControl w:val="0"/>
            </w:pPr>
            <w:r>
              <w:t>National Practice Area:</w:t>
            </w:r>
          </w:p>
        </w:tc>
        <w:tc>
          <w:tcPr>
            <w:tcW w:w="5990" w:type="dxa"/>
            <w:shd w:val="clear" w:color="auto" w:fill="auto"/>
          </w:tcPr>
          <w:p w14:paraId="52305939" w14:textId="77777777" w:rsidR="00655A09" w:rsidRPr="00F17599" w:rsidRDefault="00240525" w:rsidP="00BD354E">
            <w:pPr>
              <w:pStyle w:val="Normal1linespace"/>
              <w:widowControl w:val="0"/>
              <w:jc w:val="left"/>
              <w:rPr>
                <w:b/>
              </w:rPr>
            </w:pPr>
            <w:r>
              <w:fldChar w:fldCharType="begin"/>
            </w:r>
            <w:r>
              <w:instrText xml:space="preserve"> DOCPROPERTY  "Practice Area"  \* MERGEFORMAT </w:instrText>
            </w:r>
            <w:r>
              <w:fldChar w:fldCharType="separate"/>
            </w:r>
            <w:r w:rsidR="00655A09">
              <w:t>Employment and Industrial Relations</w:t>
            </w:r>
            <w:r>
              <w:fldChar w:fldCharType="end"/>
            </w:r>
          </w:p>
        </w:tc>
      </w:tr>
      <w:bookmarkEnd w:id="7"/>
      <w:tr w:rsidR="00655A09" w14:paraId="38AA4B8E" w14:textId="77777777" w:rsidTr="00152917">
        <w:tc>
          <w:tcPr>
            <w:tcW w:w="3083" w:type="dxa"/>
            <w:shd w:val="clear" w:color="auto" w:fill="auto"/>
          </w:tcPr>
          <w:p w14:paraId="404FF72F" w14:textId="77777777" w:rsidR="00655A09" w:rsidRDefault="00655A09" w:rsidP="00501A12">
            <w:pPr>
              <w:pStyle w:val="Normal1linespace"/>
              <w:widowControl w:val="0"/>
            </w:pPr>
          </w:p>
        </w:tc>
        <w:tc>
          <w:tcPr>
            <w:tcW w:w="5990" w:type="dxa"/>
            <w:shd w:val="clear" w:color="auto" w:fill="auto"/>
          </w:tcPr>
          <w:p w14:paraId="56CAAF0C" w14:textId="77777777" w:rsidR="00655A09" w:rsidRDefault="00655A09" w:rsidP="00501A12">
            <w:pPr>
              <w:pStyle w:val="Normal1linespace"/>
              <w:widowControl w:val="0"/>
              <w:jc w:val="left"/>
            </w:pPr>
          </w:p>
        </w:tc>
      </w:tr>
      <w:tr w:rsidR="00655A09" w14:paraId="1F41F36D" w14:textId="77777777" w:rsidTr="00152917">
        <w:tc>
          <w:tcPr>
            <w:tcW w:w="3083" w:type="dxa"/>
            <w:shd w:val="clear" w:color="auto" w:fill="auto"/>
          </w:tcPr>
          <w:p w14:paraId="78216B83" w14:textId="77777777" w:rsidR="00655A09" w:rsidRDefault="00655A09" w:rsidP="00501A12">
            <w:pPr>
              <w:pStyle w:val="Normal1linespace"/>
              <w:widowControl w:val="0"/>
            </w:pPr>
            <w:r>
              <w:t>Number of paragraphs:</w:t>
            </w:r>
          </w:p>
        </w:tc>
        <w:tc>
          <w:tcPr>
            <w:tcW w:w="5990" w:type="dxa"/>
            <w:shd w:val="clear" w:color="auto" w:fill="auto"/>
          </w:tcPr>
          <w:p w14:paraId="35267421" w14:textId="762228FE" w:rsidR="00655A09" w:rsidRDefault="00152917" w:rsidP="00501A12">
            <w:pPr>
              <w:pStyle w:val="Normal1linespace"/>
              <w:widowControl w:val="0"/>
              <w:jc w:val="left"/>
            </w:pPr>
            <w:bookmarkStart w:id="8" w:name="PlaceCategoryParagraphs"/>
            <w:r>
              <w:t>135</w:t>
            </w:r>
            <w:bookmarkEnd w:id="8"/>
          </w:p>
        </w:tc>
      </w:tr>
      <w:tr w:rsidR="00655A09" w14:paraId="3208A603" w14:textId="77777777" w:rsidTr="00152917">
        <w:tc>
          <w:tcPr>
            <w:tcW w:w="3083" w:type="dxa"/>
            <w:shd w:val="clear" w:color="auto" w:fill="auto"/>
          </w:tcPr>
          <w:p w14:paraId="344BB21B" w14:textId="77777777" w:rsidR="00655A09" w:rsidRDefault="00655A09" w:rsidP="00655A09">
            <w:pPr>
              <w:pStyle w:val="Normal1linespace"/>
              <w:widowControl w:val="0"/>
              <w:jc w:val="left"/>
            </w:pPr>
          </w:p>
        </w:tc>
        <w:tc>
          <w:tcPr>
            <w:tcW w:w="5990" w:type="dxa"/>
            <w:shd w:val="clear" w:color="auto" w:fill="auto"/>
          </w:tcPr>
          <w:p w14:paraId="56FC8F0C" w14:textId="77777777" w:rsidR="00655A09" w:rsidRDefault="00655A09" w:rsidP="00655A09">
            <w:pPr>
              <w:pStyle w:val="Normal1linespace"/>
              <w:widowControl w:val="0"/>
              <w:jc w:val="left"/>
            </w:pPr>
          </w:p>
        </w:tc>
      </w:tr>
      <w:tr w:rsidR="00655A09" w14:paraId="650AA444" w14:textId="77777777" w:rsidTr="00152917">
        <w:tc>
          <w:tcPr>
            <w:tcW w:w="3083" w:type="dxa"/>
            <w:shd w:val="clear" w:color="auto" w:fill="auto"/>
          </w:tcPr>
          <w:p w14:paraId="10D59516" w14:textId="77777777" w:rsidR="00655A09" w:rsidRDefault="00655A09" w:rsidP="00655A09">
            <w:pPr>
              <w:pStyle w:val="Normal1linespace"/>
              <w:widowControl w:val="0"/>
              <w:jc w:val="left"/>
            </w:pPr>
            <w:bookmarkStart w:id="9" w:name="CounselDate" w:colFirst="0" w:colLast="2"/>
            <w:r w:rsidRPr="006A24E3">
              <w:t>Date of hearing:</w:t>
            </w:r>
          </w:p>
        </w:tc>
        <w:tc>
          <w:tcPr>
            <w:tcW w:w="5990" w:type="dxa"/>
            <w:shd w:val="clear" w:color="auto" w:fill="auto"/>
          </w:tcPr>
          <w:p w14:paraId="6CC53838" w14:textId="77777777" w:rsidR="00655A09" w:rsidRDefault="00DC7A4F" w:rsidP="00655A09">
            <w:pPr>
              <w:pStyle w:val="Normal1linespace"/>
              <w:widowControl w:val="0"/>
              <w:jc w:val="left"/>
            </w:pPr>
            <w:bookmarkStart w:id="10" w:name="HearingDate"/>
            <w:r>
              <w:t>5 August 2022</w:t>
            </w:r>
            <w:r w:rsidR="00655A09">
              <w:t xml:space="preserve"> </w:t>
            </w:r>
            <w:bookmarkEnd w:id="10"/>
          </w:p>
        </w:tc>
      </w:tr>
      <w:tr w:rsidR="00655A09" w14:paraId="6BC53287" w14:textId="77777777" w:rsidTr="00152917">
        <w:tc>
          <w:tcPr>
            <w:tcW w:w="3083" w:type="dxa"/>
            <w:shd w:val="clear" w:color="auto" w:fill="auto"/>
          </w:tcPr>
          <w:p w14:paraId="644CC281" w14:textId="77777777" w:rsidR="00655A09" w:rsidRDefault="00655A09" w:rsidP="00655A09">
            <w:pPr>
              <w:pStyle w:val="Normal1linespace"/>
              <w:widowControl w:val="0"/>
              <w:jc w:val="left"/>
            </w:pPr>
          </w:p>
        </w:tc>
        <w:tc>
          <w:tcPr>
            <w:tcW w:w="5990" w:type="dxa"/>
            <w:shd w:val="clear" w:color="auto" w:fill="auto"/>
          </w:tcPr>
          <w:p w14:paraId="6FCECE17" w14:textId="77777777" w:rsidR="00655A09" w:rsidRDefault="00655A09" w:rsidP="00655A09">
            <w:pPr>
              <w:pStyle w:val="Normal1linespace"/>
              <w:widowControl w:val="0"/>
              <w:jc w:val="left"/>
            </w:pPr>
          </w:p>
        </w:tc>
      </w:tr>
      <w:tr w:rsidR="00152917" w14:paraId="07212CBB" w14:textId="77777777" w:rsidTr="00152917">
        <w:tc>
          <w:tcPr>
            <w:tcW w:w="3083" w:type="dxa"/>
            <w:shd w:val="clear" w:color="auto" w:fill="auto"/>
          </w:tcPr>
          <w:p w14:paraId="0AAA2DFA" w14:textId="1575D205" w:rsidR="00152917" w:rsidRDefault="00152917" w:rsidP="00152917">
            <w:pPr>
              <w:pStyle w:val="Normal1linespace"/>
              <w:widowControl w:val="0"/>
              <w:jc w:val="left"/>
            </w:pPr>
            <w:bookmarkStart w:id="11" w:name="Counsel" w:colFirst="0" w:colLast="2"/>
            <w:bookmarkEnd w:id="9"/>
            <w:r>
              <w:t>Counsel for the Applicant:</w:t>
            </w:r>
          </w:p>
        </w:tc>
        <w:tc>
          <w:tcPr>
            <w:tcW w:w="5990" w:type="dxa"/>
            <w:shd w:val="clear" w:color="auto" w:fill="auto"/>
          </w:tcPr>
          <w:p w14:paraId="3DB29594" w14:textId="6406C65B" w:rsidR="00152917" w:rsidRDefault="00152917" w:rsidP="00152917">
            <w:pPr>
              <w:pStyle w:val="Normal1linespace"/>
              <w:widowControl w:val="0"/>
              <w:jc w:val="left"/>
            </w:pPr>
            <w:bookmarkStart w:id="12" w:name="AppCounsel"/>
            <w:bookmarkEnd w:id="12"/>
            <w:r>
              <w:t>The Applicant appeared in person</w:t>
            </w:r>
          </w:p>
        </w:tc>
      </w:tr>
      <w:tr w:rsidR="00152917" w14:paraId="531523DD" w14:textId="77777777" w:rsidTr="00152917">
        <w:tc>
          <w:tcPr>
            <w:tcW w:w="3083" w:type="dxa"/>
            <w:shd w:val="clear" w:color="auto" w:fill="auto"/>
          </w:tcPr>
          <w:p w14:paraId="3378BAE6" w14:textId="77777777" w:rsidR="00152917" w:rsidRDefault="00152917" w:rsidP="00152917">
            <w:pPr>
              <w:pStyle w:val="Normal1linespace"/>
              <w:widowControl w:val="0"/>
              <w:jc w:val="left"/>
            </w:pPr>
          </w:p>
        </w:tc>
        <w:tc>
          <w:tcPr>
            <w:tcW w:w="5990" w:type="dxa"/>
            <w:shd w:val="clear" w:color="auto" w:fill="auto"/>
          </w:tcPr>
          <w:p w14:paraId="39A6E7BE" w14:textId="77777777" w:rsidR="00152917" w:rsidRDefault="00152917" w:rsidP="00152917">
            <w:pPr>
              <w:pStyle w:val="Normal1linespace"/>
              <w:widowControl w:val="0"/>
              <w:jc w:val="left"/>
            </w:pPr>
          </w:p>
        </w:tc>
      </w:tr>
      <w:tr w:rsidR="00152917" w14:paraId="07F7A78A" w14:textId="77777777" w:rsidTr="00152917">
        <w:tc>
          <w:tcPr>
            <w:tcW w:w="3083" w:type="dxa"/>
            <w:shd w:val="clear" w:color="auto" w:fill="auto"/>
          </w:tcPr>
          <w:p w14:paraId="37D491BD" w14:textId="58E7E9CD" w:rsidR="00152917" w:rsidRDefault="00152917" w:rsidP="00152917">
            <w:pPr>
              <w:pStyle w:val="Normal1linespace"/>
              <w:widowControl w:val="0"/>
              <w:jc w:val="left"/>
            </w:pPr>
            <w:r>
              <w:t>Solicitor for the Respondent:</w:t>
            </w:r>
          </w:p>
        </w:tc>
        <w:tc>
          <w:tcPr>
            <w:tcW w:w="5989" w:type="dxa"/>
            <w:shd w:val="clear" w:color="auto" w:fill="auto"/>
          </w:tcPr>
          <w:p w14:paraId="70E7CEDB" w14:textId="06369813" w:rsidR="00152917" w:rsidRDefault="00152917" w:rsidP="0095486E">
            <w:pPr>
              <w:pStyle w:val="Normal1linespace"/>
              <w:widowControl w:val="0"/>
              <w:jc w:val="left"/>
            </w:pPr>
            <w:r>
              <w:t>Mr A Short</w:t>
            </w:r>
            <w:r w:rsidR="00A924E8">
              <w:t xml:space="preserve"> </w:t>
            </w:r>
            <w:r w:rsidR="0095486E">
              <w:t>of</w:t>
            </w:r>
            <w:r w:rsidR="00A924E8">
              <w:t xml:space="preserve"> Minter Ellison</w:t>
            </w:r>
          </w:p>
        </w:tc>
      </w:tr>
      <w:bookmarkEnd w:id="11"/>
    </w:tbl>
    <w:p w14:paraId="63225C3D" w14:textId="77777777" w:rsidR="007470BD" w:rsidRDefault="007470BD">
      <w:pPr>
        <w:pStyle w:val="Normal1linespace"/>
      </w:pPr>
    </w:p>
    <w:p w14:paraId="38398C8B" w14:textId="77777777" w:rsidR="00E94CBF" w:rsidRDefault="00E94CBF">
      <w:pPr>
        <w:pStyle w:val="Normal1linespace"/>
      </w:pPr>
    </w:p>
    <w:p w14:paraId="05EC6974" w14:textId="77777777" w:rsidR="00395B24" w:rsidRDefault="00395B24">
      <w:pPr>
        <w:pStyle w:val="Normal1linespace"/>
        <w:sectPr w:rsidR="00395B24" w:rsidSect="001F2473">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7" w:h="16840" w:code="9"/>
          <w:pgMar w:top="1440" w:right="1440" w:bottom="1440" w:left="1440" w:header="851" w:footer="768" w:gutter="0"/>
          <w:pgNumType w:start="1"/>
          <w:cols w:space="720"/>
          <w:noEndnote/>
          <w:titlePg/>
        </w:sectPr>
      </w:pPr>
    </w:p>
    <w:p w14:paraId="599644F5"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14:paraId="0B9A0A4E" w14:textId="77777777" w:rsidTr="00E81DA6">
        <w:tc>
          <w:tcPr>
            <w:tcW w:w="6912" w:type="dxa"/>
            <w:gridSpan w:val="2"/>
          </w:tcPr>
          <w:p w14:paraId="74E04AB8" w14:textId="77777777" w:rsidR="00A46CCC" w:rsidRPr="001765E0" w:rsidRDefault="00A46CCC" w:rsidP="00525A49">
            <w:pPr>
              <w:pStyle w:val="NormalHeadings"/>
            </w:pPr>
          </w:p>
        </w:tc>
        <w:tc>
          <w:tcPr>
            <w:tcW w:w="2330" w:type="dxa"/>
          </w:tcPr>
          <w:p w14:paraId="5B9F5C05" w14:textId="77777777" w:rsidR="00A46CCC" w:rsidRDefault="00655A09" w:rsidP="00F92355">
            <w:pPr>
              <w:pStyle w:val="NormalHeadings"/>
              <w:jc w:val="right"/>
            </w:pPr>
            <w:bookmarkStart w:id="13" w:name="FileNo"/>
            <w:r>
              <w:t>SAD 52 of 2022</w:t>
            </w:r>
            <w:bookmarkEnd w:id="13"/>
          </w:p>
        </w:tc>
      </w:tr>
      <w:tr w:rsidR="00A76C13" w14:paraId="5D55AB00" w14:textId="77777777" w:rsidTr="00BD354E">
        <w:tc>
          <w:tcPr>
            <w:tcW w:w="9242" w:type="dxa"/>
            <w:gridSpan w:val="3"/>
          </w:tcPr>
          <w:p w14:paraId="2F8A07B0" w14:textId="77777777" w:rsidR="00A76C13" w:rsidRPr="00A76C13" w:rsidRDefault="00655A09" w:rsidP="00655A09">
            <w:pPr>
              <w:pStyle w:val="NormalHeadings"/>
              <w:jc w:val="left"/>
            </w:pPr>
            <w:bookmarkStart w:id="14" w:name="InTheMatterOf"/>
            <w:r>
              <w:t xml:space="preserve"> </w:t>
            </w:r>
            <w:bookmarkEnd w:id="14"/>
          </w:p>
        </w:tc>
      </w:tr>
      <w:tr w:rsidR="00A46CCC" w14:paraId="3F1D5D6B" w14:textId="77777777" w:rsidTr="00BD354E">
        <w:trPr>
          <w:trHeight w:val="386"/>
        </w:trPr>
        <w:tc>
          <w:tcPr>
            <w:tcW w:w="2376" w:type="dxa"/>
          </w:tcPr>
          <w:p w14:paraId="3A8E0474" w14:textId="77777777" w:rsidR="00A46CCC" w:rsidRDefault="00A46CCC" w:rsidP="00BD354E">
            <w:pPr>
              <w:pStyle w:val="NormalHeadings"/>
              <w:jc w:val="left"/>
              <w:rPr>
                <w:caps/>
                <w:szCs w:val="24"/>
              </w:rPr>
            </w:pPr>
            <w:bookmarkStart w:id="15" w:name="Parties"/>
            <w:r>
              <w:rPr>
                <w:caps/>
                <w:szCs w:val="24"/>
              </w:rPr>
              <w:t>BETWEEN:</w:t>
            </w:r>
          </w:p>
        </w:tc>
        <w:tc>
          <w:tcPr>
            <w:tcW w:w="6866" w:type="dxa"/>
            <w:gridSpan w:val="2"/>
          </w:tcPr>
          <w:p w14:paraId="754DADBB" w14:textId="77777777" w:rsidR="00655A09" w:rsidRDefault="00655A09" w:rsidP="00655A09">
            <w:pPr>
              <w:pStyle w:val="NormalHeadings"/>
              <w:jc w:val="left"/>
            </w:pPr>
            <w:bookmarkStart w:id="16" w:name="Applicant"/>
            <w:r>
              <w:t>CHRISTOPHER PARRY</w:t>
            </w:r>
          </w:p>
          <w:p w14:paraId="400EC5BC" w14:textId="77777777" w:rsidR="00655A09" w:rsidRDefault="00655A09" w:rsidP="00655A09">
            <w:pPr>
              <w:pStyle w:val="PartyType"/>
            </w:pPr>
            <w:r>
              <w:t>Applicant</w:t>
            </w:r>
          </w:p>
          <w:bookmarkEnd w:id="16"/>
          <w:p w14:paraId="11C49F3B" w14:textId="77777777" w:rsidR="00A46CCC" w:rsidRPr="006555B4" w:rsidRDefault="00A46CCC" w:rsidP="00BD354E">
            <w:pPr>
              <w:pStyle w:val="NormalHeadings"/>
              <w:jc w:val="left"/>
            </w:pPr>
          </w:p>
        </w:tc>
      </w:tr>
      <w:tr w:rsidR="00A46CCC" w14:paraId="78C24B57" w14:textId="77777777" w:rsidTr="00BD354E">
        <w:trPr>
          <w:trHeight w:val="386"/>
        </w:trPr>
        <w:tc>
          <w:tcPr>
            <w:tcW w:w="2376" w:type="dxa"/>
          </w:tcPr>
          <w:p w14:paraId="6495BA8B" w14:textId="77777777" w:rsidR="00A46CCC" w:rsidRDefault="00A46CCC" w:rsidP="00BD354E">
            <w:pPr>
              <w:pStyle w:val="NormalHeadings"/>
              <w:jc w:val="left"/>
              <w:rPr>
                <w:caps/>
                <w:szCs w:val="24"/>
              </w:rPr>
            </w:pPr>
            <w:r>
              <w:rPr>
                <w:caps/>
                <w:szCs w:val="24"/>
              </w:rPr>
              <w:t>AND:</w:t>
            </w:r>
          </w:p>
        </w:tc>
        <w:tc>
          <w:tcPr>
            <w:tcW w:w="6866" w:type="dxa"/>
            <w:gridSpan w:val="2"/>
          </w:tcPr>
          <w:p w14:paraId="5F225D2E" w14:textId="77777777" w:rsidR="00655A09" w:rsidRDefault="00655A09" w:rsidP="00655A09">
            <w:pPr>
              <w:pStyle w:val="NormalHeadings"/>
              <w:jc w:val="left"/>
            </w:pPr>
            <w:bookmarkStart w:id="17" w:name="Respondent"/>
            <w:r>
              <w:t>UNIVERSITY OF SOUTH AUSTRALIA</w:t>
            </w:r>
          </w:p>
          <w:p w14:paraId="445DA320" w14:textId="77777777" w:rsidR="00655A09" w:rsidRDefault="00655A09" w:rsidP="00655A09">
            <w:pPr>
              <w:pStyle w:val="PartyType"/>
            </w:pPr>
            <w:r>
              <w:t>Respondent</w:t>
            </w:r>
          </w:p>
          <w:bookmarkEnd w:id="17"/>
          <w:p w14:paraId="5747CE4D" w14:textId="77777777" w:rsidR="00A46CCC" w:rsidRPr="006555B4" w:rsidRDefault="00A46CCC" w:rsidP="00BD354E">
            <w:pPr>
              <w:pStyle w:val="NormalHeadings"/>
              <w:jc w:val="left"/>
            </w:pPr>
          </w:p>
        </w:tc>
      </w:tr>
    </w:tbl>
    <w:p w14:paraId="50D153F9" w14:textId="77777777" w:rsidR="00395B24" w:rsidRDefault="00395B24">
      <w:pPr>
        <w:pStyle w:val="NormalHeadings"/>
      </w:pPr>
      <w:bookmarkStart w:id="18" w:name="CrossClaimPosition"/>
      <w:bookmarkEnd w:id="15"/>
      <w:bookmarkEnd w:id="18"/>
    </w:p>
    <w:tbl>
      <w:tblPr>
        <w:tblW w:w="0" w:type="auto"/>
        <w:tblLayout w:type="fixed"/>
        <w:tblLook w:val="0000" w:firstRow="0" w:lastRow="0" w:firstColumn="0" w:lastColumn="0" w:noHBand="0" w:noVBand="0"/>
        <w:tblCaption w:val="Judge"/>
        <w:tblDescription w:val="Judge"/>
      </w:tblPr>
      <w:tblGrid>
        <w:gridCol w:w="2376"/>
        <w:gridCol w:w="6866"/>
      </w:tblGrid>
      <w:tr w:rsidR="00395B24" w14:paraId="0D2D0DDC" w14:textId="77777777">
        <w:tc>
          <w:tcPr>
            <w:tcW w:w="2376" w:type="dxa"/>
          </w:tcPr>
          <w:p w14:paraId="098F4B9B" w14:textId="77777777" w:rsidR="00395B24" w:rsidRDefault="00974709">
            <w:pPr>
              <w:pStyle w:val="NormalHeadings"/>
              <w:spacing w:after="120"/>
              <w:jc w:val="left"/>
              <w:rPr>
                <w:caps/>
                <w:szCs w:val="24"/>
              </w:rPr>
            </w:pPr>
            <w:bookmarkStart w:id="19" w:name="JudgeText"/>
            <w:r>
              <w:rPr>
                <w:caps/>
                <w:szCs w:val="24"/>
              </w:rPr>
              <w:t>order made by</w:t>
            </w:r>
            <w:bookmarkEnd w:id="19"/>
            <w:r w:rsidR="002C7385">
              <w:rPr>
                <w:caps/>
                <w:szCs w:val="24"/>
              </w:rPr>
              <w:t>:</w:t>
            </w:r>
          </w:p>
        </w:tc>
        <w:tc>
          <w:tcPr>
            <w:tcW w:w="6866" w:type="dxa"/>
          </w:tcPr>
          <w:p w14:paraId="59542C1C" w14:textId="18A9418E" w:rsidR="00395B24" w:rsidRDefault="0095486E">
            <w:pPr>
              <w:pStyle w:val="NormalHeadings"/>
              <w:jc w:val="left"/>
              <w:rPr>
                <w:caps/>
                <w:szCs w:val="24"/>
              </w:rPr>
            </w:pPr>
            <w:bookmarkStart w:id="20" w:name="Judge"/>
            <w:r>
              <w:rPr>
                <w:caps/>
                <w:szCs w:val="24"/>
              </w:rPr>
              <w:t xml:space="preserve">BANKS-SMITH, O'SULLIVAN AND </w:t>
            </w:r>
            <w:r w:rsidR="00655A09">
              <w:rPr>
                <w:caps/>
                <w:szCs w:val="24"/>
              </w:rPr>
              <w:t>FEUTRILL JJ</w:t>
            </w:r>
            <w:bookmarkEnd w:id="20"/>
          </w:p>
        </w:tc>
      </w:tr>
      <w:tr w:rsidR="00395B24" w14:paraId="060A2B7A" w14:textId="77777777">
        <w:tc>
          <w:tcPr>
            <w:tcW w:w="2376" w:type="dxa"/>
          </w:tcPr>
          <w:p w14:paraId="147962AD" w14:textId="77777777" w:rsidR="00395B24" w:rsidRDefault="002C7385">
            <w:pPr>
              <w:pStyle w:val="NormalHeadings"/>
              <w:spacing w:after="120"/>
              <w:jc w:val="left"/>
              <w:rPr>
                <w:caps/>
                <w:szCs w:val="24"/>
              </w:rPr>
            </w:pPr>
            <w:r>
              <w:rPr>
                <w:caps/>
                <w:szCs w:val="24"/>
              </w:rPr>
              <w:t>DATE OF ORDER:</w:t>
            </w:r>
          </w:p>
        </w:tc>
        <w:tc>
          <w:tcPr>
            <w:tcW w:w="6866" w:type="dxa"/>
          </w:tcPr>
          <w:p w14:paraId="0FCB51B4" w14:textId="7E8E769E" w:rsidR="00395B24" w:rsidRDefault="00FD2211" w:rsidP="00FD2211">
            <w:pPr>
              <w:pStyle w:val="NormalHeadings"/>
              <w:jc w:val="left"/>
              <w:rPr>
                <w:caps/>
                <w:szCs w:val="24"/>
              </w:rPr>
            </w:pPr>
            <w:bookmarkStart w:id="21" w:name="Judgment_Dated"/>
            <w:r>
              <w:rPr>
                <w:caps/>
                <w:szCs w:val="24"/>
              </w:rPr>
              <w:t>29 September 2022</w:t>
            </w:r>
            <w:bookmarkEnd w:id="21"/>
          </w:p>
        </w:tc>
      </w:tr>
    </w:tbl>
    <w:p w14:paraId="4F32ACEE" w14:textId="77777777" w:rsidR="00395B24" w:rsidRDefault="00395B24">
      <w:pPr>
        <w:pStyle w:val="NormalHeadings"/>
        <w:rPr>
          <w:b w:val="0"/>
        </w:rPr>
      </w:pPr>
    </w:p>
    <w:p w14:paraId="6620F67B" w14:textId="77777777" w:rsidR="008D1617" w:rsidRDefault="008D1617">
      <w:pPr>
        <w:pStyle w:val="NormalHeadings"/>
        <w:rPr>
          <w:b w:val="0"/>
        </w:rPr>
      </w:pPr>
    </w:p>
    <w:p w14:paraId="199CCC97" w14:textId="77777777" w:rsidR="00395B24" w:rsidRDefault="002C7385">
      <w:pPr>
        <w:pStyle w:val="NormalHeadings"/>
      </w:pPr>
      <w:r>
        <w:t>THE COURT ORDERS THAT:</w:t>
      </w:r>
    </w:p>
    <w:p w14:paraId="2F6172A8" w14:textId="77777777" w:rsidR="007F60DF" w:rsidRDefault="007F60DF" w:rsidP="00243E5E">
      <w:pPr>
        <w:pStyle w:val="NormalHeadings"/>
      </w:pPr>
    </w:p>
    <w:p w14:paraId="48785A8B" w14:textId="02AB88C8" w:rsidR="001A6C52" w:rsidRDefault="003A3240" w:rsidP="001A6C52">
      <w:pPr>
        <w:pStyle w:val="Order1"/>
      </w:pPr>
      <w:r>
        <w:t xml:space="preserve">The appeal </w:t>
      </w:r>
      <w:proofErr w:type="gramStart"/>
      <w:r>
        <w:t>is dismissed</w:t>
      </w:r>
      <w:proofErr w:type="gramEnd"/>
      <w:r>
        <w:t>.</w:t>
      </w:r>
    </w:p>
    <w:p w14:paraId="4C365339" w14:textId="77777777" w:rsidR="001A6C52" w:rsidRDefault="001A6C52" w:rsidP="001A6C52">
      <w:pPr>
        <w:pStyle w:val="BodyText"/>
      </w:pPr>
    </w:p>
    <w:p w14:paraId="5B238B8B" w14:textId="734DCEB3" w:rsidR="00A431E6" w:rsidRDefault="00A431E6" w:rsidP="001A6C52">
      <w:pPr>
        <w:pStyle w:val="BodyText"/>
      </w:pPr>
    </w:p>
    <w:p w14:paraId="0AFFA543" w14:textId="75C284D3" w:rsidR="00A14B02" w:rsidRDefault="00A14B02" w:rsidP="001A6C52">
      <w:pPr>
        <w:pStyle w:val="BodyText"/>
      </w:pPr>
    </w:p>
    <w:p w14:paraId="426E8BD0" w14:textId="2CF1BDEC" w:rsidR="00A14B02" w:rsidRDefault="00A14B02" w:rsidP="001A6C52">
      <w:pPr>
        <w:pStyle w:val="BodyText"/>
      </w:pPr>
    </w:p>
    <w:p w14:paraId="510FD3D6" w14:textId="1E17E587" w:rsidR="00A14B02" w:rsidRDefault="00A14B02" w:rsidP="001A6C52">
      <w:pPr>
        <w:pStyle w:val="BodyText"/>
      </w:pPr>
    </w:p>
    <w:p w14:paraId="15CD254B" w14:textId="5BCF7245" w:rsidR="00A14B02" w:rsidRDefault="00A14B02" w:rsidP="001A6C52">
      <w:pPr>
        <w:pStyle w:val="BodyText"/>
      </w:pPr>
    </w:p>
    <w:p w14:paraId="405FA699" w14:textId="24C17CF9" w:rsidR="00A14B02" w:rsidRDefault="00A14B02" w:rsidP="001A6C52">
      <w:pPr>
        <w:pStyle w:val="BodyText"/>
      </w:pPr>
    </w:p>
    <w:p w14:paraId="2DE41E18" w14:textId="52BAFA3A" w:rsidR="00A14B02" w:rsidRDefault="00A14B02" w:rsidP="001A6C52">
      <w:pPr>
        <w:pStyle w:val="BodyText"/>
      </w:pPr>
    </w:p>
    <w:p w14:paraId="6A1E6706" w14:textId="7CC7DE9F" w:rsidR="00A14B02" w:rsidRDefault="00A14B02" w:rsidP="001A6C52">
      <w:pPr>
        <w:pStyle w:val="BodyText"/>
      </w:pPr>
    </w:p>
    <w:p w14:paraId="1AB4813C" w14:textId="301A549A" w:rsidR="00A14B02" w:rsidRDefault="00A14B02" w:rsidP="001A6C52">
      <w:pPr>
        <w:pStyle w:val="BodyText"/>
      </w:pPr>
    </w:p>
    <w:p w14:paraId="7D2C571B" w14:textId="643B3C6B" w:rsidR="00A14B02" w:rsidRDefault="00A14B02" w:rsidP="001A6C52">
      <w:pPr>
        <w:pStyle w:val="BodyText"/>
      </w:pPr>
    </w:p>
    <w:p w14:paraId="4F89C6B0" w14:textId="13D0A5CC" w:rsidR="00A14B02" w:rsidRDefault="00A14B02" w:rsidP="001A6C52">
      <w:pPr>
        <w:pStyle w:val="BodyText"/>
      </w:pPr>
    </w:p>
    <w:p w14:paraId="467535D6" w14:textId="761F0F29" w:rsidR="00A14B02" w:rsidRDefault="00A14B02" w:rsidP="001A6C52">
      <w:pPr>
        <w:pStyle w:val="BodyText"/>
      </w:pPr>
    </w:p>
    <w:p w14:paraId="2095964D" w14:textId="2114458C" w:rsidR="00A14B02" w:rsidRDefault="00A14B02" w:rsidP="001A6C52">
      <w:pPr>
        <w:pStyle w:val="BodyText"/>
      </w:pPr>
    </w:p>
    <w:p w14:paraId="21BCDF7B" w14:textId="0BF74D67" w:rsidR="00A14B02" w:rsidRDefault="00A14B02" w:rsidP="001A6C52">
      <w:pPr>
        <w:pStyle w:val="BodyText"/>
      </w:pPr>
    </w:p>
    <w:p w14:paraId="29612F27" w14:textId="462F2A45" w:rsidR="00A14B02" w:rsidRDefault="00A14B02" w:rsidP="001A6C52">
      <w:pPr>
        <w:pStyle w:val="BodyText"/>
      </w:pPr>
    </w:p>
    <w:p w14:paraId="1A757348" w14:textId="77777777" w:rsidR="00A14B02" w:rsidRDefault="00A14B02" w:rsidP="001A6C52">
      <w:pPr>
        <w:pStyle w:val="BodyText"/>
      </w:pPr>
    </w:p>
    <w:p w14:paraId="7DAD4B87" w14:textId="77777777" w:rsidR="0050309C" w:rsidRDefault="00655A09" w:rsidP="004D53E5">
      <w:pPr>
        <w:pStyle w:val="SingleSpace"/>
      </w:pPr>
      <w:bookmarkStart w:id="22" w:name="OrdersStatement"/>
      <w:r>
        <w:t>Note:</w:t>
      </w:r>
      <w:r>
        <w:tab/>
        <w:t xml:space="preserve">Entry of orders </w:t>
      </w:r>
      <w:proofErr w:type="gramStart"/>
      <w:r>
        <w:t>is dealt with</w:t>
      </w:r>
      <w:proofErr w:type="gramEnd"/>
      <w:r>
        <w:t xml:space="preserve"> in Rule 39.32 of the </w:t>
      </w:r>
      <w:r>
        <w:rPr>
          <w:i/>
        </w:rPr>
        <w:t>Federal Court Rules 2011</w:t>
      </w:r>
      <w:r>
        <w:t>.</w:t>
      </w:r>
      <w:bookmarkEnd w:id="22"/>
    </w:p>
    <w:p w14:paraId="7C3779CB" w14:textId="77777777" w:rsidR="00E23577" w:rsidRDefault="00E23577" w:rsidP="002B0E91">
      <w:pPr>
        <w:pStyle w:val="BodyText"/>
      </w:pPr>
    </w:p>
    <w:p w14:paraId="38FDF91C" w14:textId="77777777" w:rsidR="00395B24" w:rsidRDefault="00395B24">
      <w:pPr>
        <w:pStyle w:val="NormalHeadings"/>
        <w:spacing w:before="240" w:after="120"/>
        <w:rPr>
          <w:b w:val="0"/>
        </w:rPr>
        <w:sectPr w:rsidR="00395B24" w:rsidSect="0092590B">
          <w:headerReference w:type="default" r:id="rId18"/>
          <w:footerReference w:type="default" r:id="rId19"/>
          <w:headerReference w:type="first" r:id="rId20"/>
          <w:footerReference w:type="first" r:id="rId21"/>
          <w:endnotePr>
            <w:numFmt w:val="decimal"/>
          </w:endnotePr>
          <w:pgSz w:w="11907" w:h="16840" w:code="9"/>
          <w:pgMar w:top="1440" w:right="1440" w:bottom="1440" w:left="1440" w:header="851" w:footer="851" w:gutter="0"/>
          <w:pgNumType w:fmt="lowerRoman" w:start="1"/>
          <w:cols w:space="720"/>
          <w:noEndnote/>
          <w:titlePg/>
        </w:sectPr>
      </w:pPr>
    </w:p>
    <w:p w14:paraId="024A6D29" w14:textId="77777777" w:rsidR="00484F6D" w:rsidRPr="00045BB7" w:rsidRDefault="00484F6D" w:rsidP="00045BB7">
      <w:pPr>
        <w:pStyle w:val="NormalHeadings"/>
        <w:spacing w:line="480" w:lineRule="auto"/>
        <w:jc w:val="center"/>
        <w:rPr>
          <w:sz w:val="28"/>
          <w:szCs w:val="28"/>
        </w:rPr>
      </w:pPr>
      <w:bookmarkStart w:id="23" w:name="ReasonsPage"/>
      <w:bookmarkEnd w:id="23"/>
      <w:r w:rsidRPr="00045BB7">
        <w:rPr>
          <w:sz w:val="28"/>
          <w:szCs w:val="28"/>
        </w:rPr>
        <w:lastRenderedPageBreak/>
        <w:t>REASONS FOR JUDGMENT</w:t>
      </w:r>
    </w:p>
    <w:p w14:paraId="7C4A6408" w14:textId="77777777" w:rsidR="00694BEB" w:rsidRDefault="00DC7A4F" w:rsidP="005E0510">
      <w:pPr>
        <w:pStyle w:val="NormalHeadings"/>
        <w:spacing w:line="360" w:lineRule="auto"/>
        <w:jc w:val="left"/>
        <w:rPr>
          <w:sz w:val="26"/>
          <w:szCs w:val="26"/>
        </w:rPr>
      </w:pPr>
      <w:r>
        <w:rPr>
          <w:sz w:val="26"/>
          <w:szCs w:val="26"/>
        </w:rPr>
        <w:t>THE COURT:</w:t>
      </w:r>
    </w:p>
    <w:p w14:paraId="4CEC7235" w14:textId="77777777" w:rsidR="00570393" w:rsidRDefault="00570393" w:rsidP="00570393">
      <w:pPr>
        <w:pStyle w:val="Heading1"/>
      </w:pPr>
      <w:r>
        <w:t>introduction</w:t>
      </w:r>
    </w:p>
    <w:p w14:paraId="25E62A01" w14:textId="06347040" w:rsidR="00570393" w:rsidRDefault="00171965" w:rsidP="00570393">
      <w:pPr>
        <w:pStyle w:val="ParaNumbering"/>
      </w:pPr>
      <w:r>
        <w:t>T</w:t>
      </w:r>
      <w:r w:rsidR="00A42E6A">
        <w:t xml:space="preserve">he appellant </w:t>
      </w:r>
      <w:proofErr w:type="gramStart"/>
      <w:r w:rsidR="00570393">
        <w:t>was employed</w:t>
      </w:r>
      <w:proofErr w:type="gramEnd"/>
      <w:r w:rsidR="00570393">
        <w:t xml:space="preserve"> as a “Technical Officer” by the respondent on </w:t>
      </w:r>
      <w:r>
        <w:t>a</w:t>
      </w:r>
      <w:r w:rsidR="00570393">
        <w:t xml:space="preserve"> series of short term casual employment contracts </w:t>
      </w:r>
      <w:r w:rsidR="00900845">
        <w:t>during</w:t>
      </w:r>
      <w:r w:rsidR="00570393">
        <w:t xml:space="preserve"> the period 7 May 2019 to 8 October 2019.  On 8</w:t>
      </w:r>
      <w:r w:rsidR="002F26CC">
        <w:t> </w:t>
      </w:r>
      <w:r w:rsidR="00570393">
        <w:t xml:space="preserve">October 2019, his employment </w:t>
      </w:r>
      <w:proofErr w:type="gramStart"/>
      <w:r w:rsidR="00570393">
        <w:t>was terminated</w:t>
      </w:r>
      <w:proofErr w:type="gramEnd"/>
      <w:r w:rsidR="00570393">
        <w:t xml:space="preserve">.  </w:t>
      </w:r>
      <w:proofErr w:type="gramStart"/>
      <w:r w:rsidR="00570393">
        <w:t>But</w:t>
      </w:r>
      <w:proofErr w:type="gramEnd"/>
      <w:r w:rsidR="00570393">
        <w:t xml:space="preserve"> for that termination, the latest of </w:t>
      </w:r>
      <w:r>
        <w:t>the a</w:t>
      </w:r>
      <w:r w:rsidR="00A42E6A">
        <w:t>ppellant</w:t>
      </w:r>
      <w:r w:rsidR="00570393">
        <w:t>’s casual contracts would have expired on 3 March 2020.</w:t>
      </w:r>
    </w:p>
    <w:p w14:paraId="09E63E89" w14:textId="2C061CAC" w:rsidR="00570393" w:rsidRDefault="00171965" w:rsidP="00570393">
      <w:pPr>
        <w:pStyle w:val="ParaNumbering"/>
      </w:pPr>
      <w:r>
        <w:t>The a</w:t>
      </w:r>
      <w:r w:rsidR="00A42E6A">
        <w:t>ppellant</w:t>
      </w:r>
      <w:r w:rsidR="00900845">
        <w:t xml:space="preserve"> brought a claim pursuant </w:t>
      </w:r>
      <w:r w:rsidR="00570393">
        <w:t xml:space="preserve">to s 340 of the </w:t>
      </w:r>
      <w:r w:rsidR="00570393" w:rsidRPr="00171965">
        <w:rPr>
          <w:i/>
        </w:rPr>
        <w:t>Fair Work Act 2009</w:t>
      </w:r>
      <w:r w:rsidR="00DF6A05">
        <w:t xml:space="preserve"> (</w:t>
      </w:r>
      <w:proofErr w:type="spellStart"/>
      <w:r w:rsidR="00DF6A05">
        <w:t>Cth</w:t>
      </w:r>
      <w:proofErr w:type="spellEnd"/>
      <w:r w:rsidR="00DF6A05">
        <w:t xml:space="preserve">) </w:t>
      </w:r>
      <w:r w:rsidR="00570393">
        <w:t>(</w:t>
      </w:r>
      <w:r w:rsidR="00570393" w:rsidRPr="00171965">
        <w:rPr>
          <w:b/>
        </w:rPr>
        <w:t>FWA</w:t>
      </w:r>
      <w:r w:rsidR="00570393">
        <w:t xml:space="preserve">) alleging he </w:t>
      </w:r>
      <w:proofErr w:type="gramStart"/>
      <w:r w:rsidR="00570393">
        <w:t>was dismissed</w:t>
      </w:r>
      <w:proofErr w:type="gramEnd"/>
      <w:r w:rsidR="00570393">
        <w:t xml:space="preserve"> because he had, or had exercised, a workplace right.  That right was described</w:t>
      </w:r>
      <w:r w:rsidR="009C6CBE">
        <w:t xml:space="preserve"> in his originating application </w:t>
      </w:r>
      <w:r w:rsidR="00570393">
        <w:t xml:space="preserve">as “a workplace right (an OH &amp; S right) to take reasonable care to protect </w:t>
      </w:r>
      <w:r w:rsidR="00DF6A05">
        <w:t>[</w:t>
      </w:r>
      <w:r w:rsidR="00570393">
        <w:t>his</w:t>
      </w:r>
      <w:r w:rsidR="00DF6A05">
        <w:t>]</w:t>
      </w:r>
      <w:r w:rsidR="00570393">
        <w:t xml:space="preserve"> own health and safety at work”.</w:t>
      </w:r>
    </w:p>
    <w:p w14:paraId="60F9BCE6" w14:textId="402F2B1E" w:rsidR="00570393" w:rsidRDefault="00570393" w:rsidP="00DB13EC">
      <w:pPr>
        <w:pStyle w:val="ParaNumbering"/>
      </w:pPr>
      <w:r>
        <w:t xml:space="preserve">Before the primary judge, there was no issue that the termination of </w:t>
      </w:r>
      <w:r w:rsidR="00A42E6A">
        <w:t>the appellant</w:t>
      </w:r>
      <w:r>
        <w:t>’s employment was</w:t>
      </w:r>
      <w:r w:rsidR="00DF6A05">
        <w:t xml:space="preserve"> an</w:t>
      </w:r>
      <w:r>
        <w:t xml:space="preserve"> “adve</w:t>
      </w:r>
      <w:r w:rsidR="00DF6A05">
        <w:t>rse action” as defined in s 342</w:t>
      </w:r>
      <w:r w:rsidR="00171965">
        <w:t>(</w:t>
      </w:r>
      <w:r>
        <w:t>1)</w:t>
      </w:r>
      <w:r w:rsidR="00171965">
        <w:t>, I</w:t>
      </w:r>
      <w:r>
        <w:t>tem 1 of the FWA.</w:t>
      </w:r>
      <w:r w:rsidR="00900845">
        <w:t xml:space="preserve">  </w:t>
      </w:r>
      <w:r>
        <w:t xml:space="preserve">The issue before her Honour was whether </w:t>
      </w:r>
      <w:r w:rsidR="00A42E6A">
        <w:t>the appellant</w:t>
      </w:r>
      <w:r>
        <w:t>’s termination was because he had</w:t>
      </w:r>
      <w:r w:rsidR="00900845">
        <w:t>,</w:t>
      </w:r>
      <w:r>
        <w:t xml:space="preserve"> or had exercised</w:t>
      </w:r>
      <w:r w:rsidR="00900845">
        <w:t>,</w:t>
      </w:r>
      <w:r>
        <w:t xml:space="preserve"> a workplace right.</w:t>
      </w:r>
    </w:p>
    <w:p w14:paraId="67D0A70F" w14:textId="13F3F328" w:rsidR="00570393" w:rsidRDefault="00570393" w:rsidP="00570393">
      <w:pPr>
        <w:pStyle w:val="ParaNumbering"/>
      </w:pPr>
      <w:r>
        <w:t xml:space="preserve">The primary judge dismissed </w:t>
      </w:r>
      <w:r w:rsidR="00A42E6A">
        <w:t>the appellant</w:t>
      </w:r>
      <w:r>
        <w:t xml:space="preserve">’s claim, finding that the reason for his dismissal was his failure to attend </w:t>
      </w:r>
      <w:r w:rsidR="00171965">
        <w:t xml:space="preserve">to </w:t>
      </w:r>
      <w:r>
        <w:t>his duties and did not include any reason sanctioned by s</w:t>
      </w:r>
      <w:r w:rsidR="00171965">
        <w:t xml:space="preserve"> </w:t>
      </w:r>
      <w:r w:rsidR="00900845">
        <w:t>340 of the FWA</w:t>
      </w:r>
      <w:r>
        <w:t xml:space="preserve">: </w:t>
      </w:r>
      <w:r w:rsidR="00171965">
        <w:t xml:space="preserve"> </w:t>
      </w:r>
      <w:r w:rsidR="00171965" w:rsidRPr="00171965">
        <w:rPr>
          <w:i/>
        </w:rPr>
        <w:t>Parry v University of South Australia</w:t>
      </w:r>
      <w:r w:rsidR="00171965">
        <w:t xml:space="preserve"> [2022] FCA 49 at </w:t>
      </w:r>
      <w:r>
        <w:t>[234]</w:t>
      </w:r>
      <w:r w:rsidR="00171965">
        <w:t xml:space="preserve"> (</w:t>
      </w:r>
      <w:r w:rsidR="00171965" w:rsidRPr="00171965">
        <w:rPr>
          <w:b/>
        </w:rPr>
        <w:t>Reasons</w:t>
      </w:r>
      <w:r w:rsidR="00171965">
        <w:t>)</w:t>
      </w:r>
      <w:r>
        <w:t>.</w:t>
      </w:r>
    </w:p>
    <w:p w14:paraId="4AA5CCAE" w14:textId="77777777" w:rsidR="00570393" w:rsidRDefault="00A42E6A" w:rsidP="00570393">
      <w:pPr>
        <w:pStyle w:val="ParaNumbering"/>
      </w:pPr>
      <w:r>
        <w:t>The appellant</w:t>
      </w:r>
      <w:r w:rsidR="00171965">
        <w:t xml:space="preserve"> now appeals against that judg</w:t>
      </w:r>
      <w:r w:rsidR="00570393">
        <w:t>ment.</w:t>
      </w:r>
    </w:p>
    <w:p w14:paraId="55AA0E12" w14:textId="35823678" w:rsidR="00570393" w:rsidRDefault="00A42E6A" w:rsidP="00570393">
      <w:pPr>
        <w:pStyle w:val="ParaNumbering"/>
      </w:pPr>
      <w:r>
        <w:t>The appellant</w:t>
      </w:r>
      <w:r w:rsidR="00171965">
        <w:t xml:space="preserve"> </w:t>
      </w:r>
      <w:proofErr w:type="gramStart"/>
      <w:r w:rsidR="00171965">
        <w:t>was self-</w:t>
      </w:r>
      <w:r w:rsidR="007E1D0D">
        <w:t>represented</w:t>
      </w:r>
      <w:proofErr w:type="gramEnd"/>
      <w:r w:rsidR="007E1D0D">
        <w:t xml:space="preserve"> at</w:t>
      </w:r>
      <w:r w:rsidR="00570393">
        <w:t xml:space="preserve"> the first instance and on appeal.</w:t>
      </w:r>
    </w:p>
    <w:p w14:paraId="77EAA0BA" w14:textId="77777777" w:rsidR="00570393" w:rsidRDefault="00570393" w:rsidP="00570393">
      <w:pPr>
        <w:pStyle w:val="Heading2"/>
      </w:pPr>
      <w:r>
        <w:t>The notice of appeal and the conduct of the appeal</w:t>
      </w:r>
    </w:p>
    <w:p w14:paraId="7F24F7C0" w14:textId="06125257" w:rsidR="00900845" w:rsidRDefault="007E1D0D" w:rsidP="00570393">
      <w:pPr>
        <w:pStyle w:val="ParaNumbering"/>
      </w:pPr>
      <w:r>
        <w:t xml:space="preserve">On 3 </w:t>
      </w:r>
      <w:r w:rsidR="00900845">
        <w:t>March 2022, the appellant had applied for an extension of time within which to</w:t>
      </w:r>
      <w:r w:rsidR="0067496D">
        <w:t xml:space="preserve"> file his notice of</w:t>
      </w:r>
      <w:r w:rsidR="00900845">
        <w:t xml:space="preserve"> appeal.  An order extending time </w:t>
      </w:r>
      <w:proofErr w:type="gramStart"/>
      <w:r w:rsidR="00900845">
        <w:t>was made</w:t>
      </w:r>
      <w:proofErr w:type="gramEnd"/>
      <w:r w:rsidR="00900845">
        <w:t xml:space="preserve"> on 4 </w:t>
      </w:r>
      <w:r>
        <w:t>May</w:t>
      </w:r>
      <w:r w:rsidR="00900845">
        <w:t xml:space="preserve"> 2022.</w:t>
      </w:r>
    </w:p>
    <w:p w14:paraId="48418E70" w14:textId="77777777" w:rsidR="0067496D" w:rsidRDefault="00171965" w:rsidP="00570393">
      <w:pPr>
        <w:pStyle w:val="ParaNumbering"/>
      </w:pPr>
      <w:r>
        <w:t>T</w:t>
      </w:r>
      <w:r w:rsidR="00570393">
        <w:t xml:space="preserve">he notice of appeal </w:t>
      </w:r>
      <w:r w:rsidR="00900845">
        <w:t>is in the form of the draft notice of appeal annexed to the appellant’s application for an extension of time</w:t>
      </w:r>
      <w:r w:rsidR="0067496D">
        <w:t xml:space="preserve"> </w:t>
      </w:r>
      <w:r w:rsidR="00DD42D9">
        <w:t xml:space="preserve">and </w:t>
      </w:r>
      <w:r w:rsidR="0067496D">
        <w:t xml:space="preserve">in a </w:t>
      </w:r>
      <w:r w:rsidR="00900845">
        <w:t>more detailed</w:t>
      </w:r>
      <w:r w:rsidR="0067496D">
        <w:t xml:space="preserve"> form</w:t>
      </w:r>
      <w:r w:rsidR="00900845">
        <w:t xml:space="preserve"> annexed to his affidavit sworn 28 February 2022 and filed 3 March 2022 </w:t>
      </w:r>
      <w:r w:rsidR="00DD42D9">
        <w:t>in support of his application for an extension of time.</w:t>
      </w:r>
    </w:p>
    <w:p w14:paraId="16024B1D" w14:textId="77777777" w:rsidR="00570393" w:rsidRDefault="0067496D" w:rsidP="00570393">
      <w:pPr>
        <w:pStyle w:val="ParaNumbering"/>
      </w:pPr>
      <w:r>
        <w:t xml:space="preserve">The notice of appeal </w:t>
      </w:r>
      <w:r w:rsidR="00570393">
        <w:t>contains</w:t>
      </w:r>
      <w:r w:rsidR="007F4C56">
        <w:t xml:space="preserve"> a number of </w:t>
      </w:r>
      <w:r w:rsidR="00570393">
        <w:t>grounds</w:t>
      </w:r>
      <w:r w:rsidR="007F4C56">
        <w:t xml:space="preserve"> which fall into the following categories</w:t>
      </w:r>
      <w:r w:rsidR="00570393">
        <w:t>:</w:t>
      </w:r>
    </w:p>
    <w:p w14:paraId="710844A4" w14:textId="77777777" w:rsidR="00570393" w:rsidRDefault="00570393" w:rsidP="00171965">
      <w:pPr>
        <w:pStyle w:val="ListNo2"/>
      </w:pPr>
      <w:r>
        <w:t>(the primary judge) had a conflict of interest</w:t>
      </w:r>
      <w:r w:rsidR="0067496D">
        <w:t xml:space="preserve"> (ground 1)</w:t>
      </w:r>
      <w:r>
        <w:t>;</w:t>
      </w:r>
    </w:p>
    <w:p w14:paraId="653E2EC1" w14:textId="10C3FFC1" w:rsidR="00CA6EDB" w:rsidRDefault="00CA6EDB" w:rsidP="00171965">
      <w:pPr>
        <w:pStyle w:val="ListNo2"/>
      </w:pPr>
      <w:r>
        <w:lastRenderedPageBreak/>
        <w:t xml:space="preserve">(the primary judge) was biased  </w:t>
      </w:r>
      <w:r w:rsidR="00171965">
        <w:t>[</w:t>
      </w:r>
      <w:r w:rsidR="00A42E6A">
        <w:t>The appellant</w:t>
      </w:r>
      <w:r>
        <w:t xml:space="preserve"> did not make clear whether he alleges actual bias or apprehended bias or both</w:t>
      </w:r>
      <w:r w:rsidR="00171965">
        <w:t>]</w:t>
      </w:r>
      <w:r w:rsidR="0067496D">
        <w:t xml:space="preserve"> (grounds 2-14)</w:t>
      </w:r>
      <w:r>
        <w:t>;</w:t>
      </w:r>
      <w:r w:rsidR="00171965">
        <w:t xml:space="preserve"> and</w:t>
      </w:r>
    </w:p>
    <w:p w14:paraId="1D94809A" w14:textId="77777777" w:rsidR="00CA6EDB" w:rsidRDefault="00CA6EDB" w:rsidP="00171965">
      <w:pPr>
        <w:pStyle w:val="ListNo2"/>
      </w:pPr>
      <w:r>
        <w:t>(</w:t>
      </w:r>
      <w:proofErr w:type="gramStart"/>
      <w:r>
        <w:t>the</w:t>
      </w:r>
      <w:proofErr w:type="gramEnd"/>
      <w:r>
        <w:t xml:space="preserve"> primary judge) failed to give due consideration to all the evidence</w:t>
      </w:r>
      <w:r w:rsidR="0067496D">
        <w:t xml:space="preserve"> (ground 15)</w:t>
      </w:r>
      <w:r>
        <w:t>.</w:t>
      </w:r>
    </w:p>
    <w:p w14:paraId="6516494B" w14:textId="4A3747C2" w:rsidR="00CA6EDB" w:rsidRDefault="00CA6EDB" w:rsidP="00CA6EDB">
      <w:pPr>
        <w:pStyle w:val="ParaNumbering"/>
      </w:pPr>
      <w:r>
        <w:t xml:space="preserve">At the hearing of the appeal, </w:t>
      </w:r>
      <w:r w:rsidR="00A42E6A">
        <w:t>the appellant</w:t>
      </w:r>
      <w:r>
        <w:t xml:space="preserve"> was content to rely on his written submissions.  He was informed of his right to make oral submissions and </w:t>
      </w:r>
      <w:r w:rsidR="007E1D0D">
        <w:t xml:space="preserve">was </w:t>
      </w:r>
      <w:r>
        <w:t xml:space="preserve">encouraged to do </w:t>
      </w:r>
      <w:proofErr w:type="gramStart"/>
      <w:r>
        <w:t>so</w:t>
      </w:r>
      <w:r w:rsidR="00830DFA">
        <w:t>,</w:t>
      </w:r>
      <w:proofErr w:type="gramEnd"/>
      <w:r>
        <w:t xml:space="preserve"> however he reiterated that he relied upon his written submissions.</w:t>
      </w:r>
    </w:p>
    <w:p w14:paraId="2306A8AD" w14:textId="77777777" w:rsidR="00CA6EDB" w:rsidRDefault="00CA6EDB" w:rsidP="00CA6EDB">
      <w:pPr>
        <w:pStyle w:val="ParaNumbering"/>
      </w:pPr>
      <w:r>
        <w:t>The respondent had filed written submissions and made brief oral submissions.</w:t>
      </w:r>
    </w:p>
    <w:p w14:paraId="5181B3F0" w14:textId="77777777" w:rsidR="00CA6EDB" w:rsidRDefault="00900845" w:rsidP="00CA6EDB">
      <w:pPr>
        <w:pStyle w:val="Heading2"/>
      </w:pPr>
      <w:r>
        <w:t>The p</w:t>
      </w:r>
      <w:r w:rsidR="00D9149B">
        <w:t>rimary judge’s reasons</w:t>
      </w:r>
    </w:p>
    <w:p w14:paraId="77E0D5C7" w14:textId="77777777" w:rsidR="00CA6EDB" w:rsidRDefault="00171965" w:rsidP="00CA6EDB">
      <w:pPr>
        <w:pStyle w:val="ParaNumbering"/>
      </w:pPr>
      <w:r>
        <w:t>T</w:t>
      </w:r>
      <w:r w:rsidR="00CA6EDB">
        <w:t xml:space="preserve">he primary judge started by identifying the claim brought by </w:t>
      </w:r>
      <w:r w:rsidR="00A42E6A">
        <w:t>the appellant</w:t>
      </w:r>
      <w:r w:rsidR="00CA6EDB">
        <w:t xml:space="preserve"> under s</w:t>
      </w:r>
      <w:r w:rsidR="00217606">
        <w:t xml:space="preserve"> </w:t>
      </w:r>
      <w:r w:rsidR="00CA6EDB">
        <w:t>340</w:t>
      </w:r>
      <w:r w:rsidR="00217606">
        <w:t xml:space="preserve"> of the</w:t>
      </w:r>
      <w:r w:rsidR="00CA6EDB">
        <w:t xml:space="preserve"> FWA.  Her Honour </w:t>
      </w:r>
      <w:r w:rsidR="0067496D">
        <w:t>set out the relevant principles at R</w:t>
      </w:r>
      <w:r w:rsidR="00CA6EDB">
        <w:t>easons [4]-[15], specifically noting the provisions of s</w:t>
      </w:r>
      <w:r w:rsidR="00217606">
        <w:t xml:space="preserve"> </w:t>
      </w:r>
      <w:r w:rsidR="00CA6EDB">
        <w:t xml:space="preserve">361 </w:t>
      </w:r>
      <w:r w:rsidR="00217606">
        <w:t xml:space="preserve">of the </w:t>
      </w:r>
      <w:r w:rsidR="00CA6EDB">
        <w:t>FWA which provides:</w:t>
      </w:r>
    </w:p>
    <w:p w14:paraId="07761A19" w14:textId="77777777" w:rsidR="00E60C47" w:rsidRPr="00E60C47" w:rsidRDefault="00E60C47" w:rsidP="00E60C47">
      <w:pPr>
        <w:pStyle w:val="Quote1"/>
        <w:rPr>
          <w:b/>
          <w:sz w:val="24"/>
          <w:lang w:eastAsia="en-AU"/>
        </w:rPr>
      </w:pPr>
      <w:bookmarkStart w:id="24" w:name="_Toc84591945"/>
      <w:proofErr w:type="gramStart"/>
      <w:r w:rsidRPr="00E60C47">
        <w:rPr>
          <w:rStyle w:val="charsectno"/>
          <w:b/>
          <w:bCs/>
          <w:color w:val="000000"/>
        </w:rPr>
        <w:t>361</w:t>
      </w:r>
      <w:proofErr w:type="gramEnd"/>
      <w:r w:rsidRPr="00E60C47">
        <w:rPr>
          <w:b/>
        </w:rPr>
        <w:t xml:space="preserve"> Reason for action to be presumed unless proved otherwise</w:t>
      </w:r>
      <w:bookmarkEnd w:id="24"/>
    </w:p>
    <w:p w14:paraId="58D3ECA6" w14:textId="77777777" w:rsidR="00E60C47" w:rsidRDefault="00E60C47" w:rsidP="00E60C47">
      <w:pPr>
        <w:pStyle w:val="Quote1"/>
        <w:rPr>
          <w:szCs w:val="22"/>
        </w:rPr>
      </w:pPr>
      <w:r>
        <w:rPr>
          <w:szCs w:val="22"/>
        </w:rPr>
        <w:t>(1)</w:t>
      </w:r>
      <w:r>
        <w:rPr>
          <w:szCs w:val="22"/>
        </w:rPr>
        <w:tab/>
        <w:t>If:</w:t>
      </w:r>
    </w:p>
    <w:p w14:paraId="552A85A7" w14:textId="77777777" w:rsidR="00E60C47" w:rsidRDefault="00E60C47" w:rsidP="0095486E">
      <w:pPr>
        <w:pStyle w:val="Quote2"/>
        <w:ind w:left="2160" w:hanging="720"/>
      </w:pPr>
      <w:r>
        <w:t>(a)</w:t>
      </w:r>
      <w:r>
        <w:tab/>
      </w:r>
      <w:proofErr w:type="gramStart"/>
      <w:r>
        <w:t>in</w:t>
      </w:r>
      <w:proofErr w:type="gramEnd"/>
      <w:r>
        <w:t xml:space="preserve"> an application in relation to a contravention of this Part, it is alleged that a person took, or is taking, action for a particular reason or with a particular intent; and</w:t>
      </w:r>
    </w:p>
    <w:p w14:paraId="5B564057" w14:textId="77777777" w:rsidR="00E60C47" w:rsidRDefault="00E60C47" w:rsidP="0095486E">
      <w:pPr>
        <w:pStyle w:val="Quote2"/>
        <w:ind w:left="2160" w:hanging="720"/>
      </w:pPr>
      <w:r>
        <w:t>(b)</w:t>
      </w:r>
      <w:r>
        <w:tab/>
      </w:r>
      <w:proofErr w:type="gramStart"/>
      <w:r>
        <w:t>taking</w:t>
      </w:r>
      <w:proofErr w:type="gramEnd"/>
      <w:r>
        <w:t xml:space="preserve"> that action for that reason or with that intent would constitute a contravention of this Part;</w:t>
      </w:r>
    </w:p>
    <w:p w14:paraId="16EF404B" w14:textId="77777777" w:rsidR="00E60C47" w:rsidRDefault="00E60C47" w:rsidP="00E60C47">
      <w:pPr>
        <w:pStyle w:val="Quote1"/>
        <w:ind w:left="1418"/>
        <w:rPr>
          <w:szCs w:val="22"/>
        </w:rPr>
      </w:pPr>
      <w:proofErr w:type="gramStart"/>
      <w:r>
        <w:rPr>
          <w:szCs w:val="22"/>
        </w:rPr>
        <w:t>it</w:t>
      </w:r>
      <w:proofErr w:type="gramEnd"/>
      <w:r>
        <w:rPr>
          <w:szCs w:val="22"/>
        </w:rPr>
        <w:t xml:space="preserve"> is presumed that the action was, or is being, taken for that reason or with that intent, unless the person proves otherwise.</w:t>
      </w:r>
    </w:p>
    <w:p w14:paraId="73824C4B" w14:textId="4E846A45" w:rsidR="00E60C47" w:rsidRDefault="000E1D3E" w:rsidP="000E1D3E">
      <w:pPr>
        <w:pStyle w:val="ListNo1"/>
        <w:numPr>
          <w:ilvl w:val="0"/>
          <w:numId w:val="0"/>
        </w:numPr>
        <w:ind w:left="737"/>
      </w:pPr>
      <w:r w:rsidRPr="000E1D3E">
        <w:rPr>
          <w:sz w:val="22"/>
          <w:szCs w:val="22"/>
        </w:rPr>
        <w:t>(</w:t>
      </w:r>
      <w:r w:rsidRPr="000E1D3E">
        <w:rPr>
          <w:sz w:val="22"/>
        </w:rPr>
        <w:t>2</w:t>
      </w:r>
      <w:r>
        <w:t>)</w:t>
      </w:r>
      <w:r>
        <w:tab/>
      </w:r>
      <w:r w:rsidR="00E60C47">
        <w:t>Subsection (1) does not apply in relation to orders for an interim injunction.</w:t>
      </w:r>
    </w:p>
    <w:p w14:paraId="593EA076" w14:textId="77777777" w:rsidR="000E1D3E" w:rsidRDefault="000E1D3E" w:rsidP="000E1D3E">
      <w:pPr>
        <w:pStyle w:val="NoNum"/>
      </w:pPr>
    </w:p>
    <w:p w14:paraId="68B5CB49" w14:textId="2D3D6399" w:rsidR="00CA6EDB" w:rsidRDefault="00217606" w:rsidP="00CA6EDB">
      <w:pPr>
        <w:pStyle w:val="ParaNumbering"/>
      </w:pPr>
      <w:r>
        <w:t>H</w:t>
      </w:r>
      <w:r w:rsidR="00CA6EDB">
        <w:t xml:space="preserve">er Honour identified that the effect of s 361 is that the respondent employer has the onus of establishing that on the balance of probabilities the adverse action taken against </w:t>
      </w:r>
      <w:r w:rsidR="00A42E6A">
        <w:t>the appellant</w:t>
      </w:r>
      <w:r w:rsidR="00CA6EDB">
        <w:t xml:space="preserve"> </w:t>
      </w:r>
      <w:proofErr w:type="gramStart"/>
      <w:r w:rsidR="00CA6EDB">
        <w:t>was no</w:t>
      </w:r>
      <w:r w:rsidR="004B724A">
        <w:t>t taken</w:t>
      </w:r>
      <w:proofErr w:type="gramEnd"/>
      <w:r w:rsidR="004B724A">
        <w:t xml:space="preserve"> for a prescribed reason</w:t>
      </w:r>
      <w:r w:rsidR="009A3BB9">
        <w:t>:</w:t>
      </w:r>
      <w:r w:rsidR="003A3240">
        <w:t xml:space="preserve">  </w:t>
      </w:r>
      <w:r w:rsidR="009C6CBE">
        <w:t>Reasons [10]</w:t>
      </w:r>
      <w:r w:rsidR="004B724A">
        <w:t>.</w:t>
      </w:r>
      <w:r w:rsidR="00CA6EDB">
        <w:t xml:space="preserve">  </w:t>
      </w:r>
      <w:proofErr w:type="gramStart"/>
      <w:r w:rsidR="00CA6EDB">
        <w:t>In so d</w:t>
      </w:r>
      <w:r>
        <w:t>oing, her H</w:t>
      </w:r>
      <w:r w:rsidR="00CA6EDB">
        <w:t>onour referred to the observations of Mason J (as his Honour then was) in relation to the predecessor to s</w:t>
      </w:r>
      <w:r>
        <w:t xml:space="preserve"> </w:t>
      </w:r>
      <w:r w:rsidR="00CA6EDB">
        <w:t xml:space="preserve">361 in </w:t>
      </w:r>
      <w:r w:rsidR="00CA6EDB" w:rsidRPr="00CA6EDB">
        <w:rPr>
          <w:i/>
        </w:rPr>
        <w:t xml:space="preserve">General Motors-Holden Pty Ltd v Bowling </w:t>
      </w:r>
      <w:r w:rsidR="00CA6EDB">
        <w:t xml:space="preserve">(1976) 12 ALR 605, 617 and of French CJ and </w:t>
      </w:r>
      <w:proofErr w:type="spellStart"/>
      <w:r w:rsidR="00CA6EDB">
        <w:t>Crennan</w:t>
      </w:r>
      <w:proofErr w:type="spellEnd"/>
      <w:r w:rsidR="00CA6EDB">
        <w:t xml:space="preserve"> J in </w:t>
      </w:r>
      <w:r w:rsidR="00CA6EDB" w:rsidRPr="00CA6EDB">
        <w:rPr>
          <w:i/>
        </w:rPr>
        <w:t xml:space="preserve">Board of Bendigo Regional Institute of Technical and Further </w:t>
      </w:r>
      <w:r w:rsidR="007E1D0D">
        <w:rPr>
          <w:i/>
        </w:rPr>
        <w:t>Education</w:t>
      </w:r>
      <w:r w:rsidR="00B77F7D" w:rsidRPr="00B77F7D">
        <w:rPr>
          <w:i/>
        </w:rPr>
        <w:t xml:space="preserve"> v Barclay</w:t>
      </w:r>
      <w:r w:rsidR="007E1D0D">
        <w:rPr>
          <w:i/>
        </w:rPr>
        <w:t xml:space="preserve"> </w:t>
      </w:r>
      <w:r w:rsidR="007E1D0D" w:rsidRPr="00B77F7D">
        <w:rPr>
          <w:i/>
        </w:rPr>
        <w:t>[No 1]</w:t>
      </w:r>
      <w:r w:rsidR="007E1D0D">
        <w:t xml:space="preserve"> </w:t>
      </w:r>
      <w:r w:rsidR="00830DFA">
        <w:t xml:space="preserve">[2012] HCA 32; </w:t>
      </w:r>
      <w:r w:rsidR="00CA6EDB">
        <w:t xml:space="preserve">(2012) 248 CLR 500, 517 </w:t>
      </w:r>
      <w:r>
        <w:t xml:space="preserve">at </w:t>
      </w:r>
      <w:r w:rsidR="00CA6EDB">
        <w:t>[44], [45].</w:t>
      </w:r>
      <w:proofErr w:type="gramEnd"/>
      <w:r w:rsidR="00CA6EDB">
        <w:t xml:space="preserve">  In the latter case, their Honours said:</w:t>
      </w:r>
    </w:p>
    <w:p w14:paraId="21449B0B" w14:textId="77777777" w:rsidR="004614FC" w:rsidRPr="00CC3DC5" w:rsidRDefault="004614FC" w:rsidP="004614FC">
      <w:pPr>
        <w:pStyle w:val="Quote1"/>
        <w:ind w:left="1440" w:hanging="703"/>
      </w:pPr>
      <w:r w:rsidRPr="00CC3DC5">
        <w:t>44.</w:t>
      </w:r>
      <w:r w:rsidRPr="00CC3DC5">
        <w:tab/>
        <w:t xml:space="preserve">There is no warrant to </w:t>
      </w:r>
      <w:proofErr w:type="gramStart"/>
      <w:r w:rsidRPr="00CC3DC5">
        <w:t>be derived</w:t>
      </w:r>
      <w:proofErr w:type="gramEnd"/>
      <w:r w:rsidRPr="00CC3DC5">
        <w:t xml:space="preserve"> from the text of the relevant provisions of </w:t>
      </w:r>
      <w:r w:rsidRPr="00CC3DC5">
        <w:lastRenderedPageBreak/>
        <w:t xml:space="preserve">the </w:t>
      </w:r>
      <w:r w:rsidRPr="00CC3DC5">
        <w:rPr>
          <w:i/>
        </w:rPr>
        <w:t>Fair Work Act</w:t>
      </w:r>
      <w:r w:rsidRPr="00CC3DC5">
        <w:t xml:space="preserve"> for treating the statutory expression “because” in s 346, or the statutory presumption in s 361, as requiring only an objective enquiry into a defendant employer’s reason, including any unconscious reason, for taking adverse action. The imposition of the statutory presumption in s 361, and the correlative onus on employers, naturally and ordinarily mean that direct evidence of a decision-maker as to state of mind, intent or purpose will bear upon the question of why adverse action </w:t>
      </w:r>
      <w:proofErr w:type="gramStart"/>
      <w:r w:rsidRPr="00CC3DC5">
        <w:t>was taken</w:t>
      </w:r>
      <w:proofErr w:type="gramEnd"/>
      <w:r w:rsidRPr="00CC3DC5">
        <w:t>, although the central question remains “why was the adverse action taken?”</w:t>
      </w:r>
    </w:p>
    <w:p w14:paraId="5FFCC192" w14:textId="695E291E" w:rsidR="004614FC" w:rsidRDefault="004614FC" w:rsidP="004614FC">
      <w:pPr>
        <w:pStyle w:val="Quote1"/>
        <w:ind w:left="1440" w:hanging="703"/>
      </w:pPr>
      <w:r w:rsidRPr="00CC3DC5">
        <w:t>45.</w:t>
      </w:r>
      <w:r w:rsidRPr="00CC3DC5">
        <w:tab/>
        <w:t xml:space="preserve">This question is one of fact, which </w:t>
      </w:r>
      <w:proofErr w:type="gramStart"/>
      <w:r w:rsidRPr="00CC3DC5">
        <w:t>must be answered</w:t>
      </w:r>
      <w:proofErr w:type="gramEnd"/>
      <w:r w:rsidRPr="00CC3DC5">
        <w:t xml:space="preserve"> in the light of all the facts established in the proceeding. Generally, it will be extremely difficult to displace the statutory presumption in s 361 if </w:t>
      </w:r>
      <w:proofErr w:type="gramStart"/>
      <w:r w:rsidRPr="00CC3DC5">
        <w:t>no direct testimony is given by the decision-maker acting on behalf of the employer</w:t>
      </w:r>
      <w:proofErr w:type="gramEnd"/>
      <w:r w:rsidRPr="00CC3DC5">
        <w:t xml:space="preserve">. Direct evidence of the reason why a decision-maker took adverse action, which may include positive evidence that the action </w:t>
      </w:r>
      <w:proofErr w:type="gramStart"/>
      <w:r w:rsidRPr="00CC3DC5">
        <w:t>was not taken</w:t>
      </w:r>
      <w:proofErr w:type="gramEnd"/>
      <w:r w:rsidRPr="00CC3DC5">
        <w:t xml:space="preserve"> for a prohibited reason, may be unreliable because of other contradictory evidence given by the decision-maker or because other objective facts are proven which contradict the decision-maker’s evidence. However, direct testimony from the decision-</w:t>
      </w:r>
      <w:proofErr w:type="gramStart"/>
      <w:r w:rsidRPr="00CC3DC5">
        <w:t>maker which is accepted as reliable</w:t>
      </w:r>
      <w:proofErr w:type="gramEnd"/>
      <w:r w:rsidRPr="00CC3DC5">
        <w:t xml:space="preserve"> is capable of discharging the burden upon an employer even though an employee may be an officer or member of an industrial association and engage in industrial activity.</w:t>
      </w:r>
    </w:p>
    <w:p w14:paraId="03CD40EA" w14:textId="25BE9DB5" w:rsidR="00552802" w:rsidRDefault="00552802" w:rsidP="004614FC">
      <w:pPr>
        <w:pStyle w:val="Quote1"/>
        <w:ind w:left="1440" w:hanging="703"/>
      </w:pPr>
      <w:r>
        <w:t>(Citations omitted)</w:t>
      </w:r>
    </w:p>
    <w:p w14:paraId="1CB4DF9B" w14:textId="77777777" w:rsidR="000E1D3E" w:rsidRDefault="000E1D3E" w:rsidP="000E1D3E">
      <w:pPr>
        <w:pStyle w:val="NoNum"/>
      </w:pPr>
    </w:p>
    <w:p w14:paraId="7E9AF04D" w14:textId="3FB713F3" w:rsidR="00B77F7D" w:rsidRDefault="00217606" w:rsidP="00B77F7D">
      <w:pPr>
        <w:pStyle w:val="ParaNumbering"/>
      </w:pPr>
      <w:proofErr w:type="gramStart"/>
      <w:r>
        <w:t>H</w:t>
      </w:r>
      <w:r w:rsidR="00B77F7D">
        <w:t>aving re</w:t>
      </w:r>
      <w:r>
        <w:t>ferred to those decisions, her H</w:t>
      </w:r>
      <w:r w:rsidR="00B77F7D">
        <w:t>onour stated, c</w:t>
      </w:r>
      <w:r>
        <w:t>orrectly with respect, that the C</w:t>
      </w:r>
      <w:r w:rsidR="00B77F7D">
        <w:t xml:space="preserve">ourt must have regard to the circumstances advanced by </w:t>
      </w:r>
      <w:r w:rsidR="00A42E6A">
        <w:t>the appellant</w:t>
      </w:r>
      <w:r w:rsidR="00B77F7D">
        <w:t xml:space="preserve"> as being the reason (or at least a reason amongst others) for his termin</w:t>
      </w:r>
      <w:r w:rsidR="00900845">
        <w:t xml:space="preserve">ation such that the case to be </w:t>
      </w:r>
      <w:r>
        <w:t>proved by the respondent is that</w:t>
      </w:r>
      <w:r w:rsidR="00B77F7D">
        <w:t xml:space="preserve"> the adverse action taken by it against </w:t>
      </w:r>
      <w:r w:rsidR="00A42E6A">
        <w:t>the appellant</w:t>
      </w:r>
      <w:r w:rsidR="00B77F7D">
        <w:t xml:space="preserve"> was not for a proscribed reason.</w:t>
      </w:r>
      <w:proofErr w:type="gramEnd"/>
      <w:r w:rsidR="00EF7FE1">
        <w:t xml:space="preserve"> </w:t>
      </w:r>
      <w:r w:rsidR="003A3240">
        <w:t xml:space="preserve"> </w:t>
      </w:r>
      <w:r w:rsidR="00EF7FE1">
        <w:t>No ground of appeal asserted any error of law</w:t>
      </w:r>
      <w:r w:rsidR="003A3240">
        <w:t xml:space="preserve">.  We accept that the </w:t>
      </w:r>
      <w:r w:rsidR="00EF7FE1">
        <w:t>primary judge’s statement of the applicable legal principles was correct.</w:t>
      </w:r>
    </w:p>
    <w:p w14:paraId="1901BA41" w14:textId="77777777" w:rsidR="00B77F7D" w:rsidRDefault="00217606" w:rsidP="002E03E5">
      <w:pPr>
        <w:pStyle w:val="Heading2"/>
      </w:pPr>
      <w:r>
        <w:t>Uncontroversial matters</w:t>
      </w:r>
    </w:p>
    <w:p w14:paraId="725301E3" w14:textId="45C8C39B" w:rsidR="00900845" w:rsidRDefault="00B77F7D" w:rsidP="00B77F7D">
      <w:pPr>
        <w:pStyle w:val="ParaNumbering"/>
      </w:pPr>
      <w:r>
        <w:t>Her Honour dealt with a number of facts</w:t>
      </w:r>
      <w:r w:rsidR="00217606">
        <w:t>,</w:t>
      </w:r>
      <w:r>
        <w:t xml:space="preserve"> which </w:t>
      </w:r>
      <w:r w:rsidR="00900845" w:rsidRPr="00900845">
        <w:t xml:space="preserve">she </w:t>
      </w:r>
      <w:r>
        <w:t>described as uncontroversial</w:t>
      </w:r>
      <w:r w:rsidR="00D9149B">
        <w:t>:  Reasons</w:t>
      </w:r>
      <w:r w:rsidR="00900845">
        <w:t xml:space="preserve"> [17]-[</w:t>
      </w:r>
      <w:r w:rsidR="00830DFA">
        <w:t>2</w:t>
      </w:r>
      <w:r w:rsidR="00900845">
        <w:t>8].  T</w:t>
      </w:r>
      <w:r>
        <w:t>here is no appeal against her Honour</w:t>
      </w:r>
      <w:r w:rsidR="00217606">
        <w:t>’s</w:t>
      </w:r>
      <w:r>
        <w:t xml:space="preserve"> finding</w:t>
      </w:r>
      <w:r w:rsidR="00217606">
        <w:t>s</w:t>
      </w:r>
      <w:r>
        <w:t xml:space="preserve"> that thos</w:t>
      </w:r>
      <w:r w:rsidR="00900845">
        <w:t>e matters were uncontroversial.</w:t>
      </w:r>
    </w:p>
    <w:p w14:paraId="757C5D18" w14:textId="77777777" w:rsidR="00B77F7D" w:rsidRDefault="00B77F7D" w:rsidP="00B77F7D">
      <w:pPr>
        <w:pStyle w:val="ParaNumbering"/>
      </w:pPr>
      <w:r>
        <w:t>Relevantly for the purposes of this appeal, her Honour found the following</w:t>
      </w:r>
      <w:r w:rsidR="002E03E5">
        <w:t>:</w:t>
      </w:r>
    </w:p>
    <w:p w14:paraId="3F0C56D5" w14:textId="77777777" w:rsidR="008E6975" w:rsidRDefault="008E6975" w:rsidP="008E6975">
      <w:pPr>
        <w:pStyle w:val="Quote1"/>
        <w:ind w:left="1440" w:hanging="703"/>
      </w:pPr>
      <w:r>
        <w:t>17.</w:t>
      </w:r>
      <w:r>
        <w:tab/>
        <w:t xml:space="preserve">The </w:t>
      </w:r>
      <w:r w:rsidRPr="00E43E68">
        <w:rPr>
          <w:b/>
        </w:rPr>
        <w:t>School</w:t>
      </w:r>
      <w:r>
        <w:t xml:space="preserve"> of Health Sciences within the University provides education and training at a tertiary level to students in allied health and related fields of study.  For teaching purposes, it keeps human cadavers and body parts principally for the demonstration of anatomy.  They </w:t>
      </w:r>
      <w:proofErr w:type="gramStart"/>
      <w:r>
        <w:t>may be referred</w:t>
      </w:r>
      <w:proofErr w:type="gramEnd"/>
      <w:r>
        <w:t xml:space="preserve"> to as “Specimens”.</w:t>
      </w:r>
    </w:p>
    <w:p w14:paraId="576BFF9F" w14:textId="77777777" w:rsidR="008E6975" w:rsidRDefault="008E6975" w:rsidP="008E6975">
      <w:pPr>
        <w:pStyle w:val="Quote1"/>
        <w:ind w:left="1440" w:hanging="703"/>
      </w:pPr>
      <w:r>
        <w:t>18.</w:t>
      </w:r>
      <w:r>
        <w:tab/>
        <w:t xml:space="preserve">There are two “wet laboratories” on separate floors within the anatomy division of the School for the demonstration of anatomy to students.  The wet laboratories are closed hygienic spaces kept at a temperature of 16 degrees or lower and </w:t>
      </w:r>
      <w:proofErr w:type="gramStart"/>
      <w:r>
        <w:t>are conducted</w:t>
      </w:r>
      <w:proofErr w:type="gramEnd"/>
      <w:r>
        <w:t xml:space="preserve"> pursuant to a licence issued by the government agency </w:t>
      </w:r>
      <w:r>
        <w:lastRenderedPageBreak/>
        <w:t xml:space="preserve">SA Health.  The School obtains advice from the School of Microbiology in relation to the care and maintenance of the Specimens.  The temperature in the laboratory and associated spaces </w:t>
      </w:r>
      <w:proofErr w:type="gramStart"/>
      <w:r>
        <w:t>is externally monitored</w:t>
      </w:r>
      <w:proofErr w:type="gramEnd"/>
      <w:r>
        <w:t>, usually resulting in a security alert if the temperature rises.</w:t>
      </w:r>
    </w:p>
    <w:p w14:paraId="653A5339" w14:textId="77777777" w:rsidR="008E6975" w:rsidRDefault="008E6975" w:rsidP="008E6975">
      <w:pPr>
        <w:pStyle w:val="Quote1"/>
        <w:ind w:left="1440" w:hanging="703"/>
      </w:pPr>
      <w:r>
        <w:t>19.</w:t>
      </w:r>
      <w:r>
        <w:tab/>
        <w:t xml:space="preserve">The Specimens were stored in rooms adjacent to each wet laboratory known as “wet rooms”.  To avoid confusion, I will refer each wet room as a specimen storage room.  Access to each specimen storage room was limited to personnel who carried an electronic access card.  Such access </w:t>
      </w:r>
      <w:proofErr w:type="gramStart"/>
      <w:r>
        <w:t>was monitored</w:t>
      </w:r>
      <w:proofErr w:type="gramEnd"/>
      <w:r>
        <w:t xml:space="preserve"> by facilities personnel situated elsewhere within the University.</w:t>
      </w:r>
    </w:p>
    <w:p w14:paraId="09979118" w14:textId="77777777" w:rsidR="008E6975" w:rsidRDefault="008E6975" w:rsidP="008E6975">
      <w:pPr>
        <w:pStyle w:val="Quote1"/>
        <w:ind w:left="1440" w:hanging="703"/>
      </w:pPr>
      <w:r>
        <w:t>20.</w:t>
      </w:r>
      <w:r>
        <w:tab/>
        <w:t xml:space="preserve">In January 2019, the air conditioning in a specimen storage room failed </w:t>
      </w:r>
      <w:r w:rsidRPr="00591A6F">
        <w:t>during a heatwave</w:t>
      </w:r>
      <w:r>
        <w:t xml:space="preserve">.  Temperatures rose to 21 degrees for a day, resulting in a yeast infection affecting the Specimens then in the University’s possession and the destruction of the entire collection.  Replacement Specimens </w:t>
      </w:r>
      <w:proofErr w:type="gramStart"/>
      <w:r>
        <w:t>were acquired</w:t>
      </w:r>
      <w:proofErr w:type="gramEnd"/>
      <w:r>
        <w:t xml:space="preserve"> in April 2019 from the University of Adelaide, where they had been embalmed.</w:t>
      </w:r>
    </w:p>
    <w:p w14:paraId="16A601F7" w14:textId="77777777" w:rsidR="008E6975" w:rsidRDefault="008E6975" w:rsidP="008E6975">
      <w:pPr>
        <w:pStyle w:val="Quote1"/>
        <w:ind w:left="1440" w:hanging="703"/>
      </w:pPr>
      <w:r>
        <w:t>21.</w:t>
      </w:r>
      <w:r>
        <w:tab/>
        <w:t xml:space="preserve">Following that incident, changes were made to a Procedural </w:t>
      </w:r>
      <w:proofErr w:type="gramStart"/>
      <w:r>
        <w:t>Manual which</w:t>
      </w:r>
      <w:proofErr w:type="gramEnd"/>
      <w:r>
        <w:t xml:space="preserve"> specified the tasks to be undertaken by staff in the laboratories and the manner and frequency of their performance.  Among the newly introduced procedures was a requirement of monthly swabbing of the Specimens to check for bacteria or other infection.  At the time of Mr Parry’s employment, that monthly task </w:t>
      </w:r>
      <w:proofErr w:type="gramStart"/>
      <w:r>
        <w:t>was allocated</w:t>
      </w:r>
      <w:proofErr w:type="gramEnd"/>
      <w:r>
        <w:t xml:space="preserve"> to his colleague Ms Candice Grubb.</w:t>
      </w:r>
    </w:p>
    <w:p w14:paraId="79A615B4" w14:textId="77777777" w:rsidR="008E6975" w:rsidRPr="00703349" w:rsidRDefault="008E6975" w:rsidP="008E6975">
      <w:pPr>
        <w:pStyle w:val="Quote1"/>
        <w:ind w:left="1440" w:hanging="703"/>
      </w:pPr>
      <w:r>
        <w:t>22.</w:t>
      </w:r>
      <w:r>
        <w:tab/>
      </w:r>
      <w:r w:rsidRPr="00703349">
        <w:t xml:space="preserve">Mr Parry </w:t>
      </w:r>
      <w:proofErr w:type="gramStart"/>
      <w:r w:rsidRPr="00703349">
        <w:t>was employed</w:t>
      </w:r>
      <w:proofErr w:type="gramEnd"/>
      <w:r w:rsidRPr="00703349">
        <w:t xml:space="preserve"> by the University under a series of </w:t>
      </w:r>
      <w:r>
        <w:t xml:space="preserve">short-term </w:t>
      </w:r>
      <w:r w:rsidRPr="00703349">
        <w:t xml:space="preserve">casual employment contracts from 7 May 2019.  Were it not for his dismissal, the latest of Mr Parry’s casual employment contracts would have expired on 3 March 2020.  He </w:t>
      </w:r>
      <w:proofErr w:type="gramStart"/>
      <w:r w:rsidRPr="00703349">
        <w:t>was employed</w:t>
      </w:r>
      <w:proofErr w:type="gramEnd"/>
      <w:r w:rsidRPr="00703349">
        <w:t xml:space="preserve"> in the position of “Technical Officer” to provide laboratory support within the School at a rate of $41.97 per hour.  The employment agreement provided that either party may terminate the contract by giving not less than twenty-four hours’ notice to the other or, in the case of the University, payment in lieu of such notice.</w:t>
      </w:r>
    </w:p>
    <w:p w14:paraId="739B8456" w14:textId="77777777" w:rsidR="008E6975" w:rsidRDefault="008E6975" w:rsidP="008E6975">
      <w:pPr>
        <w:pStyle w:val="Quote1"/>
        <w:ind w:left="1440" w:hanging="703"/>
      </w:pPr>
      <w:r>
        <w:t>23.</w:t>
      </w:r>
      <w:r>
        <w:tab/>
        <w:t xml:space="preserve">Mr Parry’s position </w:t>
      </w:r>
      <w:proofErr w:type="gramStart"/>
      <w:r>
        <w:t>was not advertised</w:t>
      </w:r>
      <w:proofErr w:type="gramEnd"/>
      <w:r>
        <w:t xml:space="preserve">.  Prior to his employment, </w:t>
      </w:r>
      <w:r w:rsidRPr="00EC0985">
        <w:t>Dr</w:t>
      </w:r>
      <w:r>
        <w:t xml:space="preserve"> Nicola </w:t>
      </w:r>
      <w:r w:rsidRPr="00EC0985">
        <w:t>Massy-</w:t>
      </w:r>
      <w:proofErr w:type="spellStart"/>
      <w:r w:rsidRPr="00EC0985">
        <w:t>Westropp</w:t>
      </w:r>
      <w:proofErr w:type="spellEnd"/>
      <w:r>
        <w:t xml:space="preserve"> had met him on two occasions and had become aware of work he had done at Flinders University preparing and preserving animal bones.  Mr Parry underwent training specific to the wet laboratories, delivered partly by Ms Grubb.</w:t>
      </w:r>
    </w:p>
    <w:p w14:paraId="3030D174" w14:textId="77777777" w:rsidR="008E6975" w:rsidRDefault="008E6975" w:rsidP="008E6975">
      <w:pPr>
        <w:pStyle w:val="Quote1"/>
        <w:ind w:left="1440" w:hanging="703"/>
      </w:pPr>
      <w:r>
        <w:t>24.</w:t>
      </w:r>
      <w:r>
        <w:tab/>
        <w:t xml:space="preserve">Mr Parry’s duties included the handling of the Specimens, particularly to ensure that they were properly maintained </w:t>
      </w:r>
      <w:proofErr w:type="gramStart"/>
      <w:r>
        <w:t>so as to</w:t>
      </w:r>
      <w:proofErr w:type="gramEnd"/>
      <w:r>
        <w:t xml:space="preserve"> remain useful for the University’s teaching purposes.</w:t>
      </w:r>
    </w:p>
    <w:p w14:paraId="5BE00C81" w14:textId="77777777" w:rsidR="008E6975" w:rsidRDefault="008E6975" w:rsidP="008E6975">
      <w:pPr>
        <w:pStyle w:val="Quote1"/>
        <w:ind w:left="1440" w:hanging="703"/>
      </w:pPr>
      <w:r>
        <w:t>25.</w:t>
      </w:r>
      <w:r>
        <w:tab/>
        <w:t xml:space="preserve">Upon the commencement of his employment, Mr Parry </w:t>
      </w:r>
      <w:proofErr w:type="gramStart"/>
      <w:r>
        <w:t>was provided</w:t>
      </w:r>
      <w:proofErr w:type="gramEnd"/>
      <w:r>
        <w:t xml:space="preserve"> with the Procedure Manual.  It contained a table specifying the tasks to </w:t>
      </w:r>
      <w:proofErr w:type="gramStart"/>
      <w:r>
        <w:t>be performed</w:t>
      </w:r>
      <w:proofErr w:type="gramEnd"/>
      <w:r>
        <w:t xml:space="preserve"> by him, the frequency of the task and to some extent the manner in which the task was to be performed.  Mr Parry was one of two Technical Officers undertaking the same duties in caring for Specimens stored in two different parts of the workplace.  The other Technical Officer was Ms Grubb.</w:t>
      </w:r>
    </w:p>
    <w:p w14:paraId="3D4CA800" w14:textId="77777777" w:rsidR="008E6975" w:rsidRDefault="008E6975" w:rsidP="008E6975">
      <w:pPr>
        <w:pStyle w:val="Quote1"/>
        <w:ind w:left="1440" w:hanging="703"/>
      </w:pPr>
      <w:r>
        <w:t>26.</w:t>
      </w:r>
      <w:r>
        <w:tab/>
        <w:t>By the time that Mr Parry commenced his employment, a concern had arisen that the Specimens were omitting unsafe levels of formaldehyde.  As explained below, during the course of his employment, Mr Parry expressed his concern about the issue, as well as his dissatisfaction with the University’s response to it.</w:t>
      </w:r>
    </w:p>
    <w:p w14:paraId="40D5DA7F" w14:textId="77777777" w:rsidR="008E6975" w:rsidRPr="00703349" w:rsidRDefault="008E6975" w:rsidP="008E6975">
      <w:pPr>
        <w:pStyle w:val="Quote1"/>
        <w:ind w:left="1440" w:hanging="703"/>
      </w:pPr>
      <w:proofErr w:type="gramStart"/>
      <w:r>
        <w:t>27.</w:t>
      </w:r>
      <w:r>
        <w:tab/>
      </w:r>
      <w:r w:rsidRPr="00703349">
        <w:t>Mr Parry’s employment was terminated by his manager</w:t>
      </w:r>
      <w:r>
        <w:t>,</w:t>
      </w:r>
      <w:r w:rsidRPr="00703349">
        <w:t xml:space="preserve"> Dr Massy-</w:t>
      </w:r>
      <w:proofErr w:type="spellStart"/>
      <w:r w:rsidRPr="00703349">
        <w:t>Westropp</w:t>
      </w:r>
      <w:proofErr w:type="spellEnd"/>
      <w:r>
        <w:t>,</w:t>
      </w:r>
      <w:proofErr w:type="gramEnd"/>
      <w:r w:rsidRPr="00703349">
        <w:t xml:space="preserve"> </w:t>
      </w:r>
      <w:r w:rsidRPr="00703349">
        <w:lastRenderedPageBreak/>
        <w:t>on 8 October 2019.</w:t>
      </w:r>
    </w:p>
    <w:p w14:paraId="672C1373" w14:textId="3991022E" w:rsidR="008E6975" w:rsidRDefault="008E6975" w:rsidP="008E6975">
      <w:pPr>
        <w:pStyle w:val="Quote1"/>
        <w:ind w:left="1440" w:hanging="703"/>
      </w:pPr>
      <w:r>
        <w:t>28.</w:t>
      </w:r>
      <w:r>
        <w:tab/>
        <w:t>For two weeks prior to that time, Mr Parry had not entered the room in which the Specimens under his care were stored and had not undertaken tasks for their hydration and care as specified in the Procedure Manual.  The reasons for his failure to do so are critical to the resolution of his claims.</w:t>
      </w:r>
    </w:p>
    <w:p w14:paraId="0B0D7329" w14:textId="77777777" w:rsidR="000E1D3E" w:rsidRDefault="000E1D3E" w:rsidP="000E1D3E">
      <w:pPr>
        <w:pStyle w:val="NoNum"/>
      </w:pPr>
    </w:p>
    <w:p w14:paraId="20F31066" w14:textId="5B62BA31" w:rsidR="002E03E5" w:rsidRDefault="00A42E6A" w:rsidP="00B77F7D">
      <w:pPr>
        <w:pStyle w:val="ParaNumbering"/>
      </w:pPr>
      <w:r>
        <w:t>Next, her H</w:t>
      </w:r>
      <w:r w:rsidR="002E03E5">
        <w:t>onour dealt with the</w:t>
      </w:r>
      <w:r w:rsidR="009C6CBE">
        <w:t xml:space="preserve"> appellant’s</w:t>
      </w:r>
      <w:r w:rsidR="002E03E5">
        <w:t xml:space="preserve"> originating application and</w:t>
      </w:r>
      <w:r w:rsidR="002E03E5" w:rsidRPr="009C6CBE">
        <w:t xml:space="preserve"> </w:t>
      </w:r>
      <w:r w:rsidR="0079578D">
        <w:t>concise statement.  Her H</w:t>
      </w:r>
      <w:r w:rsidR="002E03E5">
        <w:t xml:space="preserve">onour referred to </w:t>
      </w:r>
      <w:r>
        <w:t xml:space="preserve">the </w:t>
      </w:r>
      <w:proofErr w:type="gramStart"/>
      <w:r>
        <w:t>appellant’s</w:t>
      </w:r>
      <w:proofErr w:type="gramEnd"/>
      <w:r w:rsidR="002E03E5">
        <w:t xml:space="preserve"> originating application </w:t>
      </w:r>
      <w:r>
        <w:t xml:space="preserve">in </w:t>
      </w:r>
      <w:r w:rsidR="002E03E5">
        <w:t>which</w:t>
      </w:r>
      <w:r w:rsidR="00900845">
        <w:t xml:space="preserve"> he</w:t>
      </w:r>
      <w:r w:rsidR="004012D5">
        <w:t xml:space="preserve"> claims he “… was dismissed for</w:t>
      </w:r>
      <w:r w:rsidR="002E03E5">
        <w:t xml:space="preserve"> exe</w:t>
      </w:r>
      <w:r w:rsidR="008D395E">
        <w:t>rcising a workplace right (an O</w:t>
      </w:r>
      <w:r w:rsidR="002E03E5">
        <w:t>H &amp; S right) to take reasonable care to protect my own health and safety at work”.</w:t>
      </w:r>
    </w:p>
    <w:p w14:paraId="27C8E8EE" w14:textId="77777777" w:rsidR="00616137" w:rsidRDefault="002E03E5" w:rsidP="00B77F7D">
      <w:pPr>
        <w:pStyle w:val="ParaNumbering"/>
      </w:pPr>
      <w:r>
        <w:t xml:space="preserve">Her Honour </w:t>
      </w:r>
      <w:proofErr w:type="gramStart"/>
      <w:r>
        <w:t>made</w:t>
      </w:r>
      <w:r w:rsidR="00616137">
        <w:t xml:space="preserve"> the observation</w:t>
      </w:r>
      <w:proofErr w:type="gramEnd"/>
      <w:r w:rsidR="00616137">
        <w:t xml:space="preserve">, amongst other things, that in </w:t>
      </w:r>
      <w:r w:rsidR="00A42E6A">
        <w:t>the appellant</w:t>
      </w:r>
      <w:r w:rsidR="00616137">
        <w:t xml:space="preserve">’s originating application, the claim is confined to an allegation of a contravention of s 340 </w:t>
      </w:r>
      <w:r w:rsidR="008D395E">
        <w:t xml:space="preserve">of the </w:t>
      </w:r>
      <w:r w:rsidR="00616137">
        <w:t xml:space="preserve">FWA: </w:t>
      </w:r>
      <w:r w:rsidR="008D395E">
        <w:t xml:space="preserve"> </w:t>
      </w:r>
      <w:r w:rsidR="00616137">
        <w:t>Reasons</w:t>
      </w:r>
      <w:r w:rsidR="00D9149B">
        <w:t xml:space="preserve"> </w:t>
      </w:r>
      <w:r w:rsidR="00616137">
        <w:t>[31].</w:t>
      </w:r>
    </w:p>
    <w:p w14:paraId="619CBE10" w14:textId="1141C21C" w:rsidR="00A52AA0" w:rsidRDefault="00616137" w:rsidP="00616137">
      <w:pPr>
        <w:pStyle w:val="ParaNumbering"/>
      </w:pPr>
      <w:r>
        <w:t>The primary judge also set out that in the concise statement</w:t>
      </w:r>
      <w:r w:rsidR="008D395E">
        <w:t>,</w:t>
      </w:r>
      <w:r>
        <w:t xml:space="preserve"> which accompanied the originating application, </w:t>
      </w:r>
      <w:r w:rsidR="00A42E6A">
        <w:t>the appellant</w:t>
      </w:r>
      <w:r>
        <w:t xml:space="preserve"> alle</w:t>
      </w:r>
      <w:r w:rsidR="008D395E">
        <w:t>ged the respondent had taken in</w:t>
      </w:r>
      <w:r w:rsidR="004012D5">
        <w:t>adequate steps to ensure the appellant’s</w:t>
      </w:r>
      <w:r>
        <w:t xml:space="preserve"> health and safety at work, specifically in rel</w:t>
      </w:r>
      <w:r w:rsidR="008D395E">
        <w:t>ation to levels of formaldehyde</w:t>
      </w:r>
      <w:r>
        <w:t xml:space="preserve"> to which he was exposed.  In the concise statement, </w:t>
      </w:r>
      <w:r w:rsidR="00A42E6A">
        <w:t>the appellant</w:t>
      </w:r>
      <w:r>
        <w:t xml:space="preserve"> alleged he told Dr Massy-</w:t>
      </w:r>
      <w:proofErr w:type="spellStart"/>
      <w:r>
        <w:t>Westropp</w:t>
      </w:r>
      <w:proofErr w:type="spellEnd"/>
      <w:r w:rsidR="008D395E">
        <w:t>,</w:t>
      </w:r>
      <w:r>
        <w:t xml:space="preserve"> the person</w:t>
      </w:r>
      <w:r w:rsidR="00753B00">
        <w:t xml:space="preserve"> responsible for managing </w:t>
      </w:r>
      <w:r>
        <w:t>him</w:t>
      </w:r>
      <w:r w:rsidR="00DA5969">
        <w:t>,</w:t>
      </w:r>
      <w:r w:rsidR="00A52AA0">
        <w:t xml:space="preserve"> and others in the laboratory team</w:t>
      </w:r>
      <w:r w:rsidR="00830DFA">
        <w:t xml:space="preserve"> (</w:t>
      </w:r>
      <w:r w:rsidR="00A52AA0">
        <w:t>Reasons</w:t>
      </w:r>
      <w:r w:rsidR="00D9149B">
        <w:t xml:space="preserve"> </w:t>
      </w:r>
      <w:r w:rsidR="00A52AA0">
        <w:t>[32]</w:t>
      </w:r>
      <w:r w:rsidR="00830DFA">
        <w:t>):</w:t>
      </w:r>
    </w:p>
    <w:p w14:paraId="55345037" w14:textId="77777777" w:rsidR="008E6975" w:rsidRPr="00313E0F" w:rsidRDefault="008E6975" w:rsidP="0095486E">
      <w:pPr>
        <w:pStyle w:val="Quote1"/>
        <w:ind w:left="1440" w:hanging="703"/>
      </w:pPr>
      <w:r w:rsidRPr="00313E0F">
        <w:t>20.1:</w:t>
      </w:r>
      <w:r w:rsidRPr="00313E0F">
        <w:tab/>
        <w:t xml:space="preserve">Just after </w:t>
      </w:r>
      <w:proofErr w:type="gramStart"/>
      <w:r w:rsidRPr="00313E0F">
        <w:t>2:30pm</w:t>
      </w:r>
      <w:proofErr w:type="gramEnd"/>
      <w:r w:rsidRPr="00313E0F">
        <w:t xml:space="preserve"> Dr Nicola Massy-</w:t>
      </w:r>
      <w:proofErr w:type="spellStart"/>
      <w:r w:rsidRPr="00313E0F">
        <w:t>Westrop</w:t>
      </w:r>
      <w:proofErr w:type="spellEnd"/>
      <w:r w:rsidRPr="00313E0F">
        <w:t xml:space="preserve"> [sic] came into my office and said that the logs had been checked and that no-one had entered the specimen storage room for the last two weeks - then asked me to confirm.</w:t>
      </w:r>
    </w:p>
    <w:p w14:paraId="52F6371B" w14:textId="77777777" w:rsidR="008E6975" w:rsidRPr="00313E0F" w:rsidRDefault="008E6975" w:rsidP="0095486E">
      <w:pPr>
        <w:pStyle w:val="Quote1"/>
        <w:ind w:left="1440" w:hanging="703"/>
      </w:pPr>
      <w:proofErr w:type="gramStart"/>
      <w:r w:rsidRPr="00313E0F">
        <w:t>20.2</w:t>
      </w:r>
      <w:proofErr w:type="gramEnd"/>
      <w:r w:rsidRPr="00313E0F">
        <w:t>:</w:t>
      </w:r>
      <w:r w:rsidRPr="00313E0F">
        <w:tab/>
        <w:t>I told her that was correct.</w:t>
      </w:r>
    </w:p>
    <w:p w14:paraId="4AACDA94" w14:textId="77777777" w:rsidR="008E6975" w:rsidRPr="00313E0F" w:rsidRDefault="008E6975" w:rsidP="0095486E">
      <w:pPr>
        <w:pStyle w:val="Quote1"/>
        <w:ind w:left="1440" w:hanging="703"/>
      </w:pPr>
      <w:proofErr w:type="gramStart"/>
      <w:r w:rsidRPr="00313E0F">
        <w:t>20.3</w:t>
      </w:r>
      <w:proofErr w:type="gramEnd"/>
      <w:r w:rsidRPr="00313E0F">
        <w:t>:</w:t>
      </w:r>
      <w:r w:rsidRPr="00313E0F">
        <w:tab/>
        <w:t>She then asked why the specimens were not being sprayed daily with hydration fluid.</w:t>
      </w:r>
    </w:p>
    <w:p w14:paraId="644A3C73" w14:textId="77777777" w:rsidR="008E6975" w:rsidRPr="00313E0F" w:rsidRDefault="008E6975" w:rsidP="0095486E">
      <w:pPr>
        <w:pStyle w:val="Quote1"/>
        <w:ind w:left="1440" w:hanging="703"/>
      </w:pPr>
      <w:proofErr w:type="gramStart"/>
      <w:r w:rsidRPr="00313E0F">
        <w:t>20.4:</w:t>
      </w:r>
      <w:r w:rsidRPr="00313E0F">
        <w:tab/>
        <w:t>I told her that since all dissection had been stopped for safety reasons I thought it wise to minimize my exposure, at least until the test results were in - and as the last two weeks were student free and no dissection was being done the specimens remained in a sealed cabinet in a very small sealed and un-ventilated room and not in need of hydration.</w:t>
      </w:r>
      <w:proofErr w:type="gramEnd"/>
    </w:p>
    <w:p w14:paraId="0EFDFC12" w14:textId="77777777" w:rsidR="008E6975" w:rsidRPr="00313E0F" w:rsidRDefault="008E6975" w:rsidP="0095486E">
      <w:pPr>
        <w:pStyle w:val="Quote1"/>
        <w:ind w:left="1440" w:hanging="703"/>
      </w:pPr>
      <w:proofErr w:type="gramStart"/>
      <w:r w:rsidRPr="00313E0F">
        <w:t>20.5</w:t>
      </w:r>
      <w:proofErr w:type="gramEnd"/>
      <w:r w:rsidRPr="00313E0F">
        <w:t>:</w:t>
      </w:r>
      <w:r w:rsidRPr="00313E0F">
        <w:tab/>
        <w:t>Nicola Massy-</w:t>
      </w:r>
      <w:proofErr w:type="spellStart"/>
      <w:r w:rsidRPr="00313E0F">
        <w:t>Westrop</w:t>
      </w:r>
      <w:proofErr w:type="spellEnd"/>
      <w:r w:rsidRPr="00313E0F">
        <w:t xml:space="preserve"> [sic] said she would have to think about it and left.</w:t>
      </w:r>
    </w:p>
    <w:p w14:paraId="40BBEE6B" w14:textId="77777777" w:rsidR="008E6975" w:rsidRPr="00313E0F" w:rsidRDefault="008E6975" w:rsidP="0095486E">
      <w:pPr>
        <w:pStyle w:val="Quote1"/>
        <w:ind w:left="1440" w:hanging="703"/>
      </w:pPr>
      <w:r w:rsidRPr="00313E0F">
        <w:t>20.6:</w:t>
      </w:r>
      <w:r w:rsidRPr="00313E0F">
        <w:tab/>
        <w:t xml:space="preserve">Ten minutes </w:t>
      </w:r>
      <w:proofErr w:type="gramStart"/>
      <w:r w:rsidRPr="00313E0F">
        <w:t>later</w:t>
      </w:r>
      <w:proofErr w:type="gramEnd"/>
      <w:r w:rsidRPr="00313E0F">
        <w:t xml:space="preserve"> she returned and said she would have to let me go because I hadn’t followed the hydration protocol.</w:t>
      </w:r>
    </w:p>
    <w:p w14:paraId="04B65B56" w14:textId="77777777" w:rsidR="008E6975" w:rsidRPr="00313E0F" w:rsidRDefault="008E6975" w:rsidP="0095486E">
      <w:pPr>
        <w:pStyle w:val="Quote1"/>
        <w:ind w:left="1440" w:hanging="703"/>
      </w:pPr>
      <w:r w:rsidRPr="00313E0F">
        <w:t>20.7:</w:t>
      </w:r>
      <w:r w:rsidRPr="00313E0F">
        <w:tab/>
        <w:t xml:space="preserve">I said ‘I feel this is all a little too convenient’ – ‘you mean the formaldehyde’ she reflexively answered, then claimed it </w:t>
      </w:r>
      <w:proofErr w:type="gramStart"/>
      <w:r w:rsidRPr="00313E0F">
        <w:t>wasn’t</w:t>
      </w:r>
      <w:proofErr w:type="gramEnd"/>
      <w:r w:rsidRPr="00313E0F">
        <w:t xml:space="preserve"> related.</w:t>
      </w:r>
    </w:p>
    <w:p w14:paraId="62DAAB43" w14:textId="77777777" w:rsidR="008E6975" w:rsidRDefault="008E6975" w:rsidP="0095486E">
      <w:pPr>
        <w:pStyle w:val="Quote1"/>
        <w:ind w:left="1440" w:hanging="703"/>
      </w:pPr>
      <w:proofErr w:type="gramStart"/>
      <w:r w:rsidRPr="00313E0F">
        <w:t>20.8</w:t>
      </w:r>
      <w:proofErr w:type="gramEnd"/>
      <w:r w:rsidRPr="00313E0F">
        <w:t>:</w:t>
      </w:r>
      <w:r w:rsidRPr="00313E0F">
        <w:tab/>
        <w:t xml:space="preserve">This is a very unusual way for a </w:t>
      </w:r>
      <w:proofErr w:type="spellStart"/>
      <w:r w:rsidRPr="00313E0F">
        <w:t>uni</w:t>
      </w:r>
      <w:proofErr w:type="spellEnd"/>
      <w:r w:rsidRPr="00313E0F">
        <w:t xml:space="preserve"> to deal with performance issues and fire people.</w:t>
      </w:r>
    </w:p>
    <w:p w14:paraId="79E90BF1" w14:textId="449D8758" w:rsidR="005D1364" w:rsidRDefault="008D395E" w:rsidP="00A52AA0">
      <w:pPr>
        <w:pStyle w:val="ParaNumbering"/>
      </w:pPr>
      <w:proofErr w:type="gramStart"/>
      <w:r>
        <w:lastRenderedPageBreak/>
        <w:t>I</w:t>
      </w:r>
      <w:r w:rsidR="00A52AA0">
        <w:t xml:space="preserve">n its concise </w:t>
      </w:r>
      <w:r w:rsidR="004012D5">
        <w:t>response, the respondent alleged</w:t>
      </w:r>
      <w:r w:rsidR="00A52AA0">
        <w:t xml:space="preserve"> </w:t>
      </w:r>
      <w:r w:rsidR="00A42E6A">
        <w:t>the appellant</w:t>
      </w:r>
      <w:r w:rsidR="00A52AA0">
        <w:t xml:space="preserve"> was obliged to undertake tasks prescribed in the </w:t>
      </w:r>
      <w:r w:rsidR="00986F5E">
        <w:t>Procedure</w:t>
      </w:r>
      <w:r w:rsidR="00A52AA0">
        <w:t xml:space="preserve"> Manual</w:t>
      </w:r>
      <w:r>
        <w:t>,</w:t>
      </w:r>
      <w:r w:rsidR="00A52AA0">
        <w:t xml:space="preserve"> obligations </w:t>
      </w:r>
      <w:r w:rsidR="00830DFA">
        <w:t xml:space="preserve">which </w:t>
      </w:r>
      <w:r w:rsidR="00A52AA0">
        <w:t>had been made known to him</w:t>
      </w:r>
      <w:r>
        <w:t>,</w:t>
      </w:r>
      <w:r w:rsidR="00A52AA0">
        <w:t xml:space="preserve"> and that in the two weeks leading up to his dismissal, he had not entered into the specimen storage roo</w:t>
      </w:r>
      <w:r w:rsidR="00986F5E">
        <w:t>m to attend to the care of the S</w:t>
      </w:r>
      <w:r w:rsidR="00A52AA0">
        <w:t>pecimens</w:t>
      </w:r>
      <w:r w:rsidR="00830DFA">
        <w:t xml:space="preserve"> (as defined at [17] of the Reasons, extracted at [16] above)</w:t>
      </w:r>
      <w:r w:rsidR="00A52AA0">
        <w:t>.</w:t>
      </w:r>
      <w:proofErr w:type="gramEnd"/>
      <w:r w:rsidR="00A52AA0">
        <w:t xml:space="preserve">  That fact </w:t>
      </w:r>
      <w:proofErr w:type="gramStart"/>
      <w:r w:rsidR="00A52AA0">
        <w:t>was not disputed</w:t>
      </w:r>
      <w:proofErr w:type="gramEnd"/>
      <w:r w:rsidR="00A52AA0">
        <w:t xml:space="preserve">.  </w:t>
      </w:r>
    </w:p>
    <w:p w14:paraId="7C7C1E40" w14:textId="41861B72" w:rsidR="005D1364" w:rsidRDefault="00A52AA0" w:rsidP="00A52AA0">
      <w:pPr>
        <w:pStyle w:val="ParaNumbering"/>
      </w:pPr>
      <w:proofErr w:type="gramStart"/>
      <w:r>
        <w:t xml:space="preserve">The respondent denied that </w:t>
      </w:r>
      <w:r w:rsidR="00A42E6A">
        <w:t>the appellant</w:t>
      </w:r>
      <w:r>
        <w:t xml:space="preserve"> ever stated</w:t>
      </w:r>
      <w:r w:rsidR="00594290">
        <w:t xml:space="preserve"> to it</w:t>
      </w:r>
      <w:r>
        <w:t xml:space="preserve"> tha</w:t>
      </w:r>
      <w:r w:rsidR="00986F5E">
        <w:t>t his failure to attend to the S</w:t>
      </w:r>
      <w:r w:rsidR="00594290">
        <w:t>pecimens was due to</w:t>
      </w:r>
      <w:r>
        <w:t xml:space="preserve"> concern</w:t>
      </w:r>
      <w:r w:rsidR="00594290">
        <w:t>s</w:t>
      </w:r>
      <w:r>
        <w:t xml:space="preserve"> that the performance of his duties</w:t>
      </w:r>
      <w:r w:rsidR="00830DFA">
        <w:t xml:space="preserve"> </w:t>
      </w:r>
      <w:r>
        <w:t>would expose him to a serious risk to his health or safety</w:t>
      </w:r>
      <w:r w:rsidR="00594290">
        <w:t>,</w:t>
      </w:r>
      <w:r>
        <w:t xml:space="preserve"> and that </w:t>
      </w:r>
      <w:r w:rsidR="00A42E6A">
        <w:t>the appellant</w:t>
      </w:r>
      <w:r>
        <w:t xml:space="preserve"> had</w:t>
      </w:r>
      <w:r w:rsidR="00594290">
        <w:t xml:space="preserve"> not</w:t>
      </w:r>
      <w:r>
        <w:t xml:space="preserve"> at any time notified it that he had ceased work due to any such concern</w:t>
      </w:r>
      <w:r w:rsidR="002B6B2B">
        <w:t>s.</w:t>
      </w:r>
      <w:proofErr w:type="gramEnd"/>
      <w:r w:rsidR="002B6B2B">
        <w:t xml:space="preserve">  It alleged</w:t>
      </w:r>
      <w:r w:rsidR="00594290">
        <w:t xml:space="preserve"> </w:t>
      </w:r>
      <w:r>
        <w:t>further that the appell</w:t>
      </w:r>
      <w:r w:rsidR="00594290">
        <w:t xml:space="preserve">ant’s failure to attend to the </w:t>
      </w:r>
      <w:r w:rsidR="00986F5E">
        <w:t>Specimens</w:t>
      </w:r>
      <w:r>
        <w:t xml:space="preserve"> amounted to a serious dereliction of his duties</w:t>
      </w:r>
      <w:r w:rsidR="00594290">
        <w:t>,</w:t>
      </w:r>
      <w:r>
        <w:t xml:space="preserve"> with the potential to cause serious</w:t>
      </w:r>
      <w:r w:rsidR="00594290">
        <w:t xml:space="preserve"> and irreversible damage to the </w:t>
      </w:r>
      <w:r w:rsidR="00986F5E">
        <w:t>Specimens</w:t>
      </w:r>
      <w:r w:rsidR="00594290">
        <w:t>,</w:t>
      </w:r>
      <w:r>
        <w:t xml:space="preserve"> and that his employment </w:t>
      </w:r>
      <w:proofErr w:type="gramStart"/>
      <w:r>
        <w:t>was terminated</w:t>
      </w:r>
      <w:proofErr w:type="gramEnd"/>
      <w:r>
        <w:t xml:space="preserve"> for that reason alone.  It denied </w:t>
      </w:r>
      <w:r w:rsidR="00830DFA">
        <w:t xml:space="preserve">that </w:t>
      </w:r>
      <w:r>
        <w:t xml:space="preserve">the existence or exercise of the workplace rights referred to by </w:t>
      </w:r>
      <w:r w:rsidR="00A42E6A">
        <w:t>the appellant</w:t>
      </w:r>
      <w:r w:rsidR="005D1364">
        <w:t xml:space="preserve"> were</w:t>
      </w:r>
      <w:r>
        <w:t xml:space="preserve"> a reason or part of the reason for the decision to dismiss him</w:t>
      </w:r>
      <w:r w:rsidR="00830DFA">
        <w:t>.</w:t>
      </w:r>
      <w:r>
        <w:t xml:space="preserve"> </w:t>
      </w:r>
      <w:r w:rsidR="00594290">
        <w:t xml:space="preserve"> </w:t>
      </w:r>
    </w:p>
    <w:p w14:paraId="40A16746" w14:textId="77777777" w:rsidR="00A52AA0" w:rsidRDefault="00A52AA0" w:rsidP="00A52AA0">
      <w:pPr>
        <w:pStyle w:val="ParaNumbering"/>
      </w:pPr>
      <w:r>
        <w:t xml:space="preserve">A further ground advanced by the respondent was that following </w:t>
      </w:r>
      <w:r w:rsidR="00A42E6A">
        <w:t>the appellant</w:t>
      </w:r>
      <w:r>
        <w:t xml:space="preserve">’s dismissal, it became aware that </w:t>
      </w:r>
      <w:r w:rsidR="00A42E6A">
        <w:t>the appellant</w:t>
      </w:r>
      <w:r w:rsidR="0067496D">
        <w:t xml:space="preserve"> had</w:t>
      </w:r>
      <w:r>
        <w:t xml:space="preserve"> also failed to enter the specimen</w:t>
      </w:r>
      <w:r w:rsidR="00594290">
        <w:t xml:space="preserve"> storage room to attend to the </w:t>
      </w:r>
      <w:r w:rsidR="00986F5E">
        <w:t>Specimens</w:t>
      </w:r>
      <w:r>
        <w:t xml:space="preserve"> in accordance with the Procedure Manual on a number of occasions in June and July 2019.</w:t>
      </w:r>
    </w:p>
    <w:p w14:paraId="0B03C32C" w14:textId="139C3499" w:rsidR="0094628C" w:rsidRDefault="00A52AA0" w:rsidP="00A52AA0">
      <w:pPr>
        <w:pStyle w:val="ParaNumbering"/>
      </w:pPr>
      <w:r>
        <w:t>As to this last point, in view of the primary judge</w:t>
      </w:r>
      <w:r w:rsidR="00594290">
        <w:t>’</w:t>
      </w:r>
      <w:r w:rsidR="00C60EF3">
        <w:t>s finding</w:t>
      </w:r>
      <w:r>
        <w:t xml:space="preserve"> that </w:t>
      </w:r>
      <w:r w:rsidR="00A42E6A">
        <w:t>the appellant</w:t>
      </w:r>
      <w:r>
        <w:t xml:space="preserve">’s employment </w:t>
      </w:r>
      <w:proofErr w:type="gramStart"/>
      <w:r>
        <w:t>was not terminated</w:t>
      </w:r>
      <w:proofErr w:type="gramEnd"/>
      <w:r>
        <w:t xml:space="preserve"> for a </w:t>
      </w:r>
      <w:r w:rsidRPr="00383E21">
        <w:t>proscribed</w:t>
      </w:r>
      <w:r w:rsidR="00383E21" w:rsidRPr="00383E21">
        <w:t xml:space="preserve"> </w:t>
      </w:r>
      <w:r w:rsidRPr="00383E21">
        <w:t>r</w:t>
      </w:r>
      <w:r>
        <w:t>eason, it was unnecessary</w:t>
      </w:r>
      <w:r w:rsidR="005D1364">
        <w:t xml:space="preserve"> for her Honour</w:t>
      </w:r>
      <w:r>
        <w:t xml:space="preserve"> to decide the</w:t>
      </w:r>
      <w:r w:rsidR="0067496D">
        <w:t xml:space="preserve"> issue</w:t>
      </w:r>
      <w:r w:rsidR="00DD42D9">
        <w:t>.  H</w:t>
      </w:r>
      <w:r>
        <w:t>owever</w:t>
      </w:r>
      <w:r w:rsidR="00594290">
        <w:t>,</w:t>
      </w:r>
      <w:r w:rsidR="00B40323">
        <w:t xml:space="preserve"> </w:t>
      </w:r>
      <w:r w:rsidR="00DD42D9">
        <w:t>for completeness</w:t>
      </w:r>
      <w:r w:rsidR="00B40323">
        <w:t>, her Honour considered this issue and found</w:t>
      </w:r>
      <w:r>
        <w:t xml:space="preserve"> that the written record upon which the respondent relied</w:t>
      </w:r>
      <w:r w:rsidR="005D1364">
        <w:t xml:space="preserve"> to establish this allegation</w:t>
      </w:r>
      <w:r>
        <w:t xml:space="preserve"> did not establish that the appellant was rostered to work on the days on which he </w:t>
      </w:r>
      <w:proofErr w:type="gramStart"/>
      <w:r>
        <w:t>is recorded</w:t>
      </w:r>
      <w:proofErr w:type="gramEnd"/>
      <w:r>
        <w:t xml:space="preserve"> as having failed to attend the specimen storage room in June and July 2019</w:t>
      </w:r>
      <w:r w:rsidR="00C60EF3">
        <w:t>.  Accordingly</w:t>
      </w:r>
      <w:r w:rsidR="00594290">
        <w:t>,</w:t>
      </w:r>
      <w:r w:rsidR="00C60EF3">
        <w:t xml:space="preserve"> her H</w:t>
      </w:r>
      <w:r>
        <w:t xml:space="preserve">onour did not consider that </w:t>
      </w:r>
      <w:r w:rsidR="0067496D">
        <w:t>the written</w:t>
      </w:r>
      <w:r w:rsidR="00594290">
        <w:t xml:space="preserve"> </w:t>
      </w:r>
      <w:r>
        <w:t>record</w:t>
      </w:r>
      <w:r w:rsidR="00C60EF3">
        <w:t xml:space="preserve"> disclosed </w:t>
      </w:r>
      <w:r>
        <w:t xml:space="preserve">a failure </w:t>
      </w:r>
      <w:r w:rsidR="00C60EF3">
        <w:t xml:space="preserve">by </w:t>
      </w:r>
      <w:r w:rsidR="00A42E6A">
        <w:t>the appellant</w:t>
      </w:r>
      <w:r w:rsidR="00C60EF3">
        <w:t xml:space="preserve"> to perform his duties: </w:t>
      </w:r>
      <w:r w:rsidR="00594290">
        <w:t xml:space="preserve"> </w:t>
      </w:r>
      <w:r w:rsidR="00C60EF3">
        <w:t>Reasons</w:t>
      </w:r>
      <w:r w:rsidR="00D9149B">
        <w:t xml:space="preserve"> </w:t>
      </w:r>
      <w:r w:rsidR="00594290">
        <w:t>[235]-</w:t>
      </w:r>
      <w:r w:rsidR="00C60EF3">
        <w:t>[237]</w:t>
      </w:r>
      <w:r w:rsidR="0067496D">
        <w:t>.</w:t>
      </w:r>
    </w:p>
    <w:p w14:paraId="2A632130" w14:textId="77777777" w:rsidR="0094628C" w:rsidRDefault="0078264A" w:rsidP="0094628C">
      <w:pPr>
        <w:pStyle w:val="Heading2"/>
      </w:pPr>
      <w:r>
        <w:t>T</w:t>
      </w:r>
      <w:r w:rsidR="0094628C">
        <w:t>he conduct of the trial</w:t>
      </w:r>
    </w:p>
    <w:p w14:paraId="37FCFCBD" w14:textId="3032BABA" w:rsidR="0078264A" w:rsidRDefault="0078264A" w:rsidP="0094628C">
      <w:pPr>
        <w:pStyle w:val="ParaNumbering"/>
      </w:pPr>
      <w:r>
        <w:t>A</w:t>
      </w:r>
      <w:r w:rsidR="00594290">
        <w:t>s the C</w:t>
      </w:r>
      <w:r w:rsidR="0094628C">
        <w:t xml:space="preserve">ourt has noted, </w:t>
      </w:r>
      <w:r w:rsidR="00A42E6A">
        <w:t>the appellant</w:t>
      </w:r>
      <w:r w:rsidR="0094628C">
        <w:t xml:space="preserve"> represented himself both at trial and before the Full Court.  The primary judge described the conduct of the trial</w:t>
      </w:r>
      <w:r w:rsidR="00830DFA">
        <w:t xml:space="preserve">, and </w:t>
      </w:r>
      <w:proofErr w:type="gramStart"/>
      <w:r w:rsidR="00830DFA">
        <w:t>having regard to the nature of the appeal grounds</w:t>
      </w:r>
      <w:r w:rsidR="006425E8">
        <w:t>,</w:t>
      </w:r>
      <w:proofErr w:type="gramEnd"/>
      <w:r w:rsidR="00830DFA">
        <w:t xml:space="preserve"> </w:t>
      </w:r>
      <w:proofErr w:type="gramStart"/>
      <w:r w:rsidR="00830DFA">
        <w:t>it</w:t>
      </w:r>
      <w:proofErr w:type="gramEnd"/>
      <w:r w:rsidR="00830DFA">
        <w:t xml:space="preserve"> is appropriate to record this aspect of the Reasons in some detail.</w:t>
      </w:r>
      <w:r w:rsidR="0094628C">
        <w:t xml:space="preserve">  It is apparent that her Honour provided the appellant with some guidance about what he was required to do in conducting the trial but</w:t>
      </w:r>
      <w:r w:rsidR="00594290">
        <w:t xml:space="preserve"> that evidence adduced in cross-</w:t>
      </w:r>
      <w:r w:rsidR="0094628C">
        <w:t>examination</w:t>
      </w:r>
      <w:r w:rsidR="00410E41">
        <w:t xml:space="preserve"> by him was not helpful to his case and the respondent’s witnesses</w:t>
      </w:r>
      <w:r w:rsidR="00622478">
        <w:t xml:space="preserve"> were not challenged as robustly as </w:t>
      </w:r>
      <w:r w:rsidR="00622478">
        <w:lastRenderedPageBreak/>
        <w:t xml:space="preserve">they might otherwise have </w:t>
      </w:r>
      <w:proofErr w:type="gramStart"/>
      <w:r w:rsidR="00622478">
        <w:t>been</w:t>
      </w:r>
      <w:r w:rsidR="005D1364">
        <w:t>:</w:t>
      </w:r>
      <w:proofErr w:type="gramEnd"/>
      <w:r w:rsidR="00622478">
        <w:t xml:space="preserve"> </w:t>
      </w:r>
      <w:r w:rsidR="00EE6374">
        <w:t xml:space="preserve"> </w:t>
      </w:r>
      <w:r w:rsidR="00D9149B">
        <w:t xml:space="preserve">Reasons </w:t>
      </w:r>
      <w:r w:rsidR="005D1364">
        <w:t xml:space="preserve">[42].  </w:t>
      </w:r>
      <w:r w:rsidR="00622478">
        <w:t>Her Honour alluded to anomalies in the evidence of the respondent’</w:t>
      </w:r>
      <w:r>
        <w:t>s witnesses</w:t>
      </w:r>
      <w:r w:rsidR="00622478">
        <w:t xml:space="preserve"> which she addressed later in the Reasons</w:t>
      </w:r>
      <w:r w:rsidR="00D9149B">
        <w:t xml:space="preserve"> at </w:t>
      </w:r>
      <w:r w:rsidR="00594290">
        <w:t>[221]–</w:t>
      </w:r>
      <w:r w:rsidR="005D1364">
        <w:t>[224], [228].</w:t>
      </w:r>
    </w:p>
    <w:p w14:paraId="7F78B161" w14:textId="77777777" w:rsidR="0078264A" w:rsidRDefault="00A42E6A" w:rsidP="0078264A">
      <w:pPr>
        <w:pStyle w:val="Heading3"/>
      </w:pPr>
      <w:r>
        <w:t>The appellant</w:t>
      </w:r>
      <w:r w:rsidR="0078264A">
        <w:t>’s evidence</w:t>
      </w:r>
    </w:p>
    <w:p w14:paraId="5439C475" w14:textId="758DC715" w:rsidR="0078264A" w:rsidRDefault="00594290" w:rsidP="0078264A">
      <w:pPr>
        <w:pStyle w:val="ParaNumbering"/>
      </w:pPr>
      <w:r>
        <w:t>T</w:t>
      </w:r>
      <w:r w:rsidR="00A42E6A">
        <w:t>he appellant</w:t>
      </w:r>
      <w:r>
        <w:t>’s evidence-in-</w:t>
      </w:r>
      <w:r w:rsidR="0078264A">
        <w:t>chief was set out in an affidavit sworn 21 July 2020.  The primary judge noted the affidavit had documents annexed to it but no depositions of fact.  Her Honour gave the</w:t>
      </w:r>
      <w:r>
        <w:t xml:space="preserve"> appellant an</w:t>
      </w:r>
      <w:r w:rsidR="0078264A">
        <w:t xml:space="preserve"> opportunity to elaborate on his </w:t>
      </w:r>
      <w:proofErr w:type="gramStart"/>
      <w:r w:rsidR="0078264A">
        <w:t>evidence</w:t>
      </w:r>
      <w:r>
        <w:t>,</w:t>
      </w:r>
      <w:proofErr w:type="gramEnd"/>
      <w:r w:rsidR="0078264A">
        <w:t xml:space="preserve"> however he was content to rely upon the documents.  The primary judge noted the documents annexed to </w:t>
      </w:r>
      <w:r w:rsidR="00A42E6A">
        <w:t>the appellant</w:t>
      </w:r>
      <w:r w:rsidR="0078264A">
        <w:t>’s affidavit included a bundle of documen</w:t>
      </w:r>
      <w:r w:rsidR="002B6B2B">
        <w:t>ts relied upon by the parties at</w:t>
      </w:r>
      <w:r w:rsidR="0078264A">
        <w:t xml:space="preserve"> the Fair Work Commission</w:t>
      </w:r>
      <w:r w:rsidR="002B6B2B">
        <w:t xml:space="preserve"> hearing</w:t>
      </w:r>
      <w:r w:rsidR="0078264A">
        <w:t xml:space="preserve">.  That bundle included a statement by </w:t>
      </w:r>
      <w:r w:rsidR="00A42E6A">
        <w:t>the appellant</w:t>
      </w:r>
      <w:r w:rsidR="0078264A">
        <w:t xml:space="preserve"> comprising 37 paragraphs of asserted fact</w:t>
      </w:r>
      <w:r w:rsidR="00F72649">
        <w:t>s</w:t>
      </w:r>
      <w:r w:rsidR="00EE6374">
        <w:t>,</w:t>
      </w:r>
      <w:r w:rsidR="0078264A">
        <w:t xml:space="preserve"> as well as a response by th</w:t>
      </w:r>
      <w:r w:rsidR="002B6B2B">
        <w:t>e respondent</w:t>
      </w:r>
      <w:r w:rsidR="00EE6374">
        <w:t>;</w:t>
      </w:r>
      <w:r w:rsidR="0078264A">
        <w:t xml:space="preserve"> </w:t>
      </w:r>
      <w:r w:rsidR="00A42E6A">
        <w:t>the appellant</w:t>
      </w:r>
      <w:r w:rsidR="0078264A">
        <w:t xml:space="preserve">’s reply to that response </w:t>
      </w:r>
      <w:r w:rsidR="002B6B2B">
        <w:t>which contained</w:t>
      </w:r>
      <w:r w:rsidR="0078264A">
        <w:t xml:space="preserve"> further alleged facts</w:t>
      </w:r>
      <w:r w:rsidR="00EE6374">
        <w:t>;</w:t>
      </w:r>
      <w:r w:rsidR="002B6B2B">
        <w:t xml:space="preserve"> a</w:t>
      </w:r>
      <w:r w:rsidR="0078264A">
        <w:t xml:space="preserve">nd the submissions of both </w:t>
      </w:r>
      <w:r w:rsidR="00A42E6A">
        <w:t>the appellant</w:t>
      </w:r>
      <w:r w:rsidR="0078264A">
        <w:t xml:space="preserve"> and the respondent.  </w:t>
      </w:r>
      <w:r w:rsidR="00A42E6A">
        <w:t>The appellant</w:t>
      </w:r>
      <w:r w:rsidR="0078264A">
        <w:t>’s submissions also contained alleged facts.</w:t>
      </w:r>
    </w:p>
    <w:p w14:paraId="47329DD6" w14:textId="77777777" w:rsidR="00FB1E4C" w:rsidRDefault="0078264A" w:rsidP="0078264A">
      <w:pPr>
        <w:pStyle w:val="ParaNumbering"/>
      </w:pPr>
      <w:r>
        <w:t xml:space="preserve">Her Honour explained to </w:t>
      </w:r>
      <w:r w:rsidR="00A42E6A">
        <w:t>the appellant</w:t>
      </w:r>
      <w:r>
        <w:t xml:space="preserve"> that it </w:t>
      </w:r>
      <w:proofErr w:type="gramStart"/>
      <w:r>
        <w:t>may</w:t>
      </w:r>
      <w:proofErr w:type="gramEnd"/>
      <w:r>
        <w:t xml:space="preserve"> not be sufficient </w:t>
      </w:r>
      <w:r w:rsidR="00F72649">
        <w:t xml:space="preserve">to simply </w:t>
      </w:r>
      <w:r>
        <w:t xml:space="preserve">point to the documents </w:t>
      </w:r>
      <w:r w:rsidR="00FB1E4C">
        <w:t>upon which he relied</w:t>
      </w:r>
      <w:r>
        <w:t xml:space="preserve">, in response to which </w:t>
      </w:r>
      <w:r w:rsidR="00A42E6A">
        <w:t>the appellant</w:t>
      </w:r>
      <w:r>
        <w:t xml:space="preserve"> confirmed he wished to rely on the facts asserted by him in the Fair Work Commission documents for the purposes of their truth.  The respondent did not object to this course and the documents </w:t>
      </w:r>
      <w:proofErr w:type="gramStart"/>
      <w:r>
        <w:t>were received</w:t>
      </w:r>
      <w:proofErr w:type="gramEnd"/>
      <w:r>
        <w:t xml:space="preserve"> into evidence.</w:t>
      </w:r>
      <w:r w:rsidR="00FB1E4C">
        <w:t xml:space="preserve">  Her H</w:t>
      </w:r>
      <w:r>
        <w:t xml:space="preserve">onour observed that the documents were out of court statements by </w:t>
      </w:r>
      <w:r w:rsidR="00A42E6A">
        <w:t>the appellant</w:t>
      </w:r>
      <w:r>
        <w:t>, the truth of which had been adopted by him in the course of his oral testimony</w:t>
      </w:r>
      <w:r w:rsidR="00FB1E4C">
        <w:t xml:space="preserve"> and that although admitted into evidence, the weight to be attributed to the factual assertions contained within the documents was another </w:t>
      </w:r>
      <w:r w:rsidR="005D1364">
        <w:t>question</w:t>
      </w:r>
      <w:r w:rsidR="00FB1E4C">
        <w:t xml:space="preserve">: </w:t>
      </w:r>
      <w:r w:rsidR="00F72649">
        <w:t xml:space="preserve"> </w:t>
      </w:r>
      <w:r w:rsidR="00FB1E4C">
        <w:t>Reasons</w:t>
      </w:r>
      <w:r w:rsidR="00D9149B">
        <w:t xml:space="preserve"> </w:t>
      </w:r>
      <w:r w:rsidR="00FB1E4C">
        <w:t>[52]-[56]</w:t>
      </w:r>
      <w:r w:rsidR="00F72649">
        <w:t>.</w:t>
      </w:r>
    </w:p>
    <w:p w14:paraId="7BDDF2B4" w14:textId="77777777" w:rsidR="00820F4C" w:rsidRDefault="00FB1E4C" w:rsidP="0078264A">
      <w:pPr>
        <w:pStyle w:val="ParaNumbering"/>
      </w:pPr>
      <w:r>
        <w:t xml:space="preserve">Her Honour summarised </w:t>
      </w:r>
      <w:r w:rsidR="00A42E6A">
        <w:t>the appellant</w:t>
      </w:r>
      <w:r>
        <w:t>’s e</w:t>
      </w:r>
      <w:r w:rsidR="00F72649">
        <w:t>vidence given both orally and as</w:t>
      </w:r>
      <w:r>
        <w:t xml:space="preserve"> contained in the documents in a careful and detailed fashion</w:t>
      </w:r>
      <w:r w:rsidR="0078264A">
        <w:t>.</w:t>
      </w:r>
    </w:p>
    <w:p w14:paraId="0CB4ED0A" w14:textId="4796439C" w:rsidR="00820F4C" w:rsidRDefault="00820F4C" w:rsidP="0078264A">
      <w:pPr>
        <w:pStyle w:val="ParaNumbering"/>
      </w:pPr>
      <w:r>
        <w:t xml:space="preserve">The primary judge referred to </w:t>
      </w:r>
      <w:r w:rsidR="00A42E6A">
        <w:t>the appellant</w:t>
      </w:r>
      <w:r>
        <w:t xml:space="preserve">’s Fair Work Commission documents for his account of what occurred on 8 October </w:t>
      </w:r>
      <w:r w:rsidR="000F6DB0">
        <w:t>2019</w:t>
      </w:r>
      <w:r>
        <w:t xml:space="preserve">: </w:t>
      </w:r>
      <w:r w:rsidR="00F72649">
        <w:t xml:space="preserve"> </w:t>
      </w:r>
      <w:r>
        <w:t>Reasons [71]</w:t>
      </w:r>
      <w:r w:rsidR="00F72649">
        <w:t>.</w:t>
      </w:r>
    </w:p>
    <w:p w14:paraId="13F63FAC" w14:textId="77777777" w:rsidR="008E6975" w:rsidRPr="00313E0F" w:rsidRDefault="008E6975" w:rsidP="008E6975">
      <w:pPr>
        <w:pStyle w:val="Quote1"/>
        <w:ind w:left="1440" w:hanging="703"/>
      </w:pPr>
      <w:r>
        <w:t>71.</w:t>
      </w:r>
      <w:r>
        <w:tab/>
      </w:r>
      <w:r w:rsidRPr="00313E0F">
        <w:t>Mr Parry returned to the workplace for his afternoon shift at 2:30pm.  In the FWC documents, he gives the following account of what occurred upon his return:</w:t>
      </w:r>
    </w:p>
    <w:p w14:paraId="68F5754F" w14:textId="77777777" w:rsidR="008E6975" w:rsidRPr="00313E0F" w:rsidRDefault="008E6975" w:rsidP="008E6975">
      <w:pPr>
        <w:pStyle w:val="Quote3"/>
      </w:pPr>
      <w:r w:rsidRPr="00313E0F">
        <w:t>At just after 2:30pm Nicola Massy-</w:t>
      </w:r>
      <w:proofErr w:type="spellStart"/>
      <w:r w:rsidRPr="00313E0F">
        <w:t>Westrop</w:t>
      </w:r>
      <w:proofErr w:type="spellEnd"/>
      <w:r w:rsidRPr="00313E0F">
        <w:t xml:space="preserve"> [sic] came into my office and said that the logs had been checked and that </w:t>
      </w:r>
      <w:proofErr w:type="gramStart"/>
      <w:r w:rsidRPr="00313E0F">
        <w:t>no-one</w:t>
      </w:r>
      <w:proofErr w:type="gramEnd"/>
      <w:r w:rsidRPr="00313E0F">
        <w:t xml:space="preserve"> had entered the specimen storage room for the last two weeks - then asked me to confirm.</w:t>
      </w:r>
    </w:p>
    <w:p w14:paraId="2BA25102" w14:textId="77777777" w:rsidR="008E6975" w:rsidRPr="00313E0F" w:rsidRDefault="008E6975" w:rsidP="008E6975">
      <w:pPr>
        <w:pStyle w:val="Quote3"/>
      </w:pPr>
      <w:r w:rsidRPr="00313E0F">
        <w:t>I told her that was correct.</w:t>
      </w:r>
    </w:p>
    <w:p w14:paraId="0D0A967E" w14:textId="77777777" w:rsidR="008E6975" w:rsidRPr="00313E0F" w:rsidRDefault="008E6975" w:rsidP="008E6975">
      <w:pPr>
        <w:pStyle w:val="Quote3"/>
      </w:pPr>
      <w:r w:rsidRPr="00313E0F">
        <w:lastRenderedPageBreak/>
        <w:t>She then asked why the spec</w:t>
      </w:r>
      <w:r>
        <w:t xml:space="preserve">imens </w:t>
      </w:r>
      <w:proofErr w:type="gramStart"/>
      <w:r>
        <w:t>were not being sprayed</w:t>
      </w:r>
      <w:proofErr w:type="gramEnd"/>
      <w:r>
        <w:t xml:space="preserve"> dai</w:t>
      </w:r>
      <w:r w:rsidRPr="00313E0F">
        <w:t>ly with hydration fluid.</w:t>
      </w:r>
    </w:p>
    <w:p w14:paraId="6A3C0E4D" w14:textId="234E71BA" w:rsidR="008E6975" w:rsidRPr="00313E0F" w:rsidRDefault="008E6975" w:rsidP="008E6975">
      <w:pPr>
        <w:pStyle w:val="Quote3"/>
      </w:pPr>
      <w:proofErr w:type="gramStart"/>
      <w:r w:rsidRPr="00313E0F">
        <w:t>I told her that since all dissection had been stopped for safety reas</w:t>
      </w:r>
      <w:r w:rsidR="00625C2F">
        <w:t>ons I thought it wise to minimis</w:t>
      </w:r>
      <w:r w:rsidRPr="00313E0F">
        <w:t>e my exposure, at least until the test results were in - and as the last two weeks were student free and no dissection was being done the specimens remained in a sealed cabinet in a very small sealed and un-ventilated room and not in need of hydration.</w:t>
      </w:r>
      <w:proofErr w:type="gramEnd"/>
    </w:p>
    <w:p w14:paraId="1CFD9876" w14:textId="77777777" w:rsidR="008E6975" w:rsidRPr="00313E0F" w:rsidRDefault="008E6975" w:rsidP="008E6975">
      <w:pPr>
        <w:pStyle w:val="Quote3"/>
      </w:pPr>
      <w:r w:rsidRPr="00313E0F">
        <w:t>Nicola Massy-</w:t>
      </w:r>
      <w:proofErr w:type="spellStart"/>
      <w:r w:rsidRPr="00313E0F">
        <w:t>Westrop</w:t>
      </w:r>
      <w:proofErr w:type="spellEnd"/>
      <w:r w:rsidRPr="00313E0F">
        <w:t xml:space="preserve"> [sic] said she would have to think about it and left.</w:t>
      </w:r>
    </w:p>
    <w:p w14:paraId="47CE9D57" w14:textId="77777777" w:rsidR="008E6975" w:rsidRPr="00313E0F" w:rsidRDefault="008E6975" w:rsidP="008E6975">
      <w:pPr>
        <w:pStyle w:val="Quote3"/>
      </w:pPr>
      <w:r w:rsidRPr="00313E0F">
        <w:t xml:space="preserve">Ten minutes </w:t>
      </w:r>
      <w:proofErr w:type="gramStart"/>
      <w:r w:rsidRPr="00313E0F">
        <w:t>later</w:t>
      </w:r>
      <w:proofErr w:type="gramEnd"/>
      <w:r w:rsidRPr="00313E0F">
        <w:t xml:space="preserve"> she returned and said she would have to let me go because I hadn’t followed the hydration protocol.</w:t>
      </w:r>
    </w:p>
    <w:p w14:paraId="5C76EE77" w14:textId="77777777" w:rsidR="008E6975" w:rsidRPr="00313E0F" w:rsidRDefault="008E6975" w:rsidP="008E6975">
      <w:pPr>
        <w:pStyle w:val="Quote3"/>
      </w:pPr>
      <w:r w:rsidRPr="00313E0F">
        <w:t>I said ‘I feel this is all a little too convenient’ – ‘you mean the formaldehyde’ she refl</w:t>
      </w:r>
      <w:r>
        <w:t xml:space="preserve">exively answered, then claimed it </w:t>
      </w:r>
      <w:proofErr w:type="gramStart"/>
      <w:r>
        <w:t>wasn’</w:t>
      </w:r>
      <w:r w:rsidRPr="00313E0F">
        <w:t>t</w:t>
      </w:r>
      <w:proofErr w:type="gramEnd"/>
      <w:r w:rsidRPr="00313E0F">
        <w:t xml:space="preserve"> related.</w:t>
      </w:r>
    </w:p>
    <w:p w14:paraId="59A73F98" w14:textId="04B22195" w:rsidR="008E6975" w:rsidRDefault="008E6975" w:rsidP="008E6975">
      <w:pPr>
        <w:pStyle w:val="Quote3"/>
      </w:pPr>
      <w:r w:rsidRPr="00313E0F">
        <w:t>I packed up and left.</w:t>
      </w:r>
    </w:p>
    <w:p w14:paraId="40BEF6BE" w14:textId="77777777" w:rsidR="000E1D3E" w:rsidRDefault="000E1D3E" w:rsidP="000E1D3E">
      <w:pPr>
        <w:pStyle w:val="NoNum"/>
      </w:pPr>
    </w:p>
    <w:p w14:paraId="003F876F" w14:textId="6370CD58" w:rsidR="00820F4C" w:rsidRDefault="00F72649" w:rsidP="0078264A">
      <w:pPr>
        <w:pStyle w:val="ParaNumbering"/>
      </w:pPr>
      <w:r>
        <w:t>T</w:t>
      </w:r>
      <w:r w:rsidR="00820F4C">
        <w:t xml:space="preserve">he primary judge also referred to </w:t>
      </w:r>
      <w:r w:rsidR="00A42E6A">
        <w:t>the appellant</w:t>
      </w:r>
      <w:r>
        <w:t>’s oral evidence-in-</w:t>
      </w:r>
      <w:r w:rsidR="00820F4C">
        <w:t xml:space="preserve">chief dealing with the conversation on 8 October 2019 between </w:t>
      </w:r>
      <w:r w:rsidR="00A42E6A">
        <w:t>the appellant</w:t>
      </w:r>
      <w:r>
        <w:t xml:space="preserve"> and Dr Massy-</w:t>
      </w:r>
      <w:proofErr w:type="spellStart"/>
      <w:r>
        <w:t>Westropp</w:t>
      </w:r>
      <w:proofErr w:type="spellEnd"/>
      <w:r w:rsidR="00820F4C">
        <w:t xml:space="preserve">: </w:t>
      </w:r>
      <w:r w:rsidR="008716DB">
        <w:t xml:space="preserve"> </w:t>
      </w:r>
      <w:r w:rsidR="00820F4C">
        <w:t>Reasons</w:t>
      </w:r>
      <w:r w:rsidR="00D9149B">
        <w:t xml:space="preserve"> </w:t>
      </w:r>
      <w:r w:rsidR="00820F4C">
        <w:t>[72]</w:t>
      </w:r>
      <w:r>
        <w:t>.</w:t>
      </w:r>
    </w:p>
    <w:p w14:paraId="203B5F4E" w14:textId="22B550DD" w:rsidR="008E6975" w:rsidRDefault="008E6975" w:rsidP="008E6975">
      <w:pPr>
        <w:pStyle w:val="Quote1"/>
        <w:ind w:left="1440" w:hanging="703"/>
      </w:pPr>
      <w:r>
        <w:t>72.</w:t>
      </w:r>
      <w:r>
        <w:tab/>
        <w:t>Mr Parry also dealt with this critical conversation in his oral evidence-in-chief, although not in wholly consistent terms.  He said that at 2.30pm Dr Massy-</w:t>
      </w:r>
      <w:proofErr w:type="spellStart"/>
      <w:r>
        <w:t>Westropp</w:t>
      </w:r>
      <w:proofErr w:type="spellEnd"/>
      <w:r>
        <w:t xml:space="preserve"> had come to him and said that the electronic access records had been checked and that it appeared that he </w:t>
      </w:r>
      <w:proofErr w:type="gramStart"/>
      <w:r>
        <w:t>hadn’t</w:t>
      </w:r>
      <w:proofErr w:type="gramEnd"/>
      <w:r>
        <w:t xml:space="preserve"> been hydrating the Specimens on a daily basis as required by the Procedure Manual.  He said that he had explained to Dr Massy-</w:t>
      </w:r>
      <w:proofErr w:type="spellStart"/>
      <w:r>
        <w:t>Westropp</w:t>
      </w:r>
      <w:proofErr w:type="spellEnd"/>
      <w:r>
        <w:t xml:space="preserve"> that there was “no need for them to be hydrated” and that she had said she would take some time to think about it and left.  In that part of his evidence, Mr Parry did not state that he told Dr Massy-</w:t>
      </w:r>
      <w:proofErr w:type="spellStart"/>
      <w:r>
        <w:t>Westropp</w:t>
      </w:r>
      <w:proofErr w:type="spellEnd"/>
      <w:r>
        <w:t xml:space="preserve"> he had not attended to the Specimens because of concerns about his exposure to formaldehyde.  He said that just under ten minutes later, Dr Massy-</w:t>
      </w:r>
      <w:proofErr w:type="spellStart"/>
      <w:r>
        <w:t>Westropp</w:t>
      </w:r>
      <w:proofErr w:type="spellEnd"/>
      <w:r>
        <w:t xml:space="preserve"> returned and said that she had to “let me go because I hadn’t been following the procedure manual”.  He said that he had “suggested that it was all a bit too convenient” and that Dr Massy-</w:t>
      </w:r>
      <w:proofErr w:type="spellStart"/>
      <w:r>
        <w:t>Westropp</w:t>
      </w:r>
      <w:proofErr w:type="spellEnd"/>
      <w:r>
        <w:t xml:space="preserve"> had said “oh no, it’s not the formaldehyde”.  When given the opportunity to elaborate on his oral evidence in respect of this conversation, Mr Parry declined.  He repeated that he relied on the material he had lodged in the FWC.</w:t>
      </w:r>
    </w:p>
    <w:p w14:paraId="20EBFD57" w14:textId="77777777" w:rsidR="000E1D3E" w:rsidRDefault="000E1D3E" w:rsidP="000E1D3E">
      <w:pPr>
        <w:pStyle w:val="NoNum"/>
      </w:pPr>
    </w:p>
    <w:p w14:paraId="20C3ECBC" w14:textId="7A2EB68F" w:rsidR="00FB1E4C" w:rsidRDefault="00F72649" w:rsidP="0078264A">
      <w:pPr>
        <w:pStyle w:val="ParaNumbering"/>
      </w:pPr>
      <w:r>
        <w:t>In cross-</w:t>
      </w:r>
      <w:r w:rsidR="00FB1E4C">
        <w:t xml:space="preserve">examination, </w:t>
      </w:r>
      <w:r w:rsidR="00A42E6A">
        <w:t>the appellant</w:t>
      </w:r>
      <w:r w:rsidR="00FB1E4C">
        <w:t xml:space="preserve"> admitted that he did not comply with</w:t>
      </w:r>
      <w:r>
        <w:t xml:space="preserve"> his obligation to hydrate the </w:t>
      </w:r>
      <w:r w:rsidR="00986F5E">
        <w:t>Specimens</w:t>
      </w:r>
      <w:r w:rsidR="00FB1E4C">
        <w:t xml:space="preserve"> daily because he knew better: </w:t>
      </w:r>
      <w:r>
        <w:t xml:space="preserve"> </w:t>
      </w:r>
      <w:r w:rsidR="00FB1E4C">
        <w:t>Reasons</w:t>
      </w:r>
      <w:r w:rsidR="00D9149B">
        <w:t xml:space="preserve"> </w:t>
      </w:r>
      <w:r w:rsidR="00FB1E4C">
        <w:t xml:space="preserve">[94], [109], </w:t>
      </w:r>
      <w:proofErr w:type="gramStart"/>
      <w:r w:rsidR="00FB1E4C">
        <w:t>[</w:t>
      </w:r>
      <w:proofErr w:type="gramEnd"/>
      <w:r w:rsidR="00FB1E4C">
        <w:t>112].</w:t>
      </w:r>
    </w:p>
    <w:p w14:paraId="175DAF68" w14:textId="60FE821B" w:rsidR="00FB1E4C" w:rsidRDefault="00FB1E4C" w:rsidP="0078264A">
      <w:pPr>
        <w:pStyle w:val="ParaNumbering"/>
      </w:pPr>
      <w:r>
        <w:t xml:space="preserve">The primary judge noted </w:t>
      </w:r>
      <w:r w:rsidR="00A42E6A">
        <w:t>the appellant</w:t>
      </w:r>
      <w:r>
        <w:t>’s acknowledgement that t</w:t>
      </w:r>
      <w:r w:rsidR="00F72649">
        <w:t xml:space="preserve">he requirements to hydrate the </w:t>
      </w:r>
      <w:r w:rsidR="00986F5E">
        <w:t>Specimens</w:t>
      </w:r>
      <w:r>
        <w:t xml:space="preserve"> daily </w:t>
      </w:r>
      <w:proofErr w:type="gramStart"/>
      <w:r>
        <w:t>was specified</w:t>
      </w:r>
      <w:proofErr w:type="gramEnd"/>
      <w:r>
        <w:t xml:space="preserve"> in the original version of the Procedure Manual as well as in a later version.  He did not dispute that prior to 8 October 2019, he had last accessed the specimen storage room on 20 September 2019: </w:t>
      </w:r>
      <w:r w:rsidR="00813AAE">
        <w:t xml:space="preserve"> </w:t>
      </w:r>
      <w:r>
        <w:t>Reasons</w:t>
      </w:r>
      <w:r w:rsidR="00D9149B">
        <w:t xml:space="preserve"> </w:t>
      </w:r>
      <w:r>
        <w:t>[96].</w:t>
      </w:r>
    </w:p>
    <w:p w14:paraId="001EEAB9" w14:textId="26F43933" w:rsidR="00820F4C" w:rsidRDefault="00FB1E4C" w:rsidP="0078264A">
      <w:pPr>
        <w:pStyle w:val="ParaNumbering"/>
      </w:pPr>
      <w:r>
        <w:lastRenderedPageBreak/>
        <w:t xml:space="preserve">On the question of the reasons for his dismissal, </w:t>
      </w:r>
      <w:r w:rsidR="00A42E6A">
        <w:t>the appellant</w:t>
      </w:r>
      <w:r>
        <w:t xml:space="preserve"> repeated before the primary judge his assertion that the real reason he was dismissed was </w:t>
      </w:r>
      <w:proofErr w:type="gramStart"/>
      <w:r>
        <w:t>because</w:t>
      </w:r>
      <w:proofErr w:type="gramEnd"/>
      <w:r>
        <w:t xml:space="preserve"> he had raised concerns about his health and safety, particularly by requiring better personal protective equipment and raising concerns about the</w:t>
      </w:r>
      <w:r w:rsidR="007759F1">
        <w:t xml:space="preserve"> levels of formaldehyde in the </w:t>
      </w:r>
      <w:r w:rsidR="00986F5E">
        <w:t>Specimens</w:t>
      </w:r>
      <w:r w:rsidR="00D27E8A">
        <w:t xml:space="preserve">: </w:t>
      </w:r>
      <w:r w:rsidR="007F387D">
        <w:t xml:space="preserve"> </w:t>
      </w:r>
      <w:r w:rsidR="009C6CBE">
        <w:t>Reasons [110].</w:t>
      </w:r>
    </w:p>
    <w:p w14:paraId="3D1F68B0" w14:textId="6D1E8987" w:rsidR="003D3E98" w:rsidRDefault="00820F4C" w:rsidP="0078264A">
      <w:pPr>
        <w:pStyle w:val="ParaNumbering"/>
      </w:pPr>
      <w:r>
        <w:t xml:space="preserve">The primary judge assessed </w:t>
      </w:r>
      <w:r w:rsidR="00A42E6A">
        <w:t>the appellant</w:t>
      </w:r>
      <w:r w:rsidR="003D3E98">
        <w:t xml:space="preserve"> as a witness under </w:t>
      </w:r>
      <w:r w:rsidR="007759F1">
        <w:t>cross-</w:t>
      </w:r>
      <w:r>
        <w:t xml:space="preserve">examination </w:t>
      </w:r>
      <w:r w:rsidR="003D3E98">
        <w:t>at Reasons [87].  Her Honour’s assessment was not favourable</w:t>
      </w:r>
      <w:r w:rsidR="007759F1">
        <w:t>,</w:t>
      </w:r>
      <w:r w:rsidR="003D3E98">
        <w:t xml:space="preserve"> describing </w:t>
      </w:r>
      <w:r w:rsidR="00A42E6A">
        <w:t>the appellant</w:t>
      </w:r>
      <w:r w:rsidR="003D3E98">
        <w:t xml:space="preserve"> as </w:t>
      </w:r>
      <w:r>
        <w:t>a defen</w:t>
      </w:r>
      <w:r w:rsidR="00225EF4">
        <w:t>sive and prevaricating witness, who at times resorted</w:t>
      </w:r>
      <w:r>
        <w:t xml:space="preserve"> to</w:t>
      </w:r>
      <w:r w:rsidR="00225EF4">
        <w:t xml:space="preserve"> sarcasm and other times denied</w:t>
      </w:r>
      <w:r>
        <w:t xml:space="preserve"> the occurrence of events that he later acknowledged had occurred</w:t>
      </w:r>
      <w:r w:rsidR="003D3E98">
        <w:t xml:space="preserve">.  </w:t>
      </w:r>
      <w:proofErr w:type="gramStart"/>
      <w:r w:rsidR="007F387D">
        <w:t>The primary judge formed</w:t>
      </w:r>
      <w:r w:rsidR="003D3E98">
        <w:t xml:space="preserve"> the view that </w:t>
      </w:r>
      <w:r w:rsidR="00A42E6A">
        <w:t>the appellant</w:t>
      </w:r>
      <w:r w:rsidR="00225EF4">
        <w:t xml:space="preserve"> believed</w:t>
      </w:r>
      <w:r w:rsidR="003D3E98">
        <w:t xml:space="preserve"> the respondent had formed a conspiracy against him and whilst </w:t>
      </w:r>
      <w:r w:rsidR="00225EF4">
        <w:t xml:space="preserve">her Honour gave </w:t>
      </w:r>
      <w:r w:rsidR="003D3E98">
        <w:t>him some lati</w:t>
      </w:r>
      <w:r w:rsidR="007759F1">
        <w:t>tude for the fact he was a self-</w:t>
      </w:r>
      <w:r w:rsidR="003D3E98">
        <w:t>represented litigant,</w:t>
      </w:r>
      <w:r w:rsidR="00D27E8A">
        <w:t xml:space="preserve"> </w:t>
      </w:r>
      <w:r w:rsidR="009C6CBE">
        <w:t xml:space="preserve">her Honour </w:t>
      </w:r>
      <w:r w:rsidR="003D3E98">
        <w:t xml:space="preserve">nonetheless concluded that </w:t>
      </w:r>
      <w:r w:rsidR="00A42E6A">
        <w:t>the appellant</w:t>
      </w:r>
      <w:r w:rsidR="003D3E98">
        <w:t>’s case was undermined by the content of the evidence given by him, particularly considering his reasons for not attending to hy</w:t>
      </w:r>
      <w:r w:rsidR="007759F1">
        <w:t xml:space="preserve">dration and care of the </w:t>
      </w:r>
      <w:r w:rsidR="00986F5E">
        <w:t>Specimens</w:t>
      </w:r>
      <w:r w:rsidR="003D3E98">
        <w:t xml:space="preserve"> on a daily basis.</w:t>
      </w:r>
      <w:proofErr w:type="gramEnd"/>
    </w:p>
    <w:p w14:paraId="79000B97" w14:textId="478EEA5E" w:rsidR="003D3E98" w:rsidRDefault="003D3E98" w:rsidP="0078264A">
      <w:pPr>
        <w:pStyle w:val="ParaNumbering"/>
      </w:pPr>
      <w:r>
        <w:t xml:space="preserve">The primary judge concluded that </w:t>
      </w:r>
      <w:r w:rsidR="00A42E6A">
        <w:t>the appellant</w:t>
      </w:r>
      <w:r>
        <w:t>’s unguarded responses in his oral evidence were to be preferred to his written versions of certain events as set out in the Fair Work Commission documents, particularly</w:t>
      </w:r>
      <w:r w:rsidR="00E87877">
        <w:t xml:space="preserve"> regarding</w:t>
      </w:r>
      <w:r>
        <w:t xml:space="preserve"> the content of his conversations with Dr Massy-</w:t>
      </w:r>
      <w:proofErr w:type="spellStart"/>
      <w:r>
        <w:t>Westropp</w:t>
      </w:r>
      <w:proofErr w:type="spellEnd"/>
      <w:r>
        <w:t xml:space="preserve"> on 8 October 2019.  Her Honour </w:t>
      </w:r>
      <w:r w:rsidR="00A54C92">
        <w:t xml:space="preserve">observed </w:t>
      </w:r>
      <w:proofErr w:type="gramStart"/>
      <w:r w:rsidR="00A54C92">
        <w:t xml:space="preserve">that it was </w:t>
      </w:r>
      <w:r w:rsidR="00A42E6A">
        <w:t xml:space="preserve">the </w:t>
      </w:r>
      <w:r w:rsidR="0035033A">
        <w:t xml:space="preserve">content of the </w:t>
      </w:r>
      <w:r w:rsidR="00A42E6A">
        <w:t>appellant</w:t>
      </w:r>
      <w:r w:rsidR="005021E4">
        <w:t xml:space="preserve">’s </w:t>
      </w:r>
      <w:r w:rsidR="00D27E8A">
        <w:t>responses in cross-</w:t>
      </w:r>
      <w:r w:rsidR="00A54C92">
        <w:t xml:space="preserve">examination that </w:t>
      </w:r>
      <w:r w:rsidR="0035033A">
        <w:t xml:space="preserve">undermined his case, rather than his </w:t>
      </w:r>
      <w:r w:rsidR="005021E4">
        <w:t>demeanour in cross-</w:t>
      </w:r>
      <w:r w:rsidR="005D1364">
        <w:t>examination</w:t>
      </w:r>
      <w:r w:rsidR="0035033A">
        <w:t xml:space="preserve">, which </w:t>
      </w:r>
      <w:r w:rsidR="005D1364">
        <w:t>did not generally weigh</w:t>
      </w:r>
      <w:r>
        <w:t xml:space="preserve"> against him in the resolution of disputed facts</w:t>
      </w:r>
      <w:proofErr w:type="gramEnd"/>
      <w:r>
        <w:t xml:space="preserve">: </w:t>
      </w:r>
      <w:r w:rsidR="00857D8C">
        <w:t xml:space="preserve"> </w:t>
      </w:r>
      <w:r>
        <w:t>Reasons [87].</w:t>
      </w:r>
    </w:p>
    <w:p w14:paraId="11C99E6A" w14:textId="6D0854A2" w:rsidR="00FB1E4C" w:rsidRDefault="003D3E98" w:rsidP="0078264A">
      <w:pPr>
        <w:pStyle w:val="ParaNumbering"/>
      </w:pPr>
      <w:r>
        <w:t xml:space="preserve">The primary judge observed that </w:t>
      </w:r>
      <w:r w:rsidR="00A42E6A">
        <w:t>the appellant</w:t>
      </w:r>
      <w:r>
        <w:t xml:space="preserve"> presented as a person convinced of the superiority of his own opinions over those with whom he had dealings in the workpl</w:t>
      </w:r>
      <w:r w:rsidR="005021E4">
        <w:t xml:space="preserve">ace concerning the care of the </w:t>
      </w:r>
      <w:r w:rsidR="00986F5E">
        <w:t>Specimens</w:t>
      </w:r>
      <w:r>
        <w:t xml:space="preserve">.  Her Honour considered that feature of his evidence supported the findings </w:t>
      </w:r>
      <w:r w:rsidR="005D1364">
        <w:t>her Honour</w:t>
      </w:r>
      <w:r>
        <w:t xml:space="preserve"> made a</w:t>
      </w:r>
      <w:r w:rsidR="005021E4">
        <w:t>bout his reasons for not hydrating</w:t>
      </w:r>
      <w:r>
        <w:t xml:space="preserve"> </w:t>
      </w:r>
      <w:r w:rsidR="005021E4">
        <w:t xml:space="preserve">the </w:t>
      </w:r>
      <w:r w:rsidR="00986F5E">
        <w:t>Specimens</w:t>
      </w:r>
      <w:r w:rsidR="005D1364">
        <w:t xml:space="preserve"> and reinforced</w:t>
      </w:r>
      <w:r w:rsidR="005021E4">
        <w:t xml:space="preserve"> her view that his</w:t>
      </w:r>
      <w:r>
        <w:t xml:space="preserve"> unguarded responses in oral testimony should be preferred over any inconsistent factual assertion in the written statement he prepared for the Fair Work Commission.</w:t>
      </w:r>
    </w:p>
    <w:p w14:paraId="7ECEF40A" w14:textId="77777777" w:rsidR="00FB1E4C" w:rsidRDefault="00FB1E4C" w:rsidP="00FB1E4C">
      <w:pPr>
        <w:pStyle w:val="Heading3"/>
      </w:pPr>
      <w:r>
        <w:t>Dr Massy-</w:t>
      </w:r>
      <w:proofErr w:type="spellStart"/>
      <w:r>
        <w:t>Westropp’s</w:t>
      </w:r>
      <w:proofErr w:type="spellEnd"/>
      <w:r>
        <w:t xml:space="preserve"> evidence</w:t>
      </w:r>
    </w:p>
    <w:p w14:paraId="647511ED" w14:textId="39FD5923" w:rsidR="0078474E" w:rsidRDefault="00FB1E4C" w:rsidP="00FB1E4C">
      <w:pPr>
        <w:pStyle w:val="ParaNumbering"/>
      </w:pPr>
      <w:r>
        <w:t>Dr Massy-</w:t>
      </w:r>
      <w:proofErr w:type="spellStart"/>
      <w:r>
        <w:t>Westropp</w:t>
      </w:r>
      <w:proofErr w:type="spellEnd"/>
      <w:r>
        <w:t xml:space="preserve"> </w:t>
      </w:r>
      <w:r w:rsidR="009C6CBE">
        <w:t>w</w:t>
      </w:r>
      <w:r w:rsidR="009C6CBE" w:rsidRPr="009C6CBE">
        <w:t>as the</w:t>
      </w:r>
      <w:r w:rsidR="009C6CBE">
        <w:t xml:space="preserve"> respondent’s</w:t>
      </w:r>
      <w:r w:rsidR="00D27E8A" w:rsidRPr="009C6CBE">
        <w:t xml:space="preserve"> </w:t>
      </w:r>
      <w:r w:rsidR="00520139">
        <w:t xml:space="preserve">principal witness.  </w:t>
      </w:r>
      <w:proofErr w:type="gramStart"/>
      <w:r w:rsidR="00FB0D24">
        <w:t>The primary judge dealt with her</w:t>
      </w:r>
      <w:r>
        <w:t xml:space="preserve"> evidence</w:t>
      </w:r>
      <w:r w:rsidR="00FB0D24">
        <w:t xml:space="preserve"> </w:t>
      </w:r>
      <w:r w:rsidR="000B7795">
        <w:t xml:space="preserve">comprehensively </w:t>
      </w:r>
      <w:r w:rsidR="00F11A50">
        <w:t>at Reasons [115]–</w:t>
      </w:r>
      <w:r w:rsidR="00FB0D24">
        <w:t>[</w:t>
      </w:r>
      <w:r w:rsidR="00C35E48">
        <w:t xml:space="preserve">166], dealing </w:t>
      </w:r>
      <w:r w:rsidR="00F11A50">
        <w:t xml:space="preserve">with topics of the </w:t>
      </w:r>
      <w:r w:rsidR="00986F5E">
        <w:t>Specimens</w:t>
      </w:r>
      <w:r w:rsidR="00F11A50">
        <w:t xml:space="preserve"> at [118]-[121];</w:t>
      </w:r>
      <w:r w:rsidR="00C35E48">
        <w:t xml:space="preserve"> </w:t>
      </w:r>
      <w:r w:rsidR="00A42E6A">
        <w:t>the appellant</w:t>
      </w:r>
      <w:r w:rsidR="00C35E48">
        <w:t>’s employ</w:t>
      </w:r>
      <w:r w:rsidR="00F11A50">
        <w:t>ment and his duties at [122]-[127]; formaldehyde at [128]-[13</w:t>
      </w:r>
      <w:r w:rsidR="00A54C92">
        <w:t>2</w:t>
      </w:r>
      <w:r w:rsidR="00F11A50">
        <w:t>];</w:t>
      </w:r>
      <w:r w:rsidR="00C35E48">
        <w:t xml:space="preserve"> a meeting that was held on 3 October 2019 with the laboratory staff in relation</w:t>
      </w:r>
      <w:r w:rsidR="00F11A50">
        <w:t xml:space="preserve"> to </w:t>
      </w:r>
      <w:r w:rsidR="00F11A50">
        <w:lastRenderedPageBreak/>
        <w:t xml:space="preserve">formaldehyde levels in the </w:t>
      </w:r>
      <w:r w:rsidR="00986F5E">
        <w:t>Specimens</w:t>
      </w:r>
      <w:r w:rsidR="00F11A50">
        <w:t xml:space="preserve"> at [133]-[135];</w:t>
      </w:r>
      <w:r w:rsidR="00C35E48">
        <w:t xml:space="preserve"> an email sent by </w:t>
      </w:r>
      <w:r w:rsidR="00A42E6A">
        <w:t>the appellant</w:t>
      </w:r>
      <w:r w:rsidR="00C35E48">
        <w:t xml:space="preserve"> on 6</w:t>
      </w:r>
      <w:r w:rsidR="00F11A50">
        <w:t> </w:t>
      </w:r>
      <w:r w:rsidR="00C35E48">
        <w:t>October 2019 to Dr</w:t>
      </w:r>
      <w:r w:rsidR="00F11A50">
        <w:t> </w:t>
      </w:r>
      <w:r w:rsidR="00C35E48">
        <w:t>Massy-</w:t>
      </w:r>
      <w:proofErr w:type="spellStart"/>
      <w:r w:rsidR="00C35E48">
        <w:t>Westropp</w:t>
      </w:r>
      <w:proofErr w:type="spellEnd"/>
      <w:r w:rsidR="00C35E48">
        <w:t xml:space="preserve"> and others, following on from the meeting held on 3</w:t>
      </w:r>
      <w:r w:rsidR="00F11A50">
        <w:t> </w:t>
      </w:r>
      <w:r w:rsidR="00C35E48">
        <w:t>October 2019, in relation to pers</w:t>
      </w:r>
      <w:r w:rsidR="00F11A50">
        <w:t>onal protective equipment at [136];</w:t>
      </w:r>
      <w:r w:rsidR="00C35E48">
        <w:t xml:space="preserve"> the event</w:t>
      </w:r>
      <w:r w:rsidR="00F11A50">
        <w:t>s of</w:t>
      </w:r>
      <w:r w:rsidR="00D27E8A">
        <w:t xml:space="preserve"> 8 October 2019 at [137]-[146];</w:t>
      </w:r>
      <w:r w:rsidR="00C35E48">
        <w:t xml:space="preserve"> </w:t>
      </w:r>
      <w:r w:rsidR="00A54C92">
        <w:t>the</w:t>
      </w:r>
      <w:r w:rsidR="00C35E48">
        <w:t xml:space="preserve"> alleged behavioural issues with </w:t>
      </w:r>
      <w:r w:rsidR="00A42E6A">
        <w:t>the appellant</w:t>
      </w:r>
      <w:r w:rsidR="00C35E48">
        <w:t xml:space="preserve"> at [147]-[152]</w:t>
      </w:r>
      <w:r w:rsidR="00A54C92">
        <w:t>; and the alleged reasons for dismissal at [153]-[166]</w:t>
      </w:r>
      <w:r w:rsidR="00C35E48">
        <w:t>.</w:t>
      </w:r>
      <w:proofErr w:type="gramEnd"/>
    </w:p>
    <w:p w14:paraId="7A3D9952" w14:textId="33A4450D" w:rsidR="00934551" w:rsidRDefault="003D3DC5" w:rsidP="00FB1E4C">
      <w:pPr>
        <w:pStyle w:val="ParaNumbering"/>
      </w:pPr>
      <w:r>
        <w:t>The primary judge found that c</w:t>
      </w:r>
      <w:r w:rsidR="0078474E">
        <w:t>ritical amongst the evidence g</w:t>
      </w:r>
      <w:r>
        <w:t>iven by Dr Massy-</w:t>
      </w:r>
      <w:proofErr w:type="spellStart"/>
      <w:r>
        <w:t>Westropp</w:t>
      </w:r>
      <w:proofErr w:type="spellEnd"/>
      <w:r>
        <w:t xml:space="preserve"> wa</w:t>
      </w:r>
      <w:r w:rsidR="0078474E">
        <w:t>s that during the morning of 8</w:t>
      </w:r>
      <w:r w:rsidR="001966D7">
        <w:t> </w:t>
      </w:r>
      <w:r w:rsidR="0078474E">
        <w:t>October 2019, she was approached by Ms Grubb, an</w:t>
      </w:r>
      <w:r w:rsidR="001966D7">
        <w:t>d informed that Ms Grubb had gone</w:t>
      </w:r>
      <w:r w:rsidR="0078474E">
        <w:t xml:space="preserve"> into the specimen storage room to att</w:t>
      </w:r>
      <w:r>
        <w:t>end to monthly swabb</w:t>
      </w:r>
      <w:r w:rsidR="001966D7">
        <w:t xml:space="preserve">ing of the </w:t>
      </w:r>
      <w:r w:rsidR="00986F5E">
        <w:t>Specimens</w:t>
      </w:r>
      <w:r w:rsidR="0078474E">
        <w:t xml:space="preserve"> and that she was concerned the room was warming up</w:t>
      </w:r>
      <w:r w:rsidR="001966D7">
        <w:t>.  U</w:t>
      </w:r>
      <w:r w:rsidR="0078474E">
        <w:t>pon attending the specim</w:t>
      </w:r>
      <w:r w:rsidR="001966D7">
        <w:t xml:space="preserve">en storage room, she noted the </w:t>
      </w:r>
      <w:r w:rsidR="00986F5E">
        <w:t>Specimens</w:t>
      </w:r>
      <w:r w:rsidR="0078474E">
        <w:t xml:space="preserve"> were dry, signifying to her that they </w:t>
      </w:r>
      <w:proofErr w:type="gramStart"/>
      <w:r w:rsidR="0078474E">
        <w:t>had not been hydrated</w:t>
      </w:r>
      <w:proofErr w:type="gramEnd"/>
      <w:r w:rsidR="0078474E">
        <w:t xml:space="preserve">.  It was following that discovery that she made contact with </w:t>
      </w:r>
      <w:r w:rsidR="00A42E6A">
        <w:t>the appellant</w:t>
      </w:r>
      <w:r w:rsidR="00011B5E">
        <w:t xml:space="preserve">: </w:t>
      </w:r>
      <w:r w:rsidR="009C6CBE">
        <w:t>Reasons [139]</w:t>
      </w:r>
      <w:r w:rsidR="007F387D">
        <w:t>-[141]</w:t>
      </w:r>
      <w:r w:rsidR="009C6CBE">
        <w:t>.</w:t>
      </w:r>
    </w:p>
    <w:p w14:paraId="282FD208" w14:textId="77777777" w:rsidR="00934551" w:rsidRDefault="00934551" w:rsidP="00FB1E4C">
      <w:pPr>
        <w:pStyle w:val="ParaNumbering"/>
      </w:pPr>
      <w:r>
        <w:t>The primary judge summarised the evidence given by Dr Massy-</w:t>
      </w:r>
      <w:proofErr w:type="spellStart"/>
      <w:r>
        <w:t>Westropp</w:t>
      </w:r>
      <w:proofErr w:type="spellEnd"/>
      <w:r>
        <w:t xml:space="preserve"> as to what occurred in the conversations with </w:t>
      </w:r>
      <w:r w:rsidR="00A42E6A">
        <w:t>the appellant</w:t>
      </w:r>
      <w:r>
        <w:t xml:space="preserve"> on 8 October 2019 in the following terms: </w:t>
      </w:r>
      <w:r w:rsidR="003B6436">
        <w:t xml:space="preserve"> </w:t>
      </w:r>
      <w:r w:rsidR="00D9149B">
        <w:t>Reasons</w:t>
      </w:r>
      <w:r w:rsidR="003B6436">
        <w:t xml:space="preserve"> </w:t>
      </w:r>
      <w:r>
        <w:t>[143]-[144]</w:t>
      </w:r>
      <w:r w:rsidR="003B6436">
        <w:t>.</w:t>
      </w:r>
    </w:p>
    <w:p w14:paraId="4D993E78" w14:textId="77777777" w:rsidR="008E6975" w:rsidRDefault="008E6975" w:rsidP="008E6975">
      <w:pPr>
        <w:pStyle w:val="Quote1"/>
        <w:ind w:left="1440" w:hanging="703"/>
      </w:pPr>
      <w:r>
        <w:t>143.</w:t>
      </w:r>
      <w:r>
        <w:tab/>
        <w:t>Dr Massy-</w:t>
      </w:r>
      <w:proofErr w:type="spellStart"/>
      <w:r>
        <w:t>Westropp</w:t>
      </w:r>
      <w:proofErr w:type="spellEnd"/>
      <w:r>
        <w:t xml:space="preserve"> said that she found Mr Parry sitting at his computer and said to him that nobody had entered the wet laboratory for just over two weeks.  She said that to her shock Mr Parry replied that he had not been in the room because the bodies </w:t>
      </w:r>
      <w:proofErr w:type="gramStart"/>
      <w:r>
        <w:t>hadn’t</w:t>
      </w:r>
      <w:proofErr w:type="gramEnd"/>
      <w:r>
        <w:t xml:space="preserve"> been needed for teaching and were sealed within the cabinets.  Dr Massy-</w:t>
      </w:r>
      <w:proofErr w:type="spellStart"/>
      <w:r>
        <w:t>Westropp</w:t>
      </w:r>
      <w:proofErr w:type="spellEnd"/>
      <w:r>
        <w:t xml:space="preserve"> said that she would need to “go away and think about this”.  She said that when she returned to her office, she decided that she could not trust Mr Parry and that she wanted him to leave immediately.  She said that she telephoned Ms Todd and said that she wanted Mr Parry to leave and that Ms Todd had said to wait a moment while she spoke to somebody in Human Resources.  Dr Massy-</w:t>
      </w:r>
      <w:proofErr w:type="spellStart"/>
      <w:r>
        <w:t>Westropp</w:t>
      </w:r>
      <w:proofErr w:type="spellEnd"/>
      <w:r>
        <w:t xml:space="preserve"> said that Ms Todd then called her back and confirmed that she could dismiss Mr Parry.  Dr Massy-</w:t>
      </w:r>
      <w:proofErr w:type="spellStart"/>
      <w:r>
        <w:t>Westropp</w:t>
      </w:r>
      <w:proofErr w:type="spellEnd"/>
      <w:r>
        <w:t xml:space="preserve"> said that she asked Ms Todd to accompany her but Ms Todd was unable to do so because she had a meeting.</w:t>
      </w:r>
    </w:p>
    <w:p w14:paraId="0AFE58F7" w14:textId="04AFB8D4" w:rsidR="008E6975" w:rsidRDefault="008E6975" w:rsidP="008E6975">
      <w:pPr>
        <w:pStyle w:val="Quote1"/>
        <w:ind w:left="1440" w:hanging="703"/>
      </w:pPr>
      <w:r>
        <w:t>144.</w:t>
      </w:r>
      <w:r>
        <w:tab/>
        <w:t>Dr Massy-</w:t>
      </w:r>
      <w:proofErr w:type="spellStart"/>
      <w:r>
        <w:t>Westropp</w:t>
      </w:r>
      <w:proofErr w:type="spellEnd"/>
      <w:r>
        <w:t xml:space="preserve"> said that when she returned to Mr Parry he started to talk to her about masks he had found.  She said that she interrupted him and said “I’m sorry Chris, we can’t have you working here”, and that Mr Parry had said something to the effect that the timing was a little too convenient.  Dr Massy-</w:t>
      </w:r>
      <w:proofErr w:type="spellStart"/>
      <w:r>
        <w:t>Westropp</w:t>
      </w:r>
      <w:proofErr w:type="spellEnd"/>
      <w:r>
        <w:t xml:space="preserve"> said that she referred to the “gassing problem” and said words to the effect that the University was “getting to the bottom of it”.  She said that at that </w:t>
      </w:r>
      <w:proofErr w:type="gramStart"/>
      <w:r>
        <w:t>point</w:t>
      </w:r>
      <w:proofErr w:type="gramEnd"/>
      <w:r>
        <w:t xml:space="preserve"> Mr Parry started to walk away and she thought it best not to follow him.</w:t>
      </w:r>
    </w:p>
    <w:p w14:paraId="64526146" w14:textId="77777777" w:rsidR="000E1D3E" w:rsidRDefault="000E1D3E" w:rsidP="000E1D3E">
      <w:pPr>
        <w:pStyle w:val="NoNum"/>
      </w:pPr>
    </w:p>
    <w:p w14:paraId="5AA7A743" w14:textId="77777777" w:rsidR="00C35E48" w:rsidRDefault="00C35E48" w:rsidP="00C35E48">
      <w:pPr>
        <w:pStyle w:val="Heading3"/>
      </w:pPr>
      <w:r>
        <w:lastRenderedPageBreak/>
        <w:t>Other witnesses</w:t>
      </w:r>
    </w:p>
    <w:p w14:paraId="6CC8A3A2" w14:textId="19692C66" w:rsidR="00820F4C" w:rsidRDefault="003B6436" w:rsidP="00820F4C">
      <w:pPr>
        <w:pStyle w:val="ParaNumbering"/>
      </w:pPr>
      <w:r>
        <w:t>T</w:t>
      </w:r>
      <w:r w:rsidR="00C35E48">
        <w:t>he other two witnesses called by the r</w:t>
      </w:r>
      <w:r>
        <w:t>espondent were Ms Raewyn Todd, M</w:t>
      </w:r>
      <w:r w:rsidR="00C35E48">
        <w:t>anager of the School of Health Sciences at the University of South Australia</w:t>
      </w:r>
      <w:r w:rsidR="00857D8C">
        <w:t>,</w:t>
      </w:r>
      <w:r>
        <w:t xml:space="preserve"> </w:t>
      </w:r>
      <w:r w:rsidR="00635173">
        <w:t xml:space="preserve">whose evidence was considered by the primary judge </w:t>
      </w:r>
      <w:r>
        <w:t>at</w:t>
      </w:r>
      <w:r w:rsidR="009C6CBE">
        <w:t xml:space="preserve"> Reasons</w:t>
      </w:r>
      <w:r w:rsidR="00011B5E">
        <w:t xml:space="preserve"> </w:t>
      </w:r>
      <w:r w:rsidR="00C35E48">
        <w:t>[167]-[176]</w:t>
      </w:r>
      <w:r w:rsidR="00857D8C">
        <w:t>,</w:t>
      </w:r>
      <w:r w:rsidR="00C35E48">
        <w:t xml:space="preserve"> and Ms</w:t>
      </w:r>
      <w:r w:rsidR="00011B5E">
        <w:t> </w:t>
      </w:r>
      <w:r w:rsidR="000C0A90">
        <w:t xml:space="preserve">Candice </w:t>
      </w:r>
      <w:r w:rsidR="00C35E48">
        <w:t>Grubb</w:t>
      </w:r>
      <w:r w:rsidR="00635173">
        <w:t xml:space="preserve"> whose evidence was considered</w:t>
      </w:r>
      <w:r w:rsidR="00011B5E">
        <w:t xml:space="preserve"> </w:t>
      </w:r>
      <w:r w:rsidR="009C6CBE">
        <w:t xml:space="preserve">at </w:t>
      </w:r>
      <w:r w:rsidR="00857D8C">
        <w:t xml:space="preserve">Reasons </w:t>
      </w:r>
      <w:r w:rsidR="009C6CBE">
        <w:t>[177]</w:t>
      </w:r>
      <w:r w:rsidR="003012CD">
        <w:t>-</w:t>
      </w:r>
      <w:r w:rsidR="009C6CBE">
        <w:t>[190].</w:t>
      </w:r>
    </w:p>
    <w:p w14:paraId="683A6613" w14:textId="32E41093" w:rsidR="0067496D" w:rsidRDefault="00820F4C" w:rsidP="00820F4C">
      <w:pPr>
        <w:pStyle w:val="ParaNumbering"/>
      </w:pPr>
      <w:r w:rsidRPr="005D1364">
        <w:t xml:space="preserve">No complaint </w:t>
      </w:r>
      <w:proofErr w:type="gramStart"/>
      <w:r w:rsidRPr="005D1364">
        <w:t>is made</w:t>
      </w:r>
      <w:proofErr w:type="gramEnd"/>
      <w:r w:rsidRPr="005D1364">
        <w:t xml:space="preserve"> by </w:t>
      </w:r>
      <w:r w:rsidR="00A42E6A" w:rsidRPr="005D1364">
        <w:t>the appellant</w:t>
      </w:r>
      <w:r w:rsidRPr="005D1364">
        <w:t xml:space="preserve"> as to the primary judge</w:t>
      </w:r>
      <w:r w:rsidR="003B6436" w:rsidRPr="005D1364">
        <w:t>’s</w:t>
      </w:r>
      <w:r w:rsidRPr="005D1364">
        <w:t xml:space="preserve"> summary of the </w:t>
      </w:r>
      <w:r w:rsidR="005D1364" w:rsidRPr="005D1364">
        <w:t>evidence of</w:t>
      </w:r>
      <w:r w:rsidR="00011B5E">
        <w:t xml:space="preserve"> Ms </w:t>
      </w:r>
      <w:r w:rsidR="0067496D">
        <w:t>Todd.</w:t>
      </w:r>
    </w:p>
    <w:p w14:paraId="236ADA38" w14:textId="56F31CF5" w:rsidR="00D85BC2" w:rsidRPr="005D1364" w:rsidRDefault="0067496D" w:rsidP="00CD3A94">
      <w:pPr>
        <w:pStyle w:val="ParaNumbering"/>
      </w:pPr>
      <w:r>
        <w:t xml:space="preserve">The </w:t>
      </w:r>
      <w:r w:rsidR="00D85BC2">
        <w:t xml:space="preserve">primary judge assessed </w:t>
      </w:r>
      <w:r w:rsidR="00820F4C" w:rsidRPr="005D1364">
        <w:t xml:space="preserve">Ms Grubb as an impressive witness </w:t>
      </w:r>
      <w:r w:rsidR="005D1364" w:rsidRPr="005D1364">
        <w:t>whose</w:t>
      </w:r>
      <w:r w:rsidR="003B6436" w:rsidRPr="005D1364">
        <w:t xml:space="preserve"> </w:t>
      </w:r>
      <w:r w:rsidR="00820F4C" w:rsidRPr="005D1364">
        <w:t xml:space="preserve">evidence she preferred over that of </w:t>
      </w:r>
      <w:r w:rsidR="00A42E6A" w:rsidRPr="005D1364">
        <w:t>the appellant</w:t>
      </w:r>
      <w:r w:rsidR="00820F4C" w:rsidRPr="005D1364">
        <w:t xml:space="preserve"> </w:t>
      </w:r>
      <w:r w:rsidR="005D1364" w:rsidRPr="005D1364">
        <w:t>where that</w:t>
      </w:r>
      <w:r w:rsidR="00820F4C" w:rsidRPr="005D1364">
        <w:t xml:space="preserve"> evidence was in conflict.</w:t>
      </w:r>
      <w:r w:rsidR="00B40323">
        <w:t xml:space="preserve">  </w:t>
      </w:r>
      <w:r w:rsidR="000C0A90">
        <w:t>On this appeal</w:t>
      </w:r>
      <w:r w:rsidR="009245C9">
        <w:t>,</w:t>
      </w:r>
      <w:r w:rsidR="000C0A90">
        <w:t xml:space="preserve"> t</w:t>
      </w:r>
      <w:r w:rsidR="00D85BC2">
        <w:t xml:space="preserve">he appellant makes a number of submissions about </w:t>
      </w:r>
      <w:r w:rsidR="00DD42D9">
        <w:t>Ms Grubb’s evidence, which the Court considers when addressing the appellant’s grounds of appeal.</w:t>
      </w:r>
    </w:p>
    <w:p w14:paraId="55425EB9" w14:textId="77777777" w:rsidR="00820F4C" w:rsidRDefault="00820F4C" w:rsidP="00820F4C">
      <w:pPr>
        <w:pStyle w:val="Heading3"/>
      </w:pPr>
      <w:r>
        <w:t>Documents</w:t>
      </w:r>
    </w:p>
    <w:p w14:paraId="6E38CAE0" w14:textId="0E51EB77" w:rsidR="0078474E" w:rsidRDefault="003B6436" w:rsidP="00820F4C">
      <w:pPr>
        <w:pStyle w:val="ParaNumbering"/>
      </w:pPr>
      <w:r>
        <w:t>D</w:t>
      </w:r>
      <w:r w:rsidR="00820F4C">
        <w:t>uring the course of the trial</w:t>
      </w:r>
      <w:r w:rsidR="0097691D">
        <w:t>,</w:t>
      </w:r>
      <w:r w:rsidR="00820F4C">
        <w:t xml:space="preserve"> </w:t>
      </w:r>
      <w:r w:rsidR="00A42E6A">
        <w:t>the appellant</w:t>
      </w:r>
      <w:r w:rsidR="00820F4C">
        <w:t xml:space="preserve"> called for production of the</w:t>
      </w:r>
      <w:r w:rsidR="005D1364">
        <w:t xml:space="preserve"> respondent’s</w:t>
      </w:r>
      <w:r w:rsidR="00820F4C">
        <w:t xml:space="preserve"> Human Resources file</w:t>
      </w:r>
      <w:r w:rsidR="005D1364">
        <w:t xml:space="preserve"> that related to him.  In </w:t>
      </w:r>
      <w:r w:rsidR="00820F4C">
        <w:t xml:space="preserve">response, the respondent produced three emails.  </w:t>
      </w:r>
      <w:r w:rsidR="00A42E6A">
        <w:t>The appellant</w:t>
      </w:r>
      <w:r w:rsidR="00820F4C">
        <w:t xml:space="preserve"> did not tender any of them</w:t>
      </w:r>
      <w:r w:rsidR="00011B5E">
        <w:t>:</w:t>
      </w:r>
      <w:r w:rsidR="0097691D">
        <w:t xml:space="preserve"> </w:t>
      </w:r>
      <w:r w:rsidR="009245C9">
        <w:t xml:space="preserve"> </w:t>
      </w:r>
      <w:r w:rsidR="0078474E">
        <w:t>R</w:t>
      </w:r>
      <w:r w:rsidR="00820F4C">
        <w:t>easons [175]</w:t>
      </w:r>
      <w:r w:rsidR="0078474E">
        <w:t>.</w:t>
      </w:r>
    </w:p>
    <w:p w14:paraId="13CBF441" w14:textId="6620D7E1" w:rsidR="0055735B" w:rsidRDefault="0078474E" w:rsidP="00820F4C">
      <w:pPr>
        <w:pStyle w:val="ParaNumbering"/>
      </w:pPr>
      <w:proofErr w:type="gramStart"/>
      <w:r>
        <w:t xml:space="preserve">The primary judge noted that </w:t>
      </w:r>
      <w:r w:rsidR="00A42E6A">
        <w:t>the appellant</w:t>
      </w:r>
      <w:r>
        <w:t>’s case was that the discovery of temperature problems in the specimen storage room was a concoction by the respondent to conceal the real reason for his dismissal which, he submitted to the primary judge, was a conspiracy amongst a number of indi</w:t>
      </w:r>
      <w:r w:rsidR="0097691D">
        <w:t xml:space="preserve">viduals within the </w:t>
      </w:r>
      <w:r w:rsidR="003D3DC5">
        <w:t>University who</w:t>
      </w:r>
      <w:r>
        <w:t xml:space="preserve"> wanted him gone because he had agitated issues concerning health and safety in the workplace.</w:t>
      </w:r>
      <w:proofErr w:type="gramEnd"/>
      <w:r>
        <w:t xml:space="preserve">  As </w:t>
      </w:r>
      <w:r w:rsidR="0097691D">
        <w:t xml:space="preserve">a </w:t>
      </w:r>
      <w:r>
        <w:t xml:space="preserve">part of that, the primary judge noted that </w:t>
      </w:r>
      <w:r w:rsidR="00A42E6A">
        <w:t>the appellant</w:t>
      </w:r>
      <w:r>
        <w:t xml:space="preserve"> took issue with the authenticity of a number of records and alleged that oral evidence </w:t>
      </w:r>
      <w:proofErr w:type="gramStart"/>
      <w:r>
        <w:t>had been concocted</w:t>
      </w:r>
      <w:proofErr w:type="gramEnd"/>
      <w:r>
        <w:t xml:space="preserve">.  Her Honour considered that complaint, finding that none of </w:t>
      </w:r>
      <w:r w:rsidR="00A42E6A">
        <w:t>the appellant</w:t>
      </w:r>
      <w:r>
        <w:t>’s challenges to t</w:t>
      </w:r>
      <w:r w:rsidR="005D1364">
        <w:t>he authenticity of documents had</w:t>
      </w:r>
      <w:r>
        <w:t xml:space="preserve"> merit or significance: </w:t>
      </w:r>
      <w:r w:rsidR="009245C9">
        <w:t xml:space="preserve"> </w:t>
      </w:r>
      <w:r>
        <w:t>Reasons [191]-[198]</w:t>
      </w:r>
      <w:r w:rsidR="0055735B">
        <w:t>.</w:t>
      </w:r>
    </w:p>
    <w:p w14:paraId="12662547" w14:textId="16A2949E" w:rsidR="00D04E5F" w:rsidRDefault="0097691D" w:rsidP="00D04E5F">
      <w:pPr>
        <w:pStyle w:val="Heading2"/>
      </w:pPr>
      <w:r>
        <w:t>The primary j</w:t>
      </w:r>
      <w:r w:rsidR="00D04E5F">
        <w:t>udge</w:t>
      </w:r>
      <w:r w:rsidR="000C0A90">
        <w:t>'</w:t>
      </w:r>
      <w:r w:rsidR="00D04E5F">
        <w:t xml:space="preserve">s </w:t>
      </w:r>
      <w:r>
        <w:t>consideration and f</w:t>
      </w:r>
      <w:r w:rsidR="00D04E5F">
        <w:t>indings</w:t>
      </w:r>
    </w:p>
    <w:p w14:paraId="73B0C917" w14:textId="6F8AB96C" w:rsidR="00BD354E" w:rsidRDefault="009D6D70" w:rsidP="00D04E5F">
      <w:pPr>
        <w:pStyle w:val="ParaNumbering"/>
      </w:pPr>
      <w:r>
        <w:t>T</w:t>
      </w:r>
      <w:r w:rsidR="00BD354E">
        <w:t xml:space="preserve">he primary judge found </w:t>
      </w:r>
      <w:r w:rsidR="000C0A90">
        <w:t xml:space="preserve">that </w:t>
      </w:r>
      <w:r w:rsidR="00A42E6A">
        <w:t>the appellant</w:t>
      </w:r>
      <w:r w:rsidR="00BD354E">
        <w:t xml:space="preserve"> had a right in the nature of a workplace right to raise a complaint or enquir</w:t>
      </w:r>
      <w:r>
        <w:t xml:space="preserve">y about formaldehyde levels in </w:t>
      </w:r>
      <w:r w:rsidR="00986F5E">
        <w:t>Specimens</w:t>
      </w:r>
      <w:r w:rsidR="003D3DC5">
        <w:t xml:space="preserve"> and that he </w:t>
      </w:r>
      <w:proofErr w:type="gramStart"/>
      <w:r w:rsidR="003D3DC5">
        <w:t>had</w:t>
      </w:r>
      <w:r w:rsidR="00BD354E">
        <w:t>, in fact, exercise</w:t>
      </w:r>
      <w:r w:rsidR="003D3DC5">
        <w:t>d</w:t>
      </w:r>
      <w:proofErr w:type="gramEnd"/>
      <w:r w:rsidR="00BD354E">
        <w:t xml:space="preserve"> that right:</w:t>
      </w:r>
      <w:r>
        <w:t xml:space="preserve"> </w:t>
      </w:r>
      <w:r w:rsidR="001A7727">
        <w:t xml:space="preserve"> </w:t>
      </w:r>
      <w:r w:rsidR="00BD354E">
        <w:t>Reasons</w:t>
      </w:r>
      <w:r w:rsidR="00D9149B">
        <w:t xml:space="preserve"> </w:t>
      </w:r>
      <w:r w:rsidR="00BD354E">
        <w:t>[200].</w:t>
      </w:r>
    </w:p>
    <w:p w14:paraId="601F6F50" w14:textId="5D73B9E9" w:rsidR="00BD354E" w:rsidRDefault="00BD354E" w:rsidP="00D04E5F">
      <w:pPr>
        <w:pStyle w:val="ParaNumbering"/>
      </w:pPr>
      <w:r>
        <w:t xml:space="preserve">The primary judge was also satisfied that </w:t>
      </w:r>
      <w:r w:rsidR="00A42E6A">
        <w:t>the appellant</w:t>
      </w:r>
      <w:r>
        <w:t xml:space="preserve"> possessed a right to take steps to protect his health and safety at work, including a right to decline to perform his duties for safety </w:t>
      </w:r>
      <w:r>
        <w:lastRenderedPageBreak/>
        <w:t>reasons</w:t>
      </w:r>
      <w:r w:rsidR="009D6D70">
        <w:t>,</w:t>
      </w:r>
      <w:r>
        <w:t xml:space="preserve"> and that he </w:t>
      </w:r>
      <w:r w:rsidR="003D3DC5">
        <w:t xml:space="preserve">had taken </w:t>
      </w:r>
      <w:r>
        <w:t xml:space="preserve">steps to safeguard his health by wearing what he considered to be more suitable personal protective equipment: </w:t>
      </w:r>
      <w:r w:rsidR="009D6D70">
        <w:t xml:space="preserve"> </w:t>
      </w:r>
      <w:r>
        <w:t>Reasons</w:t>
      </w:r>
      <w:r w:rsidR="009D6D70">
        <w:t xml:space="preserve"> [202], </w:t>
      </w:r>
      <w:r>
        <w:t>[203].</w:t>
      </w:r>
    </w:p>
    <w:p w14:paraId="30FE48EC" w14:textId="06B42546" w:rsidR="00BD354E" w:rsidRDefault="00BD354E" w:rsidP="00D04E5F">
      <w:pPr>
        <w:pStyle w:val="ParaNumbering"/>
      </w:pPr>
      <w:r>
        <w:t xml:space="preserve">However, the primary judge found that on his own admission, </w:t>
      </w:r>
      <w:r w:rsidR="009D6D70">
        <w:t>t</w:t>
      </w:r>
      <w:r w:rsidR="00A42E6A">
        <w:t>he appellant</w:t>
      </w:r>
      <w:r w:rsidR="00250DA7">
        <w:t xml:space="preserve"> had </w:t>
      </w:r>
      <w:r>
        <w:t>not at</w:t>
      </w:r>
      <w:r w:rsidR="009D6D70">
        <w:t>tend</w:t>
      </w:r>
      <w:r w:rsidR="00250DA7">
        <w:t xml:space="preserve">ed </w:t>
      </w:r>
      <w:r w:rsidR="009D6D70">
        <w:t xml:space="preserve">to the daily hydration of </w:t>
      </w:r>
      <w:r w:rsidR="00986F5E">
        <w:t>Specimens</w:t>
      </w:r>
      <w:r>
        <w:t xml:space="preserve"> between 20 September 2019 and the date of his termination on 8 October 2019: </w:t>
      </w:r>
      <w:r w:rsidR="001A7727">
        <w:t xml:space="preserve"> </w:t>
      </w:r>
      <w:r>
        <w:t>Reasons</w:t>
      </w:r>
      <w:r w:rsidR="00D9149B">
        <w:t xml:space="preserve"> </w:t>
      </w:r>
      <w:r>
        <w:t>[207].</w:t>
      </w:r>
    </w:p>
    <w:p w14:paraId="26405F0D" w14:textId="47516383" w:rsidR="00BD354E" w:rsidRDefault="00BD354E" w:rsidP="00D04E5F">
      <w:pPr>
        <w:pStyle w:val="ParaNumbering"/>
      </w:pPr>
      <w:r>
        <w:t xml:space="preserve">Her Honour then set out her </w:t>
      </w:r>
      <w:r w:rsidR="001A7727">
        <w:t>R</w:t>
      </w:r>
      <w:r>
        <w:t xml:space="preserve">easons at [208]-[234] as to why she concluded that </w:t>
      </w:r>
      <w:r w:rsidR="00A42E6A">
        <w:t>the appellant</w:t>
      </w:r>
      <w:r>
        <w:t xml:space="preserve">’s </w:t>
      </w:r>
      <w:r w:rsidR="00250DA7">
        <w:t>failure</w:t>
      </w:r>
      <w:r w:rsidR="009D6D70">
        <w:t xml:space="preserve"> to attend to the </w:t>
      </w:r>
      <w:r w:rsidR="00986F5E">
        <w:t>Specimens</w:t>
      </w:r>
      <w:r>
        <w:t xml:space="preserve"> did not constitute the exercise of a workplace right</w:t>
      </w:r>
      <w:r w:rsidR="00292FB7">
        <w:t>.</w:t>
      </w:r>
    </w:p>
    <w:p w14:paraId="0E8B3CFC" w14:textId="77777777" w:rsidR="00BD354E" w:rsidRDefault="00BD354E" w:rsidP="00D04E5F">
      <w:pPr>
        <w:pStyle w:val="ParaNumbering"/>
      </w:pPr>
      <w:r>
        <w:t>In summary, those reasons are that:</w:t>
      </w:r>
    </w:p>
    <w:p w14:paraId="0EAF390F" w14:textId="15A761DF" w:rsidR="00BD354E" w:rsidRDefault="003D19B8" w:rsidP="005D1364">
      <w:pPr>
        <w:pStyle w:val="ListNo1"/>
        <w:numPr>
          <w:ilvl w:val="0"/>
          <w:numId w:val="30"/>
        </w:numPr>
      </w:pPr>
      <w:r>
        <w:t>T</w:t>
      </w:r>
      <w:r w:rsidR="00A42E6A">
        <w:t>he appellant</w:t>
      </w:r>
      <w:r w:rsidR="00BD354E">
        <w:t>’s oral evidence</w:t>
      </w:r>
      <w:r>
        <w:t>,</w:t>
      </w:r>
      <w:r w:rsidR="00BD354E">
        <w:t xml:space="preserve"> and the evidence he presented to the Fair Work Commission covering the same subject matter</w:t>
      </w:r>
      <w:r>
        <w:t>,</w:t>
      </w:r>
      <w:r w:rsidR="00BD354E">
        <w:t xml:space="preserve"> differed.  Specifically, in his oral testimony, </w:t>
      </w:r>
      <w:r w:rsidR="00A42E6A">
        <w:t>the appellant</w:t>
      </w:r>
      <w:r w:rsidR="00BD354E">
        <w:t xml:space="preserve"> did not state that his decision not t</w:t>
      </w:r>
      <w:r>
        <w:t xml:space="preserve">o attend to the </w:t>
      </w:r>
      <w:r w:rsidR="00986F5E">
        <w:t>Specimens</w:t>
      </w:r>
      <w:r w:rsidR="00BD354E">
        <w:t xml:space="preserve"> </w:t>
      </w:r>
      <w:proofErr w:type="gramStart"/>
      <w:r w:rsidR="00BD354E">
        <w:t>was related</w:t>
      </w:r>
      <w:proofErr w:type="gramEnd"/>
      <w:r w:rsidR="00BD354E">
        <w:t xml:space="preserve"> to his concerns about formaldehyde.  Her Honour considered </w:t>
      </w:r>
      <w:r w:rsidR="00A42E6A">
        <w:t>the appellant</w:t>
      </w:r>
      <w:r w:rsidR="00BD354E">
        <w:t xml:space="preserve">’s </w:t>
      </w:r>
      <w:r>
        <w:t>“</w:t>
      </w:r>
      <w:r w:rsidR="00BD354E">
        <w:t xml:space="preserve">unguarded responses” given in the course of trial were more reliable evidence: </w:t>
      </w:r>
      <w:r w:rsidR="00D9149B">
        <w:t xml:space="preserve">Reasons </w:t>
      </w:r>
      <w:r>
        <w:t xml:space="preserve">[208], </w:t>
      </w:r>
      <w:r w:rsidR="00BD354E">
        <w:t>[209];</w:t>
      </w:r>
    </w:p>
    <w:p w14:paraId="732CC00D" w14:textId="42A97DAD" w:rsidR="00BD354E" w:rsidRDefault="009369AE" w:rsidP="00CC3DC5">
      <w:pPr>
        <w:pStyle w:val="ListNo1"/>
        <w:numPr>
          <w:ilvl w:val="0"/>
          <w:numId w:val="30"/>
        </w:numPr>
      </w:pPr>
      <w:r>
        <w:t xml:space="preserve">There was no suggestion </w:t>
      </w:r>
      <w:r w:rsidR="00BD354E">
        <w:t xml:space="preserve">that </w:t>
      </w:r>
      <w:r w:rsidR="00A42E6A">
        <w:t>the appellant</w:t>
      </w:r>
      <w:r w:rsidR="00BD354E">
        <w:t xml:space="preserve"> </w:t>
      </w:r>
      <w:r>
        <w:t>failed</w:t>
      </w:r>
      <w:r w:rsidR="003D19B8">
        <w:t xml:space="preserve"> to attend to the </w:t>
      </w:r>
      <w:r w:rsidR="00986F5E">
        <w:t>Specimens</w:t>
      </w:r>
      <w:r w:rsidR="00BD354E">
        <w:t xml:space="preserve"> during semesters when teaching was occurring.  Her Honour considered that the failure by </w:t>
      </w:r>
      <w:r w:rsidR="00A42E6A">
        <w:t>the appellant</w:t>
      </w:r>
      <w:r w:rsidR="00BD354E">
        <w:t xml:space="preserve"> to express safety concerns as</w:t>
      </w:r>
      <w:r w:rsidR="003D19B8">
        <w:t xml:space="preserve"> a reason not to attend to the </w:t>
      </w:r>
      <w:r w:rsidR="00986F5E">
        <w:t>Specimens</w:t>
      </w:r>
      <w:r w:rsidR="00BD354E">
        <w:t xml:space="preserve"> during teaching periods</w:t>
      </w:r>
      <w:r w:rsidR="003D19B8">
        <w:t>,</w:t>
      </w:r>
      <w:r w:rsidR="00BD354E">
        <w:t xml:space="preserve"> further reinforced her view that his failure to carry out his obligations during the mid-semester break was a manifestation of </w:t>
      </w:r>
      <w:r w:rsidR="000C0A90">
        <w:t xml:space="preserve">his confidence in </w:t>
      </w:r>
      <w:r w:rsidR="00BD354E">
        <w:t xml:space="preserve">the correctness of his own opinions rather than apprehension about his safety: </w:t>
      </w:r>
      <w:r w:rsidR="00D9149B">
        <w:t xml:space="preserve"> Reasons</w:t>
      </w:r>
      <w:r w:rsidR="003D19B8">
        <w:t xml:space="preserve"> </w:t>
      </w:r>
      <w:r w:rsidR="00BD354E">
        <w:t>[210];</w:t>
      </w:r>
    </w:p>
    <w:p w14:paraId="16D09721" w14:textId="1AD1E08E" w:rsidR="00163FD2" w:rsidRDefault="003D19B8" w:rsidP="00CC3DC5">
      <w:pPr>
        <w:pStyle w:val="ListNo1"/>
        <w:numPr>
          <w:ilvl w:val="0"/>
          <w:numId w:val="30"/>
        </w:numPr>
      </w:pPr>
      <w:r>
        <w:t>H</w:t>
      </w:r>
      <w:r w:rsidR="00BD354E">
        <w:t xml:space="preserve">er Honour </w:t>
      </w:r>
      <w:r w:rsidR="00163FD2">
        <w:t xml:space="preserve">found </w:t>
      </w:r>
      <w:r w:rsidR="00A42E6A">
        <w:t>the appellant</w:t>
      </w:r>
      <w:r w:rsidR="00163FD2">
        <w:t>’s conduct in the workplace more generally reinforced her Honour’s finding t</w:t>
      </w:r>
      <w:r>
        <w:t xml:space="preserve">hat he failed to attend to the </w:t>
      </w:r>
      <w:r w:rsidR="00986F5E">
        <w:t>Specimens</w:t>
      </w:r>
      <w:r w:rsidR="00163FD2">
        <w:t xml:space="preserve"> because he considered it unnecessary.  Specifically, her Honour a</w:t>
      </w:r>
      <w:r w:rsidR="00BD354E">
        <w:t xml:space="preserve">ccepted Ms Grubb’s evidence that </w:t>
      </w:r>
      <w:r w:rsidR="00A42E6A">
        <w:t>the appellant</w:t>
      </w:r>
      <w:r w:rsidR="00BD354E">
        <w:t xml:space="preserve"> was </w:t>
      </w:r>
      <w:r w:rsidR="00163FD2">
        <w:t>not amenable to training by her and</w:t>
      </w:r>
      <w:r w:rsidR="00BD354E">
        <w:t xml:space="preserve"> had closed the door on her so she could n</w:t>
      </w:r>
      <w:r w:rsidR="00163FD2">
        <w:t xml:space="preserve">ot provide him with instruction.  </w:t>
      </w:r>
      <w:proofErr w:type="gramStart"/>
      <w:r w:rsidR="00163FD2">
        <w:t xml:space="preserve">Further, the primary judge found that not only had </w:t>
      </w:r>
      <w:r w:rsidR="00A42E6A">
        <w:t>the appellant</w:t>
      </w:r>
      <w:r w:rsidR="00163FD2">
        <w:t xml:space="preserve"> formed </w:t>
      </w:r>
      <w:r w:rsidR="00BD354E">
        <w:t xml:space="preserve">his own view that the respondent’s </w:t>
      </w:r>
      <w:r>
        <w:t xml:space="preserve">protocols for disinfecting the </w:t>
      </w:r>
      <w:r w:rsidR="00986F5E" w:rsidRPr="005D1364">
        <w:t>Specimens</w:t>
      </w:r>
      <w:r w:rsidR="00BD354E" w:rsidRPr="005D1364">
        <w:t xml:space="preserve"> were wrong</w:t>
      </w:r>
      <w:r w:rsidRPr="005D1364">
        <w:t>,</w:t>
      </w:r>
      <w:r w:rsidR="00163FD2" w:rsidRPr="005D1364">
        <w:t xml:space="preserve"> but </w:t>
      </w:r>
      <w:r w:rsidR="003A562C">
        <w:t xml:space="preserve">also </w:t>
      </w:r>
      <w:r w:rsidR="00163FD2" w:rsidRPr="005D1364">
        <w:t xml:space="preserve">that the method by which he </w:t>
      </w:r>
      <w:r w:rsidR="003A562C">
        <w:t>made the</w:t>
      </w:r>
      <w:r w:rsidR="00163FD2" w:rsidRPr="005D1364">
        <w:t xml:space="preserve"> calculations in his 6 </w:t>
      </w:r>
      <w:r w:rsidR="005D1364">
        <w:t xml:space="preserve">October 2019 </w:t>
      </w:r>
      <w:r w:rsidR="00163FD2" w:rsidRPr="005D1364">
        <w:t>email to support his argument that the respondent’s personal protective equipment was inadequ</w:t>
      </w:r>
      <w:r w:rsidR="003A562C">
        <w:t>ate</w:t>
      </w:r>
      <w:r w:rsidR="00842B28">
        <w:t>,</w:t>
      </w:r>
      <w:r w:rsidR="003A562C">
        <w:t xml:space="preserve"> was a manifestation of his view that he knew better</w:t>
      </w:r>
      <w:r w:rsidR="00163FD2" w:rsidRPr="005D1364">
        <w:t>.</w:t>
      </w:r>
      <w:proofErr w:type="gramEnd"/>
      <w:r w:rsidR="00163FD2" w:rsidRPr="005D1364">
        <w:t xml:space="preserve">  That</w:t>
      </w:r>
      <w:r w:rsidR="00163FD2">
        <w:t xml:space="preserve"> </w:t>
      </w:r>
      <w:r w:rsidR="005D1364">
        <w:t>attitude</w:t>
      </w:r>
      <w:r w:rsidR="00163FD2">
        <w:t xml:space="preserve"> also manifested itself </w:t>
      </w:r>
      <w:r w:rsidR="000C0A90">
        <w:t xml:space="preserve">in </w:t>
      </w:r>
      <w:r w:rsidR="00A42E6A">
        <w:t>the appellant</w:t>
      </w:r>
      <w:r w:rsidR="00163FD2">
        <w:t xml:space="preserve"> freely acknowledging that he thought he knew better than the respondent as to t</w:t>
      </w:r>
      <w:r w:rsidR="00E37F8E">
        <w:t xml:space="preserve">he proper procedures for care of </w:t>
      </w:r>
      <w:r w:rsidR="00E37F8E">
        <w:lastRenderedPageBreak/>
        <w:t xml:space="preserve">the </w:t>
      </w:r>
      <w:r w:rsidR="00986F5E">
        <w:t>Specimens</w:t>
      </w:r>
      <w:r w:rsidR="00E37F8E">
        <w:t>, such that her H</w:t>
      </w:r>
      <w:r w:rsidR="00163FD2">
        <w:t xml:space="preserve">onour was satisfied that was the reason why he failed to attend to them: </w:t>
      </w:r>
      <w:r w:rsidR="00D9149B">
        <w:t xml:space="preserve"> Reasons</w:t>
      </w:r>
      <w:r w:rsidR="00E37F8E">
        <w:t xml:space="preserve"> [211],</w:t>
      </w:r>
      <w:r w:rsidR="00232FBF">
        <w:t xml:space="preserve"> </w:t>
      </w:r>
      <w:r w:rsidR="00163FD2">
        <w:t>[212];</w:t>
      </w:r>
    </w:p>
    <w:p w14:paraId="5B428FC0" w14:textId="77777777" w:rsidR="00163FD2" w:rsidRDefault="00E37F8E" w:rsidP="00CC3DC5">
      <w:pPr>
        <w:pStyle w:val="ListNo1"/>
        <w:numPr>
          <w:ilvl w:val="0"/>
          <w:numId w:val="30"/>
        </w:numPr>
      </w:pPr>
      <w:r>
        <w:t>T</w:t>
      </w:r>
      <w:r w:rsidR="00A42E6A">
        <w:t>he appellant</w:t>
      </w:r>
      <w:r w:rsidR="00163FD2">
        <w:t xml:space="preserve"> did not have a workplace right to refuse to attend to his duties because he believed it was</w:t>
      </w:r>
      <w:r>
        <w:t xml:space="preserve"> no</w:t>
      </w:r>
      <w:r w:rsidR="00163FD2">
        <w:t xml:space="preserve">t necessary: </w:t>
      </w:r>
      <w:r w:rsidR="00D9149B">
        <w:t xml:space="preserve"> Reasons</w:t>
      </w:r>
      <w:r>
        <w:t xml:space="preserve"> </w:t>
      </w:r>
      <w:r w:rsidR="00163FD2">
        <w:t>[213];</w:t>
      </w:r>
      <w:r>
        <w:t xml:space="preserve"> and</w:t>
      </w:r>
    </w:p>
    <w:p w14:paraId="23918C86" w14:textId="18638397" w:rsidR="007F4C56" w:rsidRDefault="00E37F8E" w:rsidP="00CC3DC5">
      <w:pPr>
        <w:pStyle w:val="ListNo1"/>
        <w:numPr>
          <w:ilvl w:val="0"/>
          <w:numId w:val="30"/>
        </w:numPr>
      </w:pPr>
      <w:r>
        <w:t>W</w:t>
      </w:r>
      <w:r w:rsidR="00163FD2">
        <w:t>hen asked by Dr Massy-</w:t>
      </w:r>
      <w:proofErr w:type="spellStart"/>
      <w:r w:rsidR="00163FD2">
        <w:t>Westropp</w:t>
      </w:r>
      <w:proofErr w:type="spellEnd"/>
      <w:r w:rsidR="00163FD2">
        <w:t xml:space="preserve"> about his non-attendance in the specimen storage room, </w:t>
      </w:r>
      <w:r w:rsidR="00A42E6A">
        <w:t>the appellant</w:t>
      </w:r>
      <w:r w:rsidR="00163FD2">
        <w:t xml:space="preserve"> did not respond in terms of the suggested connection between his non-attendance and his concerns for his health and safety, whether related to the levels of formaldehyde or otherwise.  Her Honour was</w:t>
      </w:r>
      <w:r w:rsidR="005D1364">
        <w:t xml:space="preserve"> </w:t>
      </w:r>
      <w:r w:rsidR="00163FD2">
        <w:t xml:space="preserve">satisfied that </w:t>
      </w:r>
      <w:r w:rsidR="00A42E6A">
        <w:t>the appellant</w:t>
      </w:r>
      <w:r w:rsidR="00163FD2">
        <w:t xml:space="preserve"> responded to Dr M</w:t>
      </w:r>
      <w:r>
        <w:t>assy-</w:t>
      </w:r>
      <w:proofErr w:type="spellStart"/>
      <w:r>
        <w:t>Westropp’s</w:t>
      </w:r>
      <w:proofErr w:type="spellEnd"/>
      <w:r>
        <w:t xml:space="preserve"> query </w:t>
      </w:r>
      <w:r w:rsidR="005D1364">
        <w:t xml:space="preserve">about his non-attendance in the </w:t>
      </w:r>
      <w:r w:rsidR="00842B28">
        <w:t>s</w:t>
      </w:r>
      <w:r w:rsidR="005D1364">
        <w:t xml:space="preserve">pecimen storage room </w:t>
      </w:r>
      <w:r>
        <w:t>with words</w:t>
      </w:r>
      <w:r w:rsidR="00163FD2">
        <w:t xml:space="preserve"> </w:t>
      </w:r>
      <w:r>
        <w:t xml:space="preserve">to </w:t>
      </w:r>
      <w:r w:rsidR="00163FD2">
        <w:t>the effect that he did not consid</w:t>
      </w:r>
      <w:r>
        <w:t xml:space="preserve">er it necessary to hydrate the </w:t>
      </w:r>
      <w:r w:rsidR="00986F5E">
        <w:t>Specimens</w:t>
      </w:r>
      <w:r w:rsidR="00163FD2">
        <w:t xml:space="preserve"> during the mid-semester br</w:t>
      </w:r>
      <w:r>
        <w:t>eak</w:t>
      </w:r>
      <w:r w:rsidR="00163FD2">
        <w:t>:</w:t>
      </w:r>
      <w:r w:rsidR="007F4C56">
        <w:t xml:space="preserve"> </w:t>
      </w:r>
      <w:r w:rsidR="00842B28">
        <w:t xml:space="preserve"> </w:t>
      </w:r>
      <w:r w:rsidR="00D9149B">
        <w:t>Reasons</w:t>
      </w:r>
      <w:r w:rsidR="007F4C56">
        <w:t xml:space="preserve"> [214]</w:t>
      </w:r>
      <w:r>
        <w:t>.</w:t>
      </w:r>
    </w:p>
    <w:p w14:paraId="21C8A701" w14:textId="5270C944" w:rsidR="007F4C56" w:rsidRDefault="00E52EB3" w:rsidP="007F4C56">
      <w:pPr>
        <w:pStyle w:val="ParaNumbering"/>
      </w:pPr>
      <w:r>
        <w:t>H</w:t>
      </w:r>
      <w:r w:rsidR="007F4C56">
        <w:t>aving identified some discrepancies in the evidence of Dr Massy-</w:t>
      </w:r>
      <w:proofErr w:type="spellStart"/>
      <w:r w:rsidR="007F4C56">
        <w:t>Westropp</w:t>
      </w:r>
      <w:proofErr w:type="spellEnd"/>
      <w:r w:rsidR="007F4C56">
        <w:t xml:space="preserve"> concerning the reasons </w:t>
      </w:r>
      <w:r w:rsidR="00A42E6A">
        <w:t>the appellant</w:t>
      </w:r>
      <w:r w:rsidR="00005F17">
        <w:t xml:space="preserve"> </w:t>
      </w:r>
      <w:proofErr w:type="gramStart"/>
      <w:r w:rsidR="00005F17">
        <w:t>was dismissed</w:t>
      </w:r>
      <w:proofErr w:type="gramEnd"/>
      <w:r w:rsidR="007F4C56">
        <w:t>, nonetheless her Honour concluded that her evidence should be accepted and that Dr Massy-</w:t>
      </w:r>
      <w:proofErr w:type="spellStart"/>
      <w:r w:rsidR="007F4C56">
        <w:t>Westropp</w:t>
      </w:r>
      <w:proofErr w:type="spellEnd"/>
      <w:r w:rsidR="007F4C56">
        <w:t xml:space="preserve"> subjectively considered </w:t>
      </w:r>
      <w:r w:rsidR="00A42E6A">
        <w:t>the appellant</w:t>
      </w:r>
      <w:r>
        <w:t xml:space="preserve">’s non-attendance </w:t>
      </w:r>
      <w:r w:rsidR="000C0A90">
        <w:t xml:space="preserve">to </w:t>
      </w:r>
      <w:r>
        <w:t xml:space="preserve">the </w:t>
      </w:r>
      <w:r w:rsidR="00986F5E">
        <w:t>Specimens</w:t>
      </w:r>
      <w:r w:rsidR="005D1364">
        <w:t xml:space="preserve"> was significant</w:t>
      </w:r>
      <w:r w:rsidR="00D85BC2">
        <w:t xml:space="preserve"> such as</w:t>
      </w:r>
      <w:r w:rsidR="007F4C56">
        <w:t xml:space="preserve"> to justify his dismissal.</w:t>
      </w:r>
    </w:p>
    <w:p w14:paraId="29BB9F4A" w14:textId="77777777" w:rsidR="007F4C56" w:rsidRDefault="007F4C56" w:rsidP="00505FC7">
      <w:pPr>
        <w:pStyle w:val="Heading1"/>
      </w:pPr>
      <w:r>
        <w:t>Consideration of the grounds of appeal</w:t>
      </w:r>
    </w:p>
    <w:p w14:paraId="1DDAB021" w14:textId="4BE61A7B" w:rsidR="007F4C56" w:rsidRDefault="000C0A90" w:rsidP="007F4C56">
      <w:pPr>
        <w:pStyle w:val="ParaNumbering"/>
      </w:pPr>
      <w:r>
        <w:t>As we have noted, t</w:t>
      </w:r>
      <w:r w:rsidR="007F4C56">
        <w:t xml:space="preserve">here are a number of grounds of appeal which </w:t>
      </w:r>
      <w:r w:rsidR="00CB0289">
        <w:t>may be characterised as follows</w:t>
      </w:r>
      <w:r w:rsidR="007F4C56">
        <w:t>:</w:t>
      </w:r>
    </w:p>
    <w:p w14:paraId="69A39816" w14:textId="77777777" w:rsidR="007F4C56" w:rsidRDefault="00E52EB3" w:rsidP="00E52EB3">
      <w:pPr>
        <w:pStyle w:val="ListNo1"/>
        <w:numPr>
          <w:ilvl w:val="0"/>
          <w:numId w:val="29"/>
        </w:numPr>
      </w:pPr>
      <w:r>
        <w:t xml:space="preserve">Conflict of </w:t>
      </w:r>
      <w:r w:rsidR="007F4C56">
        <w:t>interest (ground 1);</w:t>
      </w:r>
    </w:p>
    <w:p w14:paraId="440E6360" w14:textId="77777777" w:rsidR="007F4C56" w:rsidRDefault="00E52EB3" w:rsidP="00CC3DC5">
      <w:pPr>
        <w:pStyle w:val="ListNo1"/>
        <w:numPr>
          <w:ilvl w:val="0"/>
          <w:numId w:val="29"/>
        </w:numPr>
      </w:pPr>
      <w:r>
        <w:t>B</w:t>
      </w:r>
      <w:r w:rsidR="007F4C56">
        <w:t>ias (grounds 2-14);</w:t>
      </w:r>
      <w:r>
        <w:t xml:space="preserve"> and</w:t>
      </w:r>
    </w:p>
    <w:p w14:paraId="77073C7A" w14:textId="77777777" w:rsidR="007F4C56" w:rsidRDefault="00E52EB3" w:rsidP="00CC3DC5">
      <w:pPr>
        <w:pStyle w:val="ListNo1"/>
        <w:numPr>
          <w:ilvl w:val="0"/>
          <w:numId w:val="29"/>
        </w:numPr>
      </w:pPr>
      <w:r>
        <w:t>F</w:t>
      </w:r>
      <w:r w:rsidR="007F4C56">
        <w:t>ailure to give due consideration to all the evidence (ground 15).</w:t>
      </w:r>
    </w:p>
    <w:p w14:paraId="6BA81605" w14:textId="77777777" w:rsidR="00685544" w:rsidRDefault="00E52EB3" w:rsidP="00505FC7">
      <w:pPr>
        <w:pStyle w:val="Heading2"/>
      </w:pPr>
      <w:r>
        <w:t xml:space="preserve">Conflict of </w:t>
      </w:r>
      <w:r w:rsidR="007F4C56">
        <w:t>interest</w:t>
      </w:r>
      <w:r w:rsidR="00505FC7">
        <w:t xml:space="preserve"> and bias</w:t>
      </w:r>
    </w:p>
    <w:p w14:paraId="2A61A7D7" w14:textId="77777777" w:rsidR="00505FC7" w:rsidRDefault="00A42E6A" w:rsidP="00685544">
      <w:pPr>
        <w:pStyle w:val="ParaNumbering"/>
      </w:pPr>
      <w:r>
        <w:t xml:space="preserve">The </w:t>
      </w:r>
      <w:proofErr w:type="gramStart"/>
      <w:r>
        <w:t>appellant</w:t>
      </w:r>
      <w:r w:rsidR="00505FC7">
        <w:t>’s</w:t>
      </w:r>
      <w:proofErr w:type="gramEnd"/>
      <w:r w:rsidR="00505FC7">
        <w:t xml:space="preserve"> first ground of appeal concerns an alleged conflict of interest on the part of the primary judge.  In reality, this is a further ground of bias.</w:t>
      </w:r>
    </w:p>
    <w:p w14:paraId="7F70BDD7" w14:textId="3CBBFA05" w:rsidR="00322180" w:rsidRDefault="00322180" w:rsidP="00322180">
      <w:pPr>
        <w:pStyle w:val="ParaNumbering"/>
      </w:pPr>
      <w:r>
        <w:t>At a case management hearing held on 27 July 2022</w:t>
      </w:r>
      <w:r w:rsidRPr="009C6CBE">
        <w:t>,</w:t>
      </w:r>
      <w:r w:rsidR="009C6CBE">
        <w:t xml:space="preserve"> 9</w:t>
      </w:r>
      <w:r w:rsidR="007256CF" w:rsidRPr="009C6CBE">
        <w:t xml:space="preserve"> </w:t>
      </w:r>
      <w:r w:rsidRPr="009C6CBE">
        <w:t>d</w:t>
      </w:r>
      <w:r>
        <w:t xml:space="preserve">ays prior to the appeal being heard, the </w:t>
      </w:r>
      <w:proofErr w:type="gramStart"/>
      <w:r>
        <w:t>appellant was informed by the Court</w:t>
      </w:r>
      <w:proofErr w:type="gramEnd"/>
      <w:r>
        <w:t xml:space="preserve"> that there was a distinction between allegations of actual and apprehended bias and that the tests were quite different.  He was invited to make himself aware of that </w:t>
      </w:r>
      <w:proofErr w:type="gramStart"/>
      <w:r>
        <w:t>distinction</w:t>
      </w:r>
      <w:r w:rsidR="000C0A90">
        <w:t>,</w:t>
      </w:r>
      <w:proofErr w:type="gramEnd"/>
      <w:r>
        <w:t xml:space="preserve"> however he made no attempt to </w:t>
      </w:r>
      <w:r w:rsidR="00DD42D9">
        <w:t>identify in</w:t>
      </w:r>
      <w:r>
        <w:t xml:space="preserve"> his </w:t>
      </w:r>
      <w:r w:rsidR="00DD42D9">
        <w:t>submissions</w:t>
      </w:r>
      <w:r w:rsidR="00B40323">
        <w:t xml:space="preserve"> </w:t>
      </w:r>
      <w:r w:rsidR="00DD42D9">
        <w:t xml:space="preserve">whether he was alleging </w:t>
      </w:r>
      <w:r w:rsidR="000C0A90">
        <w:t xml:space="preserve">actual </w:t>
      </w:r>
      <w:r w:rsidR="00B40323">
        <w:t>bias or apprehended bias or</w:t>
      </w:r>
      <w:r w:rsidR="00DD42D9">
        <w:t xml:space="preserve"> both.</w:t>
      </w:r>
    </w:p>
    <w:p w14:paraId="232FE009" w14:textId="77777777" w:rsidR="00505FC7" w:rsidRDefault="00E52EB3" w:rsidP="00990CE2">
      <w:pPr>
        <w:pStyle w:val="Heading2"/>
      </w:pPr>
      <w:r>
        <w:lastRenderedPageBreak/>
        <w:t xml:space="preserve">Principles - </w:t>
      </w:r>
      <w:r w:rsidR="00505FC7">
        <w:t>actual bias</w:t>
      </w:r>
    </w:p>
    <w:p w14:paraId="7EB287B7" w14:textId="12735435" w:rsidR="00635173" w:rsidRDefault="00E52EB3" w:rsidP="00505FC7">
      <w:pPr>
        <w:pStyle w:val="ParaNumbering"/>
      </w:pPr>
      <w:r>
        <w:t>A</w:t>
      </w:r>
      <w:r w:rsidR="00322180">
        <w:t xml:space="preserve"> claim of actual bias requires cogent evidence: </w:t>
      </w:r>
      <w:r w:rsidR="00EF6F8A">
        <w:t xml:space="preserve"> </w:t>
      </w:r>
      <w:r w:rsidR="00322180" w:rsidRPr="00322180">
        <w:rPr>
          <w:i/>
        </w:rPr>
        <w:t>R v Australian Stevedoring Industry Board; Ex Parte Melbourne Stevedoring Co</w:t>
      </w:r>
      <w:r w:rsidR="007D73EE">
        <w:rPr>
          <w:i/>
        </w:rPr>
        <w:t xml:space="preserve"> </w:t>
      </w:r>
      <w:r w:rsidR="00322180" w:rsidRPr="00322180">
        <w:rPr>
          <w:i/>
        </w:rPr>
        <w:t xml:space="preserve">Pty Ltd </w:t>
      </w:r>
      <w:r w:rsidR="009A2D8D">
        <w:t>[1953] HCA 22;</w:t>
      </w:r>
      <w:r w:rsidR="007D73EE" w:rsidRPr="00CC3DC5">
        <w:t xml:space="preserve"> </w:t>
      </w:r>
      <w:r w:rsidR="00322180">
        <w:t>(1953) 88 CLR 100, 116 (Dixon CJ, W</w:t>
      </w:r>
      <w:r>
        <w:t xml:space="preserve">illiams, Webb and </w:t>
      </w:r>
      <w:proofErr w:type="spellStart"/>
      <w:r>
        <w:t>Fullag</w:t>
      </w:r>
      <w:r w:rsidR="000C0A90">
        <w:t>a</w:t>
      </w:r>
      <w:r>
        <w:t>r</w:t>
      </w:r>
      <w:proofErr w:type="spellEnd"/>
      <w:r>
        <w:t xml:space="preserve"> JJ).</w:t>
      </w:r>
    </w:p>
    <w:p w14:paraId="220D7E81" w14:textId="4F2FA400" w:rsidR="0058621D" w:rsidRDefault="00505FC7" w:rsidP="00505FC7">
      <w:pPr>
        <w:pStyle w:val="ParaNumbering"/>
      </w:pPr>
      <w:r>
        <w:t xml:space="preserve">In </w:t>
      </w:r>
      <w:r w:rsidRPr="0058621D">
        <w:rPr>
          <w:i/>
        </w:rPr>
        <w:t>Sun</w:t>
      </w:r>
      <w:r w:rsidR="00E3368E">
        <w:rPr>
          <w:i/>
        </w:rPr>
        <w:t xml:space="preserve"> </w:t>
      </w:r>
      <w:r w:rsidRPr="0058621D">
        <w:rPr>
          <w:i/>
        </w:rPr>
        <w:t>v Minister for Immigration and Ethnic Affairs</w:t>
      </w:r>
      <w:r>
        <w:t xml:space="preserve"> (199</w:t>
      </w:r>
      <w:r w:rsidR="000C0A90">
        <w:t>7</w:t>
      </w:r>
      <w:r>
        <w:t>) 81 FCR 71</w:t>
      </w:r>
      <w:r w:rsidR="00414EB1">
        <w:t>; (1997) 151 ALR 505</w:t>
      </w:r>
      <w:r>
        <w:t xml:space="preserve"> (Wilcox, Burchett and North JJ), North J described actual bias in these terms</w:t>
      </w:r>
      <w:r w:rsidR="00406A7C">
        <w:t>,</w:t>
      </w:r>
      <w:r w:rsidR="00E52EB3">
        <w:t xml:space="preserve"> </w:t>
      </w:r>
      <w:r>
        <w:t>at 134</w:t>
      </w:r>
      <w:r w:rsidR="00406A7C">
        <w:t>:</w:t>
      </w:r>
    </w:p>
    <w:p w14:paraId="7ABADAA0" w14:textId="71B3866A" w:rsidR="00A42E6A" w:rsidRDefault="00A42E6A" w:rsidP="00E52EB3">
      <w:pPr>
        <w:pStyle w:val="Quote1"/>
      </w:pPr>
      <w:r w:rsidRPr="00395085">
        <w:t>Actual bias exists where the decision-maker has prejudged the case against</w:t>
      </w:r>
      <w:r>
        <w:t xml:space="preserve"> </w:t>
      </w:r>
      <w:r w:rsidRPr="00395085">
        <w:t>the applicant, or acted with such partisanship or hostility as to show that the decision-maker had a mind made up against the applicant and was not open to persuasion in favour of the applicant</w:t>
      </w:r>
      <w:r w:rsidR="009D6F60">
        <w:t>:</w:t>
      </w:r>
      <w:r w:rsidRPr="00395085">
        <w:t xml:space="preserve"> </w:t>
      </w:r>
    </w:p>
    <w:p w14:paraId="6D621C11" w14:textId="77777777" w:rsidR="00A42E6A" w:rsidRPr="00395085" w:rsidRDefault="00A42E6A" w:rsidP="00A42E6A">
      <w:pPr>
        <w:pStyle w:val="Quote1"/>
      </w:pPr>
      <w:r w:rsidRPr="00395085">
        <w:t>(Citations omitted)</w:t>
      </w:r>
    </w:p>
    <w:p w14:paraId="67DBA066" w14:textId="68404E4F" w:rsidR="00A42E6A" w:rsidRPr="00395085" w:rsidRDefault="00A42E6A" w:rsidP="00A42E6A">
      <w:pPr>
        <w:pStyle w:val="ParaNumbering"/>
        <w:widowControl w:val="0"/>
        <w:autoSpaceDE w:val="0"/>
        <w:autoSpaceDN w:val="0"/>
        <w:spacing w:line="240" w:lineRule="auto"/>
        <w:rPr>
          <w:szCs w:val="24"/>
        </w:rPr>
      </w:pPr>
      <w:r w:rsidRPr="00395085">
        <w:rPr>
          <w:szCs w:val="24"/>
        </w:rPr>
        <w:t xml:space="preserve">In </w:t>
      </w:r>
      <w:r w:rsidRPr="00395085">
        <w:rPr>
          <w:i/>
          <w:szCs w:val="24"/>
        </w:rPr>
        <w:t>R v Rich (Ruling No</w:t>
      </w:r>
      <w:r w:rsidR="006A51F7">
        <w:rPr>
          <w:i/>
          <w:szCs w:val="24"/>
        </w:rPr>
        <w:t>.</w:t>
      </w:r>
      <w:r w:rsidRPr="00395085">
        <w:rPr>
          <w:i/>
          <w:szCs w:val="24"/>
        </w:rPr>
        <w:t xml:space="preserve"> 21) </w:t>
      </w:r>
      <w:r w:rsidR="006A51F7">
        <w:rPr>
          <w:szCs w:val="24"/>
        </w:rPr>
        <w:t>[2009]</w:t>
      </w:r>
      <w:r w:rsidRPr="00395085">
        <w:rPr>
          <w:szCs w:val="24"/>
        </w:rPr>
        <w:t xml:space="preserve"> VSC 32, </w:t>
      </w:r>
      <w:r w:rsidR="006A51F7">
        <w:rPr>
          <w:szCs w:val="24"/>
        </w:rPr>
        <w:t>[7]</w:t>
      </w:r>
      <w:r w:rsidRPr="00395085">
        <w:rPr>
          <w:szCs w:val="24"/>
        </w:rPr>
        <w:t xml:space="preserve"> </w:t>
      </w:r>
      <w:proofErr w:type="spellStart"/>
      <w:r w:rsidRPr="00395085">
        <w:rPr>
          <w:szCs w:val="24"/>
        </w:rPr>
        <w:t>Lasry</w:t>
      </w:r>
      <w:proofErr w:type="spellEnd"/>
      <w:r w:rsidRPr="00395085">
        <w:rPr>
          <w:szCs w:val="24"/>
        </w:rPr>
        <w:t xml:space="preserve"> J said</w:t>
      </w:r>
      <w:r w:rsidR="00406A7C">
        <w:rPr>
          <w:szCs w:val="24"/>
        </w:rPr>
        <w:t xml:space="preserve"> at [7]</w:t>
      </w:r>
      <w:r w:rsidRPr="00395085">
        <w:rPr>
          <w:szCs w:val="24"/>
        </w:rPr>
        <w:t>:</w:t>
      </w:r>
    </w:p>
    <w:p w14:paraId="6FA55C5E" w14:textId="77777777" w:rsidR="00A42E6A" w:rsidRDefault="00A42E6A" w:rsidP="00A42E6A">
      <w:pPr>
        <w:pStyle w:val="Quote1"/>
      </w:pPr>
      <w:r w:rsidRPr="00395085">
        <w:t xml:space="preserve">A party asserting actual bias on the part of a decision-maker carries a heavy onus; the allegation must be </w:t>
      </w:r>
      <w:r>
        <w:t>“</w:t>
      </w:r>
      <w:r w:rsidRPr="00395085">
        <w:t>distinctly made and clearly proved</w:t>
      </w:r>
      <w:r>
        <w:t>”</w:t>
      </w:r>
      <w:r w:rsidRPr="00395085">
        <w:t xml:space="preserve">. It </w:t>
      </w:r>
      <w:proofErr w:type="gramStart"/>
      <w:r w:rsidRPr="00395085">
        <w:t>has been said</w:t>
      </w:r>
      <w:proofErr w:type="gramEnd"/>
      <w:r w:rsidRPr="00395085">
        <w:t xml:space="preserve">, and I agree, that a finding of bias </w:t>
      </w:r>
      <w:r>
        <w:t>is a “grave matter”</w:t>
      </w:r>
      <w:r w:rsidRPr="00395085">
        <w:t xml:space="preserve">, and cannot be made lightly. Apart from corruption, it is hard to think of a more serious allegation that </w:t>
      </w:r>
      <w:proofErr w:type="gramStart"/>
      <w:r w:rsidRPr="00395085">
        <w:t>can be made</w:t>
      </w:r>
      <w:proofErr w:type="gramEnd"/>
      <w:r w:rsidRPr="00395085">
        <w:t xml:space="preserve"> against a judge. </w:t>
      </w:r>
    </w:p>
    <w:p w14:paraId="35D570E5" w14:textId="77777777" w:rsidR="00A42E6A" w:rsidRPr="00395085" w:rsidRDefault="00A42E6A" w:rsidP="00A42E6A">
      <w:pPr>
        <w:pStyle w:val="Quote1"/>
      </w:pPr>
      <w:r w:rsidRPr="00395085">
        <w:t xml:space="preserve">(Citations </w:t>
      </w:r>
      <w:r>
        <w:t>omitted)</w:t>
      </w:r>
    </w:p>
    <w:p w14:paraId="5858C6A6" w14:textId="210E96D9" w:rsidR="00374AE8" w:rsidRDefault="00A42E6A" w:rsidP="00E52EB3">
      <w:pPr>
        <w:pStyle w:val="ParaNumbering"/>
      </w:pPr>
      <w:proofErr w:type="gramStart"/>
      <w:r w:rsidRPr="00395085">
        <w:t xml:space="preserve">In </w:t>
      </w:r>
      <w:r w:rsidRPr="00395085">
        <w:rPr>
          <w:i/>
        </w:rPr>
        <w:t xml:space="preserve">Minister for Immigration </w:t>
      </w:r>
      <w:r w:rsidR="006A51F7">
        <w:rPr>
          <w:i/>
        </w:rPr>
        <w:t xml:space="preserve">and Multicultural Affairs </w:t>
      </w:r>
      <w:r w:rsidRPr="00395085">
        <w:rPr>
          <w:i/>
        </w:rPr>
        <w:t xml:space="preserve">v </w:t>
      </w:r>
      <w:proofErr w:type="spellStart"/>
      <w:r w:rsidRPr="00395085">
        <w:rPr>
          <w:i/>
        </w:rPr>
        <w:t>Jia</w:t>
      </w:r>
      <w:proofErr w:type="spellEnd"/>
      <w:r w:rsidRPr="00395085">
        <w:rPr>
          <w:i/>
        </w:rPr>
        <w:t xml:space="preserve"> </w:t>
      </w:r>
      <w:proofErr w:type="spellStart"/>
      <w:r w:rsidRPr="00395085">
        <w:rPr>
          <w:i/>
        </w:rPr>
        <w:t>Le</w:t>
      </w:r>
      <w:r w:rsidR="00EA4B24">
        <w:rPr>
          <w:i/>
        </w:rPr>
        <w:t>g</w:t>
      </w:r>
      <w:r w:rsidRPr="00395085">
        <w:rPr>
          <w:i/>
        </w:rPr>
        <w:t>eng</w:t>
      </w:r>
      <w:proofErr w:type="spellEnd"/>
      <w:r w:rsidRPr="00395085">
        <w:t xml:space="preserve"> </w:t>
      </w:r>
      <w:r w:rsidR="00EA4B24">
        <w:t xml:space="preserve">[2001] HCA 17; </w:t>
      </w:r>
      <w:r>
        <w:t>(2001)</w:t>
      </w:r>
      <w:r w:rsidRPr="00395085">
        <w:t xml:space="preserve"> 205 CLR 507, 519 </w:t>
      </w:r>
      <w:r>
        <w:t xml:space="preserve">at </w:t>
      </w:r>
      <w:r w:rsidRPr="00395085">
        <w:t xml:space="preserve">[35]-[36], Gleeson CJ and </w:t>
      </w:r>
      <w:proofErr w:type="spellStart"/>
      <w:r w:rsidRPr="00395085">
        <w:t>Gummow</w:t>
      </w:r>
      <w:proofErr w:type="spellEnd"/>
      <w:r w:rsidRPr="00395085">
        <w:t xml:space="preserve"> J referred with approval to statements made by French J (as his </w:t>
      </w:r>
      <w:r>
        <w:t>Honour then was)</w:t>
      </w:r>
      <w:r w:rsidRPr="00395085">
        <w:t xml:space="preserve"> at first instance in that matter in which his Honour had cited with approval judicial statements that actual bias involves a pre-judgement and an applicant must show that the decision maker </w:t>
      </w:r>
      <w:r>
        <w:t>“</w:t>
      </w:r>
      <w:r w:rsidRPr="00395085">
        <w:t xml:space="preserve">had a closed mind to the issues raised and was not open to </w:t>
      </w:r>
      <w:r>
        <w:t>persuasion by the applicant’s case”</w:t>
      </w:r>
      <w:r w:rsidRPr="00395085">
        <w:t xml:space="preserve"> and that actual bias exists where </w:t>
      </w:r>
      <w:r>
        <w:t>“</w:t>
      </w:r>
      <w:r w:rsidRPr="00395085">
        <w:t>the decision-maker has prejudged the case against the applicant, or acted with such partisanship or hostility as to show that the decision-maker had a mind made up against the applicant and was not open to persua</w:t>
      </w:r>
      <w:r>
        <w:t>sion in favour of the applicant”</w:t>
      </w:r>
      <w:r w:rsidR="00CB0289">
        <w:t>.</w:t>
      </w:r>
      <w:proofErr w:type="gramEnd"/>
    </w:p>
    <w:p w14:paraId="60C9B6C1" w14:textId="10A614BC" w:rsidR="00374AE8" w:rsidRDefault="00374AE8" w:rsidP="00E52EB3">
      <w:pPr>
        <w:pStyle w:val="ParaNumbering"/>
      </w:pPr>
      <w:r>
        <w:t xml:space="preserve">In </w:t>
      </w:r>
      <w:proofErr w:type="spellStart"/>
      <w:r w:rsidRPr="00374AE8">
        <w:rPr>
          <w:i/>
        </w:rPr>
        <w:t>Zaltni</w:t>
      </w:r>
      <w:proofErr w:type="spellEnd"/>
      <w:r w:rsidRPr="00374AE8">
        <w:rPr>
          <w:i/>
        </w:rPr>
        <w:t xml:space="preserve"> v Minister for Immigration and Multicultural Affairs</w:t>
      </w:r>
      <w:r>
        <w:t xml:space="preserve"> [2000] FCA 399, the Full Court (</w:t>
      </w:r>
      <w:proofErr w:type="spellStart"/>
      <w:r>
        <w:t>Einfeld</w:t>
      </w:r>
      <w:proofErr w:type="spellEnd"/>
      <w:r>
        <w:t xml:space="preserve">, Lindgren and </w:t>
      </w:r>
      <w:proofErr w:type="spellStart"/>
      <w:r>
        <w:t>Tamberlin</w:t>
      </w:r>
      <w:proofErr w:type="spellEnd"/>
      <w:r>
        <w:t xml:space="preserve"> JJ) said in relation to the evidentiary requirement for a finding of actual bias: at [59]</w:t>
      </w:r>
    </w:p>
    <w:p w14:paraId="3574EBE5" w14:textId="77777777" w:rsidR="00A42E6A" w:rsidRPr="00374AE8" w:rsidRDefault="00374AE8" w:rsidP="00E52EB3">
      <w:pPr>
        <w:pStyle w:val="Quote1"/>
      </w:pPr>
      <w:r w:rsidRPr="00374AE8">
        <w:rPr>
          <w:shd w:val="clear" w:color="auto" w:fill="FFFFFF"/>
        </w:rPr>
        <w:t xml:space="preserve">A finding of actual bias should not be made lightly and cogent evidence is required; </w:t>
      </w:r>
      <w:proofErr w:type="spellStart"/>
      <w:r w:rsidRPr="00374AE8">
        <w:rPr>
          <w:shd w:val="clear" w:color="auto" w:fill="FFFFFF"/>
        </w:rPr>
        <w:t>cf</w:t>
      </w:r>
      <w:proofErr w:type="spellEnd"/>
      <w:r w:rsidRPr="00374AE8">
        <w:rPr>
          <w:shd w:val="clear" w:color="auto" w:fill="FFFFFF"/>
        </w:rPr>
        <w:t> </w:t>
      </w:r>
      <w:r w:rsidRPr="00374AE8">
        <w:rPr>
          <w:i/>
          <w:iCs/>
          <w:shd w:val="clear" w:color="auto" w:fill="FFFFFF"/>
        </w:rPr>
        <w:t>R v Australian Stevedoring Industry Board; ex parte Melbourne Stevedoring Co Pty Ltd </w:t>
      </w:r>
      <w:r w:rsidRPr="00374AE8">
        <w:rPr>
          <w:shd w:val="clear" w:color="auto" w:fill="FFFFFF"/>
        </w:rPr>
        <w:t xml:space="preserve">(1953) 88 CLR 100 at 116 per Dixon CJ, Williams, Webb and </w:t>
      </w:r>
      <w:proofErr w:type="spellStart"/>
      <w:r w:rsidRPr="00374AE8">
        <w:rPr>
          <w:shd w:val="clear" w:color="auto" w:fill="FFFFFF"/>
        </w:rPr>
        <w:t>Fullagar</w:t>
      </w:r>
      <w:proofErr w:type="spellEnd"/>
      <w:r w:rsidRPr="00374AE8">
        <w:rPr>
          <w:shd w:val="clear" w:color="auto" w:fill="FFFFFF"/>
        </w:rPr>
        <w:t xml:space="preserve"> JJ; </w:t>
      </w:r>
      <w:r w:rsidRPr="00374AE8">
        <w:rPr>
          <w:i/>
          <w:iCs/>
          <w:shd w:val="clear" w:color="auto" w:fill="FFFFFF"/>
        </w:rPr>
        <w:t>Sun </w:t>
      </w:r>
      <w:r w:rsidRPr="00374AE8">
        <w:rPr>
          <w:shd w:val="clear" w:color="auto" w:fill="FFFFFF"/>
        </w:rPr>
        <w:t>(FC) at 123; </w:t>
      </w:r>
      <w:proofErr w:type="spellStart"/>
      <w:r w:rsidRPr="00374AE8">
        <w:rPr>
          <w:i/>
          <w:iCs/>
          <w:shd w:val="clear" w:color="auto" w:fill="FFFFFF"/>
        </w:rPr>
        <w:t>Jia</w:t>
      </w:r>
      <w:proofErr w:type="spellEnd"/>
      <w:r w:rsidRPr="00374AE8">
        <w:rPr>
          <w:i/>
          <w:iCs/>
          <w:shd w:val="clear" w:color="auto" w:fill="FFFFFF"/>
        </w:rPr>
        <w:t xml:space="preserve"> Le </w:t>
      </w:r>
      <w:proofErr w:type="spellStart"/>
      <w:r w:rsidRPr="00374AE8">
        <w:rPr>
          <w:i/>
          <w:iCs/>
          <w:shd w:val="clear" w:color="auto" w:fill="FFFFFF"/>
        </w:rPr>
        <w:t>Geng</w:t>
      </w:r>
      <w:proofErr w:type="spellEnd"/>
      <w:r w:rsidRPr="00374AE8">
        <w:rPr>
          <w:shd w:val="clear" w:color="auto" w:fill="FFFFFF"/>
        </w:rPr>
        <w:t> at [104] per Cooper J and cases there cited.  On the other hand, too high an evidentiary requirement might make impossible the presentation and proof of a justifiable case.</w:t>
      </w:r>
    </w:p>
    <w:p w14:paraId="618A8B9A" w14:textId="0F38785D" w:rsidR="00A42E6A" w:rsidRDefault="00A42E6A" w:rsidP="00E52EB3">
      <w:pPr>
        <w:pStyle w:val="ParaNumbering"/>
      </w:pPr>
      <w:proofErr w:type="gramStart"/>
      <w:r w:rsidRPr="00395085">
        <w:lastRenderedPageBreak/>
        <w:t xml:space="preserve">As </w:t>
      </w:r>
      <w:r w:rsidR="00166286">
        <w:t>the</w:t>
      </w:r>
      <w:r w:rsidRPr="00395085">
        <w:t xml:space="preserve"> authorities</w:t>
      </w:r>
      <w:r w:rsidR="00166286">
        <w:t xml:space="preserve"> referred to above show</w:t>
      </w:r>
      <w:r w:rsidRPr="00395085">
        <w:t xml:space="preserve">, </w:t>
      </w:r>
      <w:r w:rsidR="00EA4B24">
        <w:t>the appellant</w:t>
      </w:r>
      <w:r w:rsidRPr="00395085">
        <w:t xml:space="preserve"> must</w:t>
      </w:r>
      <w:r w:rsidR="00374AE8">
        <w:t xml:space="preserve"> demonstrate by reference to cogent evidence </w:t>
      </w:r>
      <w:r w:rsidRPr="00395085">
        <w:t>that</w:t>
      </w:r>
      <w:r w:rsidR="00374AE8">
        <w:t xml:space="preserve"> the primary judge </w:t>
      </w:r>
      <w:r w:rsidRPr="00395085">
        <w:t>pre-judge</w:t>
      </w:r>
      <w:r w:rsidR="00D85BC2">
        <w:t>d the action such that</w:t>
      </w:r>
      <w:r w:rsidR="00374AE8">
        <w:t xml:space="preserve"> </w:t>
      </w:r>
      <w:r w:rsidR="00CB0289">
        <w:t xml:space="preserve">as noted </w:t>
      </w:r>
      <w:r w:rsidR="00374AE8">
        <w:t xml:space="preserve">by Gleeson CJ and </w:t>
      </w:r>
      <w:proofErr w:type="spellStart"/>
      <w:r w:rsidR="00374AE8">
        <w:t>Gummow</w:t>
      </w:r>
      <w:proofErr w:type="spellEnd"/>
      <w:r w:rsidR="00374AE8">
        <w:t xml:space="preserve"> J in </w:t>
      </w:r>
      <w:proofErr w:type="spellStart"/>
      <w:r w:rsidR="00374AE8" w:rsidRPr="00395085">
        <w:rPr>
          <w:i/>
        </w:rPr>
        <w:t>Jia</w:t>
      </w:r>
      <w:proofErr w:type="spellEnd"/>
      <w:r w:rsidR="00374AE8" w:rsidRPr="00395085">
        <w:rPr>
          <w:i/>
        </w:rPr>
        <w:t xml:space="preserve"> </w:t>
      </w:r>
      <w:proofErr w:type="spellStart"/>
      <w:r w:rsidR="00374AE8" w:rsidRPr="00395085">
        <w:rPr>
          <w:i/>
        </w:rPr>
        <w:t>Le</w:t>
      </w:r>
      <w:r w:rsidR="00EA4B24">
        <w:rPr>
          <w:i/>
        </w:rPr>
        <w:t>g</w:t>
      </w:r>
      <w:r w:rsidR="00374AE8" w:rsidRPr="00395085">
        <w:rPr>
          <w:i/>
        </w:rPr>
        <w:t>eng</w:t>
      </w:r>
      <w:proofErr w:type="spellEnd"/>
      <w:r w:rsidR="00374AE8" w:rsidRPr="00395085">
        <w:t xml:space="preserve"> </w:t>
      </w:r>
      <w:r w:rsidR="00374AE8">
        <w:t>referred to above, her Honour “had a closed mind to the issues raised and was</w:t>
      </w:r>
      <w:r w:rsidR="00085A00">
        <w:t xml:space="preserve"> not open to persuasion by [the appellant’s]</w:t>
      </w:r>
      <w:r w:rsidR="00374AE8">
        <w:t xml:space="preserve"> case”; or “…</w:t>
      </w:r>
      <w:r w:rsidR="00E52EB3">
        <w:t xml:space="preserve"> </w:t>
      </w:r>
      <w:r w:rsidR="00085A00">
        <w:t>had pre</w:t>
      </w:r>
      <w:r w:rsidR="00C055E0">
        <w:t>-</w:t>
      </w:r>
      <w:r w:rsidR="00085A00">
        <w:t>judged the case against [</w:t>
      </w:r>
      <w:r w:rsidR="00374AE8">
        <w:t>the appella</w:t>
      </w:r>
      <w:r w:rsidR="00085A00">
        <w:t>nt]</w:t>
      </w:r>
      <w:r w:rsidR="00374AE8">
        <w:t xml:space="preserve"> or acted with such partisanshi</w:t>
      </w:r>
      <w:r w:rsidR="00085A00">
        <w:t>p or hostility as to show that [her Honour] had a mind made up against [the appellant]</w:t>
      </w:r>
      <w:r w:rsidR="00374AE8">
        <w:t xml:space="preserve"> and was not o</w:t>
      </w:r>
      <w:r w:rsidR="00085A00">
        <w:t>pen to persuasion in favour of [</w:t>
      </w:r>
      <w:r w:rsidR="00374AE8">
        <w:t xml:space="preserve">the </w:t>
      </w:r>
      <w:r w:rsidR="00085A00">
        <w:t>appellant]</w:t>
      </w:r>
      <w:r w:rsidR="00AC430D">
        <w:t>.</w:t>
      </w:r>
      <w:r w:rsidR="00CB0289">
        <w:t>”</w:t>
      </w:r>
      <w:proofErr w:type="gramEnd"/>
      <w:r w:rsidR="00690887">
        <w:t xml:space="preserve"> </w:t>
      </w:r>
      <w:r w:rsidR="00AC430D">
        <w:t xml:space="preserve"> </w:t>
      </w:r>
      <w:r w:rsidR="00690887">
        <w:t>(brackets provided)</w:t>
      </w:r>
    </w:p>
    <w:p w14:paraId="1B1A83DD" w14:textId="77777777" w:rsidR="0058621D" w:rsidRDefault="0058621D" w:rsidP="00990CE2">
      <w:pPr>
        <w:pStyle w:val="Heading2"/>
      </w:pPr>
      <w:r>
        <w:t>Principles</w:t>
      </w:r>
      <w:r w:rsidR="00E52EB3">
        <w:t xml:space="preserve"> </w:t>
      </w:r>
      <w:r>
        <w:t>-</w:t>
      </w:r>
      <w:r w:rsidR="00E52EB3">
        <w:t xml:space="preserve"> </w:t>
      </w:r>
      <w:r>
        <w:t>apprehended bias</w:t>
      </w:r>
    </w:p>
    <w:p w14:paraId="634184DB" w14:textId="4AB5AAAD" w:rsidR="00A42E6A" w:rsidRPr="00395085" w:rsidRDefault="00A42E6A" w:rsidP="00E52EB3">
      <w:pPr>
        <w:pStyle w:val="ParaNumbering"/>
      </w:pPr>
      <w:r w:rsidRPr="00395085">
        <w:t xml:space="preserve">The position is different with apprehended bias.  In </w:t>
      </w:r>
      <w:proofErr w:type="spellStart"/>
      <w:r w:rsidRPr="00395085">
        <w:rPr>
          <w:i/>
        </w:rPr>
        <w:t>Charisteas</w:t>
      </w:r>
      <w:proofErr w:type="spellEnd"/>
      <w:r w:rsidRPr="00395085">
        <w:rPr>
          <w:i/>
        </w:rPr>
        <w:t xml:space="preserve"> v </w:t>
      </w:r>
      <w:proofErr w:type="spellStart"/>
      <w:r w:rsidRPr="00395085">
        <w:rPr>
          <w:i/>
        </w:rPr>
        <w:t>Charisteas</w:t>
      </w:r>
      <w:proofErr w:type="spellEnd"/>
      <w:r w:rsidRPr="00395085">
        <w:t xml:space="preserve"> [2021] HCA</w:t>
      </w:r>
      <w:r>
        <w:t xml:space="preserve"> </w:t>
      </w:r>
      <w:r w:rsidR="00613155">
        <w:t>29</w:t>
      </w:r>
      <w:r w:rsidR="00185E07">
        <w:t>; (2021) 393 ALR 389</w:t>
      </w:r>
      <w:r w:rsidR="00613155">
        <w:t xml:space="preserve"> </w:t>
      </w:r>
      <w:r w:rsidRPr="00395085">
        <w:t>the</w:t>
      </w:r>
      <w:r w:rsidR="00D05C0D">
        <w:t xml:space="preserve"> High</w:t>
      </w:r>
      <w:r w:rsidRPr="00395085">
        <w:t xml:space="preserve"> Court said: at [11]-[13]</w:t>
      </w:r>
    </w:p>
    <w:p w14:paraId="6392C203" w14:textId="77777777" w:rsidR="00A42E6A" w:rsidRPr="00FD1F32" w:rsidRDefault="00A42E6A" w:rsidP="00A42E6A">
      <w:pPr>
        <w:pStyle w:val="Quote1"/>
        <w:tabs>
          <w:tab w:val="left" w:pos="1276"/>
        </w:tabs>
        <w:ind w:left="1276" w:hanging="425"/>
      </w:pPr>
      <w:r w:rsidRPr="00FD1F32">
        <w:t>11.</w:t>
      </w:r>
      <w:r w:rsidRPr="00FD1F32">
        <w:tab/>
        <w:t xml:space="preserve">The apprehension of bias principle is </w:t>
      </w:r>
      <w:r>
        <w:t>that “</w:t>
      </w:r>
      <w:r w:rsidRPr="00FD1F32">
        <w:t xml:space="preserve">a judge is disqualified if a fair-minded lay observer might reasonably apprehend that the judge might not bring an impartial mind to the resolution of the question the judge is required to </w:t>
      </w:r>
      <w:r>
        <w:t>decide”</w:t>
      </w:r>
      <w:r w:rsidRPr="00FD1F32">
        <w:t>. The principle gives effect to the requirement that justice should both be done and be seen to be done, reflecting a</w:t>
      </w:r>
      <w:r>
        <w:t xml:space="preserve"> </w:t>
      </w:r>
      <w:r w:rsidRPr="00FD1F32">
        <w:t xml:space="preserve">requirement fundamental to the common law system of adversarial trial - that </w:t>
      </w:r>
      <w:proofErr w:type="gramStart"/>
      <w:r w:rsidRPr="00FD1F32">
        <w:t xml:space="preserve">it is conducted by an independent </w:t>
      </w:r>
      <w:r>
        <w:t>and impartial tribuna</w:t>
      </w:r>
      <w:r w:rsidRPr="00FD1F32">
        <w:t>l</w:t>
      </w:r>
      <w:proofErr w:type="gramEnd"/>
      <w:r w:rsidRPr="00FD1F32">
        <w:t xml:space="preserve">. Its application requires two steps: first, </w:t>
      </w:r>
      <w:r>
        <w:t>“</w:t>
      </w:r>
      <w:r w:rsidRPr="00FD1F32">
        <w:t xml:space="preserve">it requires the identification of what it is said might lead a judge ... to decide a case other than on its legal and factual </w:t>
      </w:r>
      <w:r>
        <w:t>merits”</w:t>
      </w:r>
      <w:r w:rsidRPr="00FD1F32">
        <w:t>; and, secon</w:t>
      </w:r>
      <w:r>
        <w:t>d, there must be articulated a “logical connection”</w:t>
      </w:r>
      <w:r w:rsidRPr="00FD1F32">
        <w:t xml:space="preserve"> between that matter and the feared departure from the judge deciding the case on its merit. Once those two steps </w:t>
      </w:r>
      <w:proofErr w:type="gramStart"/>
      <w:r w:rsidRPr="00FD1F32">
        <w:t>are taken</w:t>
      </w:r>
      <w:proofErr w:type="gramEnd"/>
      <w:r w:rsidRPr="00FD1F32">
        <w:t xml:space="preserve">, the reasonableness of the asserted apprehension of bias can then ultimately be </w:t>
      </w:r>
      <w:r>
        <w:t>assessed</w:t>
      </w:r>
      <w:r w:rsidRPr="00FD1F32">
        <w:t>.</w:t>
      </w:r>
    </w:p>
    <w:p w14:paraId="1029E1FB" w14:textId="77777777" w:rsidR="00A42E6A" w:rsidRPr="00395085" w:rsidRDefault="00A42E6A" w:rsidP="00A42E6A">
      <w:pPr>
        <w:pStyle w:val="Quote1"/>
        <w:tabs>
          <w:tab w:val="left" w:pos="1276"/>
        </w:tabs>
        <w:ind w:left="1276" w:hanging="425"/>
      </w:pPr>
      <w:r>
        <w:t>12.</w:t>
      </w:r>
      <w:r>
        <w:tab/>
      </w:r>
      <w:r w:rsidRPr="00395085">
        <w:t xml:space="preserve">As five judges of this Court said in </w:t>
      </w:r>
      <w:r w:rsidRPr="00FD1F32">
        <w:rPr>
          <w:i/>
        </w:rPr>
        <w:t>Johnson v Johnson</w:t>
      </w:r>
      <w:r w:rsidRPr="00395085">
        <w:t xml:space="preserve">, while </w:t>
      </w:r>
      <w:r>
        <w:t>the fair-minded lay observer “</w:t>
      </w:r>
      <w:r w:rsidRPr="00395085">
        <w:t>is not to be assumed to have a detailed knowledge of the law, or of the character or ability of a particular judge, the reasonableness of any suggested apprehension of bias is to be considered in the contex</w:t>
      </w:r>
      <w:r>
        <w:t>t of ordinary judicial practice”</w:t>
      </w:r>
      <w:r w:rsidRPr="00395085">
        <w:t>.</w:t>
      </w:r>
    </w:p>
    <w:p w14:paraId="31CF1B73" w14:textId="77777777" w:rsidR="00A42E6A" w:rsidRPr="00395085" w:rsidRDefault="00A42E6A" w:rsidP="00A42E6A">
      <w:pPr>
        <w:pStyle w:val="Quote1"/>
        <w:tabs>
          <w:tab w:val="left" w:pos="1276"/>
        </w:tabs>
        <w:ind w:left="1276" w:hanging="425"/>
      </w:pPr>
      <w:r>
        <w:t>13.</w:t>
      </w:r>
      <w:r>
        <w:tab/>
      </w:r>
      <w:r w:rsidRPr="00395085">
        <w:t xml:space="preserve">Ordinary judicial practice, or what might be described in this context as the most basic of judicial practice, was relevantly and clearly stated by Gibbs CJ and Mason J in </w:t>
      </w:r>
      <w:r w:rsidRPr="00FD1F32">
        <w:rPr>
          <w:i/>
        </w:rPr>
        <w:t>Re JRL; Ex parte CJL</w:t>
      </w:r>
      <w:r w:rsidRPr="00395085">
        <w:t xml:space="preserve"> in 1986 by adopting what was said by </w:t>
      </w:r>
      <w:proofErr w:type="spellStart"/>
      <w:r w:rsidRPr="00395085">
        <w:t>Mcinerney</w:t>
      </w:r>
      <w:proofErr w:type="spellEnd"/>
      <w:r w:rsidRPr="00395085">
        <w:t xml:space="preserve"> J in </w:t>
      </w:r>
      <w:r w:rsidRPr="00FD1F32">
        <w:rPr>
          <w:i/>
        </w:rPr>
        <w:t xml:space="preserve">R v </w:t>
      </w:r>
      <w:r>
        <w:rPr>
          <w:i/>
        </w:rPr>
        <w:t>Magistrates’</w:t>
      </w:r>
      <w:r w:rsidRPr="00FD1F32">
        <w:rPr>
          <w:i/>
        </w:rPr>
        <w:t xml:space="preserve"> Court at Lilydale; Ex parte </w:t>
      </w:r>
      <w:proofErr w:type="spellStart"/>
      <w:r w:rsidRPr="00FD1F32">
        <w:rPr>
          <w:i/>
        </w:rPr>
        <w:t>Ciccone</w:t>
      </w:r>
      <w:proofErr w:type="spellEnd"/>
      <w:r w:rsidRPr="00FD1F32">
        <w:rPr>
          <w:i/>
        </w:rPr>
        <w:t xml:space="preserve"> </w:t>
      </w:r>
      <w:r w:rsidRPr="00395085">
        <w:t>in 1972:</w:t>
      </w:r>
    </w:p>
    <w:p w14:paraId="715CC645" w14:textId="5236E9D9" w:rsidR="00A42E6A" w:rsidRDefault="00A42E6A" w:rsidP="00A42E6A">
      <w:pPr>
        <w:pStyle w:val="Quote2"/>
      </w:pPr>
      <w:proofErr w:type="gramStart"/>
      <w:r>
        <w:t>“</w:t>
      </w:r>
      <w:r w:rsidRPr="00395085">
        <w:t>The sound instinct of the legal profession - judges and practitioners alike - has always been that, save in the most exceptional cases, there should be no communication or association between the judge and one of the parties (or the legal advisers or witnesses of such a party), otherwise than in the presence of or with the previous knowledge and consent of the other party.</w:t>
      </w:r>
      <w:proofErr w:type="gramEnd"/>
      <w:r w:rsidRPr="00395085">
        <w:t xml:space="preserve"> </w:t>
      </w:r>
      <w:proofErr w:type="gramStart"/>
      <w:r w:rsidRPr="00395085">
        <w:t>Once the case is under way, or about to get under way, the judicial officer keeps aloof from the parties (and from their legal advisers and witnesses) and neither he nor they should so act as to expose the judicial officer to a suspicion of having had communications with one party behind the back of or without the previous knowledge and consent of the other</w:t>
      </w:r>
      <w:r>
        <w:t xml:space="preserve"> </w:t>
      </w:r>
      <w:r w:rsidRPr="00395085">
        <w:t>party.</w:t>
      </w:r>
      <w:proofErr w:type="gramEnd"/>
      <w:r w:rsidRPr="00395085">
        <w:t xml:space="preserve"> For if something is done which affords a reasonable basis for such suspicion, confidence in the impartiality of the </w:t>
      </w:r>
      <w:r>
        <w:t>judicial officer is undermined.”</w:t>
      </w:r>
    </w:p>
    <w:p w14:paraId="1FB60326" w14:textId="6D953C63" w:rsidR="00D05C0D" w:rsidRPr="00395085" w:rsidRDefault="00D05C0D" w:rsidP="00532D03">
      <w:pPr>
        <w:pStyle w:val="Quote2"/>
        <w:ind w:left="720"/>
      </w:pPr>
      <w:r>
        <w:t>(Citations omitted)</w:t>
      </w:r>
    </w:p>
    <w:p w14:paraId="0F2F2773" w14:textId="4D8E2441" w:rsidR="00A42E6A" w:rsidRPr="00395085" w:rsidRDefault="00A42E6A" w:rsidP="00E52EB3">
      <w:pPr>
        <w:pStyle w:val="ParaNumbering"/>
      </w:pPr>
      <w:r w:rsidRPr="00395085">
        <w:lastRenderedPageBreak/>
        <w:t xml:space="preserve">In </w:t>
      </w:r>
      <w:proofErr w:type="spellStart"/>
      <w:r w:rsidRPr="00A22555">
        <w:rPr>
          <w:i/>
        </w:rPr>
        <w:t>Ebner</w:t>
      </w:r>
      <w:proofErr w:type="spellEnd"/>
      <w:r w:rsidRPr="00A22555">
        <w:rPr>
          <w:i/>
        </w:rPr>
        <w:t xml:space="preserve"> v Official Trustee in Bankruptcy </w:t>
      </w:r>
      <w:r w:rsidR="00EA4B24">
        <w:t xml:space="preserve">[2000] HCA 63; </w:t>
      </w:r>
      <w:r w:rsidR="00C055E0">
        <w:t>(2000) 205 CLR 337 at</w:t>
      </w:r>
      <w:r w:rsidRPr="00395085">
        <w:t xml:space="preserve"> [6], (Gleeson</w:t>
      </w:r>
      <w:r w:rsidR="00EE7EB3">
        <w:t> </w:t>
      </w:r>
      <w:r w:rsidRPr="00395085">
        <w:t xml:space="preserve">CJ, McHugh </w:t>
      </w:r>
      <w:proofErr w:type="spellStart"/>
      <w:r w:rsidRPr="00395085">
        <w:t>Gummow</w:t>
      </w:r>
      <w:proofErr w:type="spellEnd"/>
      <w:r w:rsidRPr="00395085">
        <w:t xml:space="preserve"> and Hayne JJ) the Court said:</w:t>
      </w:r>
    </w:p>
    <w:p w14:paraId="1F092D4A" w14:textId="77777777" w:rsidR="00A42E6A" w:rsidRDefault="00A42E6A" w:rsidP="00E52EB3">
      <w:pPr>
        <w:pStyle w:val="Quote1"/>
      </w:pPr>
      <w:proofErr w:type="gramStart"/>
      <w:r w:rsidRPr="00395085">
        <w:t xml:space="preserve">Where, in the absence of any suggestion of actual bias, a question arises as to the independence or impartiality of a judge (or other judicial officer or juror), as here, the governing principle is that, subject to qualifications relating to waiver (which is not presently relevant) or necessity (which may be relevant to the second appeal), a judge is disqualified if a fair-minded lay observer might reasonably apprehend that the judge might not bring an impartial mind to the resolution of the question the judge is required to </w:t>
      </w:r>
      <w:r>
        <w:t>decide</w:t>
      </w:r>
      <w:r w:rsidRPr="00395085">
        <w:t>.</w:t>
      </w:r>
      <w:proofErr w:type="gramEnd"/>
      <w:r w:rsidRPr="00395085">
        <w:t xml:space="preserve"> That principle gives effect to the requirement that justice should both be done and be seen to be </w:t>
      </w:r>
      <w:r>
        <w:t>done</w:t>
      </w:r>
      <w:r w:rsidRPr="00395085">
        <w:t xml:space="preserve"> a </w:t>
      </w:r>
      <w:proofErr w:type="gramStart"/>
      <w:r w:rsidRPr="00395085">
        <w:t>requirement which</w:t>
      </w:r>
      <w:proofErr w:type="gramEnd"/>
      <w:r w:rsidRPr="00395085">
        <w:t xml:space="preserve"> reflects the fundamental importance of the principle that the tribunal be independent and impartial. It is convenient to refer to it as the apprehension of bias principle. </w:t>
      </w:r>
    </w:p>
    <w:p w14:paraId="3E1B2070" w14:textId="691E3089" w:rsidR="00A42E6A" w:rsidRDefault="000E1D3E" w:rsidP="00A42E6A">
      <w:pPr>
        <w:pStyle w:val="Quote1"/>
      </w:pPr>
      <w:r>
        <w:t>(Citations omitted)</w:t>
      </w:r>
    </w:p>
    <w:p w14:paraId="4638F20D" w14:textId="77777777" w:rsidR="000E1D3E" w:rsidRPr="00395085" w:rsidRDefault="000E1D3E" w:rsidP="000E1D3E">
      <w:pPr>
        <w:pStyle w:val="NoNum"/>
      </w:pPr>
    </w:p>
    <w:p w14:paraId="31B83723" w14:textId="4E034109" w:rsidR="00A42E6A" w:rsidRPr="00395085" w:rsidRDefault="00A42E6A" w:rsidP="00A42E6A">
      <w:pPr>
        <w:pStyle w:val="ParaNumbering"/>
        <w:widowControl w:val="0"/>
        <w:autoSpaceDE w:val="0"/>
        <w:autoSpaceDN w:val="0"/>
        <w:spacing w:line="240" w:lineRule="auto"/>
        <w:rPr>
          <w:szCs w:val="24"/>
        </w:rPr>
      </w:pPr>
      <w:r>
        <w:rPr>
          <w:szCs w:val="24"/>
        </w:rPr>
        <w:t>Their</w:t>
      </w:r>
      <w:r w:rsidRPr="00395085">
        <w:rPr>
          <w:szCs w:val="24"/>
        </w:rPr>
        <w:t xml:space="preserve"> Honours continued at [19]</w:t>
      </w:r>
      <w:r w:rsidR="009C6CBE">
        <w:rPr>
          <w:szCs w:val="24"/>
        </w:rPr>
        <w:t>:</w:t>
      </w:r>
    </w:p>
    <w:p w14:paraId="03281A60" w14:textId="34582D2D" w:rsidR="00505FC7" w:rsidRDefault="00A42E6A" w:rsidP="00A42E6A">
      <w:pPr>
        <w:pStyle w:val="Quote1"/>
      </w:pPr>
      <w:r w:rsidRPr="00395085">
        <w:t>Judges have a duty to exercise their judicial functions when their jurisdiction is regularly invo</w:t>
      </w:r>
      <w:r>
        <w:t>k</w:t>
      </w:r>
      <w:r w:rsidRPr="00395085">
        <w:t xml:space="preserve">ed and they are assigned to cases in accordance with the </w:t>
      </w:r>
      <w:proofErr w:type="gramStart"/>
      <w:r w:rsidRPr="00395085">
        <w:t>practice</w:t>
      </w:r>
      <w:r>
        <w:t xml:space="preserve"> </w:t>
      </w:r>
      <w:r w:rsidRPr="00A22555">
        <w:t>which</w:t>
      </w:r>
      <w:proofErr w:type="gramEnd"/>
      <w:r w:rsidRPr="00A22555">
        <w:t xml:space="preserve"> prevails in the court to which they belong. They do not select the cases they will hear, and they are not at liberty to decline to hear cases without good cause. Judges do not choose their cases; and litigants do not choose their judges. If one party to a case objects to a particular judge sitting, or continuing to sit, then that objection should not prevail unless it is based upon a substantial ground for contending that the judge is disqualified from hearing and deciding the case.</w:t>
      </w:r>
    </w:p>
    <w:p w14:paraId="35C9E653" w14:textId="77777777" w:rsidR="000E1D3E" w:rsidRDefault="000E1D3E" w:rsidP="000E1D3E">
      <w:pPr>
        <w:pStyle w:val="NoNum"/>
      </w:pPr>
    </w:p>
    <w:p w14:paraId="3488947D" w14:textId="2DAAA844" w:rsidR="00990CE2" w:rsidRDefault="009E2E31" w:rsidP="00990CE2">
      <w:pPr>
        <w:pStyle w:val="Heading2"/>
      </w:pPr>
      <w:r>
        <w:t xml:space="preserve">The </w:t>
      </w:r>
      <w:r w:rsidR="000254FC">
        <w:t>p</w:t>
      </w:r>
      <w:r w:rsidR="0058621D">
        <w:t>arties</w:t>
      </w:r>
      <w:r w:rsidR="00294BEE">
        <w:t>’</w:t>
      </w:r>
      <w:r w:rsidR="000254FC">
        <w:t xml:space="preserve"> s</w:t>
      </w:r>
      <w:r w:rsidR="0058621D">
        <w:t>ubmissions</w:t>
      </w:r>
      <w:r w:rsidR="000254FC">
        <w:t xml:space="preserve"> and c</w:t>
      </w:r>
      <w:r>
        <w:t>onsideration</w:t>
      </w:r>
    </w:p>
    <w:p w14:paraId="76B5616A" w14:textId="6900DAA9" w:rsidR="0058621D" w:rsidRDefault="00EA4B24" w:rsidP="009E2E31">
      <w:pPr>
        <w:pStyle w:val="Heading3"/>
      </w:pPr>
      <w:r>
        <w:t>G</w:t>
      </w:r>
      <w:r w:rsidR="00990CE2">
        <w:t>round</w:t>
      </w:r>
      <w:r>
        <w:t xml:space="preserve"> 1</w:t>
      </w:r>
      <w:r w:rsidR="00294BEE">
        <w:t xml:space="preserve"> </w:t>
      </w:r>
      <w:r w:rsidR="00990CE2">
        <w:t>-</w:t>
      </w:r>
      <w:r w:rsidR="00294BEE">
        <w:t xml:space="preserve"> conflict of i</w:t>
      </w:r>
      <w:r w:rsidR="00990CE2">
        <w:t>nterest</w:t>
      </w:r>
    </w:p>
    <w:p w14:paraId="276726D5" w14:textId="33CC3A4E" w:rsidR="00AC2EE4" w:rsidRDefault="00AC2EE4" w:rsidP="00685544">
      <w:pPr>
        <w:pStyle w:val="ParaNumbering"/>
      </w:pPr>
      <w:r>
        <w:t>The</w:t>
      </w:r>
      <w:r w:rsidR="000254FC">
        <w:t xml:space="preserve"> appellant’s</w:t>
      </w:r>
      <w:r>
        <w:t xml:space="preserve"> first ground is </w:t>
      </w:r>
      <w:r w:rsidR="000254FC">
        <w:t>that</w:t>
      </w:r>
      <w:r>
        <w:t xml:space="preserve"> the primary judge </w:t>
      </w:r>
      <w:r w:rsidR="000254FC">
        <w:t xml:space="preserve">had a “conflict of </w:t>
      </w:r>
      <w:r>
        <w:t>interest”.  As the Court has noted, this is a ground of actual or apprehended bias.</w:t>
      </w:r>
    </w:p>
    <w:p w14:paraId="3B496EA7" w14:textId="6DE2E2C3" w:rsidR="009E2E31" w:rsidRDefault="00A42E6A" w:rsidP="00685544">
      <w:pPr>
        <w:pStyle w:val="ParaNumbering"/>
      </w:pPr>
      <w:r>
        <w:t>The appellant</w:t>
      </w:r>
      <w:r w:rsidR="00505FC7">
        <w:t xml:space="preserve"> submits that the primary judge is</w:t>
      </w:r>
      <w:r w:rsidR="00CB0289">
        <w:t>,</w:t>
      </w:r>
      <w:r w:rsidR="00505FC7">
        <w:t xml:space="preserve"> or was</w:t>
      </w:r>
      <w:r w:rsidR="00CB0289">
        <w:t>,</w:t>
      </w:r>
      <w:r w:rsidR="00505FC7">
        <w:t xml:space="preserve"> on the </w:t>
      </w:r>
      <w:r w:rsidR="000254FC">
        <w:t>“</w:t>
      </w:r>
      <w:r w:rsidR="00505FC7">
        <w:t>Board of Law of the</w:t>
      </w:r>
      <w:r w:rsidR="009C6CBE">
        <w:t xml:space="preserve"> institution (</w:t>
      </w:r>
      <w:r w:rsidR="00505FC7">
        <w:t>University of Adelai</w:t>
      </w:r>
      <w:r w:rsidR="00430C61">
        <w:t>de</w:t>
      </w:r>
      <w:r w:rsidR="009C6CBE">
        <w:t>)</w:t>
      </w:r>
      <w:r w:rsidR="000254FC">
        <w:t>”</w:t>
      </w:r>
      <w:r w:rsidR="00430C61">
        <w:t xml:space="preserve"> that knowingly provided the </w:t>
      </w:r>
      <w:r w:rsidR="00986F5E">
        <w:t>Specimens</w:t>
      </w:r>
      <w:r w:rsidR="00505FC7">
        <w:t xml:space="preserve"> to the respondent.  </w:t>
      </w:r>
      <w:r>
        <w:t>The appellant</w:t>
      </w:r>
      <w:r w:rsidR="00430C61">
        <w:t xml:space="preserve"> submits that the </w:t>
      </w:r>
      <w:r w:rsidR="00986F5E">
        <w:t>Specimens</w:t>
      </w:r>
      <w:r w:rsidR="00505FC7">
        <w:t xml:space="preserve"> exposed students and staff to dangerous levels of formaldehyde.</w:t>
      </w:r>
    </w:p>
    <w:p w14:paraId="0B26DC21" w14:textId="3A820E82" w:rsidR="0058621D" w:rsidRDefault="009E2E31" w:rsidP="00685544">
      <w:pPr>
        <w:pStyle w:val="ParaNumbering"/>
      </w:pPr>
      <w:r>
        <w:t xml:space="preserve">The respondent submits that there is no logical connection between the circumstances identified by </w:t>
      </w:r>
      <w:r w:rsidR="00A42E6A">
        <w:t>the appellant</w:t>
      </w:r>
      <w:r w:rsidR="00EA4B24">
        <w:t xml:space="preserve">, namely her </w:t>
      </w:r>
      <w:proofErr w:type="gramStart"/>
      <w:r w:rsidR="00EA4B24">
        <w:t>Honour</w:t>
      </w:r>
      <w:r w:rsidR="00AC430D">
        <w:t>’</w:t>
      </w:r>
      <w:r w:rsidR="00EA4B24">
        <w:t>s</w:t>
      </w:r>
      <w:proofErr w:type="gramEnd"/>
      <w:r w:rsidR="00EA4B24">
        <w:t xml:space="preserve"> alleged position</w:t>
      </w:r>
      <w:r>
        <w:t xml:space="preserve"> as a member of the </w:t>
      </w:r>
      <w:r w:rsidR="000254FC">
        <w:t>“</w:t>
      </w:r>
      <w:r>
        <w:t xml:space="preserve">Board of Law </w:t>
      </w:r>
      <w:r w:rsidR="009C6CBE">
        <w:t xml:space="preserve">at </w:t>
      </w:r>
      <w:r>
        <w:t>the University of Adelaide</w:t>
      </w:r>
      <w:r w:rsidR="000254FC">
        <w:t>”</w:t>
      </w:r>
      <w:r>
        <w:t xml:space="preserve"> and any feared deviation from her Honour deciding the case on its merits.</w:t>
      </w:r>
      <w:r w:rsidRPr="009E2E31">
        <w:t xml:space="preserve"> </w:t>
      </w:r>
      <w:r w:rsidR="00430C61">
        <w:t xml:space="preserve"> </w:t>
      </w:r>
      <w:r>
        <w:t>Further, there was no dispute by either party that the</w:t>
      </w:r>
      <w:r w:rsidR="00430C61">
        <w:t xml:space="preserve"> </w:t>
      </w:r>
      <w:r w:rsidR="00986F5E">
        <w:t>Specimens</w:t>
      </w:r>
      <w:r>
        <w:t xml:space="preserve"> </w:t>
      </w:r>
      <w:proofErr w:type="gramStart"/>
      <w:r>
        <w:t>were found</w:t>
      </w:r>
      <w:proofErr w:type="gramEnd"/>
      <w:r>
        <w:t xml:space="preserve"> </w:t>
      </w:r>
      <w:r>
        <w:lastRenderedPageBreak/>
        <w:t>to be emitting unsafe levels of formaldehyde</w:t>
      </w:r>
      <w:r w:rsidR="00430C61">
        <w:t>,</w:t>
      </w:r>
      <w:r>
        <w:t xml:space="preserve"> however that was not a matter for determination by her Honour.</w:t>
      </w:r>
    </w:p>
    <w:p w14:paraId="6CD7A132" w14:textId="77777777" w:rsidR="00AC2EE4" w:rsidRDefault="00AC2EE4" w:rsidP="00AC2EE4">
      <w:pPr>
        <w:pStyle w:val="Heading4"/>
      </w:pPr>
      <w:r>
        <w:t>Actual bias</w:t>
      </w:r>
    </w:p>
    <w:p w14:paraId="274FF8BF" w14:textId="1CFB6102" w:rsidR="00AC2EE4" w:rsidRDefault="00430C61" w:rsidP="00AC2EE4">
      <w:pPr>
        <w:pStyle w:val="ParaNumbering"/>
      </w:pPr>
      <w:r>
        <w:t xml:space="preserve">The </w:t>
      </w:r>
      <w:r w:rsidR="000254FC">
        <w:t xml:space="preserve">Court does not accept the </w:t>
      </w:r>
      <w:r>
        <w:t>appellant’</w:t>
      </w:r>
      <w:r w:rsidR="000254FC">
        <w:t xml:space="preserve">s submissions. </w:t>
      </w:r>
    </w:p>
    <w:p w14:paraId="42067B59" w14:textId="60D184FF" w:rsidR="00505FC7" w:rsidRDefault="0058621D" w:rsidP="009A659A">
      <w:pPr>
        <w:pStyle w:val="ParaNumbering"/>
      </w:pPr>
      <w:proofErr w:type="gramStart"/>
      <w:r>
        <w:t xml:space="preserve">There is no evidence before </w:t>
      </w:r>
      <w:r w:rsidR="00430C61">
        <w:t>the Court of the primary judge’</w:t>
      </w:r>
      <w:r>
        <w:t>s position with the University of Adelaide</w:t>
      </w:r>
      <w:r w:rsidR="00AC2EE4">
        <w:t xml:space="preserve">, but </w:t>
      </w:r>
      <w:r>
        <w:t>in any event,</w:t>
      </w:r>
      <w:r w:rsidR="00AC2EE4">
        <w:t xml:space="preserve"> even accepting that be the case,</w:t>
      </w:r>
      <w:r>
        <w:t xml:space="preserve"> a consideration of her Honour’s reasons</w:t>
      </w:r>
      <w:r w:rsidR="00430C61">
        <w:t>,</w:t>
      </w:r>
      <w:r>
        <w:t xml:space="preserve"> and the way she conducted the trial</w:t>
      </w:r>
      <w:r w:rsidR="00430C61">
        <w:t>,</w:t>
      </w:r>
      <w:r>
        <w:t xml:space="preserve"> makes it </w:t>
      </w:r>
      <w:r w:rsidR="00AC2EE4">
        <w:t xml:space="preserve">perfectly </w:t>
      </w:r>
      <w:r>
        <w:t xml:space="preserve">clear that there is no basis for an allegation </w:t>
      </w:r>
      <w:r w:rsidR="00AC2EE4">
        <w:t xml:space="preserve">of actual bias such </w:t>
      </w:r>
      <w:r>
        <w:t>that her Honour prejudged the case against</w:t>
      </w:r>
      <w:r w:rsidR="00430C61">
        <w:t xml:space="preserve"> the</w:t>
      </w:r>
      <w:r>
        <w:t xml:space="preserve"> </w:t>
      </w:r>
      <w:r w:rsidR="00430C61">
        <w:t>a</w:t>
      </w:r>
      <w:r w:rsidR="00A42E6A">
        <w:t>ppellant</w:t>
      </w:r>
      <w:r w:rsidR="00430C61">
        <w:t>,</w:t>
      </w:r>
      <w:r>
        <w:t xml:space="preserve"> or acted with such partisanship or hostility as to show that</w:t>
      </w:r>
      <w:r w:rsidR="00AC2EE4">
        <w:t xml:space="preserve"> her Honour </w:t>
      </w:r>
      <w:r>
        <w:t xml:space="preserve">had </w:t>
      </w:r>
      <w:r w:rsidR="00EA4B24">
        <w:t xml:space="preserve">her </w:t>
      </w:r>
      <w:r>
        <w:t xml:space="preserve">mind made up against </w:t>
      </w:r>
      <w:r w:rsidR="00430C61">
        <w:t>the a</w:t>
      </w:r>
      <w:r w:rsidR="00A42E6A">
        <w:t>ppellant</w:t>
      </w:r>
      <w:r w:rsidR="00430C61">
        <w:t>,</w:t>
      </w:r>
      <w:r>
        <w:t xml:space="preserve"> and was not open to persuasion in his favour.</w:t>
      </w:r>
      <w:proofErr w:type="gramEnd"/>
      <w:r w:rsidR="00AC2EE4">
        <w:t xml:space="preserve">  On the contrary, the primary judge’</w:t>
      </w:r>
      <w:r w:rsidR="00430C61">
        <w:t xml:space="preserve">s </w:t>
      </w:r>
      <w:r w:rsidR="00AC2EE4">
        <w:t>reasons demonstrate that her Honour conducted the hearing in a fair and balanced fashion, providing appropriate guidance to the appellant when necessary.</w:t>
      </w:r>
    </w:p>
    <w:p w14:paraId="0DB6D582" w14:textId="77777777" w:rsidR="00AC2EE4" w:rsidRDefault="00AC2EE4" w:rsidP="00AC2EE4">
      <w:pPr>
        <w:pStyle w:val="Heading4"/>
      </w:pPr>
      <w:r>
        <w:t>Apprehended bias</w:t>
      </w:r>
    </w:p>
    <w:p w14:paraId="3A299D57" w14:textId="5A439A9B" w:rsidR="00CD2E8E" w:rsidRDefault="00CB0289" w:rsidP="00AC2EE4">
      <w:pPr>
        <w:pStyle w:val="ParaNumbering"/>
      </w:pPr>
      <w:r>
        <w:t xml:space="preserve">In </w:t>
      </w:r>
      <w:proofErr w:type="spellStart"/>
      <w:r w:rsidRPr="00CB0289">
        <w:rPr>
          <w:i/>
        </w:rPr>
        <w:t>Charisteas</w:t>
      </w:r>
      <w:proofErr w:type="spellEnd"/>
      <w:r>
        <w:t xml:space="preserve">, the High Court identified that the application of the apprehension of bias </w:t>
      </w:r>
      <w:r w:rsidR="00CD2E8E">
        <w:t>principle requires two steps:</w:t>
      </w:r>
      <w:r w:rsidR="00AC430D">
        <w:t xml:space="preserve"> </w:t>
      </w:r>
      <w:r w:rsidR="00CD2E8E">
        <w:t xml:space="preserve"> at [11]</w:t>
      </w:r>
      <w:r>
        <w:t>.</w:t>
      </w:r>
      <w:r w:rsidR="00CD2E8E">
        <w:t xml:space="preserve">  Those two steps are:</w:t>
      </w:r>
    </w:p>
    <w:p w14:paraId="6985E686" w14:textId="00574A8D" w:rsidR="00CD2E8E" w:rsidRPr="00CC3DC5" w:rsidRDefault="00CD2E8E" w:rsidP="00D85BC2">
      <w:pPr>
        <w:pStyle w:val="ListNo1"/>
        <w:numPr>
          <w:ilvl w:val="0"/>
          <w:numId w:val="31"/>
        </w:numPr>
      </w:pPr>
      <w:r w:rsidRPr="00CC3DC5">
        <w:t>“… the identification of what it is said</w:t>
      </w:r>
      <w:r w:rsidR="00CB0289" w:rsidRPr="00CC3DC5">
        <w:t xml:space="preserve"> </w:t>
      </w:r>
      <w:r w:rsidRPr="00CC3DC5">
        <w:t>might lead a judge</w:t>
      </w:r>
      <w:r w:rsidR="00D85BC2" w:rsidRPr="00CC3DC5">
        <w:t xml:space="preserve"> … t</w:t>
      </w:r>
      <w:r w:rsidRPr="00CC3DC5">
        <w:t>o decide a case other than on its “legal and factual merits”; and</w:t>
      </w:r>
    </w:p>
    <w:p w14:paraId="50E98D4D" w14:textId="26F692D6" w:rsidR="00CD2E8E" w:rsidRDefault="00327482" w:rsidP="00D85BC2">
      <w:pPr>
        <w:pStyle w:val="ListNo1"/>
        <w:numPr>
          <w:ilvl w:val="0"/>
          <w:numId w:val="31"/>
        </w:numPr>
      </w:pPr>
      <w:r>
        <w:t>“</w:t>
      </w:r>
      <w:proofErr w:type="gramStart"/>
      <w:r w:rsidR="00CD2E8E">
        <w:t>there</w:t>
      </w:r>
      <w:proofErr w:type="gramEnd"/>
      <w:r w:rsidR="00CD2E8E">
        <w:t xml:space="preserve"> must be articulated a </w:t>
      </w:r>
      <w:r w:rsidR="00AC430D">
        <w:t>‘</w:t>
      </w:r>
      <w:r w:rsidR="00CD2E8E">
        <w:t>logical connection</w:t>
      </w:r>
      <w:r w:rsidR="00AC430D">
        <w:t>’</w:t>
      </w:r>
      <w:r w:rsidR="00CD2E8E">
        <w:t xml:space="preserve"> between that matter and the feared departure from the judge deciding the case on its merits</w:t>
      </w:r>
      <w:r w:rsidR="00D85BC2">
        <w:t>.</w:t>
      </w:r>
      <w:r w:rsidR="00CD2E8E">
        <w:t>”</w:t>
      </w:r>
    </w:p>
    <w:p w14:paraId="2ADEAF05" w14:textId="60E81149" w:rsidR="00CD2E8E" w:rsidRDefault="00D85BC2" w:rsidP="00D85BC2">
      <w:pPr>
        <w:pStyle w:val="NoNum"/>
      </w:pPr>
      <w:r>
        <w:t>The C</w:t>
      </w:r>
      <w:r w:rsidR="00CD2E8E">
        <w:t xml:space="preserve">ourt continued that once those two steps are taken, the reasonableness of the asserted apprehension of bias </w:t>
      </w:r>
      <w:proofErr w:type="gramStart"/>
      <w:r w:rsidR="00CD2E8E">
        <w:t>can</w:t>
      </w:r>
      <w:proofErr w:type="gramEnd"/>
      <w:r w:rsidR="00CD2E8E">
        <w:t xml:space="preserve"> then ultimately </w:t>
      </w:r>
      <w:r w:rsidR="00EA4B24">
        <w:t xml:space="preserve">be </w:t>
      </w:r>
      <w:r w:rsidR="00CD2E8E">
        <w:t>assessed.</w:t>
      </w:r>
    </w:p>
    <w:p w14:paraId="3BED29CF" w14:textId="547389D9" w:rsidR="00CD2E8E" w:rsidRDefault="00CD2E8E" w:rsidP="00CD2E8E">
      <w:pPr>
        <w:pStyle w:val="ParaNumbering"/>
      </w:pPr>
      <w:r>
        <w:t xml:space="preserve">The appellant has </w:t>
      </w:r>
      <w:r w:rsidR="00722E3A">
        <w:t xml:space="preserve">identified what he contends might have led the primary judge to decide the case other than on its legal and factual merits, </w:t>
      </w:r>
      <w:r w:rsidR="00D85BC2">
        <w:t>although, as the C</w:t>
      </w:r>
      <w:r>
        <w:t xml:space="preserve">ourt has noted, there is no evidence of that fact.  Nonetheless, accepting for the moment that her Honour held a position with the University of Adelaide, there is no “logical connection” between that matter and the “feared departure from the judge deciding the case on its merits”. </w:t>
      </w:r>
      <w:r w:rsidR="00CB0289">
        <w:t xml:space="preserve"> </w:t>
      </w:r>
    </w:p>
    <w:p w14:paraId="1469BF9F" w14:textId="44FA9677" w:rsidR="00AC2EE4" w:rsidRDefault="005E7205" w:rsidP="00CD2E8E">
      <w:pPr>
        <w:pStyle w:val="ParaNumbering"/>
      </w:pPr>
      <w:r>
        <w:t>In the absence of this “logical connection</w:t>
      </w:r>
      <w:r w:rsidR="00D85BC2">
        <w:t>”</w:t>
      </w:r>
      <w:r>
        <w:t>,</w:t>
      </w:r>
      <w:r w:rsidR="00CB0289">
        <w:t xml:space="preserve"> </w:t>
      </w:r>
      <w:r>
        <w:t xml:space="preserve">there is no occasion to assess the reasonableness of the asserted apprehension of bias.  In those circumstances, the Court is not satisfied that it can be said </w:t>
      </w:r>
      <w:r w:rsidR="00F96628">
        <w:t>that a fair</w:t>
      </w:r>
      <w:r w:rsidR="00AC2EE4">
        <w:t xml:space="preserve">-minded lay observer might reasonably apprehend that the </w:t>
      </w:r>
      <w:r w:rsidR="00EA4B24">
        <w:t xml:space="preserve">primary </w:t>
      </w:r>
      <w:r w:rsidR="00AC2EE4">
        <w:t xml:space="preserve">judge </w:t>
      </w:r>
      <w:r w:rsidR="00AC2EE4">
        <w:lastRenderedPageBreak/>
        <w:t>might not bring an impartial mind to the resolution of the questio</w:t>
      </w:r>
      <w:r w:rsidR="00F96628">
        <w:t>n the judge is</w:t>
      </w:r>
      <w:r w:rsidR="00AC2EE4">
        <w:t xml:space="preserve"> required to decide.</w:t>
      </w:r>
    </w:p>
    <w:p w14:paraId="37E8ECF0" w14:textId="3CB67A84" w:rsidR="00990CE2" w:rsidRDefault="00990CE2" w:rsidP="00AC2EE4">
      <w:pPr>
        <w:pStyle w:val="ParaNumbering"/>
      </w:pPr>
      <w:r>
        <w:t>The appellant</w:t>
      </w:r>
      <w:r w:rsidR="00EA4B24">
        <w:t>'</w:t>
      </w:r>
      <w:r>
        <w:t xml:space="preserve">s first ground of appeal </w:t>
      </w:r>
      <w:r w:rsidR="00327482">
        <w:t>fails.</w:t>
      </w:r>
    </w:p>
    <w:p w14:paraId="7DD6732C" w14:textId="37D642CD" w:rsidR="00990CE2" w:rsidRDefault="00990CE2" w:rsidP="00990CE2">
      <w:pPr>
        <w:pStyle w:val="Heading3"/>
      </w:pPr>
      <w:r>
        <w:t>Grounds 2</w:t>
      </w:r>
      <w:r w:rsidR="00F96628">
        <w:t xml:space="preserve"> – </w:t>
      </w:r>
      <w:r>
        <w:t>14</w:t>
      </w:r>
      <w:r w:rsidR="00F96628">
        <w:t xml:space="preserve"> </w:t>
      </w:r>
      <w:r w:rsidR="00401B13">
        <w:t xml:space="preserve">– </w:t>
      </w:r>
      <w:r w:rsidR="00F96628">
        <w:t>b</w:t>
      </w:r>
      <w:r>
        <w:t>ias</w:t>
      </w:r>
    </w:p>
    <w:p w14:paraId="270D63D6" w14:textId="77777777" w:rsidR="00CB0289" w:rsidRDefault="00CB0289" w:rsidP="00CB0289">
      <w:pPr>
        <w:pStyle w:val="ParaNumbering"/>
      </w:pPr>
      <w:r>
        <w:t xml:space="preserve">The Court has identified the </w:t>
      </w:r>
      <w:r w:rsidR="00DD42D9">
        <w:t>principles</w:t>
      </w:r>
      <w:r>
        <w:t xml:space="preserve"> to establish bias or apprehended bias above.  In the reasons that follow, those principles </w:t>
      </w:r>
      <w:proofErr w:type="gramStart"/>
      <w:r>
        <w:t>are applied</w:t>
      </w:r>
      <w:proofErr w:type="gramEnd"/>
      <w:r>
        <w:t xml:space="preserve"> although they are not set out in terms</w:t>
      </w:r>
      <w:r w:rsidR="005E7205">
        <w:t xml:space="preserve"> in each case</w:t>
      </w:r>
      <w:r>
        <w:t>.</w:t>
      </w:r>
    </w:p>
    <w:p w14:paraId="47BBBE2A" w14:textId="51A92A4D" w:rsidR="00DD42D9" w:rsidRDefault="008277C5" w:rsidP="00CD3A94">
      <w:pPr>
        <w:pStyle w:val="ParaNumbering"/>
      </w:pPr>
      <w:r>
        <w:t>In</w:t>
      </w:r>
      <w:r w:rsidR="00EA1CAA" w:rsidRPr="00B40323">
        <w:t xml:space="preserve"> his written sub</w:t>
      </w:r>
      <w:r>
        <w:t>missions, the appellant refers</w:t>
      </w:r>
      <w:r w:rsidR="00EA1CAA" w:rsidRPr="00B40323">
        <w:t xml:space="preserve"> to numerous p</w:t>
      </w:r>
      <w:r>
        <w:t xml:space="preserve">assages in the judgment that may </w:t>
      </w:r>
      <w:r w:rsidR="00EA1CAA" w:rsidRPr="00B40323">
        <w:t xml:space="preserve">apply to </w:t>
      </w:r>
      <w:r>
        <w:t xml:space="preserve">grounds 2-14 or ground 15, but does </w:t>
      </w:r>
      <w:r w:rsidR="00EA1CAA" w:rsidRPr="00B40323">
        <w:t>not dir</w:t>
      </w:r>
      <w:r>
        <w:t>ect them</w:t>
      </w:r>
      <w:r w:rsidR="00EA1CAA" w:rsidRPr="00B40323">
        <w:t xml:space="preserve"> to any specific ground.  </w:t>
      </w:r>
      <w:r w:rsidR="00DD42D9">
        <w:t>In large part, the appellant’s submissions amount to disagreement with how the primary judge dealt with specific issue</w:t>
      </w:r>
      <w:r w:rsidR="00EA4B24">
        <w:t>s</w:t>
      </w:r>
      <w:r w:rsidR="00DD42D9">
        <w:t>.  In so doing</w:t>
      </w:r>
      <w:r w:rsidR="00754726">
        <w:t>,</w:t>
      </w:r>
      <w:r w:rsidR="00DD42D9">
        <w:t xml:space="preserve"> the appellant’s disagreement</w:t>
      </w:r>
      <w:r w:rsidR="00754726">
        <w:t>,</w:t>
      </w:r>
      <w:r w:rsidR="00DD42D9">
        <w:t xml:space="preserve"> or in some cases observations, do not impugn her Honour’s reasoning.</w:t>
      </w:r>
      <w:r w:rsidR="00B40323">
        <w:t xml:space="preserve">  In two instances, the submissions </w:t>
      </w:r>
      <w:r>
        <w:t>contend</w:t>
      </w:r>
      <w:r w:rsidR="00B40323">
        <w:t xml:space="preserve"> bias but they </w:t>
      </w:r>
      <w:proofErr w:type="gramStart"/>
      <w:r w:rsidR="00B40323">
        <w:t>are not attributed</w:t>
      </w:r>
      <w:proofErr w:type="gramEnd"/>
      <w:r w:rsidR="00B40323">
        <w:t xml:space="preserve"> to</w:t>
      </w:r>
      <w:r w:rsidR="0057595D">
        <w:t xml:space="preserve"> any particular grounds. </w:t>
      </w:r>
      <w:r w:rsidR="00AC430D">
        <w:t xml:space="preserve"> </w:t>
      </w:r>
      <w:r w:rsidR="0057595D">
        <w:t>The Court deal</w:t>
      </w:r>
      <w:r w:rsidR="00E35E4F">
        <w:t>s with tho</w:t>
      </w:r>
      <w:r w:rsidR="0057595D">
        <w:t xml:space="preserve">se contentions separately. </w:t>
      </w:r>
    </w:p>
    <w:p w14:paraId="087B3EA8" w14:textId="77777777" w:rsidR="00553A60" w:rsidRDefault="00F96628" w:rsidP="00553A60">
      <w:pPr>
        <w:pStyle w:val="Heading4"/>
      </w:pPr>
      <w:r>
        <w:t>G</w:t>
      </w:r>
      <w:r w:rsidR="00553A60">
        <w:t>round 2</w:t>
      </w:r>
    </w:p>
    <w:p w14:paraId="7B1F6DFF" w14:textId="7127E8D4" w:rsidR="00553A60" w:rsidRDefault="00553A60" w:rsidP="00990CE2">
      <w:pPr>
        <w:pStyle w:val="ParaNumbering"/>
      </w:pPr>
      <w:r>
        <w:t xml:space="preserve">Ground 2 refers to “Spurious reasons given at case management meeting </w:t>
      </w:r>
      <w:r w:rsidR="005503CF">
        <w:t>[sic]</w:t>
      </w:r>
      <w:r>
        <w:t xml:space="preserve"> for not accepting any of my evidence”.  No particulars </w:t>
      </w:r>
      <w:proofErr w:type="gramStart"/>
      <w:r>
        <w:t>are given</w:t>
      </w:r>
      <w:proofErr w:type="gramEnd"/>
      <w:r>
        <w:t xml:space="preserve"> in the notice of appeal nor in the appellant’s written submissions.  The appellant </w:t>
      </w:r>
      <w:proofErr w:type="gramStart"/>
      <w:r>
        <w:t>was given</w:t>
      </w:r>
      <w:proofErr w:type="gramEnd"/>
      <w:r>
        <w:t xml:space="preserve"> the opportunity to expand upon or speak to his written submissions at the appeal, an opportunity he did not accept.  The Court </w:t>
      </w:r>
      <w:proofErr w:type="gramStart"/>
      <w:r>
        <w:t>is left</w:t>
      </w:r>
      <w:proofErr w:type="gramEnd"/>
      <w:r>
        <w:t xml:space="preserve"> with no detail and no submissions of any weight.</w:t>
      </w:r>
    </w:p>
    <w:p w14:paraId="7FCBCDF6" w14:textId="77777777" w:rsidR="00553A60" w:rsidRDefault="00553A60" w:rsidP="00990CE2">
      <w:pPr>
        <w:pStyle w:val="ParaNumbering"/>
      </w:pPr>
      <w:r>
        <w:t>I</w:t>
      </w:r>
      <w:r w:rsidR="00CB0289">
        <w:t xml:space="preserve">n the circumstances, the Court does not accept the </w:t>
      </w:r>
      <w:r>
        <w:t>primary judge displayed actual or apprehended bias</w:t>
      </w:r>
      <w:r w:rsidR="007A7608">
        <w:t>.  This g</w:t>
      </w:r>
      <w:r>
        <w:t>round of appeal fails.</w:t>
      </w:r>
    </w:p>
    <w:p w14:paraId="48A96029" w14:textId="77777777" w:rsidR="00553A60" w:rsidRDefault="00F96628" w:rsidP="00553A60">
      <w:pPr>
        <w:pStyle w:val="Heading4"/>
      </w:pPr>
      <w:r>
        <w:t>Ground 3</w:t>
      </w:r>
    </w:p>
    <w:p w14:paraId="24DAE03C" w14:textId="413CE866" w:rsidR="00553A60" w:rsidRDefault="00F96628" w:rsidP="00553A60">
      <w:pPr>
        <w:pStyle w:val="ParaNumbering"/>
      </w:pPr>
      <w:r>
        <w:t>G</w:t>
      </w:r>
      <w:r w:rsidR="00553A60">
        <w:t xml:space="preserve">round </w:t>
      </w:r>
      <w:r w:rsidR="00EA4B24">
        <w:t>3</w:t>
      </w:r>
      <w:r w:rsidR="00553A60">
        <w:t xml:space="preserve"> relies upon </w:t>
      </w:r>
      <w:r>
        <w:t>a delay in pronouncing judg</w:t>
      </w:r>
      <w:r w:rsidR="00553A60">
        <w:t xml:space="preserve">ment with no communication or information in the </w:t>
      </w:r>
      <w:proofErr w:type="gramStart"/>
      <w:r w:rsidR="00553A60">
        <w:t>interim which</w:t>
      </w:r>
      <w:proofErr w:type="gramEnd"/>
      <w:r w:rsidR="00553A60">
        <w:t>, the appellant submits, is contrary to the Court’s rules.</w:t>
      </w:r>
    </w:p>
    <w:p w14:paraId="7BD92161" w14:textId="6F7C21A5" w:rsidR="00553A60" w:rsidRDefault="00553A60" w:rsidP="00553A60">
      <w:pPr>
        <w:pStyle w:val="ParaNumbering"/>
      </w:pPr>
      <w:r>
        <w:t>The trial was heard on</w:t>
      </w:r>
      <w:r w:rsidR="009A659A">
        <w:t xml:space="preserve"> </w:t>
      </w:r>
      <w:proofErr w:type="gramStart"/>
      <w:r w:rsidR="009A659A">
        <w:t>9</w:t>
      </w:r>
      <w:proofErr w:type="gramEnd"/>
      <w:r w:rsidR="009A659A">
        <w:t xml:space="preserve"> </w:t>
      </w:r>
      <w:r w:rsidR="00F96628">
        <w:t>and 10 March 2021 with judg</w:t>
      </w:r>
      <w:r>
        <w:t>ment delivered on</w:t>
      </w:r>
      <w:r w:rsidR="009A659A">
        <w:t xml:space="preserve"> 3 </w:t>
      </w:r>
      <w:r>
        <w:t>February 2</w:t>
      </w:r>
      <w:r w:rsidR="00E35E4F">
        <w:t>02</w:t>
      </w:r>
      <w:r>
        <w:t>2.  The “rules” to which the appellant refers is Practice Note CPN-1, National Court Framework and Case Management, cl 16.  That practice note provides:</w:t>
      </w:r>
    </w:p>
    <w:p w14:paraId="53E2804C" w14:textId="77777777" w:rsidR="00554403" w:rsidRPr="00554403" w:rsidRDefault="00554403" w:rsidP="00554403">
      <w:pPr>
        <w:pStyle w:val="Quote1"/>
        <w:rPr>
          <w:b/>
        </w:rPr>
      </w:pPr>
      <w:r w:rsidRPr="00554403">
        <w:rPr>
          <w:b/>
        </w:rPr>
        <w:t>16. Judgment</w:t>
      </w:r>
    </w:p>
    <w:p w14:paraId="3360B967" w14:textId="77777777" w:rsidR="00554403" w:rsidRPr="00554403" w:rsidRDefault="00554403" w:rsidP="00554403">
      <w:pPr>
        <w:pStyle w:val="Quote1"/>
        <w:ind w:left="1440" w:hanging="703"/>
      </w:pPr>
      <w:r w:rsidRPr="00554403">
        <w:lastRenderedPageBreak/>
        <w:t>16.1</w:t>
      </w:r>
      <w:r>
        <w:tab/>
      </w:r>
      <w:r w:rsidRPr="00554403">
        <w:t>The Court aims to deliver judgment as soon as is reasonably practicable. In the ordinary course (and subject to the size and complexity of the matter) the Court will endeavour to deliver judgment resolving the substantive dispute within 3 months of the receipt of the final submissions. If a judgment is not forthcoming within 6 months, the Court will inform the parties of the anticipated time for delivery of judgment.</w:t>
      </w:r>
    </w:p>
    <w:p w14:paraId="20B57D6F" w14:textId="7DD6620A" w:rsidR="00554403" w:rsidRDefault="00554403" w:rsidP="00554403">
      <w:pPr>
        <w:pStyle w:val="Quote1"/>
        <w:ind w:left="1440" w:hanging="703"/>
      </w:pPr>
      <w:r w:rsidRPr="00554403">
        <w:t>16.2</w:t>
      </w:r>
      <w:r>
        <w:tab/>
      </w:r>
      <w:r w:rsidRPr="00554403">
        <w:t xml:space="preserve">If a party wishes to make an enquiry about a reserved judgment, all parties </w:t>
      </w:r>
      <w:proofErr w:type="gramStart"/>
      <w:r w:rsidRPr="00554403">
        <w:t>should be told</w:t>
      </w:r>
      <w:proofErr w:type="gramEnd"/>
      <w:r w:rsidRPr="00554403">
        <w:t xml:space="preserve"> of the wish to make the enquiry. The enquiry </w:t>
      </w:r>
      <w:proofErr w:type="gramStart"/>
      <w:r w:rsidRPr="00554403">
        <w:t>is best directed</w:t>
      </w:r>
      <w:proofErr w:type="gramEnd"/>
      <w:r w:rsidRPr="00554403">
        <w:t xml:space="preserve"> through the Law Society or Bar Association in the relevant registry or to the Chief Justice directly. It is not appropriate for parties or their lawyers to contact a judge's chambers directly about such an enquiry.</w:t>
      </w:r>
    </w:p>
    <w:p w14:paraId="247C0635" w14:textId="77777777" w:rsidR="000E1D3E" w:rsidRPr="00554403" w:rsidRDefault="000E1D3E" w:rsidP="000E1D3E">
      <w:pPr>
        <w:pStyle w:val="NoNum"/>
      </w:pPr>
    </w:p>
    <w:p w14:paraId="6D99DD12" w14:textId="0823B2A7" w:rsidR="00553A60" w:rsidRDefault="00F96628" w:rsidP="00553A60">
      <w:pPr>
        <w:pStyle w:val="ParaNumbering"/>
      </w:pPr>
      <w:r>
        <w:t>E</w:t>
      </w:r>
      <w:r w:rsidR="00553A60">
        <w:t xml:space="preserve">ven accepting a delay between the </w:t>
      </w:r>
      <w:r>
        <w:t>hearing of this matter and judg</w:t>
      </w:r>
      <w:r w:rsidR="00553A60">
        <w:t xml:space="preserve">ment, </w:t>
      </w:r>
      <w:r w:rsidR="00EA4B24">
        <w:t>and assuming that the Court gave no information as to the anticipated delivery time under cl 16.1, such matters do not constitute a</w:t>
      </w:r>
      <w:r w:rsidR="00553A60">
        <w:t xml:space="preserve"> basis for an allegation of actual or apprehended bias.  This ground of appeal fails</w:t>
      </w:r>
      <w:r>
        <w:t>.</w:t>
      </w:r>
    </w:p>
    <w:p w14:paraId="42C2DBE6" w14:textId="77777777" w:rsidR="00553A60" w:rsidRDefault="00F96628" w:rsidP="00553A60">
      <w:pPr>
        <w:pStyle w:val="Heading4"/>
      </w:pPr>
      <w:r>
        <w:t>G</w:t>
      </w:r>
      <w:r w:rsidR="00553A60">
        <w:t>round 4</w:t>
      </w:r>
    </w:p>
    <w:p w14:paraId="487AD0CF" w14:textId="3E340494" w:rsidR="007A7608" w:rsidRDefault="00F96628" w:rsidP="00553A60">
      <w:pPr>
        <w:pStyle w:val="ParaNumbering"/>
      </w:pPr>
      <w:r>
        <w:t>G</w:t>
      </w:r>
      <w:r w:rsidR="00553A60">
        <w:t xml:space="preserve">round 4 </w:t>
      </w:r>
      <w:r w:rsidR="007A7608">
        <w:t>refers to Reasons</w:t>
      </w:r>
      <w:r>
        <w:t xml:space="preserve"> at</w:t>
      </w:r>
      <w:r w:rsidR="007A7608">
        <w:t xml:space="preserve"> [87] and</w:t>
      </w:r>
      <w:r w:rsidR="009A659A">
        <w:t xml:space="preserve"> asserts </w:t>
      </w:r>
      <w:r w:rsidR="00553A60">
        <w:t>that the primary judge “</w:t>
      </w:r>
      <w:r w:rsidR="00EA4B24">
        <w:t>M</w:t>
      </w:r>
      <w:r w:rsidR="00553A60">
        <w:t>ade an unnecessary subjective assessment</w:t>
      </w:r>
      <w:r w:rsidR="007A7608">
        <w:t xml:space="preserve"> that has no place in a public document and is injurious to my already sullied reputation”.</w:t>
      </w:r>
    </w:p>
    <w:p w14:paraId="2AA96F44" w14:textId="33BBA320" w:rsidR="007A7608" w:rsidRDefault="00F96628" w:rsidP="00553A60">
      <w:pPr>
        <w:pStyle w:val="ParaNumbering"/>
      </w:pPr>
      <w:r>
        <w:t xml:space="preserve">The </w:t>
      </w:r>
      <w:proofErr w:type="gramStart"/>
      <w:r>
        <w:t>appellant’</w:t>
      </w:r>
      <w:r w:rsidR="007A7608">
        <w:t>s</w:t>
      </w:r>
      <w:proofErr w:type="gramEnd"/>
      <w:r w:rsidR="007A7608">
        <w:t xml:space="preserve"> written submissions refer to two passages in the Reasons.  The first is </w:t>
      </w:r>
      <w:r w:rsidR="00504B1D">
        <w:t>where the primary judge assessed</w:t>
      </w:r>
      <w:r w:rsidR="007A7608">
        <w:t xml:space="preserve"> the appellant’s demeanour when giving evidence as “defensive and prevaricating”.  The second is where her Honour</w:t>
      </w:r>
      <w:r w:rsidR="00504B1D">
        <w:t xml:space="preserve"> observed</w:t>
      </w:r>
      <w:r w:rsidR="007A7608">
        <w:t xml:space="preserve"> “… it also reinforces my view that his unguarded responses in oral testimony should be preferred over any inconsistent factual assertions in the written statement he prepared for the FWC”</w:t>
      </w:r>
      <w:r w:rsidR="00A53919">
        <w:t>.</w:t>
      </w:r>
    </w:p>
    <w:p w14:paraId="411E43EB" w14:textId="77777777" w:rsidR="007A7608" w:rsidRDefault="00A53919" w:rsidP="00553A60">
      <w:pPr>
        <w:pStyle w:val="ParaNumbering"/>
      </w:pPr>
      <w:r>
        <w:t>A</w:t>
      </w:r>
      <w:r w:rsidR="007A7608">
        <w:t xml:space="preserve">s to the first </w:t>
      </w:r>
      <w:r w:rsidR="00553863">
        <w:t>matter</w:t>
      </w:r>
      <w:r w:rsidR="007A7608">
        <w:t xml:space="preserve">, it was part of her Honour’s task to assess the appellant as a witness.  </w:t>
      </w:r>
      <w:r w:rsidR="00553863">
        <w:t xml:space="preserve">There is nothing put forward by the appellant to suggest her Honour’s assessment of him was wrong.  </w:t>
      </w:r>
      <w:r w:rsidR="007A7608">
        <w:t xml:space="preserve">No legitimate complaint </w:t>
      </w:r>
      <w:proofErr w:type="gramStart"/>
      <w:r w:rsidR="007A7608">
        <w:t>can be made</w:t>
      </w:r>
      <w:proofErr w:type="gramEnd"/>
      <w:r w:rsidR="007A7608">
        <w:t xml:space="preserve"> about her Honou</w:t>
      </w:r>
      <w:r w:rsidR="00553863">
        <w:t>r’s assessment of the appellant as a witness.</w:t>
      </w:r>
    </w:p>
    <w:p w14:paraId="41205B66" w14:textId="7580696C" w:rsidR="007A7608" w:rsidRDefault="00553863" w:rsidP="00553A60">
      <w:pPr>
        <w:pStyle w:val="ParaNumbering"/>
      </w:pPr>
      <w:r>
        <w:t>The second matter</w:t>
      </w:r>
      <w:r w:rsidR="007A7608">
        <w:t xml:space="preserve"> </w:t>
      </w:r>
      <w:r w:rsidR="00504B1D">
        <w:t>was a</w:t>
      </w:r>
      <w:r w:rsidR="007A7608">
        <w:t xml:space="preserve"> conclusion reached by the primary judge following an observation that the appellant presented as a person convinced of the superiority of his own opinions over those with whom he had dealings in the workpl</w:t>
      </w:r>
      <w:r w:rsidR="00A53919">
        <w:t xml:space="preserve">ace concerning the care of the </w:t>
      </w:r>
      <w:r w:rsidR="00986F5E">
        <w:t>Specimens</w:t>
      </w:r>
      <w:r w:rsidR="007A7608">
        <w:t>.</w:t>
      </w:r>
    </w:p>
    <w:p w14:paraId="115F2768" w14:textId="073A0D7C" w:rsidR="007A7608" w:rsidRDefault="007A7608" w:rsidP="00553A60">
      <w:pPr>
        <w:pStyle w:val="ParaNumbering"/>
      </w:pPr>
      <w:r>
        <w:t>The</w:t>
      </w:r>
      <w:r w:rsidR="00D85BC2">
        <w:t xml:space="preserve"> limited</w:t>
      </w:r>
      <w:r>
        <w:t xml:space="preserve"> submissions advanced by the appellant in relat</w:t>
      </w:r>
      <w:r w:rsidR="00504B1D">
        <w:t>ion to these two complaints are</w:t>
      </w:r>
      <w:r>
        <w:t xml:space="preserve"> of </w:t>
      </w:r>
      <w:r w:rsidR="00553863">
        <w:t>little weight, amounting to no more than disagreement.</w:t>
      </w:r>
    </w:p>
    <w:p w14:paraId="0A7781F9" w14:textId="77777777" w:rsidR="007A7608" w:rsidRDefault="00D85BC2" w:rsidP="00553A60">
      <w:pPr>
        <w:pStyle w:val="ParaNumbering"/>
      </w:pPr>
      <w:r>
        <w:lastRenderedPageBreak/>
        <w:t>T</w:t>
      </w:r>
      <w:r w:rsidR="00553863">
        <w:t>he Court is not satisfied</w:t>
      </w:r>
      <w:r w:rsidR="007A7608">
        <w:t xml:space="preserve"> the primary judge displayed actual or apprehended bias</w:t>
      </w:r>
      <w:r>
        <w:t xml:space="preserve"> in making these observations about the appellant</w:t>
      </w:r>
      <w:r w:rsidR="007A7608">
        <w:t>.  This ground of appeal fails.</w:t>
      </w:r>
    </w:p>
    <w:p w14:paraId="25C1E1FC" w14:textId="77777777" w:rsidR="00553A60" w:rsidRDefault="00A53919" w:rsidP="00553A60">
      <w:pPr>
        <w:pStyle w:val="Heading4"/>
      </w:pPr>
      <w:r>
        <w:t>G</w:t>
      </w:r>
      <w:r w:rsidR="00553A60">
        <w:t>round 5</w:t>
      </w:r>
    </w:p>
    <w:p w14:paraId="1A0740B0" w14:textId="2FB386CB" w:rsidR="009A659A" w:rsidRDefault="00A53919" w:rsidP="00553A60">
      <w:pPr>
        <w:pStyle w:val="ParaNumbering"/>
      </w:pPr>
      <w:r>
        <w:t>G</w:t>
      </w:r>
      <w:r w:rsidR="009A659A">
        <w:t xml:space="preserve">round </w:t>
      </w:r>
      <w:r>
        <w:t>5</w:t>
      </w:r>
      <w:r w:rsidR="009A659A">
        <w:t xml:space="preserve"> refers to Reasons </w:t>
      </w:r>
      <w:r>
        <w:t xml:space="preserve">at </w:t>
      </w:r>
      <w:r w:rsidR="009A659A">
        <w:t xml:space="preserve">[98], [211] and [225].  </w:t>
      </w:r>
      <w:r w:rsidR="00504B1D">
        <w:t>The</w:t>
      </w:r>
      <w:r w:rsidR="009A659A">
        <w:t xml:space="preserve"> appellant </w:t>
      </w:r>
      <w:r w:rsidR="00504B1D">
        <w:t xml:space="preserve">contends he </w:t>
      </w:r>
      <w:proofErr w:type="gramStart"/>
      <w:r w:rsidR="009A659A">
        <w:t>is quoted</w:t>
      </w:r>
      <w:proofErr w:type="gramEnd"/>
      <w:r w:rsidR="009A659A">
        <w:t xml:space="preserve"> out of context </w:t>
      </w:r>
      <w:r w:rsidR="00504B1D">
        <w:t>and he had not</w:t>
      </w:r>
      <w:r w:rsidR="009A659A">
        <w:t xml:space="preserve"> expressed a view that </w:t>
      </w:r>
      <w:r>
        <w:t>“</w:t>
      </w:r>
      <w:r w:rsidR="009A659A">
        <w:t>F10</w:t>
      </w:r>
      <w:r>
        <w:t>”</w:t>
      </w:r>
      <w:r w:rsidR="009A659A">
        <w:t xml:space="preserve"> (a cleaning chemical) should not be used.</w:t>
      </w:r>
    </w:p>
    <w:p w14:paraId="234965FF" w14:textId="5C895FF2" w:rsidR="009A659A" w:rsidRDefault="009A659A" w:rsidP="00553A60">
      <w:pPr>
        <w:pStyle w:val="ParaNumbering"/>
      </w:pPr>
      <w:r>
        <w:t xml:space="preserve">The </w:t>
      </w:r>
      <w:proofErr w:type="gramStart"/>
      <w:r>
        <w:t>context</w:t>
      </w:r>
      <w:r w:rsidR="00E9354B">
        <w:t xml:space="preserve"> </w:t>
      </w:r>
      <w:r>
        <w:t>in which the chemical</w:t>
      </w:r>
      <w:r w:rsidR="00E9354B">
        <w:t>,</w:t>
      </w:r>
      <w:r>
        <w:t xml:space="preserve"> F10</w:t>
      </w:r>
      <w:r w:rsidR="00E9354B">
        <w:t>,</w:t>
      </w:r>
      <w:r>
        <w:t xml:space="preserve"> was raised was deal</w:t>
      </w:r>
      <w:r w:rsidR="00A53919">
        <w:t>t with by the primary judge in R</w:t>
      </w:r>
      <w:r>
        <w:t>easons</w:t>
      </w:r>
      <w:proofErr w:type="gramEnd"/>
      <w:r w:rsidR="00A53919">
        <w:t xml:space="preserve"> at</w:t>
      </w:r>
      <w:r>
        <w:t xml:space="preserve"> [98].  Although denying he held an opinion about F10 being ineffective</w:t>
      </w:r>
      <w:r w:rsidR="00A53919">
        <w:t>,</w:t>
      </w:r>
      <w:r>
        <w:t xml:space="preserve"> the pri</w:t>
      </w:r>
      <w:r w:rsidR="00A53919">
        <w:t>mary judge found at R</w:t>
      </w:r>
      <w:r>
        <w:t xml:space="preserve">easons [100] that the appellant </w:t>
      </w:r>
      <w:r w:rsidR="00EB1890">
        <w:t>had</w:t>
      </w:r>
      <w:r>
        <w:t xml:space="preserve"> held that opinion.</w:t>
      </w:r>
    </w:p>
    <w:p w14:paraId="51DABB1B" w14:textId="2F946BD1" w:rsidR="009A659A" w:rsidRDefault="009A659A" w:rsidP="00553A60">
      <w:pPr>
        <w:pStyle w:val="ParaNumbering"/>
      </w:pPr>
      <w:r>
        <w:t>Later at Reasons [211] an</w:t>
      </w:r>
      <w:r w:rsidR="00E9354B">
        <w:t>d [225] the primary judge stated</w:t>
      </w:r>
      <w:r>
        <w:t xml:space="preserve"> she was satisfied that the appellant formed his own view about F10 and that in expressing that view he was not exercising or purporting to exercise a workplace right.  </w:t>
      </w:r>
      <w:r w:rsidR="00A53919">
        <w:t>Her Honour</w:t>
      </w:r>
      <w:r>
        <w:t xml:space="preserve"> also noted that</w:t>
      </w:r>
      <w:r w:rsidR="00553863">
        <w:t xml:space="preserve"> in any event, that</w:t>
      </w:r>
      <w:r>
        <w:t xml:space="preserve"> aspect of the c</w:t>
      </w:r>
      <w:r w:rsidR="00A53919">
        <w:t>ase did not feature in his plead</w:t>
      </w:r>
      <w:r>
        <w:t>ed allegations aga</w:t>
      </w:r>
      <w:r w:rsidR="00553863">
        <w:t>inst the respondent</w:t>
      </w:r>
      <w:r>
        <w:t>.</w:t>
      </w:r>
    </w:p>
    <w:p w14:paraId="4F48E1FC" w14:textId="77777777" w:rsidR="00553863" w:rsidRDefault="00553863" w:rsidP="00553A60">
      <w:pPr>
        <w:pStyle w:val="ParaNumbering"/>
      </w:pPr>
      <w:r>
        <w:t>The appellant has not taken</w:t>
      </w:r>
      <w:r w:rsidR="00D85BC2">
        <w:t xml:space="preserve"> the Court</w:t>
      </w:r>
      <w:r w:rsidR="00C13195">
        <w:t xml:space="preserve"> to any evidence that suggests </w:t>
      </w:r>
      <w:r>
        <w:t>her Honour’s findings</w:t>
      </w:r>
      <w:r w:rsidR="009A659A">
        <w:t xml:space="preserve"> were not</w:t>
      </w:r>
      <w:r w:rsidR="00C13195">
        <w:t xml:space="preserve"> open</w:t>
      </w:r>
      <w:r w:rsidR="009A659A">
        <w:t xml:space="preserve">.  </w:t>
      </w:r>
    </w:p>
    <w:p w14:paraId="3A125EF5" w14:textId="77777777" w:rsidR="009A659A" w:rsidRDefault="00553863" w:rsidP="00553A60">
      <w:pPr>
        <w:pStyle w:val="ParaNumbering"/>
      </w:pPr>
      <w:r>
        <w:t xml:space="preserve">The Court is not satisfied </w:t>
      </w:r>
      <w:r w:rsidR="00C13195">
        <w:t>that in making these findings, the primary judge displayed actual or apprehended bias.  This ground of appeal fails</w:t>
      </w:r>
      <w:r w:rsidR="00A53919">
        <w:t>.</w:t>
      </w:r>
    </w:p>
    <w:p w14:paraId="6DD1B1BF" w14:textId="77777777" w:rsidR="00553A60" w:rsidRDefault="00A53919" w:rsidP="00553A60">
      <w:pPr>
        <w:pStyle w:val="Heading4"/>
      </w:pPr>
      <w:r>
        <w:t>G</w:t>
      </w:r>
      <w:r w:rsidR="00553A60">
        <w:t>round 6</w:t>
      </w:r>
    </w:p>
    <w:p w14:paraId="209CD6F0" w14:textId="0FB55B36" w:rsidR="003321DA" w:rsidRDefault="00A53919" w:rsidP="00553A60">
      <w:pPr>
        <w:pStyle w:val="ParaNumbering"/>
      </w:pPr>
      <w:r>
        <w:t>A</w:t>
      </w:r>
      <w:r w:rsidR="003321DA">
        <w:t xml:space="preserve">lthough no reference </w:t>
      </w:r>
      <w:proofErr w:type="gramStart"/>
      <w:r w:rsidR="003321DA">
        <w:t>is made</w:t>
      </w:r>
      <w:proofErr w:type="gramEnd"/>
      <w:r w:rsidR="008A6572">
        <w:t xml:space="preserve"> in this ground of appeal</w:t>
      </w:r>
      <w:r w:rsidR="003321DA">
        <w:t xml:space="preserve"> to the Reasons, this ground refers to Reasons</w:t>
      </w:r>
      <w:r w:rsidR="00F30096">
        <w:t xml:space="preserve"> at</w:t>
      </w:r>
      <w:r w:rsidR="00D9149B">
        <w:t xml:space="preserve"> </w:t>
      </w:r>
      <w:r w:rsidR="003321DA">
        <w:t xml:space="preserve">[116].  The </w:t>
      </w:r>
      <w:r w:rsidR="008A6572">
        <w:t>contention</w:t>
      </w:r>
      <w:r w:rsidR="003321DA">
        <w:t xml:space="preserve"> is that the primary judge</w:t>
      </w:r>
      <w:r>
        <w:t>,</w:t>
      </w:r>
      <w:r w:rsidR="00C307B2">
        <w:t xml:space="preserve"> “Excuses [</w:t>
      </w:r>
      <w:r w:rsidR="003321DA">
        <w:t>Dr Massy-</w:t>
      </w:r>
      <w:proofErr w:type="spellStart"/>
      <w:r w:rsidR="003321DA">
        <w:t>Westropp</w:t>
      </w:r>
      <w:r>
        <w:t>’s</w:t>
      </w:r>
      <w:proofErr w:type="spellEnd"/>
      <w:r w:rsidR="00C307B2">
        <w:t>]</w:t>
      </w:r>
      <w:r w:rsidR="003321DA">
        <w:t xml:space="preserve"> apparently ‘long-winded and self-serv</w:t>
      </w:r>
      <w:r w:rsidR="00C307B2">
        <w:t>ing’ responses as a result of [t</w:t>
      </w:r>
      <w:r w:rsidR="003321DA">
        <w:t>he appellant</w:t>
      </w:r>
      <w:r w:rsidR="00C307B2">
        <w:t>’s]</w:t>
      </w:r>
      <w:r w:rsidR="003321DA">
        <w:t xml:space="preserve"> failure to interrupt her</w:t>
      </w:r>
      <w:r w:rsidR="00325EE0">
        <w:t>”</w:t>
      </w:r>
      <w:r w:rsidR="003321DA">
        <w:t>.</w:t>
      </w:r>
    </w:p>
    <w:p w14:paraId="3BEE740E" w14:textId="42717E3C" w:rsidR="003321DA" w:rsidRDefault="00C307B2" w:rsidP="00553A60">
      <w:pPr>
        <w:pStyle w:val="ParaNumbering"/>
      </w:pPr>
      <w:r>
        <w:t>When the primary judge made the</w:t>
      </w:r>
      <w:r w:rsidR="003321DA">
        <w:t xml:space="preserve"> observations at Reasons [116], </w:t>
      </w:r>
      <w:r>
        <w:t>her Honour</w:t>
      </w:r>
      <w:r w:rsidR="003321DA">
        <w:t xml:space="preserve"> </w:t>
      </w:r>
      <w:r>
        <w:t>noted</w:t>
      </w:r>
      <w:r w:rsidR="00EE7EB3">
        <w:t xml:space="preserve"> that Dr </w:t>
      </w:r>
      <w:r w:rsidR="003321DA">
        <w:t>Massy-</w:t>
      </w:r>
      <w:proofErr w:type="spellStart"/>
      <w:r w:rsidR="003321DA">
        <w:t>Westropp’s</w:t>
      </w:r>
      <w:proofErr w:type="spellEnd"/>
      <w:r w:rsidR="003321DA">
        <w:t xml:space="preserve"> evidence </w:t>
      </w:r>
      <w:proofErr w:type="gramStart"/>
      <w:r w:rsidR="003321DA">
        <w:t>was not interrupted</w:t>
      </w:r>
      <w:proofErr w:type="gramEnd"/>
      <w:r w:rsidR="003321DA">
        <w:t xml:space="preserve"> when she could and should have been</w:t>
      </w:r>
      <w:r w:rsidR="006C25E7">
        <w:t>,</w:t>
      </w:r>
      <w:r w:rsidR="003321DA">
        <w:t xml:space="preserve"> with the consequence that her evidence was at times overly earnest and the responses </w:t>
      </w:r>
      <w:r w:rsidR="00A53919">
        <w:t>long</w:t>
      </w:r>
      <w:r w:rsidR="003321DA">
        <w:t>-winded and apparently self-serving.  The observation</w:t>
      </w:r>
      <w:r>
        <w:t xml:space="preserve"> was</w:t>
      </w:r>
      <w:r w:rsidR="003321DA">
        <w:t xml:space="preserve"> not critical of the appellant.  Indeed the primary judge notes </w:t>
      </w:r>
      <w:r>
        <w:t xml:space="preserve">specifically </w:t>
      </w:r>
      <w:r w:rsidR="003321DA">
        <w:t xml:space="preserve">that the consequence of the appellant not </w:t>
      </w:r>
      <w:proofErr w:type="gramStart"/>
      <w:r w:rsidR="003321DA">
        <w:t>being legally trained</w:t>
      </w:r>
      <w:proofErr w:type="gramEnd"/>
      <w:r w:rsidR="003321DA">
        <w:t xml:space="preserve"> led to her Honour’s assessment of Dr Massy-</w:t>
      </w:r>
      <w:proofErr w:type="spellStart"/>
      <w:r w:rsidR="003321DA">
        <w:t>Westropp</w:t>
      </w:r>
      <w:proofErr w:type="spellEnd"/>
      <w:r w:rsidR="003321DA">
        <w:t xml:space="preserve"> in the terms described.  </w:t>
      </w:r>
    </w:p>
    <w:p w14:paraId="45E6FFC6" w14:textId="77777777" w:rsidR="00553A60" w:rsidRDefault="00C00675" w:rsidP="00553A60">
      <w:pPr>
        <w:pStyle w:val="ParaNumbering"/>
      </w:pPr>
      <w:r>
        <w:t>The Court is not satisfied</w:t>
      </w:r>
      <w:r w:rsidR="003321DA">
        <w:t xml:space="preserve"> that in making this assessment of Dr Massy-</w:t>
      </w:r>
      <w:proofErr w:type="spellStart"/>
      <w:r w:rsidR="003321DA">
        <w:t>Westropp’s</w:t>
      </w:r>
      <w:proofErr w:type="spellEnd"/>
      <w:r w:rsidR="003321DA">
        <w:t xml:space="preserve"> evidence, the primary judge displayed actual or apprehended bias.  This ground of appeal fails</w:t>
      </w:r>
      <w:r w:rsidR="00A53919">
        <w:t>.</w:t>
      </w:r>
    </w:p>
    <w:p w14:paraId="49EF1BBB" w14:textId="77777777" w:rsidR="00553A60" w:rsidRDefault="00A53919" w:rsidP="00553A60">
      <w:pPr>
        <w:pStyle w:val="Heading4"/>
      </w:pPr>
      <w:r>
        <w:lastRenderedPageBreak/>
        <w:t>G</w:t>
      </w:r>
      <w:r w:rsidR="00553A60">
        <w:t>round 7</w:t>
      </w:r>
    </w:p>
    <w:p w14:paraId="7507B5BD" w14:textId="0FBAD73F" w:rsidR="009736D7" w:rsidRDefault="00C307B2" w:rsidP="00553A60">
      <w:pPr>
        <w:pStyle w:val="ParaNumbering"/>
      </w:pPr>
      <w:r>
        <w:t>Ground 7 comprises</w:t>
      </w:r>
      <w:r w:rsidR="00325EE0">
        <w:t xml:space="preserve"> </w:t>
      </w:r>
      <w:r>
        <w:t xml:space="preserve">two parts, </w:t>
      </w:r>
      <w:r w:rsidR="003321DA">
        <w:t xml:space="preserve">the first </w:t>
      </w:r>
      <w:r w:rsidR="006C25E7">
        <w:t xml:space="preserve">part </w:t>
      </w:r>
      <w:r w:rsidR="003321DA">
        <w:t xml:space="preserve">relating to the production of the respondent’s Human Resources file </w:t>
      </w:r>
      <w:r w:rsidR="006C25E7">
        <w:t>regarding</w:t>
      </w:r>
      <w:r w:rsidR="003321DA">
        <w:t xml:space="preserve"> the appellant and refers to Reasons</w:t>
      </w:r>
      <w:r w:rsidR="00A53919">
        <w:t xml:space="preserve"> </w:t>
      </w:r>
      <w:r w:rsidR="00717905">
        <w:t xml:space="preserve">at </w:t>
      </w:r>
      <w:r w:rsidR="003321DA">
        <w:t xml:space="preserve">[175].  The </w:t>
      </w:r>
      <w:r>
        <w:t>contention</w:t>
      </w:r>
      <w:r w:rsidR="003321DA">
        <w:t xml:space="preserve"> is that after the production of the file, the trial </w:t>
      </w:r>
      <w:proofErr w:type="gramStart"/>
      <w:r w:rsidR="003321DA">
        <w:t>was adjourned</w:t>
      </w:r>
      <w:proofErr w:type="gramEnd"/>
      <w:r w:rsidR="003321DA">
        <w:t xml:space="preserve"> for 30 minutes.  The appellant submits that</w:t>
      </w:r>
      <w:r w:rsidR="009736D7">
        <w:t xml:space="preserve"> the </w:t>
      </w:r>
      <w:proofErr w:type="gramStart"/>
      <w:r w:rsidR="009736D7">
        <w:t>30 minute</w:t>
      </w:r>
      <w:proofErr w:type="gramEnd"/>
      <w:r w:rsidR="006C25E7">
        <w:t xml:space="preserve"> adjournment</w:t>
      </w:r>
      <w:r w:rsidR="009736D7">
        <w:t xml:space="preserve"> gave time for editing and </w:t>
      </w:r>
      <w:r w:rsidR="006C25E7">
        <w:t xml:space="preserve">that her Honour </w:t>
      </w:r>
      <w:r w:rsidR="009736D7">
        <w:t xml:space="preserve">fails to refer to the appellant’s remark that </w:t>
      </w:r>
      <w:r w:rsidR="00FB60FD">
        <w:t xml:space="preserve">the </w:t>
      </w:r>
      <w:r w:rsidR="009736D7">
        <w:t xml:space="preserve">file contained three emails only.  The appellant continues, without identifying any basis, that it </w:t>
      </w:r>
      <w:proofErr w:type="gramStart"/>
      <w:r w:rsidR="009736D7">
        <w:t>should be presumed</w:t>
      </w:r>
      <w:proofErr w:type="gramEnd"/>
      <w:r w:rsidR="009736D7">
        <w:t xml:space="preserve"> that the file contained evidence in his favour.</w:t>
      </w:r>
    </w:p>
    <w:p w14:paraId="43D40793" w14:textId="24135FB0" w:rsidR="009736D7" w:rsidRDefault="00C00675" w:rsidP="00553A60">
      <w:pPr>
        <w:pStyle w:val="ParaNumbering"/>
      </w:pPr>
      <w:r>
        <w:t xml:space="preserve">The nature </w:t>
      </w:r>
      <w:r w:rsidR="00DB13EC">
        <w:t xml:space="preserve">of the appellant’s complaint appears to be, without actually stating it, that during the </w:t>
      </w:r>
      <w:proofErr w:type="gramStart"/>
      <w:r w:rsidR="00DB13EC">
        <w:t>30 minute</w:t>
      </w:r>
      <w:proofErr w:type="gramEnd"/>
      <w:r w:rsidR="00DB13EC">
        <w:t xml:space="preserve"> adjournment, editing of his </w:t>
      </w:r>
      <w:r w:rsidR="00C307B2">
        <w:t xml:space="preserve">Human Resources </w:t>
      </w:r>
      <w:r w:rsidR="00DB13EC">
        <w:t xml:space="preserve">file occurred.  </w:t>
      </w:r>
      <w:proofErr w:type="gramStart"/>
      <w:r w:rsidR="009736D7">
        <w:t xml:space="preserve">No material is advanced by the appellant to support </w:t>
      </w:r>
      <w:r w:rsidR="00DB13EC">
        <w:t>that contention</w:t>
      </w:r>
      <w:proofErr w:type="gramEnd"/>
      <w:r w:rsidR="00DB13EC">
        <w:t xml:space="preserve">. </w:t>
      </w:r>
      <w:r w:rsidR="009736D7">
        <w:t xml:space="preserve"> Further, her </w:t>
      </w:r>
      <w:r w:rsidR="00C307B2">
        <w:t xml:space="preserve">Honour specifically referred </w:t>
      </w:r>
      <w:r w:rsidR="009736D7">
        <w:t>to the appellant commenting on the paucity of the material produced but that the appellant took the matter no further.</w:t>
      </w:r>
    </w:p>
    <w:p w14:paraId="38336C3E" w14:textId="77777777" w:rsidR="00DD771C" w:rsidRDefault="009736D7" w:rsidP="00553A60">
      <w:pPr>
        <w:pStyle w:val="ParaNumbering"/>
      </w:pPr>
      <w:r>
        <w:t xml:space="preserve">The second part of ground </w:t>
      </w:r>
      <w:r w:rsidR="000638E4">
        <w:t>7</w:t>
      </w:r>
      <w:r>
        <w:t xml:space="preserve"> refers to her Honour’s reference to the paucity of material produced by the respondent in Reasons </w:t>
      </w:r>
      <w:r w:rsidR="000638E4">
        <w:t xml:space="preserve">at </w:t>
      </w:r>
      <w:r>
        <w:t>[233] as “poor record-keeping”.</w:t>
      </w:r>
      <w:r w:rsidR="00DD771C">
        <w:t xml:space="preserve">  No submission </w:t>
      </w:r>
      <w:proofErr w:type="gramStart"/>
      <w:r w:rsidR="00DD771C">
        <w:t>is made</w:t>
      </w:r>
      <w:proofErr w:type="gramEnd"/>
      <w:r w:rsidR="00DD771C">
        <w:t xml:space="preserve"> as to why that assessment was wrong, far less attended by bias or apprehended bias.</w:t>
      </w:r>
    </w:p>
    <w:p w14:paraId="27CC5832" w14:textId="77777777" w:rsidR="00553A60" w:rsidRDefault="00DD771C" w:rsidP="00553A60">
      <w:pPr>
        <w:pStyle w:val="ParaNumbering"/>
      </w:pPr>
      <w:r>
        <w:t xml:space="preserve">Neither of the grounds advanced in ground </w:t>
      </w:r>
      <w:r w:rsidR="000638E4">
        <w:t>7</w:t>
      </w:r>
      <w:r>
        <w:t xml:space="preserve"> reveal the primary judge displaying actual or apprehended bias.  This ground of appeal fails</w:t>
      </w:r>
      <w:r w:rsidR="000638E4">
        <w:t>.</w:t>
      </w:r>
    </w:p>
    <w:p w14:paraId="65604F8D" w14:textId="77777777" w:rsidR="00553A60" w:rsidRDefault="000638E4" w:rsidP="00553A60">
      <w:pPr>
        <w:pStyle w:val="Heading4"/>
      </w:pPr>
      <w:r>
        <w:t>G</w:t>
      </w:r>
      <w:r w:rsidR="00553A60">
        <w:t>round 8</w:t>
      </w:r>
    </w:p>
    <w:p w14:paraId="3AD8C8D0" w14:textId="53AF72CC" w:rsidR="00DD771C" w:rsidRDefault="000638E4" w:rsidP="00553A60">
      <w:pPr>
        <w:pStyle w:val="ParaNumbering"/>
      </w:pPr>
      <w:r w:rsidRPr="00DB13EC">
        <w:t>G</w:t>
      </w:r>
      <w:r w:rsidR="00DD771C" w:rsidRPr="00DB13EC">
        <w:t xml:space="preserve">round </w:t>
      </w:r>
      <w:r w:rsidRPr="00DB13EC">
        <w:t>8</w:t>
      </w:r>
      <w:r w:rsidR="00DD771C" w:rsidRPr="00DB13EC">
        <w:t xml:space="preserve"> relates to Reasons</w:t>
      </w:r>
      <w:r w:rsidRPr="00DB13EC">
        <w:t xml:space="preserve"> at</w:t>
      </w:r>
      <w:r w:rsidR="00DD771C" w:rsidRPr="00DB13EC">
        <w:t xml:space="preserve"> [195] and </w:t>
      </w:r>
      <w:r w:rsidR="009E44FA">
        <w:t>contends</w:t>
      </w:r>
      <w:r w:rsidR="00DD771C" w:rsidRPr="00DB13EC">
        <w:t xml:space="preserve"> that the primary judge failed to accept </w:t>
      </w:r>
      <w:r w:rsidR="00DB13EC" w:rsidRPr="00DB13EC">
        <w:t xml:space="preserve">that </w:t>
      </w:r>
      <w:r w:rsidR="00DD771C" w:rsidRPr="00DB13EC">
        <w:t>documents supplied as evidence were clearly not what they purported</w:t>
      </w:r>
      <w:r w:rsidR="009E44FA">
        <w:t xml:space="preserve"> to be</w:t>
      </w:r>
      <w:r w:rsidR="00DB13EC" w:rsidRPr="00DB13EC">
        <w:t xml:space="preserve">.  There is also a complaint that her Honour </w:t>
      </w:r>
      <w:r w:rsidR="00DD771C" w:rsidRPr="00DB13EC">
        <w:t>assigns no malign purpose to this.</w:t>
      </w:r>
    </w:p>
    <w:p w14:paraId="299C9F51" w14:textId="77777777" w:rsidR="00DB13EC" w:rsidRPr="00DB13EC" w:rsidRDefault="00DB13EC" w:rsidP="00553A60">
      <w:pPr>
        <w:pStyle w:val="ParaNumbering"/>
      </w:pPr>
      <w:r>
        <w:t>This ground relates to the respondent’s Procedure Manual.</w:t>
      </w:r>
    </w:p>
    <w:p w14:paraId="7898B266" w14:textId="70852284" w:rsidR="007C788B" w:rsidRDefault="00DD771C" w:rsidP="00553A60">
      <w:pPr>
        <w:pStyle w:val="ParaNumbering"/>
      </w:pPr>
      <w:r>
        <w:t>At Reasons [</w:t>
      </w:r>
      <w:proofErr w:type="gramStart"/>
      <w:r>
        <w:t>195]</w:t>
      </w:r>
      <w:proofErr w:type="gramEnd"/>
      <w:r>
        <w:t xml:space="preserve"> the primary judge </w:t>
      </w:r>
      <w:r w:rsidR="009E44FA">
        <w:t>considered</w:t>
      </w:r>
      <w:r>
        <w:t xml:space="preserve"> the contents of a later version of the Procedure Manual which detailed the hydrating and cleaning tasks assigned to the appellant.  </w:t>
      </w:r>
      <w:r w:rsidR="009E44FA">
        <w:t>At Reasons [193], h</w:t>
      </w:r>
      <w:r>
        <w:t>er Honour</w:t>
      </w:r>
      <w:r w:rsidR="007C788B">
        <w:t xml:space="preserve"> accepted Dr Massy-</w:t>
      </w:r>
      <w:proofErr w:type="spellStart"/>
      <w:r w:rsidR="007C788B">
        <w:t>Westropp’s</w:t>
      </w:r>
      <w:proofErr w:type="spellEnd"/>
      <w:r w:rsidR="007C788B">
        <w:t xml:space="preserve"> evidence that she selected the most recent version of the Procedure Manual for provision to the Fair Work Commission because she thought it was the appropriate document</w:t>
      </w:r>
      <w:r w:rsidR="00DB13EC">
        <w:t xml:space="preserve">.  Her Honour </w:t>
      </w:r>
      <w:r w:rsidR="009E44FA">
        <w:t xml:space="preserve">noted </w:t>
      </w:r>
      <w:r w:rsidR="006C25E7">
        <w:t xml:space="preserve">that </w:t>
      </w:r>
      <w:r w:rsidR="007C788B">
        <w:t xml:space="preserve">the fact that the latest version </w:t>
      </w:r>
      <w:proofErr w:type="gramStart"/>
      <w:r w:rsidR="007C788B">
        <w:t>had been created</w:t>
      </w:r>
      <w:proofErr w:type="gramEnd"/>
      <w:r w:rsidR="007C788B">
        <w:t xml:space="preserve"> shortly after the appellant’s dismissal was not concealed from </w:t>
      </w:r>
      <w:r w:rsidR="00DB13EC">
        <w:t xml:space="preserve">the appellant </w:t>
      </w:r>
      <w:r w:rsidR="007C788B">
        <w:t>nor from the Court.</w:t>
      </w:r>
    </w:p>
    <w:p w14:paraId="17884847" w14:textId="0DE03480" w:rsidR="00620310" w:rsidRDefault="00D139FF" w:rsidP="00553A60">
      <w:pPr>
        <w:pStyle w:val="ParaNumbering"/>
      </w:pPr>
      <w:r>
        <w:lastRenderedPageBreak/>
        <w:t>At Reasons [195], t</w:t>
      </w:r>
      <w:r w:rsidR="007C788B">
        <w:t xml:space="preserve">he primary judge continued that </w:t>
      </w:r>
      <w:r w:rsidR="00DD771C">
        <w:t>the appellant</w:t>
      </w:r>
      <w:r w:rsidR="00F31B4C">
        <w:t>,</w:t>
      </w:r>
      <w:r w:rsidR="00DD771C">
        <w:t xml:space="preserve"> </w:t>
      </w:r>
      <w:r w:rsidR="007C788B">
        <w:t>“…</w:t>
      </w:r>
      <w:r w:rsidR="00F31B4C">
        <w:t xml:space="preserve"> </w:t>
      </w:r>
      <w:r w:rsidR="00DD771C">
        <w:t>has not demonstrated that the provision of a later version of the Procedure Manual could have any bearing on the resolution of the objective question</w:t>
      </w:r>
      <w:r w:rsidR="00DB13EC">
        <w:t>.</w:t>
      </w:r>
      <w:r w:rsidR="007C788B">
        <w:t xml:space="preserve">” </w:t>
      </w:r>
      <w:r w:rsidR="00DB13EC">
        <w:t xml:space="preserve"> That question </w:t>
      </w:r>
      <w:r w:rsidR="007C788B">
        <w:t>was</w:t>
      </w:r>
      <w:r w:rsidR="00DD771C">
        <w:t xml:space="preserve"> whether the </w:t>
      </w:r>
      <w:r w:rsidR="007C788B">
        <w:t xml:space="preserve">content of the Procedure Manual, as it applied to </w:t>
      </w:r>
      <w:r w:rsidR="00DB13EC">
        <w:t>the appellant</w:t>
      </w:r>
      <w:r w:rsidR="007C788B">
        <w:t>, specified the frequency of the cleaning and hydration tasks that he was required to carry out</w:t>
      </w:r>
      <w:r w:rsidR="00F31B4C">
        <w:t>.  It is in that context that h</w:t>
      </w:r>
      <w:r w:rsidR="00DD771C">
        <w:t>er Honour recor</w:t>
      </w:r>
      <w:r w:rsidR="003A0631">
        <w:t>ded</w:t>
      </w:r>
      <w:r w:rsidR="00620310">
        <w:t>:</w:t>
      </w:r>
    </w:p>
    <w:p w14:paraId="090284F2" w14:textId="6D4AD735" w:rsidR="000E1D3E" w:rsidRDefault="00DD771C" w:rsidP="00CC3DC5">
      <w:pPr>
        <w:pStyle w:val="Quote1"/>
      </w:pPr>
      <w:r>
        <w:t>If Dr</w:t>
      </w:r>
      <w:r w:rsidR="00325EE0">
        <w:t> </w:t>
      </w:r>
      <w:r>
        <w:t>Massy-</w:t>
      </w:r>
      <w:proofErr w:type="spellStart"/>
      <w:r>
        <w:t>Westropp</w:t>
      </w:r>
      <w:proofErr w:type="spellEnd"/>
      <w:r>
        <w:t xml:space="preserve"> provided an incorrect version of the Procedure Manual, it </w:t>
      </w:r>
      <w:proofErr w:type="gramStart"/>
      <w:r>
        <w:t>has not been demonstrated</w:t>
      </w:r>
      <w:proofErr w:type="gramEnd"/>
      <w:r>
        <w:t xml:space="preserve"> that her decision to do so was accompanied by a malign purpose, nor that it should adversely affect her credit in this proceeding.  No malign purpose is apparent from an examination of the differences between the documents referred to in the course of evidence.</w:t>
      </w:r>
    </w:p>
    <w:p w14:paraId="1500FA4E" w14:textId="6B2EFBBF" w:rsidR="00DD771C" w:rsidRDefault="00DD771C" w:rsidP="000E1D3E">
      <w:pPr>
        <w:pStyle w:val="NoNum"/>
      </w:pPr>
    </w:p>
    <w:p w14:paraId="618F3091" w14:textId="77777777" w:rsidR="00DB13EC" w:rsidRDefault="007C788B" w:rsidP="00553A60">
      <w:pPr>
        <w:pStyle w:val="ParaNumbering"/>
      </w:pPr>
      <w:r>
        <w:t xml:space="preserve">There is no </w:t>
      </w:r>
      <w:proofErr w:type="gramStart"/>
      <w:r>
        <w:t>material which</w:t>
      </w:r>
      <w:proofErr w:type="gramEnd"/>
      <w:r>
        <w:t xml:space="preserve"> has been put before the Court which suggests the primary judge’s findings</w:t>
      </w:r>
      <w:r w:rsidR="00DB13EC">
        <w:t xml:space="preserve"> on this topic</w:t>
      </w:r>
      <w:r>
        <w:t xml:space="preserve"> were not open to her Honour.  </w:t>
      </w:r>
    </w:p>
    <w:p w14:paraId="4D470749" w14:textId="77777777" w:rsidR="00553A60" w:rsidRDefault="00DB13EC" w:rsidP="00553A60">
      <w:pPr>
        <w:pStyle w:val="ParaNumbering"/>
      </w:pPr>
      <w:r>
        <w:t>The Court is</w:t>
      </w:r>
      <w:r w:rsidR="00754726">
        <w:t xml:space="preserve"> not</w:t>
      </w:r>
      <w:r>
        <w:t xml:space="preserve"> satisfied </w:t>
      </w:r>
      <w:r w:rsidR="007C788B">
        <w:t>that in making these findings,</w:t>
      </w:r>
      <w:r w:rsidR="00EA1CAA">
        <w:t xml:space="preserve"> the primary judge display</w:t>
      </w:r>
      <w:r w:rsidR="00754726">
        <w:t>ed</w:t>
      </w:r>
      <w:r w:rsidR="00D51610">
        <w:t xml:space="preserve"> actual or apprehended bias.  This ground of appeal fails</w:t>
      </w:r>
      <w:r w:rsidR="00F31B4C">
        <w:t>.</w:t>
      </w:r>
    </w:p>
    <w:p w14:paraId="38EF68D7" w14:textId="77777777" w:rsidR="00553A60" w:rsidRDefault="00F31B4C" w:rsidP="00553A60">
      <w:pPr>
        <w:pStyle w:val="Heading4"/>
      </w:pPr>
      <w:r>
        <w:t>G</w:t>
      </w:r>
      <w:r w:rsidR="00553A60">
        <w:t>round 9</w:t>
      </w:r>
    </w:p>
    <w:p w14:paraId="5395DA78" w14:textId="1152270D" w:rsidR="00D51610" w:rsidRDefault="00F31B4C" w:rsidP="00553A60">
      <w:pPr>
        <w:pStyle w:val="ParaNumbering"/>
      </w:pPr>
      <w:r>
        <w:t>G</w:t>
      </w:r>
      <w:r w:rsidR="00D51610">
        <w:t xml:space="preserve">round </w:t>
      </w:r>
      <w:r>
        <w:t>9</w:t>
      </w:r>
      <w:r w:rsidR="00DB13EC">
        <w:t xml:space="preserve"> refers to Reasons</w:t>
      </w:r>
      <w:r w:rsidR="00907D96">
        <w:t xml:space="preserve"> at</w:t>
      </w:r>
      <w:r>
        <w:t xml:space="preserve"> </w:t>
      </w:r>
      <w:r w:rsidR="00D51610">
        <w:t xml:space="preserve">[208] and </w:t>
      </w:r>
      <w:r w:rsidR="003A0631">
        <w:t>contends</w:t>
      </w:r>
      <w:r w:rsidR="00D51610">
        <w:t xml:space="preserve"> that the primary judge disregarded evidence </w:t>
      </w:r>
      <w:r w:rsidR="006C25E7">
        <w:t xml:space="preserve">in </w:t>
      </w:r>
      <w:r w:rsidR="00D51610">
        <w:t xml:space="preserve">to the Fair Work Commission </w:t>
      </w:r>
      <w:r w:rsidR="006C25E7">
        <w:t xml:space="preserve">document bundle </w:t>
      </w:r>
      <w:r w:rsidR="00D51610">
        <w:t>that the appellant had concerns for his safe</w:t>
      </w:r>
      <w:r>
        <w:t>ty because he did not reiterate them</w:t>
      </w:r>
      <w:r w:rsidR="00D51610">
        <w:t xml:space="preserve"> in oral testimony.</w:t>
      </w:r>
    </w:p>
    <w:p w14:paraId="36EB09AE" w14:textId="349B5177" w:rsidR="00D51610" w:rsidRDefault="00D51610" w:rsidP="00553A60">
      <w:pPr>
        <w:pStyle w:val="ParaNumbering"/>
      </w:pPr>
      <w:r>
        <w:t xml:space="preserve">In this </w:t>
      </w:r>
      <w:r w:rsidR="00F31B4C">
        <w:t>paragraph of the primary judge’</w:t>
      </w:r>
      <w:r>
        <w:t xml:space="preserve">s reasons, her Honour </w:t>
      </w:r>
      <w:r w:rsidR="003A0631">
        <w:t>considered</w:t>
      </w:r>
      <w:r>
        <w:t xml:space="preserve"> the inconsistency between the written material provided to the Fair Work Commission and the oral evidence given by the appellant in the course of the trial.  That inconsistency is an important consideration.  It was open to her Honour to consider the more reliable evidence to be that </w:t>
      </w:r>
      <w:proofErr w:type="gramStart"/>
      <w:r>
        <w:t>which the appellant gave orally in the course of th</w:t>
      </w:r>
      <w:r w:rsidR="003A0631">
        <w:t>e trial and</w:t>
      </w:r>
      <w:r>
        <w:t xml:space="preserve"> which her</w:t>
      </w:r>
      <w:proofErr w:type="gramEnd"/>
      <w:r>
        <w:t xml:space="preserve"> Honour described as “unguarded responses”.</w:t>
      </w:r>
    </w:p>
    <w:p w14:paraId="71DF3B1D" w14:textId="6235619E" w:rsidR="00D51610" w:rsidRDefault="003A0631" w:rsidP="00553A60">
      <w:pPr>
        <w:pStyle w:val="ParaNumbering"/>
      </w:pPr>
      <w:proofErr w:type="gramStart"/>
      <w:r>
        <w:t>Nothing is</w:t>
      </w:r>
      <w:r w:rsidR="00D51610">
        <w:t xml:space="preserve"> advanced by the appellant to support the assertion that the primary judge’s treatment and conclusion concerning the inconsistency in the versions put forward by the appellant was not open</w:t>
      </w:r>
      <w:r w:rsidR="00DB13EC">
        <w:t xml:space="preserve"> to her Honour</w:t>
      </w:r>
      <w:proofErr w:type="gramEnd"/>
      <w:r w:rsidR="00DB13EC">
        <w:t>.</w:t>
      </w:r>
    </w:p>
    <w:p w14:paraId="1BEBBEC0" w14:textId="77777777" w:rsidR="00553A60" w:rsidRDefault="00D51610" w:rsidP="00553A60">
      <w:pPr>
        <w:pStyle w:val="ParaNumbering"/>
      </w:pPr>
      <w:r>
        <w:t xml:space="preserve">In the circumstances, </w:t>
      </w:r>
      <w:r w:rsidR="00DB13EC">
        <w:t xml:space="preserve">the Court is </w:t>
      </w:r>
      <w:r w:rsidR="00EA1CAA">
        <w:t xml:space="preserve">not </w:t>
      </w:r>
      <w:r w:rsidR="00DB13EC">
        <w:t>satisfied</w:t>
      </w:r>
      <w:r>
        <w:t xml:space="preserve"> that in making this finding the primary judge displayed actual or apprehended bias.  This ground of appeal fails.</w:t>
      </w:r>
    </w:p>
    <w:p w14:paraId="3E017EED" w14:textId="77777777" w:rsidR="00553A60" w:rsidRDefault="00F31B4C" w:rsidP="00553A60">
      <w:pPr>
        <w:pStyle w:val="Heading4"/>
      </w:pPr>
      <w:r>
        <w:lastRenderedPageBreak/>
        <w:t>G</w:t>
      </w:r>
      <w:r w:rsidR="00553A60">
        <w:t>round 10</w:t>
      </w:r>
    </w:p>
    <w:p w14:paraId="5A6F2642" w14:textId="7AD11005" w:rsidR="00D51610" w:rsidRDefault="00F31B4C" w:rsidP="00553A60">
      <w:pPr>
        <w:pStyle w:val="ParaNumbering"/>
      </w:pPr>
      <w:r>
        <w:t>G</w:t>
      </w:r>
      <w:r w:rsidR="00D51610">
        <w:t xml:space="preserve">round 10 refers to Reasons </w:t>
      </w:r>
      <w:r>
        <w:t xml:space="preserve">at </w:t>
      </w:r>
      <w:r w:rsidR="00D51610">
        <w:t>[231] and asserts that the primary judge disregarded Centrelink document</w:t>
      </w:r>
      <w:r w:rsidR="00B40323">
        <w:t>ary</w:t>
      </w:r>
      <w:r w:rsidR="00D51610">
        <w:t xml:space="preserve"> evidence that </w:t>
      </w:r>
      <w:r w:rsidR="006C25E7">
        <w:t>several</w:t>
      </w:r>
      <w:r w:rsidR="00B40323">
        <w:t xml:space="preserve"> weeks after the event</w:t>
      </w:r>
      <w:r w:rsidR="003A0631">
        <w:t xml:space="preserve"> no reason had been given as to</w:t>
      </w:r>
      <w:r w:rsidR="00B40323">
        <w:t xml:space="preserve"> why </w:t>
      </w:r>
      <w:r w:rsidR="00D51610">
        <w:t xml:space="preserve">the respondent </w:t>
      </w:r>
      <w:r w:rsidR="00DB13EC">
        <w:t xml:space="preserve">had </w:t>
      </w:r>
      <w:r w:rsidR="00754726">
        <w:t>terminated</w:t>
      </w:r>
      <w:r w:rsidR="00D51610">
        <w:t xml:space="preserve"> the appellant</w:t>
      </w:r>
      <w:r w:rsidR="00754726">
        <w:t>’s employment</w:t>
      </w:r>
      <w:r w:rsidR="00D51610">
        <w:t>.</w:t>
      </w:r>
    </w:p>
    <w:p w14:paraId="751B9BD9" w14:textId="77777777" w:rsidR="00D51610" w:rsidRDefault="00D51610" w:rsidP="00553A60">
      <w:pPr>
        <w:pStyle w:val="ParaNumbering"/>
      </w:pPr>
      <w:r>
        <w:t>At Reasons [231], the primary judge did not consider the absence of any reason for the appellant’s dismissal on Centrelink documentation to take the matter any further.</w:t>
      </w:r>
    </w:p>
    <w:p w14:paraId="3F36C6EC" w14:textId="462E23ED" w:rsidR="00553A60" w:rsidRDefault="00D51610" w:rsidP="00553A60">
      <w:pPr>
        <w:pStyle w:val="ParaNumbering"/>
      </w:pPr>
      <w:r>
        <w:t>Clearly, the appellant disagrees</w:t>
      </w:r>
      <w:r w:rsidR="00F31B4C">
        <w:t>,</w:t>
      </w:r>
      <w:r>
        <w:t xml:space="preserve"> however mere disagreement do</w:t>
      </w:r>
      <w:r w:rsidR="00103BB8">
        <w:t>es not mean the primary judge i</w:t>
      </w:r>
      <w:r>
        <w:t>s wrong in reaching that conclusion nor does it demonstrate actual or apprehended bias on the part of the primary judge.  This ground of appeal fails.</w:t>
      </w:r>
    </w:p>
    <w:p w14:paraId="337A2593" w14:textId="77777777" w:rsidR="00553A60" w:rsidRDefault="00EA1CAA" w:rsidP="00553A60">
      <w:pPr>
        <w:pStyle w:val="Heading4"/>
      </w:pPr>
      <w:r>
        <w:t>G</w:t>
      </w:r>
      <w:r w:rsidR="00553A60">
        <w:t>round 11</w:t>
      </w:r>
    </w:p>
    <w:p w14:paraId="70004A12" w14:textId="7E5575D7" w:rsidR="00752755" w:rsidRDefault="00F31B4C" w:rsidP="00553A60">
      <w:pPr>
        <w:pStyle w:val="ParaNumbering"/>
      </w:pPr>
      <w:r>
        <w:t>G</w:t>
      </w:r>
      <w:r w:rsidR="00D51610">
        <w:t xml:space="preserve">round 11 refers to </w:t>
      </w:r>
      <w:r w:rsidR="00103BB8">
        <w:t>where the primary judge noted</w:t>
      </w:r>
      <w:r w:rsidR="00D51610">
        <w:t xml:space="preserve"> </w:t>
      </w:r>
      <w:r w:rsidR="00752755">
        <w:t xml:space="preserve">at Reasons [232] </w:t>
      </w:r>
      <w:r w:rsidR="00D51610">
        <w:t>that the appellant</w:t>
      </w:r>
      <w:r w:rsidR="00FE0123">
        <w:t xml:space="preserve"> did not issue any subpoenas</w:t>
      </w:r>
      <w:r w:rsidR="00752755">
        <w:t>.</w:t>
      </w:r>
    </w:p>
    <w:p w14:paraId="5626944A" w14:textId="77777777" w:rsidR="00752755" w:rsidRDefault="00DB13EC" w:rsidP="00553A60">
      <w:pPr>
        <w:pStyle w:val="ParaNumbering"/>
      </w:pPr>
      <w:r>
        <w:t xml:space="preserve">This passage of the </w:t>
      </w:r>
      <w:r w:rsidR="00752755">
        <w:t>Reasons</w:t>
      </w:r>
      <w:r>
        <w:t xml:space="preserve"> is </w:t>
      </w:r>
      <w:r w:rsidR="00752755">
        <w:t>as follows:</w:t>
      </w:r>
    </w:p>
    <w:p w14:paraId="2113CF8C" w14:textId="511147DD" w:rsidR="001B1447" w:rsidRDefault="001B1447" w:rsidP="001B1447">
      <w:pPr>
        <w:pStyle w:val="Quote1"/>
        <w:ind w:left="1440" w:hanging="703"/>
      </w:pPr>
      <w:r>
        <w:t>232.</w:t>
      </w:r>
      <w:r>
        <w:tab/>
        <w:t xml:space="preserve">In closing submissions, Mr Parry said that the paucity of documentary evidence adduced as part of the University’s case supported a finding of contravention.  However, Mr Parry did not seek an order for discovery at the pre-trial stage, notwithstanding that he was encouraged prior to the trial to familiarise himself with the rules of the Court.  A date was fixed by which such an application should be made and in </w:t>
      </w:r>
      <w:proofErr w:type="gramStart"/>
      <w:r>
        <w:t>that</w:t>
      </w:r>
      <w:proofErr w:type="gramEnd"/>
      <w:r>
        <w:t xml:space="preserve"> way the opportunity to have subpoenas issued was made known to him.  </w:t>
      </w:r>
      <w:r w:rsidRPr="006658BB">
        <w:t xml:space="preserve">No application for leave to issue a subpoena </w:t>
      </w:r>
      <w:proofErr w:type="gramStart"/>
      <w:r w:rsidRPr="006658BB">
        <w:t>was made</w:t>
      </w:r>
      <w:proofErr w:type="gramEnd"/>
      <w:r>
        <w:t>.</w:t>
      </w:r>
    </w:p>
    <w:p w14:paraId="1EFED928" w14:textId="77777777" w:rsidR="000E1D3E" w:rsidRDefault="000E1D3E" w:rsidP="000E1D3E">
      <w:pPr>
        <w:pStyle w:val="NoNum"/>
      </w:pPr>
    </w:p>
    <w:p w14:paraId="100E0095" w14:textId="77777777" w:rsidR="00752755" w:rsidRDefault="00E615B5" w:rsidP="00752755">
      <w:pPr>
        <w:pStyle w:val="ParaNumbering"/>
      </w:pPr>
      <w:r>
        <w:t>I</w:t>
      </w:r>
      <w:r w:rsidR="00752755">
        <w:t xml:space="preserve">n his written submissions, the appellant submits that he “… </w:t>
      </w:r>
      <w:r>
        <w:t>wasn’t aware you could subpoena</w:t>
      </w:r>
      <w:r w:rsidR="00752755">
        <w:t xml:space="preserve"> documents that don’t exist.”</w:t>
      </w:r>
    </w:p>
    <w:p w14:paraId="04391BFD" w14:textId="3FD3DAE4" w:rsidR="00553A60" w:rsidRPr="00752755" w:rsidRDefault="005003B6" w:rsidP="00752755">
      <w:pPr>
        <w:pStyle w:val="ParaNumbering"/>
      </w:pPr>
      <w:r>
        <w:t xml:space="preserve">With respect to the appellant, that submission does not assist the Court.  The Court is satisfied </w:t>
      </w:r>
      <w:proofErr w:type="gramStart"/>
      <w:r>
        <w:t xml:space="preserve">that </w:t>
      </w:r>
      <w:r w:rsidR="00752755">
        <w:t>there i</w:t>
      </w:r>
      <w:r w:rsidR="00E615B5">
        <w:t>s nothing in the primary judge’</w:t>
      </w:r>
      <w:r w:rsidR="00752755">
        <w:t>s observations at [232] which demonstrates that her Honour displayed actual</w:t>
      </w:r>
      <w:proofErr w:type="gramEnd"/>
      <w:r w:rsidR="00752755">
        <w:t xml:space="preserve"> or apprehended bias.  This ground of appeal fails</w:t>
      </w:r>
      <w:r w:rsidR="006C25E7">
        <w:t>.</w:t>
      </w:r>
    </w:p>
    <w:p w14:paraId="1DF373CE" w14:textId="77777777" w:rsidR="00553A60" w:rsidRDefault="00E615B5" w:rsidP="00553A60">
      <w:pPr>
        <w:pStyle w:val="Heading4"/>
      </w:pPr>
      <w:r>
        <w:t>G</w:t>
      </w:r>
      <w:r w:rsidR="00553A60">
        <w:t>round 12</w:t>
      </w:r>
    </w:p>
    <w:p w14:paraId="1FAE76D6" w14:textId="31147B0B" w:rsidR="006F5CA4" w:rsidRDefault="00E615B5" w:rsidP="006F5CA4">
      <w:pPr>
        <w:pStyle w:val="ParaNumbering"/>
      </w:pPr>
      <w:r>
        <w:t>G</w:t>
      </w:r>
      <w:r w:rsidR="00752755">
        <w:t>round 12 refers to “various misleading and unsupported claim</w:t>
      </w:r>
      <w:r w:rsidR="006F5CA4">
        <w:t>s</w:t>
      </w:r>
      <w:r w:rsidR="00752755">
        <w:t xml:space="preserve"> throughout”.  Th</w:t>
      </w:r>
      <w:r w:rsidR="006C25E7">
        <w:t>is</w:t>
      </w:r>
      <w:r w:rsidR="00752755">
        <w:t xml:space="preserve"> ground is vague </w:t>
      </w:r>
      <w:r w:rsidR="006F5CA4">
        <w:t xml:space="preserve">and the </w:t>
      </w:r>
      <w:r w:rsidR="00752755">
        <w:t>submissions in support of th</w:t>
      </w:r>
      <w:r w:rsidR="006C25E7">
        <w:t>is</w:t>
      </w:r>
      <w:r w:rsidR="00752755">
        <w:t xml:space="preserve"> assertion</w:t>
      </w:r>
      <w:r w:rsidR="006F5CA4">
        <w:t xml:space="preserve"> refer simply to </w:t>
      </w:r>
      <w:r w:rsidR="00752755">
        <w:t xml:space="preserve">“(See Above)”.  To the extent that those words refer to the matters that precede them and are set out in the </w:t>
      </w:r>
      <w:r>
        <w:t>7</w:t>
      </w:r>
      <w:r w:rsidR="00752755">
        <w:t xml:space="preserve"> pages of material leading up to those words,</w:t>
      </w:r>
      <w:r w:rsidR="006F5CA4">
        <w:t xml:space="preserve"> there </w:t>
      </w:r>
      <w:r w:rsidR="00752755">
        <w:t xml:space="preserve">is nothing in </w:t>
      </w:r>
      <w:r w:rsidR="006F5CA4">
        <w:t xml:space="preserve">that material </w:t>
      </w:r>
      <w:r w:rsidR="002D3516">
        <w:t xml:space="preserve">and the documents attached </w:t>
      </w:r>
      <w:r w:rsidR="002D3516">
        <w:lastRenderedPageBreak/>
        <w:t>to</w:t>
      </w:r>
      <w:r w:rsidR="006F5CA4">
        <w:t xml:space="preserve"> the appellant</w:t>
      </w:r>
      <w:r>
        <w:t>’</w:t>
      </w:r>
      <w:r w:rsidR="006F5CA4">
        <w:t xml:space="preserve">s written submissions </w:t>
      </w:r>
      <w:r w:rsidR="002D3516">
        <w:t>which</w:t>
      </w:r>
      <w:r w:rsidR="006F5CA4">
        <w:t xml:space="preserve"> support the asser</w:t>
      </w:r>
      <w:r>
        <w:t xml:space="preserve">tion that the Reasons contain </w:t>
      </w:r>
      <w:r w:rsidR="006F5CA4">
        <w:t>“various misleading and unsupported claims throughout”.</w:t>
      </w:r>
    </w:p>
    <w:p w14:paraId="0311B0C9" w14:textId="77777777" w:rsidR="00553A60" w:rsidRDefault="005003B6" w:rsidP="00D72ABF">
      <w:pPr>
        <w:pStyle w:val="ParaNumbering"/>
      </w:pPr>
      <w:r>
        <w:t xml:space="preserve">The Court is not satisfied that </w:t>
      </w:r>
      <w:r w:rsidR="006F5CA4">
        <w:t>the material to which the appellant refers demonstrates that the primary judge displayed actual or apprehended bias.  This ground of appeal fails</w:t>
      </w:r>
      <w:r w:rsidR="0031096F">
        <w:t>.</w:t>
      </w:r>
    </w:p>
    <w:p w14:paraId="58B7B59B" w14:textId="77777777" w:rsidR="00553A60" w:rsidRDefault="00D72ABF" w:rsidP="00553A60">
      <w:pPr>
        <w:pStyle w:val="Heading4"/>
      </w:pPr>
      <w:r>
        <w:t>G</w:t>
      </w:r>
      <w:r w:rsidR="00553A60">
        <w:t>round 13</w:t>
      </w:r>
    </w:p>
    <w:p w14:paraId="1ABEEA0F" w14:textId="587D3526" w:rsidR="0031096F" w:rsidRDefault="003A1DCF" w:rsidP="00553A60">
      <w:pPr>
        <w:pStyle w:val="ParaNumbering"/>
      </w:pPr>
      <w:r>
        <w:t>G</w:t>
      </w:r>
      <w:r w:rsidR="006F5CA4">
        <w:t xml:space="preserve">round 13 refers to Reasons </w:t>
      </w:r>
      <w:r w:rsidR="00483F0E">
        <w:t xml:space="preserve">at </w:t>
      </w:r>
      <w:r w:rsidR="006F5CA4">
        <w:t xml:space="preserve">[230].  The </w:t>
      </w:r>
      <w:r w:rsidR="00ED2434">
        <w:t>contention is that</w:t>
      </w:r>
      <w:r w:rsidR="006F5CA4">
        <w:t xml:space="preserve"> the </w:t>
      </w:r>
      <w:r w:rsidR="00ED2434">
        <w:t>primary judge</w:t>
      </w:r>
      <w:r w:rsidR="006F5CA4">
        <w:t xml:space="preserve"> </w:t>
      </w:r>
      <w:r w:rsidR="006C25E7">
        <w:t xml:space="preserve">wrongly characterised </w:t>
      </w:r>
      <w:r w:rsidR="006F5CA4">
        <w:t xml:space="preserve">the appellant’s complaints about other health and safety issues affecting the workplace or a culture of bad practices within </w:t>
      </w:r>
      <w:r w:rsidR="00ED2434">
        <w:t xml:space="preserve">the </w:t>
      </w:r>
      <w:r w:rsidR="006C25E7">
        <w:t xml:space="preserve">respondent’s </w:t>
      </w:r>
      <w:r w:rsidR="006F5CA4">
        <w:t xml:space="preserve">laboratories </w:t>
      </w:r>
      <w:r w:rsidR="006C25E7">
        <w:t xml:space="preserve">as </w:t>
      </w:r>
      <w:r w:rsidR="006F5CA4">
        <w:t>amount</w:t>
      </w:r>
      <w:r w:rsidR="006C25E7">
        <w:t>ing</w:t>
      </w:r>
      <w:r w:rsidR="006F5CA4">
        <w:t xml:space="preserve"> to little more than</w:t>
      </w:r>
      <w:r w:rsidR="0031096F">
        <w:t xml:space="preserve"> bare </w:t>
      </w:r>
      <w:r>
        <w:t>allegations put in cross-</w:t>
      </w:r>
      <w:proofErr w:type="gramStart"/>
      <w:r w:rsidR="006F5CA4">
        <w:t>examination which</w:t>
      </w:r>
      <w:proofErr w:type="gramEnd"/>
      <w:r w:rsidR="006F5CA4">
        <w:t xml:space="preserve"> were met with</w:t>
      </w:r>
      <w:r w:rsidR="0031096F">
        <w:t xml:space="preserve"> bare </w:t>
      </w:r>
      <w:r w:rsidR="006F5CA4">
        <w:t>denials</w:t>
      </w:r>
      <w:r w:rsidR="00ED2434">
        <w:t xml:space="preserve">. </w:t>
      </w:r>
    </w:p>
    <w:p w14:paraId="2925F766" w14:textId="5362A290" w:rsidR="0031096F" w:rsidRDefault="0031096F" w:rsidP="00553A60">
      <w:pPr>
        <w:pStyle w:val="ParaNumbering"/>
      </w:pPr>
      <w:r>
        <w:t xml:space="preserve">The </w:t>
      </w:r>
      <w:r w:rsidR="00ED2434">
        <w:t>contention amounts</w:t>
      </w:r>
      <w:r w:rsidR="003A1DCF">
        <w:t xml:space="preserve"> to </w:t>
      </w:r>
      <w:r>
        <w:t>disag</w:t>
      </w:r>
      <w:r w:rsidR="003A1DCF">
        <w:t>reement with the primary judge’</w:t>
      </w:r>
      <w:r>
        <w:t>s assessment of this topic.</w:t>
      </w:r>
    </w:p>
    <w:p w14:paraId="3090D581" w14:textId="2FB96BE6" w:rsidR="00553A60" w:rsidRDefault="0031096F" w:rsidP="00553A60">
      <w:pPr>
        <w:pStyle w:val="ParaNumbering"/>
      </w:pPr>
      <w:r>
        <w:t xml:space="preserve">Nothing </w:t>
      </w:r>
      <w:r w:rsidR="00972F4F">
        <w:t>is</w:t>
      </w:r>
      <w:r>
        <w:t xml:space="preserve"> put before the Court that suggests </w:t>
      </w:r>
      <w:r w:rsidR="005003B6">
        <w:t>the primary judge’s</w:t>
      </w:r>
      <w:r>
        <w:t xml:space="preserve"> assessment on this topic was not open</w:t>
      </w:r>
      <w:r w:rsidR="005003B6">
        <w:t xml:space="preserve"> to her Honour and there is </w:t>
      </w:r>
      <w:r>
        <w:t xml:space="preserve">nothing in the material to which the appellant refers </w:t>
      </w:r>
      <w:r w:rsidR="003055C2">
        <w:t xml:space="preserve">in this </w:t>
      </w:r>
      <w:proofErr w:type="gramStart"/>
      <w:r w:rsidR="003055C2">
        <w:t xml:space="preserve">ground </w:t>
      </w:r>
      <w:r>
        <w:t>which</w:t>
      </w:r>
      <w:proofErr w:type="gramEnd"/>
      <w:r>
        <w:t xml:space="preserve"> demonstrates that the primary judge displayed actual or apprehended bias.  This ground of appeal fails.</w:t>
      </w:r>
    </w:p>
    <w:p w14:paraId="3F5B7A59" w14:textId="77777777" w:rsidR="00553A60" w:rsidRDefault="003A1DCF" w:rsidP="00553A60">
      <w:pPr>
        <w:pStyle w:val="Heading4"/>
      </w:pPr>
      <w:r>
        <w:t>G</w:t>
      </w:r>
      <w:r w:rsidR="00553A60">
        <w:t>round 14</w:t>
      </w:r>
    </w:p>
    <w:p w14:paraId="337182EC" w14:textId="77777777" w:rsidR="0031096F" w:rsidRDefault="003A1DCF" w:rsidP="00553A60">
      <w:pPr>
        <w:pStyle w:val="ParaNumbering"/>
      </w:pPr>
      <w:r>
        <w:t>T</w:t>
      </w:r>
      <w:r w:rsidR="0031096F">
        <w:t xml:space="preserve">he final ground alleging bias was that the primary judge largely ignored the evidence tendered from the proceedings before the Fair Work Commission and that her Honour’s decision </w:t>
      </w:r>
      <w:proofErr w:type="gramStart"/>
      <w:r w:rsidR="0031096F">
        <w:t>was not viewed</w:t>
      </w:r>
      <w:proofErr w:type="gramEnd"/>
      <w:r w:rsidR="0031096F">
        <w:t xml:space="preserve"> in light of all the facts.</w:t>
      </w:r>
    </w:p>
    <w:p w14:paraId="24B8625D" w14:textId="776D16FD" w:rsidR="003055C2" w:rsidRDefault="0031096F" w:rsidP="00553A60">
      <w:pPr>
        <w:pStyle w:val="ParaNumbering"/>
      </w:pPr>
      <w:r w:rsidRPr="005003B6">
        <w:t xml:space="preserve">Her Honour described in the Reasons the manner in which the appellant gave his evidence in chief: </w:t>
      </w:r>
      <w:r w:rsidR="003A1DCF" w:rsidRPr="005003B6">
        <w:t xml:space="preserve"> </w:t>
      </w:r>
      <w:r w:rsidRPr="005003B6">
        <w:t>Reasons</w:t>
      </w:r>
      <w:r w:rsidR="00E32913">
        <w:t xml:space="preserve"> </w:t>
      </w:r>
      <w:r w:rsidRPr="005003B6">
        <w:t>[50]-[56]</w:t>
      </w:r>
      <w:r w:rsidR="003055C2" w:rsidRPr="005003B6">
        <w:t xml:space="preserve">, including </w:t>
      </w:r>
      <w:r w:rsidRPr="005003B6">
        <w:t>that the Fair Work Commission documents</w:t>
      </w:r>
      <w:r>
        <w:t xml:space="preserve"> </w:t>
      </w:r>
      <w:r w:rsidR="003055C2">
        <w:t>upon which the appellant relied and which</w:t>
      </w:r>
      <w:r>
        <w:t xml:space="preserve"> </w:t>
      </w:r>
      <w:proofErr w:type="gramStart"/>
      <w:r>
        <w:t>were adopted by the appellant in the course of his oral testimony</w:t>
      </w:r>
      <w:proofErr w:type="gramEnd"/>
      <w:r w:rsidR="003055C2" w:rsidRPr="003055C2">
        <w:t xml:space="preserve"> </w:t>
      </w:r>
      <w:r w:rsidR="003A1DCF">
        <w:t>were out-of-court statements</w:t>
      </w:r>
      <w:r w:rsidR="003055C2">
        <w:t xml:space="preserve">.  </w:t>
      </w:r>
      <w:r>
        <w:t>Importantly, the primary judge</w:t>
      </w:r>
      <w:r w:rsidR="003055C2">
        <w:t xml:space="preserve"> noted</w:t>
      </w:r>
      <w:r>
        <w:t>, correctly with respect,</w:t>
      </w:r>
      <w:r w:rsidR="003055C2">
        <w:t xml:space="preserve"> </w:t>
      </w:r>
      <w:r>
        <w:t xml:space="preserve">that the documents were admissible </w:t>
      </w:r>
      <w:r w:rsidR="003055C2">
        <w:t xml:space="preserve">in circumstances where the respondent did not object to their admission into evidence </w:t>
      </w:r>
      <w:r>
        <w:t xml:space="preserve">but the weight to </w:t>
      </w:r>
      <w:proofErr w:type="gramStart"/>
      <w:r>
        <w:t>be attributed</w:t>
      </w:r>
      <w:proofErr w:type="gramEnd"/>
      <w:r>
        <w:t xml:space="preserve"> to the factua</w:t>
      </w:r>
      <w:r w:rsidR="005003B6">
        <w:t>l assertions contained in them wa</w:t>
      </w:r>
      <w:r>
        <w:t>s a different question.</w:t>
      </w:r>
    </w:p>
    <w:p w14:paraId="50A26054" w14:textId="77777777" w:rsidR="0031096F" w:rsidRDefault="003055C2" w:rsidP="00553A60">
      <w:pPr>
        <w:pStyle w:val="ParaNumbering"/>
      </w:pPr>
      <w:r>
        <w:t xml:space="preserve">As the Court has noted in these reasons, in the </w:t>
      </w:r>
      <w:r w:rsidR="0031096F">
        <w:t>course of the primary judge’s Reasons, her Honour specifically addressed the inconsistency between the appellant</w:t>
      </w:r>
      <w:r w:rsidR="003A1DCF">
        <w:t>’</w:t>
      </w:r>
      <w:r w:rsidR="0031096F">
        <w:t>s written statements before the Fair Work Commission</w:t>
      </w:r>
      <w:r w:rsidR="003A1DCF">
        <w:t xml:space="preserve"> and his oral evidence in cross-</w:t>
      </w:r>
      <w:r w:rsidR="0031096F">
        <w:t>examination.</w:t>
      </w:r>
    </w:p>
    <w:p w14:paraId="0056487E" w14:textId="77777777" w:rsidR="003055C2" w:rsidRDefault="003055C2" w:rsidP="00553A60">
      <w:pPr>
        <w:pStyle w:val="ParaNumbering"/>
      </w:pPr>
      <w:r>
        <w:t xml:space="preserve">In all the circumstances, the submission by the appellant is, in </w:t>
      </w:r>
      <w:r w:rsidR="003A1DCF">
        <w:t>effect, that the primary judge’</w:t>
      </w:r>
      <w:r>
        <w:t>s decision was against the evidence and the weight of the evidence.</w:t>
      </w:r>
    </w:p>
    <w:p w14:paraId="0927B250" w14:textId="19A6B924" w:rsidR="003055C2" w:rsidRDefault="003055C2" w:rsidP="00553A60">
      <w:pPr>
        <w:pStyle w:val="ParaNumbering"/>
      </w:pPr>
      <w:r>
        <w:lastRenderedPageBreak/>
        <w:t xml:space="preserve">Nothing </w:t>
      </w:r>
      <w:proofErr w:type="gramStart"/>
      <w:r w:rsidR="001C7A01">
        <w:t>is</w:t>
      </w:r>
      <w:r>
        <w:t xml:space="preserve"> put</w:t>
      </w:r>
      <w:proofErr w:type="gramEnd"/>
      <w:r>
        <w:t xml:space="preserve"> before the Court that supports that submission.  </w:t>
      </w:r>
      <w:proofErr w:type="gramStart"/>
      <w:r>
        <w:t>In all the circumstances, there is nothing in the material to which the appellant refers which demonstrates that the primary judge displayed actual or apprehended bias.</w:t>
      </w:r>
      <w:proofErr w:type="gramEnd"/>
      <w:r>
        <w:t xml:space="preserve">  This ground of appeal fails.</w:t>
      </w:r>
    </w:p>
    <w:p w14:paraId="52F064CE" w14:textId="77777777" w:rsidR="00754726" w:rsidRDefault="00575AD2" w:rsidP="00575AD2">
      <w:pPr>
        <w:pStyle w:val="Heading4"/>
      </w:pPr>
      <w:r>
        <w:t>Further allegations of bias</w:t>
      </w:r>
    </w:p>
    <w:p w14:paraId="6B580E76" w14:textId="18BC9240" w:rsidR="00575AD2" w:rsidRDefault="00575AD2" w:rsidP="00553A60">
      <w:pPr>
        <w:pStyle w:val="ParaNumbering"/>
      </w:pPr>
      <w:r>
        <w:t xml:space="preserve">In the appellant’s written submissions, he identifies further passages in the primary judge’s </w:t>
      </w:r>
      <w:r w:rsidR="006C25E7">
        <w:t>R</w:t>
      </w:r>
      <w:r>
        <w:t>easons</w:t>
      </w:r>
      <w:r w:rsidR="001C7A01">
        <w:t>, but does not refer to those paragraphs</w:t>
      </w:r>
      <w:r>
        <w:t xml:space="preserve"> in the</w:t>
      </w:r>
      <w:r w:rsidR="00B40323">
        <w:t xml:space="preserve"> particulars to the</w:t>
      </w:r>
      <w:r>
        <w:t xml:space="preserve"> grounds of appeal</w:t>
      </w:r>
      <w:r w:rsidR="000229BD">
        <w:t xml:space="preserve">. </w:t>
      </w:r>
      <w:r w:rsidR="00483F0E">
        <w:t xml:space="preserve"> </w:t>
      </w:r>
      <w:r w:rsidR="000229BD">
        <w:t>H</w:t>
      </w:r>
      <w:r>
        <w:t>e submits</w:t>
      </w:r>
      <w:r w:rsidR="000229BD">
        <w:t xml:space="preserve"> those paragraphs demonstrate</w:t>
      </w:r>
      <w:r>
        <w:t xml:space="preserve"> bias on the part of the primary judge.</w:t>
      </w:r>
    </w:p>
    <w:p w14:paraId="2C2FBB68" w14:textId="4466E451" w:rsidR="00575AD2" w:rsidRDefault="000229BD" w:rsidP="00553A60">
      <w:pPr>
        <w:pStyle w:val="ParaNumbering"/>
      </w:pPr>
      <w:r>
        <w:t>The</w:t>
      </w:r>
      <w:r w:rsidR="00575AD2">
        <w:t xml:space="preserve"> passages in the </w:t>
      </w:r>
      <w:r w:rsidR="006C25E7">
        <w:t>R</w:t>
      </w:r>
      <w:r w:rsidR="00575AD2">
        <w:t xml:space="preserve">easons are at [89] and [190].  In the case of [89], her Honour is setting out some of the appellant’s evidence in cross-examination.  The appellant’s submissions amount to no more than disagreement </w:t>
      </w:r>
      <w:r>
        <w:t xml:space="preserve">with her </w:t>
      </w:r>
      <w:proofErr w:type="gramStart"/>
      <w:r>
        <w:t>Honour’s</w:t>
      </w:r>
      <w:proofErr w:type="gramEnd"/>
      <w:r>
        <w:t xml:space="preserve"> summary of</w:t>
      </w:r>
      <w:r w:rsidR="00575AD2">
        <w:t xml:space="preserve"> </w:t>
      </w:r>
      <w:r w:rsidR="00B40323">
        <w:t>his</w:t>
      </w:r>
      <w:r w:rsidR="00575AD2">
        <w:t xml:space="preserve"> evidence on the topic of the status of his employment when he applied for the job with the respondent.</w:t>
      </w:r>
    </w:p>
    <w:p w14:paraId="3E35460B" w14:textId="1F928DA0" w:rsidR="00575AD2" w:rsidRDefault="00575AD2" w:rsidP="00553A60">
      <w:pPr>
        <w:pStyle w:val="ParaNumbering"/>
      </w:pPr>
      <w:r>
        <w:t>In the case of</w:t>
      </w:r>
      <w:r w:rsidR="00A336A0">
        <w:t xml:space="preserve"> Reasons</w:t>
      </w:r>
      <w:r>
        <w:t xml:space="preserve"> </w:t>
      </w:r>
      <w:r w:rsidR="00A158F0">
        <w:t xml:space="preserve">at </w:t>
      </w:r>
      <w:r>
        <w:t>[190], the appellant co</w:t>
      </w:r>
      <w:r w:rsidR="00A336A0">
        <w:t>ntends</w:t>
      </w:r>
      <w:r>
        <w:t xml:space="preserve"> the primary judge’</w:t>
      </w:r>
      <w:r w:rsidR="00566510">
        <w:t>s assessment of Ms </w:t>
      </w:r>
      <w:r w:rsidR="00413C8E">
        <w:t>Grubb’s evidence</w:t>
      </w:r>
      <w:r w:rsidR="00A336A0">
        <w:t xml:space="preserve"> is wrong,</w:t>
      </w:r>
      <w:r w:rsidR="00413C8E">
        <w:t xml:space="preserve"> leading to his submission that her Honour’s pre</w:t>
      </w:r>
      <w:r w:rsidR="00566510">
        <w:t>ference of Ms </w:t>
      </w:r>
      <w:r w:rsidR="00413C8E">
        <w:t>Grubb’s evidence over that of the appellant (on the limited topics in which their accounts a</w:t>
      </w:r>
      <w:r w:rsidR="008072DF">
        <w:t>r</w:t>
      </w:r>
      <w:r w:rsidR="00413C8E">
        <w:t>e in conflict) as demonstrating bias.</w:t>
      </w:r>
    </w:p>
    <w:p w14:paraId="1CCCF5DB" w14:textId="77777777" w:rsidR="00413C8E" w:rsidRDefault="00413C8E" w:rsidP="00553A60">
      <w:pPr>
        <w:pStyle w:val="ParaNumbering"/>
      </w:pPr>
      <w:r>
        <w:t>In neither case is the Court satisfied that the primary judge display</w:t>
      </w:r>
      <w:r w:rsidR="008072DF">
        <w:t xml:space="preserve">ed actual or apprehended bias. </w:t>
      </w:r>
    </w:p>
    <w:p w14:paraId="7E008E93" w14:textId="77777777" w:rsidR="00E038D9" w:rsidRDefault="00E038D9" w:rsidP="00E038D9">
      <w:pPr>
        <w:pStyle w:val="Heading2"/>
      </w:pPr>
      <w:r>
        <w:t>Ground 15</w:t>
      </w:r>
      <w:r w:rsidR="003A1DCF">
        <w:t xml:space="preserve"> </w:t>
      </w:r>
      <w:r>
        <w:t>-</w:t>
      </w:r>
      <w:r w:rsidR="003A1DCF">
        <w:t xml:space="preserve"> f</w:t>
      </w:r>
      <w:r>
        <w:t>ailure to give due consideration to the whole of the evidence</w:t>
      </w:r>
    </w:p>
    <w:p w14:paraId="766A8A32" w14:textId="047CB305" w:rsidR="00E038D9" w:rsidRDefault="003A1DCF" w:rsidP="00E038D9">
      <w:pPr>
        <w:pStyle w:val="ParaNumbering"/>
      </w:pPr>
      <w:r w:rsidRPr="005003B6">
        <w:t>T</w:t>
      </w:r>
      <w:r w:rsidR="00E038D9" w:rsidRPr="005003B6">
        <w:t>here are two parts to ground 15.  The first part, ground 15</w:t>
      </w:r>
      <w:r w:rsidRPr="005003B6">
        <w:t>(</w:t>
      </w:r>
      <w:r w:rsidR="00E038D9" w:rsidRPr="005003B6">
        <w:t>a</w:t>
      </w:r>
      <w:r w:rsidRPr="005003B6">
        <w:t xml:space="preserve">), </w:t>
      </w:r>
      <w:r w:rsidR="00A336A0">
        <w:t>contends</w:t>
      </w:r>
      <w:r w:rsidR="005003B6" w:rsidRPr="005003B6">
        <w:t xml:space="preserve"> </w:t>
      </w:r>
      <w:r w:rsidR="00E038D9" w:rsidRPr="005003B6">
        <w:t>there were three different</w:t>
      </w:r>
      <w:r w:rsidR="00E038D9">
        <w:t xml:space="preserve"> versions of the story </w:t>
      </w:r>
      <w:r w:rsidR="006C25E7">
        <w:t xml:space="preserve">of </w:t>
      </w:r>
      <w:r w:rsidR="00E038D9">
        <w:t xml:space="preserve">why </w:t>
      </w:r>
      <w:r w:rsidR="005003B6">
        <w:t>the appellant’s</w:t>
      </w:r>
      <w:r w:rsidR="00E038D9">
        <w:t xml:space="preserve"> employment was terminated</w:t>
      </w:r>
      <w:r w:rsidR="006C25E7">
        <w:t>,</w:t>
      </w:r>
      <w:r w:rsidR="00E038D9">
        <w:t xml:space="preserve"> with the first two versions chang</w:t>
      </w:r>
      <w:r w:rsidR="006C25E7">
        <w:t>ing</w:t>
      </w:r>
      <w:r w:rsidR="00E038D9">
        <w:t xml:space="preserve"> after the appellant noted inconsistencies</w:t>
      </w:r>
      <w:r>
        <w:t>,</w:t>
      </w:r>
      <w:r w:rsidR="00E038D9">
        <w:t xml:space="preserve"> and the third version chang</w:t>
      </w:r>
      <w:r w:rsidR="006C25E7">
        <w:t xml:space="preserve">ing after the production of </w:t>
      </w:r>
      <w:r w:rsidR="009F68EE">
        <w:t xml:space="preserve">electronic </w:t>
      </w:r>
      <w:r w:rsidR="005003B6">
        <w:t xml:space="preserve">records identifying when access to the </w:t>
      </w:r>
      <w:r w:rsidR="00F2373D">
        <w:t>s</w:t>
      </w:r>
      <w:r w:rsidR="00E038D9">
        <w:t>pecimen storage room</w:t>
      </w:r>
      <w:r w:rsidR="005003B6">
        <w:t xml:space="preserve"> occurred</w:t>
      </w:r>
      <w:r w:rsidR="00E038D9">
        <w:t>.</w:t>
      </w:r>
    </w:p>
    <w:p w14:paraId="70449679" w14:textId="177CDA27" w:rsidR="00E038D9" w:rsidRDefault="00E038D9" w:rsidP="00E038D9">
      <w:pPr>
        <w:pStyle w:val="ParaNumbering"/>
      </w:pPr>
      <w:r>
        <w:t>The second part, ground 15</w:t>
      </w:r>
      <w:r w:rsidR="003A1DCF">
        <w:t>(b)</w:t>
      </w:r>
      <w:r>
        <w:t xml:space="preserve"> asserts that</w:t>
      </w:r>
      <w:r w:rsidR="003A1DCF">
        <w:t>,</w:t>
      </w:r>
      <w:r>
        <w:t xml:space="preserve"> “…</w:t>
      </w:r>
      <w:r w:rsidR="003A1DCF">
        <w:t xml:space="preserve"> </w:t>
      </w:r>
      <w:r>
        <w:t>no coherent ex</w:t>
      </w:r>
      <w:r w:rsidR="00A336A0">
        <w:t>planation had been devised for [</w:t>
      </w:r>
      <w:r>
        <w:t>the appellant</w:t>
      </w:r>
      <w:r w:rsidR="003A1DCF">
        <w:t>’</w:t>
      </w:r>
      <w:r w:rsidR="00A336A0">
        <w:t>s]</w:t>
      </w:r>
      <w:r>
        <w:t xml:space="preserve"> dismissal.”</w:t>
      </w:r>
    </w:p>
    <w:p w14:paraId="2BC9D2A0" w14:textId="3EEC7832" w:rsidR="001E005F" w:rsidRDefault="00DC7C9A" w:rsidP="00E038D9">
      <w:pPr>
        <w:pStyle w:val="ParaNumbering"/>
      </w:pPr>
      <w:r>
        <w:t xml:space="preserve">Although the appellant has asserted </w:t>
      </w:r>
      <w:r w:rsidR="00F077AD">
        <w:t>“</w:t>
      </w:r>
      <w:r>
        <w:t>bias</w:t>
      </w:r>
      <w:r w:rsidR="00F077AD">
        <w:t>”</w:t>
      </w:r>
      <w:r>
        <w:t xml:space="preserve"> in grounds </w:t>
      </w:r>
      <w:r w:rsidR="004556AA">
        <w:t>2</w:t>
      </w:r>
      <w:r>
        <w:t xml:space="preserve"> – 14 referred to above, </w:t>
      </w:r>
      <w:r w:rsidR="00F077AD">
        <w:t>the reference to “</w:t>
      </w:r>
      <w:r>
        <w:t>bias</w:t>
      </w:r>
      <w:r w:rsidR="00F077AD">
        <w:t>”</w:t>
      </w:r>
      <w:r>
        <w:t xml:space="preserve"> in</w:t>
      </w:r>
      <w:r w:rsidR="00F077AD">
        <w:t xml:space="preserve"> the appellant’s submissions under</w:t>
      </w:r>
      <w:r>
        <w:t xml:space="preserve"> each of these grounds </w:t>
      </w:r>
      <w:proofErr w:type="gramStart"/>
      <w:r>
        <w:t xml:space="preserve">may also be </w:t>
      </w:r>
      <w:r w:rsidR="00F077AD">
        <w:t>taken</w:t>
      </w:r>
      <w:proofErr w:type="gramEnd"/>
      <w:r w:rsidR="00F077AD">
        <w:t xml:space="preserve"> as an assertion that the applicable finding, conclusion or observation of the primary judge was “wrong”.</w:t>
      </w:r>
      <w:r>
        <w:t xml:space="preserve"> </w:t>
      </w:r>
      <w:r w:rsidR="004556AA">
        <w:t xml:space="preserve"> </w:t>
      </w:r>
      <w:r>
        <w:t>That is, the</w:t>
      </w:r>
      <w:r w:rsidR="00F077AD">
        <w:t>se submissions amount to no more than disagreement about the manner in which the primary judge dealt with various issues</w:t>
      </w:r>
      <w:r w:rsidR="004556AA">
        <w:t xml:space="preserve"> and her Honour’s conclusions on those </w:t>
      </w:r>
      <w:r w:rsidR="004556AA">
        <w:lastRenderedPageBreak/>
        <w:t>issues</w:t>
      </w:r>
      <w:r w:rsidR="00F077AD">
        <w:t>.</w:t>
      </w:r>
      <w:r>
        <w:t xml:space="preserve"> </w:t>
      </w:r>
      <w:r w:rsidR="004556AA">
        <w:t xml:space="preserve"> </w:t>
      </w:r>
      <w:r w:rsidR="00F077AD">
        <w:t>As noted earlier in these reasons, t</w:t>
      </w:r>
      <w:r>
        <w:t xml:space="preserve">he same </w:t>
      </w:r>
      <w:proofErr w:type="gramStart"/>
      <w:r>
        <w:t>may be said</w:t>
      </w:r>
      <w:proofErr w:type="gramEnd"/>
      <w:r>
        <w:t xml:space="preserve"> of </w:t>
      </w:r>
      <w:r w:rsidR="001E005F">
        <w:t xml:space="preserve">the appellant’s general submissions made under the headings </w:t>
      </w:r>
      <w:r w:rsidR="00F077AD">
        <w:t>“</w:t>
      </w:r>
      <w:r w:rsidR="001E005F">
        <w:t>JUDGEMENT</w:t>
      </w:r>
      <w:r w:rsidR="00F077AD">
        <w:t>”</w:t>
      </w:r>
      <w:r w:rsidR="001E005F">
        <w:t xml:space="preserve">, </w:t>
      </w:r>
      <w:r w:rsidR="00F077AD">
        <w:t>“</w:t>
      </w:r>
      <w:r w:rsidR="001E005F">
        <w:t>MR PARRY’S EVIDENCE</w:t>
      </w:r>
      <w:r w:rsidR="00F077AD">
        <w:t>”</w:t>
      </w:r>
      <w:r w:rsidR="001E005F">
        <w:t xml:space="preserve"> and </w:t>
      </w:r>
      <w:r w:rsidR="00F077AD">
        <w:t>“</w:t>
      </w:r>
      <w:r w:rsidR="001E005F">
        <w:t>THE UNI’S EVIDENCE</w:t>
      </w:r>
      <w:r w:rsidR="00F077AD">
        <w:t>”</w:t>
      </w:r>
      <w:r w:rsidR="001E005F">
        <w:t>.</w:t>
      </w:r>
      <w:r w:rsidR="004556AA">
        <w:t xml:space="preserve"> </w:t>
      </w:r>
      <w:r w:rsidR="001E005F">
        <w:t xml:space="preserve"> </w:t>
      </w:r>
      <w:r w:rsidR="00B037C9">
        <w:t>The grounds of appeal and appellant’s submissions do not identify any specific asserted error in the fact-finding process or reasoning of the primary judge.</w:t>
      </w:r>
      <w:r w:rsidR="001E005F">
        <w:t xml:space="preserve"> </w:t>
      </w:r>
    </w:p>
    <w:p w14:paraId="124D98F8" w14:textId="10CBE48B" w:rsidR="009F68EE" w:rsidRDefault="009F68EE" w:rsidP="00E038D9">
      <w:pPr>
        <w:pStyle w:val="ParaNumbering"/>
      </w:pPr>
      <w:proofErr w:type="gramStart"/>
      <w:r>
        <w:t>The respondent submits</w:t>
      </w:r>
      <w:r w:rsidR="003A1DCF">
        <w:t xml:space="preserve"> that</w:t>
      </w:r>
      <w:r>
        <w:t xml:space="preserve"> the primary judge</w:t>
      </w:r>
      <w:r w:rsidR="002D509F">
        <w:t xml:space="preserve"> has </w:t>
      </w:r>
      <w:r>
        <w:t xml:space="preserve">a significant advantage in comparison to an appellate court, referring to the well-known authorities of </w:t>
      </w:r>
      <w:r w:rsidRPr="009F68EE">
        <w:rPr>
          <w:i/>
        </w:rPr>
        <w:t>Fox v Percy</w:t>
      </w:r>
      <w:r>
        <w:t xml:space="preserve"> </w:t>
      </w:r>
      <w:r w:rsidR="006C25E7">
        <w:t xml:space="preserve">[2003] HCA 22; </w:t>
      </w:r>
      <w:r>
        <w:t xml:space="preserve">(2003) 214 CLR 118, </w:t>
      </w:r>
      <w:r w:rsidR="003A1DCF">
        <w:t>126</w:t>
      </w:r>
      <w:r w:rsidR="00E5270C">
        <w:t>;</w:t>
      </w:r>
      <w:r>
        <w:t xml:space="preserve"> </w:t>
      </w:r>
      <w:r w:rsidRPr="009F68EE">
        <w:rPr>
          <w:i/>
        </w:rPr>
        <w:t xml:space="preserve">State Rail Authority of New South Wales v </w:t>
      </w:r>
      <w:proofErr w:type="spellStart"/>
      <w:r w:rsidRPr="009F68EE">
        <w:rPr>
          <w:i/>
        </w:rPr>
        <w:t>Earthline</w:t>
      </w:r>
      <w:proofErr w:type="spellEnd"/>
      <w:r w:rsidRPr="009F68EE">
        <w:rPr>
          <w:i/>
        </w:rPr>
        <w:t xml:space="preserve"> Constructions Pty Ltd</w:t>
      </w:r>
      <w:r>
        <w:rPr>
          <w:i/>
        </w:rPr>
        <w:t xml:space="preserve"> </w:t>
      </w:r>
      <w:r w:rsidR="00284F15">
        <w:rPr>
          <w:i/>
        </w:rPr>
        <w:t>(</w:t>
      </w:r>
      <w:r w:rsidR="004748C9">
        <w:rPr>
          <w:i/>
        </w:rPr>
        <w:t>I</w:t>
      </w:r>
      <w:r w:rsidR="00284F15">
        <w:rPr>
          <w:i/>
        </w:rPr>
        <w:t xml:space="preserve">n </w:t>
      </w:r>
      <w:proofErr w:type="spellStart"/>
      <w:r w:rsidR="00284F15">
        <w:rPr>
          <w:i/>
        </w:rPr>
        <w:t>liq</w:t>
      </w:r>
      <w:proofErr w:type="spellEnd"/>
      <w:r w:rsidR="00284F15">
        <w:rPr>
          <w:i/>
        </w:rPr>
        <w:t xml:space="preserve">) </w:t>
      </w:r>
      <w:r w:rsidR="004748C9" w:rsidRPr="00CC3DC5">
        <w:t>[1999] HCA</w:t>
      </w:r>
      <w:r w:rsidR="004748C9">
        <w:t xml:space="preserve"> 3</w:t>
      </w:r>
      <w:r w:rsidR="004748C9" w:rsidRPr="00CC3DC5">
        <w:t xml:space="preserve">, </w:t>
      </w:r>
      <w:r w:rsidRPr="009F68EE">
        <w:t>(1999) 160 ALR</w:t>
      </w:r>
      <w:r>
        <w:t xml:space="preserve"> 588, 619</w:t>
      </w:r>
      <w:r w:rsidR="00E5270C">
        <w:t>;</w:t>
      </w:r>
      <w:r>
        <w:t xml:space="preserve"> and </w:t>
      </w:r>
      <w:r w:rsidRPr="009F68EE">
        <w:rPr>
          <w:i/>
        </w:rPr>
        <w:t>Devries v Australian National Railways Commission</w:t>
      </w:r>
      <w:r>
        <w:t xml:space="preserve"> </w:t>
      </w:r>
      <w:r w:rsidR="009B12CC">
        <w:t xml:space="preserve">[1993] HCA 78; </w:t>
      </w:r>
      <w:r>
        <w:t>(1993) 177 CLR 472.</w:t>
      </w:r>
      <w:proofErr w:type="gramEnd"/>
    </w:p>
    <w:p w14:paraId="45F2230E" w14:textId="43CE7163" w:rsidR="009F68EE" w:rsidRDefault="009F68EE" w:rsidP="00E038D9">
      <w:pPr>
        <w:pStyle w:val="ParaNumbering"/>
      </w:pPr>
      <w:r>
        <w:t>In particular, the respondent refers to the statement by the High Court in</w:t>
      </w:r>
      <w:r w:rsidRPr="009F68EE">
        <w:rPr>
          <w:i/>
        </w:rPr>
        <w:t xml:space="preserve"> Devries</w:t>
      </w:r>
      <w:r>
        <w:rPr>
          <w:i/>
        </w:rPr>
        <w:t xml:space="preserve"> </w:t>
      </w:r>
      <w:r>
        <w:t xml:space="preserve">(Brennan, </w:t>
      </w:r>
      <w:proofErr w:type="spellStart"/>
      <w:r>
        <w:t>Gaudron</w:t>
      </w:r>
      <w:proofErr w:type="spellEnd"/>
      <w:r>
        <w:t xml:space="preserve">, </w:t>
      </w:r>
      <w:proofErr w:type="gramStart"/>
      <w:r>
        <w:t>McHugh</w:t>
      </w:r>
      <w:proofErr w:type="gramEnd"/>
      <w:r>
        <w:t xml:space="preserve"> JJ): at 479</w:t>
      </w:r>
      <w:r w:rsidR="003A1DCF">
        <w:t>.</w:t>
      </w:r>
    </w:p>
    <w:p w14:paraId="7537BC6E" w14:textId="149FB99D" w:rsidR="003A1DCF" w:rsidRDefault="009F68EE" w:rsidP="003A1DCF">
      <w:pPr>
        <w:pStyle w:val="Quote1"/>
      </w:pPr>
      <w:r>
        <w:t>More than once in recent years, this Court has pointed out that a finding of fact by a trial judge, based on the credibility of a witness, is not to be set aside because an appellate court thinks that the probabilities of the case are against</w:t>
      </w:r>
      <w:r w:rsidR="00E5270C">
        <w:t xml:space="preserve"> </w:t>
      </w:r>
      <w:r>
        <w:t>-</w:t>
      </w:r>
      <w:r w:rsidR="00E5270C">
        <w:t xml:space="preserve"> </w:t>
      </w:r>
      <w:r>
        <w:t>even strongly against</w:t>
      </w:r>
      <w:r w:rsidR="00E5270C">
        <w:t xml:space="preserve"> </w:t>
      </w:r>
      <w:r>
        <w:t>-</w:t>
      </w:r>
      <w:r w:rsidR="00E5270C">
        <w:t xml:space="preserve"> </w:t>
      </w:r>
      <w:r>
        <w:t xml:space="preserve">that finding of fact.  If the trial judge’s finding depends to any substantial degree on the credibility of the witness, the finding must stand unless it </w:t>
      </w:r>
      <w:proofErr w:type="gramStart"/>
      <w:r>
        <w:t>can be shown</w:t>
      </w:r>
      <w:proofErr w:type="gramEnd"/>
      <w:r>
        <w:t xml:space="preserve"> that the trial judge “has failed to use or has palpably misused his advantage” or has acted on evidence which was “</w:t>
      </w:r>
      <w:r w:rsidR="002D509F">
        <w:t>inconsistent with facts incontrovertibly established by the evidence” or whi</w:t>
      </w:r>
      <w:r w:rsidR="003A1DCF">
        <w:t xml:space="preserve">ch was “glaringly improbable”. </w:t>
      </w:r>
    </w:p>
    <w:p w14:paraId="7644BAD3" w14:textId="6002BD74" w:rsidR="002D509F" w:rsidRDefault="003A1DCF" w:rsidP="003A1DCF">
      <w:pPr>
        <w:pStyle w:val="Quote1"/>
      </w:pPr>
      <w:r>
        <w:t>(Citations omitted)</w:t>
      </w:r>
    </w:p>
    <w:p w14:paraId="642AECEC" w14:textId="77777777" w:rsidR="000E1D3E" w:rsidRDefault="000E1D3E" w:rsidP="000E1D3E">
      <w:pPr>
        <w:pStyle w:val="NoNum"/>
      </w:pPr>
    </w:p>
    <w:p w14:paraId="45C01C06" w14:textId="12FBB9E1" w:rsidR="002D509F" w:rsidRDefault="002D509F" w:rsidP="002D509F">
      <w:pPr>
        <w:pStyle w:val="ParaNumbering"/>
      </w:pPr>
      <w:r>
        <w:t>The primary judge identified in</w:t>
      </w:r>
      <w:r w:rsidR="003A1DCF">
        <w:t>consistencies in the appellant’</w:t>
      </w:r>
      <w:r>
        <w:t>s evi</w:t>
      </w:r>
      <w:r w:rsidR="00492028">
        <w:t>dence in reaching her decision and preferred</w:t>
      </w:r>
      <w:r>
        <w:t xml:space="preserve"> his “unguarded responses in oral testimony” </w:t>
      </w:r>
      <w:proofErr w:type="gramStart"/>
      <w:r>
        <w:t>over</w:t>
      </w:r>
      <w:proofErr w:type="gramEnd"/>
      <w:r>
        <w:t xml:space="preserve"> any inconsistent factual assertion in the written material he prepared for the Fair Work Commission: </w:t>
      </w:r>
      <w:r w:rsidR="0008416A">
        <w:t xml:space="preserve"> </w:t>
      </w:r>
      <w:r>
        <w:t>Reasons</w:t>
      </w:r>
      <w:r w:rsidR="00E32913">
        <w:t xml:space="preserve"> </w:t>
      </w:r>
      <w:r>
        <w:t>[87].</w:t>
      </w:r>
    </w:p>
    <w:p w14:paraId="75FFF741" w14:textId="6945B795" w:rsidR="002D509F" w:rsidRDefault="002D509F" w:rsidP="002D509F">
      <w:pPr>
        <w:pStyle w:val="ParaNumbering"/>
      </w:pPr>
      <w:r>
        <w:t>The respondent submits the</w:t>
      </w:r>
      <w:r w:rsidR="0008416A">
        <w:t>re is nothing in the appellant’</w:t>
      </w:r>
      <w:r>
        <w:t xml:space="preserve">s submissions that suggests that in doing so the primary judge “misused” her advantage or that her findings were “glaringly improbable” or “contrary to compelling inferences”.  That submission </w:t>
      </w:r>
      <w:proofErr w:type="gramStart"/>
      <w:r>
        <w:t>should be accepted</w:t>
      </w:r>
      <w:proofErr w:type="gramEnd"/>
      <w:r>
        <w:t>.</w:t>
      </w:r>
      <w:r w:rsidR="00DC7C9A">
        <w:t xml:space="preserve"> </w:t>
      </w:r>
    </w:p>
    <w:p w14:paraId="77BD7A16" w14:textId="4F707FF6" w:rsidR="002D509F" w:rsidRDefault="002D509F" w:rsidP="002D509F">
      <w:pPr>
        <w:pStyle w:val="ParaNumbering"/>
      </w:pPr>
      <w:r>
        <w:t>In the circumstances, the appellant has not demonstrated that the primary judge erred in reaching her decision to dismiss the appellant’s claim.</w:t>
      </w:r>
      <w:r w:rsidR="00EA1CAA">
        <w:t xml:space="preserve">  This ground of appeal fails.</w:t>
      </w:r>
    </w:p>
    <w:p w14:paraId="29E9EC31" w14:textId="222D3135" w:rsidR="000E1D3E" w:rsidRDefault="000E1D3E">
      <w:pPr>
        <w:spacing w:line="240" w:lineRule="auto"/>
        <w:jc w:val="left"/>
      </w:pPr>
      <w:r>
        <w:br w:type="page"/>
      </w:r>
    </w:p>
    <w:p w14:paraId="3AC58BF5" w14:textId="77777777" w:rsidR="000E1D3E" w:rsidRDefault="000E1D3E" w:rsidP="000E1D3E">
      <w:pPr>
        <w:pStyle w:val="ParaNumbering"/>
        <w:numPr>
          <w:ilvl w:val="0"/>
          <w:numId w:val="0"/>
        </w:numPr>
      </w:pPr>
    </w:p>
    <w:p w14:paraId="3B019966" w14:textId="77777777" w:rsidR="002D509F" w:rsidRDefault="002D509F" w:rsidP="002D509F">
      <w:pPr>
        <w:pStyle w:val="Heading1"/>
      </w:pPr>
      <w:r>
        <w:t>Conclusion</w:t>
      </w:r>
    </w:p>
    <w:p w14:paraId="4B9B1300" w14:textId="7808EAFD" w:rsidR="00CD1346" w:rsidRDefault="002D509F" w:rsidP="00EE7EB3">
      <w:pPr>
        <w:pStyle w:val="ParaNumbering"/>
      </w:pPr>
      <w:r>
        <w:t xml:space="preserve">It is for the reasons set out above that the appeal </w:t>
      </w:r>
      <w:proofErr w:type="gramStart"/>
      <w:r>
        <w:t>should be dismissed</w:t>
      </w:r>
      <w:proofErr w:type="gramEnd"/>
      <w:r>
        <w:t>.</w:t>
      </w:r>
    </w:p>
    <w:p w14:paraId="0FAEA253" w14:textId="77777777" w:rsidR="00D86B29" w:rsidRDefault="00D86B29" w:rsidP="00815065">
      <w:pPr>
        <w:pStyle w:val="BodyText"/>
      </w:pPr>
      <w:bookmarkStart w:id="25" w:name="Certification"/>
    </w:p>
    <w:tbl>
      <w:tblPr>
        <w:tblW w:w="0" w:type="auto"/>
        <w:tblLook w:val="04A0" w:firstRow="1" w:lastRow="0" w:firstColumn="1" w:lastColumn="0" w:noHBand="0" w:noVBand="1"/>
      </w:tblPr>
      <w:tblGrid>
        <w:gridCol w:w="3794"/>
      </w:tblGrid>
      <w:tr w:rsidR="00D86B29" w:rsidRPr="00D86B29" w14:paraId="4C8CEFF0" w14:textId="77777777">
        <w:tc>
          <w:tcPr>
            <w:tcW w:w="3794" w:type="dxa"/>
            <w:shd w:val="clear" w:color="auto" w:fill="auto"/>
          </w:tcPr>
          <w:p w14:paraId="39960D67" w14:textId="22A92DD9" w:rsidR="00D86B29" w:rsidRPr="00D86B29" w:rsidRDefault="00D86B29" w:rsidP="0095486E">
            <w:pPr>
              <w:pStyle w:val="Normal1linespace"/>
            </w:pPr>
            <w:r w:rsidRPr="00D86B29">
              <w:t xml:space="preserve">I certify that the preceding </w:t>
            </w:r>
            <w:bookmarkStart w:id="26" w:name="NumberWord"/>
            <w:r>
              <w:t>one hundred and thirty-five</w:t>
            </w:r>
            <w:bookmarkEnd w:id="26"/>
            <w:r w:rsidRPr="00D86B29">
              <w:t xml:space="preserve"> (</w:t>
            </w:r>
            <w:bookmarkStart w:id="27" w:name="NumberNumeral"/>
            <w:r>
              <w:t>135</w:t>
            </w:r>
            <w:bookmarkEnd w:id="27"/>
            <w:r w:rsidRPr="00D86B29">
              <w:t xml:space="preserve">) numbered </w:t>
            </w:r>
            <w:bookmarkStart w:id="28" w:name="CertPara"/>
            <w:r>
              <w:t>paragraphs are</w:t>
            </w:r>
            <w:bookmarkEnd w:id="28"/>
            <w:r w:rsidRPr="00D86B29">
              <w:t xml:space="preserve"> a true copy of the Reasons for Judgment of </w:t>
            </w:r>
            <w:bookmarkStart w:id="29" w:name="bkHonourable"/>
            <w:r w:rsidRPr="00D86B29">
              <w:t xml:space="preserve">the Honourable </w:t>
            </w:r>
            <w:bookmarkStart w:id="30" w:name="Justice"/>
            <w:bookmarkEnd w:id="29"/>
            <w:r>
              <w:t>Justices Banks-Smith, O'Sullivan</w:t>
            </w:r>
            <w:r w:rsidR="0095486E">
              <w:t xml:space="preserve"> and </w:t>
            </w:r>
            <w:proofErr w:type="spellStart"/>
            <w:r>
              <w:t>Feutrill</w:t>
            </w:r>
            <w:bookmarkEnd w:id="30"/>
            <w:proofErr w:type="spellEnd"/>
            <w:r w:rsidRPr="00D86B29">
              <w:t>.</w:t>
            </w:r>
          </w:p>
        </w:tc>
      </w:tr>
    </w:tbl>
    <w:p w14:paraId="55DD9F4E" w14:textId="57FAE20B" w:rsidR="00D86B29" w:rsidRDefault="00D86B29" w:rsidP="00815065">
      <w:pPr>
        <w:pStyle w:val="BodyText"/>
      </w:pPr>
    </w:p>
    <w:p w14:paraId="4EBEB555" w14:textId="31728886" w:rsidR="000E1D3E" w:rsidRDefault="000E1D3E" w:rsidP="00815065">
      <w:pPr>
        <w:pStyle w:val="BodyText"/>
      </w:pPr>
    </w:p>
    <w:p w14:paraId="61A42AF6" w14:textId="09E6AFD9" w:rsidR="00D86B29" w:rsidRDefault="00D86B29" w:rsidP="00815065">
      <w:pPr>
        <w:pStyle w:val="BodyText"/>
      </w:pPr>
      <w:bookmarkStart w:id="31" w:name="_GoBack"/>
      <w:bookmarkEnd w:id="31"/>
      <w:r>
        <w:t>Associate:</w:t>
      </w:r>
      <w:r w:rsidR="00152917">
        <w:t xml:space="preserve"> </w:t>
      </w:r>
    </w:p>
    <w:p w14:paraId="7211092A" w14:textId="77777777" w:rsidR="00D86B29" w:rsidRDefault="00D86B29" w:rsidP="00815065">
      <w:pPr>
        <w:pStyle w:val="BodyText"/>
      </w:pPr>
    </w:p>
    <w:p w14:paraId="12997C62" w14:textId="157C5BC4" w:rsidR="00D86B29" w:rsidRDefault="00D86B29" w:rsidP="00815065">
      <w:pPr>
        <w:pStyle w:val="BodyText"/>
        <w:tabs>
          <w:tab w:val="left" w:pos="1134"/>
        </w:tabs>
      </w:pPr>
      <w:r>
        <w:t>Dated:</w:t>
      </w:r>
      <w:r>
        <w:tab/>
      </w:r>
      <w:bookmarkStart w:id="32" w:name="CertifyDated"/>
      <w:r>
        <w:t>29 September 2022</w:t>
      </w:r>
      <w:bookmarkEnd w:id="32"/>
    </w:p>
    <w:p w14:paraId="25457346" w14:textId="77777777" w:rsidR="00D86B29" w:rsidRDefault="00D86B29" w:rsidP="00815065">
      <w:pPr>
        <w:pStyle w:val="BodyText"/>
      </w:pPr>
    </w:p>
    <w:bookmarkEnd w:id="25"/>
    <w:p w14:paraId="092BEA3E" w14:textId="77777777" w:rsidR="00D86B29" w:rsidRPr="009F68EE" w:rsidRDefault="00D86B29" w:rsidP="00D86B29">
      <w:pPr>
        <w:pStyle w:val="BodyText"/>
      </w:pPr>
    </w:p>
    <w:sectPr w:rsidR="00D86B29" w:rsidRPr="009F68EE" w:rsidSect="00A84FD0">
      <w:headerReference w:type="even" r:id="rId22"/>
      <w:headerReference w:type="default" r:id="rId23"/>
      <w:footerReference w:type="default" r:id="rId24"/>
      <w:headerReference w:type="first" r:id="rId25"/>
      <w:footerReference w:type="first" r:id="rId26"/>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116519" w14:textId="77777777" w:rsidR="00EF6F8A" w:rsidRDefault="00EF6F8A">
      <w:pPr>
        <w:spacing w:line="20" w:lineRule="exact"/>
      </w:pPr>
    </w:p>
    <w:p w14:paraId="2E604341" w14:textId="77777777" w:rsidR="00EF6F8A" w:rsidRDefault="00EF6F8A"/>
    <w:p w14:paraId="3E00DFEB" w14:textId="77777777" w:rsidR="00EF6F8A" w:rsidRDefault="00EF6F8A"/>
  </w:endnote>
  <w:endnote w:type="continuationSeparator" w:id="0">
    <w:p w14:paraId="4FCB2B2A" w14:textId="77777777" w:rsidR="00EF6F8A" w:rsidRDefault="00EF6F8A">
      <w:r>
        <w:t xml:space="preserve"> </w:t>
      </w:r>
    </w:p>
    <w:p w14:paraId="4043BC88" w14:textId="77777777" w:rsidR="00EF6F8A" w:rsidRDefault="00EF6F8A"/>
    <w:p w14:paraId="01A471D2" w14:textId="77777777" w:rsidR="00EF6F8A" w:rsidRDefault="00EF6F8A"/>
  </w:endnote>
  <w:endnote w:type="continuationNotice" w:id="1">
    <w:p w14:paraId="0832F39D" w14:textId="77777777" w:rsidR="00EF6F8A" w:rsidRDefault="00EF6F8A">
      <w:r>
        <w:t xml:space="preserve"> </w:t>
      </w:r>
    </w:p>
    <w:p w14:paraId="25B88958" w14:textId="77777777" w:rsidR="00EF6F8A" w:rsidRDefault="00EF6F8A"/>
    <w:p w14:paraId="3379B2C0" w14:textId="77777777" w:rsidR="00EF6F8A" w:rsidRDefault="00EF6F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9586B" w14:textId="77777777" w:rsidR="00EF6F8A" w:rsidRDefault="00EF6F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77679" w14:textId="1FF871C6" w:rsidR="00EF6F8A" w:rsidRPr="00C47B9D" w:rsidRDefault="00EF6F8A"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8240" behindDoc="0" locked="0" layoutInCell="1" allowOverlap="1" wp14:anchorId="1080BC8D" wp14:editId="08434136">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292714" id="Straight Connector 5"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FD2211">
          <w:rPr>
            <w:bCs/>
            <w:sz w:val="18"/>
            <w:szCs w:val="18"/>
          </w:rPr>
          <w:t xml:space="preserve">Parry v University of South Australia [2022] FCAFC 168 </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192E1" w14:textId="2377782B" w:rsidR="00EF6F8A" w:rsidRPr="00A436E8" w:rsidRDefault="00EF6F8A" w:rsidP="00A436E8">
    <w:pPr>
      <w:pStyle w:val="Footer"/>
      <w:jc w:val="center"/>
      <w:rPr>
        <w:sz w:val="2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F02E1" w14:textId="1C00F673" w:rsidR="00EF6F8A" w:rsidRPr="00C47B9D" w:rsidRDefault="00EF6F8A"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8242" behindDoc="0" locked="0" layoutInCell="1" allowOverlap="1" wp14:anchorId="20D95861" wp14:editId="79F10AAA">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8D3F2C" id="Straight Connector 6"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Av3wnR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831216538"/>
        <w:placeholder>
          <w:docPart w:val="E0EF6F5EDC16478E8F2D7C5B6143DE7F"/>
        </w:placeholder>
        <w:dataBinding w:prefixMappings="xmlns:ns0='http://schemas.globalmacros.com/FCA'" w:xpath="/ns0:root[1]/ns0:Name[1]" w:storeItemID="{687E7CCB-4AA5-44E7-B148-17BA2B6F57C0}"/>
        <w:text w:multiLine="1"/>
      </w:sdtPr>
      <w:sdtEndPr/>
      <w:sdtContent>
        <w:r w:rsidR="00FD2211">
          <w:rPr>
            <w:bCs/>
            <w:sz w:val="18"/>
            <w:szCs w:val="18"/>
          </w:rPr>
          <w:t xml:space="preserve">Parry v University of South Australia [2022] FCAFC 168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ii</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CAF8E" w14:textId="1CABAAC4" w:rsidR="00EF6F8A" w:rsidRPr="00C47B9D" w:rsidRDefault="00EF6F8A"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8241" behindDoc="0" locked="0" layoutInCell="1" allowOverlap="1" wp14:anchorId="35CDE1B0" wp14:editId="3F5D2F62">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F7F353" id="Straight Connector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cHquKc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510263260"/>
        <w:placeholder>
          <w:docPart w:val="049FE22488E74C4090B935745BC779B3"/>
        </w:placeholder>
        <w:dataBinding w:prefixMappings="xmlns:ns0='http://schemas.globalmacros.com/FCA'" w:xpath="/ns0:root[1]/ns0:Name[1]" w:storeItemID="{687E7CCB-4AA5-44E7-B148-17BA2B6F57C0}"/>
        <w:text w:multiLine="1"/>
      </w:sdtPr>
      <w:sdtEndPr/>
      <w:sdtContent>
        <w:r w:rsidR="00FD2211">
          <w:rPr>
            <w:bCs/>
            <w:sz w:val="18"/>
            <w:szCs w:val="18"/>
          </w:rPr>
          <w:t xml:space="preserve">Parry v University of South Australia [2022] FCAFC 168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240525">
      <w:rPr>
        <w:bCs/>
        <w:noProof/>
        <w:sz w:val="20"/>
      </w:rPr>
      <w:t>i</w:t>
    </w:r>
    <w:r w:rsidRPr="00EA7F6D">
      <w:rPr>
        <w:bCs/>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1ABBC" w14:textId="701CA185" w:rsidR="00EF6F8A" w:rsidRPr="00C47B9D" w:rsidRDefault="00EF6F8A"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8244" behindDoc="0" locked="0" layoutInCell="1" allowOverlap="1" wp14:anchorId="7E83757A" wp14:editId="506693F7">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504DDD" id="Straight Connector 7" o:spid="_x0000_s1026" style="position:absolute;z-index:251658244;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" strokecolor="black [3213]"/>
          </w:pict>
        </mc:Fallback>
      </mc:AlternateContent>
    </w:r>
    <w:sdt>
      <w:sdtPr>
        <w:rPr>
          <w:bCs/>
          <w:sz w:val="18"/>
          <w:szCs w:val="18"/>
        </w:rPr>
        <w:tag w:val="MNC"/>
        <w:id w:val="1095746746"/>
        <w:placeholder>
          <w:docPart w:val="93289C91C6FD49AA990639C9760D412A"/>
        </w:placeholder>
        <w:dataBinding w:prefixMappings="xmlns:ns0='http://schemas.globalmacros.com/FCA'" w:xpath="/ns0:root[1]/ns0:Name[1]" w:storeItemID="{687E7CCB-4AA5-44E7-B148-17BA2B6F57C0}"/>
        <w:text w:multiLine="1"/>
      </w:sdtPr>
      <w:sdtEndPr/>
      <w:sdtContent>
        <w:r w:rsidR="00FD2211">
          <w:rPr>
            <w:bCs/>
            <w:sz w:val="18"/>
            <w:szCs w:val="18"/>
          </w:rPr>
          <w:t xml:space="preserve">Parry v University of South Australia [2022] FCAFC 168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240525">
      <w:rPr>
        <w:bCs/>
        <w:noProof/>
        <w:sz w:val="20"/>
      </w:rPr>
      <w:t>25</w:t>
    </w:r>
    <w:r w:rsidRPr="00EA7F6D">
      <w:rPr>
        <w:bCs/>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26428" w14:textId="50F51FE3" w:rsidR="00EF6F8A" w:rsidRPr="00C47B9D" w:rsidRDefault="00EF6F8A"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8243" behindDoc="0" locked="0" layoutInCell="1" allowOverlap="1" wp14:anchorId="57C57200" wp14:editId="26FB309B">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4669E3" id="Straight Connector 3" o:spid="_x0000_s1026"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CXUeOM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1532949365"/>
        <w:placeholder>
          <w:docPart w:val="073B09C2AE8841849F6136D88ED5B167"/>
        </w:placeholder>
        <w:dataBinding w:prefixMappings="xmlns:ns0='http://schemas.globalmacros.com/FCA'" w:xpath="/ns0:root[1]/ns0:Name[1]" w:storeItemID="{687E7CCB-4AA5-44E7-B148-17BA2B6F57C0}"/>
        <w:text w:multiLine="1"/>
      </w:sdtPr>
      <w:sdtEndPr/>
      <w:sdtContent>
        <w:r w:rsidR="00FD2211">
          <w:rPr>
            <w:bCs/>
            <w:sz w:val="18"/>
            <w:szCs w:val="18"/>
          </w:rPr>
          <w:t xml:space="preserve">Parry v University of South Australia [2022] FCAFC 168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240525">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E79D0D" w14:textId="77777777" w:rsidR="00EF6F8A" w:rsidRDefault="00EF6F8A"/>
  </w:footnote>
  <w:footnote w:type="continuationSeparator" w:id="0">
    <w:p w14:paraId="58AA2EBF" w14:textId="77777777" w:rsidR="00EF6F8A" w:rsidRDefault="00EF6F8A">
      <w:r>
        <w:continuationSeparator/>
      </w:r>
    </w:p>
    <w:p w14:paraId="13D02E41" w14:textId="77777777" w:rsidR="00EF6F8A" w:rsidRDefault="00EF6F8A"/>
    <w:p w14:paraId="348B376D" w14:textId="77777777" w:rsidR="00EF6F8A" w:rsidRDefault="00EF6F8A"/>
  </w:footnote>
  <w:footnote w:type="continuationNotice" w:id="1">
    <w:p w14:paraId="69B9BC66" w14:textId="77777777" w:rsidR="00EF6F8A" w:rsidRDefault="00EF6F8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67A2F" w14:textId="77777777" w:rsidR="00EF6F8A" w:rsidRDefault="00EF6F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CAD2B" w14:textId="77777777" w:rsidR="00EF6F8A" w:rsidRDefault="00EF6F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6BBD2" w14:textId="77777777" w:rsidR="00EF6F8A" w:rsidRDefault="00EF6F8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16FF1" w14:textId="77777777" w:rsidR="00EF6F8A" w:rsidRDefault="00EF6F8A">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75269" w14:textId="77777777" w:rsidR="00EF6F8A" w:rsidRDefault="00EF6F8A">
    <w:pPr>
      <w:pStyle w:val="Header"/>
      <w:tabs>
        <w:tab w:val="clear" w:pos="4320"/>
        <w:tab w:val="clear" w:pos="8640"/>
      </w:tabs>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30C1B" w14:textId="77777777" w:rsidR="00EF6F8A" w:rsidRDefault="00EF6F8A"/>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45426" w14:textId="77777777" w:rsidR="00EF6F8A" w:rsidRDefault="00EF6F8A">
    <w:pPr>
      <w:tabs>
        <w:tab w:val="center" w:pos="4512"/>
      </w:tabs>
      <w:suppressAutoHyphens/>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6C393" w14:textId="77777777" w:rsidR="00EF6F8A" w:rsidRDefault="00EF6F8A"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15:restartNumberingAfterBreak="0">
    <w:nsid w:val="29AE3DD1"/>
    <w:multiLevelType w:val="singleLevel"/>
    <w:tmpl w:val="5C92B9B0"/>
    <w:lvl w:ilvl="0">
      <w:start w:val="1"/>
      <w:numFmt w:val="decimal"/>
      <w:lvlRestart w:val="0"/>
      <w:pStyle w:val="ParaNumbering"/>
      <w:lvlText w:val="%1"/>
      <w:lvlJc w:val="left"/>
      <w:pPr>
        <w:tabs>
          <w:tab w:val="num" w:pos="1440"/>
        </w:tabs>
        <w:ind w:left="720" w:hanging="720"/>
      </w:pPr>
      <w:rPr>
        <w:rFonts w:hint="default"/>
        <w:sz w:val="20"/>
      </w:rPr>
    </w:lvl>
  </w:abstractNum>
  <w:abstractNum w:abstractNumId="15"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6"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7"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9" w15:restartNumberingAfterBreak="0">
    <w:nsid w:val="494817A7"/>
    <w:multiLevelType w:val="multilevel"/>
    <w:tmpl w:val="0F0EC90E"/>
    <w:numStyleLink w:val="FCListNo"/>
  </w:abstractNum>
  <w:abstractNum w:abstractNumId="20"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4"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2"/>
  </w:num>
  <w:num w:numId="13">
    <w:abstractNumId w:val="20"/>
  </w:num>
  <w:num w:numId="14">
    <w:abstractNumId w:val="21"/>
  </w:num>
  <w:num w:numId="15">
    <w:abstractNumId w:val="24"/>
  </w:num>
  <w:num w:numId="16">
    <w:abstractNumId w:val="13"/>
  </w:num>
  <w:num w:numId="17">
    <w:abstractNumId w:val="23"/>
  </w:num>
  <w:num w:numId="18">
    <w:abstractNumId w:val="11"/>
  </w:num>
  <w:num w:numId="19">
    <w:abstractNumId w:val="18"/>
  </w:num>
  <w:num w:numId="20">
    <w:abstractNumId w:val="15"/>
  </w:num>
  <w:num w:numId="21">
    <w:abstractNumId w:val="16"/>
  </w:num>
  <w:num w:numId="22">
    <w:abstractNumId w:val="19"/>
  </w:num>
  <w:num w:numId="23">
    <w:abstractNumId w:val="10"/>
  </w:num>
  <w:num w:numId="24">
    <w:abstractNumId w:val="10"/>
  </w:num>
  <w:num w:numId="25">
    <w:abstractNumId w:val="12"/>
  </w:num>
  <w:num w:numId="26">
    <w:abstractNumId w:val="17"/>
  </w:num>
  <w:num w:numId="27">
    <w:abstractNumId w:val="17"/>
  </w:num>
  <w:num w:numId="28">
    <w:abstractNumId w:val="17"/>
  </w:num>
  <w:num w:numId="29">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0"/>
  <w:activeWritingStyle w:appName="MSWord" w:lang="en-AU" w:vendorID="8" w:dllVersion="513"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AndAnother" w:val="True"/>
    <w:docVar w:name="APPAndOthers" w:val="False"/>
    <w:docVar w:name="AppealText" w:val="#### "/>
    <w:docVar w:name="Applicant" w:val="Christopher Parry"/>
    <w:docVar w:name="CounselParties" w:val="Respondent"/>
    <w:docVar w:name="CounselType" w:val="Solicitor for the "/>
    <w:docVar w:name="Court" w:val="Federal Court of Australia (FCA)"/>
    <w:docVar w:name="Cross1AndAnother" w:val="True"/>
    <w:docVar w:name="Cross1AndOthers" w:val="False"/>
    <w:docVar w:name="Cross2AndAnother" w:val="True"/>
    <w:docVar w:name="Cross2AndOthers" w:val="False"/>
    <w:docVar w:name="Defenders" w:val="(and another named in the Schedule)"/>
    <w:docVar w:name="dgnword-docGUID" w:val="{A3832DF2-6B2D-4E3A-8295-AB57957B97EF}"/>
    <w:docVar w:name="dgnword-eventsink" w:val="547822216"/>
    <w:docVar w:name="Division" w:val="FCA General Division"/>
    <w:docVar w:name="DocCreated" w:val="True"/>
    <w:docVar w:name="FileNumbers" w:val="SAD 52 of 2022"/>
    <w:docVar w:name="Initiators" w:val="(and another named in the Schedule)"/>
    <w:docVar w:name="Judgdate" w:val="29 September 2022"/>
    <w:docVar w:name="Judge" w:val="Banks-Smith, O'Sullivan, Feutrill"/>
    <w:docVar w:name="JudgeType" w:val="Justices"/>
    <w:docVar w:name="lstEntryList" w:val="-1"/>
    <w:docVar w:name="myEntryList" w:val="Counsel for the Applicant=The Applicant appeared in person|Solicitor for the Respondent=Mr A Short"/>
    <w:docVar w:name="NSD" w:val="NSD "/>
    <w:docVar w:name="NumApps" w:val="1"/>
    <w:docVar w:name="NumApps_" w:val="1"/>
    <w:docVar w:name="NumCrossResps" w:val="0"/>
    <w:docVar w:name="NumDefs" w:val="1"/>
    <w:docVar w:name="NumOthers" w:val="0"/>
    <w:docVar w:name="OtherNum" w:val="0"/>
    <w:docVar w:name="Parties1" w:val="Applicant"/>
    <w:docVar w:name="Parties2" w:val="Respondent"/>
    <w:docVar w:name="Parties3" w:val="Cross-Appellant"/>
    <w:docVar w:name="Parties4" w:val="Cross-Defendant"/>
    <w:docVar w:name="Parties5" w:val="Intervener"/>
    <w:docVar w:name="Place" w:val="N/A FCA"/>
    <w:docVar w:name="PracticeArea" w:val="Employment and Industrial Relations"/>
    <w:docVar w:name="RESAndAnother" w:val="True"/>
    <w:docVar w:name="RESAndOthers" w:val="False"/>
    <w:docVar w:name="Respondent" w:val="University of South Australia"/>
    <w:docVar w:name="ResState" w:val="South Australia"/>
    <w:docVar w:name="SubArea" w:val="(none)"/>
  </w:docVars>
  <w:rsids>
    <w:rsidRoot w:val="00655A09"/>
    <w:rsid w:val="00000747"/>
    <w:rsid w:val="00005F17"/>
    <w:rsid w:val="000115C5"/>
    <w:rsid w:val="00011B5E"/>
    <w:rsid w:val="0001469E"/>
    <w:rsid w:val="00015993"/>
    <w:rsid w:val="00021CCB"/>
    <w:rsid w:val="00022289"/>
    <w:rsid w:val="000229BD"/>
    <w:rsid w:val="000237E9"/>
    <w:rsid w:val="000254FC"/>
    <w:rsid w:val="00027398"/>
    <w:rsid w:val="0003201A"/>
    <w:rsid w:val="0003207A"/>
    <w:rsid w:val="00032F9F"/>
    <w:rsid w:val="00035B68"/>
    <w:rsid w:val="00041302"/>
    <w:rsid w:val="00041C07"/>
    <w:rsid w:val="00045BB7"/>
    <w:rsid w:val="00055719"/>
    <w:rsid w:val="0005641B"/>
    <w:rsid w:val="0006196A"/>
    <w:rsid w:val="000638E4"/>
    <w:rsid w:val="000650F0"/>
    <w:rsid w:val="00071FB3"/>
    <w:rsid w:val="00077768"/>
    <w:rsid w:val="00081497"/>
    <w:rsid w:val="000831EC"/>
    <w:rsid w:val="00084126"/>
    <w:rsid w:val="0008416A"/>
    <w:rsid w:val="00085255"/>
    <w:rsid w:val="00085A00"/>
    <w:rsid w:val="00092CE0"/>
    <w:rsid w:val="00093867"/>
    <w:rsid w:val="000A2E76"/>
    <w:rsid w:val="000A4807"/>
    <w:rsid w:val="000A4BE4"/>
    <w:rsid w:val="000B7795"/>
    <w:rsid w:val="000C023E"/>
    <w:rsid w:val="000C0A90"/>
    <w:rsid w:val="000C17A9"/>
    <w:rsid w:val="000C2F57"/>
    <w:rsid w:val="000C405D"/>
    <w:rsid w:val="000C5195"/>
    <w:rsid w:val="000C62EF"/>
    <w:rsid w:val="000C74A3"/>
    <w:rsid w:val="000D2137"/>
    <w:rsid w:val="000D39F8"/>
    <w:rsid w:val="000D3FD2"/>
    <w:rsid w:val="000D4B2E"/>
    <w:rsid w:val="000E1D3E"/>
    <w:rsid w:val="000E3FC8"/>
    <w:rsid w:val="000E5377"/>
    <w:rsid w:val="000E7BAE"/>
    <w:rsid w:val="000F133D"/>
    <w:rsid w:val="000F6DB0"/>
    <w:rsid w:val="00103BB8"/>
    <w:rsid w:val="0010536B"/>
    <w:rsid w:val="0011145C"/>
    <w:rsid w:val="001128BD"/>
    <w:rsid w:val="0011309C"/>
    <w:rsid w:val="0011419D"/>
    <w:rsid w:val="00114B02"/>
    <w:rsid w:val="0011663B"/>
    <w:rsid w:val="001226C0"/>
    <w:rsid w:val="00126EC8"/>
    <w:rsid w:val="0012731C"/>
    <w:rsid w:val="00132054"/>
    <w:rsid w:val="00134964"/>
    <w:rsid w:val="001351B9"/>
    <w:rsid w:val="00152917"/>
    <w:rsid w:val="00155CD2"/>
    <w:rsid w:val="00163FD2"/>
    <w:rsid w:val="00166286"/>
    <w:rsid w:val="00171965"/>
    <w:rsid w:val="001727A4"/>
    <w:rsid w:val="0017376C"/>
    <w:rsid w:val="001738AB"/>
    <w:rsid w:val="001765E0"/>
    <w:rsid w:val="00177759"/>
    <w:rsid w:val="00180BB3"/>
    <w:rsid w:val="00185DD6"/>
    <w:rsid w:val="00185E07"/>
    <w:rsid w:val="00185E6B"/>
    <w:rsid w:val="00187BBC"/>
    <w:rsid w:val="001932F3"/>
    <w:rsid w:val="001966D7"/>
    <w:rsid w:val="001A0C8B"/>
    <w:rsid w:val="001A2B40"/>
    <w:rsid w:val="001A4309"/>
    <w:rsid w:val="001A46AE"/>
    <w:rsid w:val="001A6C52"/>
    <w:rsid w:val="001A7727"/>
    <w:rsid w:val="001B1053"/>
    <w:rsid w:val="001B1447"/>
    <w:rsid w:val="001B14AC"/>
    <w:rsid w:val="001B3EAA"/>
    <w:rsid w:val="001B4C45"/>
    <w:rsid w:val="001B7940"/>
    <w:rsid w:val="001C171A"/>
    <w:rsid w:val="001C2FE0"/>
    <w:rsid w:val="001C37CA"/>
    <w:rsid w:val="001C4085"/>
    <w:rsid w:val="001C7A01"/>
    <w:rsid w:val="001D1C0C"/>
    <w:rsid w:val="001D4303"/>
    <w:rsid w:val="001D6746"/>
    <w:rsid w:val="001E005F"/>
    <w:rsid w:val="001E0C61"/>
    <w:rsid w:val="001E3B49"/>
    <w:rsid w:val="001E4A05"/>
    <w:rsid w:val="001E692F"/>
    <w:rsid w:val="001E6A19"/>
    <w:rsid w:val="001E7388"/>
    <w:rsid w:val="001F13DD"/>
    <w:rsid w:val="001F2473"/>
    <w:rsid w:val="001F2DBC"/>
    <w:rsid w:val="001F73E8"/>
    <w:rsid w:val="0020262C"/>
    <w:rsid w:val="00202723"/>
    <w:rsid w:val="00211A3E"/>
    <w:rsid w:val="00213F20"/>
    <w:rsid w:val="00214055"/>
    <w:rsid w:val="00215BCA"/>
    <w:rsid w:val="002160F5"/>
    <w:rsid w:val="00217606"/>
    <w:rsid w:val="00217AC4"/>
    <w:rsid w:val="00221461"/>
    <w:rsid w:val="00224537"/>
    <w:rsid w:val="00225EF4"/>
    <w:rsid w:val="00232FBF"/>
    <w:rsid w:val="00235956"/>
    <w:rsid w:val="00240525"/>
    <w:rsid w:val="00243E5E"/>
    <w:rsid w:val="002467A6"/>
    <w:rsid w:val="00247C9A"/>
    <w:rsid w:val="00250DA7"/>
    <w:rsid w:val="0025160C"/>
    <w:rsid w:val="002535D0"/>
    <w:rsid w:val="002539B3"/>
    <w:rsid w:val="00256336"/>
    <w:rsid w:val="00257C3E"/>
    <w:rsid w:val="002602C2"/>
    <w:rsid w:val="00262698"/>
    <w:rsid w:val="002647E7"/>
    <w:rsid w:val="002666C9"/>
    <w:rsid w:val="00270136"/>
    <w:rsid w:val="00270FD7"/>
    <w:rsid w:val="00274F5B"/>
    <w:rsid w:val="00280836"/>
    <w:rsid w:val="00282E1A"/>
    <w:rsid w:val="002840F1"/>
    <w:rsid w:val="00284F15"/>
    <w:rsid w:val="00285922"/>
    <w:rsid w:val="0029113B"/>
    <w:rsid w:val="00292FB7"/>
    <w:rsid w:val="002934C0"/>
    <w:rsid w:val="00293E1F"/>
    <w:rsid w:val="00294BEE"/>
    <w:rsid w:val="0029764C"/>
    <w:rsid w:val="002A1B50"/>
    <w:rsid w:val="002B0E91"/>
    <w:rsid w:val="002B132C"/>
    <w:rsid w:val="002B3F23"/>
    <w:rsid w:val="002B4EB5"/>
    <w:rsid w:val="002B5AF5"/>
    <w:rsid w:val="002B6779"/>
    <w:rsid w:val="002B6B2B"/>
    <w:rsid w:val="002B71C0"/>
    <w:rsid w:val="002B7A34"/>
    <w:rsid w:val="002C31AD"/>
    <w:rsid w:val="002C4573"/>
    <w:rsid w:val="002C7385"/>
    <w:rsid w:val="002D2DBB"/>
    <w:rsid w:val="002D3516"/>
    <w:rsid w:val="002D37D8"/>
    <w:rsid w:val="002D4C4D"/>
    <w:rsid w:val="002D509F"/>
    <w:rsid w:val="002D54A6"/>
    <w:rsid w:val="002E03E5"/>
    <w:rsid w:val="002E3779"/>
    <w:rsid w:val="002E5BF9"/>
    <w:rsid w:val="002E6A7A"/>
    <w:rsid w:val="002F1118"/>
    <w:rsid w:val="002F1E49"/>
    <w:rsid w:val="002F26CC"/>
    <w:rsid w:val="002F4E9C"/>
    <w:rsid w:val="002F6E15"/>
    <w:rsid w:val="003012CD"/>
    <w:rsid w:val="00302F4E"/>
    <w:rsid w:val="00304AD6"/>
    <w:rsid w:val="003055C2"/>
    <w:rsid w:val="0031096F"/>
    <w:rsid w:val="0031256C"/>
    <w:rsid w:val="00314D6C"/>
    <w:rsid w:val="00316D2A"/>
    <w:rsid w:val="00322180"/>
    <w:rsid w:val="00322A7C"/>
    <w:rsid w:val="00322EEC"/>
    <w:rsid w:val="00323061"/>
    <w:rsid w:val="00325EE0"/>
    <w:rsid w:val="00327482"/>
    <w:rsid w:val="003321DA"/>
    <w:rsid w:val="003402D3"/>
    <w:rsid w:val="0034068E"/>
    <w:rsid w:val="00343ABC"/>
    <w:rsid w:val="003463FE"/>
    <w:rsid w:val="003472FC"/>
    <w:rsid w:val="00347D41"/>
    <w:rsid w:val="0035033A"/>
    <w:rsid w:val="0035297F"/>
    <w:rsid w:val="003554B3"/>
    <w:rsid w:val="00356632"/>
    <w:rsid w:val="00357C7E"/>
    <w:rsid w:val="00364B5B"/>
    <w:rsid w:val="003653B6"/>
    <w:rsid w:val="003676DB"/>
    <w:rsid w:val="00370327"/>
    <w:rsid w:val="00374AE8"/>
    <w:rsid w:val="00374CC4"/>
    <w:rsid w:val="003774B2"/>
    <w:rsid w:val="00380F2D"/>
    <w:rsid w:val="00383E21"/>
    <w:rsid w:val="003845A9"/>
    <w:rsid w:val="003850C9"/>
    <w:rsid w:val="00390883"/>
    <w:rsid w:val="003922F8"/>
    <w:rsid w:val="00395B24"/>
    <w:rsid w:val="003A0631"/>
    <w:rsid w:val="003A1DCF"/>
    <w:rsid w:val="003A2D38"/>
    <w:rsid w:val="003A3240"/>
    <w:rsid w:val="003A562C"/>
    <w:rsid w:val="003A7608"/>
    <w:rsid w:val="003A7ECC"/>
    <w:rsid w:val="003B2C72"/>
    <w:rsid w:val="003B58B4"/>
    <w:rsid w:val="003B6436"/>
    <w:rsid w:val="003C1333"/>
    <w:rsid w:val="003C20FF"/>
    <w:rsid w:val="003C550A"/>
    <w:rsid w:val="003C6055"/>
    <w:rsid w:val="003D19B8"/>
    <w:rsid w:val="003D2650"/>
    <w:rsid w:val="003D3DC5"/>
    <w:rsid w:val="003D3E98"/>
    <w:rsid w:val="003D560C"/>
    <w:rsid w:val="003D5C00"/>
    <w:rsid w:val="003E3154"/>
    <w:rsid w:val="003E5874"/>
    <w:rsid w:val="003E72D3"/>
    <w:rsid w:val="003F193E"/>
    <w:rsid w:val="003F242C"/>
    <w:rsid w:val="003F34F1"/>
    <w:rsid w:val="003F3BA7"/>
    <w:rsid w:val="004012D5"/>
    <w:rsid w:val="00401B13"/>
    <w:rsid w:val="004031D8"/>
    <w:rsid w:val="00406A7C"/>
    <w:rsid w:val="004104B6"/>
    <w:rsid w:val="00410E41"/>
    <w:rsid w:val="00411AE8"/>
    <w:rsid w:val="00413B74"/>
    <w:rsid w:val="00413C8E"/>
    <w:rsid w:val="00414EB1"/>
    <w:rsid w:val="00430C61"/>
    <w:rsid w:val="004342F3"/>
    <w:rsid w:val="00435C5F"/>
    <w:rsid w:val="00436155"/>
    <w:rsid w:val="00436460"/>
    <w:rsid w:val="00441E98"/>
    <w:rsid w:val="004472D6"/>
    <w:rsid w:val="00450F3A"/>
    <w:rsid w:val="004532F7"/>
    <w:rsid w:val="004556AA"/>
    <w:rsid w:val="004614FC"/>
    <w:rsid w:val="00464D51"/>
    <w:rsid w:val="00472027"/>
    <w:rsid w:val="00472BBC"/>
    <w:rsid w:val="004748C9"/>
    <w:rsid w:val="00474E37"/>
    <w:rsid w:val="004804CF"/>
    <w:rsid w:val="00483314"/>
    <w:rsid w:val="00483F0E"/>
    <w:rsid w:val="00484962"/>
    <w:rsid w:val="00484F6D"/>
    <w:rsid w:val="00484FB7"/>
    <w:rsid w:val="0048554D"/>
    <w:rsid w:val="00492028"/>
    <w:rsid w:val="0049338A"/>
    <w:rsid w:val="0049417F"/>
    <w:rsid w:val="00496D41"/>
    <w:rsid w:val="004A6602"/>
    <w:rsid w:val="004B3EFA"/>
    <w:rsid w:val="004B724A"/>
    <w:rsid w:val="004C2A87"/>
    <w:rsid w:val="004C4D7B"/>
    <w:rsid w:val="004C4ED3"/>
    <w:rsid w:val="004C667B"/>
    <w:rsid w:val="004C7ECD"/>
    <w:rsid w:val="004D2EA5"/>
    <w:rsid w:val="004D32A6"/>
    <w:rsid w:val="004D53E5"/>
    <w:rsid w:val="004D7950"/>
    <w:rsid w:val="004E6DC4"/>
    <w:rsid w:val="004F21C1"/>
    <w:rsid w:val="005003B6"/>
    <w:rsid w:val="00501A12"/>
    <w:rsid w:val="005021E4"/>
    <w:rsid w:val="0050309C"/>
    <w:rsid w:val="005034C6"/>
    <w:rsid w:val="00504B1D"/>
    <w:rsid w:val="00505FC7"/>
    <w:rsid w:val="0051327C"/>
    <w:rsid w:val="0051346D"/>
    <w:rsid w:val="00513EAE"/>
    <w:rsid w:val="0051434F"/>
    <w:rsid w:val="00515986"/>
    <w:rsid w:val="00516806"/>
    <w:rsid w:val="00520139"/>
    <w:rsid w:val="0052098C"/>
    <w:rsid w:val="00525A49"/>
    <w:rsid w:val="005262D1"/>
    <w:rsid w:val="00530876"/>
    <w:rsid w:val="00532D03"/>
    <w:rsid w:val="005333F8"/>
    <w:rsid w:val="00535613"/>
    <w:rsid w:val="005359EB"/>
    <w:rsid w:val="0054254A"/>
    <w:rsid w:val="0054500B"/>
    <w:rsid w:val="005466B5"/>
    <w:rsid w:val="005503CF"/>
    <w:rsid w:val="00552802"/>
    <w:rsid w:val="00553863"/>
    <w:rsid w:val="00553A60"/>
    <w:rsid w:val="00554314"/>
    <w:rsid w:val="00554403"/>
    <w:rsid w:val="0055735B"/>
    <w:rsid w:val="00562829"/>
    <w:rsid w:val="005629B3"/>
    <w:rsid w:val="00566510"/>
    <w:rsid w:val="00570393"/>
    <w:rsid w:val="00570C83"/>
    <w:rsid w:val="0057128A"/>
    <w:rsid w:val="005724F6"/>
    <w:rsid w:val="00573AC4"/>
    <w:rsid w:val="0057595D"/>
    <w:rsid w:val="00575AD2"/>
    <w:rsid w:val="005801FC"/>
    <w:rsid w:val="00585BA9"/>
    <w:rsid w:val="0058621D"/>
    <w:rsid w:val="0058684D"/>
    <w:rsid w:val="00587359"/>
    <w:rsid w:val="00594290"/>
    <w:rsid w:val="00595016"/>
    <w:rsid w:val="00597AAE"/>
    <w:rsid w:val="005A222C"/>
    <w:rsid w:val="005A4DF8"/>
    <w:rsid w:val="005A78C8"/>
    <w:rsid w:val="005B1426"/>
    <w:rsid w:val="005C0A8E"/>
    <w:rsid w:val="005C1767"/>
    <w:rsid w:val="005C185C"/>
    <w:rsid w:val="005C42EF"/>
    <w:rsid w:val="005C7845"/>
    <w:rsid w:val="005D1364"/>
    <w:rsid w:val="005E02F5"/>
    <w:rsid w:val="005E0510"/>
    <w:rsid w:val="005E176E"/>
    <w:rsid w:val="005E218E"/>
    <w:rsid w:val="005E35A0"/>
    <w:rsid w:val="005E7205"/>
    <w:rsid w:val="005F0D1B"/>
    <w:rsid w:val="005F1865"/>
    <w:rsid w:val="006007BD"/>
    <w:rsid w:val="006013C8"/>
    <w:rsid w:val="0060270D"/>
    <w:rsid w:val="00604342"/>
    <w:rsid w:val="00604611"/>
    <w:rsid w:val="00611586"/>
    <w:rsid w:val="00612D26"/>
    <w:rsid w:val="00613155"/>
    <w:rsid w:val="00615855"/>
    <w:rsid w:val="00616137"/>
    <w:rsid w:val="0061702E"/>
    <w:rsid w:val="00620310"/>
    <w:rsid w:val="00620DA8"/>
    <w:rsid w:val="00621887"/>
    <w:rsid w:val="00622478"/>
    <w:rsid w:val="00624520"/>
    <w:rsid w:val="00625C2F"/>
    <w:rsid w:val="006271F5"/>
    <w:rsid w:val="00632300"/>
    <w:rsid w:val="00632BB7"/>
    <w:rsid w:val="00635173"/>
    <w:rsid w:val="00635B36"/>
    <w:rsid w:val="00636871"/>
    <w:rsid w:val="00640EE1"/>
    <w:rsid w:val="00640F4E"/>
    <w:rsid w:val="006425E8"/>
    <w:rsid w:val="00643DE0"/>
    <w:rsid w:val="0064437D"/>
    <w:rsid w:val="00644E85"/>
    <w:rsid w:val="006516D8"/>
    <w:rsid w:val="00652C52"/>
    <w:rsid w:val="00655A09"/>
    <w:rsid w:val="0066063F"/>
    <w:rsid w:val="0066178D"/>
    <w:rsid w:val="00662BB0"/>
    <w:rsid w:val="00663878"/>
    <w:rsid w:val="00667773"/>
    <w:rsid w:val="00670743"/>
    <w:rsid w:val="0067496D"/>
    <w:rsid w:val="00680A85"/>
    <w:rsid w:val="00681ADF"/>
    <w:rsid w:val="00685544"/>
    <w:rsid w:val="00690887"/>
    <w:rsid w:val="00690EE2"/>
    <w:rsid w:val="00693854"/>
    <w:rsid w:val="00694BEB"/>
    <w:rsid w:val="006A0E20"/>
    <w:rsid w:val="006A24E3"/>
    <w:rsid w:val="006A51F7"/>
    <w:rsid w:val="006A5695"/>
    <w:rsid w:val="006B0439"/>
    <w:rsid w:val="006B3904"/>
    <w:rsid w:val="006B5B7D"/>
    <w:rsid w:val="006C25E7"/>
    <w:rsid w:val="006C5B46"/>
    <w:rsid w:val="006C6E39"/>
    <w:rsid w:val="006D0ECF"/>
    <w:rsid w:val="006D3D5B"/>
    <w:rsid w:val="006D4C92"/>
    <w:rsid w:val="006D4EB6"/>
    <w:rsid w:val="006D7FBC"/>
    <w:rsid w:val="006E35BF"/>
    <w:rsid w:val="006E7850"/>
    <w:rsid w:val="006F19D8"/>
    <w:rsid w:val="006F46D6"/>
    <w:rsid w:val="006F4BBB"/>
    <w:rsid w:val="006F5CA4"/>
    <w:rsid w:val="007028D9"/>
    <w:rsid w:val="00707218"/>
    <w:rsid w:val="00710D04"/>
    <w:rsid w:val="00712B1D"/>
    <w:rsid w:val="00715751"/>
    <w:rsid w:val="007171BA"/>
    <w:rsid w:val="00717616"/>
    <w:rsid w:val="00717905"/>
    <w:rsid w:val="00722E3A"/>
    <w:rsid w:val="007256CF"/>
    <w:rsid w:val="007325D9"/>
    <w:rsid w:val="0073413F"/>
    <w:rsid w:val="0073583B"/>
    <w:rsid w:val="007360CA"/>
    <w:rsid w:val="0074667B"/>
    <w:rsid w:val="00746B62"/>
    <w:rsid w:val="007470BD"/>
    <w:rsid w:val="00752755"/>
    <w:rsid w:val="00753B00"/>
    <w:rsid w:val="00754726"/>
    <w:rsid w:val="00760EC0"/>
    <w:rsid w:val="007711BD"/>
    <w:rsid w:val="00771C5E"/>
    <w:rsid w:val="007759F1"/>
    <w:rsid w:val="0078003A"/>
    <w:rsid w:val="00780771"/>
    <w:rsid w:val="00781C8C"/>
    <w:rsid w:val="0078205F"/>
    <w:rsid w:val="0078264A"/>
    <w:rsid w:val="0078474E"/>
    <w:rsid w:val="007929CF"/>
    <w:rsid w:val="0079578D"/>
    <w:rsid w:val="00797BA8"/>
    <w:rsid w:val="007A081D"/>
    <w:rsid w:val="007A49E7"/>
    <w:rsid w:val="007A6F28"/>
    <w:rsid w:val="007A7608"/>
    <w:rsid w:val="007B03C6"/>
    <w:rsid w:val="007B0DB1"/>
    <w:rsid w:val="007B5673"/>
    <w:rsid w:val="007B7238"/>
    <w:rsid w:val="007B76FF"/>
    <w:rsid w:val="007C3BF6"/>
    <w:rsid w:val="007C67B3"/>
    <w:rsid w:val="007C788B"/>
    <w:rsid w:val="007D0FD2"/>
    <w:rsid w:val="007D1AC2"/>
    <w:rsid w:val="007D2EF8"/>
    <w:rsid w:val="007D561F"/>
    <w:rsid w:val="007D73EE"/>
    <w:rsid w:val="007D7FD2"/>
    <w:rsid w:val="007E13D9"/>
    <w:rsid w:val="007E1D0D"/>
    <w:rsid w:val="007E2AEC"/>
    <w:rsid w:val="007E41BE"/>
    <w:rsid w:val="007E4DB6"/>
    <w:rsid w:val="007E6733"/>
    <w:rsid w:val="007E7CD4"/>
    <w:rsid w:val="007F12AC"/>
    <w:rsid w:val="007F387D"/>
    <w:rsid w:val="007F4501"/>
    <w:rsid w:val="007F4C56"/>
    <w:rsid w:val="007F60DF"/>
    <w:rsid w:val="00801800"/>
    <w:rsid w:val="00801861"/>
    <w:rsid w:val="00801B5B"/>
    <w:rsid w:val="00805A30"/>
    <w:rsid w:val="008072DF"/>
    <w:rsid w:val="00813AAE"/>
    <w:rsid w:val="00815367"/>
    <w:rsid w:val="00820F4C"/>
    <w:rsid w:val="008216E7"/>
    <w:rsid w:val="00825BE6"/>
    <w:rsid w:val="008276B4"/>
    <w:rsid w:val="008277C5"/>
    <w:rsid w:val="00830DFA"/>
    <w:rsid w:val="00831927"/>
    <w:rsid w:val="00837288"/>
    <w:rsid w:val="00841BD3"/>
    <w:rsid w:val="0084273D"/>
    <w:rsid w:val="00842B28"/>
    <w:rsid w:val="00844E3F"/>
    <w:rsid w:val="00845A83"/>
    <w:rsid w:val="00846BB9"/>
    <w:rsid w:val="00857D8C"/>
    <w:rsid w:val="008649D5"/>
    <w:rsid w:val="008712BB"/>
    <w:rsid w:val="008716DB"/>
    <w:rsid w:val="008830E7"/>
    <w:rsid w:val="00890EDE"/>
    <w:rsid w:val="00892B38"/>
    <w:rsid w:val="008A1741"/>
    <w:rsid w:val="008A2484"/>
    <w:rsid w:val="008A52F3"/>
    <w:rsid w:val="008A6572"/>
    <w:rsid w:val="008C1AA7"/>
    <w:rsid w:val="008C26D9"/>
    <w:rsid w:val="008C6D50"/>
    <w:rsid w:val="008C7167"/>
    <w:rsid w:val="008C7503"/>
    <w:rsid w:val="008D1617"/>
    <w:rsid w:val="008D330F"/>
    <w:rsid w:val="008D395E"/>
    <w:rsid w:val="008D48C1"/>
    <w:rsid w:val="008E6315"/>
    <w:rsid w:val="008E6975"/>
    <w:rsid w:val="008F0480"/>
    <w:rsid w:val="008F07FC"/>
    <w:rsid w:val="008F11E0"/>
    <w:rsid w:val="008F3EA7"/>
    <w:rsid w:val="008F78BC"/>
    <w:rsid w:val="008F7B63"/>
    <w:rsid w:val="008F7D6A"/>
    <w:rsid w:val="00900845"/>
    <w:rsid w:val="00901C86"/>
    <w:rsid w:val="00903603"/>
    <w:rsid w:val="00904805"/>
    <w:rsid w:val="009054CB"/>
    <w:rsid w:val="00907D96"/>
    <w:rsid w:val="00911F8D"/>
    <w:rsid w:val="00912F94"/>
    <w:rsid w:val="009171BC"/>
    <w:rsid w:val="009245C9"/>
    <w:rsid w:val="0092497E"/>
    <w:rsid w:val="0092590B"/>
    <w:rsid w:val="00925BF3"/>
    <w:rsid w:val="00925E60"/>
    <w:rsid w:val="009264B3"/>
    <w:rsid w:val="00931E4C"/>
    <w:rsid w:val="00934551"/>
    <w:rsid w:val="009365E0"/>
    <w:rsid w:val="009369AE"/>
    <w:rsid w:val="00941A7A"/>
    <w:rsid w:val="00942BA2"/>
    <w:rsid w:val="009432B7"/>
    <w:rsid w:val="00944C86"/>
    <w:rsid w:val="0094628C"/>
    <w:rsid w:val="00947C02"/>
    <w:rsid w:val="00950BE6"/>
    <w:rsid w:val="0095486E"/>
    <w:rsid w:val="00957DE8"/>
    <w:rsid w:val="00960ECB"/>
    <w:rsid w:val="009615D6"/>
    <w:rsid w:val="00967855"/>
    <w:rsid w:val="00971CD1"/>
    <w:rsid w:val="00972F4F"/>
    <w:rsid w:val="009736D7"/>
    <w:rsid w:val="00974709"/>
    <w:rsid w:val="0097691D"/>
    <w:rsid w:val="009772FE"/>
    <w:rsid w:val="009801AE"/>
    <w:rsid w:val="00980736"/>
    <w:rsid w:val="00981A39"/>
    <w:rsid w:val="00982D56"/>
    <w:rsid w:val="00983DBF"/>
    <w:rsid w:val="00986F5E"/>
    <w:rsid w:val="00987097"/>
    <w:rsid w:val="00990CE2"/>
    <w:rsid w:val="00991123"/>
    <w:rsid w:val="00991CAB"/>
    <w:rsid w:val="009A2D8D"/>
    <w:rsid w:val="009A3A9C"/>
    <w:rsid w:val="009A3BB9"/>
    <w:rsid w:val="009A659A"/>
    <w:rsid w:val="009B046C"/>
    <w:rsid w:val="009B12CC"/>
    <w:rsid w:val="009B13FA"/>
    <w:rsid w:val="009B1E2D"/>
    <w:rsid w:val="009B7500"/>
    <w:rsid w:val="009C417F"/>
    <w:rsid w:val="009C59FB"/>
    <w:rsid w:val="009C6CBE"/>
    <w:rsid w:val="009C6F3B"/>
    <w:rsid w:val="009D1467"/>
    <w:rsid w:val="009D328D"/>
    <w:rsid w:val="009D49C6"/>
    <w:rsid w:val="009D6D70"/>
    <w:rsid w:val="009D6F60"/>
    <w:rsid w:val="009E2998"/>
    <w:rsid w:val="009E2E31"/>
    <w:rsid w:val="009E44FA"/>
    <w:rsid w:val="009E4FA6"/>
    <w:rsid w:val="009E7D93"/>
    <w:rsid w:val="009F3C34"/>
    <w:rsid w:val="009F462C"/>
    <w:rsid w:val="009F5C33"/>
    <w:rsid w:val="009F68EE"/>
    <w:rsid w:val="00A026F0"/>
    <w:rsid w:val="00A03EAC"/>
    <w:rsid w:val="00A04DBB"/>
    <w:rsid w:val="00A07EA0"/>
    <w:rsid w:val="00A11CA6"/>
    <w:rsid w:val="00A14B02"/>
    <w:rsid w:val="00A158F0"/>
    <w:rsid w:val="00A20C49"/>
    <w:rsid w:val="00A22932"/>
    <w:rsid w:val="00A269CA"/>
    <w:rsid w:val="00A336A0"/>
    <w:rsid w:val="00A336EE"/>
    <w:rsid w:val="00A33F46"/>
    <w:rsid w:val="00A3427E"/>
    <w:rsid w:val="00A359AC"/>
    <w:rsid w:val="00A40F83"/>
    <w:rsid w:val="00A410FB"/>
    <w:rsid w:val="00A41413"/>
    <w:rsid w:val="00A42E6A"/>
    <w:rsid w:val="00A431E6"/>
    <w:rsid w:val="00A436E8"/>
    <w:rsid w:val="00A45FB1"/>
    <w:rsid w:val="00A46A0F"/>
    <w:rsid w:val="00A46CCC"/>
    <w:rsid w:val="00A47996"/>
    <w:rsid w:val="00A51CFE"/>
    <w:rsid w:val="00A5204D"/>
    <w:rsid w:val="00A52AA0"/>
    <w:rsid w:val="00A53919"/>
    <w:rsid w:val="00A54C92"/>
    <w:rsid w:val="00A56E77"/>
    <w:rsid w:val="00A61605"/>
    <w:rsid w:val="00A65F97"/>
    <w:rsid w:val="00A73B04"/>
    <w:rsid w:val="00A76C13"/>
    <w:rsid w:val="00A84FD0"/>
    <w:rsid w:val="00A924E8"/>
    <w:rsid w:val="00A92E79"/>
    <w:rsid w:val="00A950B6"/>
    <w:rsid w:val="00A95D45"/>
    <w:rsid w:val="00AA3EA8"/>
    <w:rsid w:val="00AB41C1"/>
    <w:rsid w:val="00AB4CF2"/>
    <w:rsid w:val="00AB6CCA"/>
    <w:rsid w:val="00AC223F"/>
    <w:rsid w:val="00AC2EE4"/>
    <w:rsid w:val="00AC33B1"/>
    <w:rsid w:val="00AC430D"/>
    <w:rsid w:val="00AD12A8"/>
    <w:rsid w:val="00AE023F"/>
    <w:rsid w:val="00AF047F"/>
    <w:rsid w:val="00AF3577"/>
    <w:rsid w:val="00AF35F9"/>
    <w:rsid w:val="00B037C9"/>
    <w:rsid w:val="00B0424C"/>
    <w:rsid w:val="00B05C7D"/>
    <w:rsid w:val="00B11A09"/>
    <w:rsid w:val="00B15D57"/>
    <w:rsid w:val="00B16347"/>
    <w:rsid w:val="00B17D6E"/>
    <w:rsid w:val="00B2435E"/>
    <w:rsid w:val="00B346C3"/>
    <w:rsid w:val="00B4005C"/>
    <w:rsid w:val="00B40323"/>
    <w:rsid w:val="00B4227E"/>
    <w:rsid w:val="00B4471C"/>
    <w:rsid w:val="00B451A6"/>
    <w:rsid w:val="00B56D6E"/>
    <w:rsid w:val="00B60150"/>
    <w:rsid w:val="00B64347"/>
    <w:rsid w:val="00B65DC6"/>
    <w:rsid w:val="00B67AC2"/>
    <w:rsid w:val="00B722DE"/>
    <w:rsid w:val="00B751E3"/>
    <w:rsid w:val="00B75BA6"/>
    <w:rsid w:val="00B76C44"/>
    <w:rsid w:val="00B77F7D"/>
    <w:rsid w:val="00B8184A"/>
    <w:rsid w:val="00B82283"/>
    <w:rsid w:val="00B828D8"/>
    <w:rsid w:val="00B83F87"/>
    <w:rsid w:val="00B87CDC"/>
    <w:rsid w:val="00B910C1"/>
    <w:rsid w:val="00BA2CA4"/>
    <w:rsid w:val="00BA2EFA"/>
    <w:rsid w:val="00BA3DBC"/>
    <w:rsid w:val="00BA707A"/>
    <w:rsid w:val="00BB1AFB"/>
    <w:rsid w:val="00BB27AE"/>
    <w:rsid w:val="00BB2DA2"/>
    <w:rsid w:val="00BB56DC"/>
    <w:rsid w:val="00BD354E"/>
    <w:rsid w:val="00BE183D"/>
    <w:rsid w:val="00BF24C2"/>
    <w:rsid w:val="00BF2922"/>
    <w:rsid w:val="00BF5D7A"/>
    <w:rsid w:val="00C00675"/>
    <w:rsid w:val="00C01C2E"/>
    <w:rsid w:val="00C02D33"/>
    <w:rsid w:val="00C03BC7"/>
    <w:rsid w:val="00C04B53"/>
    <w:rsid w:val="00C055E0"/>
    <w:rsid w:val="00C1232C"/>
    <w:rsid w:val="00C13195"/>
    <w:rsid w:val="00C228E1"/>
    <w:rsid w:val="00C27C6B"/>
    <w:rsid w:val="00C307B2"/>
    <w:rsid w:val="00C3594D"/>
    <w:rsid w:val="00C35E48"/>
    <w:rsid w:val="00C36442"/>
    <w:rsid w:val="00C400CE"/>
    <w:rsid w:val="00C410FD"/>
    <w:rsid w:val="00C457DE"/>
    <w:rsid w:val="00C47DD3"/>
    <w:rsid w:val="00C5316F"/>
    <w:rsid w:val="00C53562"/>
    <w:rsid w:val="00C539FB"/>
    <w:rsid w:val="00C60EF3"/>
    <w:rsid w:val="00C66AA3"/>
    <w:rsid w:val="00C66E57"/>
    <w:rsid w:val="00C724D7"/>
    <w:rsid w:val="00C74150"/>
    <w:rsid w:val="00C75594"/>
    <w:rsid w:val="00C85982"/>
    <w:rsid w:val="00C90C2F"/>
    <w:rsid w:val="00C96742"/>
    <w:rsid w:val="00CA0466"/>
    <w:rsid w:val="00CA246D"/>
    <w:rsid w:val="00CA50D9"/>
    <w:rsid w:val="00CA6EDB"/>
    <w:rsid w:val="00CB0289"/>
    <w:rsid w:val="00CB21A7"/>
    <w:rsid w:val="00CB3054"/>
    <w:rsid w:val="00CB5636"/>
    <w:rsid w:val="00CB5F30"/>
    <w:rsid w:val="00CC3DC5"/>
    <w:rsid w:val="00CC3EE5"/>
    <w:rsid w:val="00CC6E47"/>
    <w:rsid w:val="00CD1346"/>
    <w:rsid w:val="00CD2E8E"/>
    <w:rsid w:val="00CD3A94"/>
    <w:rsid w:val="00CE425C"/>
    <w:rsid w:val="00CE58AC"/>
    <w:rsid w:val="00CF5A80"/>
    <w:rsid w:val="00D01EA9"/>
    <w:rsid w:val="00D045EE"/>
    <w:rsid w:val="00D04E5F"/>
    <w:rsid w:val="00D05091"/>
    <w:rsid w:val="00D05C0D"/>
    <w:rsid w:val="00D10CA6"/>
    <w:rsid w:val="00D10F21"/>
    <w:rsid w:val="00D134CF"/>
    <w:rsid w:val="00D139FF"/>
    <w:rsid w:val="00D1573B"/>
    <w:rsid w:val="00D24806"/>
    <w:rsid w:val="00D27E8A"/>
    <w:rsid w:val="00D34040"/>
    <w:rsid w:val="00D34E69"/>
    <w:rsid w:val="00D365FF"/>
    <w:rsid w:val="00D36C78"/>
    <w:rsid w:val="00D375EE"/>
    <w:rsid w:val="00D51610"/>
    <w:rsid w:val="00D55AE8"/>
    <w:rsid w:val="00D56056"/>
    <w:rsid w:val="00D6085F"/>
    <w:rsid w:val="00D62699"/>
    <w:rsid w:val="00D64E9F"/>
    <w:rsid w:val="00D72ABF"/>
    <w:rsid w:val="00D77008"/>
    <w:rsid w:val="00D778E9"/>
    <w:rsid w:val="00D812BF"/>
    <w:rsid w:val="00D82620"/>
    <w:rsid w:val="00D85707"/>
    <w:rsid w:val="00D85BC2"/>
    <w:rsid w:val="00D86B29"/>
    <w:rsid w:val="00D9149B"/>
    <w:rsid w:val="00D9725F"/>
    <w:rsid w:val="00DA01B1"/>
    <w:rsid w:val="00DA091C"/>
    <w:rsid w:val="00DA11A2"/>
    <w:rsid w:val="00DA14ED"/>
    <w:rsid w:val="00DA26D6"/>
    <w:rsid w:val="00DA5969"/>
    <w:rsid w:val="00DB13EC"/>
    <w:rsid w:val="00DB2EF1"/>
    <w:rsid w:val="00DB3DE1"/>
    <w:rsid w:val="00DB5DA0"/>
    <w:rsid w:val="00DB716C"/>
    <w:rsid w:val="00DC5C85"/>
    <w:rsid w:val="00DC7A4F"/>
    <w:rsid w:val="00DC7C5D"/>
    <w:rsid w:val="00DC7C9A"/>
    <w:rsid w:val="00DD4236"/>
    <w:rsid w:val="00DD42D9"/>
    <w:rsid w:val="00DD44F1"/>
    <w:rsid w:val="00DD6957"/>
    <w:rsid w:val="00DD6E7A"/>
    <w:rsid w:val="00DD771C"/>
    <w:rsid w:val="00DE3067"/>
    <w:rsid w:val="00DE4DCF"/>
    <w:rsid w:val="00DF3EEE"/>
    <w:rsid w:val="00DF6A05"/>
    <w:rsid w:val="00DF75E1"/>
    <w:rsid w:val="00E027BC"/>
    <w:rsid w:val="00E02E00"/>
    <w:rsid w:val="00E038D9"/>
    <w:rsid w:val="00E045BE"/>
    <w:rsid w:val="00E10F0D"/>
    <w:rsid w:val="00E14EA5"/>
    <w:rsid w:val="00E2070E"/>
    <w:rsid w:val="00E21133"/>
    <w:rsid w:val="00E2327E"/>
    <w:rsid w:val="00E23577"/>
    <w:rsid w:val="00E266EF"/>
    <w:rsid w:val="00E326A8"/>
    <w:rsid w:val="00E32913"/>
    <w:rsid w:val="00E3368E"/>
    <w:rsid w:val="00E35E4F"/>
    <w:rsid w:val="00E37F8E"/>
    <w:rsid w:val="00E47428"/>
    <w:rsid w:val="00E5270C"/>
    <w:rsid w:val="00E52EB3"/>
    <w:rsid w:val="00E56C8E"/>
    <w:rsid w:val="00E5716B"/>
    <w:rsid w:val="00E57F1F"/>
    <w:rsid w:val="00E60C47"/>
    <w:rsid w:val="00E615B5"/>
    <w:rsid w:val="00E66B9F"/>
    <w:rsid w:val="00E70A6A"/>
    <w:rsid w:val="00E710D6"/>
    <w:rsid w:val="00E73DA4"/>
    <w:rsid w:val="00E76E45"/>
    <w:rsid w:val="00E777C9"/>
    <w:rsid w:val="00E813F1"/>
    <w:rsid w:val="00E81DA6"/>
    <w:rsid w:val="00E82D5C"/>
    <w:rsid w:val="00E84212"/>
    <w:rsid w:val="00E87877"/>
    <w:rsid w:val="00E9086C"/>
    <w:rsid w:val="00E90AAA"/>
    <w:rsid w:val="00E91A0F"/>
    <w:rsid w:val="00E9354B"/>
    <w:rsid w:val="00E94A71"/>
    <w:rsid w:val="00E94CBF"/>
    <w:rsid w:val="00EA03CE"/>
    <w:rsid w:val="00EA1CAA"/>
    <w:rsid w:val="00EA23E5"/>
    <w:rsid w:val="00EA4B24"/>
    <w:rsid w:val="00EA4E2E"/>
    <w:rsid w:val="00EB1890"/>
    <w:rsid w:val="00EB2417"/>
    <w:rsid w:val="00EB2CCB"/>
    <w:rsid w:val="00EB7A25"/>
    <w:rsid w:val="00EC0F3E"/>
    <w:rsid w:val="00EC57A7"/>
    <w:rsid w:val="00ED0817"/>
    <w:rsid w:val="00ED2434"/>
    <w:rsid w:val="00ED7DD9"/>
    <w:rsid w:val="00EE445B"/>
    <w:rsid w:val="00EE6374"/>
    <w:rsid w:val="00EE7EB3"/>
    <w:rsid w:val="00EF3113"/>
    <w:rsid w:val="00EF3F84"/>
    <w:rsid w:val="00EF6A41"/>
    <w:rsid w:val="00EF6F8A"/>
    <w:rsid w:val="00EF7FE1"/>
    <w:rsid w:val="00F077AD"/>
    <w:rsid w:val="00F11A50"/>
    <w:rsid w:val="00F176AC"/>
    <w:rsid w:val="00F17823"/>
    <w:rsid w:val="00F2373D"/>
    <w:rsid w:val="00F2691D"/>
    <w:rsid w:val="00F26F28"/>
    <w:rsid w:val="00F27714"/>
    <w:rsid w:val="00F30096"/>
    <w:rsid w:val="00F31B4C"/>
    <w:rsid w:val="00F3276E"/>
    <w:rsid w:val="00F33D3C"/>
    <w:rsid w:val="00F37A08"/>
    <w:rsid w:val="00F37A91"/>
    <w:rsid w:val="00F408A0"/>
    <w:rsid w:val="00F45CF5"/>
    <w:rsid w:val="00F47DB0"/>
    <w:rsid w:val="00F50C3F"/>
    <w:rsid w:val="00F50E34"/>
    <w:rsid w:val="00F51AFB"/>
    <w:rsid w:val="00F53EF7"/>
    <w:rsid w:val="00F54BF2"/>
    <w:rsid w:val="00F72649"/>
    <w:rsid w:val="00F775AC"/>
    <w:rsid w:val="00F8792F"/>
    <w:rsid w:val="00F90F50"/>
    <w:rsid w:val="00F9214D"/>
    <w:rsid w:val="00F92355"/>
    <w:rsid w:val="00F93963"/>
    <w:rsid w:val="00F94291"/>
    <w:rsid w:val="00F96628"/>
    <w:rsid w:val="00FA298A"/>
    <w:rsid w:val="00FA5B66"/>
    <w:rsid w:val="00FB0B9C"/>
    <w:rsid w:val="00FB0D24"/>
    <w:rsid w:val="00FB1E4C"/>
    <w:rsid w:val="00FB30EB"/>
    <w:rsid w:val="00FB60FD"/>
    <w:rsid w:val="00FB7982"/>
    <w:rsid w:val="00FB7D42"/>
    <w:rsid w:val="00FC0734"/>
    <w:rsid w:val="00FC0FC5"/>
    <w:rsid w:val="00FC588F"/>
    <w:rsid w:val="00FC6879"/>
    <w:rsid w:val="00FD2211"/>
    <w:rsid w:val="00FD43C2"/>
    <w:rsid w:val="00FD57CC"/>
    <w:rsid w:val="00FE0123"/>
    <w:rsid w:val="00FE1B30"/>
    <w:rsid w:val="00FE2579"/>
    <w:rsid w:val="00FE7B44"/>
    <w:rsid w:val="00FF2FBB"/>
    <w:rsid w:val="00FF43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6217B810"/>
  <w15:docId w15:val="{105B4B96-DE85-4506-9533-1895A5009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1440"/>
      </w:tabs>
      <w:spacing w:before="180" w:after="180"/>
      <w:ind w:left="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28592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8"/>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 w:type="paragraph" w:customStyle="1" w:styleId="acthead5">
    <w:name w:val="acthead5"/>
    <w:basedOn w:val="Normal"/>
    <w:rsid w:val="00E60C47"/>
    <w:pPr>
      <w:spacing w:before="100" w:beforeAutospacing="1" w:after="100" w:afterAutospacing="1" w:line="240" w:lineRule="auto"/>
      <w:jc w:val="left"/>
    </w:pPr>
    <w:rPr>
      <w:rFonts w:eastAsia="Times New Roman"/>
      <w:szCs w:val="24"/>
      <w:lang w:eastAsia="en-AU"/>
    </w:rPr>
  </w:style>
  <w:style w:type="character" w:customStyle="1" w:styleId="charsectno">
    <w:name w:val="charsectno"/>
    <w:basedOn w:val="DefaultParagraphFont"/>
    <w:rsid w:val="00E60C47"/>
  </w:style>
  <w:style w:type="paragraph" w:customStyle="1" w:styleId="subsection">
    <w:name w:val="subsection"/>
    <w:basedOn w:val="Normal"/>
    <w:rsid w:val="00E60C47"/>
    <w:pPr>
      <w:spacing w:before="100" w:beforeAutospacing="1" w:after="100" w:afterAutospacing="1" w:line="240" w:lineRule="auto"/>
      <w:jc w:val="left"/>
    </w:pPr>
    <w:rPr>
      <w:rFonts w:eastAsia="Times New Roman"/>
      <w:szCs w:val="24"/>
      <w:lang w:eastAsia="en-AU"/>
    </w:rPr>
  </w:style>
  <w:style w:type="paragraph" w:customStyle="1" w:styleId="paragraph">
    <w:name w:val="paragraph"/>
    <w:basedOn w:val="Normal"/>
    <w:rsid w:val="00E60C47"/>
    <w:pPr>
      <w:spacing w:before="100" w:beforeAutospacing="1" w:after="100" w:afterAutospacing="1" w:line="240" w:lineRule="auto"/>
      <w:jc w:val="left"/>
    </w:pPr>
    <w:rPr>
      <w:rFonts w:eastAsia="Times New Roman"/>
      <w:szCs w:val="24"/>
      <w:lang w:eastAsia="en-AU"/>
    </w:rPr>
  </w:style>
  <w:style w:type="paragraph" w:customStyle="1" w:styleId="subsection2">
    <w:name w:val="subsection2"/>
    <w:basedOn w:val="Normal"/>
    <w:rsid w:val="00E60C47"/>
    <w:pPr>
      <w:spacing w:before="100" w:beforeAutospacing="1" w:after="100" w:afterAutospacing="1" w:line="240" w:lineRule="auto"/>
      <w:jc w:val="left"/>
    </w:pPr>
    <w:rPr>
      <w:rFonts w:eastAsia="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9279">
      <w:bodyDiv w:val="1"/>
      <w:marLeft w:val="0"/>
      <w:marRight w:val="0"/>
      <w:marTop w:val="0"/>
      <w:marBottom w:val="0"/>
      <w:divBdr>
        <w:top w:val="none" w:sz="0" w:space="0" w:color="auto"/>
        <w:left w:val="none" w:sz="0" w:space="0" w:color="auto"/>
        <w:bottom w:val="none" w:sz="0" w:space="0" w:color="auto"/>
        <w:right w:val="none" w:sz="0" w:space="0" w:color="auto"/>
      </w:divBdr>
    </w:div>
    <w:div w:id="802844317">
      <w:bodyDiv w:val="1"/>
      <w:marLeft w:val="0"/>
      <w:marRight w:val="0"/>
      <w:marTop w:val="0"/>
      <w:marBottom w:val="0"/>
      <w:divBdr>
        <w:top w:val="none" w:sz="0" w:space="0" w:color="auto"/>
        <w:left w:val="none" w:sz="0" w:space="0" w:color="auto"/>
        <w:bottom w:val="none" w:sz="0" w:space="0" w:color="auto"/>
        <w:right w:val="none" w:sz="0" w:space="0" w:color="auto"/>
      </w:divBdr>
    </w:div>
    <w:div w:id="1667629276">
      <w:bodyDiv w:val="1"/>
      <w:marLeft w:val="0"/>
      <w:marRight w:val="0"/>
      <w:marTop w:val="0"/>
      <w:marBottom w:val="0"/>
      <w:divBdr>
        <w:top w:val="none" w:sz="0" w:space="0" w:color="auto"/>
        <w:left w:val="none" w:sz="0" w:space="0" w:color="auto"/>
        <w:bottom w:val="none" w:sz="0" w:space="0" w:color="auto"/>
        <w:right w:val="none" w:sz="0" w:space="0" w:color="auto"/>
      </w:divBdr>
    </w:div>
    <w:div w:id="177512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CF614EAF8A04249AD877A08E0F77873"/>
        <w:category>
          <w:name w:val="General"/>
          <w:gallery w:val="placeholder"/>
        </w:category>
        <w:types>
          <w:type w:val="bbPlcHdr"/>
        </w:types>
        <w:behaviors>
          <w:behavior w:val="content"/>
        </w:behaviors>
        <w:guid w:val="{380D219D-22DB-4C1F-8AEB-384DCE27EE7D}"/>
      </w:docPartPr>
      <w:docPartBody>
        <w:p w:rsidR="0077413A" w:rsidRDefault="00266919">
          <w:pPr>
            <w:pStyle w:val="3CF614EAF8A04249AD877A08E0F77873"/>
          </w:pPr>
          <w:r>
            <w:rPr>
              <w:rStyle w:val="PlaceholderText"/>
            </w:rPr>
            <w:t>MNC Text</w:t>
          </w:r>
        </w:p>
      </w:docPartBody>
    </w:docPart>
    <w:docPart>
      <w:docPartPr>
        <w:name w:val="E0EF6F5EDC16478E8F2D7C5B6143DE7F"/>
        <w:category>
          <w:name w:val="General"/>
          <w:gallery w:val="placeholder"/>
        </w:category>
        <w:types>
          <w:type w:val="bbPlcHdr"/>
        </w:types>
        <w:behaviors>
          <w:behavior w:val="content"/>
        </w:behaviors>
        <w:guid w:val="{15D7ADFE-E748-4DE0-A2C4-A0CA03807A9C}"/>
      </w:docPartPr>
      <w:docPartBody>
        <w:p w:rsidR="0077413A" w:rsidRDefault="00266919">
          <w:pPr>
            <w:pStyle w:val="E0EF6F5EDC16478E8F2D7C5B6143DE7F"/>
          </w:pPr>
          <w:r w:rsidRPr="005C44BE">
            <w:rPr>
              <w:rStyle w:val="PlaceholderText"/>
            </w:rPr>
            <w:t>Click or tap here to enter text.</w:t>
          </w:r>
        </w:p>
      </w:docPartBody>
    </w:docPart>
    <w:docPart>
      <w:docPartPr>
        <w:name w:val="049FE22488E74C4090B935745BC779B3"/>
        <w:category>
          <w:name w:val="General"/>
          <w:gallery w:val="placeholder"/>
        </w:category>
        <w:types>
          <w:type w:val="bbPlcHdr"/>
        </w:types>
        <w:behaviors>
          <w:behavior w:val="content"/>
        </w:behaviors>
        <w:guid w:val="{3C805CA7-512F-40D5-9B98-58F7661C0215}"/>
      </w:docPartPr>
      <w:docPartBody>
        <w:p w:rsidR="0077413A" w:rsidRDefault="00266919">
          <w:pPr>
            <w:pStyle w:val="049FE22488E74C4090B935745BC779B3"/>
          </w:pPr>
          <w:r w:rsidRPr="005C44BE">
            <w:rPr>
              <w:rStyle w:val="PlaceholderText"/>
            </w:rPr>
            <w:t>Click or tap here to enter text.</w:t>
          </w:r>
        </w:p>
      </w:docPartBody>
    </w:docPart>
    <w:docPart>
      <w:docPartPr>
        <w:name w:val="93289C91C6FD49AA990639C9760D412A"/>
        <w:category>
          <w:name w:val="General"/>
          <w:gallery w:val="placeholder"/>
        </w:category>
        <w:types>
          <w:type w:val="bbPlcHdr"/>
        </w:types>
        <w:behaviors>
          <w:behavior w:val="content"/>
        </w:behaviors>
        <w:guid w:val="{FBACF1CC-EE70-4537-B4E4-8530CEE862B4}"/>
      </w:docPartPr>
      <w:docPartBody>
        <w:p w:rsidR="0077413A" w:rsidRDefault="00266919">
          <w:pPr>
            <w:pStyle w:val="93289C91C6FD49AA990639C9760D412A"/>
          </w:pPr>
          <w:r w:rsidRPr="005C44BE">
            <w:rPr>
              <w:rStyle w:val="PlaceholderText"/>
            </w:rPr>
            <w:t>Click or tap here to enter text.</w:t>
          </w:r>
        </w:p>
      </w:docPartBody>
    </w:docPart>
    <w:docPart>
      <w:docPartPr>
        <w:name w:val="073B09C2AE8841849F6136D88ED5B167"/>
        <w:category>
          <w:name w:val="General"/>
          <w:gallery w:val="placeholder"/>
        </w:category>
        <w:types>
          <w:type w:val="bbPlcHdr"/>
        </w:types>
        <w:behaviors>
          <w:behavior w:val="content"/>
        </w:behaviors>
        <w:guid w:val="{79DAD99E-C4D4-4689-A50E-CDEE19A4DB14}"/>
      </w:docPartPr>
      <w:docPartBody>
        <w:p w:rsidR="0077413A" w:rsidRDefault="00266919">
          <w:pPr>
            <w:pStyle w:val="073B09C2AE8841849F6136D88ED5B167"/>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919"/>
    <w:rsid w:val="00211160"/>
    <w:rsid w:val="00230A4B"/>
    <w:rsid w:val="00252752"/>
    <w:rsid w:val="00266919"/>
    <w:rsid w:val="00283DC3"/>
    <w:rsid w:val="005C6D86"/>
    <w:rsid w:val="00651174"/>
    <w:rsid w:val="00681E2E"/>
    <w:rsid w:val="00711803"/>
    <w:rsid w:val="0077413A"/>
    <w:rsid w:val="007A183B"/>
    <w:rsid w:val="007A52BF"/>
    <w:rsid w:val="00920276"/>
    <w:rsid w:val="00AC450E"/>
    <w:rsid w:val="00AD7299"/>
    <w:rsid w:val="00B70231"/>
    <w:rsid w:val="00C27509"/>
    <w:rsid w:val="00CB7E18"/>
    <w:rsid w:val="00D26D44"/>
    <w:rsid w:val="00EF79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CF614EAF8A04249AD877A08E0F77873">
    <w:name w:val="3CF614EAF8A04249AD877A08E0F77873"/>
  </w:style>
  <w:style w:type="paragraph" w:customStyle="1" w:styleId="E0EF6F5EDC16478E8F2D7C5B6143DE7F">
    <w:name w:val="E0EF6F5EDC16478E8F2D7C5B6143DE7F"/>
  </w:style>
  <w:style w:type="paragraph" w:customStyle="1" w:styleId="049FE22488E74C4090B935745BC779B3">
    <w:name w:val="049FE22488E74C4090B935745BC779B3"/>
  </w:style>
  <w:style w:type="paragraph" w:customStyle="1" w:styleId="93289C91C6FD49AA990639C9760D412A">
    <w:name w:val="93289C91C6FD49AA990639C9760D412A"/>
  </w:style>
  <w:style w:type="paragraph" w:customStyle="1" w:styleId="073B09C2AE8841849F6136D88ED5B167">
    <w:name w:val="073B09C2AE8841849F6136D88ED5B1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5FC13CE722CC418AE7EAC7217A35E3" ma:contentTypeVersion="13" ma:contentTypeDescription="Create a new document." ma:contentTypeScope="" ma:versionID="a6fdaac66fd20e9d0ad17ec05a58b25e">
  <xsd:schema xmlns:xsd="http://www.w3.org/2001/XMLSchema" xmlns:xs="http://www.w3.org/2001/XMLSchema" xmlns:p="http://schemas.microsoft.com/office/2006/metadata/properties" xmlns:ns3="4fb8fb83-d681-4c29-b952-8a31490c3e20" xmlns:ns4="b117465e-034d-4c4d-b3c6-470ab2b5a97e" targetNamespace="http://schemas.microsoft.com/office/2006/metadata/properties" ma:root="true" ma:fieldsID="1310f83ed6aa98ab1b268f182661f80e" ns3:_="" ns4:_="">
    <xsd:import namespace="4fb8fb83-d681-4c29-b952-8a31490c3e20"/>
    <xsd:import namespace="b117465e-034d-4c4d-b3c6-470ab2b5a97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8fb83-d681-4c29-b952-8a31490c3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17465e-034d-4c4d-b3c6-470ab2b5a97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globalmacros.com/FCA">
  <Name>Parry v University of South Australia [2022] FCAFC 168 </Name>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8547B-1D3C-4CEB-A581-1E940E74ABD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117465e-034d-4c4d-b3c6-470ab2b5a97e"/>
    <ds:schemaRef ds:uri="4fb8fb83-d681-4c29-b952-8a31490c3e20"/>
    <ds:schemaRef ds:uri="http://www.w3.org/XML/1998/namespace"/>
    <ds:schemaRef ds:uri="http://purl.org/dc/dcmitype/"/>
  </ds:schemaRefs>
</ds:datastoreItem>
</file>

<file path=customXml/itemProps2.xml><?xml version="1.0" encoding="utf-8"?>
<ds:datastoreItem xmlns:ds="http://schemas.openxmlformats.org/officeDocument/2006/customXml" ds:itemID="{A1F4480A-2646-47E7-AFA8-5755C754D3EC}">
  <ds:schemaRefs>
    <ds:schemaRef ds:uri="http://schemas.microsoft.com/sharepoint/v3/contenttype/forms"/>
  </ds:schemaRefs>
</ds:datastoreItem>
</file>

<file path=customXml/itemProps3.xml><?xml version="1.0" encoding="utf-8"?>
<ds:datastoreItem xmlns:ds="http://schemas.openxmlformats.org/officeDocument/2006/customXml" ds:itemID="{16B78290-F8D8-4122-BB64-8D35E67BBB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8fb83-d681-4c29-b952-8a31490c3e20"/>
    <ds:schemaRef ds:uri="b117465e-034d-4c4d-b3c6-470ab2b5a9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7E7CCB-4AA5-44E7-B148-17BA2B6F57C0}">
  <ds:schemaRefs>
    <ds:schemaRef ds:uri="http://schemas.globalmacros.com/FCA"/>
  </ds:schemaRefs>
</ds:datastoreItem>
</file>

<file path=customXml/itemProps5.xml><?xml version="1.0" encoding="utf-8"?>
<ds:datastoreItem xmlns:ds="http://schemas.openxmlformats.org/officeDocument/2006/customXml" ds:itemID="{59B698FB-34F8-44FC-9C82-625980083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14</TotalTime>
  <Pages>30</Pages>
  <Words>11269</Words>
  <Characters>56344</Characters>
  <Application>Microsoft Office Word</Application>
  <DocSecurity>0</DocSecurity>
  <Lines>1280</Lines>
  <Paragraphs>558</Paragraphs>
  <ScaleCrop>false</ScaleCrop>
  <HeadingPairs>
    <vt:vector size="2" baseType="variant">
      <vt:variant>
        <vt:lpstr>Title</vt:lpstr>
      </vt:variant>
      <vt:variant>
        <vt:i4>1</vt:i4>
      </vt:variant>
    </vt:vector>
  </HeadingPairs>
  <TitlesOfParts>
    <vt:vector size="1" baseType="lpstr">
      <vt:lpstr>Parry v University of South Australia [2022] FCAFC 168 </vt:lpstr>
    </vt:vector>
  </TitlesOfParts>
  <Company>Federal Court of Australia</Company>
  <LinksUpToDate>false</LinksUpToDate>
  <CharactersWithSpaces>67055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Parry v University of South Australia [2022] FCAFC 168</dc:title>
  <dc:creator>Emma Panzarino</dc:creator>
  <dc:description>v1.3</dc:description>
  <cp:lastModifiedBy>Federal Court of Australia</cp:lastModifiedBy>
  <cp:revision>6</cp:revision>
  <cp:lastPrinted>2022-09-20T02:43:00Z</cp:lastPrinted>
  <dcterms:created xsi:type="dcterms:W3CDTF">2022-09-29T06:37:00Z</dcterms:created>
  <dcterms:modified xsi:type="dcterms:W3CDTF">2022-09-29T07:24:00Z</dcterms:modified>
  <cp:version>v1.2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3</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South Australia</vt:lpwstr>
  </property>
  <property fmtid="{D5CDD505-2E9C-101B-9397-08002B2CF9AE}" pid="13" name="Division">
    <vt:lpwstr>General Division</vt:lpwstr>
  </property>
  <property fmtid="{D5CDD505-2E9C-101B-9397-08002B2CF9AE}" pid="14" name="FileNo">
    <vt:lpwstr>&lt;FILE NO&gt;</vt:lpwstr>
  </property>
  <property fmtid="{D5CDD505-2E9C-101B-9397-08002B2CF9AE}" pid="15" name="Practice Area">
    <vt:lpwstr>Employment and Industrial Relations</vt:lpwstr>
  </property>
  <property fmtid="{D5CDD505-2E9C-101B-9397-08002B2CF9AE}" pid="16" name="Court">
    <vt:lpwstr>Federal Court of Australia</vt:lpwstr>
  </property>
  <property fmtid="{D5CDD505-2E9C-101B-9397-08002B2CF9AE}" pid="17" name="Sub Area">
    <vt:lpwstr>(none)</vt:lpwstr>
  </property>
  <property fmtid="{D5CDD505-2E9C-101B-9397-08002B2CF9AE}" pid="18" name="AppealFrom">
    <vt:lpwstr>#### </vt:lpwstr>
  </property>
  <property fmtid="{D5CDD505-2E9C-101B-9397-08002B2CF9AE}" pid="19" name="DivisionTitle">
    <vt:lpwstr>none</vt:lpwstr>
  </property>
  <property fmtid="{D5CDD505-2E9C-101B-9397-08002B2CF9AE}" pid="20" name="Judge">
    <vt:lpwstr>Judge</vt:lpwstr>
  </property>
  <property fmtid="{D5CDD505-2E9C-101B-9397-08002B2CF9AE}" pid="21" name="Judgment_dated">
    <vt:lpwstr>Judgment_dated</vt:lpwstr>
  </property>
  <property fmtid="{D5CDD505-2E9C-101B-9397-08002B2CF9AE}" pid="22" name="Legislation">
    <vt:lpwstr>Legislation</vt:lpwstr>
  </property>
  <property fmtid="{D5CDD505-2E9C-101B-9397-08002B2CF9AE}" pid="23" name="Catchwords">
    <vt:lpwstr>Catchwords</vt:lpwstr>
  </property>
  <property fmtid="{D5CDD505-2E9C-101B-9397-08002B2CF9AE}" pid="24" name="Words_Phrases">
    <vt:lpwstr>WordsPhrases</vt:lpwstr>
  </property>
  <property fmtid="{D5CDD505-2E9C-101B-9397-08002B2CF9AE}" pid="25" name="Cases_Cited">
    <vt:lpwstr>CasesCited</vt:lpwstr>
  </property>
  <property fmtid="{D5CDD505-2E9C-101B-9397-08002B2CF9AE}" pid="26" name="File_Number">
    <vt:lpwstr>Num</vt:lpwstr>
  </property>
  <property fmtid="{D5CDD505-2E9C-101B-9397-08002B2CF9AE}" pid="27" name="State">
    <vt:lpwstr>State</vt:lpwstr>
  </property>
  <property fmtid="{D5CDD505-2E9C-101B-9397-08002B2CF9AE}" pid="28" name="ContentTypeId">
    <vt:lpwstr>0x010100265FC13CE722CC418AE7EAC7217A35E3</vt:lpwstr>
  </property>
</Properties>
</file>