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93FCDD" w14:textId="77777777" w:rsidR="00395B24" w:rsidRDefault="00452739" w:rsidP="00A22932">
      <w:pPr>
        <w:pStyle w:val="CourtTitle"/>
      </w:pPr>
      <w:r>
        <w:fldChar w:fldCharType="begin"/>
      </w:r>
      <w:r>
        <w:instrText xml:space="preserve"> DOCPROPERTY  Court  \* MERGEFORMAT </w:instrText>
      </w:r>
      <w:r>
        <w:fldChar w:fldCharType="separate"/>
      </w:r>
      <w:r w:rsidR="005C5B82">
        <w:t>Federal Court of Australia</w:t>
      </w:r>
      <w:r>
        <w:fldChar w:fldCharType="end"/>
      </w:r>
    </w:p>
    <w:p w14:paraId="6B58A577" w14:textId="77777777" w:rsidR="004D7950" w:rsidRDefault="004D7950">
      <w:pPr>
        <w:pStyle w:val="NormalHeadings"/>
        <w:jc w:val="center"/>
        <w:rPr>
          <w:sz w:val="32"/>
        </w:rPr>
      </w:pPr>
    </w:p>
    <w:bookmarkStart w:id="0" w:name="MNC"/>
    <w:p w14:paraId="42D0B7BF" w14:textId="75759683" w:rsidR="00374CC4" w:rsidRDefault="00452739" w:rsidP="001A2B40">
      <w:pPr>
        <w:pStyle w:val="MNC"/>
      </w:pPr>
      <w:sdt>
        <w:sdtPr>
          <w:rPr>
            <w:bCs/>
            <w:color w:val="000000"/>
            <w:szCs w:val="28"/>
            <w:bdr w:val="none" w:sz="0" w:space="0" w:color="auto" w:frame="1"/>
            <w:shd w:val="clear" w:color="auto" w:fill="FFFFFF"/>
          </w:rPr>
          <w:alias w:val="MNC"/>
          <w:tag w:val="MNC"/>
          <w:id w:val="343289786"/>
          <w:lock w:val="sdtLocked"/>
          <w:placeholder>
            <w:docPart w:val="B143C4AEB8C440AAAD31B9CB1F880414"/>
          </w:placeholder>
          <w:dataBinding w:prefixMappings="xmlns:ns0='http://schemas.globalmacros.com/FCA'" w:xpath="/ns0:root[1]/ns0:Name[1]" w:storeItemID="{687E7CCB-4AA5-44E7-B148-17BA2B6F57C0}"/>
          <w:text w:multiLine="1"/>
        </w:sdtPr>
        <w:sdtEndPr/>
        <w:sdtContent>
          <w:r w:rsidR="005C5B82" w:rsidRPr="005C5B82">
            <w:rPr>
              <w:bCs/>
              <w:color w:val="000000"/>
              <w:szCs w:val="28"/>
              <w:bdr w:val="none" w:sz="0" w:space="0" w:color="auto" w:frame="1"/>
              <w:shd w:val="clear" w:color="auto" w:fill="FFFFFF"/>
            </w:rPr>
            <w:t xml:space="preserve"> Sunshine Energy Australia Pty Ltd v Youssef [2023] FCA</w:t>
          </w:r>
          <w:r w:rsidR="00587861">
            <w:rPr>
              <w:bCs/>
              <w:color w:val="000000"/>
              <w:szCs w:val="28"/>
              <w:bdr w:val="none" w:sz="0" w:space="0" w:color="auto" w:frame="1"/>
              <w:shd w:val="clear" w:color="auto" w:fill="FFFFFF"/>
            </w:rPr>
            <w:t xml:space="preserve"> 549</w:t>
          </w:r>
          <w:r w:rsidR="005C5B82" w:rsidRPr="005C5B82">
            <w:rPr>
              <w:bCs/>
              <w:color w:val="000000"/>
              <w:szCs w:val="28"/>
              <w:bdr w:val="none" w:sz="0" w:space="0" w:color="auto" w:frame="1"/>
              <w:shd w:val="clear" w:color="auto" w:fill="FFFFFF"/>
            </w:rPr>
            <w:t xml:space="preserve">  </w:t>
          </w:r>
        </w:sdtContent>
      </w:sdt>
      <w:bookmarkEnd w:id="0"/>
      <w:r w:rsidR="005C185C">
        <w:t xml:space="preserve"> </w:t>
      </w:r>
    </w:p>
    <w:tbl>
      <w:tblPr>
        <w:tblW w:w="9073" w:type="dxa"/>
        <w:tblLayout w:type="fixed"/>
        <w:tblLook w:val="01E0" w:firstRow="1" w:lastRow="1" w:firstColumn="1" w:lastColumn="1" w:noHBand="0" w:noVBand="0"/>
        <w:tblCaption w:val="Cover Table"/>
        <w:tblDescription w:val="Cover Table"/>
      </w:tblPr>
      <w:tblGrid>
        <w:gridCol w:w="3084"/>
        <w:gridCol w:w="5989"/>
      </w:tblGrid>
      <w:tr w:rsidR="00395B24" w14:paraId="689DD5EA" w14:textId="77777777" w:rsidTr="005C5B82">
        <w:tc>
          <w:tcPr>
            <w:tcW w:w="3084" w:type="dxa"/>
            <w:shd w:val="clear" w:color="auto" w:fill="auto"/>
          </w:tcPr>
          <w:p w14:paraId="5C25FB6B" w14:textId="77777777" w:rsidR="00395B24" w:rsidRDefault="002C7385" w:rsidP="00663878">
            <w:pPr>
              <w:pStyle w:val="Normal1linespace"/>
              <w:widowControl w:val="0"/>
              <w:jc w:val="left"/>
            </w:pPr>
            <w:r>
              <w:t>File number(s):</w:t>
            </w:r>
          </w:p>
        </w:tc>
        <w:tc>
          <w:tcPr>
            <w:tcW w:w="5989" w:type="dxa"/>
            <w:shd w:val="clear" w:color="auto" w:fill="auto"/>
          </w:tcPr>
          <w:p w14:paraId="382B1A54" w14:textId="77777777" w:rsidR="00395B24" w:rsidRPr="005C5B82" w:rsidRDefault="00452739" w:rsidP="005C5B82">
            <w:pPr>
              <w:pStyle w:val="Normal1linespace"/>
              <w:jc w:val="left"/>
            </w:pPr>
            <w:r>
              <w:fldChar w:fldCharType="begin" w:fldLock="1"/>
            </w:r>
            <w:r>
              <w:instrText xml:space="preserve"> REF  FileNo  \* MERGEFORMAT </w:instrText>
            </w:r>
            <w:r>
              <w:fldChar w:fldCharType="separate"/>
            </w:r>
            <w:r w:rsidR="005C5B82" w:rsidRPr="005C5B82">
              <w:t>QUD 106 of 2023</w:t>
            </w:r>
            <w:r>
              <w:fldChar w:fldCharType="end"/>
            </w:r>
          </w:p>
        </w:tc>
      </w:tr>
      <w:tr w:rsidR="00395B24" w14:paraId="6B9EBDB7" w14:textId="77777777" w:rsidTr="005C5B82">
        <w:tc>
          <w:tcPr>
            <w:tcW w:w="3084" w:type="dxa"/>
            <w:shd w:val="clear" w:color="auto" w:fill="auto"/>
          </w:tcPr>
          <w:p w14:paraId="0A246434" w14:textId="77777777" w:rsidR="00395B24" w:rsidRDefault="00395B24" w:rsidP="00663878">
            <w:pPr>
              <w:pStyle w:val="Normal1linespace"/>
              <w:widowControl w:val="0"/>
              <w:jc w:val="left"/>
            </w:pPr>
          </w:p>
        </w:tc>
        <w:tc>
          <w:tcPr>
            <w:tcW w:w="5989" w:type="dxa"/>
            <w:shd w:val="clear" w:color="auto" w:fill="auto"/>
          </w:tcPr>
          <w:p w14:paraId="3124CB79" w14:textId="77777777" w:rsidR="00395B24" w:rsidRDefault="00395B24" w:rsidP="00663878">
            <w:pPr>
              <w:pStyle w:val="Normal1linespace"/>
              <w:widowControl w:val="0"/>
              <w:jc w:val="left"/>
            </w:pPr>
          </w:p>
        </w:tc>
      </w:tr>
      <w:tr w:rsidR="00395B24" w14:paraId="78FD595C" w14:textId="77777777" w:rsidTr="005C5B82">
        <w:tc>
          <w:tcPr>
            <w:tcW w:w="3084" w:type="dxa"/>
            <w:shd w:val="clear" w:color="auto" w:fill="auto"/>
          </w:tcPr>
          <w:p w14:paraId="43E110BD" w14:textId="77777777" w:rsidR="00395B24" w:rsidRDefault="002C7385" w:rsidP="00663878">
            <w:pPr>
              <w:pStyle w:val="Normal1linespace"/>
              <w:widowControl w:val="0"/>
              <w:jc w:val="left"/>
            </w:pPr>
            <w:r>
              <w:t>Judg</w:t>
            </w:r>
            <w:r w:rsidR="005724F6">
              <w:t>ment of</w:t>
            </w:r>
            <w:r>
              <w:t>:</w:t>
            </w:r>
          </w:p>
        </w:tc>
        <w:tc>
          <w:tcPr>
            <w:tcW w:w="5989" w:type="dxa"/>
            <w:shd w:val="clear" w:color="auto" w:fill="auto"/>
          </w:tcPr>
          <w:p w14:paraId="2C4BF4DC" w14:textId="77777777" w:rsidR="00395B24" w:rsidRDefault="002C7385" w:rsidP="00663878">
            <w:pPr>
              <w:pStyle w:val="Normal1linespace"/>
              <w:widowControl w:val="0"/>
              <w:jc w:val="left"/>
              <w:rPr>
                <w:b/>
              </w:rPr>
            </w:pPr>
            <w:r w:rsidRPr="005C5B82">
              <w:rPr>
                <w:b/>
              </w:rPr>
              <w:fldChar w:fldCharType="begin" w:fldLock="1"/>
            </w:r>
            <w:r w:rsidRPr="005C5B82">
              <w:rPr>
                <w:b/>
              </w:rPr>
              <w:instrText xml:space="preserve"> REF  Judge  \* MERGEFORMAT </w:instrText>
            </w:r>
            <w:r w:rsidRPr="005C5B82">
              <w:rPr>
                <w:b/>
              </w:rPr>
              <w:fldChar w:fldCharType="separate"/>
            </w:r>
            <w:r w:rsidR="005C5B82" w:rsidRPr="005C5B82">
              <w:rPr>
                <w:b/>
                <w:caps/>
                <w:szCs w:val="24"/>
              </w:rPr>
              <w:t>SARAH C DERRINGTON J</w:t>
            </w:r>
            <w:r w:rsidRPr="005C5B82">
              <w:rPr>
                <w:b/>
              </w:rPr>
              <w:fldChar w:fldCharType="end"/>
            </w:r>
          </w:p>
        </w:tc>
      </w:tr>
      <w:tr w:rsidR="00395B24" w14:paraId="08E2036F" w14:textId="77777777" w:rsidTr="005C5B82">
        <w:tc>
          <w:tcPr>
            <w:tcW w:w="3084" w:type="dxa"/>
            <w:shd w:val="clear" w:color="auto" w:fill="auto"/>
          </w:tcPr>
          <w:p w14:paraId="2A5A1C87" w14:textId="77777777" w:rsidR="00395B24" w:rsidRDefault="00395B24" w:rsidP="00663878">
            <w:pPr>
              <w:pStyle w:val="Normal1linespace"/>
              <w:widowControl w:val="0"/>
              <w:jc w:val="left"/>
            </w:pPr>
          </w:p>
        </w:tc>
        <w:tc>
          <w:tcPr>
            <w:tcW w:w="5989" w:type="dxa"/>
            <w:shd w:val="clear" w:color="auto" w:fill="auto"/>
          </w:tcPr>
          <w:p w14:paraId="5E05357E" w14:textId="77777777" w:rsidR="00395B24" w:rsidRDefault="00395B24" w:rsidP="00663878">
            <w:pPr>
              <w:pStyle w:val="Normal1linespace"/>
              <w:widowControl w:val="0"/>
              <w:jc w:val="left"/>
            </w:pPr>
          </w:p>
        </w:tc>
      </w:tr>
      <w:tr w:rsidR="00395B24" w14:paraId="4D79551E" w14:textId="77777777" w:rsidTr="005C5B82">
        <w:tc>
          <w:tcPr>
            <w:tcW w:w="3084" w:type="dxa"/>
            <w:shd w:val="clear" w:color="auto" w:fill="auto"/>
          </w:tcPr>
          <w:p w14:paraId="61AA78F0" w14:textId="77777777" w:rsidR="00395B24" w:rsidRDefault="002C7385" w:rsidP="00663878">
            <w:pPr>
              <w:pStyle w:val="Normal1linespace"/>
              <w:widowControl w:val="0"/>
              <w:jc w:val="left"/>
            </w:pPr>
            <w:r>
              <w:t>Date of judgment:</w:t>
            </w:r>
          </w:p>
        </w:tc>
        <w:tc>
          <w:tcPr>
            <w:tcW w:w="5989" w:type="dxa"/>
            <w:shd w:val="clear" w:color="auto" w:fill="auto"/>
          </w:tcPr>
          <w:p w14:paraId="63EE7131" w14:textId="38CBC6BD" w:rsidR="00395B24" w:rsidRDefault="00BE1D1C" w:rsidP="00663878">
            <w:pPr>
              <w:pStyle w:val="Normal1linespace"/>
              <w:widowControl w:val="0"/>
              <w:jc w:val="left"/>
            </w:pPr>
            <w:bookmarkStart w:id="1" w:name="JudgmentDate"/>
            <w:r>
              <w:t xml:space="preserve">29 May </w:t>
            </w:r>
            <w:r w:rsidR="005C5B82">
              <w:t>2023</w:t>
            </w:r>
            <w:bookmarkEnd w:id="1"/>
          </w:p>
        </w:tc>
      </w:tr>
      <w:tr w:rsidR="00395B24" w14:paraId="411591A2" w14:textId="77777777" w:rsidTr="005C5B82">
        <w:tc>
          <w:tcPr>
            <w:tcW w:w="3084" w:type="dxa"/>
            <w:shd w:val="clear" w:color="auto" w:fill="auto"/>
          </w:tcPr>
          <w:p w14:paraId="42C34474" w14:textId="77777777" w:rsidR="00395B24" w:rsidRDefault="00395B24" w:rsidP="00663878">
            <w:pPr>
              <w:pStyle w:val="Normal1linespace"/>
              <w:widowControl w:val="0"/>
              <w:jc w:val="left"/>
            </w:pPr>
          </w:p>
        </w:tc>
        <w:tc>
          <w:tcPr>
            <w:tcW w:w="5989" w:type="dxa"/>
            <w:shd w:val="clear" w:color="auto" w:fill="auto"/>
          </w:tcPr>
          <w:p w14:paraId="5825E6D6" w14:textId="77777777" w:rsidR="00395B24" w:rsidRDefault="00395B24" w:rsidP="00663878">
            <w:pPr>
              <w:pStyle w:val="Normal1linespace"/>
              <w:widowControl w:val="0"/>
              <w:jc w:val="left"/>
            </w:pPr>
          </w:p>
        </w:tc>
      </w:tr>
      <w:tr w:rsidR="00395B24" w14:paraId="371494C0" w14:textId="77777777" w:rsidTr="005C5B82">
        <w:tc>
          <w:tcPr>
            <w:tcW w:w="3084" w:type="dxa"/>
            <w:shd w:val="clear" w:color="auto" w:fill="auto"/>
          </w:tcPr>
          <w:p w14:paraId="7380D149" w14:textId="77777777" w:rsidR="00395B24" w:rsidRDefault="002C7385" w:rsidP="00663878">
            <w:pPr>
              <w:pStyle w:val="Normal1linespace"/>
              <w:widowControl w:val="0"/>
              <w:jc w:val="left"/>
            </w:pPr>
            <w:r>
              <w:t>Catchwords:</w:t>
            </w:r>
          </w:p>
        </w:tc>
        <w:tc>
          <w:tcPr>
            <w:tcW w:w="5989" w:type="dxa"/>
            <w:shd w:val="clear" w:color="auto" w:fill="auto"/>
          </w:tcPr>
          <w:p w14:paraId="2FE9CAC4" w14:textId="2AC5D8D9" w:rsidR="00395B24" w:rsidRDefault="00336A02" w:rsidP="00336A02">
            <w:pPr>
              <w:pStyle w:val="Normal1linespace"/>
              <w:widowControl w:val="0"/>
              <w:jc w:val="left"/>
            </w:pPr>
            <w:bookmarkStart w:id="2" w:name="Catchwords"/>
            <w:r>
              <w:rPr>
                <w:b/>
                <w:bCs/>
                <w:color w:val="000000"/>
                <w:bdr w:val="none" w:sz="0" w:space="0" w:color="auto" w:frame="1"/>
              </w:rPr>
              <w:t>PRACTICE AND PROCEDURE</w:t>
            </w:r>
            <w:r w:rsidR="00F17B57">
              <w:rPr>
                <w:b/>
                <w:bCs/>
                <w:color w:val="000000"/>
                <w:bdr w:val="none" w:sz="0" w:space="0" w:color="auto" w:frame="1"/>
              </w:rPr>
              <w:t xml:space="preserve"> </w:t>
            </w:r>
            <w:r w:rsidR="00F17B57" w:rsidRPr="00F17B57">
              <w:rPr>
                <w:bCs/>
                <w:color w:val="000000"/>
                <w:bdr w:val="none" w:sz="0" w:space="0" w:color="auto" w:frame="1"/>
              </w:rPr>
              <w:t>–</w:t>
            </w:r>
            <w:r w:rsidR="00F17B57">
              <w:rPr>
                <w:bCs/>
                <w:color w:val="000000"/>
                <w:bdr w:val="none" w:sz="0" w:space="0" w:color="auto" w:frame="1"/>
              </w:rPr>
              <w:t xml:space="preserve"> interlocutory application seeking leave to claim same relief in new proceedings pursuant to r 39.03(1)(b) of the </w:t>
            </w:r>
            <w:r w:rsidR="00F17B57">
              <w:rPr>
                <w:bCs/>
                <w:i/>
                <w:color w:val="000000"/>
                <w:bdr w:val="none" w:sz="0" w:space="0" w:color="auto" w:frame="1"/>
              </w:rPr>
              <w:t xml:space="preserve">Federal Court Rules 2011 </w:t>
            </w:r>
            <w:r w:rsidR="00F17B57">
              <w:rPr>
                <w:bCs/>
                <w:color w:val="000000"/>
                <w:bdr w:val="none" w:sz="0" w:space="0" w:color="auto" w:frame="1"/>
              </w:rPr>
              <w:t>(</w:t>
            </w:r>
            <w:proofErr w:type="spellStart"/>
            <w:r w:rsidR="00F17B57">
              <w:rPr>
                <w:bCs/>
                <w:color w:val="000000"/>
                <w:bdr w:val="none" w:sz="0" w:space="0" w:color="auto" w:frame="1"/>
              </w:rPr>
              <w:t>Cth</w:t>
            </w:r>
            <w:proofErr w:type="spellEnd"/>
            <w:r w:rsidR="00F17B57">
              <w:rPr>
                <w:bCs/>
                <w:color w:val="000000"/>
                <w:bdr w:val="none" w:sz="0" w:space="0" w:color="auto" w:frame="1"/>
              </w:rPr>
              <w:t xml:space="preserve">) </w:t>
            </w:r>
            <w:r w:rsidR="00D60164">
              <w:rPr>
                <w:bCs/>
                <w:color w:val="000000"/>
                <w:bdr w:val="none" w:sz="0" w:space="0" w:color="auto" w:frame="1"/>
              </w:rPr>
              <w:t xml:space="preserve">– where previous proceedings were dismissed for failure to comply with security </w:t>
            </w:r>
            <w:r w:rsidR="00CD6C19">
              <w:rPr>
                <w:bCs/>
                <w:color w:val="000000"/>
                <w:bdr w:val="none" w:sz="0" w:space="0" w:color="auto" w:frame="1"/>
              </w:rPr>
              <w:t>for</w:t>
            </w:r>
            <w:r w:rsidR="00D60164">
              <w:rPr>
                <w:bCs/>
                <w:color w:val="000000"/>
                <w:bdr w:val="none" w:sz="0" w:space="0" w:color="auto" w:frame="1"/>
              </w:rPr>
              <w:t xml:space="preserve"> costs order</w:t>
            </w:r>
            <w:r w:rsidR="005063C1">
              <w:rPr>
                <w:bCs/>
                <w:color w:val="000000"/>
                <w:bdr w:val="none" w:sz="0" w:space="0" w:color="auto" w:frame="1"/>
              </w:rPr>
              <w:t xml:space="preserve"> – where there has been no mat</w:t>
            </w:r>
            <w:r w:rsidR="00B835EC">
              <w:rPr>
                <w:bCs/>
                <w:color w:val="000000"/>
                <w:bdr w:val="none" w:sz="0" w:space="0" w:color="auto" w:frame="1"/>
              </w:rPr>
              <w:t xml:space="preserve">erial change in circumstances – where </w:t>
            </w:r>
            <w:r w:rsidR="00B835EC" w:rsidRPr="00B835EC">
              <w:rPr>
                <w:bCs/>
                <w:color w:val="000000"/>
                <w:bdr w:val="none" w:sz="0" w:space="0" w:color="auto" w:frame="1"/>
              </w:rPr>
              <w:t>the applicant remains impecunious – where applicant has outstanding costs orders – where respondent suffers prejudice – whether applicant should be shut out from making a proper claim – where new application for same relief may be brought in different circumstances – application dismissed</w:t>
            </w:r>
            <w:r w:rsidR="002C7385">
              <w:t xml:space="preserve"> </w:t>
            </w:r>
            <w:bookmarkEnd w:id="2"/>
          </w:p>
        </w:tc>
      </w:tr>
      <w:tr w:rsidR="00395B24" w14:paraId="3BBB89C8" w14:textId="77777777" w:rsidTr="005C5B82">
        <w:tc>
          <w:tcPr>
            <w:tcW w:w="3084" w:type="dxa"/>
            <w:shd w:val="clear" w:color="auto" w:fill="auto"/>
          </w:tcPr>
          <w:p w14:paraId="2B9B5188" w14:textId="77777777" w:rsidR="00395B24" w:rsidRDefault="00395B24" w:rsidP="00663878">
            <w:pPr>
              <w:pStyle w:val="Normal1linespace"/>
              <w:widowControl w:val="0"/>
              <w:jc w:val="left"/>
            </w:pPr>
          </w:p>
        </w:tc>
        <w:tc>
          <w:tcPr>
            <w:tcW w:w="5989" w:type="dxa"/>
            <w:shd w:val="clear" w:color="auto" w:fill="auto"/>
          </w:tcPr>
          <w:p w14:paraId="0093A8B3" w14:textId="77777777" w:rsidR="00395B24" w:rsidRDefault="00395B24" w:rsidP="00663878">
            <w:pPr>
              <w:pStyle w:val="Normal1linespace"/>
              <w:widowControl w:val="0"/>
              <w:jc w:val="left"/>
            </w:pPr>
          </w:p>
        </w:tc>
      </w:tr>
      <w:tr w:rsidR="00395B24" w14:paraId="3A6EDB8F" w14:textId="77777777" w:rsidTr="005C5B82">
        <w:tc>
          <w:tcPr>
            <w:tcW w:w="3084" w:type="dxa"/>
            <w:shd w:val="clear" w:color="auto" w:fill="auto"/>
          </w:tcPr>
          <w:p w14:paraId="24A1A4B0" w14:textId="77777777" w:rsidR="00395B24" w:rsidRDefault="002C7385" w:rsidP="00663878">
            <w:pPr>
              <w:pStyle w:val="Normal1linespace"/>
              <w:widowControl w:val="0"/>
              <w:jc w:val="left"/>
            </w:pPr>
            <w:r>
              <w:t>Legislation:</w:t>
            </w:r>
          </w:p>
        </w:tc>
        <w:tc>
          <w:tcPr>
            <w:tcW w:w="5989" w:type="dxa"/>
            <w:shd w:val="clear" w:color="auto" w:fill="auto"/>
          </w:tcPr>
          <w:p w14:paraId="3771831F" w14:textId="67C71B89" w:rsidR="005662B3" w:rsidRDefault="005662B3" w:rsidP="005662B3">
            <w:pPr>
              <w:pStyle w:val="CasesLegislationAppealFrom"/>
              <w:spacing w:after="60"/>
            </w:pPr>
            <w:bookmarkStart w:id="3" w:name="Legislation"/>
            <w:r w:rsidRPr="005662B3">
              <w:rPr>
                <w:i/>
              </w:rPr>
              <w:t>Federal Court of Australia Act 1976</w:t>
            </w:r>
            <w:r w:rsidRPr="005662B3">
              <w:t xml:space="preserve"> (</w:t>
            </w:r>
            <w:proofErr w:type="spellStart"/>
            <w:r w:rsidRPr="005662B3">
              <w:t>Cth</w:t>
            </w:r>
            <w:proofErr w:type="spellEnd"/>
            <w:r w:rsidRPr="005662B3">
              <w:t>)</w:t>
            </w:r>
            <w:r w:rsidR="00912EA3">
              <w:t xml:space="preserve"> s 56</w:t>
            </w:r>
            <w:r>
              <w:t>(4)</w:t>
            </w:r>
          </w:p>
          <w:p w14:paraId="6837A982" w14:textId="3E3C126E" w:rsidR="00395B24" w:rsidRPr="005662B3" w:rsidRDefault="005662B3" w:rsidP="005662B3">
            <w:pPr>
              <w:pStyle w:val="CasesLegislationAppealFrom"/>
              <w:spacing w:after="60"/>
            </w:pPr>
            <w:r w:rsidRPr="005662B3">
              <w:rPr>
                <w:i/>
              </w:rPr>
              <w:t>Federal Court Rules</w:t>
            </w:r>
            <w:r w:rsidRPr="005662B3">
              <w:t xml:space="preserve"> </w:t>
            </w:r>
            <w:r w:rsidRPr="005662B3">
              <w:rPr>
                <w:i/>
              </w:rPr>
              <w:t xml:space="preserve">2011 </w:t>
            </w:r>
            <w:r w:rsidRPr="005662B3">
              <w:t>(</w:t>
            </w:r>
            <w:proofErr w:type="spellStart"/>
            <w:r w:rsidRPr="005662B3">
              <w:t>Cth</w:t>
            </w:r>
            <w:proofErr w:type="spellEnd"/>
            <w:r w:rsidRPr="005662B3">
              <w:t xml:space="preserve">) r 39.03 </w:t>
            </w:r>
            <w:bookmarkEnd w:id="3"/>
          </w:p>
        </w:tc>
      </w:tr>
      <w:tr w:rsidR="00395B24" w14:paraId="65F73091" w14:textId="77777777" w:rsidTr="005C5B82">
        <w:tc>
          <w:tcPr>
            <w:tcW w:w="3084" w:type="dxa"/>
            <w:shd w:val="clear" w:color="auto" w:fill="auto"/>
          </w:tcPr>
          <w:p w14:paraId="49E9D60A" w14:textId="77777777" w:rsidR="00395B24" w:rsidRDefault="00395B24" w:rsidP="00663878">
            <w:pPr>
              <w:pStyle w:val="Normal1linespace"/>
              <w:widowControl w:val="0"/>
              <w:jc w:val="left"/>
            </w:pPr>
          </w:p>
        </w:tc>
        <w:tc>
          <w:tcPr>
            <w:tcW w:w="5989" w:type="dxa"/>
            <w:shd w:val="clear" w:color="auto" w:fill="auto"/>
          </w:tcPr>
          <w:p w14:paraId="2AC51659" w14:textId="77777777" w:rsidR="00395B24" w:rsidRDefault="00395B24" w:rsidP="00663878">
            <w:pPr>
              <w:pStyle w:val="Normal1linespace"/>
              <w:widowControl w:val="0"/>
              <w:jc w:val="left"/>
            </w:pPr>
          </w:p>
        </w:tc>
      </w:tr>
      <w:tr w:rsidR="00395B24" w14:paraId="77E188F2" w14:textId="77777777" w:rsidTr="005C5B82">
        <w:tc>
          <w:tcPr>
            <w:tcW w:w="3084" w:type="dxa"/>
            <w:shd w:val="clear" w:color="auto" w:fill="auto"/>
          </w:tcPr>
          <w:p w14:paraId="570F1B84" w14:textId="77777777" w:rsidR="00395B24" w:rsidRDefault="002C7385" w:rsidP="00663878">
            <w:pPr>
              <w:pStyle w:val="Normal1linespace"/>
              <w:widowControl w:val="0"/>
              <w:jc w:val="left"/>
            </w:pPr>
            <w:r>
              <w:t>Cases cited:</w:t>
            </w:r>
          </w:p>
        </w:tc>
        <w:tc>
          <w:tcPr>
            <w:tcW w:w="5989" w:type="dxa"/>
            <w:shd w:val="clear" w:color="auto" w:fill="auto"/>
          </w:tcPr>
          <w:p w14:paraId="6F06CE4D" w14:textId="77777777" w:rsidR="005662B3" w:rsidRPr="005662B3" w:rsidRDefault="005662B3" w:rsidP="005662B3">
            <w:pPr>
              <w:pStyle w:val="CasesLegislationAppealFrom"/>
              <w:spacing w:after="60"/>
            </w:pPr>
            <w:bookmarkStart w:id="4" w:name="Cases_Cited"/>
            <w:proofErr w:type="spellStart"/>
            <w:r w:rsidRPr="005662B3">
              <w:rPr>
                <w:i/>
              </w:rPr>
              <w:t>Idoport</w:t>
            </w:r>
            <w:proofErr w:type="spellEnd"/>
            <w:r w:rsidRPr="005662B3">
              <w:rPr>
                <w:i/>
              </w:rPr>
              <w:t xml:space="preserve"> Pty Limited v National Australia Bank Ltd</w:t>
            </w:r>
            <w:r w:rsidRPr="005662B3">
              <w:t xml:space="preserve"> [2002] NSWSC 18</w:t>
            </w:r>
          </w:p>
          <w:p w14:paraId="73255C80" w14:textId="77777777" w:rsidR="005662B3" w:rsidRPr="005662B3" w:rsidRDefault="005662B3" w:rsidP="005662B3">
            <w:pPr>
              <w:pStyle w:val="CasesLegislationAppealFrom"/>
              <w:spacing w:after="60"/>
            </w:pPr>
            <w:r w:rsidRPr="005662B3">
              <w:rPr>
                <w:i/>
              </w:rPr>
              <w:t xml:space="preserve">Skinner v Commonwealth of Australia </w:t>
            </w:r>
            <w:r w:rsidRPr="005662B3">
              <w:t>[2012] FCA 1194</w:t>
            </w:r>
          </w:p>
          <w:p w14:paraId="799F85EB" w14:textId="7B5A9681" w:rsidR="00395B24" w:rsidRPr="005662B3" w:rsidRDefault="005662B3" w:rsidP="005662B3">
            <w:pPr>
              <w:pStyle w:val="CasesLegislationAppealFrom"/>
              <w:spacing w:after="60"/>
            </w:pPr>
            <w:r w:rsidRPr="005662B3">
              <w:rPr>
                <w:i/>
              </w:rPr>
              <w:t>Sunshine Energy Australia Pty Ltd v Youssef</w:t>
            </w:r>
            <w:r w:rsidRPr="005662B3">
              <w:t xml:space="preserve"> [2023] FCA 189</w:t>
            </w:r>
            <w:bookmarkEnd w:id="4"/>
          </w:p>
        </w:tc>
      </w:tr>
      <w:tr w:rsidR="005C5B82" w14:paraId="65F12F5B" w14:textId="77777777" w:rsidTr="005C5B82">
        <w:tc>
          <w:tcPr>
            <w:tcW w:w="3084" w:type="dxa"/>
            <w:shd w:val="clear" w:color="auto" w:fill="auto"/>
          </w:tcPr>
          <w:p w14:paraId="224FA06E" w14:textId="77777777" w:rsidR="005C5B82" w:rsidRDefault="005C5B82" w:rsidP="00066028">
            <w:pPr>
              <w:pStyle w:val="Normal1linespace"/>
              <w:widowControl w:val="0"/>
            </w:pPr>
          </w:p>
        </w:tc>
        <w:tc>
          <w:tcPr>
            <w:tcW w:w="5989" w:type="dxa"/>
            <w:shd w:val="clear" w:color="auto" w:fill="auto"/>
          </w:tcPr>
          <w:p w14:paraId="63CA60D1" w14:textId="77777777" w:rsidR="005C5B82" w:rsidRDefault="005C5B82" w:rsidP="00066028">
            <w:pPr>
              <w:pStyle w:val="Normal1linespace"/>
              <w:widowControl w:val="0"/>
              <w:jc w:val="left"/>
            </w:pPr>
          </w:p>
        </w:tc>
      </w:tr>
      <w:tr w:rsidR="005C5B82" w14:paraId="263866BF" w14:textId="77777777" w:rsidTr="005C5B82">
        <w:tc>
          <w:tcPr>
            <w:tcW w:w="3084" w:type="dxa"/>
            <w:shd w:val="clear" w:color="auto" w:fill="auto"/>
          </w:tcPr>
          <w:p w14:paraId="70B29271" w14:textId="77777777" w:rsidR="005C5B82" w:rsidRDefault="005C5B82" w:rsidP="00501A12">
            <w:pPr>
              <w:pStyle w:val="Normal1linespace"/>
              <w:widowControl w:val="0"/>
            </w:pPr>
            <w:r>
              <w:t>Division:</w:t>
            </w:r>
          </w:p>
        </w:tc>
        <w:tc>
          <w:tcPr>
            <w:tcW w:w="5989" w:type="dxa"/>
            <w:shd w:val="clear" w:color="auto" w:fill="auto"/>
          </w:tcPr>
          <w:p w14:paraId="0DA8F7D5" w14:textId="77777777" w:rsidR="005C5B82" w:rsidRPr="00F17599" w:rsidRDefault="00452739" w:rsidP="00501A12">
            <w:pPr>
              <w:pStyle w:val="Normal1linespace"/>
              <w:widowControl w:val="0"/>
              <w:jc w:val="left"/>
            </w:pPr>
            <w:r>
              <w:fldChar w:fldCharType="begin"/>
            </w:r>
            <w:r>
              <w:instrText xml:space="preserve"> DOCPROPERTY  Division </w:instrText>
            </w:r>
            <w:r>
              <w:fldChar w:fldCharType="separate"/>
            </w:r>
            <w:r w:rsidR="005C5B82">
              <w:t>General Division</w:t>
            </w:r>
            <w:r>
              <w:fldChar w:fldCharType="end"/>
            </w:r>
          </w:p>
        </w:tc>
      </w:tr>
      <w:tr w:rsidR="005C5B82" w14:paraId="2640F7C1" w14:textId="77777777" w:rsidTr="005C5B82">
        <w:tc>
          <w:tcPr>
            <w:tcW w:w="3084" w:type="dxa"/>
            <w:shd w:val="clear" w:color="auto" w:fill="auto"/>
          </w:tcPr>
          <w:p w14:paraId="5CCA61FC" w14:textId="77777777" w:rsidR="005C5B82" w:rsidRDefault="005C5B82" w:rsidP="00501A12">
            <w:pPr>
              <w:pStyle w:val="Normal1linespace"/>
              <w:widowControl w:val="0"/>
            </w:pPr>
            <w:bookmarkStart w:id="5" w:name="Registry_rows" w:colFirst="0" w:colLast="1"/>
          </w:p>
        </w:tc>
        <w:tc>
          <w:tcPr>
            <w:tcW w:w="5989" w:type="dxa"/>
            <w:shd w:val="clear" w:color="auto" w:fill="auto"/>
          </w:tcPr>
          <w:p w14:paraId="5B1DEE04" w14:textId="77777777" w:rsidR="005C5B82" w:rsidRDefault="005C5B82" w:rsidP="00501A12">
            <w:pPr>
              <w:pStyle w:val="Normal1linespace"/>
              <w:widowControl w:val="0"/>
              <w:jc w:val="left"/>
            </w:pPr>
          </w:p>
        </w:tc>
      </w:tr>
      <w:tr w:rsidR="005C5B82" w14:paraId="150DD934" w14:textId="77777777" w:rsidTr="005C5B82">
        <w:tc>
          <w:tcPr>
            <w:tcW w:w="3084" w:type="dxa"/>
            <w:shd w:val="clear" w:color="auto" w:fill="auto"/>
          </w:tcPr>
          <w:p w14:paraId="256D7AF6" w14:textId="77777777" w:rsidR="005C5B82" w:rsidRDefault="005C5B82" w:rsidP="00501A12">
            <w:pPr>
              <w:pStyle w:val="Normal1linespace"/>
              <w:widowControl w:val="0"/>
            </w:pPr>
            <w:r>
              <w:t>Registry:</w:t>
            </w:r>
          </w:p>
        </w:tc>
        <w:tc>
          <w:tcPr>
            <w:tcW w:w="5989" w:type="dxa"/>
            <w:shd w:val="clear" w:color="auto" w:fill="auto"/>
          </w:tcPr>
          <w:p w14:paraId="7412ECA8" w14:textId="77777777" w:rsidR="005C5B82" w:rsidRPr="00F17599" w:rsidRDefault="00452739" w:rsidP="00501A12">
            <w:pPr>
              <w:pStyle w:val="Normal1linespace"/>
              <w:widowControl w:val="0"/>
              <w:jc w:val="left"/>
            </w:pPr>
            <w:r>
              <w:fldChar w:fldCharType="begin"/>
            </w:r>
            <w:r>
              <w:instrText xml:space="preserve"> DOCPROPERTY  Registry </w:instrText>
            </w:r>
            <w:r>
              <w:fldChar w:fldCharType="separate"/>
            </w:r>
            <w:r w:rsidR="005C5B82">
              <w:t>Queensland</w:t>
            </w:r>
            <w:r>
              <w:fldChar w:fldCharType="end"/>
            </w:r>
          </w:p>
        </w:tc>
      </w:tr>
      <w:tr w:rsidR="005C5B82" w14:paraId="56990845" w14:textId="77777777" w:rsidTr="005C5B82">
        <w:tc>
          <w:tcPr>
            <w:tcW w:w="3084" w:type="dxa"/>
            <w:shd w:val="clear" w:color="auto" w:fill="auto"/>
          </w:tcPr>
          <w:p w14:paraId="4F525038" w14:textId="77777777" w:rsidR="005C5B82" w:rsidRDefault="005C5B82" w:rsidP="00501A12">
            <w:pPr>
              <w:pStyle w:val="Normal1linespace"/>
              <w:widowControl w:val="0"/>
            </w:pPr>
            <w:bookmarkStart w:id="6" w:name="NPARow" w:colFirst="0" w:colLast="1"/>
            <w:bookmarkEnd w:id="5"/>
          </w:p>
        </w:tc>
        <w:tc>
          <w:tcPr>
            <w:tcW w:w="5989" w:type="dxa"/>
            <w:shd w:val="clear" w:color="auto" w:fill="auto"/>
          </w:tcPr>
          <w:p w14:paraId="23DC5441" w14:textId="77777777" w:rsidR="005C5B82" w:rsidRPr="00F17599" w:rsidRDefault="005C5B82" w:rsidP="00501A12">
            <w:pPr>
              <w:pStyle w:val="Normal1linespace"/>
              <w:widowControl w:val="0"/>
              <w:jc w:val="left"/>
              <w:rPr>
                <w:b/>
              </w:rPr>
            </w:pPr>
          </w:p>
        </w:tc>
      </w:tr>
      <w:tr w:rsidR="005C5B82" w14:paraId="68E930F5" w14:textId="77777777" w:rsidTr="005C5B82">
        <w:tc>
          <w:tcPr>
            <w:tcW w:w="3084" w:type="dxa"/>
            <w:shd w:val="clear" w:color="auto" w:fill="auto"/>
          </w:tcPr>
          <w:p w14:paraId="47DF23EB" w14:textId="77777777" w:rsidR="005C5B82" w:rsidRDefault="005C5B82" w:rsidP="00501A12">
            <w:pPr>
              <w:pStyle w:val="Normal1linespace"/>
              <w:widowControl w:val="0"/>
            </w:pPr>
            <w:r>
              <w:t>National Practice Area:</w:t>
            </w:r>
          </w:p>
        </w:tc>
        <w:tc>
          <w:tcPr>
            <w:tcW w:w="5989" w:type="dxa"/>
            <w:shd w:val="clear" w:color="auto" w:fill="auto"/>
          </w:tcPr>
          <w:p w14:paraId="5671DAF1" w14:textId="77777777" w:rsidR="005C5B82" w:rsidRPr="00F17599" w:rsidRDefault="00452739" w:rsidP="00066028">
            <w:pPr>
              <w:pStyle w:val="Normal1linespace"/>
              <w:widowControl w:val="0"/>
              <w:jc w:val="left"/>
              <w:rPr>
                <w:b/>
              </w:rPr>
            </w:pPr>
            <w:r>
              <w:fldChar w:fldCharType="begin"/>
            </w:r>
            <w:r>
              <w:instrText xml:space="preserve"> DOCPROPERTY  "Practice Area"  \* MERGEFORMAT </w:instrText>
            </w:r>
            <w:r>
              <w:fldChar w:fldCharType="separate"/>
            </w:r>
            <w:r w:rsidR="005C5B82">
              <w:t>Commercial and Corporations</w:t>
            </w:r>
            <w:r>
              <w:fldChar w:fldCharType="end"/>
            </w:r>
          </w:p>
        </w:tc>
      </w:tr>
      <w:tr w:rsidR="005C5B82" w14:paraId="2598CF09" w14:textId="77777777" w:rsidTr="005C5B82">
        <w:tc>
          <w:tcPr>
            <w:tcW w:w="3084" w:type="dxa"/>
            <w:shd w:val="clear" w:color="auto" w:fill="auto"/>
          </w:tcPr>
          <w:p w14:paraId="550805F0" w14:textId="77777777" w:rsidR="005C5B82" w:rsidRDefault="005C5B82" w:rsidP="00501A12">
            <w:pPr>
              <w:pStyle w:val="Normal1linespace"/>
              <w:widowControl w:val="0"/>
            </w:pPr>
            <w:bookmarkStart w:id="7" w:name="SubAreaRow" w:colFirst="0" w:colLast="1"/>
            <w:bookmarkEnd w:id="6"/>
          </w:p>
        </w:tc>
        <w:tc>
          <w:tcPr>
            <w:tcW w:w="5989" w:type="dxa"/>
            <w:shd w:val="clear" w:color="auto" w:fill="auto"/>
          </w:tcPr>
          <w:p w14:paraId="2FD8A759" w14:textId="77777777" w:rsidR="005C5B82" w:rsidRDefault="005C5B82" w:rsidP="00066028">
            <w:pPr>
              <w:pStyle w:val="Normal1linespace"/>
              <w:widowControl w:val="0"/>
              <w:jc w:val="left"/>
            </w:pPr>
          </w:p>
        </w:tc>
      </w:tr>
      <w:tr w:rsidR="005C5B82" w14:paraId="1C5D22B0" w14:textId="77777777" w:rsidTr="005C5B82">
        <w:tc>
          <w:tcPr>
            <w:tcW w:w="3084" w:type="dxa"/>
            <w:shd w:val="clear" w:color="auto" w:fill="auto"/>
          </w:tcPr>
          <w:p w14:paraId="724B4D9B" w14:textId="77777777" w:rsidR="005C5B82" w:rsidRDefault="005C5B82" w:rsidP="00501A12">
            <w:pPr>
              <w:pStyle w:val="Normal1linespace"/>
              <w:widowControl w:val="0"/>
            </w:pPr>
            <w:r>
              <w:t>Sub-area:</w:t>
            </w:r>
          </w:p>
        </w:tc>
        <w:tc>
          <w:tcPr>
            <w:tcW w:w="5989" w:type="dxa"/>
            <w:shd w:val="clear" w:color="auto" w:fill="auto"/>
          </w:tcPr>
          <w:p w14:paraId="4DED1C22" w14:textId="77777777" w:rsidR="005C5B82" w:rsidRPr="00837288" w:rsidRDefault="00452739" w:rsidP="00066028">
            <w:pPr>
              <w:pStyle w:val="Normal1linespace"/>
              <w:widowControl w:val="0"/>
              <w:jc w:val="left"/>
            </w:pPr>
            <w:r>
              <w:fldChar w:fldCharType="begin"/>
            </w:r>
            <w:r>
              <w:instrText xml:space="preserve"> DOCPROPERTY  "Sub Area"  \* MERGEFORMAT </w:instrText>
            </w:r>
            <w:r>
              <w:fldChar w:fldCharType="separate"/>
            </w:r>
            <w:r w:rsidR="005C5B82" w:rsidRPr="005C5B82">
              <w:rPr>
                <w:lang w:val="en-US"/>
              </w:rPr>
              <w:t xml:space="preserve">Commercial Contracts, </w:t>
            </w:r>
            <w:r w:rsidR="005C5B82">
              <w:t>Banking, Finance and Insurance</w:t>
            </w:r>
            <w:r>
              <w:fldChar w:fldCharType="end"/>
            </w:r>
          </w:p>
        </w:tc>
      </w:tr>
      <w:bookmarkEnd w:id="7"/>
      <w:tr w:rsidR="005C5B82" w14:paraId="17DAE6BA" w14:textId="77777777" w:rsidTr="005C5B82">
        <w:tc>
          <w:tcPr>
            <w:tcW w:w="3084" w:type="dxa"/>
            <w:shd w:val="clear" w:color="auto" w:fill="auto"/>
          </w:tcPr>
          <w:p w14:paraId="3C0887B7" w14:textId="77777777" w:rsidR="005C5B82" w:rsidRDefault="005C5B82" w:rsidP="00501A12">
            <w:pPr>
              <w:pStyle w:val="Normal1linespace"/>
              <w:widowControl w:val="0"/>
            </w:pPr>
          </w:p>
        </w:tc>
        <w:tc>
          <w:tcPr>
            <w:tcW w:w="5989" w:type="dxa"/>
            <w:shd w:val="clear" w:color="auto" w:fill="auto"/>
          </w:tcPr>
          <w:p w14:paraId="2E4B3FCA" w14:textId="77777777" w:rsidR="005C5B82" w:rsidRDefault="005C5B82" w:rsidP="00501A12">
            <w:pPr>
              <w:pStyle w:val="Normal1linespace"/>
              <w:widowControl w:val="0"/>
              <w:jc w:val="left"/>
            </w:pPr>
          </w:p>
        </w:tc>
      </w:tr>
      <w:tr w:rsidR="005C5B82" w14:paraId="2DC4D44D" w14:textId="77777777" w:rsidTr="005C5B82">
        <w:tc>
          <w:tcPr>
            <w:tcW w:w="3084" w:type="dxa"/>
            <w:shd w:val="clear" w:color="auto" w:fill="auto"/>
          </w:tcPr>
          <w:p w14:paraId="43D225D7" w14:textId="77777777" w:rsidR="005C5B82" w:rsidRDefault="005C5B82" w:rsidP="00501A12">
            <w:pPr>
              <w:pStyle w:val="Normal1linespace"/>
              <w:widowControl w:val="0"/>
            </w:pPr>
            <w:r>
              <w:t>Number of paragraphs:</w:t>
            </w:r>
          </w:p>
        </w:tc>
        <w:tc>
          <w:tcPr>
            <w:tcW w:w="5989" w:type="dxa"/>
            <w:shd w:val="clear" w:color="auto" w:fill="auto"/>
          </w:tcPr>
          <w:p w14:paraId="700292C0" w14:textId="7EA02688" w:rsidR="005C5B82" w:rsidRDefault="005063C1" w:rsidP="00501A12">
            <w:pPr>
              <w:pStyle w:val="Normal1linespace"/>
              <w:widowControl w:val="0"/>
              <w:jc w:val="left"/>
            </w:pPr>
            <w:bookmarkStart w:id="8" w:name="PlaceCategoryParagraphs"/>
            <w:r>
              <w:t>33</w:t>
            </w:r>
            <w:bookmarkEnd w:id="8"/>
          </w:p>
        </w:tc>
      </w:tr>
      <w:tr w:rsidR="005C5B82" w14:paraId="01288105" w14:textId="77777777" w:rsidTr="005C5B82">
        <w:tc>
          <w:tcPr>
            <w:tcW w:w="3084" w:type="dxa"/>
            <w:shd w:val="clear" w:color="auto" w:fill="auto"/>
          </w:tcPr>
          <w:p w14:paraId="73114DE2" w14:textId="77777777" w:rsidR="005C5B82" w:rsidRDefault="005C5B82" w:rsidP="005C5B82">
            <w:pPr>
              <w:pStyle w:val="Normal1linespace"/>
              <w:widowControl w:val="0"/>
              <w:jc w:val="left"/>
            </w:pPr>
          </w:p>
        </w:tc>
        <w:tc>
          <w:tcPr>
            <w:tcW w:w="5989" w:type="dxa"/>
            <w:shd w:val="clear" w:color="auto" w:fill="auto"/>
          </w:tcPr>
          <w:p w14:paraId="79E5D4FA" w14:textId="77777777" w:rsidR="005C5B82" w:rsidRDefault="005C5B82" w:rsidP="005C5B82">
            <w:pPr>
              <w:pStyle w:val="Normal1linespace"/>
              <w:widowControl w:val="0"/>
              <w:jc w:val="left"/>
            </w:pPr>
          </w:p>
        </w:tc>
      </w:tr>
      <w:tr w:rsidR="005C5B82" w14:paraId="2025D855" w14:textId="77777777" w:rsidTr="005C5B82">
        <w:tc>
          <w:tcPr>
            <w:tcW w:w="3084" w:type="dxa"/>
            <w:shd w:val="clear" w:color="auto" w:fill="auto"/>
          </w:tcPr>
          <w:p w14:paraId="09EA5C96" w14:textId="77777777" w:rsidR="005C5B82" w:rsidRDefault="005C5B82" w:rsidP="005C5B82">
            <w:pPr>
              <w:pStyle w:val="Normal1linespace"/>
              <w:widowControl w:val="0"/>
              <w:jc w:val="left"/>
            </w:pPr>
            <w:bookmarkStart w:id="9" w:name="CounselDate" w:colFirst="0" w:colLast="2"/>
            <w:r w:rsidRPr="006A24E3">
              <w:t>Date of hearing:</w:t>
            </w:r>
          </w:p>
        </w:tc>
        <w:tc>
          <w:tcPr>
            <w:tcW w:w="5989" w:type="dxa"/>
            <w:shd w:val="clear" w:color="auto" w:fill="auto"/>
          </w:tcPr>
          <w:p w14:paraId="7EEE89B5" w14:textId="77777777" w:rsidR="005C5B82" w:rsidRDefault="005C5B82" w:rsidP="005C5B82">
            <w:pPr>
              <w:pStyle w:val="Normal1linespace"/>
              <w:widowControl w:val="0"/>
              <w:jc w:val="left"/>
            </w:pPr>
            <w:bookmarkStart w:id="10" w:name="HearingDate"/>
            <w:r>
              <w:t xml:space="preserve">29 May 2023 </w:t>
            </w:r>
            <w:bookmarkEnd w:id="10"/>
          </w:p>
        </w:tc>
      </w:tr>
      <w:tr w:rsidR="005C5B82" w14:paraId="7D67F10D" w14:textId="77777777" w:rsidTr="005C5B82">
        <w:tc>
          <w:tcPr>
            <w:tcW w:w="3084" w:type="dxa"/>
            <w:shd w:val="clear" w:color="auto" w:fill="auto"/>
          </w:tcPr>
          <w:p w14:paraId="66E90294" w14:textId="77777777" w:rsidR="005C5B82" w:rsidRDefault="005C5B82" w:rsidP="005C5B82">
            <w:pPr>
              <w:pStyle w:val="Normal1linespace"/>
              <w:widowControl w:val="0"/>
              <w:jc w:val="left"/>
            </w:pPr>
          </w:p>
        </w:tc>
        <w:tc>
          <w:tcPr>
            <w:tcW w:w="5989" w:type="dxa"/>
            <w:shd w:val="clear" w:color="auto" w:fill="auto"/>
          </w:tcPr>
          <w:p w14:paraId="1414CF78" w14:textId="77777777" w:rsidR="005C5B82" w:rsidRDefault="005C5B82" w:rsidP="005C5B82">
            <w:pPr>
              <w:pStyle w:val="Normal1linespace"/>
              <w:widowControl w:val="0"/>
              <w:jc w:val="left"/>
            </w:pPr>
          </w:p>
        </w:tc>
      </w:tr>
      <w:tr w:rsidR="005C5B82" w14:paraId="324D1E3F" w14:textId="77777777" w:rsidTr="00587861">
        <w:tc>
          <w:tcPr>
            <w:tcW w:w="3084" w:type="dxa"/>
            <w:shd w:val="clear" w:color="auto" w:fill="auto"/>
          </w:tcPr>
          <w:p w14:paraId="17978459" w14:textId="5C3972E6" w:rsidR="005C5B82" w:rsidRDefault="00587861" w:rsidP="005C5B82">
            <w:pPr>
              <w:pStyle w:val="Normal1linespace"/>
              <w:widowControl w:val="0"/>
              <w:jc w:val="left"/>
            </w:pPr>
            <w:bookmarkStart w:id="11" w:name="Counsel" w:colFirst="0" w:colLast="2"/>
            <w:bookmarkEnd w:id="9"/>
            <w:r>
              <w:t>Counsel for the Applicants:</w:t>
            </w:r>
          </w:p>
        </w:tc>
        <w:tc>
          <w:tcPr>
            <w:tcW w:w="5989" w:type="dxa"/>
            <w:shd w:val="clear" w:color="auto" w:fill="auto"/>
          </w:tcPr>
          <w:p w14:paraId="2ABD114A" w14:textId="6C4D5111" w:rsidR="005C5B82" w:rsidRDefault="00587861" w:rsidP="005C5B82">
            <w:pPr>
              <w:pStyle w:val="Normal1linespace"/>
              <w:widowControl w:val="0"/>
              <w:jc w:val="left"/>
            </w:pPr>
            <w:bookmarkStart w:id="12" w:name="AppCounsel"/>
            <w:bookmarkEnd w:id="12"/>
            <w:r>
              <w:t xml:space="preserve">Mr B Hall </w:t>
            </w:r>
          </w:p>
        </w:tc>
      </w:tr>
      <w:tr w:rsidR="00587861" w14:paraId="492C1DBE" w14:textId="77777777" w:rsidTr="00587861">
        <w:tc>
          <w:tcPr>
            <w:tcW w:w="3084" w:type="dxa"/>
            <w:shd w:val="clear" w:color="auto" w:fill="auto"/>
          </w:tcPr>
          <w:p w14:paraId="1AD0B217" w14:textId="77777777" w:rsidR="00587861" w:rsidRDefault="00587861" w:rsidP="005C5B82">
            <w:pPr>
              <w:pStyle w:val="Normal1linespace"/>
              <w:widowControl w:val="0"/>
              <w:jc w:val="left"/>
            </w:pPr>
          </w:p>
        </w:tc>
        <w:tc>
          <w:tcPr>
            <w:tcW w:w="5989" w:type="dxa"/>
            <w:shd w:val="clear" w:color="auto" w:fill="auto"/>
          </w:tcPr>
          <w:p w14:paraId="534CECFA" w14:textId="77777777" w:rsidR="00587861" w:rsidRDefault="00587861" w:rsidP="005C5B82">
            <w:pPr>
              <w:pStyle w:val="Normal1linespace"/>
              <w:widowControl w:val="0"/>
              <w:jc w:val="left"/>
            </w:pPr>
          </w:p>
        </w:tc>
      </w:tr>
      <w:tr w:rsidR="00587861" w14:paraId="72FC61CC" w14:textId="77777777" w:rsidTr="00587861">
        <w:tc>
          <w:tcPr>
            <w:tcW w:w="3084" w:type="dxa"/>
            <w:shd w:val="clear" w:color="auto" w:fill="auto"/>
          </w:tcPr>
          <w:p w14:paraId="56F68904" w14:textId="0C067AE5" w:rsidR="00587861" w:rsidRDefault="00587861" w:rsidP="005C5B82">
            <w:pPr>
              <w:pStyle w:val="Normal1linespace"/>
              <w:widowControl w:val="0"/>
              <w:jc w:val="left"/>
            </w:pPr>
            <w:r>
              <w:t>Solicitor for the Applicants:</w:t>
            </w:r>
          </w:p>
        </w:tc>
        <w:tc>
          <w:tcPr>
            <w:tcW w:w="5989" w:type="dxa"/>
            <w:shd w:val="clear" w:color="auto" w:fill="auto"/>
          </w:tcPr>
          <w:p w14:paraId="4AF34DCC" w14:textId="505B4F1C" w:rsidR="00587861" w:rsidRDefault="00587861" w:rsidP="005C5B82">
            <w:pPr>
              <w:pStyle w:val="Normal1linespace"/>
              <w:widowControl w:val="0"/>
              <w:jc w:val="left"/>
            </w:pPr>
            <w:proofErr w:type="spellStart"/>
            <w:r>
              <w:rPr>
                <w:color w:val="000000"/>
                <w:bdr w:val="none" w:sz="0" w:space="0" w:color="auto" w:frame="1"/>
                <w:shd w:val="clear" w:color="auto" w:fill="FFFFFF"/>
              </w:rPr>
              <w:t>Niren</w:t>
            </w:r>
            <w:proofErr w:type="spellEnd"/>
            <w:r>
              <w:rPr>
                <w:color w:val="000000"/>
                <w:bdr w:val="none" w:sz="0" w:space="0" w:color="auto" w:frame="1"/>
                <w:shd w:val="clear" w:color="auto" w:fill="FFFFFF"/>
              </w:rPr>
              <w:t> Raj Law Pty Ltd</w:t>
            </w:r>
          </w:p>
        </w:tc>
      </w:tr>
      <w:tr w:rsidR="00587861" w14:paraId="5CA12C6A" w14:textId="77777777" w:rsidTr="00587861">
        <w:tc>
          <w:tcPr>
            <w:tcW w:w="3084" w:type="dxa"/>
            <w:shd w:val="clear" w:color="auto" w:fill="auto"/>
          </w:tcPr>
          <w:p w14:paraId="45CD05A1" w14:textId="77777777" w:rsidR="00587861" w:rsidRDefault="00587861" w:rsidP="005C5B82">
            <w:pPr>
              <w:pStyle w:val="Normal1linespace"/>
              <w:widowControl w:val="0"/>
              <w:jc w:val="left"/>
            </w:pPr>
          </w:p>
        </w:tc>
        <w:tc>
          <w:tcPr>
            <w:tcW w:w="5989" w:type="dxa"/>
            <w:shd w:val="clear" w:color="auto" w:fill="auto"/>
          </w:tcPr>
          <w:p w14:paraId="655DDAD6" w14:textId="77777777" w:rsidR="00587861" w:rsidRDefault="00587861" w:rsidP="005C5B82">
            <w:pPr>
              <w:pStyle w:val="Normal1linespace"/>
              <w:widowControl w:val="0"/>
              <w:jc w:val="left"/>
              <w:rPr>
                <w:color w:val="000000"/>
                <w:bdr w:val="none" w:sz="0" w:space="0" w:color="auto" w:frame="1"/>
                <w:shd w:val="clear" w:color="auto" w:fill="FFFFFF"/>
              </w:rPr>
            </w:pPr>
          </w:p>
        </w:tc>
      </w:tr>
      <w:tr w:rsidR="00587861" w14:paraId="6464F9A6" w14:textId="77777777" w:rsidTr="00587861">
        <w:tc>
          <w:tcPr>
            <w:tcW w:w="3084" w:type="dxa"/>
            <w:shd w:val="clear" w:color="auto" w:fill="auto"/>
          </w:tcPr>
          <w:p w14:paraId="2BDD20B2" w14:textId="70D502F6" w:rsidR="00587861" w:rsidRDefault="00587861" w:rsidP="00587861">
            <w:pPr>
              <w:pStyle w:val="Normal1linespace"/>
              <w:widowControl w:val="0"/>
              <w:jc w:val="left"/>
            </w:pPr>
            <w:r>
              <w:lastRenderedPageBreak/>
              <w:t>Counsel for the First Respondent:</w:t>
            </w:r>
          </w:p>
        </w:tc>
        <w:tc>
          <w:tcPr>
            <w:tcW w:w="5989" w:type="dxa"/>
            <w:shd w:val="clear" w:color="auto" w:fill="auto"/>
          </w:tcPr>
          <w:p w14:paraId="5D3C10FF" w14:textId="74AB75D9" w:rsidR="00587861" w:rsidRDefault="00587861" w:rsidP="00587861">
            <w:pPr>
              <w:pStyle w:val="Normal1linespace"/>
              <w:widowControl w:val="0"/>
              <w:jc w:val="left"/>
              <w:rPr>
                <w:color w:val="000000"/>
                <w:bdr w:val="none" w:sz="0" w:space="0" w:color="auto" w:frame="1"/>
                <w:shd w:val="clear" w:color="auto" w:fill="FFFFFF"/>
              </w:rPr>
            </w:pPr>
            <w:r>
              <w:t xml:space="preserve">Mr N </w:t>
            </w:r>
            <w:proofErr w:type="spellStart"/>
            <w:r>
              <w:t>Furlan</w:t>
            </w:r>
            <w:proofErr w:type="spellEnd"/>
          </w:p>
        </w:tc>
      </w:tr>
      <w:tr w:rsidR="00587861" w14:paraId="4B053EB9" w14:textId="77777777" w:rsidTr="00587861">
        <w:tc>
          <w:tcPr>
            <w:tcW w:w="3084" w:type="dxa"/>
            <w:shd w:val="clear" w:color="auto" w:fill="auto"/>
          </w:tcPr>
          <w:p w14:paraId="1B56ACBA" w14:textId="77777777" w:rsidR="00587861" w:rsidRDefault="00587861" w:rsidP="00587861">
            <w:pPr>
              <w:pStyle w:val="Normal1linespace"/>
              <w:widowControl w:val="0"/>
              <w:jc w:val="left"/>
            </w:pPr>
          </w:p>
        </w:tc>
        <w:tc>
          <w:tcPr>
            <w:tcW w:w="5989" w:type="dxa"/>
            <w:shd w:val="clear" w:color="auto" w:fill="auto"/>
          </w:tcPr>
          <w:p w14:paraId="672D2C31" w14:textId="77777777" w:rsidR="00587861" w:rsidRDefault="00587861" w:rsidP="00587861">
            <w:pPr>
              <w:pStyle w:val="Normal1linespace"/>
              <w:widowControl w:val="0"/>
              <w:jc w:val="left"/>
            </w:pPr>
          </w:p>
        </w:tc>
      </w:tr>
      <w:tr w:rsidR="00587861" w14:paraId="43373C80" w14:textId="77777777" w:rsidTr="00587861">
        <w:tc>
          <w:tcPr>
            <w:tcW w:w="3084" w:type="dxa"/>
            <w:shd w:val="clear" w:color="auto" w:fill="auto"/>
          </w:tcPr>
          <w:p w14:paraId="1712AE09" w14:textId="3918E07A" w:rsidR="00587861" w:rsidRDefault="00587861" w:rsidP="00587861">
            <w:pPr>
              <w:pStyle w:val="Normal1linespace"/>
              <w:widowControl w:val="0"/>
              <w:jc w:val="left"/>
            </w:pPr>
            <w:r>
              <w:t>Solicitor for the First Respondent:</w:t>
            </w:r>
          </w:p>
        </w:tc>
        <w:tc>
          <w:tcPr>
            <w:tcW w:w="5989" w:type="dxa"/>
            <w:shd w:val="clear" w:color="auto" w:fill="auto"/>
          </w:tcPr>
          <w:p w14:paraId="42AB5DB8" w14:textId="0A688A55" w:rsidR="00587861" w:rsidRDefault="00587861" w:rsidP="00587861">
            <w:pPr>
              <w:pStyle w:val="Normal1linespace"/>
              <w:widowControl w:val="0"/>
              <w:jc w:val="left"/>
            </w:pPr>
            <w:r>
              <w:t>Watson Webb</w:t>
            </w:r>
          </w:p>
        </w:tc>
      </w:tr>
      <w:tr w:rsidR="00587861" w14:paraId="741B0DC3" w14:textId="77777777" w:rsidTr="00587861">
        <w:tc>
          <w:tcPr>
            <w:tcW w:w="3084" w:type="dxa"/>
            <w:shd w:val="clear" w:color="auto" w:fill="auto"/>
          </w:tcPr>
          <w:p w14:paraId="4B30F481" w14:textId="77777777" w:rsidR="00587861" w:rsidRDefault="00587861" w:rsidP="00587861">
            <w:pPr>
              <w:pStyle w:val="Normal1linespace"/>
              <w:widowControl w:val="0"/>
              <w:jc w:val="left"/>
            </w:pPr>
          </w:p>
        </w:tc>
        <w:tc>
          <w:tcPr>
            <w:tcW w:w="5989" w:type="dxa"/>
            <w:shd w:val="clear" w:color="auto" w:fill="auto"/>
          </w:tcPr>
          <w:p w14:paraId="3020C464" w14:textId="77777777" w:rsidR="00587861" w:rsidRDefault="00587861" w:rsidP="00587861">
            <w:pPr>
              <w:pStyle w:val="Normal1linespace"/>
              <w:widowControl w:val="0"/>
              <w:jc w:val="left"/>
            </w:pPr>
          </w:p>
        </w:tc>
      </w:tr>
      <w:tr w:rsidR="00587861" w14:paraId="23DB1EBB" w14:textId="77777777" w:rsidTr="00587861">
        <w:tc>
          <w:tcPr>
            <w:tcW w:w="3084" w:type="dxa"/>
            <w:shd w:val="clear" w:color="auto" w:fill="auto"/>
          </w:tcPr>
          <w:p w14:paraId="3E6BCFEA" w14:textId="12BD7CAD" w:rsidR="00587861" w:rsidRDefault="00587861" w:rsidP="00587861">
            <w:pPr>
              <w:pStyle w:val="Normal1linespace"/>
              <w:widowControl w:val="0"/>
              <w:jc w:val="left"/>
            </w:pPr>
            <w:r>
              <w:t>Counsel for the Fifth Respondent:</w:t>
            </w:r>
          </w:p>
        </w:tc>
        <w:tc>
          <w:tcPr>
            <w:tcW w:w="5989" w:type="dxa"/>
            <w:shd w:val="clear" w:color="auto" w:fill="auto"/>
          </w:tcPr>
          <w:p w14:paraId="49141E4C" w14:textId="54883A0E" w:rsidR="00587861" w:rsidRDefault="00587861" w:rsidP="00587861">
            <w:pPr>
              <w:pStyle w:val="Normal1linespace"/>
              <w:widowControl w:val="0"/>
              <w:jc w:val="left"/>
            </w:pPr>
            <w:r>
              <w:t>Ms A Nicholas</w:t>
            </w:r>
          </w:p>
        </w:tc>
      </w:tr>
      <w:tr w:rsidR="00587861" w14:paraId="167F04D6" w14:textId="77777777" w:rsidTr="00587861">
        <w:tc>
          <w:tcPr>
            <w:tcW w:w="3084" w:type="dxa"/>
            <w:shd w:val="clear" w:color="auto" w:fill="auto"/>
          </w:tcPr>
          <w:p w14:paraId="7743C35C" w14:textId="77777777" w:rsidR="00587861" w:rsidRDefault="00587861" w:rsidP="00587861">
            <w:pPr>
              <w:pStyle w:val="Normal1linespace"/>
              <w:widowControl w:val="0"/>
              <w:jc w:val="left"/>
            </w:pPr>
          </w:p>
        </w:tc>
        <w:tc>
          <w:tcPr>
            <w:tcW w:w="5989" w:type="dxa"/>
            <w:shd w:val="clear" w:color="auto" w:fill="auto"/>
          </w:tcPr>
          <w:p w14:paraId="7DAAA4BE" w14:textId="77777777" w:rsidR="00587861" w:rsidRDefault="00587861" w:rsidP="00587861">
            <w:pPr>
              <w:pStyle w:val="Normal1linespace"/>
              <w:widowControl w:val="0"/>
              <w:jc w:val="left"/>
            </w:pPr>
          </w:p>
        </w:tc>
      </w:tr>
      <w:tr w:rsidR="00587861" w14:paraId="10015D8D" w14:textId="77777777" w:rsidTr="00587861">
        <w:tc>
          <w:tcPr>
            <w:tcW w:w="3084" w:type="dxa"/>
            <w:shd w:val="clear" w:color="auto" w:fill="auto"/>
          </w:tcPr>
          <w:p w14:paraId="24AF20EA" w14:textId="2C96D559" w:rsidR="00587861" w:rsidRDefault="00587861" w:rsidP="00587861">
            <w:pPr>
              <w:pStyle w:val="Normal1linespace"/>
              <w:widowControl w:val="0"/>
              <w:jc w:val="left"/>
            </w:pPr>
            <w:r>
              <w:t>Solicitor for the Fifth Respondent:</w:t>
            </w:r>
          </w:p>
        </w:tc>
        <w:tc>
          <w:tcPr>
            <w:tcW w:w="5989" w:type="dxa"/>
            <w:shd w:val="clear" w:color="auto" w:fill="auto"/>
          </w:tcPr>
          <w:p w14:paraId="6D8E87EC" w14:textId="72AD21CC" w:rsidR="00587861" w:rsidRDefault="00587861" w:rsidP="00587861">
            <w:pPr>
              <w:pStyle w:val="Normal1linespace"/>
              <w:widowControl w:val="0"/>
              <w:jc w:val="left"/>
            </w:pPr>
            <w:r>
              <w:t xml:space="preserve">Norton Rose Fulbright </w:t>
            </w:r>
          </w:p>
        </w:tc>
      </w:tr>
      <w:tr w:rsidR="00587861" w14:paraId="5CCB86E6" w14:textId="77777777" w:rsidTr="00587861">
        <w:tc>
          <w:tcPr>
            <w:tcW w:w="3084" w:type="dxa"/>
            <w:shd w:val="clear" w:color="auto" w:fill="auto"/>
          </w:tcPr>
          <w:p w14:paraId="04C658BB" w14:textId="77777777" w:rsidR="00587861" w:rsidRDefault="00587861" w:rsidP="00587861">
            <w:pPr>
              <w:pStyle w:val="Normal1linespace"/>
              <w:widowControl w:val="0"/>
              <w:jc w:val="left"/>
            </w:pPr>
          </w:p>
        </w:tc>
        <w:tc>
          <w:tcPr>
            <w:tcW w:w="5989" w:type="dxa"/>
            <w:shd w:val="clear" w:color="auto" w:fill="auto"/>
          </w:tcPr>
          <w:p w14:paraId="4846BCF3" w14:textId="77777777" w:rsidR="00587861" w:rsidRDefault="00587861" w:rsidP="00587861">
            <w:pPr>
              <w:pStyle w:val="Normal1linespace"/>
              <w:widowControl w:val="0"/>
              <w:jc w:val="left"/>
            </w:pPr>
          </w:p>
        </w:tc>
      </w:tr>
      <w:bookmarkEnd w:id="11"/>
    </w:tbl>
    <w:p w14:paraId="3DA21884" w14:textId="77777777" w:rsidR="00395B24" w:rsidRPr="00587861" w:rsidRDefault="00395B24" w:rsidP="00587861">
      <w:pPr>
        <w:sectPr w:rsidR="00395B24" w:rsidRPr="00587861" w:rsidSect="001F2473">
          <w:footerReference w:type="default" r:id="rId12"/>
          <w:endnotePr>
            <w:numFmt w:val="decimal"/>
          </w:endnotePr>
          <w:type w:val="continuous"/>
          <w:pgSz w:w="11907" w:h="16840" w:code="9"/>
          <w:pgMar w:top="1440" w:right="1440" w:bottom="1440" w:left="1440" w:header="851" w:footer="768" w:gutter="0"/>
          <w:pgNumType w:start="1"/>
          <w:cols w:space="720"/>
          <w:noEndnote/>
          <w:titlePg/>
        </w:sectPr>
      </w:pPr>
    </w:p>
    <w:p w14:paraId="45242735"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14:paraId="2385EB1F" w14:textId="77777777" w:rsidTr="00E81DA6">
        <w:tc>
          <w:tcPr>
            <w:tcW w:w="6912" w:type="dxa"/>
            <w:gridSpan w:val="2"/>
          </w:tcPr>
          <w:p w14:paraId="1700EFA7" w14:textId="77777777" w:rsidR="00A46CCC" w:rsidRPr="001765E0" w:rsidRDefault="00A46CCC" w:rsidP="00525A49">
            <w:pPr>
              <w:pStyle w:val="NormalHeadings"/>
            </w:pPr>
          </w:p>
        </w:tc>
        <w:tc>
          <w:tcPr>
            <w:tcW w:w="2330" w:type="dxa"/>
          </w:tcPr>
          <w:p w14:paraId="19F69384" w14:textId="77777777" w:rsidR="00A46CCC" w:rsidRDefault="005C5B82" w:rsidP="00F92355">
            <w:pPr>
              <w:pStyle w:val="NormalHeadings"/>
              <w:jc w:val="right"/>
            </w:pPr>
            <w:bookmarkStart w:id="13" w:name="FileNo"/>
            <w:r>
              <w:t>QUD 106 of 2023</w:t>
            </w:r>
            <w:bookmarkEnd w:id="13"/>
          </w:p>
        </w:tc>
      </w:tr>
      <w:tr w:rsidR="00A76C13" w14:paraId="2018868F" w14:textId="77777777" w:rsidTr="00066028">
        <w:tc>
          <w:tcPr>
            <w:tcW w:w="9242" w:type="dxa"/>
            <w:gridSpan w:val="3"/>
          </w:tcPr>
          <w:p w14:paraId="6399D8A1" w14:textId="77777777" w:rsidR="00A76C13" w:rsidRPr="00A76C13" w:rsidRDefault="005C5B82" w:rsidP="005C5B82">
            <w:pPr>
              <w:pStyle w:val="NormalHeadings"/>
              <w:jc w:val="left"/>
            </w:pPr>
            <w:bookmarkStart w:id="14" w:name="InTheMatterOf"/>
            <w:r>
              <w:t xml:space="preserve"> </w:t>
            </w:r>
            <w:bookmarkEnd w:id="14"/>
          </w:p>
        </w:tc>
      </w:tr>
      <w:tr w:rsidR="00A46CCC" w14:paraId="35B1ADFD" w14:textId="77777777" w:rsidTr="00066028">
        <w:trPr>
          <w:trHeight w:val="386"/>
        </w:trPr>
        <w:tc>
          <w:tcPr>
            <w:tcW w:w="2376" w:type="dxa"/>
          </w:tcPr>
          <w:p w14:paraId="67EEEF44" w14:textId="77777777" w:rsidR="00A46CCC" w:rsidRDefault="00A46CCC" w:rsidP="00066028">
            <w:pPr>
              <w:pStyle w:val="NormalHeadings"/>
              <w:jc w:val="left"/>
              <w:rPr>
                <w:caps/>
                <w:szCs w:val="24"/>
              </w:rPr>
            </w:pPr>
            <w:bookmarkStart w:id="15" w:name="Parties"/>
            <w:r>
              <w:rPr>
                <w:caps/>
                <w:szCs w:val="24"/>
              </w:rPr>
              <w:t>BETWEEN:</w:t>
            </w:r>
          </w:p>
        </w:tc>
        <w:tc>
          <w:tcPr>
            <w:tcW w:w="6866" w:type="dxa"/>
            <w:gridSpan w:val="2"/>
          </w:tcPr>
          <w:p w14:paraId="4E570E28" w14:textId="77777777" w:rsidR="00587861" w:rsidRDefault="00587861" w:rsidP="005C5B82">
            <w:pPr>
              <w:pStyle w:val="NormalHeadings"/>
              <w:jc w:val="left"/>
            </w:pPr>
            <w:bookmarkStart w:id="16" w:name="Applicant"/>
            <w:bookmarkEnd w:id="16"/>
            <w:r w:rsidRPr="00587861">
              <w:t>SUNSHINE ENERGY AUSTRALIA PTY LTD (ACN 617 880 752)</w:t>
            </w:r>
          </w:p>
          <w:p w14:paraId="3D5C9AF2" w14:textId="77777777" w:rsidR="00587861" w:rsidRDefault="00587861" w:rsidP="00452739">
            <w:pPr>
              <w:pStyle w:val="PartyType"/>
              <w:rPr>
                <w:b/>
              </w:rPr>
            </w:pPr>
            <w:r>
              <w:t xml:space="preserve">First Applicant </w:t>
            </w:r>
          </w:p>
          <w:p w14:paraId="545E034E" w14:textId="37F49749" w:rsidR="00A46CCC" w:rsidRPr="006555B4" w:rsidRDefault="00A46CCC" w:rsidP="005C5B82">
            <w:pPr>
              <w:pStyle w:val="NormalHeadings"/>
              <w:jc w:val="left"/>
            </w:pPr>
          </w:p>
        </w:tc>
      </w:tr>
      <w:tr w:rsidR="00587861" w14:paraId="03D94A73" w14:textId="77777777" w:rsidTr="00066028">
        <w:trPr>
          <w:trHeight w:val="386"/>
        </w:trPr>
        <w:tc>
          <w:tcPr>
            <w:tcW w:w="2376" w:type="dxa"/>
          </w:tcPr>
          <w:p w14:paraId="2E3751FA" w14:textId="77777777" w:rsidR="00587861" w:rsidRDefault="00587861" w:rsidP="00066028">
            <w:pPr>
              <w:pStyle w:val="NormalHeadings"/>
              <w:jc w:val="left"/>
              <w:rPr>
                <w:caps/>
                <w:szCs w:val="24"/>
              </w:rPr>
            </w:pPr>
          </w:p>
        </w:tc>
        <w:tc>
          <w:tcPr>
            <w:tcW w:w="6866" w:type="dxa"/>
            <w:gridSpan w:val="2"/>
          </w:tcPr>
          <w:p w14:paraId="2CDF7609" w14:textId="77777777" w:rsidR="00587861" w:rsidRDefault="00587861" w:rsidP="005C5B82">
            <w:pPr>
              <w:pStyle w:val="NormalHeadings"/>
              <w:jc w:val="left"/>
              <w:rPr>
                <w:bCs/>
                <w:color w:val="000000"/>
                <w:sz w:val="26"/>
                <w:szCs w:val="26"/>
                <w:shd w:val="clear" w:color="auto" w:fill="FFFFFF"/>
              </w:rPr>
            </w:pPr>
            <w:r w:rsidRPr="00587861">
              <w:rPr>
                <w:bCs/>
                <w:color w:val="000000"/>
                <w:sz w:val="26"/>
                <w:szCs w:val="26"/>
                <w:shd w:val="clear" w:color="auto" w:fill="FFFFFF"/>
              </w:rPr>
              <w:t>AUSTRALIA ENERGY GROUP PTY LTD (ACN 627 978 689)</w:t>
            </w:r>
          </w:p>
          <w:p w14:paraId="1B50BFC3" w14:textId="11ECFFBE" w:rsidR="00587861" w:rsidRPr="00587861" w:rsidRDefault="00587861" w:rsidP="00452739">
            <w:pPr>
              <w:pStyle w:val="PartyType"/>
            </w:pPr>
            <w:r w:rsidRPr="00452739">
              <w:t xml:space="preserve">Second Applicant </w:t>
            </w:r>
          </w:p>
        </w:tc>
      </w:tr>
      <w:tr w:rsidR="00587861" w14:paraId="431BA722" w14:textId="77777777" w:rsidTr="00066028">
        <w:trPr>
          <w:trHeight w:val="386"/>
        </w:trPr>
        <w:tc>
          <w:tcPr>
            <w:tcW w:w="2376" w:type="dxa"/>
          </w:tcPr>
          <w:p w14:paraId="5E4A9C81" w14:textId="77777777" w:rsidR="00587861" w:rsidRDefault="00587861" w:rsidP="00066028">
            <w:pPr>
              <w:pStyle w:val="NormalHeadings"/>
              <w:jc w:val="left"/>
              <w:rPr>
                <w:caps/>
                <w:szCs w:val="24"/>
              </w:rPr>
            </w:pPr>
          </w:p>
        </w:tc>
        <w:tc>
          <w:tcPr>
            <w:tcW w:w="6866" w:type="dxa"/>
            <w:gridSpan w:val="2"/>
          </w:tcPr>
          <w:p w14:paraId="6F62F9F2" w14:textId="77777777" w:rsidR="00587861" w:rsidRDefault="00587861" w:rsidP="005C5B82">
            <w:pPr>
              <w:pStyle w:val="NormalHeadings"/>
              <w:jc w:val="left"/>
            </w:pPr>
          </w:p>
        </w:tc>
      </w:tr>
      <w:tr w:rsidR="00A46CCC" w14:paraId="50A11C27" w14:textId="77777777" w:rsidTr="00066028">
        <w:trPr>
          <w:trHeight w:val="386"/>
        </w:trPr>
        <w:tc>
          <w:tcPr>
            <w:tcW w:w="2376" w:type="dxa"/>
          </w:tcPr>
          <w:p w14:paraId="7C6C96E7" w14:textId="77777777" w:rsidR="00A46CCC" w:rsidRDefault="00A46CCC" w:rsidP="00066028">
            <w:pPr>
              <w:pStyle w:val="NormalHeadings"/>
              <w:jc w:val="left"/>
              <w:rPr>
                <w:caps/>
                <w:szCs w:val="24"/>
              </w:rPr>
            </w:pPr>
            <w:r>
              <w:rPr>
                <w:caps/>
                <w:szCs w:val="24"/>
              </w:rPr>
              <w:t>AND:</w:t>
            </w:r>
          </w:p>
        </w:tc>
        <w:tc>
          <w:tcPr>
            <w:tcW w:w="6866" w:type="dxa"/>
            <w:gridSpan w:val="2"/>
          </w:tcPr>
          <w:p w14:paraId="76D98BC3" w14:textId="77777777" w:rsidR="00587861" w:rsidRDefault="00587861" w:rsidP="005C5B82">
            <w:pPr>
              <w:pStyle w:val="NormalHeadings"/>
              <w:jc w:val="left"/>
            </w:pPr>
            <w:bookmarkStart w:id="17" w:name="Respondent"/>
            <w:bookmarkEnd w:id="17"/>
            <w:r w:rsidRPr="00587861">
              <w:t>ANTHONY JOHN YOUSSEF</w:t>
            </w:r>
          </w:p>
          <w:p w14:paraId="0D4D6921" w14:textId="77777777" w:rsidR="00587861" w:rsidRPr="00452739" w:rsidRDefault="00587861" w:rsidP="00452739">
            <w:pPr>
              <w:pStyle w:val="PartyType"/>
            </w:pPr>
            <w:r>
              <w:t xml:space="preserve">First Respondent </w:t>
            </w:r>
          </w:p>
          <w:p w14:paraId="6CE60D82" w14:textId="539B7111" w:rsidR="00A46CCC" w:rsidRPr="006555B4" w:rsidRDefault="00A46CCC" w:rsidP="005C5B82">
            <w:pPr>
              <w:pStyle w:val="NormalHeadings"/>
              <w:jc w:val="left"/>
            </w:pPr>
          </w:p>
        </w:tc>
      </w:tr>
      <w:tr w:rsidR="005063C1" w14:paraId="76F5B036" w14:textId="77777777" w:rsidTr="00066028">
        <w:trPr>
          <w:trHeight w:val="386"/>
        </w:trPr>
        <w:tc>
          <w:tcPr>
            <w:tcW w:w="2376" w:type="dxa"/>
          </w:tcPr>
          <w:p w14:paraId="6705AB6D" w14:textId="77777777" w:rsidR="005063C1" w:rsidRDefault="005063C1" w:rsidP="00066028">
            <w:pPr>
              <w:pStyle w:val="NormalHeadings"/>
              <w:jc w:val="left"/>
              <w:rPr>
                <w:caps/>
                <w:szCs w:val="24"/>
              </w:rPr>
            </w:pPr>
          </w:p>
        </w:tc>
        <w:tc>
          <w:tcPr>
            <w:tcW w:w="6866" w:type="dxa"/>
            <w:gridSpan w:val="2"/>
          </w:tcPr>
          <w:p w14:paraId="34C45E54" w14:textId="77777777" w:rsidR="005063C1" w:rsidRDefault="005063C1" w:rsidP="005C5B82">
            <w:pPr>
              <w:pStyle w:val="NormalHeadings"/>
              <w:jc w:val="left"/>
            </w:pPr>
            <w:r w:rsidRPr="005063C1">
              <w:t>KEPPEL RENEWABLE ENERGY PTY LTD COMPANY REGISTRATION NUMBER 201907077R</w:t>
            </w:r>
          </w:p>
          <w:p w14:paraId="72738992" w14:textId="77777777" w:rsidR="005063C1" w:rsidRPr="00452739" w:rsidRDefault="005063C1" w:rsidP="00452739">
            <w:pPr>
              <w:pStyle w:val="PartyType"/>
            </w:pPr>
            <w:r>
              <w:t>Second Respondent</w:t>
            </w:r>
          </w:p>
          <w:p w14:paraId="5F8E7399" w14:textId="213B13CE" w:rsidR="005063C1" w:rsidRPr="00587861" w:rsidRDefault="005063C1" w:rsidP="005C5B82">
            <w:pPr>
              <w:pStyle w:val="NormalHeadings"/>
              <w:jc w:val="left"/>
            </w:pPr>
          </w:p>
        </w:tc>
      </w:tr>
      <w:tr w:rsidR="005063C1" w14:paraId="6DDF5F05" w14:textId="77777777" w:rsidTr="00066028">
        <w:trPr>
          <w:trHeight w:val="386"/>
        </w:trPr>
        <w:tc>
          <w:tcPr>
            <w:tcW w:w="2376" w:type="dxa"/>
          </w:tcPr>
          <w:p w14:paraId="270975FD" w14:textId="77777777" w:rsidR="005063C1" w:rsidRDefault="005063C1" w:rsidP="00066028">
            <w:pPr>
              <w:pStyle w:val="NormalHeadings"/>
              <w:jc w:val="left"/>
              <w:rPr>
                <w:caps/>
                <w:szCs w:val="24"/>
              </w:rPr>
            </w:pPr>
          </w:p>
        </w:tc>
        <w:tc>
          <w:tcPr>
            <w:tcW w:w="6866" w:type="dxa"/>
            <w:gridSpan w:val="2"/>
          </w:tcPr>
          <w:p w14:paraId="336D455E" w14:textId="77777777" w:rsidR="005063C1" w:rsidRDefault="005063C1" w:rsidP="005C5B82">
            <w:pPr>
              <w:pStyle w:val="NormalHeadings"/>
              <w:jc w:val="left"/>
            </w:pPr>
            <w:r w:rsidRPr="005063C1">
              <w:t>KEPPEL RENEWABLE ENERGY AUSTRALIA PTY LTD ACN 659 726 468</w:t>
            </w:r>
          </w:p>
          <w:p w14:paraId="70C83217" w14:textId="77777777" w:rsidR="005063C1" w:rsidRPr="00452739" w:rsidRDefault="005063C1" w:rsidP="00452739">
            <w:pPr>
              <w:pStyle w:val="PartyType"/>
            </w:pPr>
            <w:r>
              <w:t>Third Respondent</w:t>
            </w:r>
          </w:p>
          <w:p w14:paraId="310026DB" w14:textId="1FC557DB" w:rsidR="005063C1" w:rsidRDefault="005063C1" w:rsidP="005C5B82">
            <w:pPr>
              <w:pStyle w:val="NormalHeadings"/>
              <w:jc w:val="left"/>
            </w:pPr>
          </w:p>
        </w:tc>
      </w:tr>
      <w:tr w:rsidR="005063C1" w14:paraId="56B1BCFC" w14:textId="77777777" w:rsidTr="00066028">
        <w:trPr>
          <w:trHeight w:val="386"/>
        </w:trPr>
        <w:tc>
          <w:tcPr>
            <w:tcW w:w="2376" w:type="dxa"/>
          </w:tcPr>
          <w:p w14:paraId="0484716A" w14:textId="77777777" w:rsidR="005063C1" w:rsidRDefault="005063C1" w:rsidP="00066028">
            <w:pPr>
              <w:pStyle w:val="NormalHeadings"/>
              <w:jc w:val="left"/>
              <w:rPr>
                <w:caps/>
                <w:szCs w:val="24"/>
              </w:rPr>
            </w:pPr>
          </w:p>
        </w:tc>
        <w:tc>
          <w:tcPr>
            <w:tcW w:w="6866" w:type="dxa"/>
            <w:gridSpan w:val="2"/>
          </w:tcPr>
          <w:p w14:paraId="11C84A19" w14:textId="77777777" w:rsidR="005063C1" w:rsidRDefault="005063C1" w:rsidP="005C5B82">
            <w:pPr>
              <w:pStyle w:val="NormalHeadings"/>
              <w:jc w:val="left"/>
            </w:pPr>
            <w:r w:rsidRPr="005063C1">
              <w:t>KRE ANCHORAGE PTE LTD</w:t>
            </w:r>
          </w:p>
          <w:p w14:paraId="3E27A1E6" w14:textId="77777777" w:rsidR="005063C1" w:rsidRPr="00452739" w:rsidRDefault="005063C1" w:rsidP="00452739">
            <w:pPr>
              <w:pStyle w:val="PartyType"/>
            </w:pPr>
            <w:r>
              <w:t xml:space="preserve">Fourth Respondent </w:t>
            </w:r>
          </w:p>
          <w:p w14:paraId="67FFAD8C" w14:textId="3277EF64" w:rsidR="005063C1" w:rsidRPr="005063C1" w:rsidRDefault="005063C1" w:rsidP="005C5B82">
            <w:pPr>
              <w:pStyle w:val="NormalHeadings"/>
              <w:jc w:val="left"/>
            </w:pPr>
          </w:p>
        </w:tc>
      </w:tr>
      <w:tr w:rsidR="00587861" w14:paraId="47A9E734" w14:textId="77777777" w:rsidTr="00066028">
        <w:trPr>
          <w:trHeight w:val="386"/>
        </w:trPr>
        <w:tc>
          <w:tcPr>
            <w:tcW w:w="2376" w:type="dxa"/>
          </w:tcPr>
          <w:p w14:paraId="593297F0" w14:textId="77777777" w:rsidR="00587861" w:rsidRDefault="00587861" w:rsidP="00066028">
            <w:pPr>
              <w:pStyle w:val="NormalHeadings"/>
              <w:jc w:val="left"/>
              <w:rPr>
                <w:caps/>
                <w:szCs w:val="24"/>
              </w:rPr>
            </w:pPr>
          </w:p>
        </w:tc>
        <w:tc>
          <w:tcPr>
            <w:tcW w:w="6866" w:type="dxa"/>
            <w:gridSpan w:val="2"/>
          </w:tcPr>
          <w:p w14:paraId="43F4C130" w14:textId="77777777" w:rsidR="00587861" w:rsidRDefault="00587861" w:rsidP="005C5B82">
            <w:pPr>
              <w:pStyle w:val="NormalHeadings"/>
              <w:jc w:val="left"/>
            </w:pPr>
            <w:r w:rsidRPr="00587861">
              <w:t>HARLIN SOLAR PTY LTD ACN 643 351 044</w:t>
            </w:r>
          </w:p>
          <w:p w14:paraId="1270508F" w14:textId="77777777" w:rsidR="00587861" w:rsidRPr="00452739" w:rsidRDefault="0004306B" w:rsidP="00452739">
            <w:pPr>
              <w:pStyle w:val="PartyType"/>
            </w:pPr>
            <w:r>
              <w:t xml:space="preserve">Fifth Respondent </w:t>
            </w:r>
          </w:p>
          <w:p w14:paraId="04FBB70B" w14:textId="689E0D47" w:rsidR="005063C1" w:rsidRPr="0004306B" w:rsidRDefault="005063C1" w:rsidP="005C5B82">
            <w:pPr>
              <w:pStyle w:val="NormalHeadings"/>
              <w:jc w:val="left"/>
              <w:rPr>
                <w:b w:val="0"/>
              </w:rPr>
            </w:pPr>
          </w:p>
        </w:tc>
      </w:tr>
    </w:tbl>
    <w:p w14:paraId="4FC1DB9C" w14:textId="77777777" w:rsidR="00395B24" w:rsidRDefault="00395B24">
      <w:pPr>
        <w:pStyle w:val="NormalHeadings"/>
      </w:pPr>
      <w:bookmarkStart w:id="18" w:name="CrossClaimPosition"/>
      <w:bookmarkEnd w:id="15"/>
      <w:bookmarkEnd w:id="18"/>
    </w:p>
    <w:tbl>
      <w:tblPr>
        <w:tblW w:w="0" w:type="auto"/>
        <w:tblLayout w:type="fixed"/>
        <w:tblLook w:val="0000" w:firstRow="0" w:lastRow="0" w:firstColumn="0" w:lastColumn="0" w:noHBand="0" w:noVBand="0"/>
        <w:tblCaption w:val="Judge"/>
        <w:tblDescription w:val="Judge"/>
      </w:tblPr>
      <w:tblGrid>
        <w:gridCol w:w="2376"/>
        <w:gridCol w:w="6866"/>
      </w:tblGrid>
      <w:tr w:rsidR="00395B24" w14:paraId="04841B28" w14:textId="77777777">
        <w:tc>
          <w:tcPr>
            <w:tcW w:w="2376" w:type="dxa"/>
          </w:tcPr>
          <w:p w14:paraId="5B12C889" w14:textId="77777777" w:rsidR="00395B24" w:rsidRDefault="00974709">
            <w:pPr>
              <w:pStyle w:val="NormalHeadings"/>
              <w:spacing w:after="120"/>
              <w:jc w:val="left"/>
              <w:rPr>
                <w:caps/>
                <w:szCs w:val="24"/>
              </w:rPr>
            </w:pPr>
            <w:bookmarkStart w:id="19" w:name="JudgeText"/>
            <w:r>
              <w:rPr>
                <w:caps/>
                <w:szCs w:val="24"/>
              </w:rPr>
              <w:t>order made by</w:t>
            </w:r>
            <w:bookmarkEnd w:id="19"/>
            <w:r w:rsidR="002C7385">
              <w:rPr>
                <w:caps/>
                <w:szCs w:val="24"/>
              </w:rPr>
              <w:t>:</w:t>
            </w:r>
          </w:p>
        </w:tc>
        <w:tc>
          <w:tcPr>
            <w:tcW w:w="6866" w:type="dxa"/>
          </w:tcPr>
          <w:p w14:paraId="7AA419F1" w14:textId="77777777" w:rsidR="00395B24" w:rsidRDefault="005C5B82">
            <w:pPr>
              <w:pStyle w:val="NormalHeadings"/>
              <w:jc w:val="left"/>
              <w:rPr>
                <w:caps/>
                <w:szCs w:val="24"/>
              </w:rPr>
            </w:pPr>
            <w:bookmarkStart w:id="20" w:name="Judge"/>
            <w:r>
              <w:rPr>
                <w:caps/>
                <w:szCs w:val="24"/>
              </w:rPr>
              <w:t>SARAH C DERRINGTON J</w:t>
            </w:r>
            <w:bookmarkEnd w:id="20"/>
          </w:p>
        </w:tc>
      </w:tr>
      <w:tr w:rsidR="00395B24" w14:paraId="06955181" w14:textId="77777777">
        <w:tc>
          <w:tcPr>
            <w:tcW w:w="2376" w:type="dxa"/>
          </w:tcPr>
          <w:p w14:paraId="5B127085" w14:textId="77777777" w:rsidR="00395B24" w:rsidRDefault="002C7385">
            <w:pPr>
              <w:pStyle w:val="NormalHeadings"/>
              <w:spacing w:after="120"/>
              <w:jc w:val="left"/>
              <w:rPr>
                <w:caps/>
                <w:szCs w:val="24"/>
              </w:rPr>
            </w:pPr>
            <w:r>
              <w:rPr>
                <w:caps/>
                <w:szCs w:val="24"/>
              </w:rPr>
              <w:t>DATE OF ORDER:</w:t>
            </w:r>
          </w:p>
        </w:tc>
        <w:tc>
          <w:tcPr>
            <w:tcW w:w="6866" w:type="dxa"/>
          </w:tcPr>
          <w:p w14:paraId="6D7397D9" w14:textId="18C9969A" w:rsidR="00395B24" w:rsidRDefault="00587861">
            <w:pPr>
              <w:pStyle w:val="NormalHeadings"/>
              <w:jc w:val="left"/>
              <w:rPr>
                <w:caps/>
                <w:szCs w:val="24"/>
              </w:rPr>
            </w:pPr>
            <w:bookmarkStart w:id="21" w:name="Judgment_Dated"/>
            <w:r>
              <w:rPr>
                <w:caps/>
                <w:szCs w:val="24"/>
              </w:rPr>
              <w:t>29 May 202</w:t>
            </w:r>
            <w:r w:rsidR="005C5B82">
              <w:rPr>
                <w:caps/>
                <w:szCs w:val="24"/>
              </w:rPr>
              <w:t>3</w:t>
            </w:r>
            <w:bookmarkEnd w:id="21"/>
          </w:p>
        </w:tc>
      </w:tr>
    </w:tbl>
    <w:p w14:paraId="2964641B" w14:textId="77777777" w:rsidR="00395B24" w:rsidRDefault="00395B24">
      <w:pPr>
        <w:pStyle w:val="NormalHeadings"/>
        <w:rPr>
          <w:b w:val="0"/>
        </w:rPr>
      </w:pPr>
    </w:p>
    <w:p w14:paraId="2FE96B41" w14:textId="02293C54" w:rsidR="00587861" w:rsidRDefault="002C7385" w:rsidP="00587861">
      <w:pPr>
        <w:pStyle w:val="NormalHeadings"/>
      </w:pPr>
      <w:r>
        <w:t>THE COURT ORDERS THAT:</w:t>
      </w:r>
    </w:p>
    <w:p w14:paraId="02FC12A0" w14:textId="77777777" w:rsidR="00587861" w:rsidRDefault="00587861" w:rsidP="00587861">
      <w:pPr>
        <w:pStyle w:val="NormalHeadings"/>
      </w:pPr>
    </w:p>
    <w:p w14:paraId="28C46179" w14:textId="77777777" w:rsidR="00587861" w:rsidRDefault="00587861" w:rsidP="00587861">
      <w:pPr>
        <w:pStyle w:val="Order1"/>
      </w:pPr>
      <w:r>
        <w:t xml:space="preserve">The Interlocutory Application filed 3 May 2023 be dismissed. </w:t>
      </w:r>
    </w:p>
    <w:p w14:paraId="10DC3607" w14:textId="61DD28DB" w:rsidR="00587861" w:rsidRDefault="00587861" w:rsidP="00587861">
      <w:pPr>
        <w:pStyle w:val="Order1"/>
      </w:pPr>
      <w:r>
        <w:t xml:space="preserve">The Applicants pay the First Respondent’s costs in proceeding QUD 183 of 2022 in the lump sum of $138,000.00. </w:t>
      </w:r>
    </w:p>
    <w:p w14:paraId="6B116090" w14:textId="00CBE577" w:rsidR="00587861" w:rsidRDefault="00587861" w:rsidP="00587861">
      <w:pPr>
        <w:pStyle w:val="Order1"/>
      </w:pPr>
      <w:r>
        <w:t xml:space="preserve">The Applicants pay the First Respondent’s costs of and incidental to the Interlocutory Application. </w:t>
      </w:r>
    </w:p>
    <w:p w14:paraId="14B27318" w14:textId="5F68D5AA" w:rsidR="00587861" w:rsidRDefault="00587861" w:rsidP="00587861">
      <w:pPr>
        <w:pStyle w:val="Order1"/>
      </w:pPr>
      <w:r>
        <w:t xml:space="preserve">The Applicants pay the Fifth Respondent’s costs in proceeding QUD 183 of 2022 in the lump sum of $140,599.71. </w:t>
      </w:r>
    </w:p>
    <w:p w14:paraId="1CF62016" w14:textId="19527C17" w:rsidR="00587861" w:rsidRDefault="00587861" w:rsidP="00587861">
      <w:pPr>
        <w:pStyle w:val="Order1"/>
      </w:pPr>
      <w:r>
        <w:lastRenderedPageBreak/>
        <w:t xml:space="preserve">The Applicants be granted leave to claim the same relief as sought in this proceeding and QUD 183 of 2022 upon the conditions that: </w:t>
      </w:r>
    </w:p>
    <w:p w14:paraId="2939A098" w14:textId="70A49CB5" w:rsidR="00587861" w:rsidRDefault="00587861" w:rsidP="00587861">
      <w:pPr>
        <w:pStyle w:val="Order2"/>
      </w:pPr>
      <w:r>
        <w:t xml:space="preserve">they have paid the sums as ordered in Orders 2, 3 and 4 above prior to the date of filing any new proceeding; and </w:t>
      </w:r>
    </w:p>
    <w:p w14:paraId="0B8A6A17" w14:textId="34BDB36E" w:rsidR="00A431E6" w:rsidRDefault="00587861" w:rsidP="001A6C52">
      <w:pPr>
        <w:pStyle w:val="Order2"/>
      </w:pPr>
      <w:proofErr w:type="gramStart"/>
      <w:r>
        <w:t>they</w:t>
      </w:r>
      <w:proofErr w:type="gramEnd"/>
      <w:r>
        <w:t xml:space="preserve"> provide security for the costs of each of the First and Fifth Respondents’ costs in the sums of $350,000.00 and $337,000.00 respectively by payment of funds into Court or by providing a bank guarantee in a form acceptable to the Court on the date of filing any new proceeding.</w:t>
      </w:r>
    </w:p>
    <w:p w14:paraId="6C994618" w14:textId="77777777" w:rsidR="005063C1" w:rsidRDefault="005063C1" w:rsidP="005063C1">
      <w:pPr>
        <w:pStyle w:val="Order2"/>
        <w:numPr>
          <w:ilvl w:val="0"/>
          <w:numId w:val="0"/>
        </w:numPr>
        <w:ind w:left="1440"/>
      </w:pPr>
    </w:p>
    <w:p w14:paraId="5814B41E" w14:textId="77777777" w:rsidR="0050309C" w:rsidRDefault="005C5B82" w:rsidP="004D53E5">
      <w:pPr>
        <w:pStyle w:val="SingleSpace"/>
      </w:pPr>
      <w:bookmarkStart w:id="22" w:name="OrdersStatement"/>
      <w:r>
        <w:t>Note:</w:t>
      </w:r>
      <w:r>
        <w:tab/>
        <w:t xml:space="preserve">Entry of orders is dealt with in Rule 39.32 of the </w:t>
      </w:r>
      <w:r>
        <w:rPr>
          <w:i/>
        </w:rPr>
        <w:t>Federal Court Rules 2011</w:t>
      </w:r>
      <w:r>
        <w:t>.</w:t>
      </w:r>
      <w:bookmarkEnd w:id="22"/>
    </w:p>
    <w:p w14:paraId="2D4ED2D8" w14:textId="77777777" w:rsidR="00E23577" w:rsidRDefault="00E23577" w:rsidP="002B0E91">
      <w:pPr>
        <w:pStyle w:val="BodyText"/>
      </w:pPr>
    </w:p>
    <w:p w14:paraId="7AFB2670" w14:textId="77777777" w:rsidR="00395B24" w:rsidRDefault="00395B24">
      <w:pPr>
        <w:pStyle w:val="NormalHeadings"/>
        <w:spacing w:before="240" w:after="120"/>
        <w:rPr>
          <w:b w:val="0"/>
        </w:rPr>
        <w:sectPr w:rsidR="00395B24" w:rsidSect="0092590B">
          <w:headerReference w:type="default" r:id="rId13"/>
          <w:footerReference w:type="default" r:id="rId14"/>
          <w:headerReference w:type="first" r:id="rId15"/>
          <w:footerReference w:type="first" r:id="rId16"/>
          <w:endnotePr>
            <w:numFmt w:val="decimal"/>
          </w:endnotePr>
          <w:pgSz w:w="11907" w:h="16840" w:code="9"/>
          <w:pgMar w:top="1440" w:right="1440" w:bottom="1440" w:left="1440" w:header="851" w:footer="851" w:gutter="0"/>
          <w:pgNumType w:fmt="lowerRoman" w:start="1"/>
          <w:cols w:space="720"/>
          <w:noEndnote/>
          <w:titlePg/>
        </w:sectPr>
      </w:pPr>
    </w:p>
    <w:p w14:paraId="0FFE9159" w14:textId="44F99F61" w:rsidR="00484F6D" w:rsidRDefault="00484F6D" w:rsidP="00045BB7">
      <w:pPr>
        <w:pStyle w:val="NormalHeadings"/>
        <w:spacing w:line="480" w:lineRule="auto"/>
        <w:jc w:val="center"/>
        <w:rPr>
          <w:sz w:val="28"/>
          <w:szCs w:val="28"/>
        </w:rPr>
      </w:pPr>
      <w:bookmarkStart w:id="23" w:name="ReasonsPage"/>
      <w:bookmarkEnd w:id="23"/>
      <w:r w:rsidRPr="00045BB7">
        <w:rPr>
          <w:sz w:val="28"/>
          <w:szCs w:val="28"/>
        </w:rPr>
        <w:lastRenderedPageBreak/>
        <w:t>REASONS FOR JUDGMENT</w:t>
      </w:r>
    </w:p>
    <w:p w14:paraId="37641F7C" w14:textId="2AD16E5A" w:rsidR="00A72DA8" w:rsidRPr="00045BB7" w:rsidRDefault="00A72DA8" w:rsidP="00045BB7">
      <w:pPr>
        <w:pStyle w:val="NormalHeadings"/>
        <w:spacing w:line="480" w:lineRule="auto"/>
        <w:jc w:val="center"/>
        <w:rPr>
          <w:sz w:val="28"/>
          <w:szCs w:val="28"/>
        </w:rPr>
      </w:pPr>
      <w:r>
        <w:rPr>
          <w:sz w:val="28"/>
          <w:szCs w:val="28"/>
        </w:rPr>
        <w:t>(Revised from the transcript)</w:t>
      </w:r>
    </w:p>
    <w:p w14:paraId="341AC425" w14:textId="77777777" w:rsidR="00694BEB" w:rsidRDefault="005C5B82" w:rsidP="005E0510">
      <w:pPr>
        <w:pStyle w:val="NormalHeadings"/>
        <w:spacing w:line="360" w:lineRule="auto"/>
        <w:jc w:val="left"/>
        <w:rPr>
          <w:sz w:val="26"/>
          <w:szCs w:val="26"/>
        </w:rPr>
      </w:pPr>
      <w:r>
        <w:rPr>
          <w:sz w:val="26"/>
          <w:szCs w:val="26"/>
        </w:rPr>
        <w:t>SARAH C DERRINGTON J:</w:t>
      </w:r>
    </w:p>
    <w:p w14:paraId="01E39DDB" w14:textId="7268B54E" w:rsidR="00CD1346" w:rsidRDefault="005C5B82" w:rsidP="00BE1D1C">
      <w:pPr>
        <w:pStyle w:val="ParaNumbering"/>
      </w:pPr>
      <w:r>
        <w:t>The matter for determination is whether the Court should grant leave to the applicants (</w:t>
      </w:r>
      <w:r>
        <w:rPr>
          <w:b/>
        </w:rPr>
        <w:t>Sunshine Energy</w:t>
      </w:r>
      <w:r>
        <w:t xml:space="preserve">) </w:t>
      </w:r>
      <w:r w:rsidR="00BE1D1C">
        <w:t xml:space="preserve">pursuant to </w:t>
      </w:r>
      <w:r w:rsidR="00BE1D1C" w:rsidRPr="005662B3">
        <w:t>r 39.03(1</w:t>
      </w:r>
      <w:proofErr w:type="gramStart"/>
      <w:r w:rsidR="00BE1D1C" w:rsidRPr="005662B3">
        <w:t>)(</w:t>
      </w:r>
      <w:proofErr w:type="gramEnd"/>
      <w:r w:rsidR="00BE1D1C" w:rsidRPr="005662B3">
        <w:t xml:space="preserve">b) of the </w:t>
      </w:r>
      <w:r w:rsidR="00BE1D1C" w:rsidRPr="005662B3">
        <w:rPr>
          <w:i/>
        </w:rPr>
        <w:t xml:space="preserve">Federal Court </w:t>
      </w:r>
      <w:r w:rsidR="00BE1D1C" w:rsidRPr="005662B3">
        <w:rPr>
          <w:b/>
          <w:i/>
        </w:rPr>
        <w:t>Rules</w:t>
      </w:r>
      <w:r w:rsidR="00BE1D1C" w:rsidRPr="005662B3">
        <w:t xml:space="preserve"> </w:t>
      </w:r>
      <w:r w:rsidR="00BE1D1C" w:rsidRPr="005662B3">
        <w:rPr>
          <w:i/>
        </w:rPr>
        <w:t xml:space="preserve">2011 </w:t>
      </w:r>
      <w:r w:rsidR="00BE1D1C" w:rsidRPr="005662B3">
        <w:t>(</w:t>
      </w:r>
      <w:proofErr w:type="spellStart"/>
      <w:r w:rsidR="00BE1D1C" w:rsidRPr="005662B3">
        <w:t>Cth</w:t>
      </w:r>
      <w:proofErr w:type="spellEnd"/>
      <w:r w:rsidR="00BE1D1C" w:rsidRPr="005662B3">
        <w:t>)</w:t>
      </w:r>
      <w:r w:rsidR="00BE1D1C">
        <w:t xml:space="preserve"> </w:t>
      </w:r>
      <w:r>
        <w:t>to claim against the first and fifth respondent</w:t>
      </w:r>
      <w:r w:rsidR="00BE1D1C">
        <w:t>s</w:t>
      </w:r>
      <w:r>
        <w:t xml:space="preserve"> (</w:t>
      </w:r>
      <w:r w:rsidRPr="00BE1D1C">
        <w:rPr>
          <w:b/>
        </w:rPr>
        <w:t>Mr Youssef</w:t>
      </w:r>
      <w:r>
        <w:t xml:space="preserve"> and </w:t>
      </w:r>
      <w:r w:rsidRPr="00BE1D1C">
        <w:rPr>
          <w:b/>
        </w:rPr>
        <w:t>Harlin</w:t>
      </w:r>
      <w:r w:rsidR="00BE1D1C">
        <w:t xml:space="preserve"> Solar Pty Ltd</w:t>
      </w:r>
      <w:r>
        <w:t xml:space="preserve"> respectively</w:t>
      </w:r>
      <w:r w:rsidR="00336A02">
        <w:t xml:space="preserve">, and collectively </w:t>
      </w:r>
      <w:r w:rsidR="00336A02" w:rsidRPr="00336A02">
        <w:rPr>
          <w:b/>
        </w:rPr>
        <w:t>the respondents</w:t>
      </w:r>
      <w:r>
        <w:t>) in this proceeding for the same relief as claimed in QUD 183 of 2022 (</w:t>
      </w:r>
      <w:r w:rsidRPr="00BE1D1C">
        <w:rPr>
          <w:b/>
        </w:rPr>
        <w:t>Former Proceedings</w:t>
      </w:r>
      <w:r>
        <w:t>)</w:t>
      </w:r>
      <w:r w:rsidR="00BE1D1C">
        <w:t>.</w:t>
      </w:r>
    </w:p>
    <w:p w14:paraId="142B88F1" w14:textId="0D54631F" w:rsidR="00F17B57" w:rsidRDefault="005C5B82" w:rsidP="00F17B57">
      <w:pPr>
        <w:pStyle w:val="ParaNumbering"/>
      </w:pPr>
      <w:r>
        <w:t xml:space="preserve">On </w:t>
      </w:r>
      <w:r w:rsidR="00F17B57">
        <w:t>9 March 2023, I dismissed the Former P</w:t>
      </w:r>
      <w:r>
        <w:t xml:space="preserve">roceedings </w:t>
      </w:r>
      <w:r w:rsidR="00BE1D1C">
        <w:t xml:space="preserve">under </w:t>
      </w:r>
      <w:r w:rsidR="00912EA3">
        <w:t>s 56</w:t>
      </w:r>
      <w:r w:rsidR="00BE1D1C" w:rsidRPr="005662B3">
        <w:t xml:space="preserve">(4) of the </w:t>
      </w:r>
      <w:r w:rsidR="00BE1D1C" w:rsidRPr="005662B3">
        <w:rPr>
          <w:i/>
        </w:rPr>
        <w:t>Federal Court of Australia Act 1976</w:t>
      </w:r>
      <w:r w:rsidR="00BE1D1C" w:rsidRPr="005662B3">
        <w:t xml:space="preserve"> (</w:t>
      </w:r>
      <w:proofErr w:type="spellStart"/>
      <w:r w:rsidR="00BE1D1C" w:rsidRPr="005662B3">
        <w:t>Cth</w:t>
      </w:r>
      <w:proofErr w:type="spellEnd"/>
      <w:r w:rsidR="00BE1D1C" w:rsidRPr="005662B3">
        <w:t>)</w:t>
      </w:r>
      <w:r w:rsidR="00BE1D1C">
        <w:t xml:space="preserve"> (</w:t>
      </w:r>
      <w:r w:rsidR="00BE1D1C" w:rsidRPr="00B47CE5">
        <w:rPr>
          <w:b/>
          <w:i/>
          <w:iCs/>
        </w:rPr>
        <w:t>FCA</w:t>
      </w:r>
      <w:r w:rsidR="00BE1D1C" w:rsidRPr="00B47CE5">
        <w:rPr>
          <w:i/>
          <w:iCs/>
        </w:rPr>
        <w:t xml:space="preserve"> </w:t>
      </w:r>
      <w:r w:rsidR="00BE1D1C" w:rsidRPr="00B47CE5">
        <w:rPr>
          <w:b/>
          <w:i/>
          <w:iCs/>
        </w:rPr>
        <w:t>Act</w:t>
      </w:r>
      <w:r w:rsidR="00BE1D1C">
        <w:t xml:space="preserve">) for </w:t>
      </w:r>
      <w:r w:rsidR="00336A02">
        <w:t xml:space="preserve">Sunshine Energy’s </w:t>
      </w:r>
      <w:r w:rsidR="00BE1D1C">
        <w:t>failure to comply with a security for</w:t>
      </w:r>
      <w:r>
        <w:t xml:space="preserve"> costs order</w:t>
      </w:r>
      <w:r w:rsidR="00F17B57">
        <w:t xml:space="preserve">: </w:t>
      </w:r>
      <w:r w:rsidR="00F17B57" w:rsidRPr="005662B3">
        <w:rPr>
          <w:i/>
        </w:rPr>
        <w:t>Sunshine Energy Australia Pty Ltd v Youssef</w:t>
      </w:r>
      <w:r w:rsidR="00F17B57" w:rsidRPr="005662B3">
        <w:t xml:space="preserve"> [2023] FCA 189</w:t>
      </w:r>
      <w:r w:rsidR="00BE1D1C" w:rsidRPr="005662B3">
        <w:t xml:space="preserve"> </w:t>
      </w:r>
      <w:r w:rsidR="00BE1D1C">
        <w:t>(</w:t>
      </w:r>
      <w:r w:rsidR="00BE1D1C" w:rsidRPr="00BE1D1C">
        <w:rPr>
          <w:b/>
          <w:i/>
        </w:rPr>
        <w:t>Sunshine Energy</w:t>
      </w:r>
      <w:r w:rsidR="00BE1D1C">
        <w:t>)</w:t>
      </w:r>
      <w:r>
        <w:t xml:space="preserve">. </w:t>
      </w:r>
    </w:p>
    <w:p w14:paraId="653149BC" w14:textId="66AC0DD4" w:rsidR="00097BC8" w:rsidRDefault="00912EA3" w:rsidP="00D60164">
      <w:pPr>
        <w:pStyle w:val="ParaNumbering"/>
      </w:pPr>
      <w:r>
        <w:t>On 22</w:t>
      </w:r>
      <w:r w:rsidR="00A83ECA">
        <w:t xml:space="preserve"> March 2023, Sunshine Energy filed an originating ap</w:t>
      </w:r>
      <w:r w:rsidR="00F17B57">
        <w:t xml:space="preserve">plication and statement of claim </w:t>
      </w:r>
      <w:r w:rsidR="00BE1D1C">
        <w:t xml:space="preserve">in </w:t>
      </w:r>
      <w:r w:rsidR="00F17B57">
        <w:t>the present proceedings</w:t>
      </w:r>
      <w:r w:rsidR="00BE1D1C">
        <w:t xml:space="preserve">, which are </w:t>
      </w:r>
      <w:r w:rsidR="00336A02">
        <w:t>substantially in the</w:t>
      </w:r>
      <w:r>
        <w:t xml:space="preserve"> same</w:t>
      </w:r>
      <w:r w:rsidR="00BE1D1C">
        <w:t xml:space="preserve"> form</w:t>
      </w:r>
      <w:r w:rsidR="00336A02">
        <w:t>,</w:t>
      </w:r>
      <w:r w:rsidR="00BE1D1C">
        <w:t xml:space="preserve"> </w:t>
      </w:r>
      <w:r>
        <w:t>and claim the same breaches</w:t>
      </w:r>
      <w:r w:rsidR="00336A02">
        <w:t>,</w:t>
      </w:r>
      <w:r>
        <w:t xml:space="preserve"> as in </w:t>
      </w:r>
      <w:r w:rsidR="00BE1D1C">
        <w:t>the Former Proceedings.</w:t>
      </w:r>
      <w:r w:rsidR="00A83ECA">
        <w:t xml:space="preserve"> The matter was listed for first case management hearing on 20 April 2023</w:t>
      </w:r>
      <w:r w:rsidR="00BE1D1C">
        <w:t>,</w:t>
      </w:r>
      <w:r w:rsidR="00A83ECA">
        <w:t xml:space="preserve"> at which point Sunshine Energy sought </w:t>
      </w:r>
      <w:r>
        <w:t xml:space="preserve">and was granted </w:t>
      </w:r>
      <w:r w:rsidR="00A83ECA">
        <w:t xml:space="preserve">orders to file and serve an interlocutory application to seek leave to </w:t>
      </w:r>
      <w:r w:rsidR="00F17B57">
        <w:t>claim the s</w:t>
      </w:r>
      <w:r w:rsidR="00D60164">
        <w:t xml:space="preserve">ame relief in a new proceeding. </w:t>
      </w:r>
    </w:p>
    <w:p w14:paraId="2EE6AD61" w14:textId="139E04EE" w:rsidR="00F17B57" w:rsidRDefault="00F17B57" w:rsidP="00D60164">
      <w:pPr>
        <w:pStyle w:val="ParaNumbering"/>
      </w:pPr>
      <w:r>
        <w:t xml:space="preserve">Mr Youssef </w:t>
      </w:r>
      <w:r w:rsidR="00D60164">
        <w:t>and Harlin oppose</w:t>
      </w:r>
      <w:r>
        <w:t xml:space="preserve"> the </w:t>
      </w:r>
      <w:r w:rsidR="00BC196B">
        <w:t>application</w:t>
      </w:r>
      <w:r w:rsidR="002160C5">
        <w:t xml:space="preserve"> on five</w:t>
      </w:r>
      <w:r w:rsidR="00BC196B">
        <w:t xml:space="preserve"> grounds:</w:t>
      </w:r>
    </w:p>
    <w:p w14:paraId="29CC1020" w14:textId="6630195C" w:rsidR="00BC196B" w:rsidRDefault="00BC196B" w:rsidP="00336A02">
      <w:pPr>
        <w:pStyle w:val="ListNo1alt"/>
      </w:pPr>
      <w:r>
        <w:t>the continuing, and admitted, impecuniosity of the Sunshine Energy;</w:t>
      </w:r>
    </w:p>
    <w:p w14:paraId="5E49C90B" w14:textId="58D786F1" w:rsidR="00BC196B" w:rsidRDefault="00BC196B" w:rsidP="00336A02">
      <w:pPr>
        <w:pStyle w:val="ListNo1alt"/>
      </w:pPr>
      <w:r>
        <w:t>the unlikelihood of security being provided if leave were to be granted;</w:t>
      </w:r>
    </w:p>
    <w:p w14:paraId="5F60AA8F" w14:textId="1F4470A4" w:rsidR="00BC196B" w:rsidRDefault="00BC196B" w:rsidP="00336A02">
      <w:pPr>
        <w:pStyle w:val="ListNo1alt"/>
      </w:pPr>
      <w:r>
        <w:t>Sunshine Energy’s continuing non-compliance with orders of the Court;</w:t>
      </w:r>
    </w:p>
    <w:p w14:paraId="1FA20ECF" w14:textId="71931F4E" w:rsidR="002160C5" w:rsidRDefault="002160C5" w:rsidP="00336A02">
      <w:pPr>
        <w:pStyle w:val="ListNo1alt"/>
      </w:pPr>
      <w:r>
        <w:t>the relative weakness of the claim as pleaded;</w:t>
      </w:r>
    </w:p>
    <w:p w14:paraId="55B24184" w14:textId="3831C63E" w:rsidR="00BC196B" w:rsidRDefault="00BC196B" w:rsidP="00336A02">
      <w:pPr>
        <w:pStyle w:val="ListNo1alt"/>
      </w:pPr>
      <w:proofErr w:type="gramStart"/>
      <w:r>
        <w:t>the</w:t>
      </w:r>
      <w:proofErr w:type="gramEnd"/>
      <w:r>
        <w:t xml:space="preserve"> prejudice sustained by each of Mr Youssef and Harlin</w:t>
      </w:r>
      <w:r w:rsidR="00336A02">
        <w:t>.</w:t>
      </w:r>
    </w:p>
    <w:p w14:paraId="71F22D50" w14:textId="146FA048" w:rsidR="002160C5" w:rsidRDefault="00BC196B" w:rsidP="0004306B">
      <w:pPr>
        <w:pStyle w:val="ParaNumbering"/>
      </w:pPr>
      <w:r>
        <w:t xml:space="preserve">In support of its interlocutory application filed on </w:t>
      </w:r>
      <w:r w:rsidR="00912EA3">
        <w:t>3</w:t>
      </w:r>
      <w:r>
        <w:t xml:space="preserve"> May 2023</w:t>
      </w:r>
      <w:r w:rsidR="00A72DA8">
        <w:t xml:space="preserve"> seeking leave to commence proceedings</w:t>
      </w:r>
      <w:r>
        <w:t xml:space="preserve">, Sunshine Energy relied on an affidavit of Mr Chi Man Li filed on </w:t>
      </w:r>
      <w:r w:rsidR="00912EA3">
        <w:t xml:space="preserve">3 </w:t>
      </w:r>
      <w:r>
        <w:t>May 2023 (</w:t>
      </w:r>
      <w:r w:rsidR="002547E7" w:rsidRPr="008F5E59">
        <w:rPr>
          <w:b/>
        </w:rPr>
        <w:t>CML</w:t>
      </w:r>
      <w:r w:rsidR="00A72DA8" w:rsidRPr="008F5E59">
        <w:rPr>
          <w:b/>
        </w:rPr>
        <w:t>-</w:t>
      </w:r>
      <w:proofErr w:type="spellStart"/>
      <w:r w:rsidR="00A72DA8" w:rsidRPr="008F5E59">
        <w:rPr>
          <w:b/>
        </w:rPr>
        <w:t>Aff</w:t>
      </w:r>
      <w:proofErr w:type="spellEnd"/>
      <w:r>
        <w:t>) and three affidavits of</w:t>
      </w:r>
      <w:r w:rsidR="00336A02">
        <w:t xml:space="preserve"> Mr</w:t>
      </w:r>
      <w:r>
        <w:t xml:space="preserve"> </w:t>
      </w:r>
      <w:proofErr w:type="spellStart"/>
      <w:r>
        <w:t>Niren</w:t>
      </w:r>
      <w:proofErr w:type="spellEnd"/>
      <w:r>
        <w:t xml:space="preserve"> Raj filed on 16</w:t>
      </w:r>
      <w:r w:rsidR="002160C5">
        <w:t xml:space="preserve"> May 2023 (</w:t>
      </w:r>
      <w:r w:rsidR="002160C5" w:rsidRPr="002160C5">
        <w:rPr>
          <w:b/>
        </w:rPr>
        <w:t>First NR-</w:t>
      </w:r>
      <w:proofErr w:type="spellStart"/>
      <w:r w:rsidR="002160C5" w:rsidRPr="002160C5">
        <w:rPr>
          <w:b/>
        </w:rPr>
        <w:t>Aff</w:t>
      </w:r>
      <w:proofErr w:type="spellEnd"/>
      <w:r w:rsidR="002160C5">
        <w:t>)</w:t>
      </w:r>
      <w:r>
        <w:t xml:space="preserve">, 26 </w:t>
      </w:r>
      <w:r w:rsidR="002160C5">
        <w:t>May 2023 (</w:t>
      </w:r>
      <w:r w:rsidR="002160C5" w:rsidRPr="008F5E59">
        <w:rPr>
          <w:b/>
        </w:rPr>
        <w:t>Second NR-</w:t>
      </w:r>
      <w:proofErr w:type="spellStart"/>
      <w:r w:rsidR="002160C5" w:rsidRPr="008F5E59">
        <w:rPr>
          <w:b/>
        </w:rPr>
        <w:t>Aff</w:t>
      </w:r>
      <w:proofErr w:type="spellEnd"/>
      <w:r w:rsidR="002160C5">
        <w:t xml:space="preserve">), </w:t>
      </w:r>
      <w:r>
        <w:t>and 2</w:t>
      </w:r>
      <w:r w:rsidR="00912EA3">
        <w:t>9</w:t>
      </w:r>
      <w:r>
        <w:t xml:space="preserve"> May </w:t>
      </w:r>
      <w:r w:rsidR="002160C5">
        <w:t>2023 (</w:t>
      </w:r>
      <w:r w:rsidR="002160C5" w:rsidRPr="008F5E59">
        <w:rPr>
          <w:b/>
        </w:rPr>
        <w:t>Third NR-</w:t>
      </w:r>
      <w:proofErr w:type="spellStart"/>
      <w:r w:rsidR="002160C5" w:rsidRPr="008F5E59">
        <w:rPr>
          <w:b/>
        </w:rPr>
        <w:t>Aff</w:t>
      </w:r>
      <w:proofErr w:type="spellEnd"/>
      <w:r w:rsidR="002160C5" w:rsidRPr="00336A02">
        <w:t>).</w:t>
      </w:r>
    </w:p>
    <w:p w14:paraId="0E192412" w14:textId="66A5CE06" w:rsidR="0004306B" w:rsidRPr="0004306B" w:rsidRDefault="00A72DA8" w:rsidP="00A72DA8">
      <w:pPr>
        <w:pStyle w:val="Heading2"/>
      </w:pPr>
      <w:r>
        <w:lastRenderedPageBreak/>
        <w:t>Legislative framework</w:t>
      </w:r>
    </w:p>
    <w:p w14:paraId="127577F3" w14:textId="200C54BA" w:rsidR="00D60164" w:rsidRDefault="00D60164" w:rsidP="00D60164">
      <w:pPr>
        <w:pStyle w:val="ParaNumbering"/>
      </w:pPr>
      <w:r>
        <w:t xml:space="preserve">Rule 39.03 </w:t>
      </w:r>
      <w:r w:rsidR="00336A02">
        <w:t xml:space="preserve">of the </w:t>
      </w:r>
      <w:r w:rsidR="00336A02">
        <w:rPr>
          <w:i/>
        </w:rPr>
        <w:t xml:space="preserve">Rules </w:t>
      </w:r>
      <w:r>
        <w:t xml:space="preserve">provides: </w:t>
      </w:r>
    </w:p>
    <w:p w14:paraId="3F8772E7" w14:textId="77777777" w:rsidR="00D60164" w:rsidRPr="00D60164" w:rsidRDefault="00D60164" w:rsidP="00D60164">
      <w:pPr>
        <w:pStyle w:val="Quote1"/>
        <w:rPr>
          <w:b/>
        </w:rPr>
      </w:pPr>
      <w:r w:rsidRPr="00D60164">
        <w:rPr>
          <w:b/>
        </w:rPr>
        <w:t>Dismissal of proceedings and stay of further proceedings</w:t>
      </w:r>
    </w:p>
    <w:p w14:paraId="4A4FE8A6" w14:textId="77777777" w:rsidR="00D60164" w:rsidRDefault="00D60164" w:rsidP="00946EE6">
      <w:pPr>
        <w:pStyle w:val="Quote1"/>
        <w:numPr>
          <w:ilvl w:val="0"/>
          <w:numId w:val="29"/>
        </w:numPr>
        <w:ind w:left="1440" w:hanging="703"/>
      </w:pPr>
      <w:r>
        <w:t>If the Court makes an order dismissing a proceeding or part of a proceeding, the applicant may apply to the Court:</w:t>
      </w:r>
    </w:p>
    <w:p w14:paraId="769D153F" w14:textId="77777777" w:rsidR="00D60164" w:rsidRDefault="00D60164" w:rsidP="00452739">
      <w:pPr>
        <w:pStyle w:val="Quote2"/>
        <w:ind w:left="2160" w:hanging="720"/>
      </w:pPr>
      <w:r>
        <w:t>(a)</w:t>
      </w:r>
      <w:r w:rsidR="00946EE6">
        <w:t xml:space="preserve"> </w:t>
      </w:r>
      <w:r w:rsidR="00946EE6">
        <w:tab/>
      </w:r>
      <w:proofErr w:type="gramStart"/>
      <w:r>
        <w:t>for</w:t>
      </w:r>
      <w:proofErr w:type="gramEnd"/>
      <w:r>
        <w:t xml:space="preserve"> an order that the dismissal be without prejudice to any right of the applicant to bring fresh proceedings; or</w:t>
      </w:r>
    </w:p>
    <w:p w14:paraId="03451624" w14:textId="77777777" w:rsidR="00D60164" w:rsidRPr="00F64BB4" w:rsidRDefault="00D60164" w:rsidP="00452739">
      <w:pPr>
        <w:pStyle w:val="Quote2"/>
        <w:ind w:left="2160" w:hanging="720"/>
        <w:rPr>
          <w:i/>
        </w:rPr>
      </w:pPr>
      <w:r w:rsidRPr="00F64BB4">
        <w:t>(b)</w:t>
      </w:r>
      <w:r w:rsidR="00F64BB4" w:rsidRPr="00F64BB4">
        <w:t xml:space="preserve"> </w:t>
      </w:r>
      <w:r w:rsidR="00F64BB4" w:rsidRPr="00F64BB4">
        <w:tab/>
      </w:r>
      <w:proofErr w:type="gramStart"/>
      <w:r w:rsidRPr="002160C5">
        <w:rPr>
          <w:i/>
        </w:rPr>
        <w:t>for</w:t>
      </w:r>
      <w:proofErr w:type="gramEnd"/>
      <w:r w:rsidRPr="002160C5">
        <w:rPr>
          <w:i/>
        </w:rPr>
        <w:t xml:space="preserve"> leave to claim the same relief in a new proceeding</w:t>
      </w:r>
      <w:r w:rsidRPr="00097BC8">
        <w:t>.</w:t>
      </w:r>
    </w:p>
    <w:p w14:paraId="0C6F071F" w14:textId="77777777" w:rsidR="00D60164" w:rsidRDefault="00F64BB4" w:rsidP="00F64BB4">
      <w:pPr>
        <w:pStyle w:val="Quote1"/>
      </w:pPr>
      <w:r>
        <w:t xml:space="preserve">(2) </w:t>
      </w:r>
      <w:r>
        <w:tab/>
        <w:t>If:</w:t>
      </w:r>
    </w:p>
    <w:p w14:paraId="1A70F1E7" w14:textId="77777777" w:rsidR="00D60164" w:rsidRPr="00516A71" w:rsidRDefault="00F64BB4" w:rsidP="00452739">
      <w:pPr>
        <w:pStyle w:val="Quote2"/>
        <w:ind w:left="2160" w:hanging="720"/>
      </w:pPr>
      <w:r>
        <w:t xml:space="preserve">(a) </w:t>
      </w:r>
      <w:r>
        <w:tab/>
      </w:r>
      <w:proofErr w:type="gramStart"/>
      <w:r w:rsidR="00D60164" w:rsidRPr="00516A71">
        <w:t>a</w:t>
      </w:r>
      <w:proofErr w:type="gramEnd"/>
      <w:r w:rsidR="00D60164" w:rsidRPr="00516A71">
        <w:t xml:space="preserve"> proceeding has been dis</w:t>
      </w:r>
      <w:r w:rsidRPr="00516A71">
        <w:t>missed in whole or in part; and</w:t>
      </w:r>
    </w:p>
    <w:p w14:paraId="79FCF9E1" w14:textId="77777777" w:rsidR="00D60164" w:rsidRDefault="00D60164" w:rsidP="00452739">
      <w:pPr>
        <w:pStyle w:val="Quote2"/>
        <w:ind w:left="2160" w:hanging="720"/>
      </w:pPr>
      <w:r w:rsidRPr="00516A71">
        <w:t>(b)</w:t>
      </w:r>
      <w:r w:rsidR="00F64BB4" w:rsidRPr="00516A71">
        <w:t xml:space="preserve"> </w:t>
      </w:r>
      <w:r w:rsidR="00F64BB4" w:rsidRPr="00516A71">
        <w:tab/>
      </w:r>
      <w:proofErr w:type="gramStart"/>
      <w:r w:rsidRPr="00516A71">
        <w:t>the</w:t>
      </w:r>
      <w:proofErr w:type="gramEnd"/>
      <w:r w:rsidRPr="00516A71">
        <w:t xml:space="preserve"> Court has ordered the applicant to pay an</w:t>
      </w:r>
      <w:r w:rsidR="00F64BB4" w:rsidRPr="00516A71">
        <w:t>other party’s (the second party’</w:t>
      </w:r>
      <w:r w:rsidRPr="00516A71">
        <w:t>s) costs;</w:t>
      </w:r>
    </w:p>
    <w:p w14:paraId="790B2EEC" w14:textId="5B574AAA" w:rsidR="00B42257" w:rsidRDefault="00D60164" w:rsidP="00097BC8">
      <w:pPr>
        <w:pStyle w:val="Quote2"/>
      </w:pPr>
      <w:proofErr w:type="gramStart"/>
      <w:r>
        <w:t>the</w:t>
      </w:r>
      <w:proofErr w:type="gramEnd"/>
      <w:r>
        <w:t xml:space="preserve"> second party may apply to the Court for an order staying any further proceedings brought by the applicant against the second party on the same or substantially the same cause of action or relief, until the costs have been paid.</w:t>
      </w:r>
    </w:p>
    <w:p w14:paraId="3ED84B40" w14:textId="7A82F225" w:rsidR="00A72DA8" w:rsidRPr="00097BC8" w:rsidRDefault="00A72DA8" w:rsidP="00097BC8">
      <w:pPr>
        <w:pStyle w:val="Quote2"/>
      </w:pPr>
      <w:r>
        <w:t>(Emphasis added.)</w:t>
      </w:r>
    </w:p>
    <w:p w14:paraId="46E32936" w14:textId="404BB5D6" w:rsidR="001F56EF" w:rsidRPr="001F56EF" w:rsidRDefault="0004306B" w:rsidP="001F56EF">
      <w:pPr>
        <w:pStyle w:val="ParaNumbering"/>
      </w:pPr>
      <w:r>
        <w:t>As the parties noted, there is a paucity of case law on the interpretation of this rule, but I was referred to the decision of Flick J i</w:t>
      </w:r>
      <w:r w:rsidR="001F56EF">
        <w:t xml:space="preserve">n </w:t>
      </w:r>
      <w:r w:rsidR="001F56EF" w:rsidRPr="005662B3">
        <w:rPr>
          <w:i/>
        </w:rPr>
        <w:t xml:space="preserve">Skinner v Commonwealth of Australia </w:t>
      </w:r>
      <w:r w:rsidR="001F56EF" w:rsidRPr="005662B3">
        <w:t>[2012] FCA 1194</w:t>
      </w:r>
      <w:r w:rsidR="001F56EF" w:rsidRPr="005662B3">
        <w:rPr>
          <w:i/>
        </w:rPr>
        <w:t xml:space="preserve"> </w:t>
      </w:r>
      <w:r>
        <w:t>at [44] where his Honour</w:t>
      </w:r>
      <w:r w:rsidR="001F56EF">
        <w:t xml:space="preserve"> held: </w:t>
      </w:r>
    </w:p>
    <w:p w14:paraId="3EC6E1A1" w14:textId="30CB9FE4" w:rsidR="002160C5" w:rsidRPr="002160C5" w:rsidRDefault="001F56EF" w:rsidP="0004306B">
      <w:pPr>
        <w:pStyle w:val="Quote1"/>
        <w:rPr>
          <w:bdr w:val="none" w:sz="0" w:space="0" w:color="auto" w:frame="1"/>
          <w:shd w:val="clear" w:color="auto" w:fill="FFFFFF"/>
        </w:rPr>
      </w:pPr>
      <w:r>
        <w:rPr>
          <w:bdr w:val="none" w:sz="0" w:space="0" w:color="auto" w:frame="1"/>
          <w:shd w:val="clear" w:color="auto" w:fill="FFFFFF"/>
        </w:rPr>
        <w:t>The discretion conferred by r 39.03(1) is not confined by criteria which are expressly stated. It is a discretion, it is considered, which should be exercised by reference primarily to the competing rights of the parties. In circumstances where the dismissal of a proceeding occurs at the outset and in advance of any defence or any other step in the proceeding having been taken, it may be difficult for a respondent to point to any prejudice which would preclude the discretion being exercised in an applicant’s favour. Indeed, it may well be the case that in such circumstances irrevocable prejudice would be occasioned to an applicant if an order were not made permitting him to “</w:t>
      </w:r>
      <w:r>
        <w:rPr>
          <w:i/>
          <w:iCs/>
          <w:bdr w:val="none" w:sz="0" w:space="0" w:color="auto" w:frame="1"/>
          <w:shd w:val="clear" w:color="auto" w:fill="FFFFFF"/>
        </w:rPr>
        <w:t>bring fresh proceedings</w:t>
      </w:r>
      <w:r>
        <w:rPr>
          <w:bdr w:val="none" w:sz="0" w:space="0" w:color="auto" w:frame="1"/>
          <w:shd w:val="clear" w:color="auto" w:fill="FFFFFF"/>
        </w:rPr>
        <w:t>”.</w:t>
      </w:r>
    </w:p>
    <w:p w14:paraId="58B06F8E" w14:textId="2A2BB6EC" w:rsidR="002160C5" w:rsidRDefault="002160C5" w:rsidP="002160C5">
      <w:pPr>
        <w:pStyle w:val="ParaNumbering"/>
      </w:pPr>
      <w:r>
        <w:t xml:space="preserve">Counsel for the respondents submitted the purpose of r 39.03(1) </w:t>
      </w:r>
      <w:r w:rsidR="005063C1">
        <w:t xml:space="preserve">of the </w:t>
      </w:r>
      <w:r w:rsidR="005063C1">
        <w:rPr>
          <w:i/>
        </w:rPr>
        <w:t xml:space="preserve">Rules </w:t>
      </w:r>
      <w:r>
        <w:t xml:space="preserve">is to act as a brake on the re-commencement of proceedings for the same relief against the same party absent any change in circumstances. Acceptance of that submission would import a criteria into r 39.03(1) that is not apparent on its face. Nevertheless, I accept that the absence of a change in circumstances </w:t>
      </w:r>
      <w:r w:rsidRPr="007D6C5E">
        <w:rPr>
          <w:i/>
        </w:rPr>
        <w:t>may</w:t>
      </w:r>
      <w:r>
        <w:t xml:space="preserve"> be relevant, as it is in this case, when balancing the competing rights of the parties and assessing the likely prejudice to </w:t>
      </w:r>
      <w:r w:rsidR="007D6C5E">
        <w:t>all parties in the context of the reasons underp</w:t>
      </w:r>
      <w:r w:rsidR="00336A02">
        <w:t>inning the dismissal of the Former</w:t>
      </w:r>
      <w:r w:rsidR="007D6C5E">
        <w:t xml:space="preserve"> Proceedings.  </w:t>
      </w:r>
    </w:p>
    <w:p w14:paraId="2F6DE080" w14:textId="181B0FCE" w:rsidR="002160C5" w:rsidRDefault="007D6C5E" w:rsidP="002160C5">
      <w:pPr>
        <w:pStyle w:val="ParaNumbering"/>
      </w:pPr>
      <w:r>
        <w:t xml:space="preserve">This is particularly so where, as was </w:t>
      </w:r>
      <w:r w:rsidR="002160C5">
        <w:t>submitted by Sunshine Energy at the hearing in the Former Proceedings</w:t>
      </w:r>
      <w:r>
        <w:t>, and reiterated in the hearing of the interlocutory application</w:t>
      </w:r>
      <w:r w:rsidR="00A72DA8">
        <w:t xml:space="preserve"> in the present </w:t>
      </w:r>
      <w:r w:rsidR="00A72DA8">
        <w:lastRenderedPageBreak/>
        <w:t>proceedings</w:t>
      </w:r>
      <w:r>
        <w:t xml:space="preserve">, </w:t>
      </w:r>
      <w:r w:rsidR="002160C5">
        <w:t xml:space="preserve">no </w:t>
      </w:r>
      <w:r w:rsidR="002160C5">
        <w:rPr>
          <w:i/>
        </w:rPr>
        <w:t xml:space="preserve">res judicata </w:t>
      </w:r>
      <w:r w:rsidR="002160C5">
        <w:t xml:space="preserve">or issue estoppel </w:t>
      </w:r>
      <w:r>
        <w:t xml:space="preserve">arose </w:t>
      </w:r>
      <w:r w:rsidR="002160C5">
        <w:t xml:space="preserve">consequent upon the dismissal of the Former Proceedings, nor that the proceeding is time barred: </w:t>
      </w:r>
      <w:r w:rsidR="002160C5" w:rsidRPr="00F17B57">
        <w:rPr>
          <w:i/>
        </w:rPr>
        <w:t>Sunshine Energy</w:t>
      </w:r>
      <w:r>
        <w:rPr>
          <w:i/>
        </w:rPr>
        <w:t xml:space="preserve"> </w:t>
      </w:r>
      <w:r>
        <w:t xml:space="preserve">at [46]; </w:t>
      </w:r>
      <w:proofErr w:type="spellStart"/>
      <w:r w:rsidRPr="005662B3">
        <w:rPr>
          <w:i/>
        </w:rPr>
        <w:t>Idoport</w:t>
      </w:r>
      <w:proofErr w:type="spellEnd"/>
      <w:r w:rsidRPr="005662B3">
        <w:rPr>
          <w:i/>
        </w:rPr>
        <w:t xml:space="preserve"> Pty Limited v National Australia Bank Ltd</w:t>
      </w:r>
      <w:r w:rsidRPr="005662B3">
        <w:t xml:space="preserve"> [2002] NSWSC 18</w:t>
      </w:r>
      <w:r>
        <w:t>.</w:t>
      </w:r>
    </w:p>
    <w:p w14:paraId="65E5BB0A" w14:textId="6262937B" w:rsidR="00CD3933" w:rsidRDefault="00CD3933" w:rsidP="002160C5">
      <w:pPr>
        <w:pStyle w:val="ParaNumbering"/>
      </w:pPr>
      <w:r>
        <w:t>In the present circumstances, the Former Proceedings were dismissed for the failure to comply with an order for security costs that was materially in the same terms as the order now sought by Sunshine Energy to justify leave being granted, that is:</w:t>
      </w:r>
    </w:p>
    <w:p w14:paraId="7AC0C686" w14:textId="4A8D03CA" w:rsidR="00CD3933" w:rsidRPr="00CD3933" w:rsidRDefault="00CD3933" w:rsidP="00CE30BD">
      <w:pPr>
        <w:pStyle w:val="Quote1"/>
      </w:pPr>
      <w:r w:rsidRPr="00CD3933">
        <w:t>The applicants to provide security for the First Respondent’s costs by payment of funds into Court or by providing a bank guarantee in a form acceptable to the Queensland District Registrar, as follows:</w:t>
      </w:r>
    </w:p>
    <w:p w14:paraId="1ED73639" w14:textId="0050ED36" w:rsidR="00CD3933" w:rsidRPr="00CD3933" w:rsidRDefault="00CD3933" w:rsidP="00CE30BD">
      <w:pPr>
        <w:pStyle w:val="Quote2"/>
        <w:numPr>
          <w:ilvl w:val="0"/>
          <w:numId w:val="31"/>
        </w:numPr>
      </w:pPr>
      <w:r w:rsidRPr="00CD3933">
        <w:t>$150,000 by 4pm on 26 June 2023; and</w:t>
      </w:r>
    </w:p>
    <w:p w14:paraId="2FADD802" w14:textId="6E258C3D" w:rsidR="00CD3933" w:rsidRPr="00CD3933" w:rsidRDefault="00CD3933" w:rsidP="00CE30BD">
      <w:pPr>
        <w:pStyle w:val="Quote2"/>
        <w:numPr>
          <w:ilvl w:val="0"/>
          <w:numId w:val="31"/>
        </w:numPr>
      </w:pPr>
      <w:r w:rsidRPr="00CD3933">
        <w:t>$200,000 by 4pm on the day that it is 3 business days after the date by which the Court order the Applicants to file and serve any affidavits of lay and/or expert witnesses in support of their proceedings.</w:t>
      </w:r>
    </w:p>
    <w:p w14:paraId="499EFC83" w14:textId="4E89265E" w:rsidR="002160C5" w:rsidRDefault="00CD3933" w:rsidP="00CD3933">
      <w:pPr>
        <w:pStyle w:val="ParaNumbering"/>
      </w:pPr>
      <w:r>
        <w:t xml:space="preserve">Sunshine Energy also </w:t>
      </w:r>
      <w:r w:rsidR="002D1C67">
        <w:t xml:space="preserve">proposed </w:t>
      </w:r>
      <w:r>
        <w:t>an order that the applicants pay the sum of $66,000 to Harlin representing payment in full of Harlin’s costs of the Former Proceedings, the costs order having been made on 9 March 2023.</w:t>
      </w:r>
      <w:r w:rsidR="00912EA3">
        <w:t xml:space="preserve"> </w:t>
      </w:r>
      <w:r w:rsidR="004A0350">
        <w:t>It posited that the proceedings could be stayed pending the payment of the first tranche of security and the costs.</w:t>
      </w:r>
    </w:p>
    <w:p w14:paraId="1AABA648" w14:textId="1D0F9020" w:rsidR="00A72DA8" w:rsidRDefault="00A72DA8" w:rsidP="00A72DA8">
      <w:pPr>
        <w:pStyle w:val="Heading2"/>
      </w:pPr>
      <w:r>
        <w:t xml:space="preserve">The Respondents’ case </w:t>
      </w:r>
    </w:p>
    <w:p w14:paraId="55C15860" w14:textId="5B58176A" w:rsidR="006070D3" w:rsidRDefault="00CD3933" w:rsidP="007A61A6">
      <w:pPr>
        <w:pStyle w:val="ParaNumbering"/>
      </w:pPr>
      <w:r>
        <w:t>It is against that background that the respondents submit that th</w:t>
      </w:r>
      <w:r w:rsidR="008F5E59">
        <w:t>e circumstances they now face in</w:t>
      </w:r>
      <w:r>
        <w:t xml:space="preserve"> the</w:t>
      </w:r>
      <w:r w:rsidR="00A72DA8">
        <w:t xml:space="preserve"> present</w:t>
      </w:r>
      <w:r>
        <w:t xml:space="preserve"> proceedings are materially the same, if not worse, than those they encountered in the Former Proceedings. In particular, the case as pleaded against the </w:t>
      </w:r>
      <w:proofErr w:type="gramStart"/>
      <w:r>
        <w:t>respondents</w:t>
      </w:r>
      <w:proofErr w:type="gramEnd"/>
      <w:r>
        <w:t xml:space="preserve"> remains </w:t>
      </w:r>
      <w:r w:rsidR="00912EA3">
        <w:t xml:space="preserve">essentially </w:t>
      </w:r>
      <w:r>
        <w:t xml:space="preserve">identical, security has not </w:t>
      </w:r>
      <w:r w:rsidR="006070D3">
        <w:t xml:space="preserve">been </w:t>
      </w:r>
      <w:r>
        <w:t>provided</w:t>
      </w:r>
      <w:r w:rsidR="006070D3">
        <w:t xml:space="preserve"> and the likelihood of its being provided remains somewhat elusive, costs orders have not been met, and further costs have been incurred in the </w:t>
      </w:r>
      <w:r w:rsidR="00A72DA8">
        <w:t xml:space="preserve">present </w:t>
      </w:r>
      <w:r w:rsidR="006070D3">
        <w:t>proceedings.</w:t>
      </w:r>
    </w:p>
    <w:p w14:paraId="63B63506" w14:textId="50CB7A9F" w:rsidR="007A61A6" w:rsidRDefault="007D6C5E" w:rsidP="007A61A6">
      <w:pPr>
        <w:pStyle w:val="ParaNumbering"/>
      </w:pPr>
      <w:r>
        <w:t xml:space="preserve">Mr </w:t>
      </w:r>
      <w:proofErr w:type="spellStart"/>
      <w:r>
        <w:t>Yousseff</w:t>
      </w:r>
      <w:proofErr w:type="spellEnd"/>
      <w:r>
        <w:t xml:space="preserve"> relied on </w:t>
      </w:r>
      <w:r w:rsidR="00336A02">
        <w:t>an</w:t>
      </w:r>
      <w:r>
        <w:t xml:space="preserve"> affidavit of </w:t>
      </w:r>
      <w:r w:rsidR="00336A02">
        <w:t xml:space="preserve">Mr </w:t>
      </w:r>
      <w:r>
        <w:t xml:space="preserve">Robert David Webb filed on </w:t>
      </w:r>
      <w:r w:rsidR="00912EA3">
        <w:t xml:space="preserve">10 </w:t>
      </w:r>
      <w:r>
        <w:t>May 2023 (</w:t>
      </w:r>
      <w:proofErr w:type="spellStart"/>
      <w:r w:rsidRPr="008F5E59">
        <w:rPr>
          <w:b/>
        </w:rPr>
        <w:t>Aff</w:t>
      </w:r>
      <w:proofErr w:type="spellEnd"/>
      <w:r w:rsidRPr="008F5E59">
        <w:rPr>
          <w:b/>
        </w:rPr>
        <w:t>-RDW</w:t>
      </w:r>
      <w:r>
        <w:t>). Harlin</w:t>
      </w:r>
      <w:r w:rsidR="00CE30BD">
        <w:t xml:space="preserve"> </w:t>
      </w:r>
      <w:r>
        <w:t>relied on three affidavits of</w:t>
      </w:r>
      <w:r w:rsidR="00336A02">
        <w:t xml:space="preserve"> Mr</w:t>
      </w:r>
      <w:r>
        <w:t xml:space="preserve"> Joshua Henderson filed on </w:t>
      </w:r>
      <w:r w:rsidR="00912EA3">
        <w:t>10</w:t>
      </w:r>
      <w:r>
        <w:t xml:space="preserve"> May 2023 (</w:t>
      </w:r>
      <w:r w:rsidRPr="008F5E59">
        <w:rPr>
          <w:b/>
        </w:rPr>
        <w:t>First JH-</w:t>
      </w:r>
      <w:proofErr w:type="spellStart"/>
      <w:r w:rsidRPr="008F5E59">
        <w:rPr>
          <w:b/>
        </w:rPr>
        <w:t>Aff</w:t>
      </w:r>
      <w:proofErr w:type="spellEnd"/>
      <w:r>
        <w:t>), 25 May 2023, and 29 May 2023 (</w:t>
      </w:r>
      <w:r w:rsidRPr="008F5E59">
        <w:rPr>
          <w:b/>
        </w:rPr>
        <w:t>Third JH-</w:t>
      </w:r>
      <w:proofErr w:type="spellStart"/>
      <w:r w:rsidRPr="008F5E59">
        <w:rPr>
          <w:b/>
        </w:rPr>
        <w:t>Aff</w:t>
      </w:r>
      <w:proofErr w:type="spellEnd"/>
      <w:r>
        <w:t>).</w:t>
      </w:r>
    </w:p>
    <w:p w14:paraId="4CA989D2" w14:textId="630219B4" w:rsidR="00A72DA8" w:rsidRDefault="00A72DA8" w:rsidP="00A72DA8">
      <w:pPr>
        <w:pStyle w:val="Heading3"/>
      </w:pPr>
      <w:r>
        <w:t xml:space="preserve">Impecuniosity and security for costs </w:t>
      </w:r>
    </w:p>
    <w:p w14:paraId="1ADB5C0A" w14:textId="44B6E59E" w:rsidR="00A72DA8" w:rsidRDefault="006070D3" w:rsidP="00A72DA8">
      <w:pPr>
        <w:pStyle w:val="ParaNumbering"/>
      </w:pPr>
      <w:r>
        <w:t xml:space="preserve">As to the first ground of opposition to leave being granted, it was </w:t>
      </w:r>
      <w:r w:rsidR="00A72DA8">
        <w:t xml:space="preserve">accepted </w:t>
      </w:r>
      <w:r>
        <w:t>that Sunshine Energy is impecunious. As Sunshine Energy rightly submitted, impecuniosity is not a basis for shutting a plaintiff out of a legitimate claim. Nevertheless, in circumstances where Sunshine Energy concedes that it will be required to pay security</w:t>
      </w:r>
      <w:r w:rsidR="00A72DA8">
        <w:t xml:space="preserve"> in the present proceedings</w:t>
      </w:r>
      <w:r>
        <w:t xml:space="preserve">, and in </w:t>
      </w:r>
      <w:r>
        <w:lastRenderedPageBreak/>
        <w:t>circumstances where the amount of security contemplated already appears inadequate given the costs orders to date, its impecuniosity remains a factor to be weighed in the exercise of the discretion.</w:t>
      </w:r>
    </w:p>
    <w:p w14:paraId="0F6CBE8E" w14:textId="70863F20" w:rsidR="00A72DA8" w:rsidRDefault="00A72DA8" w:rsidP="007A61A6">
      <w:pPr>
        <w:pStyle w:val="ParaNumbering"/>
      </w:pPr>
      <w:r>
        <w:t>As to the second ground, t</w:t>
      </w:r>
      <w:r w:rsidR="003F589E">
        <w:t xml:space="preserve">he respondents submitted that it appears increasingly unlikely </w:t>
      </w:r>
      <w:r w:rsidR="00912EA3">
        <w:t xml:space="preserve">(as compared to the circumstances presented in the Former Proceedings) </w:t>
      </w:r>
      <w:r w:rsidR="003F589E">
        <w:t xml:space="preserve">that Sunshine Energy will be able to provide security. </w:t>
      </w:r>
    </w:p>
    <w:p w14:paraId="73A41FCE" w14:textId="3F2FDCE5" w:rsidR="00E327AA" w:rsidRDefault="003F589E" w:rsidP="007A61A6">
      <w:pPr>
        <w:pStyle w:val="ParaNumbering"/>
      </w:pPr>
      <w:r>
        <w:t>Sunshine Energy submitted, essentially, that it should have the benefit of the doubt</w:t>
      </w:r>
      <w:r w:rsidR="003B667F">
        <w:t xml:space="preserve"> given</w:t>
      </w:r>
      <w:r w:rsidR="00E327AA">
        <w:t xml:space="preserve"> </w:t>
      </w:r>
      <w:r w:rsidR="003B667F">
        <w:t>their proposed order</w:t>
      </w:r>
      <w:r w:rsidR="00E327AA">
        <w:t xml:space="preserve">s and the evidence provided by Mr Raj on Sunshine Energy’s steps to source funds.  </w:t>
      </w:r>
      <w:r w:rsidR="003B667F">
        <w:t xml:space="preserve"> </w:t>
      </w:r>
    </w:p>
    <w:p w14:paraId="1DD5BC97" w14:textId="5182E41B" w:rsidR="00912EA3" w:rsidRDefault="00E327AA" w:rsidP="007A61A6">
      <w:pPr>
        <w:pStyle w:val="ParaNumbering"/>
      </w:pPr>
      <w:r>
        <w:t>Sunshine Energy sought orders to s</w:t>
      </w:r>
      <w:r w:rsidR="003B667F">
        <w:t>tay the proceedings until payment</w:t>
      </w:r>
      <w:r>
        <w:t xml:space="preserve"> of $150,000 and $66,000 to Mr Youssef and Harlin is made in payment of the costs orders arising from </w:t>
      </w:r>
      <w:r>
        <w:rPr>
          <w:i/>
        </w:rPr>
        <w:t xml:space="preserve">Sunshine Energy. </w:t>
      </w:r>
      <w:r>
        <w:t>Sunshine Energy submits this proposed order</w:t>
      </w:r>
      <w:r w:rsidR="003B667F">
        <w:t xml:space="preserve"> negates the respondents’ concern of prejudice or of incurring further costs in the present proceedings and provides Sunshine Energy with one final opportunity to prosecute its case, and on the basis of the evidence</w:t>
      </w:r>
      <w:r>
        <w:t>.</w:t>
      </w:r>
    </w:p>
    <w:p w14:paraId="30A94357" w14:textId="72B838A7" w:rsidR="002547E7" w:rsidRDefault="003B667F" w:rsidP="007A61A6">
      <w:pPr>
        <w:pStyle w:val="ParaNumbering"/>
      </w:pPr>
      <w:r>
        <w:t xml:space="preserve">Further, </w:t>
      </w:r>
      <w:r w:rsidR="0003621E">
        <w:t xml:space="preserve">Sunshine Energy has proposed a self-executing order such that if the first tranche of security is not provided by 4pm on 26 June 2023, the proceedings are dismissed as against </w:t>
      </w:r>
      <w:r w:rsidR="00E327AA">
        <w:t>Mr Youssef</w:t>
      </w:r>
      <w:r w:rsidR="0003621E">
        <w:t xml:space="preserve">. A similar self-executing order is proposed with respect to any failure to pay Harlin’s costs by the specified date. </w:t>
      </w:r>
    </w:p>
    <w:p w14:paraId="2F36B866" w14:textId="1AFCE443" w:rsidR="0003621E" w:rsidRDefault="0003621E" w:rsidP="007A61A6">
      <w:pPr>
        <w:pStyle w:val="ParaNumbering"/>
      </w:pPr>
      <w:r>
        <w:t>Whilst at first blush there may appear to be little objection to granting Sunshine Energy an additional period of time to “get their house in order”, the respondents submitted that the time for so doing has passed. They ought to have brought the application for leave only once the security was in place and capacity to meet the costs orders had been evidenced. Neither occurred. A</w:t>
      </w:r>
      <w:r w:rsidR="00A72DA8">
        <w:t>s</w:t>
      </w:r>
      <w:r>
        <w:t xml:space="preserve"> I observed in </w:t>
      </w:r>
      <w:r w:rsidR="00336A02">
        <w:rPr>
          <w:i/>
        </w:rPr>
        <w:t xml:space="preserve">Sunshine Energy </w:t>
      </w:r>
      <w:r>
        <w:t xml:space="preserve">at [47], “the applicants have had sufficient time and notice to organise their financial affairs to enable them to comply with the order for security </w:t>
      </w:r>
      <w:r w:rsidR="00E327AA">
        <w:t xml:space="preserve">for </w:t>
      </w:r>
      <w:r>
        <w:t>costs. They have not done so, nor have they provided any reasonable or plausible explanation for the</w:t>
      </w:r>
      <w:r w:rsidR="00E327AA">
        <w:t>ir</w:t>
      </w:r>
      <w:r>
        <w:t xml:space="preserve"> delay”. That observation remains apposite.</w:t>
      </w:r>
    </w:p>
    <w:p w14:paraId="44B4C302" w14:textId="4C434A8C" w:rsidR="00EE5244" w:rsidRDefault="00EE5244" w:rsidP="007A61A6">
      <w:pPr>
        <w:pStyle w:val="ParaNumbering"/>
      </w:pPr>
      <w:r>
        <w:t xml:space="preserve">Indeed, Sunshine Energy’s prospects of obtaining security appear to have deteriorated. At the time of the hearing in </w:t>
      </w:r>
      <w:r w:rsidRPr="00EE5244">
        <w:rPr>
          <w:i/>
        </w:rPr>
        <w:t>Sunshine Energy</w:t>
      </w:r>
      <w:r>
        <w:t xml:space="preserve">, Mr Li deposed to </w:t>
      </w:r>
      <w:proofErr w:type="gramStart"/>
      <w:r w:rsidR="00E327AA">
        <w:t>seeking</w:t>
      </w:r>
      <w:proofErr w:type="gramEnd"/>
      <w:r w:rsidR="00E327AA">
        <w:t xml:space="preserve"> </w:t>
      </w:r>
      <w:r>
        <w:t>security from HSBC. Some details of that evidence is extracted</w:t>
      </w:r>
      <w:r w:rsidR="00E327AA">
        <w:t xml:space="preserve"> in </w:t>
      </w:r>
      <w:r w:rsidR="00E327AA">
        <w:rPr>
          <w:i/>
        </w:rPr>
        <w:t>Sunshine Energy</w:t>
      </w:r>
      <w:r>
        <w:t xml:space="preserve"> at [18]-[21]. On the hearing of this application, </w:t>
      </w:r>
      <w:r w:rsidR="00CE6651">
        <w:t>Mr Raj</w:t>
      </w:r>
      <w:r w:rsidR="00336A02">
        <w:t>, solicitor for Sunshine Energy,</w:t>
      </w:r>
      <w:r w:rsidR="00CE6651">
        <w:t xml:space="preserve"> deposed</w:t>
      </w:r>
      <w:r>
        <w:t xml:space="preserve"> to his being aware of two f</w:t>
      </w:r>
      <w:r w:rsidR="00336A02">
        <w:t>u</w:t>
      </w:r>
      <w:r>
        <w:t xml:space="preserve">nding arrangements being arranged in relation to the security for costs </w:t>
      </w:r>
      <w:r w:rsidR="00E327AA">
        <w:t>ordered to be paid to</w:t>
      </w:r>
      <w:r>
        <w:t xml:space="preserve"> Mr </w:t>
      </w:r>
      <w:r>
        <w:lastRenderedPageBreak/>
        <w:t>Youssef and Harlin</w:t>
      </w:r>
      <w:r w:rsidR="00E327AA">
        <w:t xml:space="preserve"> in </w:t>
      </w:r>
      <w:r w:rsidR="00E327AA">
        <w:rPr>
          <w:i/>
        </w:rPr>
        <w:t>Sunshine Energy</w:t>
      </w:r>
      <w:r w:rsidR="00E327AA">
        <w:t xml:space="preserve"> and any anticipated costs order in the present proceedings</w:t>
      </w:r>
      <w:r>
        <w:t>. He deposes</w:t>
      </w:r>
      <w:r w:rsidR="00E327AA">
        <w:t xml:space="preserve"> </w:t>
      </w:r>
      <w:r w:rsidR="002547E7">
        <w:t>(</w:t>
      </w:r>
      <w:r>
        <w:t>Third NR-</w:t>
      </w:r>
      <w:proofErr w:type="spellStart"/>
      <w:r>
        <w:t>Aff</w:t>
      </w:r>
      <w:proofErr w:type="spellEnd"/>
      <w:r w:rsidR="002547E7">
        <w:t xml:space="preserve"> at [6] – [8])</w:t>
      </w:r>
      <w:r>
        <w:t>:</w:t>
      </w:r>
    </w:p>
    <w:p w14:paraId="41A01E74" w14:textId="5F5AFFE1" w:rsidR="00EE5244" w:rsidRPr="00CE6651" w:rsidRDefault="00EE5244" w:rsidP="002547E7">
      <w:pPr>
        <w:pStyle w:val="Quote1"/>
      </w:pPr>
      <w:r w:rsidRPr="00CE6651">
        <w:t>Both funding arrangements will be available within the 3</w:t>
      </w:r>
      <w:r w:rsidR="002547E7">
        <w:t xml:space="preserve">0 days as set out in my earlier </w:t>
      </w:r>
      <w:r w:rsidRPr="00CE6651">
        <w:t xml:space="preserve">Affidavit. I am aware of this because I have spoken to the source of the Funder, </w:t>
      </w:r>
      <w:proofErr w:type="spellStart"/>
      <w:r w:rsidRPr="00CE6651">
        <w:t>Umesh</w:t>
      </w:r>
      <w:proofErr w:type="spellEnd"/>
      <w:r w:rsidRPr="00CE6651">
        <w:t xml:space="preserve"> </w:t>
      </w:r>
      <w:proofErr w:type="spellStart"/>
      <w:r w:rsidRPr="00CE6651">
        <w:t>Dawra</w:t>
      </w:r>
      <w:proofErr w:type="spellEnd"/>
      <w:r w:rsidRPr="00CE6651">
        <w:t xml:space="preserve"> and confirmed the Funding will be in place within the 28 days set out in my earlier Affidavit</w:t>
      </w:r>
      <w:r w:rsidR="00CE6651" w:rsidRPr="00CE6651">
        <w:t>.</w:t>
      </w:r>
    </w:p>
    <w:p w14:paraId="65F63D3C" w14:textId="07219C58" w:rsidR="00CE6651" w:rsidRPr="00CE6651" w:rsidRDefault="00CE6651" w:rsidP="002547E7">
      <w:pPr>
        <w:pStyle w:val="Quote1"/>
        <w:rPr>
          <w:i/>
        </w:rPr>
      </w:pPr>
      <w:r w:rsidRPr="00CE6651">
        <w:t xml:space="preserve">I have spoken to </w:t>
      </w:r>
      <w:proofErr w:type="gramStart"/>
      <w:r w:rsidRPr="00CE6651">
        <w:t>a</w:t>
      </w:r>
      <w:proofErr w:type="gramEnd"/>
      <w:r w:rsidRPr="00CE6651">
        <w:t xml:space="preserve"> </w:t>
      </w:r>
      <w:proofErr w:type="spellStart"/>
      <w:r w:rsidRPr="00CE6651">
        <w:t>Umesh</w:t>
      </w:r>
      <w:proofErr w:type="spellEnd"/>
      <w:r w:rsidRPr="00CE6651">
        <w:t xml:space="preserve"> </w:t>
      </w:r>
      <w:proofErr w:type="spellStart"/>
      <w:r w:rsidRPr="00CE6651">
        <w:t>Dawra</w:t>
      </w:r>
      <w:proofErr w:type="spellEnd"/>
      <w:r w:rsidRPr="00CE6651">
        <w:t xml:space="preserve"> who resides</w:t>
      </w:r>
      <w:r w:rsidR="00336A02">
        <w:t xml:space="preserve"> [redacted]</w:t>
      </w:r>
      <w:r w:rsidRPr="00CE6651">
        <w:t xml:space="preserve"> in the State of New South Wales and he advises me and I verily believe he is in India, </w:t>
      </w:r>
      <w:r w:rsidRPr="00CE6651">
        <w:rPr>
          <w:i/>
        </w:rPr>
        <w:t>sourcing the funding.</w:t>
      </w:r>
    </w:p>
    <w:p w14:paraId="51C3DFD1" w14:textId="4EC20B90" w:rsidR="00CE6651" w:rsidRDefault="00CE6651" w:rsidP="002547E7">
      <w:pPr>
        <w:pStyle w:val="Quote1"/>
      </w:pPr>
      <w:r w:rsidRPr="00CE6651">
        <w:t xml:space="preserve">Annexed hereto and marked NR1 is a true copy of the Driver Licence and Passport of </w:t>
      </w:r>
      <w:proofErr w:type="spellStart"/>
      <w:r w:rsidRPr="00CE6651">
        <w:t>Umesh</w:t>
      </w:r>
      <w:proofErr w:type="spellEnd"/>
      <w:r w:rsidRPr="00CE6651">
        <w:t xml:space="preserve"> </w:t>
      </w:r>
      <w:proofErr w:type="spellStart"/>
      <w:r w:rsidRPr="00CE6651">
        <w:t>Dawra</w:t>
      </w:r>
      <w:proofErr w:type="spellEnd"/>
      <w:r w:rsidRPr="00CE6651">
        <w:t>.</w:t>
      </w:r>
    </w:p>
    <w:p w14:paraId="43993B75" w14:textId="2E83E6F1" w:rsidR="00CE6651" w:rsidRPr="005063C1" w:rsidRDefault="00CE6651" w:rsidP="005063C1">
      <w:pPr>
        <w:pStyle w:val="Quote1"/>
        <w:rPr>
          <w:highlight w:val="yellow"/>
        </w:rPr>
      </w:pPr>
      <w:r w:rsidRPr="005063C1">
        <w:t>(Emphasis added.)</w:t>
      </w:r>
    </w:p>
    <w:p w14:paraId="02B3C6B3" w14:textId="4BE0A710" w:rsidR="00CE6651" w:rsidRDefault="00CE6651" w:rsidP="007A61A6">
      <w:pPr>
        <w:pStyle w:val="ParaNumbering"/>
      </w:pPr>
      <w:r>
        <w:t xml:space="preserve">In his affidavit, </w:t>
      </w:r>
      <w:r w:rsidR="00E327AA">
        <w:t xml:space="preserve">affirmed </w:t>
      </w:r>
      <w:r>
        <w:t>the previous day, Mr Raj deposed</w:t>
      </w:r>
      <w:r w:rsidR="00EE5244">
        <w:t xml:space="preserve"> to </w:t>
      </w:r>
      <w:r>
        <w:t>having been informed by Mr Li, and believing, that</w:t>
      </w:r>
      <w:r w:rsidR="002547E7">
        <w:t xml:space="preserve"> (Second NR-</w:t>
      </w:r>
      <w:proofErr w:type="spellStart"/>
      <w:r w:rsidR="002547E7">
        <w:t>Aff</w:t>
      </w:r>
      <w:proofErr w:type="spellEnd"/>
      <w:r w:rsidR="002547E7">
        <w:t xml:space="preserve"> at [6])</w:t>
      </w:r>
      <w:r>
        <w:t>:</w:t>
      </w:r>
    </w:p>
    <w:p w14:paraId="16647A8B" w14:textId="3F6E5CB4" w:rsidR="00EE5244" w:rsidRDefault="008F5E59" w:rsidP="002547E7">
      <w:pPr>
        <w:pStyle w:val="Quote1"/>
      </w:pPr>
      <w:r>
        <w:t>[</w:t>
      </w:r>
      <w:r w:rsidR="00CE6651" w:rsidRPr="00CE6651">
        <w:t>h</w:t>
      </w:r>
      <w:r>
        <w:t>]</w:t>
      </w:r>
      <w:r w:rsidR="00CE6651" w:rsidRPr="00CE6651">
        <w:t xml:space="preserve">e has taken steps to have funding for the security sum previously ordered in favour of the First Respondent ($350,000) to be available and </w:t>
      </w:r>
      <w:r w:rsidR="00CE6651" w:rsidRPr="003D6E12">
        <w:rPr>
          <w:i/>
        </w:rPr>
        <w:t>this has been confirmed as [he] has access to additional funding to fund any security</w:t>
      </w:r>
      <w:r w:rsidR="00CE6651" w:rsidRPr="00CE6651">
        <w:t xml:space="preserve"> in favour of the other Respondents (should application be made). I am further informed by Mr Li and verily believe that these funding arrangements will be in place in accordance with any Order of this Honourable Court, being 28 days from the date of the Order.</w:t>
      </w:r>
    </w:p>
    <w:p w14:paraId="45BAE898" w14:textId="6BD45BD8" w:rsidR="00CE6651" w:rsidRPr="00CE6651" w:rsidRDefault="00CE6651" w:rsidP="002547E7">
      <w:pPr>
        <w:pStyle w:val="Quote1"/>
      </w:pPr>
      <w:r>
        <w:t>(Emphasis added.)</w:t>
      </w:r>
    </w:p>
    <w:p w14:paraId="6850BB19" w14:textId="1C51577B" w:rsidR="00EE5244" w:rsidRDefault="003D6E12" w:rsidP="007A61A6">
      <w:pPr>
        <w:pStyle w:val="ParaNumbering"/>
      </w:pPr>
      <w:r>
        <w:t>It should also be observed that on 30 March 2023, Mr Raj wrote to the solicitors for</w:t>
      </w:r>
      <w:r w:rsidR="002547E7">
        <w:t xml:space="preserve"> Mr Youssef informing them that</w:t>
      </w:r>
      <w:r>
        <w:t xml:space="preserve"> “Our clients </w:t>
      </w:r>
      <w:r w:rsidRPr="002333CB">
        <w:rPr>
          <w:i/>
          <w:iCs/>
        </w:rPr>
        <w:t>will be able to provide security</w:t>
      </w:r>
      <w:r>
        <w:t xml:space="preserve"> for your </w:t>
      </w:r>
      <w:r w:rsidR="008F5E59">
        <w:t>client’s costs in proceeding no.</w:t>
      </w:r>
      <w:r>
        <w:t xml:space="preserve"> QUD106/23 subject only to an appropriate form of order being agreed and the amount of security to be provided”. (Emphasis added.)</w:t>
      </w:r>
    </w:p>
    <w:p w14:paraId="5767D946" w14:textId="6CD4793A" w:rsidR="003F589E" w:rsidRDefault="003D6E12" w:rsidP="003F589E">
      <w:pPr>
        <w:pStyle w:val="ParaNumbering"/>
      </w:pPr>
      <w:r>
        <w:t>As is evident, Sunshine Energy has not secure</w:t>
      </w:r>
      <w:r w:rsidR="002547E7">
        <w:t>d</w:t>
      </w:r>
      <w:r>
        <w:t xml:space="preserve"> funding to provide security. This </w:t>
      </w:r>
      <w:r w:rsidR="002547E7">
        <w:t>is</w:t>
      </w:r>
      <w:r>
        <w:t xml:space="preserve"> despite assurances since January 2023 that security would be forthcoming. As has already been observed, Sunshine Energy was initially pursing a bank guarantee from HSBC. Such was not forthcoming and no explanation for that has been proffered. Subsequently, Sunshine Energy, through its solicitor, has indicated variously that it “will be able to provide security</w:t>
      </w:r>
      <w:r w:rsidR="00E327AA">
        <w:t>”</w:t>
      </w:r>
      <w:r>
        <w:t xml:space="preserve">, and that “access to additional funding to fund any security” has been confirmed. This relatively optimistic set of representations is apparently directly contradicted by Mr </w:t>
      </w:r>
      <w:proofErr w:type="spellStart"/>
      <w:r>
        <w:t>Raj’s</w:t>
      </w:r>
      <w:proofErr w:type="spellEnd"/>
      <w:r>
        <w:t xml:space="preserve"> most recent affidavit, filed </w:t>
      </w:r>
      <w:r w:rsidR="003F589E">
        <w:t>this morning</w:t>
      </w:r>
      <w:r w:rsidR="00336A02">
        <w:t>,</w:t>
      </w:r>
      <w:r w:rsidR="003F589E">
        <w:t xml:space="preserve"> which makes clear funding is still being sought by a person whose connection to Sunshine Energy and whose means of sourcing the funding are not disclosed. Nor is there any evidence as to the form any security sourced by the funder would be likely to take.</w:t>
      </w:r>
    </w:p>
    <w:p w14:paraId="57E86DA9" w14:textId="336E4C49" w:rsidR="002547E7" w:rsidRDefault="002547E7" w:rsidP="002547E7">
      <w:pPr>
        <w:pStyle w:val="Heading3"/>
      </w:pPr>
      <w:r>
        <w:lastRenderedPageBreak/>
        <w:t xml:space="preserve">Non-compliance and weakness of applicants’ case </w:t>
      </w:r>
    </w:p>
    <w:p w14:paraId="1FF2C897" w14:textId="1063E047" w:rsidR="008A17AB" w:rsidRPr="008A17AB" w:rsidRDefault="003F589E" w:rsidP="003F589E">
      <w:pPr>
        <w:pStyle w:val="ParaNumbering"/>
      </w:pPr>
      <w:r>
        <w:t xml:space="preserve">The respondents submitted that it is relevant to the exercise of the discretion as to whether to grant leave that Sunshine Energy </w:t>
      </w:r>
      <w:r>
        <w:rPr>
          <w:szCs w:val="22"/>
        </w:rPr>
        <w:t xml:space="preserve">have persisted in </w:t>
      </w:r>
      <w:r w:rsidRPr="003F589E">
        <w:rPr>
          <w:szCs w:val="22"/>
        </w:rPr>
        <w:t xml:space="preserve">non-compliance with the </w:t>
      </w:r>
      <w:r w:rsidRPr="003F589E">
        <w:rPr>
          <w:i/>
          <w:szCs w:val="22"/>
        </w:rPr>
        <w:t>Rules</w:t>
      </w:r>
      <w:r>
        <w:rPr>
          <w:szCs w:val="22"/>
        </w:rPr>
        <w:t xml:space="preserve"> despite the admonishment expressed in </w:t>
      </w:r>
      <w:r w:rsidRPr="003F589E">
        <w:rPr>
          <w:i/>
          <w:szCs w:val="22"/>
        </w:rPr>
        <w:t>Sunshine Energy</w:t>
      </w:r>
      <w:r>
        <w:rPr>
          <w:szCs w:val="22"/>
        </w:rPr>
        <w:t xml:space="preserve"> at [44], and despite Mr Li’s assurances to the Court on the hearing of the Former Proceedings: at </w:t>
      </w:r>
      <w:r w:rsidR="0072579A">
        <w:rPr>
          <w:i/>
          <w:szCs w:val="22"/>
        </w:rPr>
        <w:t xml:space="preserve">Sunshine Energy </w:t>
      </w:r>
      <w:r w:rsidR="0072579A">
        <w:rPr>
          <w:szCs w:val="22"/>
        </w:rPr>
        <w:t xml:space="preserve">at </w:t>
      </w:r>
      <w:r>
        <w:rPr>
          <w:szCs w:val="22"/>
        </w:rPr>
        <w:t xml:space="preserve">[43]. </w:t>
      </w:r>
      <w:r w:rsidR="000E604A">
        <w:rPr>
          <w:szCs w:val="22"/>
        </w:rPr>
        <w:t>As concerns the</w:t>
      </w:r>
      <w:r w:rsidR="0072579A">
        <w:rPr>
          <w:szCs w:val="22"/>
        </w:rPr>
        <w:t xml:space="preserve"> present</w:t>
      </w:r>
      <w:r w:rsidR="000E604A">
        <w:rPr>
          <w:szCs w:val="22"/>
        </w:rPr>
        <w:t xml:space="preserve"> proceedings, Sunshine Energy failed to obtain leave as required by r 39.03 </w:t>
      </w:r>
      <w:r w:rsidR="008F5E59">
        <w:rPr>
          <w:szCs w:val="22"/>
        </w:rPr>
        <w:t xml:space="preserve">of the </w:t>
      </w:r>
      <w:r w:rsidR="008F5E59">
        <w:rPr>
          <w:i/>
          <w:szCs w:val="22"/>
        </w:rPr>
        <w:t xml:space="preserve">Rules </w:t>
      </w:r>
      <w:r w:rsidR="000E604A">
        <w:rPr>
          <w:szCs w:val="22"/>
        </w:rPr>
        <w:t xml:space="preserve">before commencing the proceedings - a matter which has been explained by its solicitors and on which I place little weight in the circumstances. Nevertheless, Sunshine Energy has also failed to file a Genuine Steps Statement in accordance with r 8.02 </w:t>
      </w:r>
      <w:r w:rsidR="008F5E59">
        <w:rPr>
          <w:szCs w:val="22"/>
        </w:rPr>
        <w:t xml:space="preserve">of the </w:t>
      </w:r>
      <w:r w:rsidR="008F5E59">
        <w:rPr>
          <w:i/>
          <w:szCs w:val="22"/>
        </w:rPr>
        <w:t xml:space="preserve">Rules </w:t>
      </w:r>
      <w:r w:rsidR="00E327AA">
        <w:rPr>
          <w:szCs w:val="22"/>
        </w:rPr>
        <w:t xml:space="preserve">in the present proceedings </w:t>
      </w:r>
      <w:r w:rsidR="000E604A">
        <w:rPr>
          <w:szCs w:val="22"/>
        </w:rPr>
        <w:t>and failed to comply with costs orders</w:t>
      </w:r>
      <w:r w:rsidR="0072579A">
        <w:rPr>
          <w:szCs w:val="22"/>
        </w:rPr>
        <w:t xml:space="preserve"> in the Former Proceedings</w:t>
      </w:r>
      <w:r w:rsidR="000E604A">
        <w:rPr>
          <w:szCs w:val="22"/>
        </w:rPr>
        <w:t xml:space="preserve">. I accept that </w:t>
      </w:r>
      <w:r w:rsidR="00E327AA">
        <w:rPr>
          <w:szCs w:val="22"/>
        </w:rPr>
        <w:t xml:space="preserve">Sunshine Energy </w:t>
      </w:r>
      <w:r w:rsidR="000E604A">
        <w:rPr>
          <w:szCs w:val="22"/>
        </w:rPr>
        <w:t xml:space="preserve">seeks to have one set of orders taxed, but has taken no steps to do so. </w:t>
      </w:r>
    </w:p>
    <w:p w14:paraId="6CF62E1B" w14:textId="09D3AF42" w:rsidR="00A75577" w:rsidRPr="000E604A" w:rsidRDefault="00E327AA" w:rsidP="00066028">
      <w:pPr>
        <w:pStyle w:val="ParaNumbering"/>
      </w:pPr>
      <w:r>
        <w:rPr>
          <w:szCs w:val="22"/>
        </w:rPr>
        <w:t>Sunshine Energy</w:t>
      </w:r>
      <w:r w:rsidR="000E604A">
        <w:rPr>
          <w:szCs w:val="22"/>
        </w:rPr>
        <w:t xml:space="preserve"> has also persisted with </w:t>
      </w:r>
      <w:r w:rsidR="00336A02">
        <w:rPr>
          <w:szCs w:val="22"/>
        </w:rPr>
        <w:t>re</w:t>
      </w:r>
      <w:r w:rsidR="000E604A">
        <w:rPr>
          <w:szCs w:val="22"/>
        </w:rPr>
        <w:t>filing a statement of claim with serious deficiencies, as had been identified by an application on 14 November 2022 to strike out part</w:t>
      </w:r>
      <w:r w:rsidR="00A75577">
        <w:rPr>
          <w:szCs w:val="22"/>
        </w:rPr>
        <w:t>s of the statement of claim.</w:t>
      </w:r>
      <w:r w:rsidR="008A17AB">
        <w:rPr>
          <w:szCs w:val="22"/>
        </w:rPr>
        <w:t xml:space="preserve"> That fact raises the question of the merits of claim. The respondents did not suggest that this was an appropriate occasion to embark on a close examination of the merits of the claim but some of the deficiencies, it was submitted, ought to be taken into account </w:t>
      </w:r>
      <w:r w:rsidR="00066028">
        <w:rPr>
          <w:szCs w:val="22"/>
        </w:rPr>
        <w:t xml:space="preserve">when considering whether leave should be granted. In particular, there </w:t>
      </w:r>
      <w:r w:rsidR="004D2367">
        <w:rPr>
          <w:szCs w:val="22"/>
        </w:rPr>
        <w:t>was no objection raised by counsel for Sunshine Energy to Mr Youssef’s submission that</w:t>
      </w:r>
      <w:r w:rsidR="009437C6">
        <w:rPr>
          <w:szCs w:val="22"/>
        </w:rPr>
        <w:t>,</w:t>
      </w:r>
      <w:r w:rsidR="004D2367">
        <w:rPr>
          <w:szCs w:val="22"/>
        </w:rPr>
        <w:t xml:space="preserve"> </w:t>
      </w:r>
      <w:r w:rsidR="00066028">
        <w:rPr>
          <w:szCs w:val="22"/>
        </w:rPr>
        <w:t xml:space="preserve">at the time when the alleged breach of fiduciary duty occurred, Mr Youssef </w:t>
      </w:r>
      <w:r w:rsidR="00336A02">
        <w:rPr>
          <w:szCs w:val="22"/>
        </w:rPr>
        <w:t xml:space="preserve">was not in fact a director of </w:t>
      </w:r>
      <w:r w:rsidR="00066028">
        <w:rPr>
          <w:szCs w:val="22"/>
        </w:rPr>
        <w:t>Sunshine Energy. Further, as to the allegation of breach of confidence, it also seemed to be accepted that the relevant confidential information was publicly available</w:t>
      </w:r>
      <w:r w:rsidR="00336A02">
        <w:rPr>
          <w:szCs w:val="22"/>
        </w:rPr>
        <w:t>,</w:t>
      </w:r>
      <w:r w:rsidR="00066028">
        <w:rPr>
          <w:szCs w:val="22"/>
        </w:rPr>
        <w:t xml:space="preserve"> being contained in a development approval.  </w:t>
      </w:r>
    </w:p>
    <w:p w14:paraId="65E217FD" w14:textId="69208DF8" w:rsidR="003F589E" w:rsidRPr="0072579A" w:rsidRDefault="003F589E" w:rsidP="003F589E">
      <w:pPr>
        <w:pStyle w:val="ParaNumbering"/>
      </w:pPr>
      <w:r>
        <w:rPr>
          <w:szCs w:val="22"/>
        </w:rPr>
        <w:t xml:space="preserve">Mr Li has </w:t>
      </w:r>
      <w:r w:rsidR="000E604A">
        <w:rPr>
          <w:szCs w:val="22"/>
        </w:rPr>
        <w:t xml:space="preserve">once again sought to assure the Court that he will not revert to recalcitrance and “will ensure that the Applicants meet all requirements under the Court Rules and also comply with all Court orders in a timely manner”: </w:t>
      </w:r>
      <w:r w:rsidR="0072579A">
        <w:rPr>
          <w:szCs w:val="22"/>
        </w:rPr>
        <w:t>CML-</w:t>
      </w:r>
      <w:proofErr w:type="spellStart"/>
      <w:r w:rsidR="000E604A">
        <w:rPr>
          <w:szCs w:val="22"/>
        </w:rPr>
        <w:t>Aff</w:t>
      </w:r>
      <w:proofErr w:type="spellEnd"/>
      <w:r w:rsidR="000E604A">
        <w:rPr>
          <w:szCs w:val="22"/>
        </w:rPr>
        <w:t xml:space="preserve"> at [16].</w:t>
      </w:r>
      <w:r w:rsidR="00A75577">
        <w:rPr>
          <w:szCs w:val="22"/>
        </w:rPr>
        <w:t xml:space="preserve"> It is difficult to place any weight on this assurance given the history of the matter.</w:t>
      </w:r>
    </w:p>
    <w:p w14:paraId="2B77295F" w14:textId="24D41141" w:rsidR="0072579A" w:rsidRPr="003F589E" w:rsidRDefault="0072579A" w:rsidP="0072579A">
      <w:pPr>
        <w:pStyle w:val="Heading3"/>
      </w:pPr>
      <w:r>
        <w:t xml:space="preserve">Prejudice </w:t>
      </w:r>
    </w:p>
    <w:p w14:paraId="666A5E1C" w14:textId="218C86A2" w:rsidR="00A75577" w:rsidRPr="00A75577" w:rsidRDefault="00A75577" w:rsidP="00A75577">
      <w:pPr>
        <w:pStyle w:val="ParaNumbering"/>
      </w:pPr>
      <w:r>
        <w:rPr>
          <w:szCs w:val="22"/>
        </w:rPr>
        <w:t xml:space="preserve">As to the prejudice to the respondents, Mr Youssef submitted that an individual </w:t>
      </w:r>
      <w:r w:rsidR="007A61A6" w:rsidRPr="00A75577">
        <w:rPr>
          <w:szCs w:val="22"/>
        </w:rPr>
        <w:t>ought not to be vexed by the same proceedings all over again by parties that have not paid his costs of the Former Proceedings, are hopelessly impecunious</w:t>
      </w:r>
      <w:r>
        <w:rPr>
          <w:szCs w:val="22"/>
        </w:rPr>
        <w:t>,</w:t>
      </w:r>
      <w:r w:rsidR="007A61A6" w:rsidRPr="00A75577">
        <w:rPr>
          <w:szCs w:val="22"/>
        </w:rPr>
        <w:t xml:space="preserve"> and are unable or unwilling to comply with Court orders or the </w:t>
      </w:r>
      <w:r w:rsidR="007A61A6" w:rsidRPr="004D2367">
        <w:rPr>
          <w:i/>
          <w:szCs w:val="22"/>
        </w:rPr>
        <w:t>Rules</w:t>
      </w:r>
      <w:r w:rsidR="007A61A6" w:rsidRPr="00A75577">
        <w:rPr>
          <w:szCs w:val="22"/>
        </w:rPr>
        <w:t xml:space="preserve"> and to prosecute their claims consistently with the dictates of </w:t>
      </w:r>
      <w:proofErr w:type="spellStart"/>
      <w:r w:rsidR="007A61A6" w:rsidRPr="00A75577">
        <w:rPr>
          <w:szCs w:val="22"/>
        </w:rPr>
        <w:t>ss</w:t>
      </w:r>
      <w:proofErr w:type="spellEnd"/>
      <w:r w:rsidR="007A61A6" w:rsidRPr="00A75577">
        <w:rPr>
          <w:szCs w:val="22"/>
        </w:rPr>
        <w:t xml:space="preserve"> 37M-37N </w:t>
      </w:r>
      <w:r w:rsidRPr="00A75577">
        <w:rPr>
          <w:bCs/>
          <w:szCs w:val="22"/>
        </w:rPr>
        <w:t xml:space="preserve">of the </w:t>
      </w:r>
      <w:r w:rsidRPr="00B47CE5">
        <w:rPr>
          <w:bCs/>
          <w:i/>
          <w:iCs/>
          <w:szCs w:val="22"/>
        </w:rPr>
        <w:t>FCA Act</w:t>
      </w:r>
      <w:r w:rsidRPr="00A75577">
        <w:rPr>
          <w:bCs/>
          <w:szCs w:val="22"/>
        </w:rPr>
        <w:t>.</w:t>
      </w:r>
      <w:r>
        <w:rPr>
          <w:b/>
          <w:bCs/>
          <w:szCs w:val="22"/>
        </w:rPr>
        <w:t xml:space="preserve"> </w:t>
      </w:r>
      <w:r w:rsidR="007A61A6" w:rsidRPr="00A75577">
        <w:rPr>
          <w:szCs w:val="22"/>
        </w:rPr>
        <w:t xml:space="preserve"> </w:t>
      </w:r>
      <w:r>
        <w:rPr>
          <w:szCs w:val="22"/>
        </w:rPr>
        <w:t xml:space="preserve">Mr Youssef submitted further that his costs of the </w:t>
      </w:r>
      <w:r w:rsidR="004D2367">
        <w:rPr>
          <w:szCs w:val="22"/>
        </w:rPr>
        <w:t xml:space="preserve">present </w:t>
      </w:r>
      <w:r>
        <w:rPr>
          <w:szCs w:val="22"/>
        </w:rPr>
        <w:t xml:space="preserve">proceedings </w:t>
      </w:r>
      <w:r>
        <w:rPr>
          <w:szCs w:val="22"/>
        </w:rPr>
        <w:lastRenderedPageBreak/>
        <w:t xml:space="preserve">are likely to be exacerbated by what he submits is the unreasonable conduct of Sunshine Energy in serving over 4000 pages of material on Mr Youssef’s solicitors in support of this application, none of which appear to have any relevance to the application: </w:t>
      </w:r>
      <w:proofErr w:type="spellStart"/>
      <w:r w:rsidR="000860E9">
        <w:rPr>
          <w:szCs w:val="22"/>
        </w:rPr>
        <w:t>Aff</w:t>
      </w:r>
      <w:proofErr w:type="spellEnd"/>
      <w:r w:rsidR="000860E9">
        <w:rPr>
          <w:szCs w:val="22"/>
        </w:rPr>
        <w:t xml:space="preserve">-RDW </w:t>
      </w:r>
      <w:r>
        <w:rPr>
          <w:szCs w:val="22"/>
        </w:rPr>
        <w:t>at [25]</w:t>
      </w:r>
      <w:r w:rsidR="004D2367">
        <w:rPr>
          <w:szCs w:val="22"/>
        </w:rPr>
        <w:t>-</w:t>
      </w:r>
      <w:r>
        <w:rPr>
          <w:szCs w:val="22"/>
        </w:rPr>
        <w:t xml:space="preserve">[27]. I observe that this material was not put before the Court by Sunshine Energy in support of </w:t>
      </w:r>
      <w:r w:rsidR="00336A02">
        <w:rPr>
          <w:szCs w:val="22"/>
        </w:rPr>
        <w:t>its</w:t>
      </w:r>
      <w:r>
        <w:rPr>
          <w:szCs w:val="22"/>
        </w:rPr>
        <w:t xml:space="preserve"> application and so I infer it was not in fact relevant to the application.</w:t>
      </w:r>
    </w:p>
    <w:p w14:paraId="04378E8E" w14:textId="0C0B633B" w:rsidR="00A75577" w:rsidRPr="008A17AB" w:rsidRDefault="00A75577" w:rsidP="00A75577">
      <w:pPr>
        <w:pStyle w:val="ParaNumbering"/>
      </w:pPr>
      <w:r>
        <w:rPr>
          <w:szCs w:val="22"/>
        </w:rPr>
        <w:t xml:space="preserve">The prejudice </w:t>
      </w:r>
      <w:r w:rsidR="008A17AB">
        <w:rPr>
          <w:szCs w:val="22"/>
        </w:rPr>
        <w:t xml:space="preserve">to Mr Youssef was explained in </w:t>
      </w:r>
      <w:r w:rsidR="008A17AB" w:rsidRPr="0072579A">
        <w:rPr>
          <w:i/>
          <w:szCs w:val="22"/>
        </w:rPr>
        <w:t>Sunshine Energy</w:t>
      </w:r>
      <w:r w:rsidR="008A17AB">
        <w:rPr>
          <w:szCs w:val="22"/>
        </w:rPr>
        <w:t xml:space="preserve"> at [37]-[40]. I do not propose to repeat those observations. There is no material change to the nature of the prejudice suffered by Mr Youssef.</w:t>
      </w:r>
    </w:p>
    <w:p w14:paraId="475C219F" w14:textId="753ACDFC" w:rsidR="0072579A" w:rsidRPr="008A17AB" w:rsidRDefault="008A17AB" w:rsidP="0072579A">
      <w:pPr>
        <w:pStyle w:val="ParaNumbering"/>
      </w:pPr>
      <w:r>
        <w:rPr>
          <w:szCs w:val="22"/>
        </w:rPr>
        <w:t xml:space="preserve">As to Harlin, it was submitted, and I accept, that the reputational risk to a company with a claim against it of $66.5 million is significant. I also accept the evidence as to the negative of impact of the litigation on Harlin’s engagement with financiers, off-takers and contractors for the Project, and that it is impeding communication between Harlin and Somerset Regional Council: First </w:t>
      </w:r>
      <w:r w:rsidR="0072579A">
        <w:rPr>
          <w:szCs w:val="22"/>
        </w:rPr>
        <w:t>JH-</w:t>
      </w:r>
      <w:proofErr w:type="spellStart"/>
      <w:r w:rsidR="0072579A">
        <w:rPr>
          <w:szCs w:val="22"/>
        </w:rPr>
        <w:t>Aff</w:t>
      </w:r>
      <w:proofErr w:type="spellEnd"/>
      <w:r>
        <w:rPr>
          <w:szCs w:val="22"/>
        </w:rPr>
        <w:t xml:space="preserve"> at [34]-[38] and [39]-[42].</w:t>
      </w:r>
    </w:p>
    <w:p w14:paraId="56BF5798" w14:textId="5824002B" w:rsidR="008A17AB" w:rsidRPr="00AD0690" w:rsidRDefault="004D2367" w:rsidP="00A75577">
      <w:pPr>
        <w:pStyle w:val="ParaNumbering"/>
      </w:pPr>
      <w:r>
        <w:rPr>
          <w:szCs w:val="22"/>
        </w:rPr>
        <w:t xml:space="preserve">As to the prejudice to Sunshine Energy in not granting leave, </w:t>
      </w:r>
      <w:r w:rsidR="008A17AB">
        <w:rPr>
          <w:szCs w:val="22"/>
        </w:rPr>
        <w:t xml:space="preserve">I </w:t>
      </w:r>
      <w:r w:rsidR="0072579A">
        <w:rPr>
          <w:szCs w:val="22"/>
        </w:rPr>
        <w:t xml:space="preserve">am </w:t>
      </w:r>
      <w:r w:rsidR="008A17AB">
        <w:rPr>
          <w:szCs w:val="22"/>
        </w:rPr>
        <w:t>acutely aware that it would be a grave matter to preclude Sunshine Energy from bringin</w:t>
      </w:r>
      <w:r w:rsidR="00066028">
        <w:rPr>
          <w:szCs w:val="22"/>
        </w:rPr>
        <w:t>g</w:t>
      </w:r>
      <w:r w:rsidR="008A17AB">
        <w:rPr>
          <w:szCs w:val="22"/>
        </w:rPr>
        <w:t xml:space="preserve"> what it maintains </w:t>
      </w:r>
      <w:r w:rsidR="00066028">
        <w:rPr>
          <w:szCs w:val="22"/>
        </w:rPr>
        <w:t>are prop</w:t>
      </w:r>
      <w:r w:rsidR="008A17AB">
        <w:rPr>
          <w:szCs w:val="22"/>
        </w:rPr>
        <w:t xml:space="preserve">er and significant claims </w:t>
      </w:r>
      <w:r w:rsidR="00066028">
        <w:rPr>
          <w:szCs w:val="22"/>
        </w:rPr>
        <w:t xml:space="preserve">against the respondents. I am equally concerned, however, that Sunshine Energy </w:t>
      </w:r>
      <w:r w:rsidR="0072579A">
        <w:rPr>
          <w:szCs w:val="22"/>
        </w:rPr>
        <w:t xml:space="preserve">has </w:t>
      </w:r>
      <w:r w:rsidR="00066028">
        <w:rPr>
          <w:szCs w:val="22"/>
        </w:rPr>
        <w:t>had every opportunity to “put its house in order” before commencing the</w:t>
      </w:r>
      <w:r w:rsidR="0072579A">
        <w:rPr>
          <w:szCs w:val="22"/>
        </w:rPr>
        <w:t xml:space="preserve"> present</w:t>
      </w:r>
      <w:r w:rsidR="00066028">
        <w:rPr>
          <w:szCs w:val="22"/>
        </w:rPr>
        <w:t xml:space="preserve"> proceedings. It did not. It has not complied with previous orders, nor has it complied with the </w:t>
      </w:r>
      <w:r w:rsidR="00066028" w:rsidRPr="004D2367">
        <w:rPr>
          <w:i/>
          <w:szCs w:val="22"/>
        </w:rPr>
        <w:t>Rules</w:t>
      </w:r>
      <w:r w:rsidR="00066028">
        <w:rPr>
          <w:szCs w:val="22"/>
        </w:rPr>
        <w:t xml:space="preserve"> in commencing these proceedings. </w:t>
      </w:r>
      <w:r>
        <w:rPr>
          <w:szCs w:val="22"/>
        </w:rPr>
        <w:t>Mr Youssef and Harlin</w:t>
      </w:r>
      <w:r w:rsidR="00066028">
        <w:rPr>
          <w:szCs w:val="22"/>
        </w:rPr>
        <w:t xml:space="preserve"> continue to suffer the prejudice of defending a $66.5 million claim against them in circumstances where the pleading is deficient and the manner in which the proceedings </w:t>
      </w:r>
      <w:r w:rsidR="00AD0690">
        <w:rPr>
          <w:szCs w:val="22"/>
        </w:rPr>
        <w:t xml:space="preserve">are being </w:t>
      </w:r>
      <w:r w:rsidR="00066028">
        <w:rPr>
          <w:szCs w:val="22"/>
        </w:rPr>
        <w:t>conduct</w:t>
      </w:r>
      <w:r w:rsidR="00AD0690">
        <w:rPr>
          <w:szCs w:val="22"/>
        </w:rPr>
        <w:t>ed is beset with unnecessary processes which are increasing the irrecoverable costs of the respondents. Further, i</w:t>
      </w:r>
      <w:r w:rsidR="00066028">
        <w:rPr>
          <w:szCs w:val="22"/>
        </w:rPr>
        <w:t>n circumstances where</w:t>
      </w:r>
      <w:r>
        <w:rPr>
          <w:szCs w:val="22"/>
        </w:rPr>
        <w:t xml:space="preserve"> Sunshine Energy</w:t>
      </w:r>
      <w:r w:rsidR="00066028">
        <w:rPr>
          <w:szCs w:val="22"/>
        </w:rPr>
        <w:t xml:space="preserve"> has not provided the security which it was ordered to provide, and which it accepts must be forthcoming, and where no reasonable prospect of that security ever bein</w:t>
      </w:r>
      <w:r w:rsidR="00AD0690">
        <w:rPr>
          <w:szCs w:val="22"/>
        </w:rPr>
        <w:t>g provided has been established,</w:t>
      </w:r>
      <w:r w:rsidR="00066028">
        <w:rPr>
          <w:szCs w:val="22"/>
        </w:rPr>
        <w:t xml:space="preserve"> I am not persuaded that leave should be granted</w:t>
      </w:r>
      <w:r w:rsidR="00AD0690">
        <w:rPr>
          <w:szCs w:val="22"/>
        </w:rPr>
        <w:t xml:space="preserve"> to Sunshine Energy to claim in these proceedings the same relief claimed against Mr Youssef and Harlin in </w:t>
      </w:r>
      <w:r w:rsidR="0062793C">
        <w:rPr>
          <w:szCs w:val="22"/>
        </w:rPr>
        <w:t>the Former Proceedings</w:t>
      </w:r>
      <w:r w:rsidR="00AD0690">
        <w:rPr>
          <w:szCs w:val="22"/>
        </w:rPr>
        <w:t>.</w:t>
      </w:r>
    </w:p>
    <w:p w14:paraId="491DB3E3" w14:textId="77777777" w:rsidR="00F876CE" w:rsidRPr="00F876CE" w:rsidRDefault="00AD0690" w:rsidP="00A75577">
      <w:pPr>
        <w:pStyle w:val="ParaNumbering"/>
      </w:pPr>
      <w:r>
        <w:rPr>
          <w:szCs w:val="22"/>
        </w:rPr>
        <w:t xml:space="preserve">Nevertheless, I do not consider it appropriate that Sunshine Energy be shut out for all time from making a proper claim. </w:t>
      </w:r>
    </w:p>
    <w:p w14:paraId="15AA8F88" w14:textId="69B2AB4B" w:rsidR="00F876CE" w:rsidRPr="00F876CE" w:rsidRDefault="00F876CE" w:rsidP="0072579A">
      <w:pPr>
        <w:pStyle w:val="Heading2"/>
      </w:pPr>
      <w:r>
        <w:lastRenderedPageBreak/>
        <w:t>Disposition</w:t>
      </w:r>
    </w:p>
    <w:p w14:paraId="51A20BDC" w14:textId="34B7F018" w:rsidR="00F876CE" w:rsidRPr="00F876CE" w:rsidRDefault="00F876CE" w:rsidP="0072579A">
      <w:pPr>
        <w:pStyle w:val="ParaNumbering"/>
      </w:pPr>
      <w:r>
        <w:rPr>
          <w:szCs w:val="22"/>
        </w:rPr>
        <w:t>T</w:t>
      </w:r>
      <w:r w:rsidR="00AD0690">
        <w:rPr>
          <w:szCs w:val="22"/>
        </w:rPr>
        <w:t xml:space="preserve">he Interlocutory Application </w:t>
      </w:r>
      <w:r>
        <w:rPr>
          <w:szCs w:val="22"/>
        </w:rPr>
        <w:t>is dismissed. Sunshine Energy is to pay Mr Youssef’s costs of the Former Proceedings in a l</w:t>
      </w:r>
      <w:r w:rsidR="0072579A">
        <w:rPr>
          <w:szCs w:val="22"/>
        </w:rPr>
        <w:t>ump sum of $138,</w:t>
      </w:r>
      <w:r>
        <w:rPr>
          <w:szCs w:val="22"/>
        </w:rPr>
        <w:t xml:space="preserve">000. Sunshine Energy to is to pay Harlin’s costs in a lump sum of </w:t>
      </w:r>
      <w:r w:rsidR="0072579A">
        <w:rPr>
          <w:szCs w:val="22"/>
        </w:rPr>
        <w:t>$140,</w:t>
      </w:r>
      <w:r>
        <w:rPr>
          <w:szCs w:val="22"/>
        </w:rPr>
        <w:t>599.71 being the sum of $66</w:t>
      </w:r>
      <w:r w:rsidR="0072579A">
        <w:rPr>
          <w:szCs w:val="22"/>
        </w:rPr>
        <w:t>,</w:t>
      </w:r>
      <w:r>
        <w:rPr>
          <w:szCs w:val="22"/>
        </w:rPr>
        <w:t>000 in respect of the Former proceedings and the balance in respect of these proceedings.</w:t>
      </w:r>
    </w:p>
    <w:p w14:paraId="04DC28C7" w14:textId="4E3310C2" w:rsidR="007A61A6" w:rsidRPr="005063C1" w:rsidRDefault="0072579A" w:rsidP="0072579A">
      <w:pPr>
        <w:pStyle w:val="ParaNumbering"/>
      </w:pPr>
      <w:r>
        <w:rPr>
          <w:szCs w:val="22"/>
        </w:rPr>
        <w:t xml:space="preserve">I will grant Sunshine Energy </w:t>
      </w:r>
      <w:r w:rsidR="00AD0690">
        <w:rPr>
          <w:szCs w:val="22"/>
        </w:rPr>
        <w:t xml:space="preserve">leave to claim the same relief in new proceedings upon the </w:t>
      </w:r>
      <w:r w:rsidR="00F876CE">
        <w:rPr>
          <w:szCs w:val="22"/>
        </w:rPr>
        <w:t xml:space="preserve">condition that </w:t>
      </w:r>
      <w:r w:rsidR="0062793C">
        <w:rPr>
          <w:szCs w:val="22"/>
        </w:rPr>
        <w:t xml:space="preserve">Sunshine Energy </w:t>
      </w:r>
      <w:r w:rsidR="00AD0690">
        <w:rPr>
          <w:szCs w:val="22"/>
        </w:rPr>
        <w:t>prov</w:t>
      </w:r>
      <w:r w:rsidR="00F876CE">
        <w:rPr>
          <w:szCs w:val="22"/>
        </w:rPr>
        <w:t xml:space="preserve">ide </w:t>
      </w:r>
      <w:r w:rsidR="00AD0690">
        <w:rPr>
          <w:szCs w:val="22"/>
        </w:rPr>
        <w:t xml:space="preserve">security for </w:t>
      </w:r>
      <w:r w:rsidR="00F876CE">
        <w:rPr>
          <w:szCs w:val="22"/>
        </w:rPr>
        <w:t xml:space="preserve">the costs of </w:t>
      </w:r>
      <w:r w:rsidR="00AD0690">
        <w:rPr>
          <w:szCs w:val="22"/>
        </w:rPr>
        <w:t xml:space="preserve">each of </w:t>
      </w:r>
      <w:r w:rsidR="00336A02">
        <w:rPr>
          <w:szCs w:val="22"/>
        </w:rPr>
        <w:t>Mr Youssef’s</w:t>
      </w:r>
      <w:r w:rsidR="00AD0690">
        <w:rPr>
          <w:szCs w:val="22"/>
        </w:rPr>
        <w:t xml:space="preserve"> and </w:t>
      </w:r>
      <w:r w:rsidR="00336A02">
        <w:rPr>
          <w:szCs w:val="22"/>
        </w:rPr>
        <w:t>Harlin’s</w:t>
      </w:r>
      <w:r w:rsidR="00AD0690">
        <w:rPr>
          <w:szCs w:val="22"/>
        </w:rPr>
        <w:t xml:space="preserve"> costs in the sums of $350</w:t>
      </w:r>
      <w:r>
        <w:rPr>
          <w:szCs w:val="22"/>
        </w:rPr>
        <w:t>,</w:t>
      </w:r>
      <w:r w:rsidR="00AD0690">
        <w:rPr>
          <w:szCs w:val="22"/>
        </w:rPr>
        <w:t>000</w:t>
      </w:r>
      <w:r w:rsidR="00F876CE">
        <w:rPr>
          <w:szCs w:val="22"/>
        </w:rPr>
        <w:t xml:space="preserve"> and $337</w:t>
      </w:r>
      <w:r>
        <w:rPr>
          <w:szCs w:val="22"/>
        </w:rPr>
        <w:t>,</w:t>
      </w:r>
      <w:r w:rsidR="00F876CE">
        <w:rPr>
          <w:szCs w:val="22"/>
        </w:rPr>
        <w:t>800 respectively by payment of funds into Court or by providing a bank guarantee in a form acceptable to the Q</w:t>
      </w:r>
      <w:r>
        <w:rPr>
          <w:szCs w:val="22"/>
        </w:rPr>
        <w:t>ueens</w:t>
      </w:r>
      <w:r w:rsidR="00F876CE">
        <w:rPr>
          <w:szCs w:val="22"/>
        </w:rPr>
        <w:t>l</w:t>
      </w:r>
      <w:r>
        <w:rPr>
          <w:szCs w:val="22"/>
        </w:rPr>
        <w:t>an</w:t>
      </w:r>
      <w:r w:rsidR="00F876CE">
        <w:rPr>
          <w:szCs w:val="22"/>
        </w:rPr>
        <w:t xml:space="preserve">d District Registrar and on condition of payment of </w:t>
      </w:r>
      <w:r w:rsidR="00336A02">
        <w:rPr>
          <w:szCs w:val="22"/>
        </w:rPr>
        <w:t xml:space="preserve">Mr Youssef’s </w:t>
      </w:r>
      <w:r w:rsidR="009437C6">
        <w:rPr>
          <w:szCs w:val="22"/>
        </w:rPr>
        <w:t xml:space="preserve">and </w:t>
      </w:r>
      <w:r w:rsidR="00336A02">
        <w:rPr>
          <w:szCs w:val="22"/>
        </w:rPr>
        <w:t>Harlin’s</w:t>
      </w:r>
      <w:r>
        <w:rPr>
          <w:szCs w:val="22"/>
        </w:rPr>
        <w:t xml:space="preserve"> costs as ordered above.</w:t>
      </w:r>
    </w:p>
    <w:tbl>
      <w:tblPr>
        <w:tblW w:w="0" w:type="auto"/>
        <w:tblLook w:val="04A0" w:firstRow="1" w:lastRow="0" w:firstColumn="1" w:lastColumn="0" w:noHBand="0" w:noVBand="1"/>
      </w:tblPr>
      <w:tblGrid>
        <w:gridCol w:w="3794"/>
      </w:tblGrid>
      <w:tr w:rsidR="005063C1" w:rsidRPr="005063C1" w14:paraId="5F9C8A69" w14:textId="77777777">
        <w:tc>
          <w:tcPr>
            <w:tcW w:w="3794" w:type="dxa"/>
            <w:shd w:val="clear" w:color="auto" w:fill="auto"/>
          </w:tcPr>
          <w:p w14:paraId="6737B80C" w14:textId="36463767" w:rsidR="005063C1" w:rsidRPr="005063C1" w:rsidRDefault="005063C1" w:rsidP="005063C1">
            <w:pPr>
              <w:pStyle w:val="Normal1linespace"/>
            </w:pPr>
            <w:bookmarkStart w:id="24" w:name="Certification"/>
            <w:r w:rsidRPr="005063C1">
              <w:t xml:space="preserve">I certify that the preceding </w:t>
            </w:r>
            <w:bookmarkStart w:id="25" w:name="NumberWord"/>
            <w:r>
              <w:t>thirty-three</w:t>
            </w:r>
            <w:bookmarkEnd w:id="25"/>
            <w:r w:rsidRPr="005063C1">
              <w:t xml:space="preserve"> (</w:t>
            </w:r>
            <w:bookmarkStart w:id="26" w:name="NumberNumeral"/>
            <w:r>
              <w:t>33</w:t>
            </w:r>
            <w:bookmarkEnd w:id="26"/>
            <w:r w:rsidRPr="005063C1">
              <w:t xml:space="preserve">) numbered </w:t>
            </w:r>
            <w:bookmarkStart w:id="27" w:name="CertPara"/>
            <w:r>
              <w:t>paragraphs are</w:t>
            </w:r>
            <w:bookmarkEnd w:id="27"/>
            <w:r w:rsidRPr="005063C1">
              <w:t xml:space="preserve"> a true copy of the Reasons for Judgment of </w:t>
            </w:r>
            <w:bookmarkStart w:id="28" w:name="bkHonourable"/>
            <w:r w:rsidRPr="005063C1">
              <w:t xml:space="preserve">the Honourable </w:t>
            </w:r>
            <w:bookmarkStart w:id="29" w:name="Justice"/>
            <w:bookmarkEnd w:id="28"/>
            <w:r>
              <w:t>Justice Sarah C Derrington</w:t>
            </w:r>
            <w:bookmarkEnd w:id="29"/>
            <w:r w:rsidRPr="005063C1">
              <w:t>.</w:t>
            </w:r>
          </w:p>
        </w:tc>
      </w:tr>
    </w:tbl>
    <w:p w14:paraId="1376C71F" w14:textId="77777777" w:rsidR="005063C1" w:rsidRDefault="005063C1" w:rsidP="00815065">
      <w:pPr>
        <w:pStyle w:val="BodyText"/>
      </w:pPr>
    </w:p>
    <w:p w14:paraId="4EC1B618" w14:textId="77777777" w:rsidR="005063C1" w:rsidRDefault="005063C1" w:rsidP="00815065">
      <w:pPr>
        <w:pStyle w:val="BodyText"/>
      </w:pPr>
    </w:p>
    <w:p w14:paraId="78739BA5" w14:textId="77777777" w:rsidR="005063C1" w:rsidRDefault="005063C1" w:rsidP="00815065">
      <w:pPr>
        <w:pStyle w:val="BodyText"/>
      </w:pPr>
    </w:p>
    <w:p w14:paraId="0C28DA6E" w14:textId="77777777" w:rsidR="00336A02" w:rsidRDefault="005063C1" w:rsidP="00815065">
      <w:pPr>
        <w:pStyle w:val="BodyText"/>
      </w:pPr>
      <w:r>
        <w:t>Associate:</w:t>
      </w:r>
    </w:p>
    <w:p w14:paraId="20B0D81F" w14:textId="2D49D21E" w:rsidR="005063C1" w:rsidRDefault="00336A02" w:rsidP="00815065">
      <w:pPr>
        <w:pStyle w:val="BodyText"/>
      </w:pPr>
      <w:r>
        <w:t xml:space="preserve"> </w:t>
      </w:r>
      <w:bookmarkStart w:id="30" w:name="_GoBack"/>
      <w:bookmarkEnd w:id="30"/>
    </w:p>
    <w:p w14:paraId="3B5FE425" w14:textId="3C8220DE" w:rsidR="005063C1" w:rsidRDefault="005063C1" w:rsidP="00815065">
      <w:pPr>
        <w:pStyle w:val="BodyText"/>
        <w:tabs>
          <w:tab w:val="left" w:pos="1134"/>
        </w:tabs>
      </w:pPr>
      <w:r>
        <w:t>Dated:</w:t>
      </w:r>
      <w:r>
        <w:tab/>
      </w:r>
      <w:bookmarkStart w:id="31" w:name="CertifyDated"/>
      <w:r>
        <w:t>9 June 2023</w:t>
      </w:r>
      <w:bookmarkEnd w:id="31"/>
    </w:p>
    <w:p w14:paraId="68C032D6" w14:textId="77777777" w:rsidR="005063C1" w:rsidRDefault="005063C1" w:rsidP="00815065">
      <w:pPr>
        <w:pStyle w:val="BodyText"/>
      </w:pPr>
    </w:p>
    <w:bookmarkEnd w:id="24"/>
    <w:p w14:paraId="2D07A27B" w14:textId="77777777" w:rsidR="005063C1" w:rsidRPr="007A61A6" w:rsidRDefault="005063C1" w:rsidP="005063C1">
      <w:pPr>
        <w:pStyle w:val="BodyText"/>
      </w:pPr>
    </w:p>
    <w:sectPr w:rsidR="005063C1" w:rsidRPr="007A61A6" w:rsidSect="00A84FD0">
      <w:headerReference w:type="even" r:id="rId17"/>
      <w:headerReference w:type="default" r:id="rId18"/>
      <w:footerReference w:type="default" r:id="rId19"/>
      <w:headerReference w:type="first" r:id="rId20"/>
      <w:footerReference w:type="first" r:id="rId21"/>
      <w:endnotePr>
        <w:numFmt w:val="decimal"/>
      </w:endnotePr>
      <w:pgSz w:w="11907" w:h="16840" w:code="9"/>
      <w:pgMar w:top="1440" w:right="1440" w:bottom="1440" w:left="1440" w:header="851" w:footer="851" w:gutter="0"/>
      <w:pgNumType w:start="1"/>
      <w:cols w:space="720"/>
      <w:noEndnote/>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C5AE1" w16cex:dateUtc="2023-06-08T03:49:00Z"/>
  <w16cex:commentExtensible w16cex:durableId="282C5C97" w16cex:dateUtc="2023-06-08T03: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AE73D8" w16cid:durableId="282C5AA0"/>
  <w16cid:commentId w16cid:paraId="051CD037" w16cid:durableId="282C5AE1"/>
  <w16cid:commentId w16cid:paraId="58C7385E" w16cid:durableId="282C5AA6"/>
  <w16cid:commentId w16cid:paraId="4340DAEB" w16cid:durableId="282C5C9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ED851E" w14:textId="77777777" w:rsidR="008F4D82" w:rsidRDefault="008F4D82">
      <w:pPr>
        <w:spacing w:line="20" w:lineRule="exact"/>
      </w:pPr>
    </w:p>
    <w:p w14:paraId="0E189DD4" w14:textId="77777777" w:rsidR="008F4D82" w:rsidRDefault="008F4D82"/>
    <w:p w14:paraId="616B7DE5" w14:textId="77777777" w:rsidR="008F4D82" w:rsidRDefault="008F4D82"/>
  </w:endnote>
  <w:endnote w:type="continuationSeparator" w:id="0">
    <w:p w14:paraId="17A5640E" w14:textId="77777777" w:rsidR="008F4D82" w:rsidRDefault="008F4D82">
      <w:r>
        <w:t xml:space="preserve"> </w:t>
      </w:r>
    </w:p>
    <w:p w14:paraId="3EFC2967" w14:textId="77777777" w:rsidR="008F4D82" w:rsidRDefault="008F4D82"/>
    <w:p w14:paraId="6ACD36B9" w14:textId="77777777" w:rsidR="008F4D82" w:rsidRDefault="008F4D82"/>
  </w:endnote>
  <w:endnote w:type="continuationNotice" w:id="1">
    <w:p w14:paraId="2667566A" w14:textId="77777777" w:rsidR="008F4D82" w:rsidRDefault="008F4D82">
      <w:r>
        <w:t xml:space="preserve"> </w:t>
      </w:r>
    </w:p>
    <w:p w14:paraId="656AF9AC" w14:textId="77777777" w:rsidR="008F4D82" w:rsidRDefault="008F4D82"/>
    <w:p w14:paraId="53F91B2B" w14:textId="77777777" w:rsidR="008F4D82" w:rsidRDefault="008F4D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4E551" w14:textId="00A6BA9A" w:rsidR="00912EA3" w:rsidRPr="00C47B9D" w:rsidRDefault="00912EA3"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7728" behindDoc="0" locked="0" layoutInCell="1" allowOverlap="1" wp14:anchorId="1080BC8D" wp14:editId="08434136">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BD5C3D" id="Straight Connector 5"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Pr>
            <w:bCs/>
            <w:sz w:val="18"/>
            <w:szCs w:val="18"/>
          </w:rPr>
          <w:t xml:space="preserve"> Sunshine Energy Australia Pty Ltd v Youssef [2023] FCA 549  </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49DDB" w14:textId="32B44A6F" w:rsidR="00912EA3" w:rsidRPr="00C47B9D" w:rsidRDefault="00912EA3"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6704" behindDoc="0" locked="0" layoutInCell="1" allowOverlap="1" wp14:anchorId="20D95861" wp14:editId="79F10AAA">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159329" id="Straight Connector 6"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Av3wnR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831216538"/>
        <w:placeholder>
          <w:docPart w:val="B6382E8687524D96A4709BB3A068C771"/>
        </w:placeholder>
        <w:dataBinding w:prefixMappings="xmlns:ns0='http://schemas.globalmacros.com/FCA'" w:xpath="/ns0:root[1]/ns0:Name[1]" w:storeItemID="{687E7CCB-4AA5-44E7-B148-17BA2B6F57C0}"/>
        <w:text w:multiLine="1"/>
      </w:sdtPr>
      <w:sdtEndPr/>
      <w:sdtContent>
        <w:r>
          <w:rPr>
            <w:bCs/>
            <w:sz w:val="18"/>
            <w:szCs w:val="18"/>
          </w:rPr>
          <w:t xml:space="preserve"> Sunshine Energy Australia Pty Ltd v Youssef [2023] FCA 549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452739">
      <w:rPr>
        <w:bCs/>
        <w:noProof/>
        <w:sz w:val="20"/>
      </w:rPr>
      <w:t>ii</w:t>
    </w:r>
    <w:r w:rsidRPr="00EA7F6D">
      <w:rPr>
        <w:bCs/>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A03F2" w14:textId="28EA89C3" w:rsidR="00912EA3" w:rsidRPr="00C47B9D" w:rsidRDefault="00912EA3"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3632" behindDoc="0" locked="0" layoutInCell="1" allowOverlap="1" wp14:anchorId="35CDE1B0" wp14:editId="3F5D2F62">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A9ACBB" id="Straight Connector 2" o:spid="_x0000_s1026" style="position:absolute;z-index:25165363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" strokecolor="black [3213]"/>
          </w:pict>
        </mc:Fallback>
      </mc:AlternateContent>
    </w:r>
    <w:sdt>
      <w:sdtPr>
        <w:rPr>
          <w:bCs/>
          <w:sz w:val="18"/>
          <w:szCs w:val="18"/>
        </w:rPr>
        <w:tag w:val="MNC"/>
        <w:id w:val="510263260"/>
        <w:placeholder>
          <w:docPart w:val="987EEAEB32544F36BD37C42E7B523451"/>
        </w:placeholder>
        <w:dataBinding w:prefixMappings="xmlns:ns0='http://schemas.globalmacros.com/FCA'" w:xpath="/ns0:root[1]/ns0:Name[1]" w:storeItemID="{687E7CCB-4AA5-44E7-B148-17BA2B6F57C0}"/>
        <w:text w:multiLine="1"/>
      </w:sdtPr>
      <w:sdtEndPr/>
      <w:sdtContent>
        <w:r>
          <w:rPr>
            <w:bCs/>
            <w:sz w:val="18"/>
            <w:szCs w:val="18"/>
          </w:rPr>
          <w:t xml:space="preserve"> Sunshine Energy Australia Pty Ltd v Youssef [2023] FCA 549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452739">
      <w:rPr>
        <w:bCs/>
        <w:noProof/>
        <w:sz w:val="20"/>
      </w:rPr>
      <w:t>i</w:t>
    </w:r>
    <w:r w:rsidRPr="00EA7F6D">
      <w:rPr>
        <w:bCs/>
        <w:noProof/>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09C3C" w14:textId="432DB9FE" w:rsidR="00912EA3" w:rsidRPr="00C47B9D" w:rsidRDefault="00912EA3"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3872" behindDoc="0" locked="0" layoutInCell="1" allowOverlap="1" wp14:anchorId="7E83757A" wp14:editId="506693F7">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D9DB0E" id="Straight Connector 7"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" strokecolor="black [3213]"/>
          </w:pict>
        </mc:Fallback>
      </mc:AlternateContent>
    </w:r>
    <w:sdt>
      <w:sdtPr>
        <w:rPr>
          <w:bCs/>
          <w:sz w:val="18"/>
          <w:szCs w:val="18"/>
        </w:rPr>
        <w:tag w:val="MNC"/>
        <w:id w:val="1095746746"/>
        <w:placeholder>
          <w:docPart w:val="E8FA0C37AEB3445E8D88659113BA02A9"/>
        </w:placeholder>
        <w:dataBinding w:prefixMappings="xmlns:ns0='http://schemas.globalmacros.com/FCA'" w:xpath="/ns0:root[1]/ns0:Name[1]" w:storeItemID="{687E7CCB-4AA5-44E7-B148-17BA2B6F57C0}"/>
        <w:text w:multiLine="1"/>
      </w:sdtPr>
      <w:sdtEndPr/>
      <w:sdtContent>
        <w:r>
          <w:rPr>
            <w:bCs/>
            <w:sz w:val="18"/>
            <w:szCs w:val="18"/>
          </w:rPr>
          <w:t xml:space="preserve"> Sunshine Energy Australia Pty Ltd v Youssef [2023] FCA 549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452739">
      <w:rPr>
        <w:bCs/>
        <w:noProof/>
        <w:sz w:val="20"/>
      </w:rPr>
      <w:t>7</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57BCA" w14:textId="61C5F957" w:rsidR="00912EA3" w:rsidRPr="00C47B9D" w:rsidRDefault="00912EA3"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0800" behindDoc="0" locked="0" layoutInCell="1" allowOverlap="1" wp14:anchorId="57C57200" wp14:editId="26FB309B">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EB0A2D" id="Straight Connector 3"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CXUeOM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1532949365"/>
        <w:placeholder>
          <w:docPart w:val="98B1E597ECBB4492855EEEA3D0689AEE"/>
        </w:placeholder>
        <w:dataBinding w:prefixMappings="xmlns:ns0='http://schemas.globalmacros.com/FCA'" w:xpath="/ns0:root[1]/ns0:Name[1]" w:storeItemID="{687E7CCB-4AA5-44E7-B148-17BA2B6F57C0}"/>
        <w:text w:multiLine="1"/>
      </w:sdtPr>
      <w:sdtEndPr/>
      <w:sdtContent>
        <w:r>
          <w:rPr>
            <w:bCs/>
            <w:sz w:val="18"/>
            <w:szCs w:val="18"/>
          </w:rPr>
          <w:t xml:space="preserve"> Sunshine Energy Australia Pty Ltd v Youssef [2023] FCA 549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452739">
      <w:rPr>
        <w:bCs/>
        <w:noProof/>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3EABA0" w14:textId="77777777" w:rsidR="008F4D82" w:rsidRDefault="008F4D82"/>
  </w:footnote>
  <w:footnote w:type="continuationSeparator" w:id="0">
    <w:p w14:paraId="71D9709A" w14:textId="77777777" w:rsidR="008F4D82" w:rsidRDefault="008F4D82">
      <w:r>
        <w:continuationSeparator/>
      </w:r>
    </w:p>
    <w:p w14:paraId="3DC1A85A" w14:textId="77777777" w:rsidR="008F4D82" w:rsidRDefault="008F4D82"/>
    <w:p w14:paraId="49644775" w14:textId="77777777" w:rsidR="008F4D82" w:rsidRDefault="008F4D8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54C04" w14:textId="77777777" w:rsidR="00912EA3" w:rsidRDefault="00912EA3">
    <w:pPr>
      <w:tabs>
        <w:tab w:val="center" w:pos="4512"/>
      </w:tabs>
      <w:suppressAutoHyphen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11401" w14:textId="77777777" w:rsidR="00912EA3" w:rsidRDefault="00912EA3">
    <w:pPr>
      <w:pStyle w:val="Header"/>
      <w:tabs>
        <w:tab w:val="clear" w:pos="4320"/>
        <w:tab w:val="clear" w:pos="8640"/>
      </w:tabs>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62911" w14:textId="77777777" w:rsidR="00912EA3" w:rsidRDefault="00912EA3"/>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B4198" w14:textId="77777777" w:rsidR="00912EA3" w:rsidRDefault="00912EA3">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34EC9" w14:textId="77777777" w:rsidR="00912EA3" w:rsidRDefault="00912EA3"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21565928"/>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0DA77C4D"/>
    <w:multiLevelType w:val="hybridMultilevel"/>
    <w:tmpl w:val="4726DABC"/>
    <w:lvl w:ilvl="0" w:tplc="0110FFF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4"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5"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6"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7"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8"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0" w15:restartNumberingAfterBreak="0">
    <w:nsid w:val="3BA858E6"/>
    <w:multiLevelType w:val="hybridMultilevel"/>
    <w:tmpl w:val="DE4A57E0"/>
    <w:lvl w:ilvl="0" w:tplc="F15E59F8">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1" w15:restartNumberingAfterBreak="0">
    <w:nsid w:val="3C4C5D24"/>
    <w:multiLevelType w:val="hybridMultilevel"/>
    <w:tmpl w:val="45924B9A"/>
    <w:lvl w:ilvl="0" w:tplc="8E26BC82">
      <w:start w:val="1"/>
      <w:numFmt w:val="decimal"/>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22" w15:restartNumberingAfterBreak="0">
    <w:nsid w:val="494817A7"/>
    <w:multiLevelType w:val="multilevel"/>
    <w:tmpl w:val="0F0EC90E"/>
    <w:numStyleLink w:val="FCListNo"/>
  </w:abstractNum>
  <w:abstractNum w:abstractNumId="23"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6"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7"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5"/>
  </w:num>
  <w:num w:numId="13">
    <w:abstractNumId w:val="23"/>
  </w:num>
  <w:num w:numId="14">
    <w:abstractNumId w:val="24"/>
  </w:num>
  <w:num w:numId="15">
    <w:abstractNumId w:val="27"/>
  </w:num>
  <w:num w:numId="16">
    <w:abstractNumId w:val="14"/>
  </w:num>
  <w:num w:numId="17">
    <w:abstractNumId w:val="26"/>
  </w:num>
  <w:num w:numId="18">
    <w:abstractNumId w:val="11"/>
  </w:num>
  <w:num w:numId="19">
    <w:abstractNumId w:val="19"/>
  </w:num>
  <w:num w:numId="20">
    <w:abstractNumId w:val="16"/>
  </w:num>
  <w:num w:numId="21">
    <w:abstractNumId w:val="17"/>
  </w:num>
  <w:num w:numId="22">
    <w:abstractNumId w:val="22"/>
  </w:num>
  <w:num w:numId="23">
    <w:abstractNumId w:val="10"/>
  </w:num>
  <w:num w:numId="24">
    <w:abstractNumId w:val="10"/>
    <w:lvlOverride w:ilvl="0">
      <w:lvl w:ilvl="0">
        <w:start w:val="1"/>
        <w:numFmt w:val="lowerLetter"/>
        <w:lvlRestart w:val="0"/>
        <w:pStyle w:val="ListNo1alt"/>
        <w:lvlText w:val="(%1)"/>
        <w:lvlJc w:val="left"/>
        <w:pPr>
          <w:tabs>
            <w:tab w:val="num" w:pos="720"/>
          </w:tabs>
          <w:ind w:left="720" w:hanging="720"/>
        </w:pPr>
        <w:rPr>
          <w:rFonts w:ascii="Times New Roman" w:hAnsi="Times New Roman" w:hint="default"/>
        </w:rPr>
      </w:lvl>
    </w:lvlOverride>
  </w:num>
  <w:num w:numId="25">
    <w:abstractNumId w:val="13"/>
  </w:num>
  <w:num w:numId="26">
    <w:abstractNumId w:val="18"/>
  </w:num>
  <w:num w:numId="27">
    <w:abstractNumId w:val="18"/>
  </w:num>
  <w:num w:numId="28">
    <w:abstractNumId w:val="18"/>
  </w:num>
  <w:num w:numId="29">
    <w:abstractNumId w:val="21"/>
  </w:num>
  <w:num w:numId="30">
    <w:abstractNumId w:val="12"/>
  </w:num>
  <w:num w:numId="31">
    <w:abstractNumId w:val="20"/>
  </w:num>
  <w:num w:numId="32">
    <w:abstractNumId w:val="16"/>
    <w:lvlOverride w:ilvl="0">
      <w:startOverride w:val="1"/>
      <w:lvl w:ilvl="0">
        <w:start w:val="1"/>
        <w:numFmt w:val="decimal"/>
        <w:pStyle w:val="Order1"/>
        <w:lvlText w:val=""/>
        <w:lvlJc w:val="left"/>
      </w:lvl>
    </w:lvlOverride>
    <w:lvlOverride w:ilvl="1">
      <w:startOverride w:val="1"/>
      <w:lvl w:ilvl="1">
        <w:start w:val="1"/>
        <w:numFmt w:val="lowerLetter"/>
        <w:pStyle w:val="Order2"/>
        <w:lvlText w:val="(%2)"/>
        <w:lvlJc w:val="left"/>
        <w:pPr>
          <w:tabs>
            <w:tab w:val="num" w:pos="1440"/>
          </w:tabs>
          <w:ind w:left="1440" w:hanging="720"/>
        </w:pPr>
        <w:rPr>
          <w:rFonts w:hint="default"/>
        </w:rPr>
      </w:lvl>
    </w:lvlOverride>
    <w:lvlOverride w:ilvl="2">
      <w:startOverride w:val="1"/>
      <w:lvl w:ilvl="2">
        <w:start w:val="1"/>
        <w:numFmt w:val="decimal"/>
        <w:pStyle w:val="Order3"/>
        <w:lvlText w:val=""/>
        <w:lvlJc w:val="left"/>
      </w:lvl>
    </w:lvlOverride>
    <w:lvlOverride w:ilvl="3">
      <w:startOverride w:val="1"/>
      <w:lvl w:ilvl="3">
        <w:start w:val="1"/>
        <w:numFmt w:val="decimal"/>
        <w:pStyle w:val="Order4"/>
        <w:lvlText w:val=""/>
        <w:lvlJc w:val="left"/>
      </w:lvl>
    </w:lvlOverride>
    <w:lvlOverride w:ilvl="4">
      <w:lvl w:ilvl="4">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3">
    <w:abstractNumId w:val="16"/>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AU" w:vendorID="64" w:dllVersion="131078" w:nlCheck="1" w:checkStyle="1"/>
  <w:activeWritingStyle w:appName="MSWord" w:lang="en-US" w:vendorID="64" w:dllVersion="131078" w:nlCheck="1" w:checkStyle="1"/>
  <w:activeWritingStyle w:appName="MSWord" w:lang="en-AU" w:vendorID="8" w:dllVersion="513"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AndAnother" w:val="True"/>
    <w:docVar w:name="APPAndOthers" w:val="False"/>
    <w:docVar w:name="CounselParties" w:val="Appellant"/>
    <w:docVar w:name="CounselType" w:val="Counsel for the "/>
    <w:docVar w:name="Court" w:val="Federal Court of Australia (FCA)"/>
    <w:docVar w:name="Cross1AndAnother" w:val="True"/>
    <w:docVar w:name="Cross1AndOthers" w:val="False"/>
    <w:docVar w:name="Cross2AndAnother" w:val="True"/>
    <w:docVar w:name="Cross2AndOthers" w:val="False"/>
    <w:docVar w:name="Defenders" w:val="(and another named in the Schedule)"/>
    <w:docVar w:name="Division" w:val="FCA General Division"/>
    <w:docVar w:name="DocCreated" w:val="True"/>
    <w:docVar w:name="FileNumbers" w:val="QUD 106 of 2023"/>
    <w:docVar w:name="Initiators" w:val="(and another named in the Schedule)"/>
    <w:docVar w:name="Judgdate" w:val="6 June 2023"/>
    <w:docVar w:name="Judge" w:val="Sarah C Derrington"/>
    <w:docVar w:name="JudgeType" w:val="Justice"/>
    <w:docVar w:name="lstEntryList" w:val="-1"/>
    <w:docVar w:name="NSD" w:val="NSD "/>
    <w:docVar w:name="NumApps" w:val="0"/>
    <w:docVar w:name="NumApps_" w:val="0"/>
    <w:docVar w:name="NumCrossResps" w:val="0"/>
    <w:docVar w:name="NumDefs" w:val="0"/>
    <w:docVar w:name="NumOthers" w:val="0"/>
    <w:docVar w:name="OtherNum" w:val="0"/>
    <w:docVar w:name="Parties1" w:val="Applicant"/>
    <w:docVar w:name="Parties2" w:val="Respondent"/>
    <w:docVar w:name="Parties3" w:val="Cross-Appellant"/>
    <w:docVar w:name="Parties4" w:val="Cross-Defendant"/>
    <w:docVar w:name="Parties5" w:val="Intervener"/>
    <w:docVar w:name="Place" w:val="N/A FCA"/>
    <w:docVar w:name="PracticeArea" w:val="Commercial and Corporations"/>
    <w:docVar w:name="RESAndAnother" w:val="True"/>
    <w:docVar w:name="RESAndOthers" w:val="False"/>
    <w:docVar w:name="ResState" w:val="Queensland"/>
    <w:docVar w:name="SubArea" w:val="Commercial Contracts, Banking, Finance and Insurance (C &amp; C)"/>
  </w:docVars>
  <w:rsids>
    <w:rsidRoot w:val="005C5B82"/>
    <w:rsid w:val="00000747"/>
    <w:rsid w:val="000115C5"/>
    <w:rsid w:val="0001469E"/>
    <w:rsid w:val="00015993"/>
    <w:rsid w:val="00021CCB"/>
    <w:rsid w:val="00022289"/>
    <w:rsid w:val="00022540"/>
    <w:rsid w:val="000237E9"/>
    <w:rsid w:val="00027398"/>
    <w:rsid w:val="0003201A"/>
    <w:rsid w:val="0003207A"/>
    <w:rsid w:val="00032F9F"/>
    <w:rsid w:val="0003621E"/>
    <w:rsid w:val="00041C07"/>
    <w:rsid w:val="0004306B"/>
    <w:rsid w:val="00045BB7"/>
    <w:rsid w:val="00055719"/>
    <w:rsid w:val="0005641B"/>
    <w:rsid w:val="0006196A"/>
    <w:rsid w:val="000650F0"/>
    <w:rsid w:val="00066028"/>
    <w:rsid w:val="00071FB3"/>
    <w:rsid w:val="00077768"/>
    <w:rsid w:val="00081497"/>
    <w:rsid w:val="000831EC"/>
    <w:rsid w:val="00084126"/>
    <w:rsid w:val="00085255"/>
    <w:rsid w:val="000860E9"/>
    <w:rsid w:val="00097BC8"/>
    <w:rsid w:val="000A2E76"/>
    <w:rsid w:val="000A4807"/>
    <w:rsid w:val="000A4BE4"/>
    <w:rsid w:val="000B3622"/>
    <w:rsid w:val="000C023E"/>
    <w:rsid w:val="000C405D"/>
    <w:rsid w:val="000C5195"/>
    <w:rsid w:val="000C62EF"/>
    <w:rsid w:val="000D2137"/>
    <w:rsid w:val="000D3FD2"/>
    <w:rsid w:val="000D4B2E"/>
    <w:rsid w:val="000E3FC8"/>
    <w:rsid w:val="000E604A"/>
    <w:rsid w:val="000E7BAE"/>
    <w:rsid w:val="000F133D"/>
    <w:rsid w:val="0010536B"/>
    <w:rsid w:val="0011145C"/>
    <w:rsid w:val="001128BD"/>
    <w:rsid w:val="0011419D"/>
    <w:rsid w:val="00114B02"/>
    <w:rsid w:val="001226C0"/>
    <w:rsid w:val="00126EC8"/>
    <w:rsid w:val="0012731C"/>
    <w:rsid w:val="00132054"/>
    <w:rsid w:val="00134964"/>
    <w:rsid w:val="001351B9"/>
    <w:rsid w:val="00155CD2"/>
    <w:rsid w:val="001727A4"/>
    <w:rsid w:val="0017376C"/>
    <w:rsid w:val="001738AB"/>
    <w:rsid w:val="001765E0"/>
    <w:rsid w:val="00177759"/>
    <w:rsid w:val="00180BB3"/>
    <w:rsid w:val="00185DD6"/>
    <w:rsid w:val="00185E6B"/>
    <w:rsid w:val="00187BBC"/>
    <w:rsid w:val="001932F3"/>
    <w:rsid w:val="001A2B40"/>
    <w:rsid w:val="001A4309"/>
    <w:rsid w:val="001A46AE"/>
    <w:rsid w:val="001A6C52"/>
    <w:rsid w:val="001B1053"/>
    <w:rsid w:val="001B14AC"/>
    <w:rsid w:val="001B7940"/>
    <w:rsid w:val="001C171A"/>
    <w:rsid w:val="001C2FE0"/>
    <w:rsid w:val="001C37CA"/>
    <w:rsid w:val="001C4085"/>
    <w:rsid w:val="001D4303"/>
    <w:rsid w:val="001D6746"/>
    <w:rsid w:val="001E0C61"/>
    <w:rsid w:val="001E3B49"/>
    <w:rsid w:val="001E4A05"/>
    <w:rsid w:val="001E6A19"/>
    <w:rsid w:val="001E7388"/>
    <w:rsid w:val="001F13DD"/>
    <w:rsid w:val="001F2473"/>
    <w:rsid w:val="001F2DBC"/>
    <w:rsid w:val="001F56EF"/>
    <w:rsid w:val="001F73E8"/>
    <w:rsid w:val="0020262C"/>
    <w:rsid w:val="00202723"/>
    <w:rsid w:val="00211A3E"/>
    <w:rsid w:val="00213F20"/>
    <w:rsid w:val="00214055"/>
    <w:rsid w:val="00215BCA"/>
    <w:rsid w:val="002160C5"/>
    <w:rsid w:val="002160F5"/>
    <w:rsid w:val="00217AC4"/>
    <w:rsid w:val="00221461"/>
    <w:rsid w:val="00224537"/>
    <w:rsid w:val="002333CB"/>
    <w:rsid w:val="00235956"/>
    <w:rsid w:val="00243E5E"/>
    <w:rsid w:val="002467A6"/>
    <w:rsid w:val="00247C9A"/>
    <w:rsid w:val="0025160C"/>
    <w:rsid w:val="002535D0"/>
    <w:rsid w:val="002539B3"/>
    <w:rsid w:val="002547E7"/>
    <w:rsid w:val="00256336"/>
    <w:rsid w:val="00257C3E"/>
    <w:rsid w:val="002602C2"/>
    <w:rsid w:val="002666C9"/>
    <w:rsid w:val="00270136"/>
    <w:rsid w:val="00270FD7"/>
    <w:rsid w:val="00274F5B"/>
    <w:rsid w:val="00280836"/>
    <w:rsid w:val="00282E1A"/>
    <w:rsid w:val="002840F1"/>
    <w:rsid w:val="00285922"/>
    <w:rsid w:val="0029113B"/>
    <w:rsid w:val="002934C0"/>
    <w:rsid w:val="00293E1F"/>
    <w:rsid w:val="0029764C"/>
    <w:rsid w:val="002A1B50"/>
    <w:rsid w:val="002B0E91"/>
    <w:rsid w:val="002B132C"/>
    <w:rsid w:val="002B3F23"/>
    <w:rsid w:val="002B4EB5"/>
    <w:rsid w:val="002B5AF5"/>
    <w:rsid w:val="002B6779"/>
    <w:rsid w:val="002B71C0"/>
    <w:rsid w:val="002B7A34"/>
    <w:rsid w:val="002C31AD"/>
    <w:rsid w:val="002C7385"/>
    <w:rsid w:val="002D1C67"/>
    <w:rsid w:val="002D2DBB"/>
    <w:rsid w:val="002D37D8"/>
    <w:rsid w:val="002D54A6"/>
    <w:rsid w:val="002E3779"/>
    <w:rsid w:val="002E5BF9"/>
    <w:rsid w:val="002E6A7A"/>
    <w:rsid w:val="002F1E49"/>
    <w:rsid w:val="002F4E9C"/>
    <w:rsid w:val="002F6E15"/>
    <w:rsid w:val="00302F4E"/>
    <w:rsid w:val="0031256C"/>
    <w:rsid w:val="00314D6C"/>
    <w:rsid w:val="00316D2A"/>
    <w:rsid w:val="00322A7C"/>
    <w:rsid w:val="00322EEC"/>
    <w:rsid w:val="00323061"/>
    <w:rsid w:val="00336A02"/>
    <w:rsid w:val="003402D3"/>
    <w:rsid w:val="0034068E"/>
    <w:rsid w:val="00343ABC"/>
    <w:rsid w:val="003463FE"/>
    <w:rsid w:val="003472FC"/>
    <w:rsid w:val="00347D41"/>
    <w:rsid w:val="003554B3"/>
    <w:rsid w:val="00356632"/>
    <w:rsid w:val="00357C7E"/>
    <w:rsid w:val="003653B6"/>
    <w:rsid w:val="00370327"/>
    <w:rsid w:val="00374C68"/>
    <w:rsid w:val="00374CC4"/>
    <w:rsid w:val="003774B2"/>
    <w:rsid w:val="00380F2D"/>
    <w:rsid w:val="003845A9"/>
    <w:rsid w:val="003850C9"/>
    <w:rsid w:val="00390883"/>
    <w:rsid w:val="003922F8"/>
    <w:rsid w:val="00395B24"/>
    <w:rsid w:val="003A2D38"/>
    <w:rsid w:val="003A7ECC"/>
    <w:rsid w:val="003B2C72"/>
    <w:rsid w:val="003B58B4"/>
    <w:rsid w:val="003B667F"/>
    <w:rsid w:val="003C1333"/>
    <w:rsid w:val="003C20FF"/>
    <w:rsid w:val="003C550A"/>
    <w:rsid w:val="003C6055"/>
    <w:rsid w:val="003D2650"/>
    <w:rsid w:val="003D560C"/>
    <w:rsid w:val="003D5C00"/>
    <w:rsid w:val="003D6E12"/>
    <w:rsid w:val="003E3154"/>
    <w:rsid w:val="003E5874"/>
    <w:rsid w:val="003E72D3"/>
    <w:rsid w:val="003F193E"/>
    <w:rsid w:val="003F242C"/>
    <w:rsid w:val="003F34F1"/>
    <w:rsid w:val="003F589E"/>
    <w:rsid w:val="004031D8"/>
    <w:rsid w:val="004104B6"/>
    <w:rsid w:val="00411AE8"/>
    <w:rsid w:val="00413B74"/>
    <w:rsid w:val="004342F3"/>
    <w:rsid w:val="00435C5F"/>
    <w:rsid w:val="00436155"/>
    <w:rsid w:val="00436460"/>
    <w:rsid w:val="00441E98"/>
    <w:rsid w:val="00450F3A"/>
    <w:rsid w:val="00452739"/>
    <w:rsid w:val="004532F7"/>
    <w:rsid w:val="00464D51"/>
    <w:rsid w:val="00472027"/>
    <w:rsid w:val="004804CF"/>
    <w:rsid w:val="00483314"/>
    <w:rsid w:val="00484962"/>
    <w:rsid w:val="00484F6D"/>
    <w:rsid w:val="00484FB7"/>
    <w:rsid w:val="0048554D"/>
    <w:rsid w:val="0049338A"/>
    <w:rsid w:val="0049417F"/>
    <w:rsid w:val="00496D41"/>
    <w:rsid w:val="004A0350"/>
    <w:rsid w:val="004A6602"/>
    <w:rsid w:val="004B19FE"/>
    <w:rsid w:val="004B3EFA"/>
    <w:rsid w:val="004B6495"/>
    <w:rsid w:val="004C2A87"/>
    <w:rsid w:val="004C2CA0"/>
    <w:rsid w:val="004C4D7B"/>
    <w:rsid w:val="004C4ED3"/>
    <w:rsid w:val="004C667B"/>
    <w:rsid w:val="004C7ECD"/>
    <w:rsid w:val="004D2367"/>
    <w:rsid w:val="004D2EA5"/>
    <w:rsid w:val="004D32A6"/>
    <w:rsid w:val="004D53E5"/>
    <w:rsid w:val="004D7950"/>
    <w:rsid w:val="004E208C"/>
    <w:rsid w:val="004E6DC4"/>
    <w:rsid w:val="004F21C1"/>
    <w:rsid w:val="00501A12"/>
    <w:rsid w:val="0050309C"/>
    <w:rsid w:val="005063C1"/>
    <w:rsid w:val="0051327C"/>
    <w:rsid w:val="0051346D"/>
    <w:rsid w:val="00513EAE"/>
    <w:rsid w:val="0051434F"/>
    <w:rsid w:val="00516806"/>
    <w:rsid w:val="00516A71"/>
    <w:rsid w:val="0052098C"/>
    <w:rsid w:val="00525A49"/>
    <w:rsid w:val="005262D1"/>
    <w:rsid w:val="00530876"/>
    <w:rsid w:val="00535613"/>
    <w:rsid w:val="005359EB"/>
    <w:rsid w:val="0054254A"/>
    <w:rsid w:val="0054500B"/>
    <w:rsid w:val="005466B5"/>
    <w:rsid w:val="00554314"/>
    <w:rsid w:val="00562829"/>
    <w:rsid w:val="005629B3"/>
    <w:rsid w:val="005662B3"/>
    <w:rsid w:val="0057128A"/>
    <w:rsid w:val="005724F6"/>
    <w:rsid w:val="00573AC4"/>
    <w:rsid w:val="005801FC"/>
    <w:rsid w:val="00585BA9"/>
    <w:rsid w:val="00587359"/>
    <w:rsid w:val="00587861"/>
    <w:rsid w:val="00595016"/>
    <w:rsid w:val="00597AAE"/>
    <w:rsid w:val="005A222C"/>
    <w:rsid w:val="005A4DF8"/>
    <w:rsid w:val="005A78C8"/>
    <w:rsid w:val="005B1426"/>
    <w:rsid w:val="005C0A8E"/>
    <w:rsid w:val="005C1767"/>
    <w:rsid w:val="005C185C"/>
    <w:rsid w:val="005C42EF"/>
    <w:rsid w:val="005C5B82"/>
    <w:rsid w:val="005E02F5"/>
    <w:rsid w:val="005E0510"/>
    <w:rsid w:val="005E176E"/>
    <w:rsid w:val="005E218E"/>
    <w:rsid w:val="005E35A0"/>
    <w:rsid w:val="005F0D1B"/>
    <w:rsid w:val="005F1865"/>
    <w:rsid w:val="006007BD"/>
    <w:rsid w:val="006013C8"/>
    <w:rsid w:val="0060270D"/>
    <w:rsid w:val="00604342"/>
    <w:rsid w:val="00604611"/>
    <w:rsid w:val="006070D3"/>
    <w:rsid w:val="00611586"/>
    <w:rsid w:val="00612D26"/>
    <w:rsid w:val="00615855"/>
    <w:rsid w:val="00620DA8"/>
    <w:rsid w:val="00621887"/>
    <w:rsid w:val="00624520"/>
    <w:rsid w:val="006271F5"/>
    <w:rsid w:val="0062793C"/>
    <w:rsid w:val="00632300"/>
    <w:rsid w:val="00632BB7"/>
    <w:rsid w:val="00635B36"/>
    <w:rsid w:val="00636871"/>
    <w:rsid w:val="00640EE1"/>
    <w:rsid w:val="00640F4E"/>
    <w:rsid w:val="00643DE0"/>
    <w:rsid w:val="0064437D"/>
    <w:rsid w:val="00644E85"/>
    <w:rsid w:val="006516D8"/>
    <w:rsid w:val="00652C52"/>
    <w:rsid w:val="0066063F"/>
    <w:rsid w:val="00662BB0"/>
    <w:rsid w:val="00663878"/>
    <w:rsid w:val="00667773"/>
    <w:rsid w:val="00670743"/>
    <w:rsid w:val="00680A85"/>
    <w:rsid w:val="00681ADF"/>
    <w:rsid w:val="00690EE2"/>
    <w:rsid w:val="00693854"/>
    <w:rsid w:val="00694BEB"/>
    <w:rsid w:val="006A0E20"/>
    <w:rsid w:val="006A24E3"/>
    <w:rsid w:val="006A5695"/>
    <w:rsid w:val="006B0439"/>
    <w:rsid w:val="006B3904"/>
    <w:rsid w:val="006B5B7D"/>
    <w:rsid w:val="006C5B46"/>
    <w:rsid w:val="006C6E39"/>
    <w:rsid w:val="006D0ECF"/>
    <w:rsid w:val="006D3D5B"/>
    <w:rsid w:val="006D4C92"/>
    <w:rsid w:val="006D4EB6"/>
    <w:rsid w:val="006D7FBC"/>
    <w:rsid w:val="006E35BF"/>
    <w:rsid w:val="006E7850"/>
    <w:rsid w:val="006F19D8"/>
    <w:rsid w:val="006F46D6"/>
    <w:rsid w:val="006F4BBB"/>
    <w:rsid w:val="00700676"/>
    <w:rsid w:val="007028D9"/>
    <w:rsid w:val="00707218"/>
    <w:rsid w:val="00710D04"/>
    <w:rsid w:val="00712B1D"/>
    <w:rsid w:val="00715751"/>
    <w:rsid w:val="007171BA"/>
    <w:rsid w:val="00717616"/>
    <w:rsid w:val="0072579A"/>
    <w:rsid w:val="007325D9"/>
    <w:rsid w:val="0073413F"/>
    <w:rsid w:val="0073583B"/>
    <w:rsid w:val="007360CA"/>
    <w:rsid w:val="0074667B"/>
    <w:rsid w:val="007470BD"/>
    <w:rsid w:val="00760EC0"/>
    <w:rsid w:val="007711BD"/>
    <w:rsid w:val="0078003A"/>
    <w:rsid w:val="00780771"/>
    <w:rsid w:val="007929CF"/>
    <w:rsid w:val="00797BA8"/>
    <w:rsid w:val="007A081D"/>
    <w:rsid w:val="007A49E7"/>
    <w:rsid w:val="007A61A6"/>
    <w:rsid w:val="007A6F28"/>
    <w:rsid w:val="007B03C6"/>
    <w:rsid w:val="007B0DB1"/>
    <w:rsid w:val="007B5673"/>
    <w:rsid w:val="007B7238"/>
    <w:rsid w:val="007B76FF"/>
    <w:rsid w:val="007C3BF6"/>
    <w:rsid w:val="007C67B3"/>
    <w:rsid w:val="007C7938"/>
    <w:rsid w:val="007D0FD2"/>
    <w:rsid w:val="007D2EF8"/>
    <w:rsid w:val="007D561F"/>
    <w:rsid w:val="007D60FD"/>
    <w:rsid w:val="007D6C5E"/>
    <w:rsid w:val="007D7FD2"/>
    <w:rsid w:val="007E13D9"/>
    <w:rsid w:val="007E2AEC"/>
    <w:rsid w:val="007E41BE"/>
    <w:rsid w:val="007E4DB6"/>
    <w:rsid w:val="007E6733"/>
    <w:rsid w:val="007E7CD4"/>
    <w:rsid w:val="007F12AC"/>
    <w:rsid w:val="007F4501"/>
    <w:rsid w:val="007F60DF"/>
    <w:rsid w:val="00801800"/>
    <w:rsid w:val="00801861"/>
    <w:rsid w:val="00801B5B"/>
    <w:rsid w:val="00805A30"/>
    <w:rsid w:val="008216E7"/>
    <w:rsid w:val="00825BE6"/>
    <w:rsid w:val="008276B4"/>
    <w:rsid w:val="00831927"/>
    <w:rsid w:val="00837288"/>
    <w:rsid w:val="00841BD3"/>
    <w:rsid w:val="0084273D"/>
    <w:rsid w:val="00844E3F"/>
    <w:rsid w:val="00845A83"/>
    <w:rsid w:val="00846BB9"/>
    <w:rsid w:val="008649D5"/>
    <w:rsid w:val="008712BB"/>
    <w:rsid w:val="008830E7"/>
    <w:rsid w:val="00884F0F"/>
    <w:rsid w:val="00890EDE"/>
    <w:rsid w:val="00892B38"/>
    <w:rsid w:val="008A1741"/>
    <w:rsid w:val="008A17AB"/>
    <w:rsid w:val="008A2484"/>
    <w:rsid w:val="008A52F3"/>
    <w:rsid w:val="008C26D9"/>
    <w:rsid w:val="008C6D50"/>
    <w:rsid w:val="008C7167"/>
    <w:rsid w:val="008C7503"/>
    <w:rsid w:val="008D1617"/>
    <w:rsid w:val="008D330F"/>
    <w:rsid w:val="008D48C1"/>
    <w:rsid w:val="008D555F"/>
    <w:rsid w:val="008E6315"/>
    <w:rsid w:val="008F0480"/>
    <w:rsid w:val="008F07FC"/>
    <w:rsid w:val="008F11E0"/>
    <w:rsid w:val="008F3EA7"/>
    <w:rsid w:val="008F4D82"/>
    <w:rsid w:val="008F5E59"/>
    <w:rsid w:val="008F78BC"/>
    <w:rsid w:val="008F7B63"/>
    <w:rsid w:val="008F7D6A"/>
    <w:rsid w:val="00901C86"/>
    <w:rsid w:val="00903603"/>
    <w:rsid w:val="009054CB"/>
    <w:rsid w:val="00911F8D"/>
    <w:rsid w:val="00912EA3"/>
    <w:rsid w:val="00912F94"/>
    <w:rsid w:val="009171BC"/>
    <w:rsid w:val="0092497E"/>
    <w:rsid w:val="0092590B"/>
    <w:rsid w:val="00925BF3"/>
    <w:rsid w:val="00925E60"/>
    <w:rsid w:val="009264B3"/>
    <w:rsid w:val="00931E4C"/>
    <w:rsid w:val="009365E0"/>
    <w:rsid w:val="00942BA2"/>
    <w:rsid w:val="009432B7"/>
    <w:rsid w:val="009437C6"/>
    <w:rsid w:val="00944C86"/>
    <w:rsid w:val="00946EE6"/>
    <w:rsid w:val="00947C02"/>
    <w:rsid w:val="00950BE6"/>
    <w:rsid w:val="00957DE8"/>
    <w:rsid w:val="00960ECB"/>
    <w:rsid w:val="009615D6"/>
    <w:rsid w:val="00967855"/>
    <w:rsid w:val="00971CD1"/>
    <w:rsid w:val="00974709"/>
    <w:rsid w:val="009801AE"/>
    <w:rsid w:val="00980736"/>
    <w:rsid w:val="00981A39"/>
    <w:rsid w:val="00982D56"/>
    <w:rsid w:val="00983DBF"/>
    <w:rsid w:val="00987097"/>
    <w:rsid w:val="00991123"/>
    <w:rsid w:val="00991CAB"/>
    <w:rsid w:val="009A3A9C"/>
    <w:rsid w:val="009B046C"/>
    <w:rsid w:val="009B13FA"/>
    <w:rsid w:val="009B1E2D"/>
    <w:rsid w:val="009C0530"/>
    <w:rsid w:val="009C45E8"/>
    <w:rsid w:val="009C59FB"/>
    <w:rsid w:val="009C6F3B"/>
    <w:rsid w:val="009D1467"/>
    <w:rsid w:val="009D328D"/>
    <w:rsid w:val="009E4FA6"/>
    <w:rsid w:val="009E7D93"/>
    <w:rsid w:val="009F3C34"/>
    <w:rsid w:val="009F462C"/>
    <w:rsid w:val="009F5C33"/>
    <w:rsid w:val="00A026F0"/>
    <w:rsid w:val="00A03EAC"/>
    <w:rsid w:val="00A04DBB"/>
    <w:rsid w:val="00A07EA0"/>
    <w:rsid w:val="00A11CA6"/>
    <w:rsid w:val="00A20C49"/>
    <w:rsid w:val="00A22932"/>
    <w:rsid w:val="00A269CA"/>
    <w:rsid w:val="00A336EE"/>
    <w:rsid w:val="00A33F46"/>
    <w:rsid w:val="00A3427E"/>
    <w:rsid w:val="00A35832"/>
    <w:rsid w:val="00A359AC"/>
    <w:rsid w:val="00A40F83"/>
    <w:rsid w:val="00A410FB"/>
    <w:rsid w:val="00A41413"/>
    <w:rsid w:val="00A431E6"/>
    <w:rsid w:val="00A436E8"/>
    <w:rsid w:val="00A45FB1"/>
    <w:rsid w:val="00A46A0F"/>
    <w:rsid w:val="00A46CCC"/>
    <w:rsid w:val="00A47996"/>
    <w:rsid w:val="00A51CFE"/>
    <w:rsid w:val="00A5204D"/>
    <w:rsid w:val="00A56E77"/>
    <w:rsid w:val="00A61605"/>
    <w:rsid w:val="00A65F97"/>
    <w:rsid w:val="00A72DA8"/>
    <w:rsid w:val="00A73B04"/>
    <w:rsid w:val="00A75577"/>
    <w:rsid w:val="00A76C13"/>
    <w:rsid w:val="00A83ECA"/>
    <w:rsid w:val="00A84FD0"/>
    <w:rsid w:val="00A92E79"/>
    <w:rsid w:val="00A950B6"/>
    <w:rsid w:val="00A95D45"/>
    <w:rsid w:val="00AA3EA8"/>
    <w:rsid w:val="00AB1742"/>
    <w:rsid w:val="00AB41C1"/>
    <w:rsid w:val="00AB4CF2"/>
    <w:rsid w:val="00AB6CCA"/>
    <w:rsid w:val="00AC223F"/>
    <w:rsid w:val="00AC33B1"/>
    <w:rsid w:val="00AD0690"/>
    <w:rsid w:val="00AD12A8"/>
    <w:rsid w:val="00AE023F"/>
    <w:rsid w:val="00AE3D9D"/>
    <w:rsid w:val="00AF3577"/>
    <w:rsid w:val="00AF359A"/>
    <w:rsid w:val="00AF35F9"/>
    <w:rsid w:val="00B0424C"/>
    <w:rsid w:val="00B05C7D"/>
    <w:rsid w:val="00B15D57"/>
    <w:rsid w:val="00B16347"/>
    <w:rsid w:val="00B17D6E"/>
    <w:rsid w:val="00B2435E"/>
    <w:rsid w:val="00B346C3"/>
    <w:rsid w:val="00B4005C"/>
    <w:rsid w:val="00B42257"/>
    <w:rsid w:val="00B4227E"/>
    <w:rsid w:val="00B4471C"/>
    <w:rsid w:val="00B451A6"/>
    <w:rsid w:val="00B47CE5"/>
    <w:rsid w:val="00B56D6E"/>
    <w:rsid w:val="00B64347"/>
    <w:rsid w:val="00B65DC6"/>
    <w:rsid w:val="00B67AC2"/>
    <w:rsid w:val="00B722DE"/>
    <w:rsid w:val="00B751E3"/>
    <w:rsid w:val="00B75BA6"/>
    <w:rsid w:val="00B76C44"/>
    <w:rsid w:val="00B8184A"/>
    <w:rsid w:val="00B82283"/>
    <w:rsid w:val="00B828D8"/>
    <w:rsid w:val="00B835EC"/>
    <w:rsid w:val="00B83F87"/>
    <w:rsid w:val="00B87CDC"/>
    <w:rsid w:val="00B910C1"/>
    <w:rsid w:val="00BA2CA4"/>
    <w:rsid w:val="00BA2EFA"/>
    <w:rsid w:val="00BA3DBC"/>
    <w:rsid w:val="00BA707A"/>
    <w:rsid w:val="00BB1AFB"/>
    <w:rsid w:val="00BB27AE"/>
    <w:rsid w:val="00BB2DA2"/>
    <w:rsid w:val="00BB56DC"/>
    <w:rsid w:val="00BC196B"/>
    <w:rsid w:val="00BE183D"/>
    <w:rsid w:val="00BE1D1C"/>
    <w:rsid w:val="00BF24C2"/>
    <w:rsid w:val="00BF2922"/>
    <w:rsid w:val="00BF5D7A"/>
    <w:rsid w:val="00C01C2E"/>
    <w:rsid w:val="00C02D33"/>
    <w:rsid w:val="00C04B53"/>
    <w:rsid w:val="00C1232C"/>
    <w:rsid w:val="00C27C6B"/>
    <w:rsid w:val="00C3594D"/>
    <w:rsid w:val="00C36442"/>
    <w:rsid w:val="00C400CE"/>
    <w:rsid w:val="00C410FD"/>
    <w:rsid w:val="00C457DE"/>
    <w:rsid w:val="00C47DD3"/>
    <w:rsid w:val="00C5316F"/>
    <w:rsid w:val="00C53562"/>
    <w:rsid w:val="00C539FB"/>
    <w:rsid w:val="00C66AA3"/>
    <w:rsid w:val="00C66E57"/>
    <w:rsid w:val="00C724D7"/>
    <w:rsid w:val="00C74150"/>
    <w:rsid w:val="00C75594"/>
    <w:rsid w:val="00C85982"/>
    <w:rsid w:val="00CA0466"/>
    <w:rsid w:val="00CA246D"/>
    <w:rsid w:val="00CA50D9"/>
    <w:rsid w:val="00CB3054"/>
    <w:rsid w:val="00CB5636"/>
    <w:rsid w:val="00CB5F30"/>
    <w:rsid w:val="00CC3EE5"/>
    <w:rsid w:val="00CC6E47"/>
    <w:rsid w:val="00CD1346"/>
    <w:rsid w:val="00CD3933"/>
    <w:rsid w:val="00CD6C19"/>
    <w:rsid w:val="00CE30BD"/>
    <w:rsid w:val="00CE425C"/>
    <w:rsid w:val="00CE58AC"/>
    <w:rsid w:val="00CE6651"/>
    <w:rsid w:val="00CF5A80"/>
    <w:rsid w:val="00D045EE"/>
    <w:rsid w:val="00D05091"/>
    <w:rsid w:val="00D10CA6"/>
    <w:rsid w:val="00D10F21"/>
    <w:rsid w:val="00D134CF"/>
    <w:rsid w:val="00D1573B"/>
    <w:rsid w:val="00D24806"/>
    <w:rsid w:val="00D34040"/>
    <w:rsid w:val="00D34E69"/>
    <w:rsid w:val="00D36C78"/>
    <w:rsid w:val="00D375EE"/>
    <w:rsid w:val="00D55AE8"/>
    <w:rsid w:val="00D56056"/>
    <w:rsid w:val="00D60164"/>
    <w:rsid w:val="00D6085F"/>
    <w:rsid w:val="00D62699"/>
    <w:rsid w:val="00D778E9"/>
    <w:rsid w:val="00D812BF"/>
    <w:rsid w:val="00D82620"/>
    <w:rsid w:val="00D85707"/>
    <w:rsid w:val="00D9725F"/>
    <w:rsid w:val="00DA01B1"/>
    <w:rsid w:val="00DA11A2"/>
    <w:rsid w:val="00DA14ED"/>
    <w:rsid w:val="00DA26D6"/>
    <w:rsid w:val="00DA592B"/>
    <w:rsid w:val="00DB2EF1"/>
    <w:rsid w:val="00DB3DE1"/>
    <w:rsid w:val="00DB5DA0"/>
    <w:rsid w:val="00DB716C"/>
    <w:rsid w:val="00DC5C85"/>
    <w:rsid w:val="00DC7C5D"/>
    <w:rsid w:val="00DD4236"/>
    <w:rsid w:val="00DD44F1"/>
    <w:rsid w:val="00DD6957"/>
    <w:rsid w:val="00DD6E7A"/>
    <w:rsid w:val="00DE3067"/>
    <w:rsid w:val="00DF3EEE"/>
    <w:rsid w:val="00DF75E1"/>
    <w:rsid w:val="00E027BC"/>
    <w:rsid w:val="00E04377"/>
    <w:rsid w:val="00E045BE"/>
    <w:rsid w:val="00E10F0D"/>
    <w:rsid w:val="00E14EA5"/>
    <w:rsid w:val="00E2070E"/>
    <w:rsid w:val="00E21133"/>
    <w:rsid w:val="00E2327E"/>
    <w:rsid w:val="00E23577"/>
    <w:rsid w:val="00E266EF"/>
    <w:rsid w:val="00E326A8"/>
    <w:rsid w:val="00E327AA"/>
    <w:rsid w:val="00E43230"/>
    <w:rsid w:val="00E47428"/>
    <w:rsid w:val="00E56C8E"/>
    <w:rsid w:val="00E5716B"/>
    <w:rsid w:val="00E57F1F"/>
    <w:rsid w:val="00E66B9F"/>
    <w:rsid w:val="00E70A6A"/>
    <w:rsid w:val="00E710D6"/>
    <w:rsid w:val="00E73DA4"/>
    <w:rsid w:val="00E76E45"/>
    <w:rsid w:val="00E777C9"/>
    <w:rsid w:val="00E81DA6"/>
    <w:rsid w:val="00E84212"/>
    <w:rsid w:val="00E9086C"/>
    <w:rsid w:val="00E90AAA"/>
    <w:rsid w:val="00E91A0F"/>
    <w:rsid w:val="00E94A71"/>
    <w:rsid w:val="00E94CBF"/>
    <w:rsid w:val="00EA03CE"/>
    <w:rsid w:val="00EA23E5"/>
    <w:rsid w:val="00EA4E2E"/>
    <w:rsid w:val="00EB2417"/>
    <w:rsid w:val="00EB2CCB"/>
    <w:rsid w:val="00EB7A25"/>
    <w:rsid w:val="00EC0F3E"/>
    <w:rsid w:val="00EC57A7"/>
    <w:rsid w:val="00ED0817"/>
    <w:rsid w:val="00ED7DD9"/>
    <w:rsid w:val="00EE445B"/>
    <w:rsid w:val="00EE5244"/>
    <w:rsid w:val="00EF3113"/>
    <w:rsid w:val="00EF3F84"/>
    <w:rsid w:val="00F176AC"/>
    <w:rsid w:val="00F17B57"/>
    <w:rsid w:val="00F26F28"/>
    <w:rsid w:val="00F27714"/>
    <w:rsid w:val="00F3276E"/>
    <w:rsid w:val="00F33D3C"/>
    <w:rsid w:val="00F37A91"/>
    <w:rsid w:val="00F408A0"/>
    <w:rsid w:val="00F45CF5"/>
    <w:rsid w:val="00F47DB0"/>
    <w:rsid w:val="00F50C3F"/>
    <w:rsid w:val="00F50E34"/>
    <w:rsid w:val="00F51AFB"/>
    <w:rsid w:val="00F53EF7"/>
    <w:rsid w:val="00F54BF2"/>
    <w:rsid w:val="00F64BB4"/>
    <w:rsid w:val="00F775AC"/>
    <w:rsid w:val="00F876CE"/>
    <w:rsid w:val="00F8792F"/>
    <w:rsid w:val="00F9214D"/>
    <w:rsid w:val="00F92355"/>
    <w:rsid w:val="00F93963"/>
    <w:rsid w:val="00F94291"/>
    <w:rsid w:val="00FA298A"/>
    <w:rsid w:val="00FA5B66"/>
    <w:rsid w:val="00FB0B9C"/>
    <w:rsid w:val="00FB30EB"/>
    <w:rsid w:val="00FB7982"/>
    <w:rsid w:val="00FC0734"/>
    <w:rsid w:val="00FC0FC5"/>
    <w:rsid w:val="00FC588F"/>
    <w:rsid w:val="00FC6879"/>
    <w:rsid w:val="00FD43C2"/>
    <w:rsid w:val="00FD57CC"/>
    <w:rsid w:val="00FE1B30"/>
    <w:rsid w:val="00FE7B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391225E"/>
  <w15:docId w15:val="{C2B6082B-9FB0-47D9-AF7D-A3AE47C6D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rsid w:val="001C2FE0"/>
    <w:pPr>
      <w:numPr>
        <w:numId w:val="2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20"/>
      </w:numPr>
      <w:spacing w:before="60" w:after="60"/>
    </w:pPr>
  </w:style>
  <w:style w:type="numbering" w:customStyle="1" w:styleId="FCOrders">
    <w:name w:val="FCOrders"/>
    <w:uiPriority w:val="99"/>
    <w:rsid w:val="004104B6"/>
    <w:pPr>
      <w:numPr>
        <w:numId w:val="20"/>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28592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4"/>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semiHidden/>
    <w:unhideWhenUsed/>
    <w:rsid w:val="00077768"/>
    <w:pPr>
      <w:spacing w:line="240" w:lineRule="auto"/>
    </w:pPr>
    <w:rPr>
      <w:sz w:val="20"/>
    </w:rPr>
  </w:style>
  <w:style w:type="character" w:customStyle="1" w:styleId="FootnoteTextChar">
    <w:name w:val="Footnote Text Char"/>
    <w:basedOn w:val="DefaultParagraphFont"/>
    <w:link w:val="FootnoteText"/>
    <w:semiHidden/>
    <w:rsid w:val="00077768"/>
    <w:rPr>
      <w:lang w:eastAsia="en-US"/>
    </w:rPr>
  </w:style>
  <w:style w:type="character" w:styleId="FootnoteReference">
    <w:name w:val="footnote reference"/>
    <w:basedOn w:val="DefaultParagraphFont"/>
    <w:semiHidden/>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6"/>
      </w:numPr>
    </w:pPr>
  </w:style>
  <w:style w:type="paragraph" w:customStyle="1" w:styleId="Notes">
    <w:name w:val="Notes"/>
    <w:basedOn w:val="Normal"/>
    <w:rsid w:val="00805A30"/>
    <w:pPr>
      <w:numPr>
        <w:numId w:val="28"/>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 w:type="paragraph" w:customStyle="1" w:styleId="00f51578">
    <w:name w:val="00f51578"/>
    <w:basedOn w:val="Normal"/>
    <w:rsid w:val="001F56EF"/>
    <w:pPr>
      <w:spacing w:before="100" w:beforeAutospacing="1" w:after="100" w:afterAutospacing="1" w:line="240" w:lineRule="auto"/>
      <w:jc w:val="left"/>
    </w:pPr>
    <w:rPr>
      <w:rFonts w:eastAsia="Times New Roman"/>
      <w:szCs w:val="24"/>
      <w:lang w:eastAsia="en-AU"/>
    </w:rPr>
  </w:style>
  <w:style w:type="paragraph" w:customStyle="1" w:styleId="00934ca4">
    <w:name w:val="00934ca4"/>
    <w:basedOn w:val="Normal"/>
    <w:rsid w:val="001F56EF"/>
    <w:pPr>
      <w:spacing w:before="100" w:beforeAutospacing="1" w:after="100" w:afterAutospacing="1" w:line="240" w:lineRule="auto"/>
      <w:jc w:val="left"/>
    </w:pPr>
    <w:rPr>
      <w:rFonts w:eastAsia="Times New Roman"/>
      <w:szCs w:val="24"/>
      <w:lang w:eastAsia="en-AU"/>
    </w:rPr>
  </w:style>
  <w:style w:type="paragraph" w:customStyle="1" w:styleId="Default">
    <w:name w:val="Default"/>
    <w:rsid w:val="00587861"/>
    <w:pPr>
      <w:autoSpaceDE w:val="0"/>
      <w:autoSpaceDN w:val="0"/>
      <w:adjustRightInd w:val="0"/>
    </w:pPr>
    <w:rPr>
      <w:color w:val="000000"/>
      <w:sz w:val="24"/>
      <w:szCs w:val="24"/>
    </w:rPr>
  </w:style>
  <w:style w:type="paragraph" w:styleId="Revision">
    <w:name w:val="Revision"/>
    <w:hidden/>
    <w:uiPriority w:val="99"/>
    <w:semiHidden/>
    <w:rsid w:val="00912EA3"/>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507127">
      <w:bodyDiv w:val="1"/>
      <w:marLeft w:val="0"/>
      <w:marRight w:val="0"/>
      <w:marTop w:val="0"/>
      <w:marBottom w:val="0"/>
      <w:divBdr>
        <w:top w:val="none" w:sz="0" w:space="0" w:color="auto"/>
        <w:left w:val="none" w:sz="0" w:space="0" w:color="auto"/>
        <w:bottom w:val="none" w:sz="0" w:space="0" w:color="auto"/>
        <w:right w:val="none" w:sz="0" w:space="0" w:color="auto"/>
      </w:divBdr>
    </w:div>
    <w:div w:id="1691687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ntTable" Target="fontTable.xml"/><Relationship Id="rId27"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143C4AEB8C440AAAD31B9CB1F880414"/>
        <w:category>
          <w:name w:val="General"/>
          <w:gallery w:val="placeholder"/>
        </w:category>
        <w:types>
          <w:type w:val="bbPlcHdr"/>
        </w:types>
        <w:behaviors>
          <w:behavior w:val="content"/>
        </w:behaviors>
        <w:guid w:val="{F6283FEF-3650-41D2-98D8-E9DF4363E0D9}"/>
      </w:docPartPr>
      <w:docPartBody>
        <w:p w:rsidR="007C62D9" w:rsidRDefault="00F56164">
          <w:pPr>
            <w:pStyle w:val="B143C4AEB8C440AAAD31B9CB1F880414"/>
          </w:pPr>
          <w:r>
            <w:rPr>
              <w:rStyle w:val="PlaceholderText"/>
            </w:rPr>
            <w:t>MNC Text</w:t>
          </w:r>
        </w:p>
      </w:docPartBody>
    </w:docPart>
    <w:docPart>
      <w:docPartPr>
        <w:name w:val="B6382E8687524D96A4709BB3A068C771"/>
        <w:category>
          <w:name w:val="General"/>
          <w:gallery w:val="placeholder"/>
        </w:category>
        <w:types>
          <w:type w:val="bbPlcHdr"/>
        </w:types>
        <w:behaviors>
          <w:behavior w:val="content"/>
        </w:behaviors>
        <w:guid w:val="{08A3E27D-45BE-4877-A827-E0B419F34ACB}"/>
      </w:docPartPr>
      <w:docPartBody>
        <w:p w:rsidR="007C62D9" w:rsidRDefault="00F56164">
          <w:pPr>
            <w:pStyle w:val="B6382E8687524D96A4709BB3A068C771"/>
          </w:pPr>
          <w:r w:rsidRPr="005C44BE">
            <w:rPr>
              <w:rStyle w:val="PlaceholderText"/>
            </w:rPr>
            <w:t>Click or tap here to enter text.</w:t>
          </w:r>
        </w:p>
      </w:docPartBody>
    </w:docPart>
    <w:docPart>
      <w:docPartPr>
        <w:name w:val="987EEAEB32544F36BD37C42E7B523451"/>
        <w:category>
          <w:name w:val="General"/>
          <w:gallery w:val="placeholder"/>
        </w:category>
        <w:types>
          <w:type w:val="bbPlcHdr"/>
        </w:types>
        <w:behaviors>
          <w:behavior w:val="content"/>
        </w:behaviors>
        <w:guid w:val="{E073AFE6-3BC2-4BE0-ADBB-95F585D04D46}"/>
      </w:docPartPr>
      <w:docPartBody>
        <w:p w:rsidR="007C62D9" w:rsidRDefault="00F56164">
          <w:pPr>
            <w:pStyle w:val="987EEAEB32544F36BD37C42E7B523451"/>
          </w:pPr>
          <w:r w:rsidRPr="005C44BE">
            <w:rPr>
              <w:rStyle w:val="PlaceholderText"/>
            </w:rPr>
            <w:t>Click or tap here to enter text.</w:t>
          </w:r>
        </w:p>
      </w:docPartBody>
    </w:docPart>
    <w:docPart>
      <w:docPartPr>
        <w:name w:val="E8FA0C37AEB3445E8D88659113BA02A9"/>
        <w:category>
          <w:name w:val="General"/>
          <w:gallery w:val="placeholder"/>
        </w:category>
        <w:types>
          <w:type w:val="bbPlcHdr"/>
        </w:types>
        <w:behaviors>
          <w:behavior w:val="content"/>
        </w:behaviors>
        <w:guid w:val="{3826A2EC-DF10-4036-BFE1-F6D4AC5505E7}"/>
      </w:docPartPr>
      <w:docPartBody>
        <w:p w:rsidR="007C62D9" w:rsidRDefault="00F56164">
          <w:pPr>
            <w:pStyle w:val="E8FA0C37AEB3445E8D88659113BA02A9"/>
          </w:pPr>
          <w:r w:rsidRPr="005C44BE">
            <w:rPr>
              <w:rStyle w:val="PlaceholderText"/>
            </w:rPr>
            <w:t>Click or tap here to enter text.</w:t>
          </w:r>
        </w:p>
      </w:docPartBody>
    </w:docPart>
    <w:docPart>
      <w:docPartPr>
        <w:name w:val="98B1E597ECBB4492855EEEA3D0689AEE"/>
        <w:category>
          <w:name w:val="General"/>
          <w:gallery w:val="placeholder"/>
        </w:category>
        <w:types>
          <w:type w:val="bbPlcHdr"/>
        </w:types>
        <w:behaviors>
          <w:behavior w:val="content"/>
        </w:behaviors>
        <w:guid w:val="{7F08F1DA-B061-4111-874D-73EE6EC863D0}"/>
      </w:docPartPr>
      <w:docPartBody>
        <w:p w:rsidR="007C62D9" w:rsidRDefault="00F56164">
          <w:pPr>
            <w:pStyle w:val="98B1E597ECBB4492855EEEA3D0689AEE"/>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164"/>
    <w:rsid w:val="00155B0A"/>
    <w:rsid w:val="007C62D9"/>
    <w:rsid w:val="00934A85"/>
    <w:rsid w:val="009E7C36"/>
    <w:rsid w:val="00F561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143C4AEB8C440AAAD31B9CB1F880414">
    <w:name w:val="B143C4AEB8C440AAAD31B9CB1F880414"/>
  </w:style>
  <w:style w:type="paragraph" w:customStyle="1" w:styleId="B6382E8687524D96A4709BB3A068C771">
    <w:name w:val="B6382E8687524D96A4709BB3A068C771"/>
  </w:style>
  <w:style w:type="paragraph" w:customStyle="1" w:styleId="987EEAEB32544F36BD37C42E7B523451">
    <w:name w:val="987EEAEB32544F36BD37C42E7B523451"/>
  </w:style>
  <w:style w:type="paragraph" w:customStyle="1" w:styleId="E8FA0C37AEB3445E8D88659113BA02A9">
    <w:name w:val="E8FA0C37AEB3445E8D88659113BA02A9"/>
  </w:style>
  <w:style w:type="paragraph" w:customStyle="1" w:styleId="98B1E597ECBB4492855EEEA3D0689AEE">
    <w:name w:val="98B1E597ECBB4492855EEEA3D0689A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cb67157-2a84-4d71-9bf6-5197b63f335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038CD8FC737549AA49F52A6CDD024B" ma:contentTypeVersion="13" ma:contentTypeDescription="Create a new document." ma:contentTypeScope="" ma:versionID="0cc9fcd45d8cc5616fffb5c3f334f318">
  <xsd:schema xmlns:xsd="http://www.w3.org/2001/XMLSchema" xmlns:xs="http://www.w3.org/2001/XMLSchema" xmlns:p="http://schemas.microsoft.com/office/2006/metadata/properties" xmlns:ns3="9cb67157-2a84-4d71-9bf6-5197b63f335a" xmlns:ns4="84bcf370-1fc0-4423-ab46-412737d5c97d" targetNamespace="http://schemas.microsoft.com/office/2006/metadata/properties" ma:root="true" ma:fieldsID="57367df48c2f4c4827cf43a4335e1e26" ns3:_="" ns4:_="">
    <xsd:import namespace="9cb67157-2a84-4d71-9bf6-5197b63f335a"/>
    <xsd:import namespace="84bcf370-1fc0-4423-ab46-412737d5c97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b67157-2a84-4d71-9bf6-5197b63f33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bcf370-1fc0-4423-ab46-412737d5c97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globalmacros.com/FCA">
  <Name> Sunshine Energy Australia Pty Ltd v Youssef [2023] FCA 549  </Name>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9023E-E1AA-4A5A-AAC4-45C083E15DA0}">
  <ds:schemaRefs>
    <ds:schemaRef ds:uri="http://schemas.microsoft.com/office/2006/metadata/properties"/>
    <ds:schemaRef ds:uri="84bcf370-1fc0-4423-ab46-412737d5c97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9cb67157-2a84-4d71-9bf6-5197b63f335a"/>
    <ds:schemaRef ds:uri="http://www.w3.org/XML/1998/namespace"/>
    <ds:schemaRef ds:uri="http://purl.org/dc/dcmitype/"/>
  </ds:schemaRefs>
</ds:datastoreItem>
</file>

<file path=customXml/itemProps2.xml><?xml version="1.0" encoding="utf-8"?>
<ds:datastoreItem xmlns:ds="http://schemas.openxmlformats.org/officeDocument/2006/customXml" ds:itemID="{3E041195-50C0-418E-9EDD-7CC7F78D0136}">
  <ds:schemaRefs>
    <ds:schemaRef ds:uri="http://schemas.microsoft.com/sharepoint/v3/contenttype/forms"/>
  </ds:schemaRefs>
</ds:datastoreItem>
</file>

<file path=customXml/itemProps3.xml><?xml version="1.0" encoding="utf-8"?>
<ds:datastoreItem xmlns:ds="http://schemas.openxmlformats.org/officeDocument/2006/customXml" ds:itemID="{E8E5D6AE-3129-42D6-9246-D7108B0BD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b67157-2a84-4d71-9bf6-5197b63f335a"/>
    <ds:schemaRef ds:uri="84bcf370-1fc0-4423-ab46-412737d5c9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7E7CCB-4AA5-44E7-B148-17BA2B6F57C0}">
  <ds:schemaRefs>
    <ds:schemaRef ds:uri="http://schemas.globalmacros.com/FCA"/>
  </ds:schemaRefs>
</ds:datastoreItem>
</file>

<file path=customXml/itemProps5.xml><?xml version="1.0" encoding="utf-8"?>
<ds:datastoreItem xmlns:ds="http://schemas.openxmlformats.org/officeDocument/2006/customXml" ds:itemID="{1E9061B6-30A7-425C-92CF-F7B547CCA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4</TotalTime>
  <Pages>12</Pages>
  <Words>3586</Words>
  <Characters>18146</Characters>
  <Application>Microsoft Office Word</Application>
  <DocSecurity>0</DocSecurity>
  <Lines>307</Lines>
  <Paragraphs>96</Paragraphs>
  <ScaleCrop>false</ScaleCrop>
  <HeadingPairs>
    <vt:vector size="2" baseType="variant">
      <vt:variant>
        <vt:lpstr>Title</vt:lpstr>
      </vt:variant>
      <vt:variant>
        <vt:i4>1</vt:i4>
      </vt:variant>
    </vt:vector>
  </HeadingPairs>
  <TitlesOfParts>
    <vt:vector size="1" baseType="lpstr">
      <vt:lpstr> Sunshine Energy Australia Pty Ltd v Youssef [2023] FCA 549</vt:lpstr>
    </vt:vector>
  </TitlesOfParts>
  <Company>Federal Court of Australia</Company>
  <LinksUpToDate>false</LinksUpToDate>
  <CharactersWithSpaces>21636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Sunshine Energy Australia Pty Ltd v Youssef [2023] FCA 549</dc:title>
  <dc:creator>Federal Court of Australia</dc:creator>
  <dc:description>v1.3</dc:description>
  <cp:lastModifiedBy>Federal Court of Australia</cp:lastModifiedBy>
  <cp:revision>3</cp:revision>
  <cp:lastPrinted>2023-06-09T03:56:00Z</cp:lastPrinted>
  <dcterms:created xsi:type="dcterms:W3CDTF">2023-06-15T00:11:00Z</dcterms:created>
  <dcterms:modified xsi:type="dcterms:W3CDTF">2023-06-15T00:15:00Z</dcterms:modified>
  <cp:version>v1.2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3</vt:lpwstr>
  </property>
  <property fmtid="{D5CDD505-2E9C-101B-9397-08002B2CF9AE}" pid="6" name="Parties">
    <vt:lpwstr> </vt:lpwstr>
  </property>
  <property fmtid="{D5CDD505-2E9C-101B-9397-08002B2CF9AE}" pid="7" name="Place">
    <vt:lpwstr>N/A FCA</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Queensland</vt:lpwstr>
  </property>
  <property fmtid="{D5CDD505-2E9C-101B-9397-08002B2CF9AE}" pid="13" name="Division">
    <vt:lpwstr>General Division</vt:lpwstr>
  </property>
  <property fmtid="{D5CDD505-2E9C-101B-9397-08002B2CF9AE}" pid="14" name="FileNo">
    <vt:lpwstr>&lt;FILE NO&gt;</vt:lpwstr>
  </property>
  <property fmtid="{D5CDD505-2E9C-101B-9397-08002B2CF9AE}" pid="15" name="Practice Area">
    <vt:lpwstr>Commercial and Corporations</vt:lpwstr>
  </property>
  <property fmtid="{D5CDD505-2E9C-101B-9397-08002B2CF9AE}" pid="16" name="Court">
    <vt:lpwstr>Federal Court of Australia</vt:lpwstr>
  </property>
  <property fmtid="{D5CDD505-2E9C-101B-9397-08002B2CF9AE}" pid="17" name="Sub Area">
    <vt:lpwstr>Commercial Contracts, Banking, Finance and Insurance</vt:lpwstr>
  </property>
  <property fmtid="{D5CDD505-2E9C-101B-9397-08002B2CF9AE}" pid="18" name="AppealFrom">
    <vt:lpwstr>&lt;AppealFrom&gt;</vt:lpwstr>
  </property>
  <property fmtid="{D5CDD505-2E9C-101B-9397-08002B2CF9AE}" pid="19" name="DivisionTitle">
    <vt:lpwstr>none</vt:lpwstr>
  </property>
  <property fmtid="{D5CDD505-2E9C-101B-9397-08002B2CF9AE}" pid="20" name="Judge">
    <vt:lpwstr>Judge</vt:lpwstr>
  </property>
  <property fmtid="{D5CDD505-2E9C-101B-9397-08002B2CF9AE}" pid="21" name="Judgment_dated">
    <vt:lpwstr>Judgment_dated</vt:lpwstr>
  </property>
  <property fmtid="{D5CDD505-2E9C-101B-9397-08002B2CF9AE}" pid="22" name="Legislation">
    <vt:lpwstr>Legislation</vt:lpwstr>
  </property>
  <property fmtid="{D5CDD505-2E9C-101B-9397-08002B2CF9AE}" pid="23" name="Catchwords">
    <vt:lpwstr>Catchwords</vt:lpwstr>
  </property>
  <property fmtid="{D5CDD505-2E9C-101B-9397-08002B2CF9AE}" pid="24" name="Words_Phrases">
    <vt:lpwstr>WordsPhrases</vt:lpwstr>
  </property>
  <property fmtid="{D5CDD505-2E9C-101B-9397-08002B2CF9AE}" pid="25" name="Cases_Cited">
    <vt:lpwstr>CasesCited</vt:lpwstr>
  </property>
  <property fmtid="{D5CDD505-2E9C-101B-9397-08002B2CF9AE}" pid="26" name="File_Number">
    <vt:lpwstr>Num</vt:lpwstr>
  </property>
  <property fmtid="{D5CDD505-2E9C-101B-9397-08002B2CF9AE}" pid="27" name="State">
    <vt:lpwstr>State</vt:lpwstr>
  </property>
  <property fmtid="{D5CDD505-2E9C-101B-9397-08002B2CF9AE}" pid="28" name="ContentTypeId">
    <vt:lpwstr>0x01010089038CD8FC737549AA49F52A6CDD024B</vt:lpwstr>
  </property>
</Properties>
</file>