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FB" w:rsidRDefault="006E50E8">
      <w:pPr>
        <w:pStyle w:val="NormalHeadings"/>
        <w:jc w:val="center"/>
        <w:rPr>
          <w:sz w:val="32"/>
        </w:rPr>
      </w:pPr>
      <w:r>
        <w:rPr>
          <w:sz w:val="32"/>
        </w:rPr>
        <w:t>AUSTRALIAN COMPETITION TRIBUNAL</w:t>
      </w:r>
    </w:p>
    <w:p w:rsidR="006069FB" w:rsidRDefault="006069FB">
      <w:pPr>
        <w:pStyle w:val="NormalHeadings"/>
        <w:jc w:val="center"/>
        <w:rPr>
          <w:sz w:val="32"/>
        </w:rPr>
      </w:pPr>
    </w:p>
    <w:p w:rsidR="006069FB" w:rsidRDefault="007E1FB3">
      <w:pPr>
        <w:pStyle w:val="MediaNeutralStyle"/>
      </w:pPr>
      <w:bookmarkStart w:id="0" w:name="MNC"/>
      <w:r>
        <w:t xml:space="preserve">Application by </w:t>
      </w:r>
      <w:proofErr w:type="spellStart"/>
      <w:r>
        <w:t>ActewAGL</w:t>
      </w:r>
      <w:proofErr w:type="spellEnd"/>
      <w:r>
        <w:t xml:space="preserve"> Distribution [2014] </w:t>
      </w:r>
      <w:proofErr w:type="spellStart"/>
      <w:r>
        <w:t>ACompT</w:t>
      </w:r>
      <w:proofErr w:type="spellEnd"/>
      <w:r>
        <w:t xml:space="preserve"> 2</w:t>
      </w:r>
      <w:r w:rsidR="007F289D">
        <w:t xml:space="preserve"> </w:t>
      </w:r>
      <w:bookmarkEnd w:id="0"/>
    </w:p>
    <w:p w:rsidR="006069FB" w:rsidRDefault="006069FB">
      <w:pPr>
        <w:pStyle w:val="Normal1linespace"/>
      </w:pPr>
    </w:p>
    <w:tbl>
      <w:tblPr>
        <w:tblW w:w="0" w:type="auto"/>
        <w:tblLook w:val="01E0" w:firstRow="1" w:lastRow="1" w:firstColumn="1" w:lastColumn="1" w:noHBand="0" w:noVBand="0"/>
      </w:tblPr>
      <w:tblGrid>
        <w:gridCol w:w="3085"/>
        <w:gridCol w:w="5954"/>
        <w:gridCol w:w="25"/>
      </w:tblGrid>
      <w:tr w:rsidR="006069FB">
        <w:trPr>
          <w:gridAfter w:val="1"/>
          <w:wAfter w:w="25" w:type="dxa"/>
        </w:trPr>
        <w:tc>
          <w:tcPr>
            <w:tcW w:w="3085" w:type="dxa"/>
            <w:shd w:val="clear" w:color="auto" w:fill="auto"/>
          </w:tcPr>
          <w:p w:rsidR="006069FB" w:rsidRDefault="007F289D">
            <w:pPr>
              <w:pStyle w:val="Normal1linespace"/>
              <w:widowControl w:val="0"/>
            </w:pPr>
            <w:r>
              <w:t>Citation:</w:t>
            </w:r>
          </w:p>
        </w:tc>
        <w:tc>
          <w:tcPr>
            <w:tcW w:w="5954" w:type="dxa"/>
            <w:shd w:val="clear" w:color="auto" w:fill="auto"/>
          </w:tcPr>
          <w:p w:rsidR="006069FB" w:rsidRDefault="007E1FB3">
            <w:pPr>
              <w:pStyle w:val="Normal1linespace"/>
              <w:widowControl w:val="0"/>
              <w:jc w:val="left"/>
            </w:pPr>
            <w:r>
              <w:t xml:space="preserve">Application by </w:t>
            </w:r>
            <w:proofErr w:type="spellStart"/>
            <w:r>
              <w:t>ActewAGL</w:t>
            </w:r>
            <w:proofErr w:type="spellEnd"/>
            <w:r>
              <w:t xml:space="preserve"> Distribution [2014] </w:t>
            </w:r>
            <w:proofErr w:type="spellStart"/>
            <w:r>
              <w:t>ACompT</w:t>
            </w:r>
            <w:proofErr w:type="spellEnd"/>
            <w:r>
              <w:t xml:space="preserve"> 2</w:t>
            </w:r>
          </w:p>
        </w:tc>
      </w:tr>
      <w:tr w:rsidR="007E1FB3">
        <w:trPr>
          <w:gridAfter w:val="1"/>
          <w:wAfter w:w="25" w:type="dxa"/>
        </w:trPr>
        <w:tc>
          <w:tcPr>
            <w:tcW w:w="3085" w:type="dxa"/>
            <w:shd w:val="clear" w:color="auto" w:fill="auto"/>
          </w:tcPr>
          <w:p w:rsidR="007E1FB3" w:rsidRDefault="007E1FB3">
            <w:pPr>
              <w:pStyle w:val="Normal1linespace"/>
              <w:widowControl w:val="0"/>
            </w:pPr>
          </w:p>
        </w:tc>
        <w:tc>
          <w:tcPr>
            <w:tcW w:w="5954" w:type="dxa"/>
            <w:shd w:val="clear" w:color="auto" w:fill="auto"/>
          </w:tcPr>
          <w:p w:rsidR="007E1FB3" w:rsidRDefault="007E1FB3">
            <w:pPr>
              <w:pStyle w:val="Normal1linespace"/>
              <w:widowControl w:val="0"/>
              <w:jc w:val="left"/>
            </w:pPr>
          </w:p>
        </w:tc>
      </w:tr>
      <w:tr w:rsidR="007E1FB3">
        <w:trPr>
          <w:gridAfter w:val="1"/>
          <w:wAfter w:w="25" w:type="dxa"/>
        </w:trPr>
        <w:tc>
          <w:tcPr>
            <w:tcW w:w="3085" w:type="dxa"/>
            <w:shd w:val="clear" w:color="auto" w:fill="auto"/>
          </w:tcPr>
          <w:p w:rsidR="007E1FB3" w:rsidRDefault="007E1FB3">
            <w:pPr>
              <w:pStyle w:val="Normal1linespace"/>
              <w:widowControl w:val="0"/>
            </w:pPr>
            <w:r>
              <w:t>Review from:</w:t>
            </w:r>
          </w:p>
        </w:tc>
        <w:tc>
          <w:tcPr>
            <w:tcW w:w="5954" w:type="dxa"/>
            <w:shd w:val="clear" w:color="auto" w:fill="auto"/>
          </w:tcPr>
          <w:p w:rsidR="007E1FB3" w:rsidRDefault="007E1FB3">
            <w:pPr>
              <w:pStyle w:val="Normal1linespace"/>
              <w:widowControl w:val="0"/>
              <w:jc w:val="left"/>
            </w:pPr>
            <w:r>
              <w:t>Australian Energy Regulator</w:t>
            </w:r>
          </w:p>
        </w:tc>
      </w:tr>
      <w:tr w:rsidR="006069FB">
        <w:trPr>
          <w:gridAfter w:val="1"/>
          <w:wAfter w:w="25" w:type="dxa"/>
        </w:trPr>
        <w:tc>
          <w:tcPr>
            <w:tcW w:w="3085" w:type="dxa"/>
            <w:shd w:val="clear" w:color="auto" w:fill="auto"/>
          </w:tcPr>
          <w:p w:rsidR="006069FB" w:rsidRDefault="006069FB">
            <w:pPr>
              <w:pStyle w:val="Normal1linespace"/>
              <w:widowControl w:val="0"/>
            </w:pPr>
          </w:p>
        </w:tc>
        <w:tc>
          <w:tcPr>
            <w:tcW w:w="5954" w:type="dxa"/>
            <w:shd w:val="clear" w:color="auto" w:fill="auto"/>
          </w:tcPr>
          <w:p w:rsidR="006069FB" w:rsidRDefault="006069FB">
            <w:pPr>
              <w:pStyle w:val="Normal1linespace"/>
              <w:widowControl w:val="0"/>
              <w:jc w:val="left"/>
            </w:pPr>
          </w:p>
        </w:tc>
      </w:tr>
      <w:tr w:rsidR="006069FB">
        <w:trPr>
          <w:gridAfter w:val="1"/>
          <w:wAfter w:w="25" w:type="dxa"/>
        </w:trPr>
        <w:tc>
          <w:tcPr>
            <w:tcW w:w="3085" w:type="dxa"/>
            <w:shd w:val="clear" w:color="auto" w:fill="auto"/>
          </w:tcPr>
          <w:p w:rsidR="006069FB" w:rsidRDefault="007F289D">
            <w:pPr>
              <w:pStyle w:val="Normal1linespace"/>
              <w:widowControl w:val="0"/>
            </w:pPr>
            <w:r>
              <w:t>Parties:</w:t>
            </w:r>
          </w:p>
        </w:tc>
        <w:tc>
          <w:tcPr>
            <w:tcW w:w="5954" w:type="dxa"/>
            <w:shd w:val="clear" w:color="auto" w:fill="auto"/>
          </w:tcPr>
          <w:p w:rsidR="006069FB" w:rsidRDefault="007E1FB3">
            <w:pPr>
              <w:pStyle w:val="Normal1linespace"/>
              <w:widowControl w:val="0"/>
              <w:jc w:val="left"/>
              <w:rPr>
                <w:b/>
              </w:rPr>
            </w:pPr>
            <w:bookmarkStart w:id="1" w:name="JudgmentFP"/>
            <w:proofErr w:type="spellStart"/>
            <w:r>
              <w:rPr>
                <w:b/>
              </w:rPr>
              <w:t>ACTEWAGL</w:t>
            </w:r>
            <w:proofErr w:type="spellEnd"/>
            <w:r>
              <w:rPr>
                <w:b/>
              </w:rPr>
              <w:t xml:space="preserve"> DISTRIBUTION (ABN 76 670 568 688)</w:t>
            </w:r>
            <w:bookmarkEnd w:id="1"/>
          </w:p>
        </w:tc>
      </w:tr>
      <w:tr w:rsidR="006069FB">
        <w:trPr>
          <w:gridAfter w:val="1"/>
          <w:wAfter w:w="25" w:type="dxa"/>
        </w:trPr>
        <w:tc>
          <w:tcPr>
            <w:tcW w:w="3085" w:type="dxa"/>
            <w:shd w:val="clear" w:color="auto" w:fill="auto"/>
          </w:tcPr>
          <w:p w:rsidR="006069FB" w:rsidRDefault="006069FB">
            <w:pPr>
              <w:pStyle w:val="Normal1linespace"/>
              <w:widowControl w:val="0"/>
            </w:pPr>
          </w:p>
        </w:tc>
        <w:tc>
          <w:tcPr>
            <w:tcW w:w="5954" w:type="dxa"/>
            <w:shd w:val="clear" w:color="auto" w:fill="auto"/>
          </w:tcPr>
          <w:p w:rsidR="006069FB" w:rsidRDefault="006069FB">
            <w:pPr>
              <w:pStyle w:val="Normal1linespace"/>
              <w:widowControl w:val="0"/>
              <w:jc w:val="left"/>
            </w:pPr>
          </w:p>
        </w:tc>
      </w:tr>
      <w:tr w:rsidR="006069FB">
        <w:trPr>
          <w:gridAfter w:val="1"/>
          <w:wAfter w:w="25" w:type="dxa"/>
        </w:trPr>
        <w:tc>
          <w:tcPr>
            <w:tcW w:w="3085" w:type="dxa"/>
            <w:shd w:val="clear" w:color="auto" w:fill="auto"/>
          </w:tcPr>
          <w:p w:rsidR="006069FB" w:rsidRDefault="007E1FB3">
            <w:pPr>
              <w:pStyle w:val="Normal1linespace"/>
              <w:widowControl w:val="0"/>
            </w:pPr>
            <w:r>
              <w:t>File number</w:t>
            </w:r>
            <w:r w:rsidR="007F289D">
              <w:t>:</w:t>
            </w:r>
          </w:p>
        </w:tc>
        <w:tc>
          <w:tcPr>
            <w:tcW w:w="5954" w:type="dxa"/>
            <w:shd w:val="clear" w:color="auto" w:fill="auto"/>
          </w:tcPr>
          <w:p w:rsidR="006069FB" w:rsidRDefault="007E1FB3">
            <w:pPr>
              <w:pStyle w:val="Normal1linespace"/>
              <w:widowControl w:val="0"/>
              <w:jc w:val="left"/>
            </w:pPr>
            <w:r>
              <w:rPr>
                <w:szCs w:val="24"/>
              </w:rPr>
              <w:t>ACT 2 of 2014</w:t>
            </w:r>
          </w:p>
        </w:tc>
      </w:tr>
      <w:tr w:rsidR="006069FB">
        <w:trPr>
          <w:gridAfter w:val="1"/>
          <w:wAfter w:w="25" w:type="dxa"/>
        </w:trPr>
        <w:tc>
          <w:tcPr>
            <w:tcW w:w="3085" w:type="dxa"/>
            <w:shd w:val="clear" w:color="auto" w:fill="auto"/>
          </w:tcPr>
          <w:p w:rsidR="006069FB" w:rsidRDefault="006069FB">
            <w:pPr>
              <w:pStyle w:val="Normal1linespace"/>
              <w:widowControl w:val="0"/>
            </w:pPr>
          </w:p>
        </w:tc>
        <w:tc>
          <w:tcPr>
            <w:tcW w:w="5954" w:type="dxa"/>
            <w:shd w:val="clear" w:color="auto" w:fill="auto"/>
          </w:tcPr>
          <w:p w:rsidR="006069FB" w:rsidRDefault="006069FB">
            <w:pPr>
              <w:pStyle w:val="Normal1linespace"/>
              <w:widowControl w:val="0"/>
              <w:jc w:val="left"/>
            </w:pPr>
          </w:p>
        </w:tc>
      </w:tr>
      <w:tr w:rsidR="006069FB">
        <w:trPr>
          <w:gridAfter w:val="1"/>
          <w:wAfter w:w="25" w:type="dxa"/>
        </w:trPr>
        <w:tc>
          <w:tcPr>
            <w:tcW w:w="3085" w:type="dxa"/>
            <w:shd w:val="clear" w:color="auto" w:fill="auto"/>
          </w:tcPr>
          <w:p w:rsidR="006069FB" w:rsidRDefault="007E1FB3">
            <w:pPr>
              <w:pStyle w:val="Normal1linespace"/>
              <w:widowControl w:val="0"/>
            </w:pPr>
            <w:r>
              <w:t>Tribunal</w:t>
            </w:r>
            <w:r w:rsidR="007F289D">
              <w:t>:</w:t>
            </w:r>
          </w:p>
        </w:tc>
        <w:tc>
          <w:tcPr>
            <w:tcW w:w="5954" w:type="dxa"/>
            <w:shd w:val="clear" w:color="auto" w:fill="auto"/>
          </w:tcPr>
          <w:p w:rsidR="006069FB" w:rsidRDefault="007E1FB3" w:rsidP="000179FE">
            <w:pPr>
              <w:pStyle w:val="Normal1linespace"/>
              <w:widowControl w:val="0"/>
              <w:jc w:val="left"/>
              <w:rPr>
                <w:b/>
              </w:rPr>
            </w:pPr>
            <w:r w:rsidRPr="007E1FB3">
              <w:rPr>
                <w:b/>
                <w:caps/>
                <w:szCs w:val="24"/>
              </w:rPr>
              <w:t>MANSFIELD J (PRESIDENT)</w:t>
            </w:r>
          </w:p>
        </w:tc>
      </w:tr>
      <w:tr w:rsidR="006069FB">
        <w:trPr>
          <w:gridAfter w:val="1"/>
          <w:wAfter w:w="25" w:type="dxa"/>
        </w:trPr>
        <w:tc>
          <w:tcPr>
            <w:tcW w:w="3085" w:type="dxa"/>
            <w:shd w:val="clear" w:color="auto" w:fill="auto"/>
          </w:tcPr>
          <w:p w:rsidR="006069FB" w:rsidRDefault="006069FB">
            <w:pPr>
              <w:pStyle w:val="Normal1linespace"/>
              <w:widowControl w:val="0"/>
            </w:pPr>
          </w:p>
        </w:tc>
        <w:tc>
          <w:tcPr>
            <w:tcW w:w="5954" w:type="dxa"/>
            <w:shd w:val="clear" w:color="auto" w:fill="auto"/>
          </w:tcPr>
          <w:p w:rsidR="006069FB" w:rsidRDefault="006069FB">
            <w:pPr>
              <w:pStyle w:val="Normal1linespace"/>
              <w:widowControl w:val="0"/>
              <w:jc w:val="left"/>
            </w:pPr>
          </w:p>
        </w:tc>
      </w:tr>
      <w:tr w:rsidR="006069FB">
        <w:trPr>
          <w:gridAfter w:val="1"/>
          <w:wAfter w:w="25" w:type="dxa"/>
        </w:trPr>
        <w:tc>
          <w:tcPr>
            <w:tcW w:w="3085" w:type="dxa"/>
            <w:shd w:val="clear" w:color="auto" w:fill="auto"/>
          </w:tcPr>
          <w:p w:rsidR="006069FB" w:rsidRDefault="007F289D" w:rsidP="000179FE">
            <w:pPr>
              <w:pStyle w:val="Normal1linespace"/>
              <w:widowControl w:val="0"/>
            </w:pPr>
            <w:r>
              <w:t xml:space="preserve">Date of </w:t>
            </w:r>
            <w:r w:rsidR="000179FE">
              <w:t>decision</w:t>
            </w:r>
            <w:r>
              <w:t>:</w:t>
            </w:r>
          </w:p>
        </w:tc>
        <w:tc>
          <w:tcPr>
            <w:tcW w:w="5954" w:type="dxa"/>
            <w:shd w:val="clear" w:color="auto" w:fill="auto"/>
          </w:tcPr>
          <w:p w:rsidR="006069FB" w:rsidRDefault="007E1FB3">
            <w:pPr>
              <w:pStyle w:val="Normal1linespace"/>
              <w:widowControl w:val="0"/>
              <w:jc w:val="left"/>
            </w:pPr>
            <w:bookmarkStart w:id="2" w:name="JudgmentDate"/>
            <w:r>
              <w:t>25 August 2014</w:t>
            </w:r>
            <w:bookmarkEnd w:id="2"/>
          </w:p>
        </w:tc>
      </w:tr>
      <w:tr w:rsidR="006069FB">
        <w:trPr>
          <w:gridAfter w:val="1"/>
          <w:wAfter w:w="25" w:type="dxa"/>
        </w:trPr>
        <w:tc>
          <w:tcPr>
            <w:tcW w:w="3085" w:type="dxa"/>
            <w:shd w:val="clear" w:color="auto" w:fill="auto"/>
          </w:tcPr>
          <w:p w:rsidR="006069FB" w:rsidRDefault="006069FB">
            <w:pPr>
              <w:pStyle w:val="Normal1linespace"/>
              <w:widowControl w:val="0"/>
            </w:pPr>
          </w:p>
        </w:tc>
        <w:tc>
          <w:tcPr>
            <w:tcW w:w="5954" w:type="dxa"/>
            <w:shd w:val="clear" w:color="auto" w:fill="auto"/>
          </w:tcPr>
          <w:p w:rsidR="006069FB" w:rsidRDefault="006069FB">
            <w:pPr>
              <w:pStyle w:val="Normal1linespace"/>
              <w:widowControl w:val="0"/>
              <w:jc w:val="left"/>
            </w:pPr>
          </w:p>
        </w:tc>
      </w:tr>
      <w:tr w:rsidR="006069FB">
        <w:trPr>
          <w:gridAfter w:val="1"/>
          <w:wAfter w:w="25" w:type="dxa"/>
        </w:trPr>
        <w:tc>
          <w:tcPr>
            <w:tcW w:w="3085" w:type="dxa"/>
            <w:shd w:val="clear" w:color="auto" w:fill="auto"/>
          </w:tcPr>
          <w:p w:rsidR="006069FB" w:rsidRDefault="007F289D">
            <w:pPr>
              <w:pStyle w:val="Normal1linespace"/>
              <w:widowControl w:val="0"/>
            </w:pPr>
            <w:r>
              <w:t>Catchwords:</w:t>
            </w:r>
          </w:p>
        </w:tc>
        <w:tc>
          <w:tcPr>
            <w:tcW w:w="5954" w:type="dxa"/>
            <w:shd w:val="clear" w:color="auto" w:fill="auto"/>
          </w:tcPr>
          <w:p w:rsidR="006069FB" w:rsidRDefault="00405543" w:rsidP="00405543">
            <w:pPr>
              <w:pStyle w:val="Normal1linespace"/>
              <w:widowControl w:val="0"/>
              <w:jc w:val="left"/>
            </w:pPr>
            <w:bookmarkStart w:id="3" w:name="Catchwords"/>
            <w:r>
              <w:rPr>
                <w:b/>
              </w:rPr>
              <w:t>PRACTICE AND PROCEDURE</w:t>
            </w:r>
            <w:bookmarkStart w:id="4" w:name="_GoBack"/>
            <w:bookmarkEnd w:id="4"/>
            <w:r>
              <w:rPr>
                <w:b/>
              </w:rPr>
              <w:t xml:space="preserve"> – </w:t>
            </w:r>
            <w:r>
              <w:t>l</w:t>
            </w:r>
            <w:r w:rsidR="00AC2BBC">
              <w:t>eave to withdraw application where deemed decision of AER preceded formal putative decision – observation</w:t>
            </w:r>
            <w:r w:rsidR="0073732D">
              <w:t>s</w:t>
            </w:r>
            <w:r w:rsidR="00AC2BBC">
              <w:t xml:space="preserve"> about whether there is any right to seek leave to review deemed decision</w:t>
            </w:r>
            <w:r w:rsidR="007F289D">
              <w:t xml:space="preserve"> </w:t>
            </w:r>
            <w:bookmarkEnd w:id="3"/>
          </w:p>
        </w:tc>
      </w:tr>
      <w:tr w:rsidR="006069FB">
        <w:trPr>
          <w:gridAfter w:val="1"/>
          <w:wAfter w:w="25" w:type="dxa"/>
        </w:trPr>
        <w:tc>
          <w:tcPr>
            <w:tcW w:w="3085" w:type="dxa"/>
            <w:shd w:val="clear" w:color="auto" w:fill="auto"/>
          </w:tcPr>
          <w:p w:rsidR="006069FB" w:rsidRPr="0029640F" w:rsidRDefault="006069FB">
            <w:pPr>
              <w:pStyle w:val="Normal1linespace"/>
              <w:widowControl w:val="0"/>
              <w:rPr>
                <w:sz w:val="18"/>
              </w:rPr>
            </w:pPr>
          </w:p>
        </w:tc>
        <w:tc>
          <w:tcPr>
            <w:tcW w:w="5954" w:type="dxa"/>
            <w:shd w:val="clear" w:color="auto" w:fill="auto"/>
          </w:tcPr>
          <w:p w:rsidR="006069FB" w:rsidRPr="0029640F" w:rsidRDefault="006069FB">
            <w:pPr>
              <w:pStyle w:val="Normal1linespace"/>
              <w:widowControl w:val="0"/>
              <w:jc w:val="left"/>
              <w:rPr>
                <w:sz w:val="18"/>
              </w:rPr>
            </w:pPr>
          </w:p>
        </w:tc>
      </w:tr>
      <w:tr w:rsidR="006069FB">
        <w:trPr>
          <w:gridAfter w:val="1"/>
          <w:wAfter w:w="25" w:type="dxa"/>
        </w:trPr>
        <w:tc>
          <w:tcPr>
            <w:tcW w:w="3085" w:type="dxa"/>
            <w:shd w:val="clear" w:color="auto" w:fill="auto"/>
          </w:tcPr>
          <w:p w:rsidR="006069FB" w:rsidRDefault="007F289D">
            <w:pPr>
              <w:pStyle w:val="Normal1linespace"/>
              <w:widowControl w:val="0"/>
            </w:pPr>
            <w:r>
              <w:t>Legislation:</w:t>
            </w:r>
          </w:p>
        </w:tc>
        <w:tc>
          <w:tcPr>
            <w:tcW w:w="5954" w:type="dxa"/>
            <w:shd w:val="clear" w:color="auto" w:fill="auto"/>
          </w:tcPr>
          <w:p w:rsidR="00CD34DD" w:rsidRDefault="00CD34DD" w:rsidP="00CD34DD">
            <w:pPr>
              <w:spacing w:line="240" w:lineRule="auto"/>
            </w:pPr>
            <w:bookmarkStart w:id="5" w:name="Legislation"/>
            <w:r w:rsidRPr="007759A8">
              <w:rPr>
                <w:i/>
              </w:rPr>
              <w:t xml:space="preserve">National </w:t>
            </w:r>
            <w:r>
              <w:rPr>
                <w:i/>
              </w:rPr>
              <w:t>Electricity</w:t>
            </w:r>
            <w:r w:rsidRPr="007759A8">
              <w:rPr>
                <w:i/>
              </w:rPr>
              <w:t xml:space="preserve"> (South Australia) Act </w:t>
            </w:r>
            <w:r>
              <w:rPr>
                <w:i/>
              </w:rPr>
              <w:t>1996</w:t>
            </w:r>
            <w:r w:rsidRPr="007759A8">
              <w:rPr>
                <w:i/>
              </w:rPr>
              <w:t xml:space="preserve"> </w:t>
            </w:r>
            <w:r w:rsidRPr="00D91D10">
              <w:t>(SA)</w:t>
            </w:r>
          </w:p>
          <w:p w:rsidR="00CD34DD" w:rsidRDefault="00CD34DD" w:rsidP="00CD34DD">
            <w:pPr>
              <w:spacing w:line="240" w:lineRule="auto"/>
            </w:pPr>
            <w:r w:rsidRPr="00280185">
              <w:rPr>
                <w:i/>
              </w:rPr>
              <w:t>Electricity (National Scheme) Act 1997</w:t>
            </w:r>
          </w:p>
          <w:p w:rsidR="00CD34DD" w:rsidRDefault="00CD34DD" w:rsidP="00CD34DD">
            <w:pPr>
              <w:spacing w:line="240" w:lineRule="auto"/>
            </w:pPr>
            <w:r>
              <w:rPr>
                <w:i/>
              </w:rPr>
              <w:t xml:space="preserve">Statutes Amendment (National Electricity and Gas Laws – Limited Merits Review) Act 2013 </w:t>
            </w:r>
            <w:r>
              <w:t xml:space="preserve">(SA) </w:t>
            </w:r>
          </w:p>
          <w:p w:rsidR="00D900BA" w:rsidRDefault="00D900BA" w:rsidP="00CD34DD">
            <w:pPr>
              <w:spacing w:line="240" w:lineRule="auto"/>
            </w:pPr>
            <w:r>
              <w:rPr>
                <w:i/>
              </w:rPr>
              <w:t>Competition and Consumer Act 2010</w:t>
            </w:r>
            <w:r>
              <w:t xml:space="preserve"> (</w:t>
            </w:r>
            <w:proofErr w:type="spellStart"/>
            <w:r>
              <w:t>Cth</w:t>
            </w:r>
            <w:proofErr w:type="spellEnd"/>
            <w:r>
              <w:t>)</w:t>
            </w:r>
          </w:p>
          <w:bookmarkEnd w:id="5"/>
          <w:p w:rsidR="006069FB" w:rsidRDefault="006069FB">
            <w:pPr>
              <w:pStyle w:val="Normal1linespace"/>
              <w:widowControl w:val="0"/>
              <w:jc w:val="left"/>
            </w:pPr>
          </w:p>
        </w:tc>
      </w:tr>
      <w:tr w:rsidR="006069FB">
        <w:trPr>
          <w:gridAfter w:val="1"/>
          <w:wAfter w:w="25" w:type="dxa"/>
        </w:trPr>
        <w:tc>
          <w:tcPr>
            <w:tcW w:w="3085" w:type="dxa"/>
            <w:shd w:val="clear" w:color="auto" w:fill="auto"/>
          </w:tcPr>
          <w:p w:rsidR="006069FB" w:rsidRPr="0029640F" w:rsidRDefault="006069FB">
            <w:pPr>
              <w:pStyle w:val="Normal1linespace"/>
              <w:widowControl w:val="0"/>
              <w:rPr>
                <w:sz w:val="18"/>
              </w:rPr>
            </w:pPr>
          </w:p>
        </w:tc>
        <w:tc>
          <w:tcPr>
            <w:tcW w:w="5954" w:type="dxa"/>
            <w:shd w:val="clear" w:color="auto" w:fill="auto"/>
          </w:tcPr>
          <w:p w:rsidR="006069FB" w:rsidRPr="0029640F" w:rsidRDefault="006069FB">
            <w:pPr>
              <w:pStyle w:val="Normal1linespace"/>
              <w:widowControl w:val="0"/>
              <w:jc w:val="left"/>
              <w:rPr>
                <w:sz w:val="18"/>
              </w:rPr>
            </w:pPr>
          </w:p>
        </w:tc>
      </w:tr>
      <w:tr w:rsidR="006069FB">
        <w:trPr>
          <w:gridAfter w:val="1"/>
          <w:wAfter w:w="25" w:type="dxa"/>
        </w:trPr>
        <w:tc>
          <w:tcPr>
            <w:tcW w:w="3085" w:type="dxa"/>
            <w:shd w:val="clear" w:color="auto" w:fill="auto"/>
          </w:tcPr>
          <w:p w:rsidR="006069FB" w:rsidRDefault="007F289D">
            <w:pPr>
              <w:pStyle w:val="Normal1linespace"/>
              <w:widowControl w:val="0"/>
            </w:pPr>
            <w:r>
              <w:t>Cases cited:</w:t>
            </w:r>
          </w:p>
        </w:tc>
        <w:tc>
          <w:tcPr>
            <w:tcW w:w="5954" w:type="dxa"/>
            <w:shd w:val="clear" w:color="auto" w:fill="auto"/>
          </w:tcPr>
          <w:p w:rsidR="006069FB" w:rsidRDefault="00CD34DD">
            <w:pPr>
              <w:pStyle w:val="Normal1linespace"/>
              <w:widowControl w:val="0"/>
              <w:jc w:val="left"/>
            </w:pPr>
            <w:bookmarkStart w:id="6" w:name="Cases_Cited"/>
            <w:r>
              <w:rPr>
                <w:i/>
              </w:rPr>
              <w:t xml:space="preserve">Re Lakes R Us Pty Ltd </w:t>
            </w:r>
            <w:r>
              <w:t xml:space="preserve">[2006] </w:t>
            </w:r>
            <w:proofErr w:type="spellStart"/>
            <w:r>
              <w:t>ACompT</w:t>
            </w:r>
            <w:proofErr w:type="spellEnd"/>
            <w:r>
              <w:t xml:space="preserve"> 3</w:t>
            </w:r>
            <w:r w:rsidR="007F289D">
              <w:t xml:space="preserve"> </w:t>
            </w:r>
            <w:bookmarkEnd w:id="6"/>
          </w:p>
        </w:tc>
      </w:tr>
      <w:tr w:rsidR="006E50E8" w:rsidRPr="001D7816" w:rsidTr="000179FE">
        <w:tblPrEx>
          <w:tblCellSpacing w:w="8" w:type="dxa"/>
        </w:tblPrEx>
        <w:trPr>
          <w:gridAfter w:val="1"/>
          <w:wAfter w:w="25" w:type="dxa"/>
          <w:tblCellSpacing w:w="8" w:type="dxa"/>
        </w:trPr>
        <w:tc>
          <w:tcPr>
            <w:tcW w:w="3085" w:type="dxa"/>
            <w:shd w:val="clear" w:color="auto" w:fill="auto"/>
          </w:tcPr>
          <w:p w:rsidR="006E50E8" w:rsidRPr="0029640F" w:rsidRDefault="006E50E8" w:rsidP="006E50E8">
            <w:pPr>
              <w:pStyle w:val="Normal1linespace"/>
              <w:jc w:val="left"/>
              <w:rPr>
                <w:sz w:val="18"/>
              </w:rPr>
            </w:pPr>
          </w:p>
        </w:tc>
        <w:tc>
          <w:tcPr>
            <w:tcW w:w="5954" w:type="dxa"/>
            <w:shd w:val="clear" w:color="auto" w:fill="auto"/>
          </w:tcPr>
          <w:p w:rsidR="006E50E8" w:rsidRPr="0029640F" w:rsidRDefault="006E50E8" w:rsidP="006E50E8">
            <w:pPr>
              <w:pStyle w:val="Normal1linespace"/>
              <w:jc w:val="left"/>
              <w:rPr>
                <w:sz w:val="18"/>
              </w:rPr>
            </w:pPr>
          </w:p>
        </w:tc>
      </w:tr>
      <w:tr w:rsidR="006E50E8" w:rsidRPr="001D7816" w:rsidTr="000179FE">
        <w:tblPrEx>
          <w:tblCellSpacing w:w="8" w:type="dxa"/>
        </w:tblPrEx>
        <w:trPr>
          <w:gridAfter w:val="1"/>
          <w:wAfter w:w="25" w:type="dxa"/>
          <w:tblCellSpacing w:w="8" w:type="dxa"/>
        </w:trPr>
        <w:tc>
          <w:tcPr>
            <w:tcW w:w="3085" w:type="dxa"/>
            <w:shd w:val="clear" w:color="auto" w:fill="auto"/>
          </w:tcPr>
          <w:p w:rsidR="006E50E8" w:rsidRDefault="006E50E8" w:rsidP="006E50E8">
            <w:pPr>
              <w:pStyle w:val="Normal1linespace"/>
              <w:jc w:val="left"/>
            </w:pPr>
            <w:bookmarkStart w:id="7" w:name="CounselDate"/>
            <w:r>
              <w:t>Date of hearing:</w:t>
            </w:r>
          </w:p>
        </w:tc>
        <w:tc>
          <w:tcPr>
            <w:tcW w:w="5954" w:type="dxa"/>
            <w:shd w:val="clear" w:color="auto" w:fill="auto"/>
          </w:tcPr>
          <w:p w:rsidR="006E50E8" w:rsidRDefault="006E50E8" w:rsidP="006E50E8">
            <w:pPr>
              <w:pStyle w:val="Normal1linespace"/>
              <w:jc w:val="left"/>
            </w:pPr>
            <w:bookmarkStart w:id="8" w:name="HearingDate"/>
            <w:r>
              <w:t>Heard on the papers</w:t>
            </w:r>
            <w:bookmarkEnd w:id="8"/>
          </w:p>
        </w:tc>
      </w:tr>
      <w:tr w:rsidR="006E50E8" w:rsidRPr="001D7816" w:rsidTr="000179FE">
        <w:tblPrEx>
          <w:tblCellSpacing w:w="8" w:type="dxa"/>
        </w:tblPrEx>
        <w:trPr>
          <w:gridAfter w:val="1"/>
          <w:wAfter w:w="25" w:type="dxa"/>
          <w:tblCellSpacing w:w="8" w:type="dxa"/>
        </w:trPr>
        <w:tc>
          <w:tcPr>
            <w:tcW w:w="3085" w:type="dxa"/>
            <w:shd w:val="clear" w:color="auto" w:fill="auto"/>
          </w:tcPr>
          <w:p w:rsidR="006E50E8" w:rsidRPr="0029640F" w:rsidRDefault="006E50E8" w:rsidP="006E50E8">
            <w:pPr>
              <w:pStyle w:val="Normal1linespace"/>
              <w:jc w:val="left"/>
              <w:rPr>
                <w:sz w:val="20"/>
              </w:rPr>
            </w:pPr>
          </w:p>
        </w:tc>
        <w:tc>
          <w:tcPr>
            <w:tcW w:w="5954" w:type="dxa"/>
            <w:shd w:val="clear" w:color="auto" w:fill="auto"/>
          </w:tcPr>
          <w:p w:rsidR="006E50E8" w:rsidRPr="0029640F" w:rsidRDefault="006E50E8" w:rsidP="006E50E8">
            <w:pPr>
              <w:pStyle w:val="Normal1linespace"/>
              <w:jc w:val="left"/>
              <w:rPr>
                <w:sz w:val="20"/>
              </w:rPr>
            </w:pPr>
          </w:p>
        </w:tc>
      </w:tr>
      <w:tr w:rsidR="006E50E8" w:rsidRPr="001D7816" w:rsidTr="000179FE">
        <w:tblPrEx>
          <w:tblCellSpacing w:w="8" w:type="dxa"/>
        </w:tblPrEx>
        <w:trPr>
          <w:gridAfter w:val="1"/>
          <w:wAfter w:w="25" w:type="dxa"/>
          <w:tblCellSpacing w:w="8" w:type="dxa"/>
        </w:trPr>
        <w:tc>
          <w:tcPr>
            <w:tcW w:w="3085" w:type="dxa"/>
            <w:shd w:val="clear" w:color="auto" w:fill="auto"/>
          </w:tcPr>
          <w:p w:rsidR="006E50E8" w:rsidRDefault="006E50E8" w:rsidP="006E50E8">
            <w:pPr>
              <w:pStyle w:val="Normal1linespace"/>
              <w:jc w:val="left"/>
            </w:pPr>
            <w:r>
              <w:t>Date of last submissions:</w:t>
            </w:r>
          </w:p>
        </w:tc>
        <w:tc>
          <w:tcPr>
            <w:tcW w:w="5954" w:type="dxa"/>
            <w:shd w:val="clear" w:color="auto" w:fill="auto"/>
          </w:tcPr>
          <w:p w:rsidR="006E50E8" w:rsidRDefault="0073732D" w:rsidP="006E50E8">
            <w:pPr>
              <w:pStyle w:val="Normal1linespace"/>
              <w:jc w:val="left"/>
            </w:pPr>
            <w:r>
              <w:t>21</w:t>
            </w:r>
            <w:r w:rsidR="006E50E8">
              <w:t xml:space="preserve"> August 2014</w:t>
            </w:r>
          </w:p>
        </w:tc>
      </w:tr>
      <w:bookmarkEnd w:id="7"/>
      <w:tr w:rsidR="006E50E8" w:rsidRPr="001D7816" w:rsidTr="000179FE">
        <w:tblPrEx>
          <w:tblCellSpacing w:w="8" w:type="dxa"/>
        </w:tblPrEx>
        <w:trPr>
          <w:tblCellSpacing w:w="8" w:type="dxa"/>
        </w:trPr>
        <w:tc>
          <w:tcPr>
            <w:tcW w:w="3085" w:type="dxa"/>
            <w:shd w:val="clear" w:color="auto" w:fill="auto"/>
          </w:tcPr>
          <w:p w:rsidR="006E50E8" w:rsidRPr="0029640F" w:rsidRDefault="006E50E8" w:rsidP="006E50E8">
            <w:pPr>
              <w:pStyle w:val="Normal1linespace"/>
              <w:jc w:val="left"/>
              <w:rPr>
                <w:sz w:val="20"/>
              </w:rPr>
            </w:pPr>
          </w:p>
        </w:tc>
        <w:tc>
          <w:tcPr>
            <w:tcW w:w="5979" w:type="dxa"/>
            <w:gridSpan w:val="2"/>
            <w:shd w:val="clear" w:color="auto" w:fill="auto"/>
          </w:tcPr>
          <w:p w:rsidR="006E50E8" w:rsidRPr="0029640F" w:rsidRDefault="006E50E8" w:rsidP="006E50E8">
            <w:pPr>
              <w:pStyle w:val="Normal1linespace"/>
              <w:jc w:val="left"/>
              <w:rPr>
                <w:sz w:val="20"/>
              </w:rPr>
            </w:pPr>
          </w:p>
        </w:tc>
      </w:tr>
      <w:tr w:rsidR="006E50E8" w:rsidRPr="001D7816" w:rsidTr="000179FE">
        <w:tblPrEx>
          <w:tblCellSpacing w:w="8" w:type="dxa"/>
        </w:tblPrEx>
        <w:trPr>
          <w:tblCellSpacing w:w="8" w:type="dxa"/>
        </w:trPr>
        <w:tc>
          <w:tcPr>
            <w:tcW w:w="3085" w:type="dxa"/>
            <w:shd w:val="clear" w:color="auto" w:fill="auto"/>
          </w:tcPr>
          <w:p w:rsidR="006E50E8" w:rsidRDefault="006E50E8" w:rsidP="006E50E8">
            <w:pPr>
              <w:pStyle w:val="Normal1linespace"/>
              <w:jc w:val="left"/>
            </w:pPr>
            <w:r>
              <w:t>Place:</w:t>
            </w:r>
          </w:p>
        </w:tc>
        <w:tc>
          <w:tcPr>
            <w:tcW w:w="5979" w:type="dxa"/>
            <w:gridSpan w:val="2"/>
            <w:shd w:val="clear" w:color="auto" w:fill="auto"/>
          </w:tcPr>
          <w:p w:rsidR="006E50E8" w:rsidRDefault="006E50E8" w:rsidP="006E50E8">
            <w:pPr>
              <w:pStyle w:val="Normal1linespace"/>
              <w:jc w:val="left"/>
            </w:pPr>
            <w:r>
              <w:t>Sydney</w:t>
            </w:r>
          </w:p>
        </w:tc>
      </w:tr>
      <w:tr w:rsidR="006E50E8" w:rsidRPr="001D7816" w:rsidTr="000179FE">
        <w:tblPrEx>
          <w:tblCellSpacing w:w="8" w:type="dxa"/>
        </w:tblPrEx>
        <w:trPr>
          <w:tblCellSpacing w:w="8" w:type="dxa"/>
        </w:trPr>
        <w:tc>
          <w:tcPr>
            <w:tcW w:w="3085" w:type="dxa"/>
            <w:shd w:val="clear" w:color="auto" w:fill="auto"/>
          </w:tcPr>
          <w:p w:rsidR="006E50E8" w:rsidRPr="0029640F" w:rsidRDefault="006E50E8" w:rsidP="006E50E8">
            <w:pPr>
              <w:pStyle w:val="Normal1linespace"/>
              <w:jc w:val="left"/>
              <w:rPr>
                <w:sz w:val="20"/>
              </w:rPr>
            </w:pPr>
          </w:p>
        </w:tc>
        <w:tc>
          <w:tcPr>
            <w:tcW w:w="5979" w:type="dxa"/>
            <w:gridSpan w:val="2"/>
            <w:shd w:val="clear" w:color="auto" w:fill="auto"/>
          </w:tcPr>
          <w:p w:rsidR="006E50E8" w:rsidRPr="0029640F" w:rsidRDefault="006E50E8" w:rsidP="006E50E8">
            <w:pPr>
              <w:pStyle w:val="Normal1linespace"/>
              <w:jc w:val="left"/>
              <w:rPr>
                <w:sz w:val="20"/>
              </w:rPr>
            </w:pPr>
          </w:p>
        </w:tc>
      </w:tr>
      <w:tr w:rsidR="006E50E8" w:rsidRPr="001D7816" w:rsidTr="000179FE">
        <w:tblPrEx>
          <w:tblCellSpacing w:w="8" w:type="dxa"/>
        </w:tblPrEx>
        <w:trPr>
          <w:tblCellSpacing w:w="8" w:type="dxa"/>
        </w:trPr>
        <w:tc>
          <w:tcPr>
            <w:tcW w:w="3085" w:type="dxa"/>
            <w:shd w:val="clear" w:color="auto" w:fill="auto"/>
          </w:tcPr>
          <w:p w:rsidR="006E50E8" w:rsidRDefault="006E50E8" w:rsidP="006E50E8">
            <w:pPr>
              <w:pStyle w:val="Normal1linespace"/>
              <w:jc w:val="left"/>
            </w:pPr>
            <w:r>
              <w:t>Category:</w:t>
            </w:r>
          </w:p>
        </w:tc>
        <w:tc>
          <w:tcPr>
            <w:tcW w:w="5979" w:type="dxa"/>
            <w:gridSpan w:val="2"/>
            <w:shd w:val="clear" w:color="auto" w:fill="auto"/>
          </w:tcPr>
          <w:p w:rsidR="006E50E8" w:rsidRDefault="00CD34DD" w:rsidP="006E50E8">
            <w:pPr>
              <w:pStyle w:val="Normal1linespace"/>
              <w:jc w:val="left"/>
            </w:pPr>
            <w:r>
              <w:t>Catchwords</w:t>
            </w:r>
          </w:p>
        </w:tc>
      </w:tr>
      <w:tr w:rsidR="006E50E8" w:rsidRPr="001D7816" w:rsidTr="000179FE">
        <w:tblPrEx>
          <w:tblCellSpacing w:w="8" w:type="dxa"/>
        </w:tblPrEx>
        <w:trPr>
          <w:tblCellSpacing w:w="8" w:type="dxa"/>
        </w:trPr>
        <w:tc>
          <w:tcPr>
            <w:tcW w:w="3085" w:type="dxa"/>
            <w:shd w:val="clear" w:color="auto" w:fill="auto"/>
          </w:tcPr>
          <w:p w:rsidR="006E50E8" w:rsidRPr="0029640F" w:rsidRDefault="006E50E8" w:rsidP="006E50E8">
            <w:pPr>
              <w:pStyle w:val="Normal1linespace"/>
              <w:jc w:val="left"/>
              <w:rPr>
                <w:sz w:val="20"/>
              </w:rPr>
            </w:pPr>
          </w:p>
        </w:tc>
        <w:tc>
          <w:tcPr>
            <w:tcW w:w="5979" w:type="dxa"/>
            <w:gridSpan w:val="2"/>
            <w:shd w:val="clear" w:color="auto" w:fill="auto"/>
          </w:tcPr>
          <w:p w:rsidR="006E50E8" w:rsidRPr="0029640F" w:rsidRDefault="006E50E8" w:rsidP="006E50E8">
            <w:pPr>
              <w:pStyle w:val="Normal1linespace"/>
              <w:jc w:val="left"/>
              <w:rPr>
                <w:sz w:val="20"/>
              </w:rPr>
            </w:pPr>
          </w:p>
        </w:tc>
      </w:tr>
      <w:tr w:rsidR="006E50E8" w:rsidRPr="001D7816" w:rsidTr="000179FE">
        <w:tblPrEx>
          <w:tblCellSpacing w:w="8" w:type="dxa"/>
        </w:tblPrEx>
        <w:trPr>
          <w:tblCellSpacing w:w="8" w:type="dxa"/>
        </w:trPr>
        <w:tc>
          <w:tcPr>
            <w:tcW w:w="3085" w:type="dxa"/>
            <w:shd w:val="clear" w:color="auto" w:fill="auto"/>
          </w:tcPr>
          <w:p w:rsidR="006E50E8" w:rsidRDefault="006E50E8" w:rsidP="006E50E8">
            <w:pPr>
              <w:pStyle w:val="Normal1linespace"/>
              <w:jc w:val="left"/>
            </w:pPr>
            <w:r>
              <w:t>Number of paragraphs:</w:t>
            </w:r>
          </w:p>
        </w:tc>
        <w:tc>
          <w:tcPr>
            <w:tcW w:w="5979" w:type="dxa"/>
            <w:gridSpan w:val="2"/>
            <w:shd w:val="clear" w:color="auto" w:fill="auto"/>
          </w:tcPr>
          <w:p w:rsidR="006E50E8" w:rsidRDefault="00BF60C9" w:rsidP="006E50E8">
            <w:pPr>
              <w:pStyle w:val="Normal1linespace"/>
              <w:jc w:val="left"/>
            </w:pPr>
            <w:bookmarkStart w:id="9" w:name="PlaceCategoryParagraphs"/>
            <w:r>
              <w:t>31</w:t>
            </w:r>
            <w:bookmarkEnd w:id="9"/>
          </w:p>
        </w:tc>
      </w:tr>
      <w:tr w:rsidR="006E50E8" w:rsidRPr="001D7816" w:rsidTr="000179FE">
        <w:tblPrEx>
          <w:tblCellSpacing w:w="8" w:type="dxa"/>
        </w:tblPrEx>
        <w:trPr>
          <w:tblCellSpacing w:w="8" w:type="dxa"/>
        </w:trPr>
        <w:tc>
          <w:tcPr>
            <w:tcW w:w="3085" w:type="dxa"/>
            <w:shd w:val="clear" w:color="auto" w:fill="auto"/>
          </w:tcPr>
          <w:p w:rsidR="006E50E8" w:rsidRPr="0029640F" w:rsidRDefault="006E50E8" w:rsidP="006E50E8">
            <w:pPr>
              <w:pStyle w:val="Normal1linespace"/>
              <w:jc w:val="left"/>
              <w:rPr>
                <w:sz w:val="20"/>
              </w:rPr>
            </w:pPr>
          </w:p>
        </w:tc>
        <w:tc>
          <w:tcPr>
            <w:tcW w:w="5979" w:type="dxa"/>
            <w:gridSpan w:val="2"/>
            <w:shd w:val="clear" w:color="auto" w:fill="auto"/>
          </w:tcPr>
          <w:p w:rsidR="006E50E8" w:rsidRPr="0029640F" w:rsidRDefault="006E50E8" w:rsidP="006E50E8">
            <w:pPr>
              <w:pStyle w:val="Normal1linespace"/>
              <w:jc w:val="left"/>
              <w:rPr>
                <w:sz w:val="20"/>
              </w:rPr>
            </w:pPr>
          </w:p>
        </w:tc>
      </w:tr>
      <w:tr w:rsidR="006E50E8" w:rsidRPr="001D7816" w:rsidTr="000179FE">
        <w:tblPrEx>
          <w:tblCellSpacing w:w="8" w:type="dxa"/>
        </w:tblPrEx>
        <w:trPr>
          <w:tblCellSpacing w:w="8" w:type="dxa"/>
        </w:trPr>
        <w:tc>
          <w:tcPr>
            <w:tcW w:w="3085" w:type="dxa"/>
            <w:shd w:val="clear" w:color="auto" w:fill="auto"/>
          </w:tcPr>
          <w:p w:rsidR="006E50E8" w:rsidRDefault="006E50E8" w:rsidP="006E50E8">
            <w:pPr>
              <w:pStyle w:val="Normal1linespace"/>
              <w:jc w:val="left"/>
            </w:pPr>
            <w:bookmarkStart w:id="10" w:name="Counsel"/>
            <w:r>
              <w:t>Counsel for the Applicant:</w:t>
            </w:r>
          </w:p>
        </w:tc>
        <w:tc>
          <w:tcPr>
            <w:tcW w:w="5979" w:type="dxa"/>
            <w:gridSpan w:val="2"/>
            <w:shd w:val="clear" w:color="auto" w:fill="auto"/>
          </w:tcPr>
          <w:p w:rsidR="006E50E8" w:rsidRDefault="006E50E8" w:rsidP="006E50E8">
            <w:pPr>
              <w:pStyle w:val="Normal1linespace"/>
              <w:jc w:val="left"/>
            </w:pPr>
            <w:bookmarkStart w:id="11" w:name="AppCounsel"/>
            <w:bookmarkEnd w:id="11"/>
            <w:r>
              <w:t>F Gibbons</w:t>
            </w:r>
          </w:p>
        </w:tc>
      </w:tr>
      <w:tr w:rsidR="006E50E8" w:rsidRPr="001D7816" w:rsidTr="000179FE">
        <w:tblPrEx>
          <w:tblCellSpacing w:w="8" w:type="dxa"/>
        </w:tblPrEx>
        <w:trPr>
          <w:tblCellSpacing w:w="8" w:type="dxa"/>
        </w:trPr>
        <w:tc>
          <w:tcPr>
            <w:tcW w:w="3085" w:type="dxa"/>
            <w:shd w:val="clear" w:color="auto" w:fill="auto"/>
          </w:tcPr>
          <w:p w:rsidR="006E50E8" w:rsidRPr="0029640F" w:rsidRDefault="006E50E8" w:rsidP="006E50E8">
            <w:pPr>
              <w:pStyle w:val="Normal1linespace"/>
              <w:jc w:val="left"/>
              <w:rPr>
                <w:sz w:val="20"/>
              </w:rPr>
            </w:pPr>
          </w:p>
        </w:tc>
        <w:tc>
          <w:tcPr>
            <w:tcW w:w="5979" w:type="dxa"/>
            <w:gridSpan w:val="2"/>
            <w:shd w:val="clear" w:color="auto" w:fill="auto"/>
          </w:tcPr>
          <w:p w:rsidR="006E50E8" w:rsidRPr="0029640F" w:rsidRDefault="006E50E8" w:rsidP="006E50E8">
            <w:pPr>
              <w:pStyle w:val="Normal1linespace"/>
              <w:jc w:val="left"/>
              <w:rPr>
                <w:sz w:val="20"/>
              </w:rPr>
            </w:pPr>
          </w:p>
        </w:tc>
      </w:tr>
      <w:tr w:rsidR="006E50E8" w:rsidRPr="001D7816" w:rsidTr="000179FE">
        <w:tblPrEx>
          <w:tblCellSpacing w:w="8" w:type="dxa"/>
        </w:tblPrEx>
        <w:trPr>
          <w:tblCellSpacing w:w="8" w:type="dxa"/>
        </w:trPr>
        <w:tc>
          <w:tcPr>
            <w:tcW w:w="3085" w:type="dxa"/>
            <w:shd w:val="clear" w:color="auto" w:fill="auto"/>
          </w:tcPr>
          <w:p w:rsidR="006E50E8" w:rsidRDefault="006E50E8" w:rsidP="006E50E8">
            <w:pPr>
              <w:pStyle w:val="Normal1linespace"/>
              <w:jc w:val="left"/>
            </w:pPr>
            <w:r>
              <w:t>Solicitor for the Applicant:</w:t>
            </w:r>
          </w:p>
        </w:tc>
        <w:tc>
          <w:tcPr>
            <w:tcW w:w="5979" w:type="dxa"/>
            <w:gridSpan w:val="2"/>
            <w:shd w:val="clear" w:color="auto" w:fill="auto"/>
          </w:tcPr>
          <w:p w:rsidR="006E50E8" w:rsidRDefault="006E50E8" w:rsidP="006E50E8">
            <w:pPr>
              <w:pStyle w:val="Normal1linespace"/>
              <w:jc w:val="left"/>
            </w:pPr>
            <w:proofErr w:type="spellStart"/>
            <w:r>
              <w:t>DLA</w:t>
            </w:r>
            <w:proofErr w:type="spellEnd"/>
            <w:r>
              <w:t xml:space="preserve"> Piper</w:t>
            </w:r>
          </w:p>
        </w:tc>
      </w:tr>
      <w:tr w:rsidR="006E50E8" w:rsidRPr="001D7816" w:rsidTr="000179FE">
        <w:tblPrEx>
          <w:tblCellSpacing w:w="8" w:type="dxa"/>
        </w:tblPrEx>
        <w:trPr>
          <w:tblCellSpacing w:w="8" w:type="dxa"/>
        </w:trPr>
        <w:tc>
          <w:tcPr>
            <w:tcW w:w="3085" w:type="dxa"/>
            <w:shd w:val="clear" w:color="auto" w:fill="auto"/>
          </w:tcPr>
          <w:p w:rsidR="006E50E8" w:rsidRPr="0029640F" w:rsidRDefault="006E50E8" w:rsidP="006E50E8">
            <w:pPr>
              <w:pStyle w:val="Normal1linespace"/>
              <w:jc w:val="left"/>
              <w:rPr>
                <w:sz w:val="20"/>
              </w:rPr>
            </w:pPr>
          </w:p>
        </w:tc>
        <w:tc>
          <w:tcPr>
            <w:tcW w:w="5979" w:type="dxa"/>
            <w:gridSpan w:val="2"/>
            <w:shd w:val="clear" w:color="auto" w:fill="auto"/>
          </w:tcPr>
          <w:p w:rsidR="006E50E8" w:rsidRPr="0029640F" w:rsidRDefault="006E50E8" w:rsidP="006E50E8">
            <w:pPr>
              <w:pStyle w:val="Normal1linespace"/>
              <w:jc w:val="left"/>
              <w:rPr>
                <w:sz w:val="20"/>
              </w:rPr>
            </w:pPr>
          </w:p>
        </w:tc>
      </w:tr>
      <w:tr w:rsidR="006E50E8" w:rsidRPr="001D7816" w:rsidTr="000179FE">
        <w:tblPrEx>
          <w:tblCellSpacing w:w="8" w:type="dxa"/>
        </w:tblPrEx>
        <w:trPr>
          <w:tblCellSpacing w:w="8" w:type="dxa"/>
        </w:trPr>
        <w:tc>
          <w:tcPr>
            <w:tcW w:w="3085" w:type="dxa"/>
            <w:shd w:val="clear" w:color="auto" w:fill="auto"/>
          </w:tcPr>
          <w:p w:rsidR="006E50E8" w:rsidRDefault="006E50E8" w:rsidP="006E50E8">
            <w:pPr>
              <w:pStyle w:val="Normal1linespace"/>
              <w:jc w:val="left"/>
            </w:pPr>
            <w:r>
              <w:t>Counsel for the Australian Energy Regulator :</w:t>
            </w:r>
          </w:p>
        </w:tc>
        <w:tc>
          <w:tcPr>
            <w:tcW w:w="5979" w:type="dxa"/>
            <w:gridSpan w:val="2"/>
            <w:shd w:val="clear" w:color="auto" w:fill="auto"/>
          </w:tcPr>
          <w:p w:rsidR="006E50E8" w:rsidRDefault="006E50E8" w:rsidP="006E50E8">
            <w:pPr>
              <w:pStyle w:val="Normal1linespace"/>
              <w:jc w:val="left"/>
            </w:pPr>
            <w:r>
              <w:t>F Williams</w:t>
            </w:r>
          </w:p>
        </w:tc>
      </w:tr>
      <w:tr w:rsidR="006E50E8" w:rsidRPr="001D7816" w:rsidTr="000179FE">
        <w:tblPrEx>
          <w:tblCellSpacing w:w="8" w:type="dxa"/>
        </w:tblPrEx>
        <w:trPr>
          <w:tblCellSpacing w:w="8" w:type="dxa"/>
        </w:trPr>
        <w:tc>
          <w:tcPr>
            <w:tcW w:w="3085" w:type="dxa"/>
            <w:shd w:val="clear" w:color="auto" w:fill="auto"/>
          </w:tcPr>
          <w:p w:rsidR="006E50E8" w:rsidRPr="0029640F" w:rsidRDefault="006E50E8" w:rsidP="006E50E8">
            <w:pPr>
              <w:pStyle w:val="Normal1linespace"/>
              <w:jc w:val="left"/>
              <w:rPr>
                <w:sz w:val="20"/>
              </w:rPr>
            </w:pPr>
          </w:p>
        </w:tc>
        <w:tc>
          <w:tcPr>
            <w:tcW w:w="5979" w:type="dxa"/>
            <w:gridSpan w:val="2"/>
            <w:shd w:val="clear" w:color="auto" w:fill="auto"/>
          </w:tcPr>
          <w:p w:rsidR="006E50E8" w:rsidRPr="0029640F" w:rsidRDefault="006E50E8" w:rsidP="006E50E8">
            <w:pPr>
              <w:pStyle w:val="Normal1linespace"/>
              <w:jc w:val="left"/>
              <w:rPr>
                <w:sz w:val="20"/>
              </w:rPr>
            </w:pPr>
          </w:p>
        </w:tc>
      </w:tr>
      <w:tr w:rsidR="006E50E8" w:rsidRPr="001D7816" w:rsidTr="000179FE">
        <w:tblPrEx>
          <w:tblCellSpacing w:w="8" w:type="dxa"/>
        </w:tblPrEx>
        <w:trPr>
          <w:tblCellSpacing w:w="8" w:type="dxa"/>
        </w:trPr>
        <w:tc>
          <w:tcPr>
            <w:tcW w:w="3085" w:type="dxa"/>
            <w:shd w:val="clear" w:color="auto" w:fill="auto"/>
          </w:tcPr>
          <w:p w:rsidR="006E50E8" w:rsidRDefault="006E50E8" w:rsidP="006E50E8">
            <w:pPr>
              <w:pStyle w:val="Normal1linespace"/>
              <w:jc w:val="left"/>
            </w:pPr>
            <w:r>
              <w:t>Solicitor for the Australian Energy Regulator:</w:t>
            </w:r>
          </w:p>
        </w:tc>
        <w:tc>
          <w:tcPr>
            <w:tcW w:w="5979" w:type="dxa"/>
            <w:gridSpan w:val="2"/>
            <w:shd w:val="clear" w:color="auto" w:fill="auto"/>
          </w:tcPr>
          <w:p w:rsidR="006E50E8" w:rsidRDefault="006E50E8" w:rsidP="006E50E8">
            <w:pPr>
              <w:pStyle w:val="Normal1linespace"/>
              <w:jc w:val="left"/>
            </w:pPr>
            <w:proofErr w:type="spellStart"/>
            <w:r>
              <w:t>Corrs</w:t>
            </w:r>
            <w:proofErr w:type="spellEnd"/>
            <w:r>
              <w:t xml:space="preserve"> Chambers Westgarth</w:t>
            </w:r>
          </w:p>
        </w:tc>
      </w:tr>
      <w:bookmarkEnd w:id="10"/>
    </w:tbl>
    <w:p w:rsidR="006069FB" w:rsidRDefault="006069FB">
      <w:pPr>
        <w:pStyle w:val="Normal1linespace"/>
        <w:sectPr w:rsidR="006069FB">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6069FB">
        <w:tc>
          <w:tcPr>
            <w:tcW w:w="6771" w:type="dxa"/>
          </w:tcPr>
          <w:p w:rsidR="006069FB" w:rsidRDefault="007F289D" w:rsidP="006E50E8">
            <w:pPr>
              <w:pStyle w:val="NormalHeadings"/>
              <w:spacing w:after="120"/>
              <w:jc w:val="left"/>
              <w:rPr>
                <w:caps/>
                <w:szCs w:val="24"/>
              </w:rPr>
            </w:pPr>
            <w:r>
              <w:rPr>
                <w:caps/>
                <w:szCs w:val="24"/>
              </w:rPr>
              <w:lastRenderedPageBreak/>
              <w:t xml:space="preserve">IN THE </w:t>
            </w:r>
            <w:r w:rsidR="006E50E8">
              <w:rPr>
                <w:caps/>
                <w:szCs w:val="24"/>
              </w:rPr>
              <w:t>AUSTRALIAN COMPETITION TRIBUNAL</w:t>
            </w:r>
          </w:p>
        </w:tc>
        <w:tc>
          <w:tcPr>
            <w:tcW w:w="2471" w:type="dxa"/>
          </w:tcPr>
          <w:p w:rsidR="006069FB" w:rsidRDefault="006069FB">
            <w:pPr>
              <w:pStyle w:val="NormalHeadings"/>
              <w:jc w:val="left"/>
              <w:rPr>
                <w:caps/>
                <w:szCs w:val="24"/>
              </w:rPr>
            </w:pPr>
          </w:p>
        </w:tc>
      </w:tr>
      <w:tr w:rsidR="006069FB">
        <w:tc>
          <w:tcPr>
            <w:tcW w:w="6771" w:type="dxa"/>
          </w:tcPr>
          <w:p w:rsidR="006069FB" w:rsidRDefault="006069FB">
            <w:pPr>
              <w:pStyle w:val="NormalHeadings"/>
              <w:spacing w:after="120"/>
              <w:jc w:val="left"/>
              <w:rPr>
                <w:caps/>
                <w:szCs w:val="24"/>
              </w:rPr>
            </w:pPr>
          </w:p>
        </w:tc>
        <w:tc>
          <w:tcPr>
            <w:tcW w:w="2471" w:type="dxa"/>
          </w:tcPr>
          <w:p w:rsidR="006069FB" w:rsidRDefault="007E1FB3">
            <w:pPr>
              <w:pStyle w:val="NormalHeadings"/>
              <w:tabs>
                <w:tab w:val="right" w:pos="3609"/>
              </w:tabs>
              <w:jc w:val="right"/>
              <w:rPr>
                <w:szCs w:val="24"/>
              </w:rPr>
            </w:pPr>
            <w:bookmarkStart w:id="12" w:name="Num"/>
            <w:r>
              <w:rPr>
                <w:szCs w:val="24"/>
              </w:rPr>
              <w:t>ACT 2 of 2014</w:t>
            </w:r>
            <w:bookmarkEnd w:id="12"/>
          </w:p>
        </w:tc>
      </w:tr>
    </w:tbl>
    <w:p w:rsidR="006069FB" w:rsidRPr="007E1FB3" w:rsidRDefault="00F137E7">
      <w:pPr>
        <w:pStyle w:val="AppealTable"/>
        <w:rPr>
          <w:sz w:val="24"/>
        </w:rPr>
      </w:pPr>
      <w:bookmarkStart w:id="13" w:name="AppealTable"/>
      <w:r w:rsidRPr="007E1FB3">
        <w:rPr>
          <w:caps w:val="0"/>
          <w:sz w:val="24"/>
        </w:rPr>
        <w:t xml:space="preserve"> </w:t>
      </w:r>
      <w:bookmarkEnd w:id="13"/>
    </w:p>
    <w:tbl>
      <w:tblPr>
        <w:tblW w:w="0" w:type="auto"/>
        <w:tblLayout w:type="fixed"/>
        <w:tblLook w:val="0000" w:firstRow="0" w:lastRow="0" w:firstColumn="0" w:lastColumn="0" w:noHBand="0" w:noVBand="0"/>
      </w:tblPr>
      <w:tblGrid>
        <w:gridCol w:w="2376"/>
        <w:gridCol w:w="6866"/>
      </w:tblGrid>
      <w:tr w:rsidR="006069FB">
        <w:trPr>
          <w:trHeight w:val="386"/>
        </w:trPr>
        <w:tc>
          <w:tcPr>
            <w:tcW w:w="2376" w:type="dxa"/>
          </w:tcPr>
          <w:p w:rsidR="006069FB" w:rsidRDefault="0034036C">
            <w:pPr>
              <w:pStyle w:val="NormalHeadings"/>
              <w:jc w:val="left"/>
              <w:rPr>
                <w:caps/>
                <w:szCs w:val="24"/>
              </w:rPr>
            </w:pPr>
            <w:bookmarkStart w:id="14" w:name="Parties"/>
            <w:r>
              <w:rPr>
                <w:caps/>
                <w:szCs w:val="24"/>
              </w:rPr>
              <w:t>Re</w:t>
            </w:r>
            <w:r w:rsidR="007F289D">
              <w:rPr>
                <w:caps/>
                <w:szCs w:val="24"/>
              </w:rPr>
              <w:t>:</w:t>
            </w:r>
          </w:p>
        </w:tc>
        <w:tc>
          <w:tcPr>
            <w:tcW w:w="6866" w:type="dxa"/>
          </w:tcPr>
          <w:p w:rsidR="007E1FB3" w:rsidRDefault="007E1FB3">
            <w:pPr>
              <w:pStyle w:val="NormalHeadings"/>
              <w:jc w:val="left"/>
              <w:rPr>
                <w:szCs w:val="24"/>
              </w:rPr>
            </w:pPr>
            <w:bookmarkStart w:id="15" w:name="Applicant"/>
            <w:r>
              <w:rPr>
                <w:szCs w:val="24"/>
              </w:rPr>
              <w:t xml:space="preserve">APPLICATION UNDER S </w:t>
            </w:r>
            <w:proofErr w:type="spellStart"/>
            <w:r>
              <w:rPr>
                <w:szCs w:val="24"/>
              </w:rPr>
              <w:t>71B</w:t>
            </w:r>
            <w:proofErr w:type="spellEnd"/>
            <w:r>
              <w:rPr>
                <w:szCs w:val="24"/>
              </w:rPr>
              <w:t xml:space="preserve"> OF THE NATIONAL ELECTRICITY LAW FOR A REVIEW OF A PASS THROUGH DETERMINATION MADE BY THE AUSTRALIAN ENERGY REGULATOR IN RELATION TO </w:t>
            </w:r>
            <w:proofErr w:type="spellStart"/>
            <w:r>
              <w:rPr>
                <w:szCs w:val="24"/>
              </w:rPr>
              <w:t>ACTEWAGL</w:t>
            </w:r>
            <w:proofErr w:type="spellEnd"/>
            <w:r>
              <w:rPr>
                <w:szCs w:val="24"/>
              </w:rPr>
              <w:t xml:space="preserve"> DISTRIBUTION PURSUANT TO CLAUSE 6.6.1 OF THE NATIONAL ELECTRICITY RULES</w:t>
            </w:r>
          </w:p>
          <w:bookmarkEnd w:id="15"/>
          <w:p w:rsidR="006069FB" w:rsidRDefault="006069FB" w:rsidP="0034036C">
            <w:pPr>
              <w:pStyle w:val="NormalHeadings"/>
              <w:jc w:val="left"/>
              <w:rPr>
                <w:szCs w:val="24"/>
              </w:rPr>
            </w:pPr>
          </w:p>
        </w:tc>
      </w:tr>
    </w:tbl>
    <w:p w:rsidR="00F137E7" w:rsidRDefault="00F137E7"/>
    <w:tbl>
      <w:tblPr>
        <w:tblW w:w="0" w:type="auto"/>
        <w:tblLayout w:type="fixed"/>
        <w:tblLook w:val="0000" w:firstRow="0" w:lastRow="0" w:firstColumn="0" w:lastColumn="0" w:noHBand="0" w:noVBand="0"/>
      </w:tblPr>
      <w:tblGrid>
        <w:gridCol w:w="2376"/>
        <w:gridCol w:w="6866"/>
      </w:tblGrid>
      <w:tr w:rsidR="006069FB">
        <w:trPr>
          <w:trHeight w:val="386"/>
        </w:trPr>
        <w:tc>
          <w:tcPr>
            <w:tcW w:w="2376" w:type="dxa"/>
          </w:tcPr>
          <w:p w:rsidR="006069FB" w:rsidRDefault="0034036C">
            <w:pPr>
              <w:pStyle w:val="NormalHeadings"/>
              <w:jc w:val="left"/>
              <w:rPr>
                <w:caps/>
                <w:szCs w:val="24"/>
              </w:rPr>
            </w:pPr>
            <w:r>
              <w:rPr>
                <w:caps/>
                <w:szCs w:val="24"/>
              </w:rPr>
              <w:t>BY</w:t>
            </w:r>
            <w:r w:rsidR="007F289D">
              <w:rPr>
                <w:caps/>
                <w:szCs w:val="24"/>
              </w:rPr>
              <w:t>:</w:t>
            </w:r>
          </w:p>
        </w:tc>
        <w:tc>
          <w:tcPr>
            <w:tcW w:w="6866" w:type="dxa"/>
          </w:tcPr>
          <w:p w:rsidR="007E1FB3" w:rsidRDefault="0034036C">
            <w:pPr>
              <w:pStyle w:val="NormalHeadings"/>
              <w:jc w:val="left"/>
              <w:rPr>
                <w:szCs w:val="24"/>
              </w:rPr>
            </w:pPr>
            <w:bookmarkStart w:id="16" w:name="Respondent"/>
            <w:proofErr w:type="spellStart"/>
            <w:r>
              <w:rPr>
                <w:szCs w:val="24"/>
              </w:rPr>
              <w:t>ACTE</w:t>
            </w:r>
            <w:r w:rsidR="007E1FB3">
              <w:rPr>
                <w:szCs w:val="24"/>
              </w:rPr>
              <w:t>WAGL</w:t>
            </w:r>
            <w:proofErr w:type="spellEnd"/>
            <w:r w:rsidR="007E1FB3">
              <w:rPr>
                <w:szCs w:val="24"/>
              </w:rPr>
              <w:t xml:space="preserve"> DISTRIBUTION (ABN 76 670 568 688)</w:t>
            </w:r>
          </w:p>
          <w:p w:rsidR="007E1FB3" w:rsidRDefault="0034036C">
            <w:pPr>
              <w:pStyle w:val="NormalHeadings"/>
              <w:jc w:val="left"/>
              <w:rPr>
                <w:szCs w:val="24"/>
              </w:rPr>
            </w:pPr>
            <w:r>
              <w:rPr>
                <w:szCs w:val="24"/>
              </w:rPr>
              <w:t>Applicant</w:t>
            </w:r>
          </w:p>
          <w:bookmarkEnd w:id="16"/>
          <w:p w:rsidR="006069FB" w:rsidRDefault="006069FB">
            <w:pPr>
              <w:pStyle w:val="NormalHeadings"/>
              <w:jc w:val="left"/>
              <w:rPr>
                <w:szCs w:val="24"/>
              </w:rPr>
            </w:pPr>
          </w:p>
        </w:tc>
      </w:tr>
      <w:bookmarkEnd w:id="14"/>
    </w:tbl>
    <w:p w:rsidR="006069FB" w:rsidRDefault="006069FB">
      <w:pPr>
        <w:pStyle w:val="NormalHeadings"/>
      </w:pPr>
    </w:p>
    <w:tbl>
      <w:tblPr>
        <w:tblW w:w="0" w:type="auto"/>
        <w:tblLayout w:type="fixed"/>
        <w:tblLook w:val="0000" w:firstRow="0" w:lastRow="0" w:firstColumn="0" w:lastColumn="0" w:noHBand="0" w:noVBand="0"/>
      </w:tblPr>
      <w:tblGrid>
        <w:gridCol w:w="2376"/>
        <w:gridCol w:w="6866"/>
      </w:tblGrid>
      <w:tr w:rsidR="006069FB">
        <w:tc>
          <w:tcPr>
            <w:tcW w:w="2376" w:type="dxa"/>
          </w:tcPr>
          <w:p w:rsidR="006069FB" w:rsidRDefault="007E1FB3">
            <w:pPr>
              <w:pStyle w:val="NormalHeadings"/>
              <w:spacing w:after="120"/>
              <w:jc w:val="left"/>
              <w:rPr>
                <w:caps/>
                <w:szCs w:val="24"/>
              </w:rPr>
            </w:pPr>
            <w:bookmarkStart w:id="17" w:name="JudgeText"/>
            <w:r>
              <w:rPr>
                <w:caps/>
                <w:szCs w:val="24"/>
              </w:rPr>
              <w:t>JUDGE</w:t>
            </w:r>
            <w:bookmarkEnd w:id="17"/>
            <w:r w:rsidR="007F289D">
              <w:rPr>
                <w:caps/>
                <w:szCs w:val="24"/>
              </w:rPr>
              <w:t>:</w:t>
            </w:r>
          </w:p>
        </w:tc>
        <w:tc>
          <w:tcPr>
            <w:tcW w:w="6866" w:type="dxa"/>
          </w:tcPr>
          <w:p w:rsidR="006069FB" w:rsidRDefault="006E50E8" w:rsidP="000179FE">
            <w:pPr>
              <w:pStyle w:val="NormalHeadings"/>
              <w:jc w:val="left"/>
              <w:rPr>
                <w:caps/>
                <w:szCs w:val="24"/>
              </w:rPr>
            </w:pPr>
            <w:bookmarkStart w:id="18" w:name="Judge"/>
            <w:r>
              <w:rPr>
                <w:caps/>
                <w:szCs w:val="24"/>
              </w:rPr>
              <w:t>MANSFIELD J (PRESIDENT)</w:t>
            </w:r>
            <w:bookmarkEnd w:id="18"/>
          </w:p>
        </w:tc>
      </w:tr>
      <w:tr w:rsidR="006069FB">
        <w:tc>
          <w:tcPr>
            <w:tcW w:w="2376" w:type="dxa"/>
          </w:tcPr>
          <w:p w:rsidR="006069FB" w:rsidRDefault="007F289D">
            <w:pPr>
              <w:pStyle w:val="NormalHeadings"/>
              <w:spacing w:after="120"/>
              <w:jc w:val="left"/>
              <w:rPr>
                <w:caps/>
                <w:szCs w:val="24"/>
              </w:rPr>
            </w:pPr>
            <w:r>
              <w:rPr>
                <w:caps/>
                <w:szCs w:val="24"/>
              </w:rPr>
              <w:t>DATE OF ORDER:</w:t>
            </w:r>
          </w:p>
        </w:tc>
        <w:tc>
          <w:tcPr>
            <w:tcW w:w="6866" w:type="dxa"/>
          </w:tcPr>
          <w:p w:rsidR="006069FB" w:rsidRDefault="007E1FB3">
            <w:pPr>
              <w:pStyle w:val="NormalHeadings"/>
              <w:jc w:val="left"/>
              <w:rPr>
                <w:caps/>
                <w:szCs w:val="24"/>
              </w:rPr>
            </w:pPr>
            <w:bookmarkStart w:id="19" w:name="Judgment_Dated"/>
            <w:r>
              <w:rPr>
                <w:caps/>
                <w:szCs w:val="24"/>
              </w:rPr>
              <w:t>25 AUGUST 2014</w:t>
            </w:r>
            <w:bookmarkEnd w:id="19"/>
          </w:p>
        </w:tc>
      </w:tr>
      <w:tr w:rsidR="006069FB">
        <w:tc>
          <w:tcPr>
            <w:tcW w:w="2376" w:type="dxa"/>
          </w:tcPr>
          <w:p w:rsidR="006069FB" w:rsidRDefault="007F289D">
            <w:pPr>
              <w:pStyle w:val="NormalHeadings"/>
              <w:spacing w:after="120"/>
              <w:jc w:val="left"/>
              <w:rPr>
                <w:caps/>
                <w:szCs w:val="24"/>
              </w:rPr>
            </w:pPr>
            <w:r>
              <w:rPr>
                <w:caps/>
                <w:szCs w:val="24"/>
              </w:rPr>
              <w:t>WHERE MADE:</w:t>
            </w:r>
          </w:p>
        </w:tc>
        <w:tc>
          <w:tcPr>
            <w:tcW w:w="6866" w:type="dxa"/>
          </w:tcPr>
          <w:p w:rsidR="006069FB" w:rsidRDefault="007E1FB3">
            <w:pPr>
              <w:pStyle w:val="NormalHeadings"/>
              <w:jc w:val="left"/>
              <w:rPr>
                <w:caps/>
                <w:szCs w:val="24"/>
              </w:rPr>
            </w:pPr>
            <w:bookmarkStart w:id="20" w:name="Place"/>
            <w:r>
              <w:rPr>
                <w:caps/>
                <w:szCs w:val="24"/>
              </w:rPr>
              <w:t>SYDNEY</w:t>
            </w:r>
            <w:bookmarkEnd w:id="20"/>
          </w:p>
        </w:tc>
      </w:tr>
    </w:tbl>
    <w:p w:rsidR="006069FB" w:rsidRDefault="006069FB">
      <w:pPr>
        <w:pStyle w:val="NormalHeadings"/>
        <w:rPr>
          <w:b w:val="0"/>
        </w:rPr>
      </w:pPr>
    </w:p>
    <w:p w:rsidR="006069FB" w:rsidRDefault="007F289D">
      <w:pPr>
        <w:pStyle w:val="NormalHeadings"/>
      </w:pPr>
      <w:r>
        <w:t xml:space="preserve">THE </w:t>
      </w:r>
      <w:r w:rsidR="0034036C">
        <w:t>TRIBUNAL DIRECTS</w:t>
      </w:r>
      <w:r>
        <w:t xml:space="preserve"> THAT:</w:t>
      </w:r>
    </w:p>
    <w:p w:rsidR="006069FB" w:rsidRDefault="006069FB">
      <w:pPr>
        <w:pStyle w:val="NormalHeadings"/>
      </w:pPr>
    </w:p>
    <w:p w:rsidR="006069FB" w:rsidRDefault="00F137E7" w:rsidP="00F137E7">
      <w:pPr>
        <w:spacing w:before="60" w:after="60"/>
        <w:ind w:left="720" w:hanging="720"/>
      </w:pPr>
      <w:bookmarkStart w:id="21" w:name="Order_Start_Text"/>
      <w:r>
        <w:t>1.</w:t>
      </w:r>
      <w:r>
        <w:tab/>
      </w:r>
      <w:r w:rsidR="00AC2BBC">
        <w:t xml:space="preserve">To the extent necessary </w:t>
      </w:r>
      <w:proofErr w:type="spellStart"/>
      <w:r w:rsidR="00AC2BBC">
        <w:t>ActewAGL</w:t>
      </w:r>
      <w:proofErr w:type="spellEnd"/>
      <w:r w:rsidR="00AC2BBC">
        <w:t xml:space="preserve"> Distribution is given leave to withdraw the application dated 29 July 2014 for leave to apply under s </w:t>
      </w:r>
      <w:proofErr w:type="spellStart"/>
      <w:r w:rsidR="00AC2BBC">
        <w:t>71B</w:t>
      </w:r>
      <w:proofErr w:type="spellEnd"/>
      <w:r w:rsidR="00AC2BBC">
        <w:t xml:space="preserve"> of the </w:t>
      </w:r>
      <w:r w:rsidR="00AC2BBC" w:rsidRPr="00AC2BBC">
        <w:t xml:space="preserve">National Electricity Law </w:t>
      </w:r>
      <w:r w:rsidR="00AC2BBC">
        <w:t>in relation to a determination of the Australian Energy Regulator.</w:t>
      </w:r>
      <w:r w:rsidR="007F289D">
        <w:t xml:space="preserve"> </w:t>
      </w:r>
      <w:bookmarkEnd w:id="21"/>
    </w:p>
    <w:p w:rsidR="006069FB" w:rsidRDefault="006069FB">
      <w:pPr>
        <w:spacing w:before="60" w:after="60"/>
      </w:pPr>
    </w:p>
    <w:p w:rsidR="006069FB" w:rsidRDefault="006069FB">
      <w:pPr>
        <w:spacing w:before="60" w:after="60"/>
      </w:pPr>
    </w:p>
    <w:p w:rsidR="006069FB" w:rsidRDefault="006069FB"/>
    <w:p w:rsidR="006069FB" w:rsidRDefault="006069FB"/>
    <w:p w:rsidR="006069FB" w:rsidRDefault="006069FB">
      <w:pPr>
        <w:pStyle w:val="NormalHeadings"/>
        <w:spacing w:before="240" w:after="120"/>
        <w:rPr>
          <w:b w:val="0"/>
        </w:rPr>
        <w:sectPr w:rsidR="006069FB">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6069FB">
        <w:tc>
          <w:tcPr>
            <w:tcW w:w="6771" w:type="dxa"/>
          </w:tcPr>
          <w:p w:rsidR="006069FB" w:rsidRDefault="007F289D" w:rsidP="0034036C">
            <w:pPr>
              <w:pStyle w:val="NormalHeadings"/>
              <w:spacing w:after="120"/>
              <w:jc w:val="left"/>
              <w:rPr>
                <w:caps/>
                <w:szCs w:val="24"/>
              </w:rPr>
            </w:pPr>
            <w:bookmarkStart w:id="22" w:name="ReasonsPage"/>
            <w:bookmarkEnd w:id="22"/>
            <w:r>
              <w:rPr>
                <w:caps/>
                <w:szCs w:val="24"/>
              </w:rPr>
              <w:lastRenderedPageBreak/>
              <w:t xml:space="preserve">IN THE </w:t>
            </w:r>
            <w:r w:rsidR="0034036C">
              <w:rPr>
                <w:caps/>
                <w:szCs w:val="24"/>
              </w:rPr>
              <w:t>AUSTRALIAN COMPETITION TRIBUNAL</w:t>
            </w:r>
          </w:p>
        </w:tc>
        <w:tc>
          <w:tcPr>
            <w:tcW w:w="2471" w:type="dxa"/>
          </w:tcPr>
          <w:p w:rsidR="006069FB" w:rsidRDefault="006069FB">
            <w:pPr>
              <w:pStyle w:val="NormalHeadings"/>
            </w:pPr>
          </w:p>
        </w:tc>
      </w:tr>
      <w:tr w:rsidR="006069FB">
        <w:tc>
          <w:tcPr>
            <w:tcW w:w="6771" w:type="dxa"/>
          </w:tcPr>
          <w:p w:rsidR="006069FB" w:rsidRDefault="006069FB">
            <w:pPr>
              <w:pStyle w:val="NormalHeadings"/>
              <w:spacing w:after="120"/>
              <w:jc w:val="left"/>
              <w:rPr>
                <w:caps/>
                <w:szCs w:val="24"/>
              </w:rPr>
            </w:pPr>
          </w:p>
        </w:tc>
        <w:tc>
          <w:tcPr>
            <w:tcW w:w="2471" w:type="dxa"/>
          </w:tcPr>
          <w:p w:rsidR="006069FB" w:rsidRDefault="007E1FB3">
            <w:pPr>
              <w:pStyle w:val="NormalHeadings"/>
              <w:tabs>
                <w:tab w:val="right" w:pos="3609"/>
              </w:tabs>
              <w:jc w:val="right"/>
              <w:rPr>
                <w:caps/>
                <w:szCs w:val="24"/>
              </w:rPr>
            </w:pPr>
            <w:r w:rsidRPr="007E1FB3">
              <w:rPr>
                <w:caps/>
                <w:szCs w:val="24"/>
              </w:rPr>
              <w:t>ACT</w:t>
            </w:r>
            <w:r>
              <w:rPr>
                <w:szCs w:val="24"/>
              </w:rPr>
              <w:t xml:space="preserve"> 2 of 2014</w:t>
            </w:r>
          </w:p>
        </w:tc>
      </w:tr>
    </w:tbl>
    <w:p w:rsidR="006069FB" w:rsidRDefault="00F137E7">
      <w:pPr>
        <w:pStyle w:val="AppealTable"/>
      </w:pPr>
      <w:r w:rsidRPr="007E1FB3">
        <w:rPr>
          <w:caps w:val="0"/>
          <w:sz w:val="24"/>
        </w:rPr>
        <w:t xml:space="preserve"> </w:t>
      </w:r>
    </w:p>
    <w:tbl>
      <w:tblPr>
        <w:tblW w:w="0" w:type="auto"/>
        <w:tblLayout w:type="fixed"/>
        <w:tblLook w:val="0000" w:firstRow="0" w:lastRow="0" w:firstColumn="0" w:lastColumn="0" w:noHBand="0" w:noVBand="0"/>
      </w:tblPr>
      <w:tblGrid>
        <w:gridCol w:w="2376"/>
        <w:gridCol w:w="6866"/>
      </w:tblGrid>
      <w:tr w:rsidR="006069FB">
        <w:trPr>
          <w:trHeight w:val="386"/>
        </w:trPr>
        <w:tc>
          <w:tcPr>
            <w:tcW w:w="2376" w:type="dxa"/>
          </w:tcPr>
          <w:p w:rsidR="006069FB" w:rsidRDefault="0034036C">
            <w:pPr>
              <w:pStyle w:val="NormalHeadings"/>
              <w:jc w:val="left"/>
              <w:rPr>
                <w:caps/>
                <w:szCs w:val="24"/>
              </w:rPr>
            </w:pPr>
            <w:r>
              <w:rPr>
                <w:caps/>
                <w:szCs w:val="24"/>
              </w:rPr>
              <w:t>Re</w:t>
            </w:r>
            <w:r w:rsidR="007F289D">
              <w:rPr>
                <w:caps/>
                <w:szCs w:val="24"/>
              </w:rPr>
              <w:t>:</w:t>
            </w:r>
          </w:p>
        </w:tc>
        <w:tc>
          <w:tcPr>
            <w:tcW w:w="6866" w:type="dxa"/>
          </w:tcPr>
          <w:p w:rsidR="007E1FB3" w:rsidRDefault="007E1FB3">
            <w:pPr>
              <w:pStyle w:val="NormalHeadings"/>
              <w:jc w:val="left"/>
              <w:rPr>
                <w:szCs w:val="24"/>
              </w:rPr>
            </w:pPr>
            <w:r w:rsidRPr="007E1FB3">
              <w:rPr>
                <w:caps/>
                <w:szCs w:val="24"/>
              </w:rPr>
              <w:t>APPLICATION</w:t>
            </w:r>
            <w:r>
              <w:rPr>
                <w:szCs w:val="24"/>
              </w:rPr>
              <w:t xml:space="preserve"> UNDER S </w:t>
            </w:r>
            <w:proofErr w:type="spellStart"/>
            <w:r>
              <w:rPr>
                <w:szCs w:val="24"/>
              </w:rPr>
              <w:t>71B</w:t>
            </w:r>
            <w:proofErr w:type="spellEnd"/>
            <w:r>
              <w:rPr>
                <w:szCs w:val="24"/>
              </w:rPr>
              <w:t xml:space="preserve"> OF THE NATIONAL ELECTRICITY LAW FOR A REVIEW OF A PASS THROUGH DETERMINATION MADE BY THE AUSTRALIAN ENERGY REGULATOR IN RELATION TO </w:t>
            </w:r>
            <w:proofErr w:type="spellStart"/>
            <w:r>
              <w:rPr>
                <w:szCs w:val="24"/>
              </w:rPr>
              <w:t>ACTEWAGL</w:t>
            </w:r>
            <w:proofErr w:type="spellEnd"/>
            <w:r>
              <w:rPr>
                <w:szCs w:val="24"/>
              </w:rPr>
              <w:t xml:space="preserve"> DISTRIBUTION PURSUANT TO CLAUSE 6.6.1 OF THE NATIONAL ELECTRICITY RULES</w:t>
            </w:r>
          </w:p>
          <w:p w:rsidR="006069FB" w:rsidRDefault="006069FB">
            <w:pPr>
              <w:pStyle w:val="NormalHeadings"/>
              <w:jc w:val="left"/>
              <w:rPr>
                <w:caps/>
                <w:szCs w:val="24"/>
              </w:rPr>
            </w:pPr>
          </w:p>
        </w:tc>
      </w:tr>
    </w:tbl>
    <w:p w:rsidR="00F137E7" w:rsidRDefault="00F137E7"/>
    <w:tbl>
      <w:tblPr>
        <w:tblW w:w="0" w:type="auto"/>
        <w:tblLayout w:type="fixed"/>
        <w:tblLook w:val="0000" w:firstRow="0" w:lastRow="0" w:firstColumn="0" w:lastColumn="0" w:noHBand="0" w:noVBand="0"/>
      </w:tblPr>
      <w:tblGrid>
        <w:gridCol w:w="2376"/>
        <w:gridCol w:w="6866"/>
      </w:tblGrid>
      <w:tr w:rsidR="006069FB">
        <w:trPr>
          <w:trHeight w:val="386"/>
        </w:trPr>
        <w:tc>
          <w:tcPr>
            <w:tcW w:w="2376" w:type="dxa"/>
          </w:tcPr>
          <w:p w:rsidR="006069FB" w:rsidRDefault="0034036C">
            <w:pPr>
              <w:pStyle w:val="NormalHeadings"/>
              <w:jc w:val="left"/>
              <w:rPr>
                <w:caps/>
                <w:szCs w:val="24"/>
              </w:rPr>
            </w:pPr>
            <w:r>
              <w:rPr>
                <w:caps/>
                <w:szCs w:val="24"/>
              </w:rPr>
              <w:t>BY</w:t>
            </w:r>
            <w:r w:rsidR="007F289D">
              <w:rPr>
                <w:caps/>
                <w:szCs w:val="24"/>
              </w:rPr>
              <w:t>:</w:t>
            </w:r>
          </w:p>
        </w:tc>
        <w:tc>
          <w:tcPr>
            <w:tcW w:w="6866" w:type="dxa"/>
          </w:tcPr>
          <w:p w:rsidR="007E1FB3" w:rsidRDefault="007E1FB3">
            <w:pPr>
              <w:pStyle w:val="NormalHeadings"/>
              <w:jc w:val="left"/>
              <w:rPr>
                <w:szCs w:val="24"/>
              </w:rPr>
            </w:pPr>
            <w:proofErr w:type="spellStart"/>
            <w:r w:rsidRPr="007E1FB3">
              <w:rPr>
                <w:caps/>
                <w:szCs w:val="24"/>
              </w:rPr>
              <w:t>ACTEWAGL</w:t>
            </w:r>
            <w:proofErr w:type="spellEnd"/>
            <w:r>
              <w:rPr>
                <w:szCs w:val="24"/>
              </w:rPr>
              <w:t xml:space="preserve"> DISTRIBUTION (ABN 76 670 568 688)</w:t>
            </w:r>
          </w:p>
          <w:p w:rsidR="0034036C" w:rsidRDefault="0034036C">
            <w:pPr>
              <w:pStyle w:val="NormalHeadings"/>
              <w:jc w:val="left"/>
              <w:rPr>
                <w:szCs w:val="24"/>
              </w:rPr>
            </w:pPr>
            <w:r>
              <w:rPr>
                <w:szCs w:val="24"/>
              </w:rPr>
              <w:t>Applicant</w:t>
            </w:r>
          </w:p>
          <w:p w:rsidR="006069FB" w:rsidRDefault="006069FB">
            <w:pPr>
              <w:pStyle w:val="NormalHeadings"/>
              <w:jc w:val="left"/>
              <w:rPr>
                <w:caps/>
                <w:szCs w:val="24"/>
              </w:rPr>
            </w:pPr>
          </w:p>
        </w:tc>
      </w:tr>
    </w:tbl>
    <w:p w:rsidR="006069FB" w:rsidRDefault="006069FB">
      <w:pPr>
        <w:pStyle w:val="NormalHeadings"/>
      </w:pPr>
    </w:p>
    <w:tbl>
      <w:tblPr>
        <w:tblW w:w="0" w:type="auto"/>
        <w:tblLayout w:type="fixed"/>
        <w:tblLook w:val="0000" w:firstRow="0" w:lastRow="0" w:firstColumn="0" w:lastColumn="0" w:noHBand="0" w:noVBand="0"/>
      </w:tblPr>
      <w:tblGrid>
        <w:gridCol w:w="2376"/>
        <w:gridCol w:w="6866"/>
      </w:tblGrid>
      <w:tr w:rsidR="006069FB">
        <w:tc>
          <w:tcPr>
            <w:tcW w:w="2376" w:type="dxa"/>
          </w:tcPr>
          <w:p w:rsidR="006069FB" w:rsidRDefault="007E1FB3">
            <w:pPr>
              <w:pStyle w:val="NormalHeadings"/>
              <w:spacing w:after="120"/>
              <w:jc w:val="left"/>
              <w:rPr>
                <w:caps/>
                <w:szCs w:val="24"/>
              </w:rPr>
            </w:pPr>
            <w:r>
              <w:rPr>
                <w:caps/>
                <w:szCs w:val="24"/>
              </w:rPr>
              <w:t>JUDGE</w:t>
            </w:r>
            <w:r w:rsidR="007F289D">
              <w:rPr>
                <w:caps/>
                <w:szCs w:val="24"/>
              </w:rPr>
              <w:t>:</w:t>
            </w:r>
          </w:p>
        </w:tc>
        <w:tc>
          <w:tcPr>
            <w:tcW w:w="6866" w:type="dxa"/>
          </w:tcPr>
          <w:p w:rsidR="006069FB" w:rsidRDefault="007E1FB3" w:rsidP="0034036C">
            <w:pPr>
              <w:pStyle w:val="NormalHeadings"/>
              <w:rPr>
                <w:caps/>
                <w:szCs w:val="24"/>
              </w:rPr>
            </w:pPr>
            <w:r>
              <w:rPr>
                <w:caps/>
                <w:szCs w:val="24"/>
              </w:rPr>
              <w:t xml:space="preserve">MANSFIELD J (PRESIDENT) </w:t>
            </w:r>
          </w:p>
        </w:tc>
      </w:tr>
      <w:tr w:rsidR="006069FB">
        <w:tc>
          <w:tcPr>
            <w:tcW w:w="2376" w:type="dxa"/>
          </w:tcPr>
          <w:p w:rsidR="006069FB" w:rsidRDefault="007F289D">
            <w:pPr>
              <w:pStyle w:val="NormalHeadings"/>
              <w:spacing w:after="120"/>
              <w:jc w:val="left"/>
              <w:rPr>
                <w:caps/>
                <w:szCs w:val="24"/>
              </w:rPr>
            </w:pPr>
            <w:r>
              <w:rPr>
                <w:caps/>
                <w:szCs w:val="24"/>
              </w:rPr>
              <w:t>DATE:</w:t>
            </w:r>
          </w:p>
        </w:tc>
        <w:tc>
          <w:tcPr>
            <w:tcW w:w="6866" w:type="dxa"/>
          </w:tcPr>
          <w:p w:rsidR="006069FB" w:rsidRDefault="007E1FB3">
            <w:pPr>
              <w:pStyle w:val="NormalHeadings"/>
              <w:rPr>
                <w:caps/>
                <w:szCs w:val="24"/>
              </w:rPr>
            </w:pPr>
            <w:r>
              <w:rPr>
                <w:caps/>
                <w:szCs w:val="24"/>
              </w:rPr>
              <w:t>25 AUGUST 2014</w:t>
            </w:r>
          </w:p>
        </w:tc>
      </w:tr>
      <w:tr w:rsidR="006069FB">
        <w:tc>
          <w:tcPr>
            <w:tcW w:w="2376" w:type="dxa"/>
          </w:tcPr>
          <w:p w:rsidR="006069FB" w:rsidRDefault="007F289D">
            <w:pPr>
              <w:pStyle w:val="NormalHeadings"/>
              <w:spacing w:after="120"/>
              <w:jc w:val="left"/>
              <w:rPr>
                <w:caps/>
                <w:szCs w:val="24"/>
              </w:rPr>
            </w:pPr>
            <w:r>
              <w:rPr>
                <w:caps/>
                <w:szCs w:val="24"/>
              </w:rPr>
              <w:t>PLACE:</w:t>
            </w:r>
          </w:p>
        </w:tc>
        <w:tc>
          <w:tcPr>
            <w:tcW w:w="6866" w:type="dxa"/>
          </w:tcPr>
          <w:p w:rsidR="006069FB" w:rsidRDefault="007E1FB3">
            <w:pPr>
              <w:pStyle w:val="NormalHeadings"/>
              <w:rPr>
                <w:caps/>
                <w:szCs w:val="24"/>
              </w:rPr>
            </w:pPr>
            <w:r>
              <w:rPr>
                <w:caps/>
                <w:szCs w:val="24"/>
              </w:rPr>
              <w:t>SYDNEY</w:t>
            </w:r>
          </w:p>
        </w:tc>
      </w:tr>
    </w:tbl>
    <w:p w:rsidR="006069FB" w:rsidRDefault="006069FB"/>
    <w:p w:rsidR="006069FB" w:rsidRDefault="007F289D">
      <w:pPr>
        <w:pStyle w:val="StyleBold"/>
        <w:jc w:val="center"/>
        <w:rPr>
          <w:b/>
        </w:rPr>
      </w:pPr>
      <w:r>
        <w:rPr>
          <w:b/>
        </w:rPr>
        <w:t xml:space="preserve">REASONS FOR </w:t>
      </w:r>
      <w:r w:rsidR="0034036C">
        <w:rPr>
          <w:b/>
        </w:rPr>
        <w:t>DECISION</w:t>
      </w:r>
    </w:p>
    <w:p w:rsidR="007E1FB3" w:rsidRDefault="00F137E7" w:rsidP="00614EEB">
      <w:pPr>
        <w:pStyle w:val="Heading1"/>
      </w:pPr>
      <w:r>
        <w:rPr>
          <w:caps w:val="0"/>
        </w:rPr>
        <w:t>APPLICATION FOR LEAVE TO APPLY FOR REVIEW</w:t>
      </w:r>
    </w:p>
    <w:p w:rsidR="00614EEB" w:rsidRDefault="00F137E7" w:rsidP="00F137E7">
      <w:pPr>
        <w:pStyle w:val="ParaNumbering"/>
        <w:numPr>
          <w:ilvl w:val="0"/>
          <w:numId w:val="0"/>
        </w:numPr>
        <w:tabs>
          <w:tab w:val="left" w:pos="720"/>
        </w:tabs>
        <w:ind w:hanging="720"/>
      </w:pPr>
      <w:r>
        <w:rPr>
          <w:sz w:val="20"/>
        </w:rPr>
        <w:t>1</w:t>
      </w:r>
      <w:r>
        <w:rPr>
          <w:sz w:val="20"/>
        </w:rPr>
        <w:tab/>
      </w:r>
      <w:r>
        <w:tab/>
      </w:r>
      <w:r w:rsidR="00614EEB" w:rsidRPr="007759A8">
        <w:t xml:space="preserve">By application dated </w:t>
      </w:r>
      <w:r w:rsidR="00614EEB">
        <w:t>29</w:t>
      </w:r>
      <w:r w:rsidR="00614EEB" w:rsidRPr="007759A8">
        <w:t xml:space="preserve"> July 201</w:t>
      </w:r>
      <w:r w:rsidR="00614EEB">
        <w:t>4</w:t>
      </w:r>
      <w:r w:rsidR="00614EEB" w:rsidRPr="007759A8">
        <w:t xml:space="preserve">, </w:t>
      </w:r>
      <w:proofErr w:type="spellStart"/>
      <w:r w:rsidR="00614EEB">
        <w:t>ActewAGL</w:t>
      </w:r>
      <w:proofErr w:type="spellEnd"/>
      <w:r w:rsidR="00614EEB">
        <w:t xml:space="preserve"> Distribution (</w:t>
      </w:r>
      <w:proofErr w:type="spellStart"/>
      <w:r w:rsidR="00614EEB">
        <w:t>ActewAGL</w:t>
      </w:r>
      <w:proofErr w:type="spellEnd"/>
      <w:r w:rsidR="00614EEB">
        <w:t>)</w:t>
      </w:r>
      <w:r w:rsidR="00614EEB" w:rsidRPr="007759A8">
        <w:t xml:space="preserve"> </w:t>
      </w:r>
      <w:r w:rsidR="00AC2BBC">
        <w:t>sought</w:t>
      </w:r>
      <w:r w:rsidR="00614EEB" w:rsidRPr="007759A8">
        <w:t xml:space="preserve"> leave to apply under s </w:t>
      </w:r>
      <w:proofErr w:type="spellStart"/>
      <w:r w:rsidR="00614EEB">
        <w:t>71B</w:t>
      </w:r>
      <w:proofErr w:type="spellEnd"/>
      <w:r w:rsidR="00614EEB" w:rsidRPr="007759A8">
        <w:t xml:space="preserve"> of the Nation</w:t>
      </w:r>
      <w:r w:rsidR="00614EEB">
        <w:t>al Electricity Law (</w:t>
      </w:r>
      <w:proofErr w:type="spellStart"/>
      <w:r w:rsidR="00614EEB">
        <w:t>NEL</w:t>
      </w:r>
      <w:proofErr w:type="spellEnd"/>
      <w:r w:rsidR="00614EEB">
        <w:t>) for a review by the Australian Competition T</w:t>
      </w:r>
      <w:r w:rsidR="00614EEB" w:rsidRPr="007759A8">
        <w:t xml:space="preserve">ribunal </w:t>
      </w:r>
      <w:r w:rsidR="00614EEB">
        <w:t xml:space="preserve">(Tribunal) </w:t>
      </w:r>
      <w:r w:rsidR="00614EEB" w:rsidRPr="007759A8">
        <w:t xml:space="preserve">of </w:t>
      </w:r>
      <w:r w:rsidR="00614EEB">
        <w:t xml:space="preserve">a </w:t>
      </w:r>
      <w:r w:rsidR="00AC2BBC">
        <w:t xml:space="preserve">purported </w:t>
      </w:r>
      <w:r w:rsidR="00614EEB">
        <w:t>cost pass through determination</w:t>
      </w:r>
      <w:r w:rsidR="00614EEB" w:rsidRPr="007759A8">
        <w:t xml:space="preserve"> made by the Australian Energy Regulator (AER) in respect of </w:t>
      </w:r>
      <w:proofErr w:type="spellStart"/>
      <w:r w:rsidR="00614EEB">
        <w:t>ActewAGL’s</w:t>
      </w:r>
      <w:proofErr w:type="spellEnd"/>
      <w:r w:rsidR="00614EEB" w:rsidRPr="007759A8">
        <w:t xml:space="preserve"> </w:t>
      </w:r>
      <w:r w:rsidR="00614EEB">
        <w:t>electricity</w:t>
      </w:r>
      <w:r w:rsidR="00614EEB" w:rsidRPr="007759A8">
        <w:t xml:space="preserve"> distribution network</w:t>
      </w:r>
      <w:r w:rsidR="00614EEB">
        <w:t xml:space="preserve"> in the Australian Capital Territory (ACT)</w:t>
      </w:r>
      <w:r w:rsidR="00614EEB" w:rsidRPr="007759A8">
        <w:t xml:space="preserve">. </w:t>
      </w:r>
      <w:r w:rsidR="00614EEB">
        <w:t xml:space="preserve"> </w:t>
      </w:r>
    </w:p>
    <w:p w:rsidR="00614EEB" w:rsidRDefault="00F137E7" w:rsidP="00F137E7">
      <w:pPr>
        <w:pStyle w:val="ParaNumbering"/>
        <w:numPr>
          <w:ilvl w:val="0"/>
          <w:numId w:val="0"/>
        </w:numPr>
        <w:tabs>
          <w:tab w:val="left" w:pos="720"/>
        </w:tabs>
        <w:ind w:hanging="720"/>
      </w:pPr>
      <w:r>
        <w:rPr>
          <w:sz w:val="20"/>
        </w:rPr>
        <w:t>2</w:t>
      </w:r>
      <w:r>
        <w:rPr>
          <w:sz w:val="20"/>
        </w:rPr>
        <w:tab/>
      </w:r>
      <w:r>
        <w:tab/>
      </w:r>
      <w:r w:rsidR="00614EEB">
        <w:t xml:space="preserve">The </w:t>
      </w:r>
      <w:proofErr w:type="spellStart"/>
      <w:r w:rsidR="00614EEB">
        <w:t>NEL</w:t>
      </w:r>
      <w:proofErr w:type="spellEnd"/>
      <w:r w:rsidR="00614EEB">
        <w:t xml:space="preserve"> is </w:t>
      </w:r>
      <w:r w:rsidR="00614EEB" w:rsidRPr="007759A8">
        <w:t>set out in</w:t>
      </w:r>
      <w:r w:rsidR="00614EEB">
        <w:t xml:space="preserve"> the</w:t>
      </w:r>
      <w:r w:rsidR="00614EEB" w:rsidRPr="007759A8">
        <w:t xml:space="preserve"> Schedule </w:t>
      </w:r>
      <w:r w:rsidR="00614EEB">
        <w:t>to</w:t>
      </w:r>
      <w:r w:rsidR="00614EEB" w:rsidRPr="007759A8">
        <w:t xml:space="preserve"> the </w:t>
      </w:r>
      <w:r w:rsidR="00CD34DD" w:rsidRPr="007759A8">
        <w:rPr>
          <w:i/>
        </w:rPr>
        <w:t xml:space="preserve">National </w:t>
      </w:r>
      <w:r w:rsidR="00CD34DD">
        <w:rPr>
          <w:i/>
        </w:rPr>
        <w:t>Electricity</w:t>
      </w:r>
      <w:r w:rsidR="00CD34DD" w:rsidRPr="007759A8">
        <w:rPr>
          <w:i/>
        </w:rPr>
        <w:t xml:space="preserve"> (South Australia) Act </w:t>
      </w:r>
      <w:r w:rsidR="00CD34DD">
        <w:rPr>
          <w:i/>
        </w:rPr>
        <w:t>1996</w:t>
      </w:r>
      <w:r w:rsidR="00CD34DD" w:rsidRPr="007759A8">
        <w:rPr>
          <w:i/>
        </w:rPr>
        <w:t xml:space="preserve"> </w:t>
      </w:r>
      <w:r w:rsidR="00CD34DD" w:rsidRPr="00D91D10">
        <w:t>(SA)</w:t>
      </w:r>
      <w:r w:rsidR="00614EEB" w:rsidRPr="007759A8">
        <w:t xml:space="preserve">. </w:t>
      </w:r>
      <w:r w:rsidR="00614EEB">
        <w:t xml:space="preserve"> Section 9 of the </w:t>
      </w:r>
      <w:proofErr w:type="spellStart"/>
      <w:r w:rsidR="00614EEB">
        <w:t>NEL</w:t>
      </w:r>
      <w:proofErr w:type="spellEnd"/>
      <w:r w:rsidR="00614EEB">
        <w:t xml:space="preserve"> gives the National Electricity Rules (</w:t>
      </w:r>
      <w:proofErr w:type="spellStart"/>
      <w:r w:rsidR="00614EEB">
        <w:t>NER</w:t>
      </w:r>
      <w:proofErr w:type="spellEnd"/>
      <w:r w:rsidR="00614EEB">
        <w:t xml:space="preserve">), which are made under the </w:t>
      </w:r>
      <w:proofErr w:type="spellStart"/>
      <w:r w:rsidR="00614EEB">
        <w:t>NEL</w:t>
      </w:r>
      <w:proofErr w:type="spellEnd"/>
      <w:r w:rsidR="00614EEB">
        <w:t>, the force of law</w:t>
      </w:r>
      <w:r w:rsidR="00614EEB" w:rsidRPr="007759A8">
        <w:t>.</w:t>
      </w:r>
      <w:r w:rsidR="00614EEB">
        <w:t xml:space="preserve">  Pursuant to Part 2 of the </w:t>
      </w:r>
      <w:r w:rsidR="00CD34DD" w:rsidRPr="00280185">
        <w:rPr>
          <w:i/>
        </w:rPr>
        <w:t>Electricity (National Scheme) Act 1997</w:t>
      </w:r>
      <w:r w:rsidR="00614EEB">
        <w:t xml:space="preserve"> (ACT), the </w:t>
      </w:r>
      <w:proofErr w:type="spellStart"/>
      <w:r w:rsidR="00614EEB">
        <w:t>NEL</w:t>
      </w:r>
      <w:proofErr w:type="spellEnd"/>
      <w:r w:rsidR="00614EEB">
        <w:t xml:space="preserve"> and regulations made under it apply in the ACT.</w:t>
      </w:r>
      <w:r w:rsidR="0073732D">
        <w:t xml:space="preserve">  </w:t>
      </w:r>
      <w:proofErr w:type="spellStart"/>
      <w:r w:rsidR="0073732D">
        <w:t>ActewAGL</w:t>
      </w:r>
      <w:proofErr w:type="spellEnd"/>
      <w:r w:rsidR="0073732D">
        <w:t xml:space="preserve"> now seeks leave to withdraw its application.</w:t>
      </w:r>
    </w:p>
    <w:p w:rsidR="00614EEB" w:rsidRDefault="00F137E7" w:rsidP="00F137E7">
      <w:pPr>
        <w:pStyle w:val="ParaNumbering"/>
        <w:numPr>
          <w:ilvl w:val="0"/>
          <w:numId w:val="0"/>
        </w:numPr>
        <w:tabs>
          <w:tab w:val="left" w:pos="720"/>
        </w:tabs>
        <w:ind w:hanging="720"/>
      </w:pPr>
      <w:r>
        <w:rPr>
          <w:sz w:val="20"/>
        </w:rPr>
        <w:t>3</w:t>
      </w:r>
      <w:r>
        <w:rPr>
          <w:sz w:val="20"/>
        </w:rPr>
        <w:tab/>
      </w:r>
      <w:r>
        <w:tab/>
      </w:r>
      <w:proofErr w:type="spellStart"/>
      <w:r w:rsidR="00614EEB">
        <w:t>ActewAGL</w:t>
      </w:r>
      <w:proofErr w:type="spellEnd"/>
      <w:r w:rsidR="00614EEB">
        <w:t xml:space="preserve"> owns and operates an electricity distribution network in the ACT.  It is a registered distribution network service provider under s 11(2) of the </w:t>
      </w:r>
      <w:proofErr w:type="spellStart"/>
      <w:r w:rsidR="00614EEB">
        <w:t>NEL</w:t>
      </w:r>
      <w:proofErr w:type="spellEnd"/>
      <w:r w:rsidR="00614EEB">
        <w:t xml:space="preserve"> and clause 2.5.1 of the </w:t>
      </w:r>
      <w:proofErr w:type="spellStart"/>
      <w:r w:rsidR="00614EEB">
        <w:t>NER</w:t>
      </w:r>
      <w:proofErr w:type="spellEnd"/>
      <w:r w:rsidR="00614EEB">
        <w:t xml:space="preserve">.  </w:t>
      </w:r>
    </w:p>
    <w:p w:rsidR="00614EEB" w:rsidRDefault="00F137E7" w:rsidP="00F137E7">
      <w:pPr>
        <w:pStyle w:val="ParaNumbering"/>
        <w:numPr>
          <w:ilvl w:val="0"/>
          <w:numId w:val="0"/>
        </w:numPr>
        <w:tabs>
          <w:tab w:val="left" w:pos="720"/>
        </w:tabs>
        <w:ind w:hanging="720"/>
      </w:pPr>
      <w:r>
        <w:rPr>
          <w:sz w:val="20"/>
        </w:rPr>
        <w:t>4</w:t>
      </w:r>
      <w:r>
        <w:rPr>
          <w:sz w:val="20"/>
        </w:rPr>
        <w:tab/>
      </w:r>
      <w:r>
        <w:tab/>
      </w:r>
      <w:r w:rsidR="00614EEB" w:rsidRPr="007759A8">
        <w:t xml:space="preserve">The AER is responsible for the economic regulation of </w:t>
      </w:r>
      <w:r w:rsidR="00614EEB">
        <w:t xml:space="preserve">electricity network </w:t>
      </w:r>
      <w:r w:rsidR="00614EEB" w:rsidRPr="007759A8">
        <w:t>services</w:t>
      </w:r>
      <w:r w:rsidR="00614EEB">
        <w:t xml:space="preserve">. </w:t>
      </w:r>
    </w:p>
    <w:p w:rsidR="00614EEB" w:rsidRDefault="00F137E7" w:rsidP="00F137E7">
      <w:pPr>
        <w:pStyle w:val="ParaNumbering"/>
        <w:numPr>
          <w:ilvl w:val="0"/>
          <w:numId w:val="0"/>
        </w:numPr>
        <w:tabs>
          <w:tab w:val="left" w:pos="720"/>
        </w:tabs>
        <w:ind w:hanging="720"/>
      </w:pPr>
      <w:r>
        <w:rPr>
          <w:sz w:val="20"/>
        </w:rPr>
        <w:lastRenderedPageBreak/>
        <w:t>5</w:t>
      </w:r>
      <w:r>
        <w:rPr>
          <w:sz w:val="20"/>
        </w:rPr>
        <w:tab/>
      </w:r>
      <w:r>
        <w:tab/>
      </w:r>
      <w:r w:rsidR="00614EEB">
        <w:t>It is necessary to note only briefly the background to the application.</w:t>
      </w:r>
    </w:p>
    <w:p w:rsidR="00614EEB" w:rsidRDefault="00F137E7" w:rsidP="00F137E7">
      <w:pPr>
        <w:pStyle w:val="ParaNumbering"/>
        <w:numPr>
          <w:ilvl w:val="0"/>
          <w:numId w:val="0"/>
        </w:numPr>
        <w:tabs>
          <w:tab w:val="left" w:pos="720"/>
        </w:tabs>
        <w:ind w:hanging="720"/>
      </w:pPr>
      <w:r>
        <w:rPr>
          <w:sz w:val="20"/>
        </w:rPr>
        <w:t>6</w:t>
      </w:r>
      <w:r>
        <w:rPr>
          <w:sz w:val="20"/>
        </w:rPr>
        <w:tab/>
      </w:r>
      <w:r>
        <w:tab/>
      </w:r>
      <w:r w:rsidR="00614EEB">
        <w:t xml:space="preserve">On 28 April 2009 the AER had made a distribution determination for </w:t>
      </w:r>
      <w:proofErr w:type="spellStart"/>
      <w:r w:rsidR="00614EEB">
        <w:t>ActewAGL</w:t>
      </w:r>
      <w:proofErr w:type="spellEnd"/>
      <w:r w:rsidR="00614EEB">
        <w:t xml:space="preserve"> for the regulatory control period 1 July 2009 to 30 June 2014.  In April 2012, that determination was revoked and a substituted determination for that period was made (Distribution Determination).  It included provision for a specified sum for </w:t>
      </w:r>
      <w:proofErr w:type="spellStart"/>
      <w:r w:rsidR="00614EEB">
        <w:t>ActewAGL’s</w:t>
      </w:r>
      <w:proofErr w:type="spellEnd"/>
      <w:r w:rsidR="00614EEB">
        <w:t xml:space="preserve"> </w:t>
      </w:r>
      <w:r w:rsidR="00AC2BBC">
        <w:t>vegetation</w:t>
      </w:r>
      <w:r w:rsidR="00614EEB">
        <w:t xml:space="preserve"> management costs as part of its total operating expenditure allowance in the regulatory period.</w:t>
      </w:r>
    </w:p>
    <w:p w:rsidR="00614EEB" w:rsidRDefault="00F137E7" w:rsidP="00F137E7">
      <w:pPr>
        <w:pStyle w:val="ParaNumbering"/>
        <w:numPr>
          <w:ilvl w:val="0"/>
          <w:numId w:val="0"/>
        </w:numPr>
        <w:tabs>
          <w:tab w:val="left" w:pos="720"/>
        </w:tabs>
        <w:ind w:hanging="720"/>
      </w:pPr>
      <w:r>
        <w:rPr>
          <w:sz w:val="20"/>
        </w:rPr>
        <w:t>7</w:t>
      </w:r>
      <w:r>
        <w:rPr>
          <w:sz w:val="20"/>
        </w:rPr>
        <w:tab/>
      </w:r>
      <w:r>
        <w:tab/>
      </w:r>
      <w:r w:rsidR="00614EEB">
        <w:t>The Distribution Determination provided for a “general nominated pass through event” in certain circumstances.  It is not necessary for present purposes to refer to those circumstances in any detail.</w:t>
      </w:r>
    </w:p>
    <w:p w:rsidR="00614EEB" w:rsidRDefault="00F137E7" w:rsidP="00F137E7">
      <w:pPr>
        <w:pStyle w:val="ParaNumbering"/>
        <w:numPr>
          <w:ilvl w:val="0"/>
          <w:numId w:val="0"/>
        </w:numPr>
        <w:tabs>
          <w:tab w:val="left" w:pos="720"/>
        </w:tabs>
        <w:ind w:hanging="720"/>
      </w:pPr>
      <w:r>
        <w:rPr>
          <w:sz w:val="20"/>
        </w:rPr>
        <w:t>8</w:t>
      </w:r>
      <w:r>
        <w:rPr>
          <w:sz w:val="20"/>
        </w:rPr>
        <w:tab/>
      </w:r>
      <w:r>
        <w:tab/>
      </w:r>
      <w:r w:rsidR="00614EEB">
        <w:t xml:space="preserve">On 1 November 2013, </w:t>
      </w:r>
      <w:proofErr w:type="spellStart"/>
      <w:r w:rsidR="00614EEB">
        <w:t>ActewAGL</w:t>
      </w:r>
      <w:proofErr w:type="spellEnd"/>
      <w:r w:rsidR="00614EEB">
        <w:t xml:space="preserve"> submitted to the AER an application to pass through a positive pass through amount for increased vegetation management costs.  Following the AER publishing a Draft Determination on 10 June 2014, the AER on 9 July 2014 published a document entitled “Final Determination </w:t>
      </w:r>
      <w:proofErr w:type="spellStart"/>
      <w:r w:rsidR="00614EEB">
        <w:t>ActewAGL</w:t>
      </w:r>
      <w:proofErr w:type="spellEnd"/>
      <w:r w:rsidR="00614EEB">
        <w:t xml:space="preserve"> Distribution cost pass through application Vegetation management costs for the 2012-13 regulatory year</w:t>
      </w:r>
      <w:r w:rsidR="00AC2BBC">
        <w:t>”</w:t>
      </w:r>
      <w:r w:rsidR="00614EEB">
        <w:t xml:space="preserve"> (Final Determination). </w:t>
      </w:r>
    </w:p>
    <w:p w:rsidR="00614EEB" w:rsidRDefault="00F137E7" w:rsidP="00F137E7">
      <w:pPr>
        <w:pStyle w:val="ParaNumbering"/>
        <w:numPr>
          <w:ilvl w:val="0"/>
          <w:numId w:val="0"/>
        </w:numPr>
        <w:tabs>
          <w:tab w:val="left" w:pos="720"/>
        </w:tabs>
        <w:ind w:hanging="720"/>
      </w:pPr>
      <w:r>
        <w:rPr>
          <w:sz w:val="20"/>
        </w:rPr>
        <w:t>9</w:t>
      </w:r>
      <w:r>
        <w:rPr>
          <w:sz w:val="20"/>
        </w:rPr>
        <w:tab/>
      </w:r>
      <w:r>
        <w:tab/>
      </w:r>
      <w:r w:rsidR="00614EEB">
        <w:t>That gave rise to the present application.</w:t>
      </w:r>
    </w:p>
    <w:p w:rsidR="00614EEB" w:rsidRDefault="00F137E7" w:rsidP="00F137E7">
      <w:pPr>
        <w:pStyle w:val="ParaNumbering"/>
        <w:numPr>
          <w:ilvl w:val="0"/>
          <w:numId w:val="0"/>
        </w:numPr>
        <w:tabs>
          <w:tab w:val="left" w:pos="720"/>
        </w:tabs>
        <w:ind w:hanging="720"/>
      </w:pPr>
      <w:r>
        <w:rPr>
          <w:sz w:val="20"/>
        </w:rPr>
        <w:t>10</w:t>
      </w:r>
      <w:r>
        <w:rPr>
          <w:sz w:val="20"/>
        </w:rPr>
        <w:tab/>
      </w:r>
      <w:r>
        <w:tab/>
      </w:r>
      <w:r w:rsidR="00614EEB">
        <w:t xml:space="preserve">There is no issue that </w:t>
      </w:r>
      <w:proofErr w:type="spellStart"/>
      <w:r w:rsidR="00614EEB">
        <w:t>ActewAGL</w:t>
      </w:r>
      <w:proofErr w:type="spellEnd"/>
      <w:r w:rsidR="00614EEB">
        <w:t xml:space="preserve"> is the regulated network service provider to whom the Determination applies and is thus an “affected or interested person or body” as that term is defined in s </w:t>
      </w:r>
      <w:proofErr w:type="spellStart"/>
      <w:r w:rsidR="00614EEB">
        <w:t>71A</w:t>
      </w:r>
      <w:proofErr w:type="spellEnd"/>
      <w:r w:rsidR="00614EEB">
        <w:t xml:space="preserve"> of the </w:t>
      </w:r>
      <w:proofErr w:type="spellStart"/>
      <w:r w:rsidR="00614EEB">
        <w:t>NEL</w:t>
      </w:r>
      <w:proofErr w:type="spellEnd"/>
      <w:r w:rsidR="00614EEB">
        <w:t xml:space="preserve">.  Nor is there any dispute that the application for leave to apply for review was within 15 business days after the Final </w:t>
      </w:r>
      <w:r w:rsidR="00AC2BBC">
        <w:t>Determination</w:t>
      </w:r>
      <w:r w:rsidR="00614EEB">
        <w:t xml:space="preserve"> was published as required by s </w:t>
      </w:r>
      <w:proofErr w:type="spellStart"/>
      <w:r w:rsidR="00614EEB">
        <w:t>71D</w:t>
      </w:r>
      <w:proofErr w:type="spellEnd"/>
      <w:r w:rsidR="00614EEB">
        <w:t>.</w:t>
      </w:r>
    </w:p>
    <w:p w:rsidR="00614EEB" w:rsidRDefault="00F137E7" w:rsidP="00F137E7">
      <w:pPr>
        <w:pStyle w:val="ParaNumbering"/>
        <w:numPr>
          <w:ilvl w:val="0"/>
          <w:numId w:val="0"/>
        </w:numPr>
        <w:tabs>
          <w:tab w:val="left" w:pos="720"/>
        </w:tabs>
        <w:ind w:hanging="720"/>
      </w:pPr>
      <w:r>
        <w:rPr>
          <w:sz w:val="20"/>
        </w:rPr>
        <w:t>11</w:t>
      </w:r>
      <w:r>
        <w:rPr>
          <w:sz w:val="20"/>
        </w:rPr>
        <w:tab/>
      </w:r>
      <w:r>
        <w:tab/>
      </w:r>
      <w:r w:rsidR="00614EEB">
        <w:t>The AER indicated that it did not agree</w:t>
      </w:r>
      <w:r w:rsidR="00AC2BBC">
        <w:t xml:space="preserve"> t</w:t>
      </w:r>
      <w:r w:rsidR="00614EEB">
        <w:t xml:space="preserve">hat </w:t>
      </w:r>
      <w:proofErr w:type="spellStart"/>
      <w:r w:rsidR="00614EEB">
        <w:t>ActewAGL</w:t>
      </w:r>
      <w:proofErr w:type="spellEnd"/>
      <w:r w:rsidR="00614EEB">
        <w:t xml:space="preserve"> should be given leave to apply for review, having regard to the matters of which the Tribunal must be satisfied under </w:t>
      </w:r>
      <w:proofErr w:type="spellStart"/>
      <w:r w:rsidR="00614EEB">
        <w:t>ss</w:t>
      </w:r>
      <w:proofErr w:type="spellEnd"/>
      <w:r w:rsidR="00614EEB">
        <w:t xml:space="preserve"> </w:t>
      </w:r>
      <w:proofErr w:type="spellStart"/>
      <w:r w:rsidR="00614EEB">
        <w:t>71E</w:t>
      </w:r>
      <w:proofErr w:type="spellEnd"/>
      <w:r w:rsidR="00614EEB">
        <w:t xml:space="preserve"> and </w:t>
      </w:r>
      <w:proofErr w:type="spellStart"/>
      <w:r w:rsidR="00614EEB">
        <w:t>71F</w:t>
      </w:r>
      <w:proofErr w:type="spellEnd"/>
      <w:r w:rsidR="00614EEB">
        <w:t xml:space="preserve"> of the </w:t>
      </w:r>
      <w:proofErr w:type="spellStart"/>
      <w:r w:rsidR="00614EEB">
        <w:t>NEL</w:t>
      </w:r>
      <w:proofErr w:type="spellEnd"/>
      <w:r w:rsidR="00614EEB">
        <w:t>.</w:t>
      </w:r>
    </w:p>
    <w:p w:rsidR="00614EEB" w:rsidRDefault="00F137E7" w:rsidP="00F137E7">
      <w:pPr>
        <w:pStyle w:val="ParaNumbering"/>
        <w:numPr>
          <w:ilvl w:val="0"/>
          <w:numId w:val="0"/>
        </w:numPr>
        <w:tabs>
          <w:tab w:val="left" w:pos="720"/>
        </w:tabs>
        <w:ind w:hanging="720"/>
      </w:pPr>
      <w:r>
        <w:rPr>
          <w:sz w:val="20"/>
        </w:rPr>
        <w:t>12</w:t>
      </w:r>
      <w:r>
        <w:rPr>
          <w:sz w:val="20"/>
        </w:rPr>
        <w:tab/>
      </w:r>
      <w:r>
        <w:tab/>
      </w:r>
      <w:r w:rsidR="00614EEB">
        <w:t xml:space="preserve">To address the question of whether leave to apply for review should be given, the Tribunal set a timetable for the exchange of written submissions between </w:t>
      </w:r>
      <w:proofErr w:type="spellStart"/>
      <w:r w:rsidR="00614EEB">
        <w:t>ActewAGL</w:t>
      </w:r>
      <w:proofErr w:type="spellEnd"/>
      <w:r w:rsidR="00614EEB">
        <w:t xml:space="preserve"> and the AER and a date for hearing oral submissions.  It is not the practice of the Tribunal to have an oral hearing on the issue of leave, but it did so on this occasion at the suggestion of the AER, having regard to the recently introduced additional criterion for the grant of leave in s </w:t>
      </w:r>
      <w:proofErr w:type="spellStart"/>
      <w:r w:rsidR="00614EEB">
        <w:t>71E</w:t>
      </w:r>
      <w:proofErr w:type="spellEnd"/>
      <w:r w:rsidR="00614EEB">
        <w:t>.</w:t>
      </w:r>
    </w:p>
    <w:p w:rsidR="00614EEB" w:rsidRDefault="00F137E7" w:rsidP="00F137E7">
      <w:pPr>
        <w:pStyle w:val="ParaNumbering"/>
        <w:numPr>
          <w:ilvl w:val="0"/>
          <w:numId w:val="0"/>
        </w:numPr>
        <w:tabs>
          <w:tab w:val="left" w:pos="720"/>
        </w:tabs>
        <w:ind w:hanging="720"/>
      </w:pPr>
      <w:r>
        <w:rPr>
          <w:sz w:val="20"/>
        </w:rPr>
        <w:lastRenderedPageBreak/>
        <w:t>13</w:t>
      </w:r>
      <w:r>
        <w:rPr>
          <w:sz w:val="20"/>
        </w:rPr>
        <w:tab/>
      </w:r>
      <w:r>
        <w:tab/>
      </w:r>
      <w:r w:rsidR="00614EEB">
        <w:t xml:space="preserve">By the </w:t>
      </w:r>
      <w:r w:rsidR="00CD34DD">
        <w:rPr>
          <w:i/>
        </w:rPr>
        <w:t xml:space="preserve">Statutes Amendment (National Electricity and Gas Laws – Limited Merits Review) Act 2013 </w:t>
      </w:r>
      <w:r w:rsidR="00CD34DD">
        <w:t xml:space="preserve">(SA) </w:t>
      </w:r>
      <w:r w:rsidR="00614EEB">
        <w:t>(</w:t>
      </w:r>
      <w:r w:rsidR="00614EEB" w:rsidRPr="00AC2BBC">
        <w:rPr>
          <w:i/>
        </w:rPr>
        <w:t>the 2013 Amendments</w:t>
      </w:r>
      <w:r w:rsidR="00614EEB">
        <w:t xml:space="preserve">), </w:t>
      </w:r>
      <w:proofErr w:type="spellStart"/>
      <w:r w:rsidR="00614EEB">
        <w:t>Subdiv</w:t>
      </w:r>
      <w:proofErr w:type="spellEnd"/>
      <w:r w:rsidR="00614EEB">
        <w:t xml:space="preserve"> </w:t>
      </w:r>
      <w:proofErr w:type="spellStart"/>
      <w:r w:rsidR="00614EEB">
        <w:t>3A</w:t>
      </w:r>
      <w:proofErr w:type="spellEnd"/>
      <w:r w:rsidR="00614EEB">
        <w:t xml:space="preserve"> of the </w:t>
      </w:r>
      <w:proofErr w:type="spellStart"/>
      <w:r w:rsidR="00614EEB">
        <w:t>NEL</w:t>
      </w:r>
      <w:proofErr w:type="spellEnd"/>
      <w:r w:rsidR="00614EEB">
        <w:t xml:space="preserve"> concerning review by the Tribunal of decisions of the AER was significantly amended.  Relevantly for immediate purposes, an application under s </w:t>
      </w:r>
      <w:proofErr w:type="spellStart"/>
      <w:r w:rsidR="00614EEB">
        <w:t>71B</w:t>
      </w:r>
      <w:proofErr w:type="spellEnd"/>
      <w:r w:rsidR="00614EEB">
        <w:t xml:space="preserve"> must now specify the proposed grounds of review and it must also specify the manner in which the determination sought through the Tribunal (either directly or through remittal to the AER and a fresh decision made by the AER) would, or would be likely to, result in a materially preferable NEO</w:t>
      </w:r>
      <w:r w:rsidR="00AC2BBC">
        <w:t xml:space="preserve"> decision as defined in s </w:t>
      </w:r>
      <w:proofErr w:type="spellStart"/>
      <w:r w:rsidR="00AC2BBC">
        <w:t>71P</w:t>
      </w:r>
      <w:proofErr w:type="spellEnd"/>
      <w:r w:rsidR="00AC2BBC">
        <w:t>(</w:t>
      </w:r>
      <w:proofErr w:type="spellStart"/>
      <w:r w:rsidR="00AC2BBC">
        <w:t>za</w:t>
      </w:r>
      <w:proofErr w:type="spellEnd"/>
      <w:r w:rsidR="00AC2BBC">
        <w:t>)(c); s </w:t>
      </w:r>
      <w:proofErr w:type="spellStart"/>
      <w:r w:rsidR="00614EEB">
        <w:t>71C</w:t>
      </w:r>
      <w:proofErr w:type="spellEnd"/>
      <w:r w:rsidR="00614EEB">
        <w:t>(1</w:t>
      </w:r>
      <w:r w:rsidR="00AC2BBC">
        <w:t>)(</w:t>
      </w:r>
      <w:r w:rsidR="00614EEB">
        <w:t>a).  It must appear to the Tribunal, before giving leave to apply for review, that there is a prima facie case that a determination made by it on re</w:t>
      </w:r>
      <w:r w:rsidR="001755DD">
        <w:t>view would satisfy that test: s </w:t>
      </w:r>
      <w:proofErr w:type="spellStart"/>
      <w:r w:rsidR="00614EEB">
        <w:t>71E</w:t>
      </w:r>
      <w:proofErr w:type="spellEnd"/>
      <w:r w:rsidR="00614EEB">
        <w:t>(b).</w:t>
      </w:r>
    </w:p>
    <w:p w:rsidR="008618FF" w:rsidRDefault="00F137E7" w:rsidP="00F137E7">
      <w:pPr>
        <w:pStyle w:val="ParaNumbering"/>
        <w:numPr>
          <w:ilvl w:val="0"/>
          <w:numId w:val="0"/>
        </w:numPr>
        <w:tabs>
          <w:tab w:val="left" w:pos="720"/>
        </w:tabs>
        <w:ind w:hanging="720"/>
      </w:pPr>
      <w:r>
        <w:rPr>
          <w:sz w:val="20"/>
        </w:rPr>
        <w:t>14</w:t>
      </w:r>
      <w:r>
        <w:rPr>
          <w:sz w:val="20"/>
        </w:rPr>
        <w:tab/>
      </w:r>
      <w:r>
        <w:tab/>
      </w:r>
      <w:r w:rsidR="008618FF">
        <w:t xml:space="preserve">In the course of preparing the written submissions, it became apparent that the Final Determination is of no effect.  The reason was explained by </w:t>
      </w:r>
      <w:proofErr w:type="spellStart"/>
      <w:r w:rsidR="008618FF">
        <w:t>ActewAGL</w:t>
      </w:r>
      <w:proofErr w:type="spellEnd"/>
      <w:r w:rsidR="008618FF">
        <w:t xml:space="preserve"> in terms to which the AER acceded, as set out in the following paras [</w:t>
      </w:r>
      <w:r w:rsidR="000179FE">
        <w:t>15</w:t>
      </w:r>
      <w:r w:rsidR="008618FF">
        <w:t>] – [</w:t>
      </w:r>
      <w:r w:rsidR="00BF60C9">
        <w:t>19</w:t>
      </w:r>
      <w:r w:rsidR="008618FF">
        <w:t>].  Although not cited as a quotation, they are taken directly from that sou</w:t>
      </w:r>
      <w:r w:rsidR="0073732D">
        <w:t>rce (other than a footnote).</w:t>
      </w:r>
    </w:p>
    <w:p w:rsidR="008618FF" w:rsidRDefault="00F137E7" w:rsidP="00F137E7">
      <w:pPr>
        <w:pStyle w:val="ParaNumbering"/>
        <w:numPr>
          <w:ilvl w:val="0"/>
          <w:numId w:val="0"/>
        </w:numPr>
        <w:tabs>
          <w:tab w:val="left" w:pos="720"/>
        </w:tabs>
        <w:ind w:hanging="720"/>
      </w:pPr>
      <w:r>
        <w:rPr>
          <w:sz w:val="20"/>
        </w:rPr>
        <w:t>15</w:t>
      </w:r>
      <w:r>
        <w:rPr>
          <w:sz w:val="20"/>
        </w:rPr>
        <w:tab/>
      </w:r>
      <w:r>
        <w:tab/>
      </w:r>
      <w:r w:rsidR="008618FF">
        <w:t>Pursuant to Division 2 of Part M of Chapter 11 of the National Electricity Rules (</w:t>
      </w:r>
      <w:proofErr w:type="spellStart"/>
      <w:r w:rsidR="008618FF">
        <w:t>NER</w:t>
      </w:r>
      <w:proofErr w:type="spellEnd"/>
      <w:r w:rsidR="008618FF">
        <w:t xml:space="preserve">), Chapter 6 of the </w:t>
      </w:r>
      <w:proofErr w:type="spellStart"/>
      <w:r w:rsidR="008618FF">
        <w:t>NER</w:t>
      </w:r>
      <w:proofErr w:type="spellEnd"/>
      <w:r w:rsidR="008618FF">
        <w:t xml:space="preserve"> applies in relation to the NSW and ACT distribution network service providers (</w:t>
      </w:r>
      <w:proofErr w:type="spellStart"/>
      <w:r w:rsidR="008618FF">
        <w:t>DNSPs</w:t>
      </w:r>
      <w:proofErr w:type="spellEnd"/>
      <w:r w:rsidR="008618FF">
        <w:t xml:space="preserve">) in respect of the </w:t>
      </w:r>
      <w:r w:rsidR="0085796D">
        <w:t>regulatory control period 2009-</w:t>
      </w:r>
      <w:r w:rsidR="008618FF">
        <w:t xml:space="preserve">2014 as if that Chapter were amended so as to be in the form set out in Appendix 1 to the </w:t>
      </w:r>
      <w:proofErr w:type="spellStart"/>
      <w:r w:rsidR="008618FF">
        <w:t>NER</w:t>
      </w:r>
      <w:proofErr w:type="spellEnd"/>
      <w:r w:rsidR="008618FF">
        <w:t xml:space="preserve"> (Transitional Chapter 6) (see clause 11.15.2, in particular paragraph (a)). Chapter 6 as in force apart from clause 11.15.2 (General Chapter 6) does not apply in relation to the NSW and ACT </w:t>
      </w:r>
      <w:proofErr w:type="spellStart"/>
      <w:r w:rsidR="008618FF">
        <w:t>DNSPs</w:t>
      </w:r>
      <w:proofErr w:type="spellEnd"/>
      <w:r w:rsidR="008618FF">
        <w:t xml:space="preserve"> in respect of the regulatory control period 2009-2014 except as provided by paragraphs (a) and (b) of that clause and to the extent that a provision of Transitional Chapter 6 expressly applies a provision of General Chapter 6 or expressly provides that an act, matter or thing has to be done in accordance with a provision of or a procedure in General Chapter 6 (claus</w:t>
      </w:r>
      <w:r w:rsidR="000179FE">
        <w:t xml:space="preserve">e 11.15.2(c) and definition of “general Chapter 6” </w:t>
      </w:r>
      <w:r w:rsidR="008618FF">
        <w:t>in clause 11.15.2(f)).</w:t>
      </w:r>
    </w:p>
    <w:p w:rsidR="008618FF" w:rsidRDefault="00F137E7" w:rsidP="00F137E7">
      <w:pPr>
        <w:pStyle w:val="ParaNumbering"/>
        <w:numPr>
          <w:ilvl w:val="0"/>
          <w:numId w:val="0"/>
        </w:numPr>
        <w:tabs>
          <w:tab w:val="left" w:pos="720"/>
        </w:tabs>
        <w:ind w:hanging="720"/>
      </w:pPr>
      <w:r>
        <w:rPr>
          <w:sz w:val="20"/>
        </w:rPr>
        <w:t>16</w:t>
      </w:r>
      <w:r>
        <w:rPr>
          <w:sz w:val="20"/>
        </w:rPr>
        <w:tab/>
      </w:r>
      <w:r>
        <w:tab/>
      </w:r>
      <w:r w:rsidR="008618FF">
        <w:t>Clause 6.6.1 of Transitional Chapter 6 differs from clause 6.6.1 of General Chapter 6 in the following respects:</w:t>
      </w:r>
    </w:p>
    <w:p w:rsidR="008618FF" w:rsidRDefault="00F137E7" w:rsidP="00F137E7">
      <w:pPr>
        <w:pStyle w:val="ListNo"/>
        <w:ind w:left="720" w:hanging="720"/>
      </w:pPr>
      <w:r>
        <w:t>1.</w:t>
      </w:r>
      <w:r>
        <w:tab/>
      </w:r>
      <w:r w:rsidR="008618FF">
        <w:t>Clause 6.6.1(e) of Transitional Chapter 6 provides that, if the AER does not make the determination referred to in paragraph (d) of that clause within 60 business days fro</w:t>
      </w:r>
      <w:r w:rsidR="000179FE">
        <w:t xml:space="preserve">m the date it receives the </w:t>
      </w:r>
      <w:proofErr w:type="spellStart"/>
      <w:r w:rsidR="000179FE">
        <w:t>DNSP’</w:t>
      </w:r>
      <w:r w:rsidR="008618FF">
        <w:t>s</w:t>
      </w:r>
      <w:proofErr w:type="spellEnd"/>
      <w:r w:rsidR="008618FF">
        <w:t xml:space="preserve"> statement and accompanying evidence under </w:t>
      </w:r>
      <w:r w:rsidR="008618FF">
        <w:lastRenderedPageBreak/>
        <w:t>paragra</w:t>
      </w:r>
      <w:r w:rsidR="00842079">
        <w:t>ph (c) of that clause, then, on</w:t>
      </w:r>
      <w:r w:rsidR="008618FF">
        <w:t xml:space="preserve"> the expiry of that period, the AER is taken to have determined that:</w:t>
      </w:r>
    </w:p>
    <w:p w:rsidR="008618FF" w:rsidRDefault="00F137E7" w:rsidP="00F137E7">
      <w:pPr>
        <w:pStyle w:val="FCBullets"/>
        <w:numPr>
          <w:ilvl w:val="0"/>
          <w:numId w:val="0"/>
        </w:numPr>
        <w:tabs>
          <w:tab w:val="left" w:pos="1440"/>
        </w:tabs>
        <w:ind w:left="1440" w:hanging="720"/>
      </w:pPr>
      <w:r>
        <w:rPr>
          <w:rFonts w:ascii="Symbol" w:hAnsi="Symbol"/>
        </w:rPr>
        <w:t></w:t>
      </w:r>
      <w:r>
        <w:rPr>
          <w:rFonts w:ascii="Symbol" w:hAnsi="Symbol"/>
        </w:rPr>
        <w:tab/>
      </w:r>
      <w:r w:rsidR="008618FF">
        <w:t>the positive pass through</w:t>
      </w:r>
      <w:r w:rsidR="000179FE">
        <w:t xml:space="preserve"> amount as proposed in the </w:t>
      </w:r>
      <w:proofErr w:type="spellStart"/>
      <w:r w:rsidR="000179FE">
        <w:t>DNSP’</w:t>
      </w:r>
      <w:r w:rsidR="008618FF">
        <w:t>s</w:t>
      </w:r>
      <w:proofErr w:type="spellEnd"/>
      <w:r w:rsidR="008618FF">
        <w:t xml:space="preserve"> statement under paragraph (c) is the approved pass through amount in respect of that positive change event; and</w:t>
      </w:r>
    </w:p>
    <w:p w:rsidR="008618FF" w:rsidRDefault="00F137E7" w:rsidP="00F137E7">
      <w:pPr>
        <w:pStyle w:val="FCBullets"/>
        <w:numPr>
          <w:ilvl w:val="0"/>
          <w:numId w:val="0"/>
        </w:numPr>
        <w:tabs>
          <w:tab w:val="left" w:pos="1440"/>
        </w:tabs>
        <w:ind w:left="1440" w:hanging="720"/>
      </w:pPr>
      <w:r>
        <w:rPr>
          <w:rFonts w:ascii="Symbol" w:hAnsi="Symbol"/>
        </w:rPr>
        <w:t></w:t>
      </w:r>
      <w:r>
        <w:rPr>
          <w:rFonts w:ascii="Symbol" w:hAnsi="Symbol"/>
        </w:rPr>
        <w:tab/>
      </w:r>
      <w:r w:rsidR="008618FF">
        <w:t xml:space="preserve">the amount of that approved pass through amount that the </w:t>
      </w:r>
      <w:proofErr w:type="spellStart"/>
      <w:r w:rsidR="008618FF">
        <w:t>DNSP</w:t>
      </w:r>
      <w:proofErr w:type="spellEnd"/>
      <w:r w:rsidR="008618FF">
        <w:t xml:space="preserve"> proposes in that statement should be passed through to distribution network users in the regulatory year in which, and each regulatory year after that in which, the positive change event occurred, is the amount that should be so passed throug</w:t>
      </w:r>
      <w:r w:rsidR="00AC2BBC">
        <w:t>h in each such regulatory year.</w:t>
      </w:r>
    </w:p>
    <w:p w:rsidR="008618FF" w:rsidRDefault="008618FF" w:rsidP="00BF0A73">
      <w:pPr>
        <w:pStyle w:val="ListNo"/>
        <w:ind w:left="720"/>
      </w:pPr>
      <w:r>
        <w:t>Clause 6.6.1(e) of General Chapter 6 is in sim</w:t>
      </w:r>
      <w:r w:rsidR="00BF0A73">
        <w:t>ilar terms but is stated to be “subject to paragraph (</w:t>
      </w:r>
      <w:proofErr w:type="spellStart"/>
      <w:r w:rsidR="00BF0A73">
        <w:t>k1</w:t>
      </w:r>
      <w:proofErr w:type="spellEnd"/>
      <w:r w:rsidR="00BF0A73">
        <w:t>)”</w:t>
      </w:r>
      <w:r>
        <w:t xml:space="preserve"> and provides a period of 40 business days from the later of the date </w:t>
      </w:r>
      <w:r w:rsidR="00BF0A73">
        <w:t xml:space="preserve">it receives the </w:t>
      </w:r>
      <w:proofErr w:type="spellStart"/>
      <w:r w:rsidR="00BF0A73">
        <w:t>DNSP’</w:t>
      </w:r>
      <w:r>
        <w:t>s</w:t>
      </w:r>
      <w:proofErr w:type="spellEnd"/>
      <w:r>
        <w:t xml:space="preserve"> statement and accompanying evidence under paragraph (c) of that clause and the date it receives any additional information required under paragraph (</w:t>
      </w:r>
      <w:proofErr w:type="spellStart"/>
      <w:r>
        <w:t>e1</w:t>
      </w:r>
      <w:proofErr w:type="spellEnd"/>
      <w:r>
        <w:t>) of that clause for the making of the determination referred to in paragraph (d) of that clause.</w:t>
      </w:r>
    </w:p>
    <w:p w:rsidR="008618FF" w:rsidRDefault="00F137E7" w:rsidP="00F137E7">
      <w:pPr>
        <w:pStyle w:val="ListNo"/>
        <w:ind w:left="720" w:hanging="720"/>
      </w:pPr>
      <w:r>
        <w:t>2.</w:t>
      </w:r>
      <w:r>
        <w:tab/>
      </w:r>
      <w:r w:rsidR="00BF0A73">
        <w:t xml:space="preserve">Transitional </w:t>
      </w:r>
      <w:r w:rsidR="008618FF">
        <w:t>Chapter 6 does not contain a provision analogous to clause 6.6.1(</w:t>
      </w:r>
      <w:proofErr w:type="spellStart"/>
      <w:r w:rsidR="008618FF">
        <w:t>e1</w:t>
      </w:r>
      <w:proofErr w:type="spellEnd"/>
      <w:r w:rsidR="008618FF">
        <w:t xml:space="preserve">) of General Chapter 6, which provides that a </w:t>
      </w:r>
      <w:proofErr w:type="spellStart"/>
      <w:r w:rsidR="008618FF">
        <w:t>DNSP</w:t>
      </w:r>
      <w:proofErr w:type="spellEnd"/>
      <w:r w:rsidR="008618FF">
        <w:t xml:space="preserve"> must provide the AER with such additional information as the AER requires for the purpose of making a determination under paragraph (d) of that clause within the time specified by the AER in a notice provided to the </w:t>
      </w:r>
      <w:proofErr w:type="spellStart"/>
      <w:r w:rsidR="008618FF">
        <w:t>DNSP</w:t>
      </w:r>
      <w:proofErr w:type="spellEnd"/>
      <w:r w:rsidR="008618FF">
        <w:t xml:space="preserve"> by the AER for that purpose.</w:t>
      </w:r>
    </w:p>
    <w:p w:rsidR="008618FF" w:rsidRDefault="00F137E7" w:rsidP="00F137E7">
      <w:pPr>
        <w:pStyle w:val="ListNo"/>
        <w:ind w:left="720" w:hanging="720"/>
      </w:pPr>
      <w:r>
        <w:t>3.</w:t>
      </w:r>
      <w:r>
        <w:tab/>
      </w:r>
      <w:r w:rsidR="00BF0A73">
        <w:t xml:space="preserve">Transitional </w:t>
      </w:r>
      <w:r w:rsidR="008618FF">
        <w:t>Chapter 6 does not contain a provision analogous to clause 6.6.1(</w:t>
      </w:r>
      <w:proofErr w:type="spellStart"/>
      <w:r w:rsidR="008618FF">
        <w:t>k1</w:t>
      </w:r>
      <w:proofErr w:type="spellEnd"/>
      <w:r w:rsidR="008618FF">
        <w:t xml:space="preserve">) of General Chapter 6, which provides that, if the AER is satisfied that the making of a determination under clause 6.6.1(d) involves issues of such complexity or difficulty that the time limit fixed in paragraph (e) should be extended, the AER may extend that time limit by a further period of up to 60 business days, provided that it gives written notice to the </w:t>
      </w:r>
      <w:proofErr w:type="spellStart"/>
      <w:r w:rsidR="008618FF">
        <w:t>DNSP</w:t>
      </w:r>
      <w:proofErr w:type="spellEnd"/>
      <w:r w:rsidR="008618FF">
        <w:t xml:space="preserve"> of that extension not later than 10 business days before the expiry of that time limit.</w:t>
      </w:r>
    </w:p>
    <w:p w:rsidR="008618FF" w:rsidRDefault="00F137E7" w:rsidP="00F137E7">
      <w:pPr>
        <w:pStyle w:val="ParaNumbering"/>
        <w:numPr>
          <w:ilvl w:val="0"/>
          <w:numId w:val="0"/>
        </w:numPr>
        <w:tabs>
          <w:tab w:val="left" w:pos="720"/>
        </w:tabs>
        <w:ind w:hanging="720"/>
      </w:pPr>
      <w:r>
        <w:rPr>
          <w:sz w:val="20"/>
        </w:rPr>
        <w:t>17</w:t>
      </w:r>
      <w:r>
        <w:rPr>
          <w:sz w:val="20"/>
        </w:rPr>
        <w:tab/>
      </w:r>
      <w:r>
        <w:tab/>
      </w:r>
      <w:r w:rsidR="00BF0A73">
        <w:t xml:space="preserve">As </w:t>
      </w:r>
      <w:proofErr w:type="spellStart"/>
      <w:r w:rsidR="00BF0A73">
        <w:t>ActewAGL’</w:t>
      </w:r>
      <w:r w:rsidR="008618FF">
        <w:t>s</w:t>
      </w:r>
      <w:proofErr w:type="spellEnd"/>
      <w:r w:rsidR="008618FF">
        <w:t xml:space="preserve"> proposed pass through event occurred during the regulatory control period 2009-2014, the incremental costs </w:t>
      </w:r>
      <w:proofErr w:type="spellStart"/>
      <w:r w:rsidR="008618FF">
        <w:t>ActewAGL</w:t>
      </w:r>
      <w:proofErr w:type="spellEnd"/>
      <w:r w:rsidR="008618FF">
        <w:t xml:space="preserve"> incurred as a result of that event were incurred in the 2012/13 regulatory year of that regulatory control period and its application for pass through titled Vegetation management cost pass through (Pass Through Application) </w:t>
      </w:r>
      <w:r w:rsidR="008618FF">
        <w:lastRenderedPageBreak/>
        <w:t>was made in November 2013, Transitional Chapter 6 applied in respect of the making by the AER of the Final Determination.</w:t>
      </w:r>
    </w:p>
    <w:p w:rsidR="008618FF" w:rsidRDefault="00F137E7" w:rsidP="00F137E7">
      <w:pPr>
        <w:pStyle w:val="ParaNumbering"/>
        <w:numPr>
          <w:ilvl w:val="0"/>
          <w:numId w:val="0"/>
        </w:numPr>
        <w:tabs>
          <w:tab w:val="left" w:pos="720"/>
        </w:tabs>
        <w:ind w:hanging="720"/>
      </w:pPr>
      <w:r>
        <w:rPr>
          <w:sz w:val="20"/>
        </w:rPr>
        <w:t>18</w:t>
      </w:r>
      <w:r>
        <w:rPr>
          <w:sz w:val="20"/>
        </w:rPr>
        <w:tab/>
      </w:r>
      <w:r>
        <w:tab/>
      </w:r>
      <w:r w:rsidR="008618FF">
        <w:t>However, in making the Final Determination, the AER proceeded on the basis that General Chapter 6 applied</w:t>
      </w:r>
      <w:r w:rsidR="00842079">
        <w:t xml:space="preserve">, notwithstanding that </w:t>
      </w:r>
      <w:proofErr w:type="spellStart"/>
      <w:r w:rsidR="00842079">
        <w:t>ActewAGL’</w:t>
      </w:r>
      <w:r w:rsidR="008618FF">
        <w:t>s</w:t>
      </w:r>
      <w:proofErr w:type="spellEnd"/>
      <w:r w:rsidR="008618FF">
        <w:t xml:space="preserve"> Pass Through Application was made on the express basis of Transitional Chapter 6. In particular, the AER purported to exercise the powers conferred by clauses 6.6.1(</w:t>
      </w:r>
      <w:proofErr w:type="spellStart"/>
      <w:r w:rsidR="008618FF">
        <w:t>e1</w:t>
      </w:r>
      <w:proofErr w:type="spellEnd"/>
      <w:r w:rsidR="008618FF">
        <w:t>) and (</w:t>
      </w:r>
      <w:proofErr w:type="spellStart"/>
      <w:r w:rsidR="008618FF">
        <w:t>k1</w:t>
      </w:r>
      <w:proofErr w:type="spellEnd"/>
      <w:r w:rsidR="008618FF">
        <w:t>) of</w:t>
      </w:r>
      <w:r w:rsidR="00BF0A73">
        <w:t xml:space="preserve"> </w:t>
      </w:r>
      <w:r w:rsidR="008618FF">
        <w:t>General Chapter 6 in making its Final Determination with the consequence that the Final Determination was not made within 60 business days fro</w:t>
      </w:r>
      <w:r w:rsidR="00BF0A73">
        <w:t xml:space="preserve">m the date it received </w:t>
      </w:r>
      <w:proofErr w:type="spellStart"/>
      <w:r w:rsidR="00BF0A73">
        <w:t>ActewAGL’</w:t>
      </w:r>
      <w:r w:rsidR="008618FF">
        <w:t>s</w:t>
      </w:r>
      <w:proofErr w:type="spellEnd"/>
      <w:r w:rsidR="008618FF">
        <w:t xml:space="preserve"> Pass Through Application.</w:t>
      </w:r>
    </w:p>
    <w:p w:rsidR="008618FF" w:rsidRDefault="00F137E7" w:rsidP="00F137E7">
      <w:pPr>
        <w:pStyle w:val="ParaNumbering"/>
        <w:numPr>
          <w:ilvl w:val="0"/>
          <w:numId w:val="0"/>
        </w:numPr>
        <w:tabs>
          <w:tab w:val="left" w:pos="720"/>
        </w:tabs>
        <w:ind w:hanging="720"/>
      </w:pPr>
      <w:r>
        <w:rPr>
          <w:sz w:val="20"/>
        </w:rPr>
        <w:t>19</w:t>
      </w:r>
      <w:r>
        <w:rPr>
          <w:sz w:val="20"/>
        </w:rPr>
        <w:tab/>
      </w:r>
      <w:r>
        <w:tab/>
      </w:r>
      <w:r w:rsidR="008618FF">
        <w:t>It follows that the Final Determination was not made within the timeframe specified by clause 6.6.1(e) of Transitional Chapter 6 and is void ab initio, and the AER is taken to have determined that:</w:t>
      </w:r>
    </w:p>
    <w:p w:rsidR="008618FF" w:rsidRDefault="00F137E7" w:rsidP="00F137E7">
      <w:pPr>
        <w:pStyle w:val="FCBullets"/>
        <w:numPr>
          <w:ilvl w:val="0"/>
          <w:numId w:val="0"/>
        </w:numPr>
        <w:tabs>
          <w:tab w:val="left" w:pos="1440"/>
        </w:tabs>
        <w:ind w:left="1440" w:hanging="720"/>
      </w:pPr>
      <w:r>
        <w:rPr>
          <w:rFonts w:ascii="Symbol" w:hAnsi="Symbol"/>
        </w:rPr>
        <w:t></w:t>
      </w:r>
      <w:r>
        <w:rPr>
          <w:rFonts w:ascii="Symbol" w:hAnsi="Symbol"/>
        </w:rPr>
        <w:tab/>
      </w:r>
      <w:r w:rsidR="008618FF">
        <w:t>the positive pass through</w:t>
      </w:r>
      <w:r w:rsidR="000179FE">
        <w:t xml:space="preserve"> amount as proposed in </w:t>
      </w:r>
      <w:proofErr w:type="spellStart"/>
      <w:r w:rsidR="000179FE">
        <w:t>ActewAGL’</w:t>
      </w:r>
      <w:r w:rsidR="008618FF">
        <w:t>s</w:t>
      </w:r>
      <w:proofErr w:type="spellEnd"/>
      <w:r w:rsidR="008618FF">
        <w:t xml:space="preserve"> Pass Through Application is the approved pass through amount; and</w:t>
      </w:r>
    </w:p>
    <w:p w:rsidR="008618FF" w:rsidRDefault="00F137E7" w:rsidP="00F137E7">
      <w:pPr>
        <w:pStyle w:val="FCBullets"/>
        <w:numPr>
          <w:ilvl w:val="0"/>
          <w:numId w:val="0"/>
        </w:numPr>
        <w:tabs>
          <w:tab w:val="left" w:pos="1440"/>
        </w:tabs>
        <w:ind w:left="1440" w:hanging="720"/>
      </w:pPr>
      <w:r>
        <w:rPr>
          <w:rFonts w:ascii="Symbol" w:hAnsi="Symbol"/>
        </w:rPr>
        <w:t></w:t>
      </w:r>
      <w:r>
        <w:rPr>
          <w:rFonts w:ascii="Symbol" w:hAnsi="Symbol"/>
        </w:rPr>
        <w:tab/>
      </w:r>
      <w:r w:rsidR="008618FF">
        <w:t xml:space="preserve">the amount of that approved pass through amount that </w:t>
      </w:r>
      <w:proofErr w:type="spellStart"/>
      <w:r w:rsidR="008618FF">
        <w:t>ActewAGL</w:t>
      </w:r>
      <w:proofErr w:type="spellEnd"/>
      <w:r w:rsidR="008618FF">
        <w:t xml:space="preserve"> proposed in that Application should be passed through to distribution network users in the regulatory year in which, and each regulatory year after that in which, the positive change event occurred, is the amount that should be so passed through in each such regulatory year.</w:t>
      </w:r>
    </w:p>
    <w:p w:rsidR="008618FF" w:rsidRDefault="00F137E7" w:rsidP="00F137E7">
      <w:pPr>
        <w:pStyle w:val="ParaNumbering"/>
        <w:numPr>
          <w:ilvl w:val="0"/>
          <w:numId w:val="0"/>
        </w:numPr>
        <w:tabs>
          <w:tab w:val="left" w:pos="720"/>
        </w:tabs>
        <w:ind w:hanging="720"/>
      </w:pPr>
      <w:r>
        <w:rPr>
          <w:sz w:val="20"/>
        </w:rPr>
        <w:t>20</w:t>
      </w:r>
      <w:r>
        <w:rPr>
          <w:sz w:val="20"/>
        </w:rPr>
        <w:tab/>
      </w:r>
      <w:r>
        <w:tab/>
      </w:r>
      <w:r w:rsidR="00BF0A73">
        <w:t>The complexity of the applicable regulatory provisions, in the circumstances, makes it readily understandable how the oversight came about.</w:t>
      </w:r>
    </w:p>
    <w:p w:rsidR="00BF0A73" w:rsidRDefault="00F137E7" w:rsidP="00F137E7">
      <w:pPr>
        <w:pStyle w:val="ParaNumbering"/>
        <w:numPr>
          <w:ilvl w:val="0"/>
          <w:numId w:val="0"/>
        </w:numPr>
        <w:tabs>
          <w:tab w:val="left" w:pos="720"/>
        </w:tabs>
        <w:ind w:hanging="720"/>
      </w:pPr>
      <w:r>
        <w:rPr>
          <w:sz w:val="20"/>
        </w:rPr>
        <w:t>21</w:t>
      </w:r>
      <w:r>
        <w:rPr>
          <w:sz w:val="20"/>
        </w:rPr>
        <w:tab/>
      </w:r>
      <w:r>
        <w:tab/>
      </w:r>
      <w:r w:rsidR="00BF0A73">
        <w:t xml:space="preserve">The AER accepts that it is deemed to have accepted </w:t>
      </w:r>
      <w:proofErr w:type="spellStart"/>
      <w:r w:rsidR="00BF0A73">
        <w:t>ActewAGL’s</w:t>
      </w:r>
      <w:proofErr w:type="spellEnd"/>
      <w:r w:rsidR="00BF0A73">
        <w:t xml:space="preserve"> application for a pass-through with effect from 30 January 2014.</w:t>
      </w:r>
    </w:p>
    <w:p w:rsidR="00BF0A73" w:rsidRPr="0073732D" w:rsidRDefault="00F137E7" w:rsidP="00F137E7">
      <w:pPr>
        <w:pStyle w:val="ParaNumbering"/>
        <w:numPr>
          <w:ilvl w:val="0"/>
          <w:numId w:val="0"/>
        </w:numPr>
        <w:tabs>
          <w:tab w:val="left" w:pos="720"/>
        </w:tabs>
        <w:ind w:hanging="720"/>
      </w:pPr>
      <w:r>
        <w:rPr>
          <w:sz w:val="20"/>
        </w:rPr>
        <w:t>22</w:t>
      </w:r>
      <w:r>
        <w:rPr>
          <w:sz w:val="20"/>
        </w:rPr>
        <w:tab/>
      </w:r>
      <w:r>
        <w:tab/>
      </w:r>
      <w:r w:rsidR="00BF0A73">
        <w:t xml:space="preserve">As the Final Determination is of no effect, to the extent necessary </w:t>
      </w:r>
      <w:r w:rsidR="0073732D">
        <w:t xml:space="preserve">leave should be given </w:t>
      </w:r>
      <w:r w:rsidR="00BF0A73">
        <w:t xml:space="preserve">to </w:t>
      </w:r>
      <w:proofErr w:type="spellStart"/>
      <w:r w:rsidR="00BF0A73">
        <w:t>ActewAGL</w:t>
      </w:r>
      <w:proofErr w:type="spellEnd"/>
      <w:r w:rsidR="00BF0A73">
        <w:t xml:space="preserve"> to withdraw its application.  That course was taken by French J (as he then was) as a Deputy President of the Tribunal in </w:t>
      </w:r>
      <w:r w:rsidR="00CD34DD">
        <w:rPr>
          <w:i/>
        </w:rPr>
        <w:t xml:space="preserve">Re Lakes R Us Pty Ltd </w:t>
      </w:r>
      <w:r w:rsidR="00CD34DD">
        <w:t xml:space="preserve">[2006] </w:t>
      </w:r>
      <w:proofErr w:type="spellStart"/>
      <w:r w:rsidR="00CD34DD">
        <w:t>ACompT</w:t>
      </w:r>
      <w:proofErr w:type="spellEnd"/>
      <w:r w:rsidR="00CD34DD">
        <w:t xml:space="preserve"> 3</w:t>
      </w:r>
      <w:r w:rsidR="00BF0A73">
        <w:t>.  That step was taken by his Honour in a different legislative context, but there does not appear to be any sensible reason why a parity of reasoning should not apply in the present circumstances.</w:t>
      </w:r>
      <w:r w:rsidR="00AC2BBC">
        <w:t xml:space="preserve">  I respectfully adopt that reasoning.</w:t>
      </w:r>
      <w:r w:rsidR="0073732D">
        <w:t xml:space="preserve">  Section </w:t>
      </w:r>
      <w:proofErr w:type="spellStart"/>
      <w:r w:rsidR="0073732D">
        <w:t>44ZZR</w:t>
      </w:r>
      <w:proofErr w:type="spellEnd"/>
      <w:r w:rsidR="0073732D">
        <w:t xml:space="preserve">, introduced into the </w:t>
      </w:r>
      <w:r w:rsidR="0073732D">
        <w:rPr>
          <w:i/>
        </w:rPr>
        <w:t>Competition and Consumer Act 2010</w:t>
      </w:r>
      <w:r w:rsidR="0073732D">
        <w:t xml:space="preserve"> (</w:t>
      </w:r>
      <w:proofErr w:type="spellStart"/>
      <w:r w:rsidR="0073732D">
        <w:t>Cth</w:t>
      </w:r>
      <w:proofErr w:type="spellEnd"/>
      <w:r w:rsidR="0073732D">
        <w:t>) following that decision would, in any event, put the question beyond doubt.</w:t>
      </w:r>
    </w:p>
    <w:p w:rsidR="00BF0A73" w:rsidRDefault="00F137E7" w:rsidP="00F137E7">
      <w:pPr>
        <w:pStyle w:val="ParaNumbering"/>
        <w:numPr>
          <w:ilvl w:val="0"/>
          <w:numId w:val="0"/>
        </w:numPr>
        <w:tabs>
          <w:tab w:val="left" w:pos="720"/>
        </w:tabs>
        <w:ind w:hanging="720"/>
      </w:pPr>
      <w:r>
        <w:rPr>
          <w:sz w:val="20"/>
        </w:rPr>
        <w:lastRenderedPageBreak/>
        <w:t>23</w:t>
      </w:r>
      <w:r>
        <w:rPr>
          <w:sz w:val="20"/>
        </w:rPr>
        <w:tab/>
      </w:r>
      <w:r>
        <w:tab/>
      </w:r>
      <w:r w:rsidR="00BF0A73">
        <w:t xml:space="preserve">Accordingly, to the extent necessary, I </w:t>
      </w:r>
      <w:r w:rsidR="0073732D">
        <w:t xml:space="preserve">formally </w:t>
      </w:r>
      <w:r w:rsidR="00BF0A73">
        <w:t xml:space="preserve">give leave to </w:t>
      </w:r>
      <w:proofErr w:type="spellStart"/>
      <w:r w:rsidR="00BF0A73">
        <w:t>ActewAGL</w:t>
      </w:r>
      <w:proofErr w:type="spellEnd"/>
      <w:r w:rsidR="00BF0A73">
        <w:t xml:space="preserve"> to withdraw its application on the basis that it and the AER accept that the Final Determination is of no effect.  That will mean that the application is at an end.</w:t>
      </w:r>
    </w:p>
    <w:p w:rsidR="00BF0A73" w:rsidRDefault="00F137E7" w:rsidP="00F137E7">
      <w:pPr>
        <w:pStyle w:val="ParaNumbering"/>
        <w:numPr>
          <w:ilvl w:val="0"/>
          <w:numId w:val="0"/>
        </w:numPr>
        <w:tabs>
          <w:tab w:val="left" w:pos="720"/>
        </w:tabs>
        <w:ind w:hanging="720"/>
      </w:pPr>
      <w:r>
        <w:rPr>
          <w:sz w:val="20"/>
        </w:rPr>
        <w:t>24</w:t>
      </w:r>
      <w:r>
        <w:rPr>
          <w:sz w:val="20"/>
        </w:rPr>
        <w:tab/>
      </w:r>
      <w:r>
        <w:tab/>
      </w:r>
      <w:r w:rsidR="00BF0A73">
        <w:t>I note that the other members of the Tribunal, as presently constituted (Mr R Davey and Dr D Abraham) concur in giving that leave in any event.</w:t>
      </w:r>
    </w:p>
    <w:p w:rsidR="00BF0A73" w:rsidRDefault="00F137E7" w:rsidP="00F137E7">
      <w:pPr>
        <w:pStyle w:val="ParaNumbering"/>
        <w:numPr>
          <w:ilvl w:val="0"/>
          <w:numId w:val="0"/>
        </w:numPr>
        <w:tabs>
          <w:tab w:val="left" w:pos="720"/>
        </w:tabs>
        <w:ind w:hanging="720"/>
      </w:pPr>
      <w:r>
        <w:rPr>
          <w:sz w:val="20"/>
        </w:rPr>
        <w:t>25</w:t>
      </w:r>
      <w:r>
        <w:rPr>
          <w:sz w:val="20"/>
        </w:rPr>
        <w:tab/>
      </w:r>
      <w:r>
        <w:tab/>
      </w:r>
      <w:r w:rsidR="00BF0A73">
        <w:t xml:space="preserve">There are a few additional observations I wish to make, prompted by </w:t>
      </w:r>
      <w:r w:rsidR="00BF0A73" w:rsidRPr="00A36611">
        <w:rPr>
          <w:i/>
        </w:rPr>
        <w:t>the</w:t>
      </w:r>
      <w:r w:rsidR="00BF0A73">
        <w:t xml:space="preserve"> </w:t>
      </w:r>
      <w:r w:rsidR="00BF0A73" w:rsidRPr="00AC2BBC">
        <w:rPr>
          <w:i/>
        </w:rPr>
        <w:t>2013 Amendments</w:t>
      </w:r>
      <w:r w:rsidR="00BF0A73">
        <w:t>.</w:t>
      </w:r>
    </w:p>
    <w:p w:rsidR="00BF0A73" w:rsidRDefault="00F137E7" w:rsidP="00F137E7">
      <w:pPr>
        <w:pStyle w:val="ParaNumbering"/>
        <w:numPr>
          <w:ilvl w:val="0"/>
          <w:numId w:val="0"/>
        </w:numPr>
        <w:tabs>
          <w:tab w:val="left" w:pos="720"/>
        </w:tabs>
        <w:ind w:hanging="720"/>
      </w:pPr>
      <w:r>
        <w:rPr>
          <w:sz w:val="20"/>
        </w:rPr>
        <w:t>26</w:t>
      </w:r>
      <w:r>
        <w:rPr>
          <w:sz w:val="20"/>
        </w:rPr>
        <w:tab/>
      </w:r>
      <w:r>
        <w:tab/>
      </w:r>
      <w:r w:rsidR="00BF0A73">
        <w:t xml:space="preserve">The policy underlying the 2013 Amendments, at least so far as they apply in or to </w:t>
      </w:r>
      <w:proofErr w:type="spellStart"/>
      <w:r w:rsidR="00BF0A73" w:rsidRPr="00BF0A73">
        <w:t>Div</w:t>
      </w:r>
      <w:proofErr w:type="spellEnd"/>
      <w:r w:rsidR="00BF0A73">
        <w:t> </w:t>
      </w:r>
      <w:proofErr w:type="spellStart"/>
      <w:r w:rsidR="00BF0A73" w:rsidRPr="00BF0A73">
        <w:t>3A</w:t>
      </w:r>
      <w:proofErr w:type="spellEnd"/>
      <w:r w:rsidR="00BF0A73">
        <w:t xml:space="preserve"> of the </w:t>
      </w:r>
      <w:proofErr w:type="spellStart"/>
      <w:r w:rsidR="00BF0A73">
        <w:t>NEL</w:t>
      </w:r>
      <w:proofErr w:type="spellEnd"/>
      <w:r w:rsidR="00BF0A73">
        <w:t xml:space="preserve">, are clearly aimed in part at securing an improved opportunity for interests other than those of the </w:t>
      </w:r>
      <w:proofErr w:type="spellStart"/>
      <w:r w:rsidR="00AC2BBC">
        <w:t>DNSP</w:t>
      </w:r>
      <w:proofErr w:type="spellEnd"/>
      <w:r w:rsidR="00BF0A73">
        <w:t xml:space="preserve"> to be more actively involved in any review of a determination by the AER.</w:t>
      </w:r>
    </w:p>
    <w:p w:rsidR="000179FE" w:rsidRDefault="00F137E7" w:rsidP="00F137E7">
      <w:pPr>
        <w:pStyle w:val="ParaNumbering"/>
        <w:numPr>
          <w:ilvl w:val="0"/>
          <w:numId w:val="0"/>
        </w:numPr>
        <w:tabs>
          <w:tab w:val="left" w:pos="720"/>
        </w:tabs>
        <w:ind w:hanging="720"/>
      </w:pPr>
      <w:r>
        <w:rPr>
          <w:sz w:val="20"/>
        </w:rPr>
        <w:t>27</w:t>
      </w:r>
      <w:r>
        <w:rPr>
          <w:sz w:val="20"/>
        </w:rPr>
        <w:tab/>
      </w:r>
      <w:r>
        <w:tab/>
      </w:r>
      <w:r w:rsidR="00BF60C9">
        <w:t xml:space="preserve">In s </w:t>
      </w:r>
      <w:proofErr w:type="spellStart"/>
      <w:r w:rsidR="00BF60C9">
        <w:t>71A</w:t>
      </w:r>
      <w:proofErr w:type="spellEnd"/>
      <w:r w:rsidR="00BF60C9">
        <w:t xml:space="preserve">, the definition of an affected or interested person or body was amended to include “a reviewable regulatory decision process participant”, and a definition of that term was inserted.  Section </w:t>
      </w:r>
      <w:proofErr w:type="spellStart"/>
      <w:r w:rsidR="00BF60C9">
        <w:t>71B</w:t>
      </w:r>
      <w:proofErr w:type="spellEnd"/>
      <w:r w:rsidR="00BF60C9">
        <w:t xml:space="preserve"> enabling an application for leave to review an AER decision thereby extended the range of persons who may seek review.  It is extended to a Minister of a participating jurisdiction and a person or body who made a submission or comment to the AER upon invitation, in relation to the </w:t>
      </w:r>
      <w:proofErr w:type="spellStart"/>
      <w:r w:rsidR="00BF60C9">
        <w:t>AER’s</w:t>
      </w:r>
      <w:proofErr w:type="spellEnd"/>
      <w:r w:rsidR="00BF60C9">
        <w:t xml:space="preserve"> reviewable regulatory decision.</w:t>
      </w:r>
    </w:p>
    <w:p w:rsidR="00BF60C9" w:rsidRDefault="00F137E7" w:rsidP="00F137E7">
      <w:pPr>
        <w:pStyle w:val="ParaNumbering"/>
        <w:numPr>
          <w:ilvl w:val="0"/>
          <w:numId w:val="0"/>
        </w:numPr>
        <w:tabs>
          <w:tab w:val="left" w:pos="720"/>
        </w:tabs>
        <w:ind w:hanging="720"/>
      </w:pPr>
      <w:r>
        <w:rPr>
          <w:sz w:val="20"/>
        </w:rPr>
        <w:t>28</w:t>
      </w:r>
      <w:r>
        <w:rPr>
          <w:sz w:val="20"/>
        </w:rPr>
        <w:tab/>
      </w:r>
      <w:r>
        <w:tab/>
      </w:r>
      <w:r w:rsidR="00BF60C9">
        <w:t xml:space="preserve">In the event that the Tribunal gives leave to a </w:t>
      </w:r>
      <w:proofErr w:type="spellStart"/>
      <w:r w:rsidR="00AC2BBC">
        <w:t>DNSP</w:t>
      </w:r>
      <w:proofErr w:type="spellEnd"/>
      <w:r w:rsidR="00BF60C9">
        <w:t xml:space="preserve"> to apply for review under s </w:t>
      </w:r>
      <w:proofErr w:type="spellStart"/>
      <w:r w:rsidR="00BF60C9">
        <w:t>71B</w:t>
      </w:r>
      <w:proofErr w:type="spellEnd"/>
      <w:r w:rsidR="00BF60C9">
        <w:t xml:space="preserve">, </w:t>
      </w:r>
      <w:proofErr w:type="spellStart"/>
      <w:r w:rsidR="00BF60C9">
        <w:t>ss</w:t>
      </w:r>
      <w:proofErr w:type="spellEnd"/>
      <w:r w:rsidR="00BF60C9">
        <w:t xml:space="preserve"> </w:t>
      </w:r>
      <w:proofErr w:type="spellStart"/>
      <w:r w:rsidR="00BF60C9">
        <w:t>71K</w:t>
      </w:r>
      <w:proofErr w:type="spellEnd"/>
      <w:r w:rsidR="00BF60C9">
        <w:t xml:space="preserve"> and </w:t>
      </w:r>
      <w:proofErr w:type="spellStart"/>
      <w:r w:rsidR="00BF60C9">
        <w:t>71L</w:t>
      </w:r>
      <w:proofErr w:type="spellEnd"/>
      <w:r w:rsidR="00BF60C9">
        <w:t xml:space="preserve"> provide the circumstances in which a reviewable regulatory decision process participant may, by leave, intervene in the review.  Section </w:t>
      </w:r>
      <w:proofErr w:type="spellStart"/>
      <w:r w:rsidR="00BF60C9">
        <w:t>71M</w:t>
      </w:r>
      <w:proofErr w:type="spellEnd"/>
      <w:r w:rsidR="00BF60C9">
        <w:t xml:space="preserve"> enables an </w:t>
      </w:r>
      <w:r w:rsidR="007E3A56">
        <w:t>intervener</w:t>
      </w:r>
      <w:r w:rsidR="00BF60C9">
        <w:t xml:space="preserve"> to raise new grounds of review.  The material provided by </w:t>
      </w:r>
      <w:proofErr w:type="spellStart"/>
      <w:r w:rsidR="00BF60C9">
        <w:t>ActewAGL</w:t>
      </w:r>
      <w:proofErr w:type="spellEnd"/>
      <w:r w:rsidR="00BF60C9">
        <w:t xml:space="preserve"> and the AER to the Tribunal indicates that there is at least one reviewable regulatory decision process participant in this matter</w:t>
      </w:r>
      <w:r w:rsidR="00AC2BBC">
        <w:t xml:space="preserve"> (other than a Minister of a participating jurisdiction)</w:t>
      </w:r>
      <w:r w:rsidR="00BF60C9">
        <w:t>.</w:t>
      </w:r>
    </w:p>
    <w:p w:rsidR="00BF60C9" w:rsidRDefault="00F137E7" w:rsidP="00F137E7">
      <w:pPr>
        <w:pStyle w:val="ParaNumbering"/>
        <w:numPr>
          <w:ilvl w:val="0"/>
          <w:numId w:val="0"/>
        </w:numPr>
        <w:tabs>
          <w:tab w:val="left" w:pos="720"/>
        </w:tabs>
        <w:ind w:hanging="720"/>
      </w:pPr>
      <w:r>
        <w:rPr>
          <w:sz w:val="20"/>
        </w:rPr>
        <w:t>29</w:t>
      </w:r>
      <w:r>
        <w:rPr>
          <w:sz w:val="20"/>
        </w:rPr>
        <w:tab/>
      </w:r>
      <w:r>
        <w:tab/>
      </w:r>
      <w:r w:rsidR="00BF60C9">
        <w:t xml:space="preserve">The point of referring to those matters now is that the deemed decision of the AER itself is, or may be, a reviewable regulatory decision: see </w:t>
      </w:r>
      <w:r w:rsidR="00AC2BBC">
        <w:t xml:space="preserve">the definition in s </w:t>
      </w:r>
      <w:proofErr w:type="spellStart"/>
      <w:r w:rsidR="00AC2BBC">
        <w:t>71A</w:t>
      </w:r>
      <w:proofErr w:type="spellEnd"/>
      <w:r w:rsidR="0073732D">
        <w:t xml:space="preserve"> of the </w:t>
      </w:r>
      <w:proofErr w:type="spellStart"/>
      <w:r w:rsidR="0073732D">
        <w:t>NEL</w:t>
      </w:r>
      <w:proofErr w:type="spellEnd"/>
      <w:r w:rsidR="00AC2BBC">
        <w:t xml:space="preserve">, </w:t>
      </w:r>
      <w:r w:rsidR="00BF60C9">
        <w:t xml:space="preserve">Regulation 9(1)(a) </w:t>
      </w:r>
      <w:r w:rsidR="00AC2BBC">
        <w:t xml:space="preserve">of the National Electricity Regulations </w:t>
      </w:r>
      <w:r w:rsidR="00BF60C9">
        <w:t xml:space="preserve">and Rule 6.6.1(d) and (e) of the </w:t>
      </w:r>
      <w:proofErr w:type="spellStart"/>
      <w:r w:rsidR="00BF60C9">
        <w:t>NER</w:t>
      </w:r>
      <w:proofErr w:type="spellEnd"/>
      <w:r w:rsidR="00BF60C9">
        <w:t xml:space="preserve">.  It is not presently necessary to decide that.  If </w:t>
      </w:r>
      <w:r w:rsidR="00AC2BBC">
        <w:t>the deemed decision is a reviewable regulatory decision</w:t>
      </w:r>
      <w:r w:rsidR="00BF60C9">
        <w:t xml:space="preserve">, then there may be issues as to if, and when, the reviewable regulatory decision was published by the AER so that any application for leave to review it is within the time prescribed by s </w:t>
      </w:r>
      <w:proofErr w:type="spellStart"/>
      <w:r w:rsidR="00BF60C9">
        <w:t>71D</w:t>
      </w:r>
      <w:proofErr w:type="spellEnd"/>
      <w:r w:rsidR="00BF60C9">
        <w:t xml:space="preserve"> of the </w:t>
      </w:r>
      <w:proofErr w:type="spellStart"/>
      <w:r w:rsidR="00BF60C9">
        <w:t>NEL</w:t>
      </w:r>
      <w:proofErr w:type="spellEnd"/>
      <w:r w:rsidR="00BF60C9">
        <w:t xml:space="preserve">.  The Tribunal has no power to extend that time.  If it is </w:t>
      </w:r>
      <w:r w:rsidR="00BF60C9">
        <w:lastRenderedPageBreak/>
        <w:t xml:space="preserve">not, </w:t>
      </w:r>
      <w:r w:rsidR="0073732D">
        <w:t>although</w:t>
      </w:r>
      <w:r w:rsidR="00BF60C9">
        <w:t xml:space="preserve"> the effect of the deemed decision is to allow the pass through of the claimed costs (that is, the outcome which is the opposite of the putative effect of the Final Decision), there is no entitlement on </w:t>
      </w:r>
      <w:proofErr w:type="spellStart"/>
      <w:r w:rsidR="00BF60C9">
        <w:t>any body</w:t>
      </w:r>
      <w:proofErr w:type="spellEnd"/>
      <w:r w:rsidR="00BF60C9">
        <w:t xml:space="preserve"> or person to seek leave to review the deemed decision despite its consequence</w:t>
      </w:r>
      <w:r w:rsidR="00AC2BBC">
        <w:t xml:space="preserve"> </w:t>
      </w:r>
      <w:r w:rsidR="0073732D">
        <w:t xml:space="preserve">for </w:t>
      </w:r>
      <w:r w:rsidR="00AC2BBC">
        <w:t>any reviewable regulatory decision process participant and for end users of electricity in the ACT</w:t>
      </w:r>
      <w:r w:rsidR="00BF60C9">
        <w:t>.</w:t>
      </w:r>
    </w:p>
    <w:p w:rsidR="00BF60C9" w:rsidRDefault="00F137E7" w:rsidP="00F137E7">
      <w:pPr>
        <w:pStyle w:val="ParaNumbering"/>
        <w:numPr>
          <w:ilvl w:val="0"/>
          <w:numId w:val="0"/>
        </w:numPr>
        <w:tabs>
          <w:tab w:val="left" w:pos="720"/>
        </w:tabs>
        <w:ind w:hanging="720"/>
      </w:pPr>
      <w:r>
        <w:rPr>
          <w:sz w:val="20"/>
        </w:rPr>
        <w:t>30</w:t>
      </w:r>
      <w:r>
        <w:rPr>
          <w:sz w:val="20"/>
        </w:rPr>
        <w:tab/>
      </w:r>
      <w:r>
        <w:tab/>
      </w:r>
      <w:r w:rsidR="00BF60C9">
        <w:t xml:space="preserve">In any event, even if the deemed decision is a reviewable regulatory decision, any </w:t>
      </w:r>
      <w:r w:rsidR="00AC2BBC">
        <w:t xml:space="preserve">affected or interested person or body, </w:t>
      </w:r>
      <w:r w:rsidR="00BF60C9">
        <w:t xml:space="preserve">may have difficulty in specifying the grounds for review as required by s </w:t>
      </w:r>
      <w:proofErr w:type="spellStart"/>
      <w:r w:rsidR="00BF60C9">
        <w:t>71C</w:t>
      </w:r>
      <w:proofErr w:type="spellEnd"/>
      <w:r w:rsidR="00BF60C9">
        <w:t>.</w:t>
      </w:r>
    </w:p>
    <w:p w:rsidR="00BF60C9" w:rsidRDefault="00F137E7" w:rsidP="00F137E7">
      <w:pPr>
        <w:pStyle w:val="ParaNumbering"/>
        <w:numPr>
          <w:ilvl w:val="0"/>
          <w:numId w:val="0"/>
        </w:numPr>
        <w:tabs>
          <w:tab w:val="left" w:pos="720"/>
        </w:tabs>
        <w:ind w:hanging="720"/>
      </w:pPr>
      <w:r>
        <w:rPr>
          <w:sz w:val="20"/>
        </w:rPr>
        <w:t>31</w:t>
      </w:r>
      <w:r>
        <w:rPr>
          <w:sz w:val="20"/>
        </w:rPr>
        <w:tab/>
      </w:r>
      <w:r>
        <w:tab/>
      </w:r>
      <w:r w:rsidR="00BF60C9">
        <w:t xml:space="preserve">It may well be that the occasions in which the AER is deemed to have made a decision are so few as not to give rise to particular concern, despite the above comments.  I suspect that is the case.  If it is not, the matters referred to might be worthy of consideration to ensure that the policy or one of the policies underlying </w:t>
      </w:r>
      <w:r w:rsidR="00BF60C9" w:rsidRPr="00A36611">
        <w:rPr>
          <w:i/>
        </w:rPr>
        <w:t>the</w:t>
      </w:r>
      <w:r w:rsidR="00BF60C9">
        <w:t xml:space="preserve"> </w:t>
      </w:r>
      <w:r w:rsidR="00BF60C9" w:rsidRPr="00AC2BBC">
        <w:rPr>
          <w:i/>
        </w:rPr>
        <w:t>2013 Amendments</w:t>
      </w:r>
      <w:r w:rsidR="00BF60C9">
        <w:t xml:space="preserve"> is effective.</w:t>
      </w:r>
    </w:p>
    <w:p w:rsidR="006E50E8" w:rsidRDefault="006E50E8">
      <w:bookmarkStart w:id="23" w:name="Certification"/>
    </w:p>
    <w:tbl>
      <w:tblPr>
        <w:tblW w:w="0" w:type="auto"/>
        <w:tblLook w:val="04A0" w:firstRow="1" w:lastRow="0" w:firstColumn="1" w:lastColumn="0" w:noHBand="0" w:noVBand="1"/>
      </w:tblPr>
      <w:tblGrid>
        <w:gridCol w:w="3794"/>
      </w:tblGrid>
      <w:tr w:rsidR="006E50E8" w:rsidRPr="006E50E8">
        <w:tc>
          <w:tcPr>
            <w:tcW w:w="3794" w:type="dxa"/>
            <w:shd w:val="clear" w:color="auto" w:fill="auto"/>
          </w:tcPr>
          <w:p w:rsidR="006E50E8" w:rsidRPr="006E50E8" w:rsidRDefault="006E50E8" w:rsidP="006E50E8">
            <w:pPr>
              <w:pStyle w:val="Normal1linespace"/>
              <w:jc w:val="left"/>
            </w:pPr>
            <w:r w:rsidRPr="006E50E8">
              <w:t xml:space="preserve">I certify that the preceding </w:t>
            </w:r>
            <w:bookmarkStart w:id="24" w:name="NumberWord"/>
            <w:r w:rsidR="00BF60C9">
              <w:t>thirty-one</w:t>
            </w:r>
            <w:bookmarkEnd w:id="24"/>
            <w:r w:rsidRPr="006E50E8">
              <w:t xml:space="preserve"> (</w:t>
            </w:r>
            <w:bookmarkStart w:id="25" w:name="NumberNumeral"/>
            <w:r w:rsidR="00BF60C9">
              <w:t>31</w:t>
            </w:r>
            <w:bookmarkEnd w:id="25"/>
            <w:r w:rsidRPr="006E50E8">
              <w:t xml:space="preserve">) numbered </w:t>
            </w:r>
            <w:bookmarkStart w:id="26" w:name="CertPara"/>
            <w:r w:rsidR="00BF60C9">
              <w:t>paragraphs are</w:t>
            </w:r>
            <w:bookmarkEnd w:id="26"/>
            <w:r w:rsidRPr="006E50E8">
              <w:t xml:space="preserve"> a true copy of the Reasons for Judgment herein of the Honourable </w:t>
            </w:r>
            <w:bookmarkStart w:id="27" w:name="Justice"/>
            <w:r w:rsidR="0073732D">
              <w:t>Justice Mansfield</w:t>
            </w:r>
            <w:r>
              <w:t xml:space="preserve"> (President)</w:t>
            </w:r>
            <w:bookmarkEnd w:id="27"/>
            <w:r w:rsidRPr="006E50E8">
              <w:t>.</w:t>
            </w:r>
          </w:p>
        </w:tc>
      </w:tr>
    </w:tbl>
    <w:p w:rsidR="006E50E8" w:rsidRDefault="006E50E8"/>
    <w:p w:rsidR="006E50E8" w:rsidRDefault="006E50E8"/>
    <w:p w:rsidR="006E50E8" w:rsidRDefault="006E50E8">
      <w:pPr>
        <w:suppressAutoHyphens/>
      </w:pPr>
      <w:r>
        <w:t>Associate:</w:t>
      </w:r>
      <w:r w:rsidR="00585763">
        <w:t xml:space="preserve">  </w:t>
      </w:r>
    </w:p>
    <w:p w:rsidR="006E50E8" w:rsidRDefault="006E50E8">
      <w:pPr>
        <w:suppressAutoHyphens/>
      </w:pPr>
    </w:p>
    <w:p w:rsidR="006E50E8" w:rsidRDefault="006E50E8">
      <w:pPr>
        <w:tabs>
          <w:tab w:val="left" w:pos="1134"/>
        </w:tabs>
        <w:suppressAutoHyphens/>
      </w:pPr>
      <w:r>
        <w:t>Dated:</w:t>
      </w:r>
      <w:r>
        <w:tab/>
      </w:r>
      <w:bookmarkStart w:id="28" w:name="CertifyDated"/>
      <w:r>
        <w:t>25 August 2014</w:t>
      </w:r>
      <w:bookmarkEnd w:id="28"/>
    </w:p>
    <w:p w:rsidR="006E50E8" w:rsidRDefault="006E50E8">
      <w:pPr>
        <w:suppressAutoHyphens/>
      </w:pPr>
    </w:p>
    <w:bookmarkEnd w:id="23"/>
    <w:p w:rsidR="006E50E8" w:rsidRDefault="006E50E8" w:rsidP="006E50E8">
      <w:pPr>
        <w:pStyle w:val="NoNum"/>
      </w:pPr>
    </w:p>
    <w:sectPr w:rsidR="006E50E8">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B0" w:rsidRDefault="005136B0">
      <w:pPr>
        <w:spacing w:line="20" w:lineRule="exact"/>
      </w:pPr>
    </w:p>
    <w:p w:rsidR="005136B0" w:rsidRDefault="005136B0"/>
    <w:p w:rsidR="005136B0" w:rsidRDefault="005136B0"/>
  </w:endnote>
  <w:endnote w:type="continuationSeparator" w:id="0">
    <w:p w:rsidR="005136B0" w:rsidRDefault="005136B0">
      <w:r>
        <w:t xml:space="preserve"> </w:t>
      </w:r>
    </w:p>
    <w:p w:rsidR="005136B0" w:rsidRDefault="005136B0"/>
    <w:p w:rsidR="005136B0" w:rsidRDefault="005136B0"/>
  </w:endnote>
  <w:endnote w:type="continuationNotice" w:id="1">
    <w:p w:rsidR="005136B0" w:rsidRDefault="005136B0">
      <w:r>
        <w:t xml:space="preserve"> </w:t>
      </w:r>
    </w:p>
    <w:p w:rsidR="005136B0" w:rsidRDefault="005136B0"/>
    <w:p w:rsidR="005136B0" w:rsidRDefault="00513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FB" w:rsidRPr="009C5364" w:rsidRDefault="006069FB" w:rsidP="009C5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FB" w:rsidRPr="009C5364" w:rsidRDefault="006069FB" w:rsidP="009C5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B0" w:rsidRDefault="005136B0"/>
    <w:p w:rsidR="005136B0" w:rsidRDefault="005136B0"/>
    <w:p w:rsidR="005136B0" w:rsidRDefault="005136B0"/>
  </w:footnote>
  <w:footnote w:type="continuationSeparator" w:id="0">
    <w:p w:rsidR="005136B0" w:rsidRDefault="005136B0">
      <w:r>
        <w:continuationSeparator/>
      </w:r>
    </w:p>
    <w:p w:rsidR="005136B0" w:rsidRDefault="005136B0"/>
    <w:p w:rsidR="005136B0" w:rsidRDefault="005136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FB" w:rsidRDefault="007F289D">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29640F">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FB" w:rsidRDefault="007F289D">
    <w:pPr>
      <w:tabs>
        <w:tab w:val="center" w:pos="4512"/>
      </w:tabs>
      <w:suppressAutoHyphens/>
    </w:pPr>
    <w:r>
      <w:tab/>
      <w:t xml:space="preserve">- </w:t>
    </w:r>
    <w:r>
      <w:fldChar w:fldCharType="begin"/>
    </w:r>
    <w:r>
      <w:instrText>page \* arabic</w:instrText>
    </w:r>
    <w:r>
      <w:fldChar w:fldCharType="separate"/>
    </w:r>
    <w:r w:rsidR="008618FF">
      <w:rPr>
        <w:noProof/>
      </w:rPr>
      <w:t>4</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FB" w:rsidRDefault="006069FB">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FB" w:rsidRDefault="006069FB"/>
  <w:p w:rsidR="006069FB" w:rsidRDefault="006069F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FB" w:rsidRDefault="007F289D">
    <w:pPr>
      <w:tabs>
        <w:tab w:val="center" w:pos="4512"/>
      </w:tabs>
      <w:suppressAutoHyphens/>
    </w:pPr>
    <w:r>
      <w:tab/>
      <w:t xml:space="preserve">- </w:t>
    </w:r>
    <w:r>
      <w:fldChar w:fldCharType="begin"/>
    </w:r>
    <w:r>
      <w:instrText>page \* arabic</w:instrText>
    </w:r>
    <w:r>
      <w:fldChar w:fldCharType="separate"/>
    </w:r>
    <w:r w:rsidR="00EB05C5">
      <w:rPr>
        <w:noProof/>
      </w:rPr>
      <w:t>7</w:t>
    </w:r>
    <w:r>
      <w:fldChar w:fldCharType="end"/>
    </w:r>
    <w:r>
      <w:t xml:space="preserve"> -</w:t>
    </w:r>
  </w:p>
  <w:p w:rsidR="006069FB" w:rsidRDefault="006069F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FB" w:rsidRDefault="006069F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282ADB"/>
    <w:multiLevelType w:val="hybridMultilevel"/>
    <w:tmpl w:val="423AF540"/>
    <w:lvl w:ilvl="0" w:tplc="DDD267D8">
      <w:start w:val="1"/>
      <w:numFmt w:val="decimal"/>
      <w:lvlText w:val="%1"/>
      <w:lvlJc w:val="left"/>
      <w:pPr>
        <w:ind w:hanging="720"/>
      </w:pPr>
      <w:rPr>
        <w:rFonts w:cs="Times New Roman" w:hint="default"/>
        <w:sz w:val="20"/>
      </w:rPr>
    </w:lvl>
    <w:lvl w:ilvl="1" w:tplc="0C090019">
      <w:start w:val="1"/>
      <w:numFmt w:val="lowerLetter"/>
      <w:lvlText w:val="%2."/>
      <w:lvlJc w:val="left"/>
      <w:pPr>
        <w:ind w:left="360" w:hanging="360"/>
      </w:pPr>
      <w:rPr>
        <w:rFonts w:cs="Times New Roman"/>
      </w:rPr>
    </w:lvl>
    <w:lvl w:ilvl="2" w:tplc="0C09001B" w:tentative="1">
      <w:start w:val="1"/>
      <w:numFmt w:val="lowerRoman"/>
      <w:lvlText w:val="%3."/>
      <w:lvlJc w:val="right"/>
      <w:pPr>
        <w:ind w:left="1080" w:hanging="180"/>
      </w:pPr>
      <w:rPr>
        <w:rFonts w:cs="Times New Roman"/>
      </w:rPr>
    </w:lvl>
    <w:lvl w:ilvl="3" w:tplc="0C09000F" w:tentative="1">
      <w:start w:val="1"/>
      <w:numFmt w:val="decimal"/>
      <w:lvlText w:val="%4."/>
      <w:lvlJc w:val="left"/>
      <w:pPr>
        <w:ind w:left="1800" w:hanging="360"/>
      </w:pPr>
      <w:rPr>
        <w:rFonts w:cs="Times New Roman"/>
      </w:rPr>
    </w:lvl>
    <w:lvl w:ilvl="4" w:tplc="0C090019" w:tentative="1">
      <w:start w:val="1"/>
      <w:numFmt w:val="lowerLetter"/>
      <w:lvlText w:val="%5."/>
      <w:lvlJc w:val="left"/>
      <w:pPr>
        <w:ind w:left="2520" w:hanging="360"/>
      </w:pPr>
      <w:rPr>
        <w:rFonts w:cs="Times New Roman"/>
      </w:rPr>
    </w:lvl>
    <w:lvl w:ilvl="5" w:tplc="0C09001B" w:tentative="1">
      <w:start w:val="1"/>
      <w:numFmt w:val="lowerRoman"/>
      <w:lvlText w:val="%6."/>
      <w:lvlJc w:val="right"/>
      <w:pPr>
        <w:ind w:left="3240" w:hanging="180"/>
      </w:pPr>
      <w:rPr>
        <w:rFonts w:cs="Times New Roman"/>
      </w:rPr>
    </w:lvl>
    <w:lvl w:ilvl="6" w:tplc="0C09000F" w:tentative="1">
      <w:start w:val="1"/>
      <w:numFmt w:val="decimal"/>
      <w:lvlText w:val="%7."/>
      <w:lvlJc w:val="left"/>
      <w:pPr>
        <w:ind w:left="3960" w:hanging="360"/>
      </w:pPr>
      <w:rPr>
        <w:rFonts w:cs="Times New Roman"/>
      </w:rPr>
    </w:lvl>
    <w:lvl w:ilvl="7" w:tplc="0C090019" w:tentative="1">
      <w:start w:val="1"/>
      <w:numFmt w:val="lowerLetter"/>
      <w:lvlText w:val="%8."/>
      <w:lvlJc w:val="left"/>
      <w:pPr>
        <w:ind w:left="4680" w:hanging="360"/>
      </w:pPr>
      <w:rPr>
        <w:rFonts w:cs="Times New Roman"/>
      </w:rPr>
    </w:lvl>
    <w:lvl w:ilvl="8" w:tplc="0C09001B" w:tentative="1">
      <w:start w:val="1"/>
      <w:numFmt w:val="lowerRoman"/>
      <w:lvlText w:val="%9."/>
      <w:lvlJc w:val="right"/>
      <w:pPr>
        <w:ind w:left="5400" w:hanging="180"/>
      </w:pPr>
      <w:rPr>
        <w:rFonts w:cs="Times New Roman"/>
      </w:rPr>
    </w:lvl>
  </w:abstractNum>
  <w:abstractNum w:abstractNumId="11">
    <w:nsid w:val="168F28D0"/>
    <w:multiLevelType w:val="multilevel"/>
    <w:tmpl w:val="93FA7D28"/>
    <w:lvl w:ilvl="0">
      <w:start w:val="1"/>
      <w:numFmt w:val="bullet"/>
      <w:pStyle w:val="FCBullets"/>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4320"/>
        </w:tabs>
        <w:ind w:left="4320" w:hanging="720"/>
      </w:pPr>
      <w:rPr>
        <w:rFonts w:hint="default"/>
      </w:rPr>
    </w:lvl>
    <w:lvl w:ilvl="5">
      <w:start w:val="1"/>
      <w:numFmt w:val="none"/>
      <w:lvlText w:val=""/>
      <w:lvlJc w:val="left"/>
      <w:pPr>
        <w:tabs>
          <w:tab w:val="num" w:pos="3600"/>
        </w:tabs>
        <w:ind w:left="3458" w:hanging="941"/>
      </w:pPr>
      <w:rPr>
        <w:rFonts w:hint="default"/>
      </w:rPr>
    </w:lvl>
    <w:lvl w:ilvl="6">
      <w:start w:val="1"/>
      <w:numFmt w:val="none"/>
      <w:lvlText w:val=""/>
      <w:lvlJc w:val="left"/>
      <w:pPr>
        <w:tabs>
          <w:tab w:val="num" w:pos="4320"/>
        </w:tabs>
        <w:ind w:left="3957" w:hanging="1077"/>
      </w:pPr>
      <w:rPr>
        <w:rFonts w:hint="default"/>
      </w:rPr>
    </w:lvl>
    <w:lvl w:ilvl="7">
      <w:start w:val="1"/>
      <w:numFmt w:val="none"/>
      <w:lvlText w:val=""/>
      <w:lvlJc w:val="left"/>
      <w:pPr>
        <w:tabs>
          <w:tab w:val="num" w:pos="4677"/>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238D0753"/>
    <w:multiLevelType w:val="hybridMultilevel"/>
    <w:tmpl w:val="18CC8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AE3DD1"/>
    <w:multiLevelType w:val="singleLevel"/>
    <w:tmpl w:val="73040324"/>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33630A1B"/>
    <w:multiLevelType w:val="multilevel"/>
    <w:tmpl w:val="35E296A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5B970A08"/>
    <w:multiLevelType w:val="multilevel"/>
    <w:tmpl w:val="955C76EC"/>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9"/>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2"/>
  </w:num>
  <w:num w:numId="17">
    <w:abstractNumId w:val="15"/>
  </w:num>
  <w:num w:numId="18">
    <w:abstractNumId w:val="15"/>
  </w:num>
  <w:num w:numId="19">
    <w:abstractNumId w:val="21"/>
  </w:num>
  <w:num w:numId="20">
    <w:abstractNumId w:val="17"/>
  </w:num>
  <w:num w:numId="21">
    <w:abstractNumId w:val="18"/>
  </w:num>
  <w:num w:numId="22">
    <w:abstractNumId w:val="23"/>
  </w:num>
  <w:num w:numId="23">
    <w:abstractNumId w:val="23"/>
  </w:num>
  <w:num w:numId="24">
    <w:abstractNumId w:val="23"/>
  </w:num>
  <w:num w:numId="25">
    <w:abstractNumId w:val="23"/>
  </w:num>
  <w:num w:numId="26">
    <w:abstractNumId w:val="23"/>
  </w:num>
  <w:num w:numId="27">
    <w:abstractNumId w:val="10"/>
  </w:num>
  <w:num w:numId="28">
    <w:abstractNumId w:val="20"/>
  </w:num>
  <w:num w:numId="2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FB3"/>
    <w:rsid w:val="000179FE"/>
    <w:rsid w:val="001755DD"/>
    <w:rsid w:val="0029640F"/>
    <w:rsid w:val="002C23CC"/>
    <w:rsid w:val="002F41CA"/>
    <w:rsid w:val="0030089B"/>
    <w:rsid w:val="0034036C"/>
    <w:rsid w:val="003E350B"/>
    <w:rsid w:val="00405543"/>
    <w:rsid w:val="0049592B"/>
    <w:rsid w:val="0050152C"/>
    <w:rsid w:val="005136B0"/>
    <w:rsid w:val="00585763"/>
    <w:rsid w:val="006069FB"/>
    <w:rsid w:val="00614EEB"/>
    <w:rsid w:val="0069406D"/>
    <w:rsid w:val="006D052D"/>
    <w:rsid w:val="006E50E8"/>
    <w:rsid w:val="00710D2B"/>
    <w:rsid w:val="0073732D"/>
    <w:rsid w:val="00781090"/>
    <w:rsid w:val="007E1FB3"/>
    <w:rsid w:val="007E3A56"/>
    <w:rsid w:val="007F289D"/>
    <w:rsid w:val="00842079"/>
    <w:rsid w:val="0085796D"/>
    <w:rsid w:val="008618FF"/>
    <w:rsid w:val="009C5364"/>
    <w:rsid w:val="00A36611"/>
    <w:rsid w:val="00AC2BBC"/>
    <w:rsid w:val="00BF0A73"/>
    <w:rsid w:val="00BF60C9"/>
    <w:rsid w:val="00CD34DD"/>
    <w:rsid w:val="00D900BA"/>
    <w:rsid w:val="00E45B41"/>
    <w:rsid w:val="00E73826"/>
    <w:rsid w:val="00EB05C5"/>
    <w:rsid w:val="00F13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link w:val="Heading1Char"/>
    <w:uiPriority w:val="99"/>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uiPriority w:val="99"/>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pPr>
      <w:numPr>
        <w:numId w:val="1"/>
      </w:numPr>
      <w:spacing w:before="180" w:after="180"/>
    </w:pPr>
  </w:style>
  <w:style w:type="paragraph" w:customStyle="1" w:styleId="Quote1">
    <w:name w:val="Quote1"/>
    <w:uiPriority w:val="99"/>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uiPriority w:val="99"/>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character" w:customStyle="1" w:styleId="Heading1Char">
    <w:name w:val="Heading 1 Char"/>
    <w:link w:val="Heading1"/>
    <w:uiPriority w:val="99"/>
    <w:locked/>
    <w:rsid w:val="00614EEB"/>
    <w:rPr>
      <w:b/>
      <w:caps/>
      <w:kern w:val="28"/>
      <w:sz w:val="24"/>
      <w:lang w:eastAsia="en-US"/>
    </w:rPr>
  </w:style>
  <w:style w:type="character" w:customStyle="1" w:styleId="Heading2Char">
    <w:name w:val="Heading 2 Char"/>
    <w:link w:val="Heading2"/>
    <w:uiPriority w:val="99"/>
    <w:locked/>
    <w:rsid w:val="00614EEB"/>
    <w:rPr>
      <w:b/>
      <w:sz w:val="24"/>
      <w:szCs w:val="24"/>
      <w:lang w:eastAsia="en-US"/>
    </w:rPr>
  </w:style>
  <w:style w:type="character" w:customStyle="1" w:styleId="Heading4Char">
    <w:name w:val="Heading 4 Char"/>
    <w:link w:val="Heading4"/>
    <w:uiPriority w:val="99"/>
    <w:locked/>
    <w:rsid w:val="00614EEB"/>
    <w:rPr>
      <w:b/>
      <w:smallCaps/>
      <w:sz w:val="24"/>
      <w:szCs w:val="24"/>
      <w:lang w:eastAsia="en-US"/>
    </w:rPr>
  </w:style>
  <w:style w:type="character" w:customStyle="1" w:styleId="CommentTextChar">
    <w:name w:val="Comment Text Char"/>
    <w:link w:val="CommentText"/>
    <w:uiPriority w:val="99"/>
    <w:semiHidden/>
    <w:locked/>
    <w:rsid w:val="00614EE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9</Pages>
  <Words>2775</Words>
  <Characters>13797</Characters>
  <Application>Microsoft Office Word</Application>
  <DocSecurity>4</DocSecurity>
  <PresentationFormat/>
  <Lines>344</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2014-08-22T02:17:00Z</cp:lastPrinted>
  <dcterms:created xsi:type="dcterms:W3CDTF">2014-08-27T06:36:00Z</dcterms:created>
  <dcterms:modified xsi:type="dcterms:W3CDTF">2014-08-27T06:36:00Z</dcterms:modified>
  <dc:language/>
  <cp:version/>
</cp:coreProperties>
</file>