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CA23A0">
      <w:pPr>
        <w:pStyle w:val="NormalHeadings"/>
        <w:jc w:val="center"/>
        <w:rPr>
          <w:sz w:val="32"/>
        </w:rPr>
      </w:pPr>
      <w:r>
        <w:rPr>
          <w:sz w:val="32"/>
        </w:rPr>
        <w:t xml:space="preserve">AUSTRALIAN </w:t>
      </w:r>
      <w:r w:rsidR="00BE062F">
        <w:rPr>
          <w:sz w:val="32"/>
        </w:rPr>
        <w:t>COMPETITION TRIBUNAL</w:t>
      </w:r>
    </w:p>
    <w:p w:rsidR="00395B24" w:rsidRDefault="00395B24">
      <w:pPr>
        <w:pStyle w:val="NormalHeadings"/>
        <w:jc w:val="center"/>
        <w:rPr>
          <w:sz w:val="32"/>
        </w:rPr>
      </w:pPr>
    </w:p>
    <w:p w:rsidR="00395B24" w:rsidRDefault="00D67286">
      <w:pPr>
        <w:pStyle w:val="MediaNeutralStyle"/>
      </w:pPr>
      <w:bookmarkStart w:id="0" w:name="MNC"/>
      <w:r>
        <w:t xml:space="preserve">Application by </w:t>
      </w:r>
      <w:proofErr w:type="spellStart"/>
      <w:r>
        <w:t>ATCO</w:t>
      </w:r>
      <w:proofErr w:type="spellEnd"/>
      <w:r>
        <w:t xml:space="preserve"> Gas Australia</w:t>
      </w:r>
      <w:r w:rsidR="00926F64">
        <w:t xml:space="preserve"> Pty</w:t>
      </w:r>
      <w:r>
        <w:t xml:space="preserve"> Ltd [2015] </w:t>
      </w:r>
      <w:proofErr w:type="spellStart"/>
      <w:r>
        <w:t>ACompT</w:t>
      </w:r>
      <w:proofErr w:type="spellEnd"/>
      <w:r>
        <w:t xml:space="preserve"> </w:t>
      </w:r>
      <w:r w:rsidR="001D449D">
        <w:t>7</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CA23A0">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D67286" w:rsidP="001D449D">
            <w:pPr>
              <w:pStyle w:val="Normal1linespace"/>
              <w:widowControl w:val="0"/>
              <w:jc w:val="left"/>
            </w:pPr>
            <w:r>
              <w:t xml:space="preserve">Application by </w:t>
            </w:r>
            <w:proofErr w:type="spellStart"/>
            <w:r>
              <w:t>ATCO</w:t>
            </w:r>
            <w:proofErr w:type="spellEnd"/>
            <w:r>
              <w:t xml:space="preserve"> Gas Australia</w:t>
            </w:r>
            <w:r w:rsidR="00746FE6">
              <w:t xml:space="preserve"> Pty</w:t>
            </w:r>
            <w:r>
              <w:t xml:space="preserve"> Ltd [2015] </w:t>
            </w:r>
            <w:proofErr w:type="spellStart"/>
            <w:r>
              <w:t>ACompT</w:t>
            </w:r>
            <w:proofErr w:type="spellEnd"/>
            <w:r>
              <w:t xml:space="preserve"> </w:t>
            </w:r>
            <w:r w:rsidR="001D449D">
              <w:t>7</w:t>
            </w:r>
          </w:p>
        </w:tc>
      </w:tr>
      <w:tr w:rsidR="00395B24" w:rsidTr="00CA23A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CA23A0">
        <w:tc>
          <w:tcPr>
            <w:tcW w:w="3085" w:type="dxa"/>
            <w:shd w:val="clear" w:color="auto" w:fill="auto"/>
          </w:tcPr>
          <w:p w:rsidR="00395B24" w:rsidRDefault="00BE062F">
            <w:pPr>
              <w:pStyle w:val="Normal1linespace"/>
              <w:widowControl w:val="0"/>
            </w:pPr>
            <w:r w:rsidRPr="0016479C">
              <w:t xml:space="preserve">Review </w:t>
            </w:r>
            <w:r w:rsidR="002C7385" w:rsidRPr="0016479C">
              <w:t>from:</w:t>
            </w:r>
          </w:p>
        </w:tc>
        <w:tc>
          <w:tcPr>
            <w:tcW w:w="5989" w:type="dxa"/>
            <w:shd w:val="clear" w:color="auto" w:fill="auto"/>
          </w:tcPr>
          <w:p w:rsidR="00395B24" w:rsidRDefault="00D67286">
            <w:pPr>
              <w:pStyle w:val="Normal1linespace"/>
              <w:widowControl w:val="0"/>
              <w:jc w:val="left"/>
            </w:pPr>
            <w:r>
              <w:t>Economic Regulation Authority</w:t>
            </w:r>
          </w:p>
        </w:tc>
      </w:tr>
      <w:tr w:rsidR="00395B24" w:rsidTr="00CA23A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CA23A0">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CA23A0" w:rsidRDefault="00CA23A0" w:rsidP="00CA23A0">
            <w:pPr>
              <w:pStyle w:val="Normal1linespace"/>
              <w:widowControl w:val="0"/>
              <w:jc w:val="left"/>
              <w:rPr>
                <w:b/>
              </w:rPr>
            </w:pPr>
            <w:bookmarkStart w:id="1" w:name="JudgmentFP"/>
            <w:proofErr w:type="spellStart"/>
            <w:r>
              <w:rPr>
                <w:b/>
              </w:rPr>
              <w:t>ATCO</w:t>
            </w:r>
            <w:proofErr w:type="spellEnd"/>
            <w:r>
              <w:rPr>
                <w:b/>
              </w:rPr>
              <w:t xml:space="preserve"> GAS AUSTRALIA PTY LTD </w:t>
            </w:r>
          </w:p>
          <w:p w:rsidR="00395B24" w:rsidRDefault="00CA23A0" w:rsidP="00CA23A0">
            <w:pPr>
              <w:pStyle w:val="Normal1linespace"/>
              <w:widowControl w:val="0"/>
              <w:jc w:val="left"/>
              <w:rPr>
                <w:b/>
              </w:rPr>
            </w:pPr>
            <w:r>
              <w:rPr>
                <w:b/>
              </w:rPr>
              <w:t>(ABN 90 089 531 975)</w:t>
            </w:r>
            <w:bookmarkEnd w:id="1"/>
          </w:p>
        </w:tc>
      </w:tr>
      <w:tr w:rsidR="00395B24" w:rsidTr="00CA23A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CA23A0">
        <w:tc>
          <w:tcPr>
            <w:tcW w:w="3085" w:type="dxa"/>
            <w:shd w:val="clear" w:color="auto" w:fill="auto"/>
          </w:tcPr>
          <w:p w:rsidR="00395B24" w:rsidRDefault="002C7385" w:rsidP="00BE062F">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CA23A0">
              <w:rPr>
                <w:szCs w:val="24"/>
              </w:rPr>
              <w:t>ACT 10 of 2015</w:t>
            </w:r>
            <w:r>
              <w:rPr>
                <w:szCs w:val="24"/>
              </w:rPr>
              <w:fldChar w:fldCharType="end"/>
            </w:r>
          </w:p>
        </w:tc>
      </w:tr>
      <w:tr w:rsidR="00395B24" w:rsidTr="00CA23A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CA23A0">
        <w:tc>
          <w:tcPr>
            <w:tcW w:w="3085" w:type="dxa"/>
            <w:shd w:val="clear" w:color="auto" w:fill="auto"/>
          </w:tcPr>
          <w:p w:rsidR="00395B24" w:rsidRDefault="00BE062F">
            <w:pPr>
              <w:pStyle w:val="Normal1linespace"/>
              <w:widowControl w:val="0"/>
            </w:pPr>
            <w:r>
              <w:t>Tribunal</w:t>
            </w:r>
            <w:r w:rsidR="002C7385">
              <w:t>:</w:t>
            </w:r>
          </w:p>
        </w:tc>
        <w:tc>
          <w:tcPr>
            <w:tcW w:w="5989" w:type="dxa"/>
            <w:shd w:val="clear" w:color="auto" w:fill="auto"/>
          </w:tcPr>
          <w:p w:rsidR="006B2B4C" w:rsidRDefault="006B2B4C" w:rsidP="002F561B">
            <w:pPr>
              <w:pStyle w:val="Normal1linespace"/>
              <w:widowControl w:val="0"/>
              <w:jc w:val="left"/>
              <w:rPr>
                <w:b/>
              </w:rPr>
            </w:pPr>
            <w:r>
              <w:rPr>
                <w:b/>
              </w:rPr>
              <w:t xml:space="preserve">MIDDLETON J </w:t>
            </w:r>
            <w:r w:rsidR="00D67286">
              <w:rPr>
                <w:b/>
              </w:rPr>
              <w:t>(</w:t>
            </w:r>
            <w:r>
              <w:rPr>
                <w:b/>
              </w:rPr>
              <w:t>DEPUTY PRESIDENT</w:t>
            </w:r>
            <w:r w:rsidR="00D67286">
              <w:rPr>
                <w:b/>
              </w:rPr>
              <w:t>)</w:t>
            </w:r>
          </w:p>
          <w:p w:rsidR="0060770E" w:rsidRDefault="0060770E" w:rsidP="002F561B">
            <w:pPr>
              <w:pStyle w:val="Normal1linespace"/>
              <w:widowControl w:val="0"/>
              <w:jc w:val="left"/>
              <w:rPr>
                <w:b/>
              </w:rPr>
            </w:pPr>
            <w:r>
              <w:rPr>
                <w:b/>
              </w:rPr>
              <w:t xml:space="preserve">MR R </w:t>
            </w:r>
            <w:proofErr w:type="spellStart"/>
            <w:r>
              <w:rPr>
                <w:b/>
              </w:rPr>
              <w:t>STEINWALL</w:t>
            </w:r>
            <w:proofErr w:type="spellEnd"/>
            <w:r>
              <w:rPr>
                <w:b/>
              </w:rPr>
              <w:t xml:space="preserve"> (MEMBER)</w:t>
            </w:r>
          </w:p>
          <w:p w:rsidR="0060770E" w:rsidRDefault="0060770E" w:rsidP="002F561B">
            <w:pPr>
              <w:pStyle w:val="Normal1linespace"/>
              <w:widowControl w:val="0"/>
              <w:jc w:val="left"/>
              <w:rPr>
                <w:b/>
              </w:rPr>
            </w:pPr>
            <w:r>
              <w:rPr>
                <w:b/>
              </w:rPr>
              <w:t xml:space="preserve">PROFESSOR </w:t>
            </w:r>
            <w:proofErr w:type="spellStart"/>
            <w:r>
              <w:rPr>
                <w:b/>
              </w:rPr>
              <w:t>KT</w:t>
            </w:r>
            <w:proofErr w:type="spellEnd"/>
            <w:r>
              <w:rPr>
                <w:b/>
              </w:rPr>
              <w:t xml:space="preserve"> DAVIS (MEMBER)</w:t>
            </w:r>
          </w:p>
        </w:tc>
      </w:tr>
      <w:tr w:rsidR="00395B24" w:rsidTr="00CA23A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CA23A0">
        <w:tc>
          <w:tcPr>
            <w:tcW w:w="3085" w:type="dxa"/>
            <w:shd w:val="clear" w:color="auto" w:fill="auto"/>
          </w:tcPr>
          <w:p w:rsidR="00395B24" w:rsidRDefault="002C7385" w:rsidP="002F58B5">
            <w:pPr>
              <w:pStyle w:val="Normal1linespace"/>
              <w:widowControl w:val="0"/>
            </w:pPr>
            <w:r>
              <w:t xml:space="preserve">Date of </w:t>
            </w:r>
            <w:r w:rsidR="002F58B5">
              <w:t>direction</w:t>
            </w:r>
            <w:r>
              <w:t>:</w:t>
            </w:r>
          </w:p>
        </w:tc>
        <w:tc>
          <w:tcPr>
            <w:tcW w:w="5989" w:type="dxa"/>
            <w:shd w:val="clear" w:color="auto" w:fill="auto"/>
          </w:tcPr>
          <w:p w:rsidR="00395B24" w:rsidRDefault="00CA23A0" w:rsidP="00CA23A0">
            <w:pPr>
              <w:pStyle w:val="Normal1linespace"/>
              <w:widowControl w:val="0"/>
              <w:jc w:val="left"/>
            </w:pPr>
            <w:bookmarkStart w:id="2" w:name="JudgmentDate"/>
            <w:r>
              <w:t>1 December 2015</w:t>
            </w:r>
            <w:bookmarkEnd w:id="2"/>
          </w:p>
        </w:tc>
      </w:tr>
      <w:tr w:rsidR="00395B24" w:rsidTr="00CA23A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CA23A0">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C1066C" w:rsidP="00B60734">
            <w:pPr>
              <w:pStyle w:val="Normal1linespace"/>
              <w:widowControl w:val="0"/>
              <w:jc w:val="left"/>
            </w:pPr>
            <w:bookmarkStart w:id="3" w:name="Catchwords"/>
            <w:r>
              <w:rPr>
                <w:b/>
              </w:rPr>
              <w:t>CONSUMER LAW</w:t>
            </w:r>
            <w:r>
              <w:t xml:space="preserve"> – application for leave to review </w:t>
            </w:r>
            <w:r w:rsidR="00B60734">
              <w:t>decision</w:t>
            </w:r>
            <w:r>
              <w:t xml:space="preserve"> of Economic Regulation Authority – consideration of criteria for leave in s 248 of the </w:t>
            </w:r>
            <w:r>
              <w:rPr>
                <w:i/>
              </w:rPr>
              <w:t>National Gas Law</w:t>
            </w:r>
            <w:r>
              <w:t xml:space="preserve"> – consideration of whether serious issue to be heard and determined – consideration of whether asserted grounds of review, if made out, would, or would be likely to, result in a materially preferable NGO (National Gas Objective) decision</w:t>
            </w:r>
            <w:r w:rsidR="002C7385">
              <w:t xml:space="preserve"> </w:t>
            </w:r>
            <w:bookmarkEnd w:id="3"/>
          </w:p>
        </w:tc>
      </w:tr>
      <w:tr w:rsidR="00395B24" w:rsidTr="00CA23A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CA23A0">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B60734" w:rsidRDefault="00346BA8">
            <w:pPr>
              <w:pStyle w:val="Normal1linespace"/>
              <w:widowControl w:val="0"/>
              <w:jc w:val="left"/>
              <w:rPr>
                <w:i/>
              </w:rPr>
            </w:pPr>
            <w:bookmarkStart w:id="4" w:name="Legislation"/>
            <w:r w:rsidRPr="00B51EE1">
              <w:rPr>
                <w:i/>
              </w:rPr>
              <w:t xml:space="preserve">National Gas Access (WA) Act 2009 </w:t>
            </w:r>
            <w:r w:rsidRPr="00B51EE1">
              <w:t>(WA)</w:t>
            </w:r>
            <w:r w:rsidR="00B60734" w:rsidRPr="006B2B4C">
              <w:rPr>
                <w:i/>
              </w:rPr>
              <w:t xml:space="preserve"> </w:t>
            </w:r>
          </w:p>
          <w:p w:rsidR="00346BA8" w:rsidRDefault="00B60734">
            <w:pPr>
              <w:pStyle w:val="Normal1linespace"/>
              <w:widowControl w:val="0"/>
              <w:jc w:val="left"/>
            </w:pPr>
            <w:r w:rsidRPr="006B2B4C">
              <w:rPr>
                <w:i/>
              </w:rPr>
              <w:t>National Gas</w:t>
            </w:r>
            <w:r>
              <w:rPr>
                <w:i/>
              </w:rPr>
              <w:t xml:space="preserve"> Access (Western Australia)</w:t>
            </w:r>
            <w:r w:rsidRPr="006B2B4C">
              <w:rPr>
                <w:i/>
              </w:rPr>
              <w:t xml:space="preserve"> Law</w:t>
            </w:r>
          </w:p>
          <w:p w:rsidR="00525305" w:rsidRDefault="00346BA8">
            <w:pPr>
              <w:pStyle w:val="Normal1linespace"/>
              <w:widowControl w:val="0"/>
              <w:jc w:val="left"/>
            </w:pPr>
            <w:r w:rsidRPr="00CA656E">
              <w:rPr>
                <w:i/>
              </w:rPr>
              <w:t>National Gas (South Australia) Act 2008</w:t>
            </w:r>
            <w:r>
              <w:t xml:space="preserve"> (SA)</w:t>
            </w:r>
          </w:p>
          <w:p w:rsidR="00395B24" w:rsidRDefault="00525305">
            <w:pPr>
              <w:pStyle w:val="Normal1linespace"/>
              <w:widowControl w:val="0"/>
              <w:jc w:val="left"/>
            </w:pPr>
            <w:r w:rsidRPr="00525305">
              <w:rPr>
                <w:i/>
              </w:rPr>
              <w:t>National Gas Rules</w:t>
            </w:r>
            <w:r w:rsidR="00346BA8">
              <w:t xml:space="preserve"> </w:t>
            </w:r>
            <w:bookmarkEnd w:id="4"/>
          </w:p>
        </w:tc>
      </w:tr>
      <w:tr w:rsidR="00395B24" w:rsidTr="00CA23A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CA23A0">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525305" w:rsidRDefault="00525305" w:rsidP="00525305">
            <w:pPr>
              <w:pStyle w:val="Normal1linespace"/>
              <w:widowControl w:val="0"/>
              <w:jc w:val="left"/>
            </w:pPr>
            <w:bookmarkStart w:id="5" w:name="Cases_Cited"/>
            <w:r>
              <w:rPr>
                <w:i/>
              </w:rPr>
              <w:t xml:space="preserve">Application by </w:t>
            </w:r>
            <w:proofErr w:type="spellStart"/>
            <w:r>
              <w:rPr>
                <w:i/>
              </w:rPr>
              <w:t>ActewAGL</w:t>
            </w:r>
            <w:proofErr w:type="spellEnd"/>
            <w:r>
              <w:rPr>
                <w:i/>
              </w:rPr>
              <w:t xml:space="preserve"> Distribution</w:t>
            </w:r>
            <w:r>
              <w:t xml:space="preserve"> [2015] </w:t>
            </w:r>
            <w:proofErr w:type="spellStart"/>
            <w:r>
              <w:t>ACompT</w:t>
            </w:r>
            <w:proofErr w:type="spellEnd"/>
            <w:r>
              <w:t> 3</w:t>
            </w:r>
          </w:p>
          <w:p w:rsidR="00C1066C" w:rsidRDefault="00C1066C" w:rsidP="00525305">
            <w:pPr>
              <w:pStyle w:val="Normal1linespace"/>
              <w:widowControl w:val="0"/>
              <w:jc w:val="left"/>
            </w:pPr>
            <w:r>
              <w:rPr>
                <w:i/>
              </w:rPr>
              <w:t>Re A</w:t>
            </w:r>
            <w:r w:rsidRPr="00125CFC">
              <w:rPr>
                <w:i/>
              </w:rPr>
              <w:t xml:space="preserve">pplication by </w:t>
            </w:r>
            <w:proofErr w:type="spellStart"/>
            <w:r w:rsidRPr="00125CFC">
              <w:rPr>
                <w:i/>
              </w:rPr>
              <w:t>ElectraNet</w:t>
            </w:r>
            <w:proofErr w:type="spellEnd"/>
            <w:r w:rsidRPr="00125CFC">
              <w:rPr>
                <w:i/>
              </w:rPr>
              <w:t xml:space="preserve"> Pty L</w:t>
            </w:r>
            <w:r w:rsidR="00746FE6">
              <w:rPr>
                <w:i/>
              </w:rPr>
              <w:t>t</w:t>
            </w:r>
            <w:r w:rsidRPr="00125CFC">
              <w:rPr>
                <w:i/>
              </w:rPr>
              <w:t>d</w:t>
            </w:r>
            <w:r>
              <w:t xml:space="preserve"> [2008] </w:t>
            </w:r>
            <w:proofErr w:type="spellStart"/>
            <w:r>
              <w:t>ACompT</w:t>
            </w:r>
            <w:proofErr w:type="spellEnd"/>
            <w:r w:rsidR="0016479C">
              <w:t> </w:t>
            </w:r>
            <w:r>
              <w:t>1</w:t>
            </w:r>
          </w:p>
          <w:p w:rsidR="00525305" w:rsidRDefault="00525305" w:rsidP="00525305">
            <w:pPr>
              <w:pStyle w:val="Normal1linespace"/>
              <w:widowControl w:val="0"/>
              <w:jc w:val="left"/>
            </w:pPr>
            <w:r>
              <w:rPr>
                <w:i/>
              </w:rPr>
              <w:t>Application by Energex Ltd (No 4)</w:t>
            </w:r>
            <w:r>
              <w:t xml:space="preserve"> [2011] </w:t>
            </w:r>
            <w:proofErr w:type="spellStart"/>
            <w:r>
              <w:t>ACompT</w:t>
            </w:r>
            <w:proofErr w:type="spellEnd"/>
            <w:r>
              <w:t xml:space="preserve"> 4</w:t>
            </w:r>
          </w:p>
          <w:p w:rsidR="00395B24" w:rsidRDefault="00525305" w:rsidP="00525305">
            <w:pPr>
              <w:pStyle w:val="Normal1linespace"/>
              <w:widowControl w:val="0"/>
              <w:jc w:val="left"/>
            </w:pPr>
            <w:r>
              <w:rPr>
                <w:i/>
              </w:rPr>
              <w:t xml:space="preserve">Applications by Public Interest Advocacy Centre Ltd, </w:t>
            </w:r>
            <w:proofErr w:type="spellStart"/>
            <w:r>
              <w:rPr>
                <w:i/>
              </w:rPr>
              <w:t>Ausgrid</w:t>
            </w:r>
            <w:proofErr w:type="spellEnd"/>
            <w:r>
              <w:rPr>
                <w:i/>
              </w:rPr>
              <w:t>, Endeavour Energy and Essential Energy</w:t>
            </w:r>
            <w:r>
              <w:t xml:space="preserve"> [2015] </w:t>
            </w:r>
            <w:proofErr w:type="spellStart"/>
            <w:r>
              <w:t>ACompT</w:t>
            </w:r>
            <w:proofErr w:type="spellEnd"/>
            <w:r>
              <w:t xml:space="preserve"> 2 </w:t>
            </w:r>
            <w:bookmarkEnd w:id="5"/>
          </w:p>
        </w:tc>
      </w:tr>
      <w:tr w:rsidR="00CA23A0" w:rsidRPr="00CA23A0" w:rsidTr="00CA23A0">
        <w:tc>
          <w:tcPr>
            <w:tcW w:w="3085" w:type="dxa"/>
            <w:shd w:val="clear" w:color="auto" w:fill="auto"/>
          </w:tcPr>
          <w:p w:rsidR="00CA23A0" w:rsidRPr="00CA23A0" w:rsidRDefault="00CA23A0" w:rsidP="00CA23A0">
            <w:pPr>
              <w:pStyle w:val="Normal1linespace"/>
              <w:jc w:val="left"/>
            </w:pPr>
          </w:p>
        </w:tc>
        <w:tc>
          <w:tcPr>
            <w:tcW w:w="5989" w:type="dxa"/>
            <w:shd w:val="clear" w:color="auto" w:fill="auto"/>
          </w:tcPr>
          <w:p w:rsidR="00CA23A0" w:rsidRPr="00CA23A0" w:rsidRDefault="00CA23A0" w:rsidP="00CA23A0">
            <w:pPr>
              <w:pStyle w:val="Normal1linespace"/>
              <w:jc w:val="left"/>
            </w:pPr>
          </w:p>
        </w:tc>
      </w:tr>
      <w:tr w:rsidR="00CA23A0" w:rsidRPr="00CA23A0" w:rsidTr="00CA23A0">
        <w:tc>
          <w:tcPr>
            <w:tcW w:w="3085" w:type="dxa"/>
            <w:shd w:val="clear" w:color="auto" w:fill="auto"/>
          </w:tcPr>
          <w:p w:rsidR="00CA23A0" w:rsidRPr="00CA23A0" w:rsidRDefault="00CA23A0" w:rsidP="00CA23A0">
            <w:pPr>
              <w:pStyle w:val="Normal1linespace"/>
              <w:jc w:val="left"/>
            </w:pPr>
            <w:bookmarkStart w:id="6" w:name="CounselDate" w:colFirst="0" w:colLast="2"/>
            <w:r w:rsidRPr="00CA23A0">
              <w:t>Date of hearing:</w:t>
            </w:r>
          </w:p>
        </w:tc>
        <w:tc>
          <w:tcPr>
            <w:tcW w:w="5989" w:type="dxa"/>
            <w:shd w:val="clear" w:color="auto" w:fill="auto"/>
          </w:tcPr>
          <w:p w:rsidR="00CA23A0" w:rsidRPr="00CA23A0" w:rsidRDefault="00CA23A0" w:rsidP="00CA23A0">
            <w:pPr>
              <w:pStyle w:val="Normal1linespace"/>
              <w:jc w:val="left"/>
            </w:pPr>
            <w:bookmarkStart w:id="7" w:name="HearingDate"/>
            <w:r w:rsidRPr="00CA23A0">
              <w:t>Heard on the papers</w:t>
            </w:r>
            <w:bookmarkEnd w:id="7"/>
          </w:p>
        </w:tc>
      </w:tr>
      <w:tr w:rsidR="00CA23A0" w:rsidRPr="00CA23A0" w:rsidTr="00CA23A0">
        <w:tc>
          <w:tcPr>
            <w:tcW w:w="3085" w:type="dxa"/>
            <w:shd w:val="clear" w:color="auto" w:fill="auto"/>
          </w:tcPr>
          <w:p w:rsidR="00CA23A0" w:rsidRPr="00CA23A0" w:rsidRDefault="00CA23A0" w:rsidP="00CA23A0">
            <w:pPr>
              <w:pStyle w:val="Normal1linespace"/>
              <w:jc w:val="left"/>
            </w:pPr>
          </w:p>
        </w:tc>
        <w:tc>
          <w:tcPr>
            <w:tcW w:w="5989" w:type="dxa"/>
            <w:shd w:val="clear" w:color="auto" w:fill="auto"/>
          </w:tcPr>
          <w:p w:rsidR="00CA23A0" w:rsidRPr="00CA23A0" w:rsidRDefault="00CA23A0" w:rsidP="00CA23A0">
            <w:pPr>
              <w:pStyle w:val="Normal1linespace"/>
              <w:jc w:val="left"/>
            </w:pPr>
          </w:p>
        </w:tc>
      </w:tr>
      <w:bookmarkEnd w:id="6"/>
      <w:tr w:rsidR="00CA23A0" w:rsidTr="00CA23A0">
        <w:tc>
          <w:tcPr>
            <w:tcW w:w="3085" w:type="dxa"/>
            <w:shd w:val="clear" w:color="auto" w:fill="auto"/>
          </w:tcPr>
          <w:p w:rsidR="00CA23A0" w:rsidRDefault="00CA23A0" w:rsidP="00CA23A0">
            <w:pPr>
              <w:pStyle w:val="Normal1linespace"/>
              <w:widowControl w:val="0"/>
              <w:jc w:val="left"/>
            </w:pPr>
            <w:r>
              <w:t>Place:</w:t>
            </w:r>
          </w:p>
        </w:tc>
        <w:tc>
          <w:tcPr>
            <w:tcW w:w="5989" w:type="dxa"/>
            <w:shd w:val="clear" w:color="auto" w:fill="auto"/>
          </w:tcPr>
          <w:p w:rsidR="00CA23A0" w:rsidRDefault="00746FE6" w:rsidP="00CA23A0">
            <w:pPr>
              <w:pStyle w:val="Normal1linespace"/>
              <w:widowControl w:val="0"/>
              <w:jc w:val="left"/>
            </w:pPr>
            <w:r>
              <w:t>Melbourne</w:t>
            </w:r>
          </w:p>
        </w:tc>
      </w:tr>
      <w:tr w:rsidR="00CA23A0" w:rsidTr="00CA23A0">
        <w:tc>
          <w:tcPr>
            <w:tcW w:w="3085" w:type="dxa"/>
            <w:shd w:val="clear" w:color="auto" w:fill="auto"/>
          </w:tcPr>
          <w:p w:rsidR="00CA23A0" w:rsidRDefault="00CA23A0" w:rsidP="00CA23A0">
            <w:pPr>
              <w:pStyle w:val="Normal1linespace"/>
              <w:widowControl w:val="0"/>
              <w:jc w:val="left"/>
            </w:pPr>
          </w:p>
        </w:tc>
        <w:tc>
          <w:tcPr>
            <w:tcW w:w="5989" w:type="dxa"/>
            <w:shd w:val="clear" w:color="auto" w:fill="auto"/>
          </w:tcPr>
          <w:p w:rsidR="00CA23A0" w:rsidRDefault="00CA23A0" w:rsidP="00CA23A0">
            <w:pPr>
              <w:pStyle w:val="Normal1linespace"/>
              <w:widowControl w:val="0"/>
              <w:jc w:val="left"/>
            </w:pPr>
          </w:p>
        </w:tc>
      </w:tr>
      <w:tr w:rsidR="00CA23A0" w:rsidTr="00CA23A0">
        <w:tc>
          <w:tcPr>
            <w:tcW w:w="3085" w:type="dxa"/>
            <w:shd w:val="clear" w:color="auto" w:fill="auto"/>
          </w:tcPr>
          <w:p w:rsidR="00CA23A0" w:rsidRDefault="00CA23A0" w:rsidP="00CA23A0">
            <w:pPr>
              <w:pStyle w:val="Normal1linespace"/>
              <w:widowControl w:val="0"/>
              <w:jc w:val="left"/>
            </w:pPr>
            <w:r>
              <w:t>Category:</w:t>
            </w:r>
          </w:p>
        </w:tc>
        <w:tc>
          <w:tcPr>
            <w:tcW w:w="5989" w:type="dxa"/>
            <w:shd w:val="clear" w:color="auto" w:fill="auto"/>
          </w:tcPr>
          <w:p w:rsidR="00CA23A0" w:rsidRDefault="00CA23A0" w:rsidP="00CA23A0">
            <w:pPr>
              <w:pStyle w:val="Normal1linespace"/>
              <w:widowControl w:val="0"/>
              <w:jc w:val="left"/>
            </w:pPr>
            <w:r w:rsidRPr="00CA23A0">
              <w:t>Catchwords</w:t>
            </w:r>
          </w:p>
        </w:tc>
      </w:tr>
      <w:tr w:rsidR="00CA23A0" w:rsidTr="00CA23A0">
        <w:tc>
          <w:tcPr>
            <w:tcW w:w="3085" w:type="dxa"/>
            <w:shd w:val="clear" w:color="auto" w:fill="auto"/>
          </w:tcPr>
          <w:p w:rsidR="00CA23A0" w:rsidRDefault="00CA23A0" w:rsidP="00CA23A0">
            <w:pPr>
              <w:pStyle w:val="Normal1linespace"/>
              <w:widowControl w:val="0"/>
              <w:jc w:val="left"/>
            </w:pPr>
          </w:p>
        </w:tc>
        <w:tc>
          <w:tcPr>
            <w:tcW w:w="5989" w:type="dxa"/>
            <w:shd w:val="clear" w:color="auto" w:fill="auto"/>
          </w:tcPr>
          <w:p w:rsidR="00CA23A0" w:rsidRDefault="00CA23A0" w:rsidP="00CA23A0">
            <w:pPr>
              <w:pStyle w:val="Normal1linespace"/>
              <w:widowControl w:val="0"/>
              <w:jc w:val="left"/>
            </w:pPr>
          </w:p>
        </w:tc>
      </w:tr>
      <w:tr w:rsidR="00CA23A0" w:rsidTr="00CA23A0">
        <w:tc>
          <w:tcPr>
            <w:tcW w:w="3085" w:type="dxa"/>
            <w:shd w:val="clear" w:color="auto" w:fill="auto"/>
          </w:tcPr>
          <w:p w:rsidR="00CA23A0" w:rsidRDefault="00CA23A0" w:rsidP="00CA23A0">
            <w:pPr>
              <w:pStyle w:val="Normal1linespace"/>
              <w:widowControl w:val="0"/>
              <w:jc w:val="left"/>
            </w:pPr>
            <w:r>
              <w:t>Number of paragraphs:</w:t>
            </w:r>
          </w:p>
        </w:tc>
        <w:tc>
          <w:tcPr>
            <w:tcW w:w="5989" w:type="dxa"/>
            <w:shd w:val="clear" w:color="auto" w:fill="auto"/>
          </w:tcPr>
          <w:p w:rsidR="00CA23A0" w:rsidRDefault="00CA23A0" w:rsidP="00CA23A0">
            <w:pPr>
              <w:pStyle w:val="Normal1linespace"/>
              <w:widowControl w:val="0"/>
              <w:jc w:val="left"/>
            </w:pPr>
            <w:bookmarkStart w:id="8" w:name="PlaceCategoryParagraphs"/>
            <w:r>
              <w:t>32</w:t>
            </w:r>
            <w:bookmarkEnd w:id="8"/>
          </w:p>
        </w:tc>
      </w:tr>
      <w:tr w:rsidR="00CA23A0" w:rsidTr="00CA23A0">
        <w:tc>
          <w:tcPr>
            <w:tcW w:w="3085" w:type="dxa"/>
            <w:shd w:val="clear" w:color="auto" w:fill="auto"/>
          </w:tcPr>
          <w:p w:rsidR="00CA23A0" w:rsidRDefault="00CA23A0" w:rsidP="00CA23A0">
            <w:pPr>
              <w:pStyle w:val="Normal1linespace"/>
              <w:widowControl w:val="0"/>
              <w:jc w:val="left"/>
            </w:pPr>
          </w:p>
        </w:tc>
        <w:tc>
          <w:tcPr>
            <w:tcW w:w="5989" w:type="dxa"/>
            <w:shd w:val="clear" w:color="auto" w:fill="auto"/>
          </w:tcPr>
          <w:p w:rsidR="00CA23A0" w:rsidRDefault="00CA23A0" w:rsidP="00CA23A0">
            <w:pPr>
              <w:pStyle w:val="Normal1linespace"/>
              <w:widowControl w:val="0"/>
              <w:jc w:val="left"/>
            </w:pPr>
          </w:p>
        </w:tc>
      </w:tr>
      <w:tr w:rsidR="00CA23A0" w:rsidTr="00CA23A0">
        <w:tc>
          <w:tcPr>
            <w:tcW w:w="3085" w:type="dxa"/>
            <w:shd w:val="clear" w:color="auto" w:fill="auto"/>
          </w:tcPr>
          <w:p w:rsidR="00CA23A0" w:rsidRDefault="00D95B24" w:rsidP="00D95B24">
            <w:pPr>
              <w:pStyle w:val="Normal1linespace"/>
              <w:widowControl w:val="0"/>
              <w:jc w:val="left"/>
            </w:pPr>
            <w:bookmarkStart w:id="9" w:name="Counsel" w:colFirst="0" w:colLast="2"/>
            <w:r>
              <w:lastRenderedPageBreak/>
              <w:t xml:space="preserve">Solicitor </w:t>
            </w:r>
            <w:r w:rsidR="00CA23A0">
              <w:t xml:space="preserve">for </w:t>
            </w:r>
            <w:proofErr w:type="spellStart"/>
            <w:r>
              <w:t>ATCO</w:t>
            </w:r>
            <w:proofErr w:type="spellEnd"/>
            <w:r>
              <w:t xml:space="preserve"> Gas Australia Pty Ltd</w:t>
            </w:r>
            <w:r w:rsidR="00CA23A0">
              <w:t>:</w:t>
            </w:r>
          </w:p>
        </w:tc>
        <w:tc>
          <w:tcPr>
            <w:tcW w:w="5989" w:type="dxa"/>
            <w:shd w:val="clear" w:color="auto" w:fill="auto"/>
          </w:tcPr>
          <w:p w:rsidR="00CA23A0" w:rsidRDefault="00D95B24" w:rsidP="00746FE6">
            <w:pPr>
              <w:pStyle w:val="Normal1linespace"/>
              <w:widowControl w:val="0"/>
              <w:jc w:val="left"/>
            </w:pPr>
            <w:bookmarkStart w:id="10" w:name="AppCounsel"/>
            <w:bookmarkEnd w:id="10"/>
            <w:r>
              <w:t xml:space="preserve">Johnson Winter </w:t>
            </w:r>
            <w:r w:rsidR="00746FE6">
              <w:t>&amp;</w:t>
            </w:r>
            <w:r>
              <w:t xml:space="preserve"> Slattery</w:t>
            </w:r>
          </w:p>
        </w:tc>
      </w:tr>
      <w:tr w:rsidR="00CA23A0" w:rsidTr="00CA23A0">
        <w:tc>
          <w:tcPr>
            <w:tcW w:w="3085" w:type="dxa"/>
            <w:shd w:val="clear" w:color="auto" w:fill="auto"/>
          </w:tcPr>
          <w:p w:rsidR="00CA23A0" w:rsidRDefault="00CA23A0" w:rsidP="00CA23A0">
            <w:pPr>
              <w:pStyle w:val="Normal1linespace"/>
              <w:widowControl w:val="0"/>
              <w:jc w:val="left"/>
            </w:pPr>
          </w:p>
        </w:tc>
        <w:tc>
          <w:tcPr>
            <w:tcW w:w="5989" w:type="dxa"/>
            <w:shd w:val="clear" w:color="auto" w:fill="auto"/>
          </w:tcPr>
          <w:p w:rsidR="00CA23A0" w:rsidRDefault="00CA23A0" w:rsidP="00CA23A0">
            <w:pPr>
              <w:pStyle w:val="Normal1linespace"/>
              <w:widowControl w:val="0"/>
              <w:jc w:val="left"/>
            </w:pPr>
          </w:p>
        </w:tc>
      </w:tr>
      <w:tr w:rsidR="00CA23A0" w:rsidTr="00CA23A0">
        <w:tc>
          <w:tcPr>
            <w:tcW w:w="3085" w:type="dxa"/>
            <w:shd w:val="clear" w:color="auto" w:fill="auto"/>
          </w:tcPr>
          <w:p w:rsidR="00CA23A0" w:rsidRDefault="00CA23A0" w:rsidP="00D95B24">
            <w:pPr>
              <w:pStyle w:val="Normal1linespace"/>
              <w:widowControl w:val="0"/>
              <w:jc w:val="left"/>
            </w:pPr>
            <w:r>
              <w:t xml:space="preserve">Solicitor for </w:t>
            </w:r>
            <w:r w:rsidR="00D95B24">
              <w:t>the Economic Regulation Authority</w:t>
            </w:r>
            <w:r>
              <w:t>:</w:t>
            </w:r>
          </w:p>
        </w:tc>
        <w:tc>
          <w:tcPr>
            <w:tcW w:w="5989" w:type="dxa"/>
            <w:shd w:val="clear" w:color="auto" w:fill="auto"/>
          </w:tcPr>
          <w:p w:rsidR="00CA23A0" w:rsidRDefault="00D95B24" w:rsidP="00CA23A0">
            <w:pPr>
              <w:pStyle w:val="Normal1linespace"/>
              <w:widowControl w:val="0"/>
              <w:jc w:val="left"/>
            </w:pPr>
            <w:r>
              <w:t xml:space="preserve">Holman Fenwick </w:t>
            </w:r>
            <w:proofErr w:type="spellStart"/>
            <w:r w:rsidR="00746FE6">
              <w:t>Willan</w:t>
            </w:r>
            <w:proofErr w:type="spellEnd"/>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6B2B4C">
            <w:pPr>
              <w:pStyle w:val="NormalHeadings"/>
              <w:spacing w:after="120"/>
              <w:jc w:val="left"/>
              <w:rPr>
                <w:caps/>
                <w:szCs w:val="24"/>
              </w:rPr>
            </w:pPr>
            <w:r>
              <w:rPr>
                <w:caps/>
                <w:szCs w:val="24"/>
              </w:rPr>
              <w:lastRenderedPageBreak/>
              <w:t>AUSTRALIAN COMPETITION TRIBUNAL</w:t>
            </w:r>
          </w:p>
        </w:tc>
        <w:tc>
          <w:tcPr>
            <w:tcW w:w="2471" w:type="dxa"/>
          </w:tcPr>
          <w:p w:rsidR="00395B24" w:rsidRDefault="00395B24">
            <w:pPr>
              <w:pStyle w:val="NormalHeadings"/>
              <w:jc w:val="left"/>
              <w:rPr>
                <w:caps/>
                <w:szCs w:val="24"/>
              </w:rPr>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CA23A0">
            <w:pPr>
              <w:pStyle w:val="NormalHeadings"/>
              <w:tabs>
                <w:tab w:val="right" w:pos="3609"/>
              </w:tabs>
              <w:jc w:val="right"/>
              <w:rPr>
                <w:szCs w:val="24"/>
              </w:rPr>
            </w:pPr>
            <w:bookmarkStart w:id="11" w:name="Num"/>
            <w:r>
              <w:rPr>
                <w:szCs w:val="24"/>
              </w:rPr>
              <w:t>ACT 10 of 2015</w:t>
            </w:r>
            <w:bookmarkEnd w:id="11"/>
          </w:p>
        </w:tc>
      </w:tr>
    </w:tbl>
    <w:p w:rsidR="00395B24" w:rsidRPr="00CA23A0" w:rsidRDefault="002C7385">
      <w:pPr>
        <w:pStyle w:val="AppealTable"/>
        <w:rPr>
          <w:sz w:val="24"/>
        </w:rPr>
      </w:pPr>
      <w:bookmarkStart w:id="12" w:name="AppealTable"/>
      <w:r w:rsidRPr="00CA23A0">
        <w:rPr>
          <w:sz w:val="24"/>
        </w:rPr>
        <w:t xml:space="preserve"> </w:t>
      </w:r>
      <w:bookmarkEnd w:id="12"/>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D67286">
            <w:pPr>
              <w:pStyle w:val="NormalHeadings"/>
              <w:jc w:val="left"/>
              <w:rPr>
                <w:caps/>
                <w:szCs w:val="24"/>
              </w:rPr>
            </w:pPr>
            <w:bookmarkStart w:id="13" w:name="Parties"/>
            <w:r>
              <w:rPr>
                <w:caps/>
                <w:szCs w:val="24"/>
              </w:rPr>
              <w:t>RE</w:t>
            </w:r>
            <w:r w:rsidR="002C7385">
              <w:rPr>
                <w:caps/>
                <w:szCs w:val="24"/>
              </w:rPr>
              <w:t>:</w:t>
            </w:r>
          </w:p>
        </w:tc>
        <w:tc>
          <w:tcPr>
            <w:tcW w:w="6866" w:type="dxa"/>
          </w:tcPr>
          <w:p w:rsidR="00395B24" w:rsidRDefault="00CA23A0" w:rsidP="002F561B">
            <w:pPr>
              <w:pStyle w:val="NormalHeadings"/>
              <w:jc w:val="left"/>
              <w:rPr>
                <w:szCs w:val="24"/>
              </w:rPr>
            </w:pPr>
            <w:bookmarkStart w:id="14" w:name="Applicant"/>
            <w:r w:rsidRPr="00D67286">
              <w:rPr>
                <w:szCs w:val="24"/>
              </w:rPr>
              <w:t>APPLICATION UNDER SECTION 245 OF THE NATIONAL GAS LAW FOR A REVIEW OF A FULL ACCESS ARRANGEMENT DECISION MADE BY THE ECONOMIC REGULAT</w:t>
            </w:r>
            <w:r>
              <w:rPr>
                <w:szCs w:val="24"/>
              </w:rPr>
              <w:t>I</w:t>
            </w:r>
            <w:r w:rsidRPr="00D67286">
              <w:rPr>
                <w:szCs w:val="24"/>
              </w:rPr>
              <w:t>O</w:t>
            </w:r>
            <w:r>
              <w:rPr>
                <w:szCs w:val="24"/>
              </w:rPr>
              <w:t>N</w:t>
            </w:r>
            <w:r w:rsidRPr="00D67286">
              <w:rPr>
                <w:szCs w:val="24"/>
              </w:rPr>
              <w:t xml:space="preserve"> AUTHORITY IN RELATION TO </w:t>
            </w:r>
            <w:proofErr w:type="spellStart"/>
            <w:r w:rsidRPr="00D67286">
              <w:rPr>
                <w:szCs w:val="24"/>
              </w:rPr>
              <w:t>ATCO</w:t>
            </w:r>
            <w:proofErr w:type="spellEnd"/>
            <w:r w:rsidRPr="00D67286">
              <w:rPr>
                <w:szCs w:val="24"/>
              </w:rPr>
              <w:t xml:space="preserve"> GAS AUSTRALIA PTY LTD PURSUANT TO RULE 64 OF THE NATIONAL GAS RULES</w:t>
            </w:r>
            <w:bookmarkEnd w:id="14"/>
          </w:p>
          <w:p w:rsidR="002F561B" w:rsidRDefault="002F561B" w:rsidP="002F561B">
            <w:pPr>
              <w:pStyle w:val="NormalHeadings"/>
              <w:jc w:val="left"/>
              <w:rPr>
                <w:szCs w:val="24"/>
              </w:rPr>
            </w:pPr>
          </w:p>
        </w:tc>
      </w:tr>
      <w:tr w:rsidR="00395B24">
        <w:trPr>
          <w:trHeight w:val="386"/>
        </w:trPr>
        <w:tc>
          <w:tcPr>
            <w:tcW w:w="2376" w:type="dxa"/>
          </w:tcPr>
          <w:p w:rsidR="00395B24" w:rsidRDefault="002F561B">
            <w:pPr>
              <w:pStyle w:val="NormalHeadings"/>
              <w:jc w:val="left"/>
              <w:rPr>
                <w:caps/>
                <w:szCs w:val="24"/>
              </w:rPr>
            </w:pPr>
            <w:r>
              <w:rPr>
                <w:caps/>
                <w:szCs w:val="24"/>
              </w:rPr>
              <w:t>BY</w:t>
            </w:r>
            <w:r w:rsidR="002C7385">
              <w:rPr>
                <w:caps/>
                <w:szCs w:val="24"/>
              </w:rPr>
              <w:t>:</w:t>
            </w:r>
          </w:p>
        </w:tc>
        <w:tc>
          <w:tcPr>
            <w:tcW w:w="6866" w:type="dxa"/>
          </w:tcPr>
          <w:p w:rsidR="00CA23A0" w:rsidRDefault="00CA23A0">
            <w:pPr>
              <w:pStyle w:val="NormalHeadings"/>
              <w:jc w:val="left"/>
              <w:rPr>
                <w:szCs w:val="24"/>
              </w:rPr>
            </w:pPr>
            <w:bookmarkStart w:id="15" w:name="Respondent"/>
            <w:proofErr w:type="spellStart"/>
            <w:r>
              <w:rPr>
                <w:szCs w:val="24"/>
              </w:rPr>
              <w:t>ATCO</w:t>
            </w:r>
            <w:proofErr w:type="spellEnd"/>
            <w:r>
              <w:rPr>
                <w:szCs w:val="24"/>
              </w:rPr>
              <w:t xml:space="preserve"> GAS AUSTRALIA PTY LTD (ABN 90 089 531 975)</w:t>
            </w:r>
          </w:p>
          <w:p w:rsidR="002F561B" w:rsidRDefault="00CA23A0">
            <w:pPr>
              <w:pStyle w:val="NormalHeadings"/>
              <w:jc w:val="left"/>
              <w:rPr>
                <w:szCs w:val="24"/>
              </w:rPr>
            </w:pPr>
            <w:r>
              <w:rPr>
                <w:szCs w:val="24"/>
              </w:rPr>
              <w:t>Applicant</w:t>
            </w:r>
            <w:bookmarkEnd w:id="15"/>
          </w:p>
        </w:tc>
      </w:tr>
      <w:bookmarkEnd w:id="13"/>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6B2B4C">
            <w:pPr>
              <w:pStyle w:val="NormalHeadings"/>
              <w:spacing w:after="120"/>
              <w:jc w:val="left"/>
              <w:rPr>
                <w:caps/>
                <w:szCs w:val="24"/>
              </w:rPr>
            </w:pPr>
            <w:r>
              <w:rPr>
                <w:caps/>
                <w:szCs w:val="24"/>
              </w:rPr>
              <w:t>TRIBUNAL</w:t>
            </w:r>
            <w:r w:rsidR="002C7385">
              <w:rPr>
                <w:caps/>
                <w:szCs w:val="24"/>
              </w:rPr>
              <w:t>:</w:t>
            </w:r>
          </w:p>
        </w:tc>
        <w:tc>
          <w:tcPr>
            <w:tcW w:w="6866" w:type="dxa"/>
          </w:tcPr>
          <w:p w:rsidR="002F561B" w:rsidRPr="00F83844" w:rsidRDefault="006B2B4C">
            <w:pPr>
              <w:pStyle w:val="NormalHeadings"/>
              <w:jc w:val="left"/>
            </w:pPr>
            <w:r w:rsidRPr="00F83844">
              <w:rPr>
                <w:caps/>
                <w:szCs w:val="24"/>
              </w:rPr>
              <w:t>MIDDLETON J</w:t>
            </w:r>
            <w:r w:rsidR="002F561B" w:rsidRPr="00F83844">
              <w:rPr>
                <w:caps/>
                <w:szCs w:val="24"/>
              </w:rPr>
              <w:t xml:space="preserve"> </w:t>
            </w:r>
            <w:r w:rsidR="002F561B" w:rsidRPr="00F83844">
              <w:t>(DEPUTY PRESIDENT)</w:t>
            </w:r>
          </w:p>
          <w:p w:rsidR="002F561B" w:rsidRPr="00F83844" w:rsidRDefault="002F561B">
            <w:pPr>
              <w:pStyle w:val="NormalHeadings"/>
              <w:jc w:val="left"/>
            </w:pPr>
            <w:r w:rsidRPr="00F83844">
              <w:t>MR R STEINWALL (MEMBER)</w:t>
            </w:r>
          </w:p>
          <w:p w:rsidR="00395B24" w:rsidRPr="00F83844" w:rsidRDefault="002F561B">
            <w:pPr>
              <w:pStyle w:val="NormalHeadings"/>
              <w:jc w:val="left"/>
              <w:rPr>
                <w:caps/>
                <w:szCs w:val="24"/>
              </w:rPr>
            </w:pPr>
            <w:r w:rsidRPr="00F83844">
              <w:t xml:space="preserve">PROFESSOR </w:t>
            </w:r>
            <w:proofErr w:type="spellStart"/>
            <w:r w:rsidRPr="00F83844">
              <w:t>KT</w:t>
            </w:r>
            <w:proofErr w:type="spellEnd"/>
            <w:r w:rsidRPr="00F83844">
              <w:t xml:space="preserve"> DAVIS (MEMBER)</w:t>
            </w:r>
          </w:p>
        </w:tc>
      </w:tr>
      <w:tr w:rsidR="002F561B">
        <w:tc>
          <w:tcPr>
            <w:tcW w:w="2376" w:type="dxa"/>
          </w:tcPr>
          <w:p w:rsidR="002F561B" w:rsidRDefault="002F561B">
            <w:pPr>
              <w:pStyle w:val="NormalHeadings"/>
              <w:spacing w:after="120"/>
              <w:jc w:val="left"/>
              <w:rPr>
                <w:caps/>
                <w:szCs w:val="24"/>
              </w:rPr>
            </w:pPr>
          </w:p>
        </w:tc>
        <w:tc>
          <w:tcPr>
            <w:tcW w:w="6866" w:type="dxa"/>
          </w:tcPr>
          <w:p w:rsidR="002F561B" w:rsidRPr="00F83844" w:rsidRDefault="002F561B">
            <w:pPr>
              <w:pStyle w:val="NormalHeadings"/>
              <w:jc w:val="left"/>
              <w:rPr>
                <w:caps/>
                <w:szCs w:val="24"/>
              </w:rPr>
            </w:pPr>
          </w:p>
        </w:tc>
      </w:tr>
      <w:tr w:rsidR="00395B24">
        <w:tc>
          <w:tcPr>
            <w:tcW w:w="2376" w:type="dxa"/>
          </w:tcPr>
          <w:p w:rsidR="00395B24" w:rsidRDefault="002C7385" w:rsidP="00F83844">
            <w:pPr>
              <w:pStyle w:val="NormalHeadings"/>
              <w:spacing w:after="120"/>
              <w:jc w:val="left"/>
              <w:rPr>
                <w:caps/>
                <w:szCs w:val="24"/>
              </w:rPr>
            </w:pPr>
            <w:r>
              <w:rPr>
                <w:caps/>
                <w:szCs w:val="24"/>
              </w:rPr>
              <w:t xml:space="preserve">DATE OF </w:t>
            </w:r>
            <w:r w:rsidR="00F83844">
              <w:rPr>
                <w:caps/>
                <w:szCs w:val="24"/>
              </w:rPr>
              <w:t>DIRECTION</w:t>
            </w:r>
            <w:r>
              <w:rPr>
                <w:caps/>
                <w:szCs w:val="24"/>
              </w:rPr>
              <w:t>:</w:t>
            </w:r>
          </w:p>
        </w:tc>
        <w:tc>
          <w:tcPr>
            <w:tcW w:w="6866" w:type="dxa"/>
          </w:tcPr>
          <w:p w:rsidR="00395B24" w:rsidRDefault="00CA23A0" w:rsidP="00CA23A0">
            <w:pPr>
              <w:pStyle w:val="NormalHeadings"/>
              <w:jc w:val="left"/>
              <w:rPr>
                <w:caps/>
                <w:szCs w:val="24"/>
              </w:rPr>
            </w:pPr>
            <w:bookmarkStart w:id="16" w:name="Judgment_Dated"/>
            <w:r>
              <w:rPr>
                <w:caps/>
                <w:szCs w:val="24"/>
              </w:rPr>
              <w:t>1 DECEMBER 2015</w:t>
            </w:r>
            <w:bookmarkEnd w:id="16"/>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CA23A0" w:rsidP="00F83844">
            <w:pPr>
              <w:pStyle w:val="NormalHeadings"/>
              <w:jc w:val="left"/>
              <w:rPr>
                <w:caps/>
                <w:szCs w:val="24"/>
              </w:rPr>
            </w:pPr>
            <w:bookmarkStart w:id="17" w:name="Place"/>
            <w:r>
              <w:rPr>
                <w:caps/>
                <w:szCs w:val="24"/>
              </w:rPr>
              <w:t>PERTH</w:t>
            </w:r>
            <w:bookmarkEnd w:id="17"/>
          </w:p>
        </w:tc>
      </w:tr>
    </w:tbl>
    <w:p w:rsidR="00395B24" w:rsidRDefault="00395B24">
      <w:pPr>
        <w:pStyle w:val="NormalHeadings"/>
        <w:rPr>
          <w:b w:val="0"/>
        </w:rPr>
      </w:pPr>
    </w:p>
    <w:p w:rsidR="00395B24" w:rsidRDefault="002C7385">
      <w:pPr>
        <w:pStyle w:val="NormalHeadings"/>
      </w:pPr>
      <w:r>
        <w:t xml:space="preserve">THE </w:t>
      </w:r>
      <w:r w:rsidR="006B2B4C">
        <w:t>TRIBUNAL</w:t>
      </w:r>
      <w:r w:rsidR="00F83844">
        <w:t xml:space="preserve"> GIVES LEAVE TO</w:t>
      </w:r>
      <w:r>
        <w:t>:</w:t>
      </w:r>
    </w:p>
    <w:p w:rsidR="00395B24" w:rsidRDefault="00395B24">
      <w:pPr>
        <w:pStyle w:val="NormalHeadings"/>
      </w:pPr>
    </w:p>
    <w:p w:rsidR="00395B24" w:rsidRDefault="00F83844" w:rsidP="00274F5B">
      <w:pPr>
        <w:pStyle w:val="Order1"/>
      </w:pPr>
      <w:bookmarkStart w:id="18" w:name="Order_Start_Text"/>
      <w:bookmarkEnd w:id="18"/>
      <w:proofErr w:type="spellStart"/>
      <w:r>
        <w:t>ATCO</w:t>
      </w:r>
      <w:proofErr w:type="spellEnd"/>
      <w:r>
        <w:t xml:space="preserve"> Gas Australia Pty Ltd to apply for </w:t>
      </w:r>
      <w:r w:rsidR="00746FE6">
        <w:t xml:space="preserve">a merits </w:t>
      </w:r>
      <w:r>
        <w:t xml:space="preserve">review of the Access Arrangement Decision </w:t>
      </w:r>
      <w:r w:rsidR="00B60734">
        <w:t>by</w:t>
      </w:r>
      <w:r>
        <w:t xml:space="preserve"> the Economic Regulation Authority published on 10 September 2015 in respect of the matters identified in its application and on the grounds it has specified in its application.</w:t>
      </w:r>
    </w:p>
    <w:p w:rsidR="00636871" w:rsidRDefault="00636871" w:rsidP="002B0E91">
      <w:pPr>
        <w:pStyle w:val="BodyText"/>
      </w:pPr>
    </w:p>
    <w:p w:rsidR="00395B24" w:rsidRDefault="00395B24" w:rsidP="002B0E91">
      <w:pPr>
        <w:pStyle w:val="BodyText"/>
      </w:pPr>
    </w:p>
    <w:p w:rsidR="00395B24" w:rsidRDefault="00395B24" w:rsidP="004D53E5">
      <w:pPr>
        <w:pStyle w:val="SingleSpace"/>
      </w:pP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6B2B4C">
            <w:pPr>
              <w:pStyle w:val="NormalHeadings"/>
              <w:spacing w:after="120"/>
              <w:jc w:val="left"/>
              <w:rPr>
                <w:caps/>
                <w:szCs w:val="24"/>
              </w:rPr>
            </w:pPr>
            <w:bookmarkStart w:id="19" w:name="ReasonsPage"/>
            <w:bookmarkEnd w:id="19"/>
            <w:r>
              <w:rPr>
                <w:caps/>
                <w:szCs w:val="24"/>
              </w:rPr>
              <w:lastRenderedPageBreak/>
              <w:t>AUSTRALIAN COMPETITION TRIBUNAL</w:t>
            </w:r>
          </w:p>
        </w:tc>
        <w:tc>
          <w:tcPr>
            <w:tcW w:w="2471" w:type="dxa"/>
          </w:tcPr>
          <w:p w:rsidR="00395B24" w:rsidRDefault="00395B24">
            <w:pPr>
              <w:pStyle w:val="NormalHeadings"/>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CA23A0" w:rsidRPr="00CA23A0">
              <w:rPr>
                <w:caps/>
                <w:szCs w:val="24"/>
              </w:rPr>
              <w:t>ACT</w:t>
            </w:r>
            <w:r w:rsidR="00CA23A0">
              <w:rPr>
                <w:szCs w:val="24"/>
              </w:rPr>
              <w:t xml:space="preserve"> 10 of 2015</w:t>
            </w:r>
            <w:r>
              <w:rPr>
                <w:caps/>
                <w:szCs w:val="24"/>
              </w:rPr>
              <w:fldChar w:fldCharType="end"/>
            </w:r>
          </w:p>
        </w:tc>
      </w:tr>
    </w:tbl>
    <w:p w:rsidR="00395B24" w:rsidRDefault="009C2DDE">
      <w:pPr>
        <w:pStyle w:val="AppealTable"/>
      </w:pPr>
      <w:r>
        <w:fldChar w:fldCharType="begin" w:fldLock="1"/>
      </w:r>
      <w:r>
        <w:instrText xml:space="preserve"> Ref AppealTable  \* MERGEFORMAT </w:instrText>
      </w:r>
      <w:r>
        <w:fldChar w:fldCharType="separate"/>
      </w:r>
      <w:r w:rsidR="00CA23A0" w:rsidRPr="00CA23A0">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2F561B" w:rsidTr="006D1B91">
        <w:trPr>
          <w:trHeight w:val="386"/>
        </w:trPr>
        <w:tc>
          <w:tcPr>
            <w:tcW w:w="2376" w:type="dxa"/>
          </w:tcPr>
          <w:p w:rsidR="002F561B" w:rsidRDefault="002F561B" w:rsidP="006D1B91">
            <w:pPr>
              <w:pStyle w:val="NormalHeadings"/>
              <w:jc w:val="left"/>
              <w:rPr>
                <w:caps/>
                <w:szCs w:val="24"/>
              </w:rPr>
            </w:pPr>
            <w:r>
              <w:rPr>
                <w:caps/>
                <w:szCs w:val="24"/>
              </w:rPr>
              <w:t>RE:</w:t>
            </w:r>
          </w:p>
        </w:tc>
        <w:tc>
          <w:tcPr>
            <w:tcW w:w="6866" w:type="dxa"/>
          </w:tcPr>
          <w:p w:rsidR="002F561B" w:rsidRDefault="002F561B" w:rsidP="006D1B91">
            <w:pPr>
              <w:pStyle w:val="NormalHeadings"/>
              <w:jc w:val="left"/>
              <w:rPr>
                <w:szCs w:val="24"/>
              </w:rPr>
            </w:pPr>
            <w:r w:rsidRPr="00D67286">
              <w:rPr>
                <w:szCs w:val="24"/>
              </w:rPr>
              <w:t>APPLICATION UNDER SECTION 245 OF THE NATIONAL GAS LAW FOR A REVIEW OF A FULL ACCESS ARRANGEMENT DECISION MADE BY THE ECONOMIC REGULAT</w:t>
            </w:r>
            <w:r w:rsidR="00B60734">
              <w:rPr>
                <w:szCs w:val="24"/>
              </w:rPr>
              <w:t>I</w:t>
            </w:r>
            <w:r w:rsidRPr="00D67286">
              <w:rPr>
                <w:szCs w:val="24"/>
              </w:rPr>
              <w:t>O</w:t>
            </w:r>
            <w:r w:rsidR="00B60734">
              <w:rPr>
                <w:szCs w:val="24"/>
              </w:rPr>
              <w:t>N</w:t>
            </w:r>
            <w:r w:rsidRPr="00D67286">
              <w:rPr>
                <w:szCs w:val="24"/>
              </w:rPr>
              <w:t xml:space="preserve"> AUTHORITY IN RELATION TO </w:t>
            </w:r>
            <w:proofErr w:type="spellStart"/>
            <w:r w:rsidRPr="00D67286">
              <w:rPr>
                <w:szCs w:val="24"/>
              </w:rPr>
              <w:t>ATCO</w:t>
            </w:r>
            <w:proofErr w:type="spellEnd"/>
            <w:r w:rsidRPr="00D67286">
              <w:rPr>
                <w:szCs w:val="24"/>
              </w:rPr>
              <w:t xml:space="preserve"> GAS AUSTRALIA PTY LTD PURSUANT TO RULE 64 OF THE NATIONAL GAS RULES</w:t>
            </w:r>
          </w:p>
          <w:p w:rsidR="002F561B" w:rsidRDefault="002F561B" w:rsidP="006D1B91">
            <w:pPr>
              <w:pStyle w:val="NormalHeadings"/>
              <w:jc w:val="left"/>
              <w:rPr>
                <w:szCs w:val="24"/>
              </w:rPr>
            </w:pPr>
          </w:p>
        </w:tc>
      </w:tr>
      <w:tr w:rsidR="002F561B" w:rsidTr="006D1B91">
        <w:trPr>
          <w:trHeight w:val="386"/>
        </w:trPr>
        <w:tc>
          <w:tcPr>
            <w:tcW w:w="2376" w:type="dxa"/>
          </w:tcPr>
          <w:p w:rsidR="002F561B" w:rsidRDefault="002F561B" w:rsidP="006D1B91">
            <w:pPr>
              <w:pStyle w:val="NormalHeadings"/>
              <w:jc w:val="left"/>
              <w:rPr>
                <w:caps/>
                <w:szCs w:val="24"/>
              </w:rPr>
            </w:pPr>
            <w:r>
              <w:rPr>
                <w:caps/>
                <w:szCs w:val="24"/>
              </w:rPr>
              <w:t>BY:</w:t>
            </w:r>
          </w:p>
        </w:tc>
        <w:tc>
          <w:tcPr>
            <w:tcW w:w="6866" w:type="dxa"/>
          </w:tcPr>
          <w:p w:rsidR="002F561B" w:rsidRDefault="002F561B" w:rsidP="006D1B91">
            <w:pPr>
              <w:pStyle w:val="NormalHeadings"/>
              <w:jc w:val="left"/>
              <w:rPr>
                <w:szCs w:val="24"/>
              </w:rPr>
            </w:pPr>
            <w:proofErr w:type="spellStart"/>
            <w:r>
              <w:rPr>
                <w:szCs w:val="24"/>
              </w:rPr>
              <w:t>ATCO</w:t>
            </w:r>
            <w:proofErr w:type="spellEnd"/>
            <w:r>
              <w:rPr>
                <w:szCs w:val="24"/>
              </w:rPr>
              <w:t xml:space="preserve"> GAS AUSTRALIA PTY LTD (ABN 90 089 531 975)</w:t>
            </w:r>
          </w:p>
          <w:p w:rsidR="002F561B" w:rsidRDefault="002F561B" w:rsidP="006D1B91">
            <w:pPr>
              <w:pStyle w:val="NormalHeadings"/>
              <w:jc w:val="left"/>
              <w:rPr>
                <w:szCs w:val="24"/>
              </w:rPr>
            </w:pPr>
            <w:r>
              <w:rPr>
                <w:szCs w:val="24"/>
              </w:rPr>
              <w:t>Applicant</w:t>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6B2B4C">
            <w:pPr>
              <w:pStyle w:val="NormalHeadings"/>
              <w:spacing w:after="120"/>
              <w:jc w:val="left"/>
              <w:rPr>
                <w:caps/>
                <w:szCs w:val="24"/>
              </w:rPr>
            </w:pPr>
            <w:r>
              <w:rPr>
                <w:caps/>
                <w:szCs w:val="24"/>
              </w:rPr>
              <w:t>TRIBUNAL</w:t>
            </w:r>
            <w:r w:rsidR="002C7385">
              <w:rPr>
                <w:caps/>
                <w:szCs w:val="24"/>
              </w:rPr>
              <w:t>:</w:t>
            </w:r>
          </w:p>
        </w:tc>
        <w:tc>
          <w:tcPr>
            <w:tcW w:w="6866" w:type="dxa"/>
          </w:tcPr>
          <w:p w:rsidR="002F561B" w:rsidRPr="00F83844" w:rsidRDefault="002F561B" w:rsidP="002F561B">
            <w:pPr>
              <w:pStyle w:val="NormalHeadings"/>
              <w:jc w:val="left"/>
            </w:pPr>
            <w:r w:rsidRPr="00F83844">
              <w:rPr>
                <w:caps/>
                <w:szCs w:val="24"/>
              </w:rPr>
              <w:t xml:space="preserve">MIDDLETON J </w:t>
            </w:r>
            <w:r w:rsidRPr="00F83844">
              <w:t>(DEPUTY PRESIDENT)</w:t>
            </w:r>
          </w:p>
          <w:p w:rsidR="002F561B" w:rsidRPr="00F83844" w:rsidRDefault="002F561B" w:rsidP="002F561B">
            <w:pPr>
              <w:pStyle w:val="NormalHeadings"/>
              <w:jc w:val="left"/>
            </w:pPr>
            <w:r w:rsidRPr="00F83844">
              <w:t>MR R STEINWALL (MEMBER)</w:t>
            </w:r>
          </w:p>
          <w:p w:rsidR="00395B24" w:rsidRPr="00F83844" w:rsidRDefault="002F561B" w:rsidP="002F561B">
            <w:pPr>
              <w:pStyle w:val="NormalHeadings"/>
              <w:rPr>
                <w:caps/>
                <w:szCs w:val="24"/>
              </w:rPr>
            </w:pPr>
            <w:r w:rsidRPr="00F83844">
              <w:t xml:space="preserve">PROFESSOR </w:t>
            </w:r>
            <w:proofErr w:type="spellStart"/>
            <w:r w:rsidRPr="00F83844">
              <w:t>KT</w:t>
            </w:r>
            <w:proofErr w:type="spellEnd"/>
            <w:r w:rsidRPr="00F83844">
              <w:t xml:space="preserve"> DAVIS (MEMBER)</w:t>
            </w:r>
          </w:p>
        </w:tc>
      </w:tr>
      <w:tr w:rsidR="00F83844">
        <w:tc>
          <w:tcPr>
            <w:tcW w:w="2376" w:type="dxa"/>
          </w:tcPr>
          <w:p w:rsidR="00F83844" w:rsidRDefault="00F83844">
            <w:pPr>
              <w:pStyle w:val="NormalHeadings"/>
              <w:spacing w:after="120"/>
              <w:jc w:val="left"/>
              <w:rPr>
                <w:caps/>
                <w:szCs w:val="24"/>
              </w:rPr>
            </w:pPr>
          </w:p>
        </w:tc>
        <w:tc>
          <w:tcPr>
            <w:tcW w:w="6866" w:type="dxa"/>
          </w:tcPr>
          <w:p w:rsidR="00F83844" w:rsidRPr="00F83844" w:rsidRDefault="00F83844" w:rsidP="002F561B">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F83844" w:rsidP="00CA23A0">
            <w:pPr>
              <w:pStyle w:val="NormalHeadings"/>
              <w:rPr>
                <w:caps/>
                <w:szCs w:val="24"/>
              </w:rPr>
            </w:pPr>
            <w:r>
              <w:rPr>
                <w:caps/>
                <w:szCs w:val="24"/>
              </w:rPr>
              <w:t>1 december 2015</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F83844">
            <w:pPr>
              <w:pStyle w:val="NormalHeadings"/>
              <w:rPr>
                <w:caps/>
                <w:szCs w:val="24"/>
              </w:rPr>
            </w:pPr>
            <w:r>
              <w:rPr>
                <w:caps/>
                <w:szCs w:val="24"/>
              </w:rPr>
              <w:t>melbourne</w:t>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6B2B4C">
        <w:rPr>
          <w:b/>
        </w:rPr>
        <w:t>DECISION</w:t>
      </w:r>
    </w:p>
    <w:p w:rsidR="006B2B4C" w:rsidRDefault="006B2B4C" w:rsidP="006B2B4C">
      <w:pPr>
        <w:pStyle w:val="Heading1"/>
      </w:pPr>
      <w:r>
        <w:t>INTRODUCTION</w:t>
      </w:r>
    </w:p>
    <w:p w:rsidR="006B2B4C" w:rsidRDefault="006B2B4C" w:rsidP="006B2B4C">
      <w:pPr>
        <w:pStyle w:val="ParaNumbering"/>
      </w:pPr>
      <w:r>
        <w:t xml:space="preserve">This is an application by </w:t>
      </w:r>
      <w:proofErr w:type="spellStart"/>
      <w:r>
        <w:t>ATCO</w:t>
      </w:r>
      <w:proofErr w:type="spellEnd"/>
      <w:r>
        <w:t xml:space="preserve"> Gas Australia Pty Ltd (</w:t>
      </w:r>
      <w:r w:rsidR="002F561B">
        <w:t>‘</w:t>
      </w:r>
      <w:proofErr w:type="spellStart"/>
      <w:r w:rsidRPr="006B2B4C">
        <w:rPr>
          <w:b/>
        </w:rPr>
        <w:t>ATCO</w:t>
      </w:r>
      <w:proofErr w:type="spellEnd"/>
      <w:r w:rsidR="002F561B">
        <w:t>’</w:t>
      </w:r>
      <w:r>
        <w:t xml:space="preserve">), pursuant to s 245 of the </w:t>
      </w:r>
      <w:r w:rsidRPr="006B2B4C">
        <w:rPr>
          <w:i/>
        </w:rPr>
        <w:t>National Gas</w:t>
      </w:r>
      <w:r w:rsidR="00B51EE1">
        <w:rPr>
          <w:i/>
        </w:rPr>
        <w:t xml:space="preserve"> Access (Western Australia)</w:t>
      </w:r>
      <w:r w:rsidRPr="006B2B4C">
        <w:rPr>
          <w:i/>
        </w:rPr>
        <w:t xml:space="preserve"> Law</w:t>
      </w:r>
      <w:r>
        <w:t xml:space="preserve"> (</w:t>
      </w:r>
      <w:r w:rsidR="002F561B">
        <w:t>‘</w:t>
      </w:r>
      <w:proofErr w:type="spellStart"/>
      <w:r w:rsidRPr="006B2B4C">
        <w:rPr>
          <w:b/>
        </w:rPr>
        <w:t>NGL</w:t>
      </w:r>
      <w:proofErr w:type="spellEnd"/>
      <w:r w:rsidR="002F561B">
        <w:t>’</w:t>
      </w:r>
      <w:r>
        <w:t>)</w:t>
      </w:r>
      <w:r w:rsidR="00CA656E">
        <w:t>,</w:t>
      </w:r>
      <w:r>
        <w:t xml:space="preserve"> for leave to apply for review of a decision made by the Economic Regulation Au</w:t>
      </w:r>
      <w:r w:rsidR="00B51EE1">
        <w:t>thority</w:t>
      </w:r>
      <w:r>
        <w:t xml:space="preserve"> (Western Australia) (</w:t>
      </w:r>
      <w:r w:rsidR="002F561B">
        <w:t>‘</w:t>
      </w:r>
      <w:r w:rsidRPr="00B51EE1">
        <w:rPr>
          <w:b/>
        </w:rPr>
        <w:t>ERA</w:t>
      </w:r>
      <w:r w:rsidR="002F561B">
        <w:t>’</w:t>
      </w:r>
      <w:r>
        <w:t>).</w:t>
      </w:r>
    </w:p>
    <w:p w:rsidR="006B2B4C" w:rsidRDefault="006B2B4C" w:rsidP="006B2B4C">
      <w:pPr>
        <w:pStyle w:val="ParaNumbering"/>
      </w:pPr>
      <w:r>
        <w:t xml:space="preserve">Section 7 of the </w:t>
      </w:r>
      <w:r w:rsidRPr="00B51EE1">
        <w:rPr>
          <w:i/>
        </w:rPr>
        <w:t xml:space="preserve">National Gas Access (WA) Act 2009 </w:t>
      </w:r>
      <w:r w:rsidRPr="00B51EE1">
        <w:t>(WA)</w:t>
      </w:r>
      <w:r>
        <w:t xml:space="preserve"> (the </w:t>
      </w:r>
      <w:r w:rsidR="002F561B">
        <w:t>‘</w:t>
      </w:r>
      <w:r w:rsidRPr="00B51EE1">
        <w:rPr>
          <w:b/>
        </w:rPr>
        <w:t>Act</w:t>
      </w:r>
      <w:r w:rsidR="002F561B">
        <w:t>’</w:t>
      </w:r>
      <w:r>
        <w:t xml:space="preserve">) applies the </w:t>
      </w:r>
      <w:proofErr w:type="spellStart"/>
      <w:r w:rsidR="00B51EE1">
        <w:t>NGL</w:t>
      </w:r>
      <w:proofErr w:type="spellEnd"/>
      <w:r>
        <w:t xml:space="preserve">, set out in the Schedule to the </w:t>
      </w:r>
      <w:r w:rsidRPr="00CA656E">
        <w:rPr>
          <w:i/>
        </w:rPr>
        <w:t>National Gas (South Australia) Act 2008</w:t>
      </w:r>
      <w:r>
        <w:t xml:space="preserve"> (SA) as modified by </w:t>
      </w:r>
      <w:proofErr w:type="spellStart"/>
      <w:r>
        <w:t>Sch</w:t>
      </w:r>
      <w:proofErr w:type="spellEnd"/>
      <w:r w:rsidR="002F561B">
        <w:t> </w:t>
      </w:r>
      <w:r>
        <w:t>1 to the Act</w:t>
      </w:r>
      <w:r w:rsidR="00B51EE1">
        <w:t>, as a law of Western Australia</w:t>
      </w:r>
      <w:r>
        <w:t xml:space="preserve">. </w:t>
      </w:r>
      <w:r w:rsidR="002F561B">
        <w:t xml:space="preserve"> </w:t>
      </w:r>
      <w:r>
        <w:t xml:space="preserve">Section 26 of the </w:t>
      </w:r>
      <w:proofErr w:type="spellStart"/>
      <w:r>
        <w:t>NGL</w:t>
      </w:r>
      <w:proofErr w:type="spellEnd"/>
      <w:r>
        <w:t xml:space="preserve"> gives the </w:t>
      </w:r>
      <w:r w:rsidRPr="00525305">
        <w:rPr>
          <w:i/>
        </w:rPr>
        <w:t>National Gas Rules</w:t>
      </w:r>
      <w:r w:rsidR="00B51EE1">
        <w:t xml:space="preserve"> (</w:t>
      </w:r>
      <w:r w:rsidR="002F561B">
        <w:t>‘</w:t>
      </w:r>
      <w:proofErr w:type="spellStart"/>
      <w:r w:rsidR="00B51EE1">
        <w:rPr>
          <w:b/>
        </w:rPr>
        <w:t>NGR</w:t>
      </w:r>
      <w:proofErr w:type="spellEnd"/>
      <w:r w:rsidR="002F561B">
        <w:t>’</w:t>
      </w:r>
      <w:r w:rsidR="00B51EE1">
        <w:t>)</w:t>
      </w:r>
      <w:r>
        <w:t xml:space="preserve"> the force of law in Western Australia.</w:t>
      </w:r>
    </w:p>
    <w:p w:rsidR="006B2B4C" w:rsidRDefault="006B2B4C" w:rsidP="002E68A0">
      <w:pPr>
        <w:pStyle w:val="Heading2"/>
      </w:pPr>
      <w:r>
        <w:t>Background</w:t>
      </w:r>
    </w:p>
    <w:p w:rsidR="006B2B4C" w:rsidRDefault="006B2B4C" w:rsidP="006B2B4C">
      <w:pPr>
        <w:pStyle w:val="ParaNumbering"/>
      </w:pPr>
      <w:r>
        <w:t xml:space="preserve">On 17 March 2014, </w:t>
      </w:r>
      <w:proofErr w:type="spellStart"/>
      <w:r>
        <w:t>ATCO</w:t>
      </w:r>
      <w:proofErr w:type="spellEnd"/>
      <w:r>
        <w:t xml:space="preserve"> submitted an access arrangement revision proposal for the access arrangement period from 1 July 2014 to 31 December 2019 </w:t>
      </w:r>
      <w:r w:rsidR="00B51EE1">
        <w:t>(</w:t>
      </w:r>
      <w:r w:rsidR="002F561B">
        <w:t>‘</w:t>
      </w:r>
      <w:r w:rsidR="00B51EE1" w:rsidRPr="002E68A0">
        <w:rPr>
          <w:b/>
        </w:rPr>
        <w:t>AA Revision Proposal</w:t>
      </w:r>
      <w:r w:rsidR="002F561B">
        <w:t>’</w:t>
      </w:r>
      <w:r w:rsidR="00B51EE1">
        <w:t xml:space="preserve">) </w:t>
      </w:r>
      <w:r>
        <w:t xml:space="preserve">for consideration by the ERA. </w:t>
      </w:r>
      <w:r w:rsidR="002F561B">
        <w:t xml:space="preserve"> </w:t>
      </w:r>
      <w:r>
        <w:t xml:space="preserve">On 14 October 2014, the ERA published a draft decision on </w:t>
      </w:r>
      <w:proofErr w:type="spellStart"/>
      <w:r>
        <w:t>ATCO</w:t>
      </w:r>
      <w:r w:rsidR="002F561B">
        <w:t>’</w:t>
      </w:r>
      <w:r>
        <w:t>s</w:t>
      </w:r>
      <w:proofErr w:type="spellEnd"/>
      <w:r>
        <w:t xml:space="preserve"> </w:t>
      </w:r>
      <w:r w:rsidR="00CA656E">
        <w:t>AA Revision Proposal</w:t>
      </w:r>
      <w:r>
        <w:t>, indicating that the ERA would publish its own revised access arrangement and access arrangement information.</w:t>
      </w:r>
    </w:p>
    <w:p w:rsidR="006B2B4C" w:rsidRDefault="006B2B4C" w:rsidP="006B2B4C">
      <w:pPr>
        <w:pStyle w:val="ParaNumbering"/>
      </w:pPr>
      <w:proofErr w:type="spellStart"/>
      <w:r>
        <w:lastRenderedPageBreak/>
        <w:t>ATCO</w:t>
      </w:r>
      <w:proofErr w:type="spellEnd"/>
      <w:r>
        <w:t xml:space="preserve"> then submitted additions and amendments to its AA Revision Proposal and a revised access arrangement proposal to the ERA (</w:t>
      </w:r>
      <w:r w:rsidR="002F561B">
        <w:t>‘</w:t>
      </w:r>
      <w:r w:rsidRPr="00B51EE1">
        <w:rPr>
          <w:b/>
        </w:rPr>
        <w:t>Amended AA Revision Proposal</w:t>
      </w:r>
      <w:r w:rsidR="002F561B">
        <w:t>’</w:t>
      </w:r>
      <w:r>
        <w:t xml:space="preserve">), in response the draft decision published by the ERA. </w:t>
      </w:r>
    </w:p>
    <w:p w:rsidR="006B2B4C" w:rsidRDefault="006B2B4C" w:rsidP="006B2B4C">
      <w:pPr>
        <w:pStyle w:val="ParaNumbering"/>
      </w:pPr>
      <w:r>
        <w:t xml:space="preserve">On 1 July 2015, the ERA published its access arrangement final decision entitled </w:t>
      </w:r>
      <w:r w:rsidRPr="00CA656E">
        <w:rPr>
          <w:i/>
        </w:rPr>
        <w:t>Final Decision on Proposed Revisions to the Access Arrangement for the Mid-West and South-West Gas Distribution System</w:t>
      </w:r>
      <w:r>
        <w:t xml:space="preserve"> (</w:t>
      </w:r>
      <w:r w:rsidR="002F561B">
        <w:t>‘</w:t>
      </w:r>
      <w:r w:rsidRPr="00B51EE1">
        <w:rPr>
          <w:b/>
        </w:rPr>
        <w:t>Final Decision</w:t>
      </w:r>
      <w:r w:rsidR="002F561B">
        <w:rPr>
          <w:b/>
        </w:rPr>
        <w:t>’</w:t>
      </w:r>
      <w:r>
        <w:t xml:space="preserve">). </w:t>
      </w:r>
      <w:r w:rsidR="002F561B">
        <w:t xml:space="preserve"> </w:t>
      </w:r>
      <w:r>
        <w:t xml:space="preserve">In its Final Decision, the ERA refused to approve </w:t>
      </w:r>
      <w:proofErr w:type="spellStart"/>
      <w:r>
        <w:t>ATCO</w:t>
      </w:r>
      <w:r w:rsidR="002F561B">
        <w:t>’</w:t>
      </w:r>
      <w:r>
        <w:t>s</w:t>
      </w:r>
      <w:proofErr w:type="spellEnd"/>
      <w:r>
        <w:t xml:space="preserve"> Amended AA Revision Proposal and indicated that it would publish its own revised access arrangement and access arrangement information.</w:t>
      </w:r>
    </w:p>
    <w:p w:rsidR="006B2B4C" w:rsidRDefault="006B2B4C" w:rsidP="006B2B4C">
      <w:pPr>
        <w:pStyle w:val="ParaNumbering"/>
      </w:pPr>
      <w:r>
        <w:t xml:space="preserve">Following, and in response to the </w:t>
      </w:r>
      <w:proofErr w:type="spellStart"/>
      <w:r>
        <w:t>ERA</w:t>
      </w:r>
      <w:r w:rsidR="002F561B">
        <w:t>’</w:t>
      </w:r>
      <w:r>
        <w:t>s</w:t>
      </w:r>
      <w:proofErr w:type="spellEnd"/>
      <w:r>
        <w:t xml:space="preserve"> publication of its Final Decision, </w:t>
      </w:r>
      <w:proofErr w:type="spellStart"/>
      <w:r>
        <w:t>ATCO</w:t>
      </w:r>
      <w:proofErr w:type="spellEnd"/>
      <w:r>
        <w:t xml:space="preserve"> made further submissions and provided further information to the ERA.</w:t>
      </w:r>
    </w:p>
    <w:p w:rsidR="00B51EE1" w:rsidRDefault="006B2B4C" w:rsidP="006B2B4C">
      <w:pPr>
        <w:pStyle w:val="ParaNumbering"/>
      </w:pPr>
      <w:r>
        <w:t>On 10 September 2015, the ERA published</w:t>
      </w:r>
      <w:r w:rsidR="00B51EE1">
        <w:t>:</w:t>
      </w:r>
      <w:r>
        <w:t xml:space="preserve"> </w:t>
      </w:r>
    </w:p>
    <w:p w:rsidR="00B51EE1" w:rsidRDefault="006B2B4C" w:rsidP="00B51EE1">
      <w:pPr>
        <w:pStyle w:val="ListNo1"/>
      </w:pPr>
      <w:r>
        <w:t>an amended Final Decision e</w:t>
      </w:r>
      <w:r w:rsidRPr="00DE6622">
        <w:t>ntitled</w:t>
      </w:r>
      <w:r w:rsidR="00B51EE1" w:rsidRPr="00DE6622">
        <w:t xml:space="preserve"> </w:t>
      </w:r>
      <w:r w:rsidR="00B51EE1" w:rsidRPr="00DE6622">
        <w:rPr>
          <w:i/>
        </w:rPr>
        <w:t xml:space="preserve">Final Decision on Proposed Revisions to the </w:t>
      </w:r>
      <w:r w:rsidRPr="00DE6622">
        <w:rPr>
          <w:i/>
        </w:rPr>
        <w:t>Access Arrangement Decision for the Mid-West and South-West Gas Distribution System</w:t>
      </w:r>
      <w:r>
        <w:t xml:space="preserve"> (</w:t>
      </w:r>
      <w:r w:rsidR="002F561B">
        <w:t>‘</w:t>
      </w:r>
      <w:r w:rsidRPr="00B51EE1">
        <w:rPr>
          <w:b/>
        </w:rPr>
        <w:t>Amended Final Decision</w:t>
      </w:r>
      <w:r w:rsidR="002F561B">
        <w:t>’</w:t>
      </w:r>
      <w:r w:rsidR="00B51EE1">
        <w:t>),</w:t>
      </w:r>
      <w:r>
        <w:t xml:space="preserve"> </w:t>
      </w:r>
      <w:r w:rsidR="00B51EE1">
        <w:t>in which the</w:t>
      </w:r>
      <w:r>
        <w:t xml:space="preserve"> ERA again refused to approve the </w:t>
      </w:r>
      <w:r w:rsidR="00B51EE1">
        <w:t xml:space="preserve">Amended AA Revision Proposal submitted by </w:t>
      </w:r>
      <w:proofErr w:type="spellStart"/>
      <w:r w:rsidR="00B51EE1">
        <w:t>ATCO</w:t>
      </w:r>
      <w:proofErr w:type="spellEnd"/>
      <w:r w:rsidR="00B51EE1">
        <w:t>; and</w:t>
      </w:r>
      <w:r>
        <w:t xml:space="preserve"> </w:t>
      </w:r>
    </w:p>
    <w:p w:rsidR="00B51EE1" w:rsidRDefault="00CA656E" w:rsidP="00B51EE1">
      <w:pPr>
        <w:pStyle w:val="ListNo1"/>
      </w:pPr>
      <w:r>
        <w:t xml:space="preserve">a further decision </w:t>
      </w:r>
      <w:r w:rsidR="006B2B4C">
        <w:t xml:space="preserve">entitled </w:t>
      </w:r>
      <w:r w:rsidR="00B51EE1" w:rsidRPr="00CA656E">
        <w:rPr>
          <w:i/>
        </w:rPr>
        <w:t>Economic Regulation Authority</w:t>
      </w:r>
      <w:r w:rsidR="002F561B">
        <w:rPr>
          <w:i/>
        </w:rPr>
        <w:t>’</w:t>
      </w:r>
      <w:r w:rsidR="00B51EE1" w:rsidRPr="00CA656E">
        <w:rPr>
          <w:i/>
        </w:rPr>
        <w:t>s Revised</w:t>
      </w:r>
      <w:r w:rsidR="00B51EE1" w:rsidRPr="00E703BB">
        <w:rPr>
          <w:i/>
        </w:rPr>
        <w:t xml:space="preserve"> </w:t>
      </w:r>
      <w:r w:rsidR="006B2B4C" w:rsidRPr="00E703BB">
        <w:rPr>
          <w:i/>
        </w:rPr>
        <w:t xml:space="preserve">Access </w:t>
      </w:r>
      <w:r w:rsidR="006B2B4C" w:rsidRPr="00CA656E">
        <w:rPr>
          <w:i/>
        </w:rPr>
        <w:t>Arrangement</w:t>
      </w:r>
      <w:r w:rsidR="00B51EE1" w:rsidRPr="00CA656E">
        <w:rPr>
          <w:i/>
        </w:rPr>
        <w:t xml:space="preserve"> Decision</w:t>
      </w:r>
      <w:r w:rsidR="006B2B4C" w:rsidRPr="00CA656E">
        <w:rPr>
          <w:i/>
        </w:rPr>
        <w:t xml:space="preserve"> for the Mid-West and South-West Gas Distribution System</w:t>
      </w:r>
      <w:r w:rsidR="00B51EE1" w:rsidRPr="00B51EE1">
        <w:rPr>
          <w:i/>
        </w:rPr>
        <w:t xml:space="preserve"> </w:t>
      </w:r>
      <w:r w:rsidR="00B51EE1">
        <w:t>fo</w:t>
      </w:r>
      <w:r>
        <w:t xml:space="preserve">r the </w:t>
      </w:r>
      <w:proofErr w:type="spellStart"/>
      <w:r>
        <w:t>ATCO</w:t>
      </w:r>
      <w:proofErr w:type="spellEnd"/>
      <w:r>
        <w:t xml:space="preserve"> distribution network</w:t>
      </w:r>
      <w:r w:rsidR="00E703BB">
        <w:t xml:space="preserve"> (</w:t>
      </w:r>
      <w:r w:rsidR="002F561B">
        <w:t>‘</w:t>
      </w:r>
      <w:r>
        <w:rPr>
          <w:b/>
        </w:rPr>
        <w:t>Access Arrangement Decision</w:t>
      </w:r>
      <w:r w:rsidR="002F561B">
        <w:t>’</w:t>
      </w:r>
      <w:r>
        <w:t>), in which the ERA decided to approve the access arrangement drafted by the ERA (</w:t>
      </w:r>
      <w:r w:rsidR="002F561B">
        <w:t>‘</w:t>
      </w:r>
      <w:r>
        <w:rPr>
          <w:b/>
        </w:rPr>
        <w:t>ERA Access Arrangement</w:t>
      </w:r>
      <w:r w:rsidR="002F561B">
        <w:t>’</w:t>
      </w:r>
      <w:r>
        <w:t>).</w:t>
      </w:r>
    </w:p>
    <w:p w:rsidR="006B2B4C" w:rsidRDefault="00CA656E" w:rsidP="0060770E">
      <w:pPr>
        <w:pStyle w:val="NoNum"/>
      </w:pPr>
      <w:r>
        <w:t>The</w:t>
      </w:r>
      <w:r w:rsidR="00E703BB">
        <w:t xml:space="preserve"> decision that is the</w:t>
      </w:r>
      <w:r>
        <w:t xml:space="preserve"> subject of this current application </w:t>
      </w:r>
      <w:r w:rsidR="00DE6622">
        <w:t xml:space="preserve">for review </w:t>
      </w:r>
      <w:r>
        <w:t>under s</w:t>
      </w:r>
      <w:r w:rsidR="002F561B">
        <w:t> </w:t>
      </w:r>
      <w:r>
        <w:t>245</w:t>
      </w:r>
      <w:r w:rsidR="00E703BB">
        <w:t xml:space="preserve"> is the Access Arrangement Decision</w:t>
      </w:r>
      <w:r>
        <w:t>.</w:t>
      </w:r>
    </w:p>
    <w:p w:rsidR="006B2B4C" w:rsidRDefault="006B2B4C" w:rsidP="006B2B4C">
      <w:pPr>
        <w:pStyle w:val="ParaNumbering"/>
      </w:pPr>
      <w:r>
        <w:t xml:space="preserve">On 29 September 2015, the ERA published minor corrections to the ERA Access Arrangement. </w:t>
      </w:r>
    </w:p>
    <w:p w:rsidR="006B2B4C" w:rsidRDefault="006B2B4C" w:rsidP="002E68A0">
      <w:pPr>
        <w:pStyle w:val="Heading2"/>
      </w:pPr>
      <w:r>
        <w:t xml:space="preserve">Application for Leave and Review </w:t>
      </w:r>
    </w:p>
    <w:p w:rsidR="006B2B4C" w:rsidRDefault="006B2B4C" w:rsidP="006B2B4C">
      <w:pPr>
        <w:pStyle w:val="ParaNumbering"/>
      </w:pPr>
      <w:r>
        <w:t xml:space="preserve">On 1 October 2015, </w:t>
      </w:r>
      <w:proofErr w:type="spellStart"/>
      <w:r>
        <w:t>ATCO</w:t>
      </w:r>
      <w:proofErr w:type="spellEnd"/>
      <w:r>
        <w:t xml:space="preserve"> filed its application f</w:t>
      </w:r>
      <w:r w:rsidR="00B51EE1">
        <w:t xml:space="preserve">or leave </w:t>
      </w:r>
      <w:r w:rsidR="00CA656E">
        <w:t xml:space="preserve">and application for review </w:t>
      </w:r>
      <w:r>
        <w:t>by the Australian Competition Tribunal (</w:t>
      </w:r>
      <w:r w:rsidR="00B51EE1">
        <w:t xml:space="preserve">the </w:t>
      </w:r>
      <w:r w:rsidR="002F561B">
        <w:t>‘</w:t>
      </w:r>
      <w:r w:rsidRPr="00B51EE1">
        <w:rPr>
          <w:b/>
        </w:rPr>
        <w:t>Tribunal</w:t>
      </w:r>
      <w:r w:rsidR="002F561B">
        <w:t>’</w:t>
      </w:r>
      <w:r>
        <w:t xml:space="preserve">) of the </w:t>
      </w:r>
      <w:r w:rsidR="00CA656E">
        <w:t xml:space="preserve">Access Arrangement Decision, pursuant to s 245 of the </w:t>
      </w:r>
      <w:proofErr w:type="spellStart"/>
      <w:r w:rsidR="00CA656E">
        <w:t>NGL</w:t>
      </w:r>
      <w:proofErr w:type="spellEnd"/>
      <w:r w:rsidR="0094468E">
        <w:t xml:space="preserve">.  </w:t>
      </w:r>
      <w:proofErr w:type="spellStart"/>
      <w:r>
        <w:t>ATCO</w:t>
      </w:r>
      <w:proofErr w:type="spellEnd"/>
      <w:r>
        <w:t xml:space="preserve"> also filed the affidavit of Simon Harvey Byrne, sworn 1</w:t>
      </w:r>
      <w:r w:rsidR="002F561B">
        <w:t> </w:t>
      </w:r>
      <w:r>
        <w:t>October 2015</w:t>
      </w:r>
      <w:r w:rsidR="007B64A6">
        <w:t xml:space="preserve"> (</w:t>
      </w:r>
      <w:r w:rsidR="002F561B">
        <w:t>‘</w:t>
      </w:r>
      <w:r w:rsidR="007B64A6">
        <w:rPr>
          <w:b/>
        </w:rPr>
        <w:t>Byrne Affidavit</w:t>
      </w:r>
      <w:r w:rsidR="002F561B">
        <w:t>’</w:t>
      </w:r>
      <w:r w:rsidR="007B64A6">
        <w:t>)</w:t>
      </w:r>
      <w:r>
        <w:t xml:space="preserve">, and the supplementary affidavit of Simon Harvey </w:t>
      </w:r>
      <w:r>
        <w:lastRenderedPageBreak/>
        <w:t xml:space="preserve">Byrne, sworn 5 </w:t>
      </w:r>
      <w:r w:rsidR="00B60734">
        <w:t>November 2015, in support of its</w:t>
      </w:r>
      <w:r>
        <w:t xml:space="preserve"> </w:t>
      </w:r>
      <w:r w:rsidR="00CA656E">
        <w:t>application for leave (</w:t>
      </w:r>
      <w:r w:rsidR="002F561B">
        <w:t>‘</w:t>
      </w:r>
      <w:r w:rsidR="00CA656E">
        <w:rPr>
          <w:b/>
        </w:rPr>
        <w:t>Leave Application</w:t>
      </w:r>
      <w:r w:rsidR="002F561B">
        <w:t>’</w:t>
      </w:r>
      <w:r w:rsidR="00CA656E">
        <w:t>)</w:t>
      </w:r>
      <w:r w:rsidR="00B60734">
        <w:t>,</w:t>
      </w:r>
      <w:r w:rsidR="00CA656E">
        <w:t xml:space="preserve"> and </w:t>
      </w:r>
      <w:r w:rsidR="00B51EE1">
        <w:t>application for</w:t>
      </w:r>
      <w:r>
        <w:t xml:space="preserve"> review</w:t>
      </w:r>
      <w:r w:rsidR="00B51EE1">
        <w:t xml:space="preserve"> (</w:t>
      </w:r>
      <w:r w:rsidR="002F561B">
        <w:t>‘</w:t>
      </w:r>
      <w:r w:rsidR="00B51EE1">
        <w:rPr>
          <w:b/>
        </w:rPr>
        <w:t>Review Application</w:t>
      </w:r>
      <w:r w:rsidR="002F561B">
        <w:t>’</w:t>
      </w:r>
      <w:r w:rsidR="00B51EE1">
        <w:t>)</w:t>
      </w:r>
      <w:r w:rsidR="00CA656E">
        <w:t>,</w:t>
      </w:r>
      <w:r>
        <w:t xml:space="preserve"> should leave be granted.</w:t>
      </w:r>
    </w:p>
    <w:p w:rsidR="006B2B4C" w:rsidRDefault="006B2B4C" w:rsidP="006B2B4C">
      <w:pPr>
        <w:pStyle w:val="ParaNumbering"/>
      </w:pPr>
      <w:r>
        <w:t xml:space="preserve">The Tribunal accepts that, for the purposes of s 245(1) of the </w:t>
      </w:r>
      <w:proofErr w:type="spellStart"/>
      <w:r>
        <w:t>NGL</w:t>
      </w:r>
      <w:proofErr w:type="spellEnd"/>
      <w:r>
        <w:t xml:space="preserve">: </w:t>
      </w:r>
    </w:p>
    <w:p w:rsidR="006B2B4C" w:rsidRDefault="002E68A0" w:rsidP="002E68A0">
      <w:pPr>
        <w:pStyle w:val="ListNo1"/>
        <w:numPr>
          <w:ilvl w:val="0"/>
          <w:numId w:val="0"/>
        </w:numPr>
        <w:ind w:left="720" w:hanging="720"/>
      </w:pPr>
      <w:r>
        <w:t>(a)</w:t>
      </w:r>
      <w:r>
        <w:tab/>
      </w:r>
      <w:proofErr w:type="spellStart"/>
      <w:r w:rsidR="006B2B4C">
        <w:t>ATCO</w:t>
      </w:r>
      <w:proofErr w:type="spellEnd"/>
      <w:r w:rsidR="006B2B4C">
        <w:t xml:space="preserve"> is an </w:t>
      </w:r>
      <w:r w:rsidR="002F561B">
        <w:t>‘</w:t>
      </w:r>
      <w:r w:rsidR="006B2B4C">
        <w:t>affected or interested person</w:t>
      </w:r>
      <w:r w:rsidR="007B64A6">
        <w:t xml:space="preserve"> or body</w:t>
      </w:r>
      <w:r w:rsidR="002F561B">
        <w:t>’</w:t>
      </w:r>
      <w:r w:rsidR="006B2B4C">
        <w:t xml:space="preserve">; and </w:t>
      </w:r>
    </w:p>
    <w:p w:rsidR="006B2B4C" w:rsidRDefault="002E68A0" w:rsidP="002E68A0">
      <w:pPr>
        <w:pStyle w:val="ListNo1"/>
        <w:numPr>
          <w:ilvl w:val="0"/>
          <w:numId w:val="0"/>
        </w:numPr>
        <w:ind w:left="720" w:hanging="720"/>
      </w:pPr>
      <w:r>
        <w:t>(b)</w:t>
      </w:r>
      <w:r>
        <w:tab/>
      </w:r>
      <w:r w:rsidR="006B2B4C">
        <w:t xml:space="preserve">the </w:t>
      </w:r>
      <w:r w:rsidR="00CA656E">
        <w:t>Access Arrangement Decision that is</w:t>
      </w:r>
      <w:r w:rsidR="006B2B4C">
        <w:t xml:space="preserve"> the subject of this </w:t>
      </w:r>
      <w:r w:rsidR="00B51EE1">
        <w:t xml:space="preserve">Review </w:t>
      </w:r>
      <w:r w:rsidR="006B2B4C">
        <w:t xml:space="preserve">Application is a designated reviewable regulatory decision, and therefore a </w:t>
      </w:r>
      <w:r w:rsidR="002F561B">
        <w:t>‘</w:t>
      </w:r>
      <w:r w:rsidR="006B2B4C">
        <w:t>reviewable regulatory decision</w:t>
      </w:r>
      <w:r w:rsidR="002F561B">
        <w:t>’</w:t>
      </w:r>
      <w:r w:rsidR="006B2B4C">
        <w:t xml:space="preserve">. </w:t>
      </w:r>
    </w:p>
    <w:p w:rsidR="006B2B4C" w:rsidRDefault="006B2B4C" w:rsidP="006B2B4C">
      <w:pPr>
        <w:pStyle w:val="ParaNumbering"/>
      </w:pPr>
      <w:r>
        <w:t xml:space="preserve">In addition, it is accepted </w:t>
      </w:r>
      <w:r w:rsidR="00B51EE1">
        <w:t xml:space="preserve">that there is no issue that </w:t>
      </w:r>
      <w:proofErr w:type="spellStart"/>
      <w:r w:rsidR="007B64A6">
        <w:t>ATCO</w:t>
      </w:r>
      <w:r w:rsidR="002F561B">
        <w:t>’</w:t>
      </w:r>
      <w:r w:rsidR="007B64A6">
        <w:t>s</w:t>
      </w:r>
      <w:proofErr w:type="spellEnd"/>
      <w:r w:rsidR="007B64A6">
        <w:t xml:space="preserve"> a</w:t>
      </w:r>
      <w:r>
        <w:t>pplication</w:t>
      </w:r>
      <w:r w:rsidR="007B64A6">
        <w:t xml:space="preserve"> for review</w:t>
      </w:r>
      <w:r>
        <w:t xml:space="preserve"> was made within the 15 business day time limit prescribed by s 247 of the </w:t>
      </w:r>
      <w:proofErr w:type="spellStart"/>
      <w:r>
        <w:t>NGL</w:t>
      </w:r>
      <w:proofErr w:type="spellEnd"/>
      <w:r>
        <w:t>.</w:t>
      </w:r>
    </w:p>
    <w:p w:rsidR="00AD1099" w:rsidRDefault="00AD1099" w:rsidP="006B2B4C">
      <w:pPr>
        <w:pStyle w:val="ParaNumbering"/>
      </w:pPr>
      <w:r>
        <w:t xml:space="preserve">This </w:t>
      </w:r>
      <w:r w:rsidR="00CA656E">
        <w:t>Leave A</w:t>
      </w:r>
      <w:r>
        <w:t>pplication is unopposed by the ERA.</w:t>
      </w:r>
    </w:p>
    <w:p w:rsidR="006B2B4C" w:rsidRDefault="006B2B4C" w:rsidP="002E68A0">
      <w:pPr>
        <w:pStyle w:val="Heading1"/>
      </w:pPr>
      <w:r>
        <w:t xml:space="preserve">REQUIREMENTS FOR THE LEAVE APPLICATION </w:t>
      </w:r>
    </w:p>
    <w:p w:rsidR="006B2B4C" w:rsidRDefault="006B2B4C" w:rsidP="006B2B4C">
      <w:pPr>
        <w:pStyle w:val="ParaNumbering"/>
      </w:pPr>
      <w:r>
        <w:t xml:space="preserve">Section 246 of the </w:t>
      </w:r>
      <w:proofErr w:type="spellStart"/>
      <w:r>
        <w:t>NGL</w:t>
      </w:r>
      <w:proofErr w:type="spellEnd"/>
      <w:r>
        <w:t xml:space="preserve"> stipulates the following two relevant requirements for applications made under s 245 of the </w:t>
      </w:r>
      <w:proofErr w:type="spellStart"/>
      <w:r>
        <w:t>NGL</w:t>
      </w:r>
      <w:proofErr w:type="spellEnd"/>
      <w:r>
        <w:t xml:space="preserve">: </w:t>
      </w:r>
    </w:p>
    <w:p w:rsidR="00AD1099" w:rsidRPr="000108A4" w:rsidRDefault="00AD1099" w:rsidP="00CA656E">
      <w:pPr>
        <w:pStyle w:val="Quote1"/>
        <w:rPr>
          <w:b/>
          <w:i/>
        </w:rPr>
      </w:pPr>
      <w:r w:rsidRPr="000108A4">
        <w:rPr>
          <w:b/>
          <w:i/>
        </w:rPr>
        <w:t>246 – Grounds for review</w:t>
      </w:r>
    </w:p>
    <w:p w:rsidR="00CA656E" w:rsidRPr="00CA656E" w:rsidRDefault="00CA656E" w:rsidP="00CA656E">
      <w:pPr>
        <w:pStyle w:val="Quote1"/>
        <w:rPr>
          <w:b/>
        </w:rPr>
      </w:pPr>
    </w:p>
    <w:p w:rsidR="006B2B4C" w:rsidRDefault="002E68A0" w:rsidP="002E68A0">
      <w:pPr>
        <w:pStyle w:val="Quote1"/>
        <w:ind w:left="1418" w:hanging="681"/>
        <w:rPr>
          <w:i/>
        </w:rPr>
      </w:pPr>
      <w:r>
        <w:rPr>
          <w:i/>
        </w:rPr>
        <w:t>(1)</w:t>
      </w:r>
      <w:r>
        <w:rPr>
          <w:i/>
        </w:rPr>
        <w:tab/>
      </w:r>
      <w:r w:rsidR="006B2B4C" w:rsidRPr="002E68A0">
        <w:rPr>
          <w:i/>
        </w:rPr>
        <w:t>An application under section 245(1) may be made only on 1 or more of the following grounds:</w:t>
      </w:r>
    </w:p>
    <w:p w:rsidR="002E68A0" w:rsidRPr="002E68A0" w:rsidRDefault="002E68A0" w:rsidP="002E68A0">
      <w:pPr>
        <w:pStyle w:val="Quote1"/>
        <w:ind w:left="1418" w:hanging="681"/>
        <w:rPr>
          <w:i/>
        </w:rPr>
      </w:pPr>
    </w:p>
    <w:p w:rsidR="006B2B4C" w:rsidRPr="002E68A0" w:rsidRDefault="002E68A0" w:rsidP="002E68A0">
      <w:pPr>
        <w:pStyle w:val="Quote2"/>
        <w:ind w:left="2127" w:hanging="687"/>
        <w:rPr>
          <w:i/>
        </w:rPr>
      </w:pPr>
      <w:r>
        <w:rPr>
          <w:i/>
        </w:rPr>
        <w:t>(a)</w:t>
      </w:r>
      <w:r>
        <w:rPr>
          <w:i/>
        </w:rPr>
        <w:tab/>
      </w:r>
      <w:r w:rsidR="006B2B4C" w:rsidRPr="002E68A0">
        <w:rPr>
          <w:i/>
        </w:rPr>
        <w:t>the original decision maker made an error of fact in the decision maker</w:t>
      </w:r>
      <w:r w:rsidR="002F561B">
        <w:rPr>
          <w:i/>
        </w:rPr>
        <w:t>’</w:t>
      </w:r>
      <w:r w:rsidR="006B2B4C" w:rsidRPr="002E68A0">
        <w:rPr>
          <w:i/>
        </w:rPr>
        <w:t>s findings of facts, and that error was material to the making of the decision;</w:t>
      </w:r>
    </w:p>
    <w:p w:rsidR="006B2B4C" w:rsidRPr="002E68A0" w:rsidRDefault="002E68A0" w:rsidP="002E68A0">
      <w:pPr>
        <w:pStyle w:val="Quote2"/>
        <w:ind w:left="2127" w:hanging="687"/>
        <w:rPr>
          <w:i/>
        </w:rPr>
      </w:pPr>
      <w:r>
        <w:rPr>
          <w:i/>
        </w:rPr>
        <w:t>(b)</w:t>
      </w:r>
      <w:r>
        <w:rPr>
          <w:i/>
        </w:rPr>
        <w:tab/>
      </w:r>
      <w:r w:rsidR="006B2B4C" w:rsidRPr="002E68A0">
        <w:rPr>
          <w:i/>
        </w:rPr>
        <w:t>the original decision maker made more than 1 error of fact in the decision maker</w:t>
      </w:r>
      <w:r w:rsidR="002F561B">
        <w:rPr>
          <w:i/>
        </w:rPr>
        <w:t>’</w:t>
      </w:r>
      <w:r w:rsidR="006B2B4C" w:rsidRPr="002E68A0">
        <w:rPr>
          <w:i/>
        </w:rPr>
        <w:t>s findings of fact, and those errors of fact, in combination, were material to the making of the decision;</w:t>
      </w:r>
    </w:p>
    <w:p w:rsidR="006B2B4C" w:rsidRPr="002E68A0" w:rsidRDefault="002E68A0" w:rsidP="002E68A0">
      <w:pPr>
        <w:pStyle w:val="Quote2"/>
        <w:ind w:left="2127" w:hanging="687"/>
        <w:rPr>
          <w:i/>
        </w:rPr>
      </w:pPr>
      <w:r>
        <w:rPr>
          <w:i/>
        </w:rPr>
        <w:t>(c)</w:t>
      </w:r>
      <w:r>
        <w:rPr>
          <w:i/>
        </w:rPr>
        <w:tab/>
      </w:r>
      <w:r w:rsidR="006B2B4C" w:rsidRPr="002E68A0">
        <w:rPr>
          <w:i/>
        </w:rPr>
        <w:t>the exercise of the original decision maker</w:t>
      </w:r>
      <w:r w:rsidR="002F561B">
        <w:rPr>
          <w:i/>
        </w:rPr>
        <w:t>’</w:t>
      </w:r>
      <w:r w:rsidR="006B2B4C" w:rsidRPr="002E68A0">
        <w:rPr>
          <w:i/>
        </w:rPr>
        <w:t>s discretion was incorrect, having reg</w:t>
      </w:r>
      <w:r w:rsidR="00AD1099">
        <w:rPr>
          <w:i/>
        </w:rPr>
        <w:t>ard to all the circumstances;</w:t>
      </w:r>
    </w:p>
    <w:p w:rsidR="006B2B4C" w:rsidRPr="002E68A0" w:rsidRDefault="002E68A0" w:rsidP="002E68A0">
      <w:pPr>
        <w:pStyle w:val="Quote2"/>
        <w:ind w:left="2127" w:hanging="687"/>
        <w:rPr>
          <w:i/>
        </w:rPr>
      </w:pPr>
      <w:r>
        <w:rPr>
          <w:i/>
        </w:rPr>
        <w:t>(d)</w:t>
      </w:r>
      <w:r>
        <w:rPr>
          <w:i/>
        </w:rPr>
        <w:tab/>
      </w:r>
      <w:r w:rsidR="006B2B4C" w:rsidRPr="002E68A0">
        <w:rPr>
          <w:i/>
        </w:rPr>
        <w:t>the original decision maker</w:t>
      </w:r>
      <w:r w:rsidR="002F561B">
        <w:rPr>
          <w:i/>
        </w:rPr>
        <w:t>’</w:t>
      </w:r>
      <w:r w:rsidR="006B2B4C" w:rsidRPr="002E68A0">
        <w:rPr>
          <w:i/>
        </w:rPr>
        <w:t xml:space="preserve">s decision was unreasonable, having regard to all the circumstances. </w:t>
      </w:r>
    </w:p>
    <w:p w:rsidR="006B2B4C" w:rsidRPr="002E68A0" w:rsidRDefault="006B2B4C" w:rsidP="002E68A0">
      <w:pPr>
        <w:pStyle w:val="Quote1"/>
        <w:rPr>
          <w:i/>
        </w:rPr>
      </w:pPr>
    </w:p>
    <w:p w:rsidR="006B2B4C" w:rsidRPr="002E68A0" w:rsidRDefault="002E68A0" w:rsidP="002E68A0">
      <w:pPr>
        <w:pStyle w:val="Quote1"/>
        <w:ind w:left="1418" w:hanging="681"/>
        <w:rPr>
          <w:i/>
        </w:rPr>
      </w:pPr>
      <w:r>
        <w:rPr>
          <w:i/>
        </w:rPr>
        <w:t>(</w:t>
      </w:r>
      <w:proofErr w:type="spellStart"/>
      <w:r w:rsidR="00CA656E">
        <w:rPr>
          <w:i/>
        </w:rPr>
        <w:t>1a</w:t>
      </w:r>
      <w:proofErr w:type="spellEnd"/>
      <w:r>
        <w:rPr>
          <w:i/>
        </w:rPr>
        <w:t>)</w:t>
      </w:r>
      <w:r>
        <w:rPr>
          <w:i/>
        </w:rPr>
        <w:tab/>
      </w:r>
      <w:r w:rsidR="00AD1099">
        <w:rPr>
          <w:i/>
        </w:rPr>
        <w:t>An</w:t>
      </w:r>
      <w:r w:rsidR="006B2B4C" w:rsidRPr="002E68A0">
        <w:rPr>
          <w:i/>
        </w:rPr>
        <w:t xml:space="preserve">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w:t>
      </w:r>
      <w:r w:rsidR="006B2B4C" w:rsidRPr="00CA656E">
        <w:t>[ERA]</w:t>
      </w:r>
      <w:r w:rsidR="00B60734">
        <w:rPr>
          <w:i/>
        </w:rPr>
        <w:t xml:space="preserve"> following remission</w:t>
      </w:r>
      <w:r w:rsidR="006B2B4C" w:rsidRPr="002E68A0">
        <w:rPr>
          <w:i/>
        </w:rPr>
        <w:t xml:space="preserve"> of the matter to the </w:t>
      </w:r>
      <w:r w:rsidR="006B2B4C" w:rsidRPr="00CA656E">
        <w:t>[ERA]</w:t>
      </w:r>
      <w:r w:rsidR="006B2B4C" w:rsidRPr="002E68A0">
        <w:rPr>
          <w:i/>
        </w:rPr>
        <w:t xml:space="preserve"> by the Tribunal, on the basis of 1 or more grounds raised in the application, either separately or collectively, would, or would be likely to, result in a materially preferable designated </w:t>
      </w:r>
      <w:r w:rsidR="006B2B4C" w:rsidRPr="00CA656E">
        <w:t>[National Gas Objective]</w:t>
      </w:r>
      <w:r w:rsidR="006B2B4C" w:rsidRPr="002E68A0">
        <w:rPr>
          <w:i/>
        </w:rPr>
        <w:t xml:space="preserve"> decision.</w:t>
      </w:r>
    </w:p>
    <w:p w:rsidR="002F561B" w:rsidRDefault="002F561B">
      <w:pPr>
        <w:spacing w:line="240" w:lineRule="auto"/>
        <w:jc w:val="left"/>
      </w:pPr>
      <w:r>
        <w:br w:type="page"/>
      </w:r>
    </w:p>
    <w:p w:rsidR="006B2B4C" w:rsidRDefault="006B2B4C" w:rsidP="006B2B4C">
      <w:pPr>
        <w:pStyle w:val="ParaNumbering"/>
      </w:pPr>
      <w:r>
        <w:lastRenderedPageBreak/>
        <w:t xml:space="preserve">Section 23 of the </w:t>
      </w:r>
      <w:proofErr w:type="spellStart"/>
      <w:r w:rsidR="00AD1099">
        <w:t>NGL</w:t>
      </w:r>
      <w:proofErr w:type="spellEnd"/>
      <w:r>
        <w:t xml:space="preserve"> relevantly provides:</w:t>
      </w:r>
    </w:p>
    <w:p w:rsidR="006B2B4C" w:rsidRPr="000108A4" w:rsidRDefault="006B2B4C" w:rsidP="002E68A0">
      <w:pPr>
        <w:pStyle w:val="Quote1"/>
        <w:rPr>
          <w:b/>
          <w:i/>
        </w:rPr>
      </w:pPr>
      <w:r w:rsidRPr="000108A4">
        <w:rPr>
          <w:b/>
          <w:i/>
        </w:rPr>
        <w:t>23 - National Gas Objective</w:t>
      </w:r>
    </w:p>
    <w:p w:rsidR="002E68A0" w:rsidRPr="002E68A0" w:rsidRDefault="002E68A0" w:rsidP="002E68A0">
      <w:pPr>
        <w:pStyle w:val="Quote1"/>
        <w:rPr>
          <w:b/>
          <w:i/>
        </w:rPr>
      </w:pPr>
    </w:p>
    <w:p w:rsidR="006B2B4C" w:rsidRPr="002E68A0" w:rsidRDefault="006B2B4C" w:rsidP="002E68A0">
      <w:pPr>
        <w:pStyle w:val="Quote1"/>
        <w:rPr>
          <w:i/>
        </w:rPr>
      </w:pPr>
      <w:r w:rsidRPr="002E68A0">
        <w:rPr>
          <w:i/>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rsidR="00AD1099" w:rsidRDefault="006B2B4C" w:rsidP="006B2B4C">
      <w:pPr>
        <w:pStyle w:val="ParaNumbering"/>
      </w:pPr>
      <w:r>
        <w:t>Th</w:t>
      </w:r>
      <w:r w:rsidR="00AD1099">
        <w:t xml:space="preserve">e Tribunal accepts that </w:t>
      </w:r>
      <w:proofErr w:type="spellStart"/>
      <w:r w:rsidR="00AD1099">
        <w:t>ATCO</w:t>
      </w:r>
      <w:r w:rsidR="002F561B">
        <w:t>’</w:t>
      </w:r>
      <w:r w:rsidR="00AD1099">
        <w:t>s</w:t>
      </w:r>
      <w:proofErr w:type="spellEnd"/>
      <w:r w:rsidR="00AD1099">
        <w:t xml:space="preserve"> Review A</w:t>
      </w:r>
      <w:r>
        <w:t xml:space="preserve">pplication has been made only on the grounds of review specified </w:t>
      </w:r>
      <w:r w:rsidR="00AD1099">
        <w:t>in s 246</w:t>
      </w:r>
      <w:r w:rsidR="00CA656E">
        <w:t>(1)</w:t>
      </w:r>
      <w:r w:rsidR="0094468E">
        <w:t xml:space="preserve">.  </w:t>
      </w:r>
      <w:r w:rsidR="00AD1099">
        <w:t xml:space="preserve">In reaching that conclusion, the Tribunal has had regard to the observations made in recent </w:t>
      </w:r>
      <w:r w:rsidR="007B64A6">
        <w:t xml:space="preserve">Tribunal </w:t>
      </w:r>
      <w:r w:rsidR="00AD1099">
        <w:t xml:space="preserve">decisions in </w:t>
      </w:r>
      <w:r w:rsidR="007B64A6">
        <w:t>the NSW electricity proceedings, in which provisions</w:t>
      </w:r>
      <w:r w:rsidR="00171EF7">
        <w:t xml:space="preserve"> equivalent to</w:t>
      </w:r>
      <w:r w:rsidR="002A55EA">
        <w:t xml:space="preserve"> s 246</w:t>
      </w:r>
      <w:r w:rsidR="008B585A">
        <w:t xml:space="preserve"> of the </w:t>
      </w:r>
      <w:proofErr w:type="spellStart"/>
      <w:r w:rsidR="008B585A">
        <w:t>NGL</w:t>
      </w:r>
      <w:proofErr w:type="spellEnd"/>
      <w:r w:rsidR="007B64A6">
        <w:t xml:space="preserve"> apply. </w:t>
      </w:r>
      <w:r w:rsidR="002F561B">
        <w:t xml:space="preserve"> </w:t>
      </w:r>
      <w:r w:rsidR="007B64A6">
        <w:t>I</w:t>
      </w:r>
      <w:r w:rsidR="00AD1099">
        <w:t>n particular</w:t>
      </w:r>
      <w:r w:rsidR="007B64A6">
        <w:t>, the Tribunal accepts</w:t>
      </w:r>
      <w:r w:rsidR="00650816">
        <w:t xml:space="preserve"> that</w:t>
      </w:r>
      <w:r w:rsidR="00AD1099">
        <w:t xml:space="preserve">: </w:t>
      </w:r>
    </w:p>
    <w:p w:rsidR="00AD1099" w:rsidRPr="002F561B" w:rsidRDefault="002F561B" w:rsidP="002F561B">
      <w:pPr>
        <w:pStyle w:val="Quote1"/>
        <w:ind w:left="1418" w:hanging="681"/>
        <w:rPr>
          <w:i/>
        </w:rPr>
      </w:pPr>
      <w:r>
        <w:rPr>
          <w:i/>
        </w:rPr>
        <w:t>(a)</w:t>
      </w:r>
      <w:r>
        <w:rPr>
          <w:i/>
        </w:rPr>
        <w:tab/>
      </w:r>
      <w:r w:rsidR="00AD1099" w:rsidRPr="002F561B">
        <w:rPr>
          <w:i/>
        </w:rPr>
        <w:t>the line between the several available grounds for review is not necessarily always clear cut;</w:t>
      </w:r>
    </w:p>
    <w:p w:rsidR="00AD1099" w:rsidRPr="002F561B" w:rsidRDefault="002F561B" w:rsidP="002F561B">
      <w:pPr>
        <w:pStyle w:val="Quote1"/>
        <w:ind w:left="1418" w:hanging="681"/>
        <w:rPr>
          <w:i/>
        </w:rPr>
      </w:pPr>
      <w:r>
        <w:rPr>
          <w:i/>
        </w:rPr>
        <w:t>(b)</w:t>
      </w:r>
      <w:r>
        <w:rPr>
          <w:i/>
        </w:rPr>
        <w:tab/>
      </w:r>
      <w:r w:rsidR="00AD1099" w:rsidRPr="002F561B">
        <w:rPr>
          <w:i/>
        </w:rPr>
        <w:t>there is no clear line between factual error, opinion, and discretionary judgment; one may feed into the other</w:t>
      </w:r>
      <w:r w:rsidR="00CA656E" w:rsidRPr="002F561B">
        <w:rPr>
          <w:i/>
        </w:rPr>
        <w:t>;</w:t>
      </w:r>
    </w:p>
    <w:p w:rsidR="00AD1099" w:rsidRPr="002F561B" w:rsidRDefault="002F561B" w:rsidP="002F561B">
      <w:pPr>
        <w:pStyle w:val="Quote1"/>
        <w:ind w:left="1418" w:hanging="681"/>
        <w:rPr>
          <w:i/>
        </w:rPr>
      </w:pPr>
      <w:r>
        <w:rPr>
          <w:i/>
        </w:rPr>
        <w:t>(c)</w:t>
      </w:r>
      <w:r>
        <w:rPr>
          <w:i/>
        </w:rPr>
        <w:tab/>
      </w:r>
      <w:r w:rsidR="00AD1099" w:rsidRPr="002F561B">
        <w:rPr>
          <w:i/>
        </w:rPr>
        <w:t>any such error or errors - if accepted by the Tribunal - may be a combination of error or errors of fact, wrongful exercise of discretion, and/or the outcome of an unreasonable decision</w:t>
      </w:r>
      <w:r w:rsidR="00CA656E" w:rsidRPr="002F561B">
        <w:rPr>
          <w:i/>
        </w:rPr>
        <w:t>;</w:t>
      </w:r>
    </w:p>
    <w:p w:rsidR="00AD1099" w:rsidRPr="002F561B" w:rsidRDefault="002F561B" w:rsidP="002F561B">
      <w:pPr>
        <w:pStyle w:val="Quote1"/>
        <w:ind w:left="1418" w:hanging="681"/>
        <w:rPr>
          <w:i/>
        </w:rPr>
      </w:pPr>
      <w:r>
        <w:rPr>
          <w:i/>
        </w:rPr>
        <w:t>(d)</w:t>
      </w:r>
      <w:r>
        <w:rPr>
          <w:i/>
        </w:rPr>
        <w:tab/>
      </w:r>
      <w:r w:rsidR="00AD1099" w:rsidRPr="002F561B">
        <w:rPr>
          <w:i/>
        </w:rPr>
        <w:t>because the characterisation of error or errors, if made out, will more clearly emerge in the course of considering the review related material and the submissions dealing with it, it is not appropriate or necessary to embark upon a careful textual analysis and criticism (if any) of an application to describe the combination or permutation of alternative expressions of reviewable error in the relevant application.</w:t>
      </w:r>
    </w:p>
    <w:p w:rsidR="00AD1099" w:rsidRPr="00AD1099" w:rsidRDefault="00AD1099" w:rsidP="0060770E">
      <w:pPr>
        <w:pStyle w:val="NoNum"/>
      </w:pPr>
      <w:r w:rsidRPr="00CA656E">
        <w:t>See</w:t>
      </w:r>
      <w:r>
        <w:t xml:space="preserve"> Applications by Public Interest Advocacy Centre Ltd, </w:t>
      </w:r>
      <w:proofErr w:type="spellStart"/>
      <w:r>
        <w:t>Ausgrid</w:t>
      </w:r>
      <w:proofErr w:type="spellEnd"/>
      <w:r>
        <w:t xml:space="preserve">, Endeavour Energy and Essential Energy [2015] </w:t>
      </w:r>
      <w:proofErr w:type="spellStart"/>
      <w:r>
        <w:t>ACompT</w:t>
      </w:r>
      <w:proofErr w:type="spellEnd"/>
      <w:r>
        <w:t xml:space="preserve"> 2; </w:t>
      </w:r>
      <w:r w:rsidR="00C1066C">
        <w:t xml:space="preserve">Application by </w:t>
      </w:r>
      <w:proofErr w:type="spellStart"/>
      <w:r w:rsidR="00C1066C">
        <w:t>ActewAGL</w:t>
      </w:r>
      <w:proofErr w:type="spellEnd"/>
      <w:r w:rsidR="00C1066C">
        <w:t xml:space="preserve"> Dist</w:t>
      </w:r>
      <w:r>
        <w:t>r</w:t>
      </w:r>
      <w:r w:rsidR="00C1066C">
        <w:t>i</w:t>
      </w:r>
      <w:r>
        <w:t xml:space="preserve">bution [2015] </w:t>
      </w:r>
      <w:proofErr w:type="spellStart"/>
      <w:r>
        <w:t>ACompT</w:t>
      </w:r>
      <w:proofErr w:type="spellEnd"/>
      <w:r w:rsidR="002F561B">
        <w:t> </w:t>
      </w:r>
      <w:r>
        <w:t>3</w:t>
      </w:r>
      <w:r w:rsidR="00472F50">
        <w:t>.</w:t>
      </w:r>
    </w:p>
    <w:p w:rsidR="006B2B4C" w:rsidRDefault="006B2B4C" w:rsidP="006B2B4C">
      <w:pPr>
        <w:pStyle w:val="ParaNumbering"/>
      </w:pPr>
      <w:r>
        <w:t xml:space="preserve">Further, </w:t>
      </w:r>
      <w:r w:rsidR="00CA656E">
        <w:t>the Tribunal has had</w:t>
      </w:r>
      <w:r>
        <w:t xml:space="preserve"> regard to the matters outlined in </w:t>
      </w:r>
      <w:proofErr w:type="spellStart"/>
      <w:r>
        <w:t>ATCO</w:t>
      </w:r>
      <w:r w:rsidR="002F561B">
        <w:t>’</w:t>
      </w:r>
      <w:r>
        <w:t>s</w:t>
      </w:r>
      <w:proofErr w:type="spellEnd"/>
      <w:r>
        <w:t xml:space="preserve"> submissions</w:t>
      </w:r>
      <w:r w:rsidR="00472F50">
        <w:t xml:space="preserve"> on the Leave Application</w:t>
      </w:r>
      <w:r w:rsidR="00125CFC">
        <w:t xml:space="preserve"> (</w:t>
      </w:r>
      <w:r w:rsidR="002F561B">
        <w:t>‘</w:t>
      </w:r>
      <w:proofErr w:type="spellStart"/>
      <w:r w:rsidR="00125CFC">
        <w:rPr>
          <w:b/>
        </w:rPr>
        <w:t>ATCO</w:t>
      </w:r>
      <w:r w:rsidR="002F561B">
        <w:rPr>
          <w:b/>
        </w:rPr>
        <w:t>’</w:t>
      </w:r>
      <w:r w:rsidR="00125CFC">
        <w:rPr>
          <w:b/>
        </w:rPr>
        <w:t>s</w:t>
      </w:r>
      <w:proofErr w:type="spellEnd"/>
      <w:r w:rsidR="00125CFC">
        <w:rPr>
          <w:b/>
        </w:rPr>
        <w:t xml:space="preserve"> Leave Submissions</w:t>
      </w:r>
      <w:r w:rsidR="002F561B">
        <w:t>’</w:t>
      </w:r>
      <w:r w:rsidR="00125CFC">
        <w:t>)</w:t>
      </w:r>
      <w:r>
        <w:t xml:space="preserve"> and paragraph</w:t>
      </w:r>
      <w:r w:rsidR="00472F50">
        <w:t>s</w:t>
      </w:r>
      <w:r w:rsidR="00CA656E">
        <w:t xml:space="preserve"> [207] – </w:t>
      </w:r>
      <w:r>
        <w:t xml:space="preserve">[212] of </w:t>
      </w:r>
      <w:proofErr w:type="spellStart"/>
      <w:r>
        <w:t>ATCO</w:t>
      </w:r>
      <w:r w:rsidR="002F561B">
        <w:t>’</w:t>
      </w:r>
      <w:r>
        <w:t>s</w:t>
      </w:r>
      <w:proofErr w:type="spellEnd"/>
      <w:r>
        <w:t xml:space="preserve"> </w:t>
      </w:r>
      <w:r w:rsidR="00472F50">
        <w:t xml:space="preserve">Review </w:t>
      </w:r>
      <w:r w:rsidR="00CA656E">
        <w:t>Application</w:t>
      </w:r>
      <w:r w:rsidR="0094468E">
        <w:t xml:space="preserve">.  </w:t>
      </w:r>
      <w:r w:rsidR="00CA656E">
        <w:t>In considering these arguments,</w:t>
      </w:r>
      <w:r>
        <w:t xml:space="preserve"> the Tribunal accepts that </w:t>
      </w:r>
      <w:proofErr w:type="spellStart"/>
      <w:r>
        <w:t>ATCO</w:t>
      </w:r>
      <w:proofErr w:type="spellEnd"/>
      <w:r>
        <w:t xml:space="preserve"> has </w:t>
      </w:r>
      <w:r w:rsidR="00CA656E">
        <w:t xml:space="preserve">sufficiently </w:t>
      </w:r>
      <w:r>
        <w:t>addressed the manner in which a determination by the Tribunal in accordance with s 246(</w:t>
      </w:r>
      <w:proofErr w:type="spellStart"/>
      <w:r>
        <w:t>1a</w:t>
      </w:r>
      <w:proofErr w:type="spellEnd"/>
      <w:r>
        <w:t xml:space="preserve">) of the </w:t>
      </w:r>
      <w:proofErr w:type="spellStart"/>
      <w:r>
        <w:t>NGL</w:t>
      </w:r>
      <w:proofErr w:type="spellEnd"/>
      <w:r>
        <w:t xml:space="preserve"> may result in a materially preferable designated N</w:t>
      </w:r>
      <w:r w:rsidR="00472F50">
        <w:t xml:space="preserve">ational </w:t>
      </w:r>
      <w:r>
        <w:t>G</w:t>
      </w:r>
      <w:r w:rsidR="00472F50">
        <w:t xml:space="preserve">as </w:t>
      </w:r>
      <w:r>
        <w:t>O</w:t>
      </w:r>
      <w:r w:rsidR="00472F50">
        <w:t>bjective (</w:t>
      </w:r>
      <w:r w:rsidR="002F561B">
        <w:t>‘</w:t>
      </w:r>
      <w:r w:rsidR="00472F50">
        <w:rPr>
          <w:b/>
        </w:rPr>
        <w:t>NGO</w:t>
      </w:r>
      <w:r w:rsidR="002F561B">
        <w:t>’</w:t>
      </w:r>
      <w:r w:rsidR="00472F50">
        <w:t>)</w:t>
      </w:r>
      <w:r>
        <w:t xml:space="preserve"> decision.</w:t>
      </w:r>
    </w:p>
    <w:p w:rsidR="006B2B4C" w:rsidRDefault="006B2B4C" w:rsidP="002E68A0">
      <w:pPr>
        <w:pStyle w:val="Heading1"/>
      </w:pPr>
      <w:r>
        <w:t>CRITERIA FOR THE GRANTING OF LEAVE</w:t>
      </w:r>
    </w:p>
    <w:p w:rsidR="006B2B4C" w:rsidRDefault="006B2B4C" w:rsidP="006B2B4C">
      <w:pPr>
        <w:pStyle w:val="ParaNumbering"/>
      </w:pPr>
      <w:r>
        <w:t xml:space="preserve">As set out in </w:t>
      </w:r>
      <w:proofErr w:type="spellStart"/>
      <w:r>
        <w:t>ATCO</w:t>
      </w:r>
      <w:r w:rsidR="002F561B">
        <w:t>’</w:t>
      </w:r>
      <w:r>
        <w:t>s</w:t>
      </w:r>
      <w:proofErr w:type="spellEnd"/>
      <w:r>
        <w:t xml:space="preserve"> Leave </w:t>
      </w:r>
      <w:r w:rsidR="00CA656E">
        <w:t>Submissio</w:t>
      </w:r>
      <w:r>
        <w:t>n</w:t>
      </w:r>
      <w:r w:rsidR="00CA656E">
        <w:t>s</w:t>
      </w:r>
      <w:r>
        <w:t xml:space="preserve">, the </w:t>
      </w:r>
      <w:proofErr w:type="spellStart"/>
      <w:r>
        <w:t>NGL</w:t>
      </w:r>
      <w:proofErr w:type="spellEnd"/>
      <w:r>
        <w:t xml:space="preserve"> requires that the following criteria</w:t>
      </w:r>
      <w:r w:rsidR="00472F50">
        <w:t xml:space="preserve"> </w:t>
      </w:r>
      <w:r w:rsidR="000108A4">
        <w:t>be</w:t>
      </w:r>
      <w:r w:rsidR="00472F50">
        <w:t xml:space="preserve"> satisfied</w:t>
      </w:r>
      <w:r>
        <w:t xml:space="preserve"> before leave can be granted:</w:t>
      </w:r>
    </w:p>
    <w:p w:rsidR="00386E53" w:rsidRDefault="0094468E" w:rsidP="0094468E">
      <w:pPr>
        <w:pStyle w:val="ListNo1"/>
        <w:numPr>
          <w:ilvl w:val="0"/>
          <w:numId w:val="0"/>
        </w:numPr>
        <w:ind w:left="720" w:hanging="720"/>
      </w:pPr>
      <w:r>
        <w:lastRenderedPageBreak/>
        <w:t>(a)</w:t>
      </w:r>
      <w:r>
        <w:tab/>
      </w:r>
      <w:r w:rsidR="006B2B4C">
        <w:t>The Tribunal must not grant leave to apply under s 245(1) unless it appears to the Tribunal that there is a serious issue to be heard and determined as to whether a ground for review set out in s 246(1) exists</w:t>
      </w:r>
      <w:r w:rsidR="00472F50">
        <w:t xml:space="preserve"> (s 248(a) of the </w:t>
      </w:r>
      <w:proofErr w:type="spellStart"/>
      <w:r w:rsidR="00472F50">
        <w:t>NGL</w:t>
      </w:r>
      <w:proofErr w:type="spellEnd"/>
      <w:r w:rsidR="00472F50">
        <w:t>)</w:t>
      </w:r>
      <w:r w:rsidR="00BC453A">
        <w:t>;</w:t>
      </w:r>
    </w:p>
    <w:p w:rsidR="00386E53" w:rsidRDefault="0094468E" w:rsidP="0094468E">
      <w:pPr>
        <w:pStyle w:val="ListNo1"/>
        <w:numPr>
          <w:ilvl w:val="0"/>
          <w:numId w:val="0"/>
        </w:numPr>
        <w:ind w:left="720" w:hanging="720"/>
      </w:pPr>
      <w:r>
        <w:t>(b)</w:t>
      </w:r>
      <w:r>
        <w:tab/>
      </w:r>
      <w:r w:rsidR="006B2B4C">
        <w:t xml:space="preserve">The Tribunal must not grant leave unless it appears that the applicant has established a </w:t>
      </w:r>
      <w:r w:rsidR="006B2B4C" w:rsidRPr="008B585A">
        <w:rPr>
          <w:i/>
        </w:rPr>
        <w:t>prima facie</w:t>
      </w:r>
      <w:r w:rsidR="006B2B4C">
        <w:t xml:space="preserve"> case that a determination made by the Tribunal varying the designated reviewable regulatory decision, or setting aside the designated reviewable regulatory decision and a fresh decision being made by the ERA following remission of the matter to the ERA by the Tribunal, on the basis or 1 or more grounds raised in the application, either separately or collectively, would, or would be likely to, result in a materially preferable designated </w:t>
      </w:r>
      <w:r w:rsidR="00125CFC">
        <w:t>NGO</w:t>
      </w:r>
      <w:r w:rsidR="006B2B4C">
        <w:t xml:space="preserve"> decision</w:t>
      </w:r>
      <w:r w:rsidR="00472F50">
        <w:t xml:space="preserve"> (s 248(b) of the </w:t>
      </w:r>
      <w:proofErr w:type="spellStart"/>
      <w:r w:rsidR="00472F50">
        <w:t>NGL</w:t>
      </w:r>
      <w:proofErr w:type="spellEnd"/>
      <w:r w:rsidR="00472F50">
        <w:t>)</w:t>
      </w:r>
      <w:r w:rsidR="00BC453A">
        <w:t>;</w:t>
      </w:r>
    </w:p>
    <w:p w:rsidR="006B2B4C" w:rsidRDefault="0094468E" w:rsidP="0094468E">
      <w:pPr>
        <w:pStyle w:val="ListNo1"/>
        <w:numPr>
          <w:ilvl w:val="0"/>
          <w:numId w:val="0"/>
        </w:numPr>
        <w:ind w:left="720" w:hanging="720"/>
      </w:pPr>
      <w:r>
        <w:t>(c)</w:t>
      </w:r>
      <w:r>
        <w:tab/>
      </w:r>
      <w:r w:rsidR="006B2B4C">
        <w:t xml:space="preserve">Even where it is demonstrated that there is a serious issue to be heard and determined under s 248(a), the Tribunal must not grant leave unless the amount in question specified in or derived from a decision exceeds the lesser of $5 million or 2% of the average annual regulated revenue of </w:t>
      </w:r>
      <w:proofErr w:type="spellStart"/>
      <w:r w:rsidR="006B2B4C">
        <w:t>ATCO</w:t>
      </w:r>
      <w:proofErr w:type="spellEnd"/>
      <w:r w:rsidR="006B2B4C">
        <w:t xml:space="preserve"> (s 249</w:t>
      </w:r>
      <w:r w:rsidR="00904591">
        <w:t>(2)</w:t>
      </w:r>
      <w:r w:rsidR="006B2B4C">
        <w:t xml:space="preserve"> of the </w:t>
      </w:r>
      <w:proofErr w:type="spellStart"/>
      <w:r w:rsidR="006B2B4C">
        <w:t>NGL</w:t>
      </w:r>
      <w:proofErr w:type="spellEnd"/>
      <w:r w:rsidR="006B2B4C">
        <w:t>).</w:t>
      </w:r>
    </w:p>
    <w:p w:rsidR="006B2B4C" w:rsidRDefault="006B2B4C" w:rsidP="006B2B4C">
      <w:pPr>
        <w:pStyle w:val="ParaNumbering"/>
      </w:pPr>
      <w:proofErr w:type="spellStart"/>
      <w:r>
        <w:t>ATCO</w:t>
      </w:r>
      <w:r w:rsidR="002F561B">
        <w:t>’</w:t>
      </w:r>
      <w:r>
        <w:t>s</w:t>
      </w:r>
      <w:proofErr w:type="spellEnd"/>
      <w:r>
        <w:t xml:space="preserve"> Leave </w:t>
      </w:r>
      <w:r w:rsidR="00CA656E">
        <w:t>Submissions</w:t>
      </w:r>
      <w:r>
        <w:t xml:space="preserve"> also identified the criteria</w:t>
      </w:r>
      <w:r w:rsidR="00125CFC">
        <w:t xml:space="preserve"> for leave</w:t>
      </w:r>
      <w:r>
        <w:t xml:space="preserve"> under </w:t>
      </w:r>
      <w:proofErr w:type="spellStart"/>
      <w:r>
        <w:t>ss</w:t>
      </w:r>
      <w:proofErr w:type="spellEnd"/>
      <w:r>
        <w:t xml:space="preserve"> 250 and 251 of the </w:t>
      </w:r>
      <w:proofErr w:type="spellStart"/>
      <w:r>
        <w:t>NGL</w:t>
      </w:r>
      <w:proofErr w:type="spellEnd"/>
      <w:r w:rsidR="0094468E">
        <w:t xml:space="preserve">.  </w:t>
      </w:r>
      <w:r>
        <w:t xml:space="preserve">The Tribunal accepts </w:t>
      </w:r>
      <w:proofErr w:type="spellStart"/>
      <w:r>
        <w:t>ATCO</w:t>
      </w:r>
      <w:r w:rsidR="002F561B">
        <w:t>’</w:t>
      </w:r>
      <w:r>
        <w:t>s</w:t>
      </w:r>
      <w:proofErr w:type="spellEnd"/>
      <w:r>
        <w:t xml:space="preserve"> submissions o</w:t>
      </w:r>
      <w:r w:rsidR="00F72E54">
        <w:t>n these criteria in that s 250 doe</w:t>
      </w:r>
      <w:r>
        <w:t>s not appl</w:t>
      </w:r>
      <w:r w:rsidR="00F72E54">
        <w:t>y</w:t>
      </w:r>
      <w:r>
        <w:t xml:space="preserve"> to this present application, and there h</w:t>
      </w:r>
      <w:r w:rsidR="00125CFC">
        <w:t>as been no evidence of any</w:t>
      </w:r>
      <w:r>
        <w:t xml:space="preserve"> </w:t>
      </w:r>
      <w:r w:rsidR="00125CFC">
        <w:t xml:space="preserve">of the </w:t>
      </w:r>
      <w:r>
        <w:t xml:space="preserve">conduct described in s 251.  </w:t>
      </w:r>
    </w:p>
    <w:p w:rsidR="00386E53" w:rsidRDefault="00CA656E" w:rsidP="006B2B4C">
      <w:pPr>
        <w:pStyle w:val="ParaNumbering"/>
      </w:pPr>
      <w:r>
        <w:t>Each of t</w:t>
      </w:r>
      <w:r w:rsidR="00386E53">
        <w:t>he relevant criteria above are considered below.</w:t>
      </w:r>
    </w:p>
    <w:p w:rsidR="006B2B4C" w:rsidRDefault="006B2B4C" w:rsidP="002E68A0">
      <w:pPr>
        <w:pStyle w:val="Heading2"/>
      </w:pPr>
      <w:r>
        <w:t>Financial threshold (s 249</w:t>
      </w:r>
      <w:r w:rsidR="00F72E54">
        <w:t>(2)</w:t>
      </w:r>
      <w:r>
        <w:t>)</w:t>
      </w:r>
    </w:p>
    <w:p w:rsidR="006B2B4C" w:rsidRDefault="006B2B4C" w:rsidP="006B2B4C">
      <w:pPr>
        <w:pStyle w:val="ParaNumbering"/>
      </w:pPr>
      <w:r>
        <w:t xml:space="preserve">The Byrne Affidavit states that 2% of </w:t>
      </w:r>
      <w:proofErr w:type="spellStart"/>
      <w:r>
        <w:t>ATCO</w:t>
      </w:r>
      <w:r w:rsidR="002F561B">
        <w:t>’</w:t>
      </w:r>
      <w:r>
        <w:t>s</w:t>
      </w:r>
      <w:proofErr w:type="spellEnd"/>
      <w:r>
        <w:t xml:space="preserve"> average annual</w:t>
      </w:r>
      <w:r w:rsidR="00F72E54">
        <w:t xml:space="preserve"> total revenue is $3.09 million</w:t>
      </w:r>
      <w:r w:rsidR="0094468E">
        <w:t xml:space="preserve">.  </w:t>
      </w:r>
      <w:r w:rsidR="00F72E54">
        <w:t>This</w:t>
      </w:r>
      <w:r>
        <w:t xml:space="preserve"> is lower than the $5 million threshold under s 249</w:t>
      </w:r>
      <w:r w:rsidR="0094468E">
        <w:t xml:space="preserve">.  </w:t>
      </w:r>
      <w:r>
        <w:t xml:space="preserve">As such, the amount specified in or derived from the decision must exceed $3.09 million. </w:t>
      </w:r>
    </w:p>
    <w:p w:rsidR="006B2B4C" w:rsidRDefault="006B2B4C" w:rsidP="006B2B4C">
      <w:pPr>
        <w:pStyle w:val="ParaNumbering"/>
      </w:pPr>
      <w:r>
        <w:t xml:space="preserve">As noted in </w:t>
      </w:r>
      <w:proofErr w:type="spellStart"/>
      <w:r w:rsidR="00125CFC" w:rsidRPr="00125CFC">
        <w:t>ATCO</w:t>
      </w:r>
      <w:r w:rsidR="002F561B">
        <w:t>’</w:t>
      </w:r>
      <w:r w:rsidR="00125CFC" w:rsidRPr="00125CFC">
        <w:t>s</w:t>
      </w:r>
      <w:proofErr w:type="spellEnd"/>
      <w:r w:rsidR="00125CFC" w:rsidRPr="00125CFC">
        <w:t xml:space="preserve"> Leave Submissions</w:t>
      </w:r>
      <w:r>
        <w:t xml:space="preserve">, and held by the Tribunal in </w:t>
      </w:r>
      <w:r w:rsidRPr="00125CFC">
        <w:rPr>
          <w:i/>
        </w:rPr>
        <w:t>Application</w:t>
      </w:r>
      <w:r w:rsidR="00125CFC" w:rsidRPr="00125CFC">
        <w:rPr>
          <w:i/>
        </w:rPr>
        <w:t xml:space="preserve"> by Energex Ltd (No 4)</w:t>
      </w:r>
      <w:r w:rsidR="00125CFC">
        <w:t xml:space="preserve"> [2011] </w:t>
      </w:r>
      <w:proofErr w:type="spellStart"/>
      <w:r w:rsidR="00125CFC">
        <w:t>AComp</w:t>
      </w:r>
      <w:r>
        <w:t>T</w:t>
      </w:r>
      <w:proofErr w:type="spellEnd"/>
      <w:r>
        <w:t xml:space="preserve"> 4 at [52], when determining whether the financial threshold </w:t>
      </w:r>
      <w:r w:rsidR="00F72E54">
        <w:t>in s</w:t>
      </w:r>
      <w:r w:rsidR="0094468E">
        <w:t> </w:t>
      </w:r>
      <w:r w:rsidR="00F72E54">
        <w:t xml:space="preserve">249(2) </w:t>
      </w:r>
      <w:r>
        <w:t xml:space="preserve">is satisfied, all of the errors are to be taken into account; the threshold does not need to be satisfied for each ground. </w:t>
      </w:r>
    </w:p>
    <w:p w:rsidR="006B2B4C" w:rsidRDefault="006B2B4C" w:rsidP="006B2B4C">
      <w:pPr>
        <w:pStyle w:val="ParaNumbering"/>
      </w:pPr>
      <w:r>
        <w:t xml:space="preserve">The financial threshold of $3.09 million is amply satisfied, having regard to the amounts specified in the Byrne Affidavit, and as summarised in the table at paragraph 43 of </w:t>
      </w:r>
      <w:proofErr w:type="spellStart"/>
      <w:r w:rsidR="00125CFC" w:rsidRPr="00125CFC">
        <w:t>ATCO</w:t>
      </w:r>
      <w:r w:rsidR="002F561B">
        <w:t>’</w:t>
      </w:r>
      <w:r w:rsidR="00125CFC" w:rsidRPr="00125CFC">
        <w:t>s</w:t>
      </w:r>
      <w:proofErr w:type="spellEnd"/>
      <w:r w:rsidR="00125CFC" w:rsidRPr="00125CFC">
        <w:t xml:space="preserve"> Leave Submissions</w:t>
      </w:r>
      <w:r>
        <w:t>.</w:t>
      </w:r>
    </w:p>
    <w:p w:rsidR="006B2B4C" w:rsidRDefault="006B2B4C" w:rsidP="002E68A0">
      <w:pPr>
        <w:pStyle w:val="Heading2"/>
      </w:pPr>
      <w:r>
        <w:lastRenderedPageBreak/>
        <w:t>Serious issue to be heard and determined (s 248(a))</w:t>
      </w:r>
    </w:p>
    <w:p w:rsidR="006B2B4C" w:rsidRDefault="006B2B4C" w:rsidP="006B2B4C">
      <w:pPr>
        <w:pStyle w:val="ParaNumbering"/>
      </w:pPr>
      <w:proofErr w:type="spellStart"/>
      <w:r>
        <w:t>ATCO</w:t>
      </w:r>
      <w:proofErr w:type="spellEnd"/>
      <w:r>
        <w:t xml:space="preserve"> adopted the submissions of </w:t>
      </w:r>
      <w:proofErr w:type="spellStart"/>
      <w:r>
        <w:t>Au</w:t>
      </w:r>
      <w:r w:rsidR="0094468E">
        <w:t>s</w:t>
      </w:r>
      <w:r>
        <w:t>grid</w:t>
      </w:r>
      <w:proofErr w:type="spellEnd"/>
      <w:r>
        <w:t xml:space="preserve">, Endeavour Energy and Essential Energy in </w:t>
      </w:r>
      <w:r w:rsidRPr="00125CFC">
        <w:rPr>
          <w:i/>
        </w:rPr>
        <w:t>Applications by Public Interest</w:t>
      </w:r>
      <w:r w:rsidR="00125CFC" w:rsidRPr="00125CFC">
        <w:rPr>
          <w:i/>
        </w:rPr>
        <w:t xml:space="preserve"> Advocacy Centre Ltd, </w:t>
      </w:r>
      <w:proofErr w:type="spellStart"/>
      <w:r w:rsidR="00125CFC" w:rsidRPr="00125CFC">
        <w:rPr>
          <w:i/>
        </w:rPr>
        <w:t>Ausgrid</w:t>
      </w:r>
      <w:proofErr w:type="spellEnd"/>
      <w:r w:rsidR="00125CFC" w:rsidRPr="00125CFC">
        <w:rPr>
          <w:i/>
        </w:rPr>
        <w:t>, En</w:t>
      </w:r>
      <w:r w:rsidRPr="00125CFC">
        <w:rPr>
          <w:i/>
        </w:rPr>
        <w:t>deavour Energy and Essential Energy</w:t>
      </w:r>
      <w:r w:rsidR="00125CFC">
        <w:t xml:space="preserve"> [2015] </w:t>
      </w:r>
      <w:proofErr w:type="spellStart"/>
      <w:r w:rsidR="00125CFC">
        <w:t>A</w:t>
      </w:r>
      <w:r>
        <w:t>CompT</w:t>
      </w:r>
      <w:proofErr w:type="spellEnd"/>
      <w:r>
        <w:t xml:space="preserve"> 2, in relation to the legal principles relevant to the meaning of </w:t>
      </w:r>
      <w:r w:rsidR="002F561B">
        <w:t>‘</w:t>
      </w:r>
      <w:r>
        <w:t>serious issue to be heard and determined</w:t>
      </w:r>
      <w:r w:rsidR="002F561B">
        <w:t>’</w:t>
      </w:r>
      <w:r w:rsidR="0094468E">
        <w:t xml:space="preserve">.  </w:t>
      </w:r>
      <w:r>
        <w:t xml:space="preserve">The Tribunal accepts the submissions adopted by </w:t>
      </w:r>
      <w:proofErr w:type="spellStart"/>
      <w:r>
        <w:t>ATCO</w:t>
      </w:r>
      <w:proofErr w:type="spellEnd"/>
      <w:r>
        <w:t xml:space="preserve">, and notes the following </w:t>
      </w:r>
      <w:r w:rsidR="00125CFC">
        <w:t xml:space="preserve">legal principles </w:t>
      </w:r>
      <w:r w:rsidR="00F72E54">
        <w:t>as particularly relevant</w:t>
      </w:r>
      <w:r>
        <w:t>:</w:t>
      </w:r>
    </w:p>
    <w:p w:rsidR="006B2B4C" w:rsidRDefault="002E68A0" w:rsidP="002E68A0">
      <w:pPr>
        <w:pStyle w:val="ListNo1"/>
        <w:numPr>
          <w:ilvl w:val="0"/>
          <w:numId w:val="0"/>
        </w:numPr>
        <w:ind w:left="720" w:hanging="720"/>
      </w:pPr>
      <w:r>
        <w:t>(a)</w:t>
      </w:r>
      <w:r>
        <w:tab/>
      </w:r>
      <w:r w:rsidR="006B2B4C">
        <w:t xml:space="preserve">The phrase </w:t>
      </w:r>
      <w:r w:rsidR="002F561B">
        <w:t>‘</w:t>
      </w:r>
      <w:r w:rsidR="006B2B4C" w:rsidRPr="00CA656E">
        <w:t>serious issue to be heard and determined</w:t>
      </w:r>
      <w:r w:rsidR="002F561B">
        <w:t>’</w:t>
      </w:r>
      <w:r w:rsidR="006B2B4C">
        <w:t xml:space="preserve"> has been correlated with the phrase </w:t>
      </w:r>
      <w:r w:rsidR="002F561B">
        <w:t>‘</w:t>
      </w:r>
      <w:r w:rsidR="006B2B4C" w:rsidRPr="00CA656E">
        <w:t>serious question to be tried</w:t>
      </w:r>
      <w:r w:rsidR="002F561B">
        <w:t>’</w:t>
      </w:r>
      <w:r w:rsidR="006B2B4C">
        <w:t xml:space="preserve"> in the context of the grant of interlocutory injunctions: </w:t>
      </w:r>
      <w:r w:rsidR="001938E0">
        <w:rPr>
          <w:i/>
        </w:rPr>
        <w:t>Re A</w:t>
      </w:r>
      <w:r w:rsidR="006B2B4C" w:rsidRPr="00125CFC">
        <w:rPr>
          <w:i/>
        </w:rPr>
        <w:t xml:space="preserve">pplication by </w:t>
      </w:r>
      <w:proofErr w:type="spellStart"/>
      <w:r w:rsidR="006B2B4C" w:rsidRPr="00125CFC">
        <w:rPr>
          <w:i/>
        </w:rPr>
        <w:t>ElectraNet</w:t>
      </w:r>
      <w:proofErr w:type="spellEnd"/>
      <w:r w:rsidR="006B2B4C" w:rsidRPr="00125CFC">
        <w:rPr>
          <w:i/>
        </w:rPr>
        <w:t xml:space="preserve"> Pty Limited</w:t>
      </w:r>
      <w:r w:rsidR="00BC72D4">
        <w:t xml:space="preserve"> [2008] </w:t>
      </w:r>
      <w:proofErr w:type="spellStart"/>
      <w:r w:rsidR="00BC72D4">
        <w:t>ACompT</w:t>
      </w:r>
      <w:proofErr w:type="spellEnd"/>
      <w:r w:rsidR="00BC72D4">
        <w:t xml:space="preserve"> 1 at [39] –</w:t>
      </w:r>
      <w:r w:rsidR="00CA656E">
        <w:t>[42].</w:t>
      </w:r>
    </w:p>
    <w:p w:rsidR="006B2B4C" w:rsidRDefault="002E68A0" w:rsidP="002E68A0">
      <w:pPr>
        <w:pStyle w:val="ListNo1"/>
        <w:numPr>
          <w:ilvl w:val="0"/>
          <w:numId w:val="0"/>
        </w:numPr>
        <w:ind w:left="720" w:hanging="720"/>
      </w:pPr>
      <w:r>
        <w:t>(b)</w:t>
      </w:r>
      <w:r>
        <w:tab/>
      </w:r>
      <w:r w:rsidR="006B2B4C">
        <w:t xml:space="preserve">The relevant question is indeed whether an applicant has established that there is a serious issue to be heard and determined given the nature of the rights asserted by the applicant and </w:t>
      </w:r>
      <w:r w:rsidR="002F561B">
        <w:t>‘</w:t>
      </w:r>
      <w:r w:rsidR="006B2B4C" w:rsidRPr="00CA656E">
        <w:t>the practical consequences likely to flow</w:t>
      </w:r>
      <w:r w:rsidR="002F561B">
        <w:t>’</w:t>
      </w:r>
      <w:r w:rsidR="006B2B4C">
        <w:t xml:space="preserve"> from the grant of leave</w:t>
      </w:r>
      <w:r w:rsidR="0094468E">
        <w:t xml:space="preserve">.  </w:t>
      </w:r>
      <w:r w:rsidR="006B2B4C">
        <w:t xml:space="preserve">In particular, the Tribunal has previously expressed the view that the threshold merely requires the applicant </w:t>
      </w:r>
      <w:r w:rsidR="006B2B4C" w:rsidRPr="00CA656E">
        <w:t xml:space="preserve">to </w:t>
      </w:r>
      <w:r w:rsidR="002F561B">
        <w:t>‘</w:t>
      </w:r>
      <w:r w:rsidR="006B2B4C" w:rsidRPr="000108A4">
        <w:rPr>
          <w:i/>
        </w:rPr>
        <w:t>show that there is a sufficient prospect of success to justify in the circumstances it being given the opportunity</w:t>
      </w:r>
      <w:r w:rsidR="002F561B">
        <w:t>’</w:t>
      </w:r>
      <w:r w:rsidR="006B2B4C">
        <w:t xml:space="preserve"> to have the decision reviewed</w:t>
      </w:r>
      <w:r w:rsidR="00CA656E">
        <w:t xml:space="preserve">: </w:t>
      </w:r>
      <w:r w:rsidR="00CA656E" w:rsidRPr="00CA656E">
        <w:rPr>
          <w:i/>
        </w:rPr>
        <w:t xml:space="preserve">Application by </w:t>
      </w:r>
      <w:proofErr w:type="spellStart"/>
      <w:r w:rsidR="00CA656E" w:rsidRPr="00CA656E">
        <w:rPr>
          <w:i/>
        </w:rPr>
        <w:t>E</w:t>
      </w:r>
      <w:r w:rsidR="00125CFC" w:rsidRPr="00CA656E">
        <w:rPr>
          <w:i/>
        </w:rPr>
        <w:t>nvestra</w:t>
      </w:r>
      <w:proofErr w:type="spellEnd"/>
      <w:r w:rsidR="00CA656E" w:rsidRPr="00CA656E">
        <w:rPr>
          <w:i/>
        </w:rPr>
        <w:t xml:space="preserve"> Ltd</w:t>
      </w:r>
      <w:r w:rsidR="00CA656E">
        <w:t xml:space="preserve"> [2011] </w:t>
      </w:r>
      <w:proofErr w:type="spellStart"/>
      <w:r w:rsidR="00CA656E">
        <w:t>ACompT</w:t>
      </w:r>
      <w:proofErr w:type="spellEnd"/>
      <w:r w:rsidR="00CA656E">
        <w:t xml:space="preserve"> 12 at [21]</w:t>
      </w:r>
      <w:r w:rsidR="006B2B4C">
        <w:t xml:space="preserve">. </w:t>
      </w:r>
    </w:p>
    <w:p w:rsidR="00125CFC" w:rsidRDefault="00125CFC" w:rsidP="006B2B4C">
      <w:pPr>
        <w:pStyle w:val="ParaNumbering"/>
      </w:pPr>
      <w:r>
        <w:t>As such, t</w:t>
      </w:r>
      <w:r w:rsidR="006B2B4C">
        <w:t>he Tribunal a</w:t>
      </w:r>
      <w:r w:rsidR="00650816">
        <w:t xml:space="preserve">ccepts </w:t>
      </w:r>
      <w:proofErr w:type="spellStart"/>
      <w:r w:rsidR="00650816">
        <w:t>ATCO</w:t>
      </w:r>
      <w:r w:rsidR="002F561B">
        <w:t>’</w:t>
      </w:r>
      <w:r w:rsidR="00650816">
        <w:t>s</w:t>
      </w:r>
      <w:proofErr w:type="spellEnd"/>
      <w:r w:rsidR="00650816">
        <w:t xml:space="preserve"> submission</w:t>
      </w:r>
      <w:r>
        <w:t xml:space="preserve"> that </w:t>
      </w:r>
    </w:p>
    <w:p w:rsidR="006B2B4C" w:rsidRPr="00125CFC" w:rsidRDefault="006B2B4C" w:rsidP="00125CFC">
      <w:pPr>
        <w:pStyle w:val="Quote1"/>
        <w:rPr>
          <w:i/>
        </w:rPr>
      </w:pPr>
      <w:r w:rsidRPr="00125CFC">
        <w:rPr>
          <w:i/>
        </w:rPr>
        <w:t xml:space="preserve">at the leave stage, the Tribunal is not required to determine if it is satisfied that the issues, or some of them, raised in the </w:t>
      </w:r>
      <w:r w:rsidR="00125CFC">
        <w:t xml:space="preserve">[Review] </w:t>
      </w:r>
      <w:r w:rsidRPr="00125CFC">
        <w:rPr>
          <w:i/>
        </w:rPr>
        <w:t>Application are correct and if so whether the potential orders the Tribunal might make as a result would lead to a materially preferable NGO decision. Its function is to decide whether it appears that the criteria in s 248(a) and (b) for leave to a</w:t>
      </w:r>
      <w:r w:rsidR="00125CFC" w:rsidRPr="00125CFC">
        <w:rPr>
          <w:i/>
        </w:rPr>
        <w:t>pply for review have been met.</w:t>
      </w:r>
      <w:r w:rsidRPr="00125CFC">
        <w:rPr>
          <w:i/>
        </w:rPr>
        <w:t xml:space="preserve"> </w:t>
      </w:r>
    </w:p>
    <w:p w:rsidR="006B2B4C" w:rsidRDefault="006B2B4C" w:rsidP="006B2B4C">
      <w:pPr>
        <w:pStyle w:val="ParaNumbering"/>
      </w:pPr>
      <w:r>
        <w:t xml:space="preserve">The particular matters which </w:t>
      </w:r>
      <w:proofErr w:type="spellStart"/>
      <w:r>
        <w:t>ATCO</w:t>
      </w:r>
      <w:proofErr w:type="spellEnd"/>
      <w:r>
        <w:t xml:space="preserve"> contends gives rise to a serious issue to be heard and determined are:</w:t>
      </w:r>
    </w:p>
    <w:p w:rsidR="006B2B4C" w:rsidRDefault="0094468E" w:rsidP="0094468E">
      <w:pPr>
        <w:pStyle w:val="ListNo1"/>
        <w:numPr>
          <w:ilvl w:val="0"/>
          <w:numId w:val="0"/>
        </w:numPr>
        <w:ind w:left="720" w:hanging="720"/>
      </w:pPr>
      <w:r>
        <w:t>(a)</w:t>
      </w:r>
      <w:r>
        <w:tab/>
      </w:r>
      <w:r w:rsidR="006B2B4C">
        <w:t>the allowed rate of return in respect of the return on equity;</w:t>
      </w:r>
    </w:p>
    <w:p w:rsidR="006B2B4C" w:rsidRDefault="0094468E" w:rsidP="0094468E">
      <w:pPr>
        <w:pStyle w:val="ListNo1"/>
        <w:numPr>
          <w:ilvl w:val="0"/>
          <w:numId w:val="0"/>
        </w:numPr>
        <w:ind w:left="720" w:hanging="720"/>
      </w:pPr>
      <w:r>
        <w:t>(b)</w:t>
      </w:r>
      <w:r>
        <w:tab/>
      </w:r>
      <w:r w:rsidR="006B2B4C">
        <w:t>the cost of corporate income tax estimated and the decision on the value of imputation credits;</w:t>
      </w:r>
    </w:p>
    <w:p w:rsidR="006B2B4C" w:rsidRDefault="0094468E" w:rsidP="0094468E">
      <w:pPr>
        <w:pStyle w:val="ListNo1"/>
        <w:numPr>
          <w:ilvl w:val="0"/>
          <w:numId w:val="0"/>
        </w:numPr>
        <w:ind w:left="720" w:hanging="720"/>
      </w:pPr>
      <w:r>
        <w:t>(c)</w:t>
      </w:r>
      <w:r>
        <w:tab/>
      </w:r>
      <w:r w:rsidR="006B2B4C">
        <w:t>the forecast operating expenditure allowance;</w:t>
      </w:r>
    </w:p>
    <w:p w:rsidR="006B2B4C" w:rsidRDefault="0094468E" w:rsidP="0094468E">
      <w:pPr>
        <w:pStyle w:val="ListNo1"/>
        <w:numPr>
          <w:ilvl w:val="0"/>
          <w:numId w:val="0"/>
        </w:numPr>
        <w:ind w:left="720" w:hanging="720"/>
      </w:pPr>
      <w:r>
        <w:t>(d)</w:t>
      </w:r>
      <w:r>
        <w:tab/>
      </w:r>
      <w:r w:rsidR="006B2B4C">
        <w:t>the forecast capital expenditure allowance;</w:t>
      </w:r>
    </w:p>
    <w:p w:rsidR="006B2B4C" w:rsidRDefault="0094468E" w:rsidP="0094468E">
      <w:pPr>
        <w:pStyle w:val="ListNo1"/>
        <w:numPr>
          <w:ilvl w:val="0"/>
          <w:numId w:val="0"/>
        </w:numPr>
        <w:ind w:left="720" w:hanging="720"/>
      </w:pPr>
      <w:r>
        <w:t>(e)</w:t>
      </w:r>
      <w:r>
        <w:tab/>
      </w:r>
      <w:r w:rsidR="006B2B4C">
        <w:t>the amount of depreciation and approach to its calculation; and</w:t>
      </w:r>
    </w:p>
    <w:p w:rsidR="006B2B4C" w:rsidRDefault="0094468E" w:rsidP="0094468E">
      <w:pPr>
        <w:pStyle w:val="ListNo1"/>
        <w:numPr>
          <w:ilvl w:val="0"/>
          <w:numId w:val="0"/>
        </w:numPr>
        <w:ind w:left="720" w:hanging="720"/>
      </w:pPr>
      <w:r>
        <w:t>(f)</w:t>
      </w:r>
      <w:r>
        <w:tab/>
      </w:r>
      <w:r w:rsidR="006B2B4C">
        <w:t>the applicable reference tariff mechanism.</w:t>
      </w:r>
    </w:p>
    <w:p w:rsidR="006B2B4C" w:rsidRDefault="006B2B4C" w:rsidP="006B2B4C">
      <w:pPr>
        <w:pStyle w:val="ParaNumbering"/>
      </w:pPr>
      <w:proofErr w:type="spellStart"/>
      <w:r>
        <w:lastRenderedPageBreak/>
        <w:t>ATCO</w:t>
      </w:r>
      <w:proofErr w:type="spellEnd"/>
      <w:r>
        <w:t xml:space="preserve"> alleges </w:t>
      </w:r>
      <w:r w:rsidR="00015BF6">
        <w:t xml:space="preserve">that </w:t>
      </w:r>
      <w:r w:rsidR="00062FF8">
        <w:t xml:space="preserve">the </w:t>
      </w:r>
      <w:r>
        <w:t>ERA made errors</w:t>
      </w:r>
      <w:r w:rsidR="000108A4">
        <w:t xml:space="preserve">, not only of fact, but in its </w:t>
      </w:r>
      <w:r>
        <w:t>exercise of discretion and in the reasonableness of the decision reached</w:t>
      </w:r>
      <w:r w:rsidR="00CC6CA6">
        <w:t>, in respect of each of these matters above</w:t>
      </w:r>
      <w:r w:rsidR="0094468E">
        <w:t xml:space="preserve">.  </w:t>
      </w:r>
      <w:r w:rsidR="00125CFC">
        <w:t>Given this</w:t>
      </w:r>
      <w:r>
        <w:t xml:space="preserve">, each of </w:t>
      </w:r>
      <w:r w:rsidR="00015BF6">
        <w:t>these matters</w:t>
      </w:r>
      <w:r w:rsidR="00CC6CA6">
        <w:t xml:space="preserve"> gives rise to many</w:t>
      </w:r>
      <w:r>
        <w:t xml:space="preserve"> contested issue between </w:t>
      </w:r>
      <w:r w:rsidR="00062FF8">
        <w:t xml:space="preserve">the </w:t>
      </w:r>
      <w:r>
        <w:t xml:space="preserve">ERA and </w:t>
      </w:r>
      <w:proofErr w:type="spellStart"/>
      <w:r>
        <w:t>ATCO</w:t>
      </w:r>
      <w:proofErr w:type="spellEnd"/>
      <w:r w:rsidR="0094468E">
        <w:t xml:space="preserve">.  </w:t>
      </w:r>
      <w:r>
        <w:t xml:space="preserve">The Tribunal treats this as a significant consideration that weighs in favour of granting leave. </w:t>
      </w:r>
    </w:p>
    <w:p w:rsidR="006B2B4C" w:rsidRDefault="006B2B4C" w:rsidP="006B2B4C">
      <w:pPr>
        <w:pStyle w:val="ParaNumbering"/>
      </w:pPr>
      <w:r>
        <w:t xml:space="preserve">Another key submission of </w:t>
      </w:r>
      <w:proofErr w:type="spellStart"/>
      <w:r>
        <w:t>ATCO</w:t>
      </w:r>
      <w:proofErr w:type="spellEnd"/>
      <w:r>
        <w:t xml:space="preserve"> accepted by the Tribunal is that the grant of leave does not affect </w:t>
      </w:r>
      <w:r w:rsidR="00125CFC">
        <w:t xml:space="preserve">the </w:t>
      </w:r>
      <w:r>
        <w:t>rights of any other person or entity, including the ERA</w:t>
      </w:r>
      <w:r w:rsidR="0094468E">
        <w:t xml:space="preserve">.  </w:t>
      </w:r>
      <w:r>
        <w:t xml:space="preserve">Rather, granting leave to </w:t>
      </w:r>
      <w:proofErr w:type="spellStart"/>
      <w:r>
        <w:t>ATCO</w:t>
      </w:r>
      <w:proofErr w:type="spellEnd"/>
      <w:r>
        <w:t xml:space="preserve"> to make its </w:t>
      </w:r>
      <w:r w:rsidR="00125CFC">
        <w:t xml:space="preserve">Review Application merely allows </w:t>
      </w:r>
      <w:proofErr w:type="spellStart"/>
      <w:r w:rsidR="00125CFC">
        <w:t>ATCO</w:t>
      </w:r>
      <w:proofErr w:type="spellEnd"/>
      <w:r w:rsidR="00125CFC">
        <w:t xml:space="preserve"> the</w:t>
      </w:r>
      <w:r>
        <w:t xml:space="preserve"> opportunity to argue that:</w:t>
      </w:r>
    </w:p>
    <w:p w:rsidR="006B2B4C" w:rsidRDefault="002E68A0" w:rsidP="002E68A0">
      <w:pPr>
        <w:pStyle w:val="ListNo1"/>
        <w:numPr>
          <w:ilvl w:val="0"/>
          <w:numId w:val="0"/>
        </w:numPr>
        <w:ind w:left="720" w:hanging="720"/>
      </w:pPr>
      <w:r>
        <w:t>(a)</w:t>
      </w:r>
      <w:r>
        <w:tab/>
      </w:r>
      <w:r w:rsidR="006B2B4C">
        <w:t xml:space="preserve">any or all of the identified grounds for review are established; and </w:t>
      </w:r>
    </w:p>
    <w:p w:rsidR="006B2B4C" w:rsidRDefault="002E68A0" w:rsidP="002E68A0">
      <w:pPr>
        <w:pStyle w:val="ListNo1"/>
        <w:numPr>
          <w:ilvl w:val="0"/>
          <w:numId w:val="0"/>
        </w:numPr>
        <w:ind w:left="720" w:hanging="720"/>
      </w:pPr>
      <w:r>
        <w:t>(b)</w:t>
      </w:r>
      <w:r>
        <w:tab/>
      </w:r>
      <w:r w:rsidR="006B2B4C">
        <w:t>a determination to vary or set aside and remit the Amended Final Decision will result in a materially preferable decision in making a contribution to the achievement of the NGO.</w:t>
      </w:r>
    </w:p>
    <w:p w:rsidR="00125CFC" w:rsidRDefault="000108A4" w:rsidP="00125CFC">
      <w:pPr>
        <w:pStyle w:val="ParaNumbering"/>
      </w:pPr>
      <w:r>
        <w:t>In light of this</w:t>
      </w:r>
      <w:r w:rsidR="00125CFC">
        <w:t xml:space="preserve"> and the number of issues in dispute between the parties</w:t>
      </w:r>
      <w:r w:rsidR="00D17CC3">
        <w:t>,</w:t>
      </w:r>
      <w:r w:rsidR="00125CFC">
        <w:t xml:space="preserve"> the Tribunal</w:t>
      </w:r>
      <w:r w:rsidR="00650816">
        <w:t xml:space="preserve"> is satisfied</w:t>
      </w:r>
      <w:r w:rsidR="00125CFC">
        <w:t xml:space="preserve"> that there appears to be a serious issue to be heard and determined.</w:t>
      </w:r>
    </w:p>
    <w:p w:rsidR="006B2B4C" w:rsidRDefault="006B2B4C" w:rsidP="002E68A0">
      <w:pPr>
        <w:pStyle w:val="Heading2"/>
      </w:pPr>
      <w:r w:rsidRPr="00015BF6">
        <w:rPr>
          <w:i/>
        </w:rPr>
        <w:t>Prima facie</w:t>
      </w:r>
      <w:r>
        <w:t xml:space="preserve"> case (s 248(b))</w:t>
      </w:r>
    </w:p>
    <w:p w:rsidR="006B2B4C" w:rsidRDefault="006B2B4C" w:rsidP="006B2B4C">
      <w:pPr>
        <w:pStyle w:val="ParaNumbering"/>
      </w:pPr>
      <w:r>
        <w:t xml:space="preserve">The Tribunal has had regard to the principles relevant to considering whether a </w:t>
      </w:r>
      <w:r w:rsidRPr="00015BF6">
        <w:rPr>
          <w:i/>
        </w:rPr>
        <w:t>prima facie</w:t>
      </w:r>
      <w:r>
        <w:t xml:space="preserve"> case under s 248(b) has been established</w:t>
      </w:r>
      <w:r w:rsidR="0094468E">
        <w:t xml:space="preserve">.  </w:t>
      </w:r>
      <w:r>
        <w:t xml:space="preserve">Similarly to the approach adopted in respect of </w:t>
      </w:r>
      <w:r w:rsidR="00015BF6">
        <w:t>s</w:t>
      </w:r>
      <w:r w:rsidR="0094468E">
        <w:t> </w:t>
      </w:r>
      <w:r w:rsidR="00015BF6">
        <w:t>248(a)</w:t>
      </w:r>
      <w:r>
        <w:t>, at the leav</w:t>
      </w:r>
      <w:r w:rsidR="00E248F6">
        <w:t>e stage, it is sufficient for the Tribunal to be satisfied that it</w:t>
      </w:r>
      <w:r>
        <w:t xml:space="preserve"> </w:t>
      </w:r>
      <w:r w:rsidR="002F561B">
        <w:t>‘</w:t>
      </w:r>
      <w:r>
        <w:t>appear</w:t>
      </w:r>
      <w:r w:rsidR="00E248F6">
        <w:t>s</w:t>
      </w:r>
      <w:r w:rsidR="002F561B">
        <w:t>’</w:t>
      </w:r>
      <w:r>
        <w:t xml:space="preserve"> that there is a </w:t>
      </w:r>
      <w:r w:rsidRPr="00015BF6">
        <w:rPr>
          <w:i/>
        </w:rPr>
        <w:t>prima facie</w:t>
      </w:r>
      <w:r>
        <w:t xml:space="preserve"> case</w:t>
      </w:r>
      <w:r w:rsidR="00E248F6">
        <w:t xml:space="preserve"> of the kind provided for in s 249(b)</w:t>
      </w:r>
      <w:r w:rsidR="0094468E">
        <w:t xml:space="preserve">.  </w:t>
      </w:r>
      <w:r>
        <w:t xml:space="preserve">As </w:t>
      </w:r>
      <w:proofErr w:type="spellStart"/>
      <w:r>
        <w:t>ATCO</w:t>
      </w:r>
      <w:proofErr w:type="spellEnd"/>
      <w:r>
        <w:t xml:space="preserve"> submits, </w:t>
      </w:r>
      <w:r w:rsidR="002F561B">
        <w:t>‘</w:t>
      </w:r>
      <w:r w:rsidRPr="00E248F6">
        <w:rPr>
          <w:i/>
        </w:rPr>
        <w:t xml:space="preserve">the test does not require the same degree of </w:t>
      </w:r>
      <w:r w:rsidR="002F561B">
        <w:rPr>
          <w:i/>
        </w:rPr>
        <w:t>“</w:t>
      </w:r>
      <w:r w:rsidRPr="00E248F6">
        <w:rPr>
          <w:i/>
        </w:rPr>
        <w:t>satisfaction</w:t>
      </w:r>
      <w:r w:rsidR="002F561B">
        <w:rPr>
          <w:i/>
        </w:rPr>
        <w:t>”</w:t>
      </w:r>
      <w:r w:rsidRPr="00E248F6">
        <w:rPr>
          <w:i/>
        </w:rPr>
        <w:t xml:space="preserve"> as that specified in the </w:t>
      </w:r>
      <w:proofErr w:type="spellStart"/>
      <w:r w:rsidRPr="00E248F6">
        <w:rPr>
          <w:i/>
        </w:rPr>
        <w:t>NGL</w:t>
      </w:r>
      <w:proofErr w:type="spellEnd"/>
      <w:r w:rsidRPr="00E248F6">
        <w:rPr>
          <w:i/>
        </w:rPr>
        <w:t xml:space="preserve"> when it comes time for the Tribunal to make a determination after the review has taken place</w:t>
      </w:r>
      <w:r>
        <w:t>.</w:t>
      </w:r>
      <w:r w:rsidR="002F561B">
        <w:t>’</w:t>
      </w:r>
      <w:r>
        <w:t xml:space="preserve"> </w:t>
      </w:r>
    </w:p>
    <w:p w:rsidR="00E248F6" w:rsidRDefault="006B2B4C" w:rsidP="006B2B4C">
      <w:pPr>
        <w:pStyle w:val="ParaNumbering"/>
      </w:pPr>
      <w:r>
        <w:t xml:space="preserve">In summary, </w:t>
      </w:r>
      <w:proofErr w:type="spellStart"/>
      <w:r>
        <w:t>ATCO</w:t>
      </w:r>
      <w:proofErr w:type="spellEnd"/>
      <w:r>
        <w:t xml:space="preserve"> submits that should</w:t>
      </w:r>
      <w:r w:rsidR="00015BF6">
        <w:t xml:space="preserve"> it be found that</w:t>
      </w:r>
      <w:r>
        <w:t xml:space="preserve"> the</w:t>
      </w:r>
      <w:r w:rsidR="00015BF6">
        <w:t xml:space="preserve"> alleged</w:t>
      </w:r>
      <w:r>
        <w:t xml:space="preserve"> errors identified in </w:t>
      </w:r>
      <w:r w:rsidR="00015BF6">
        <w:t>its</w:t>
      </w:r>
      <w:r>
        <w:t xml:space="preserve"> application </w:t>
      </w:r>
      <w:r w:rsidR="00015BF6">
        <w:t xml:space="preserve">need to </w:t>
      </w:r>
      <w:r>
        <w:t xml:space="preserve">be corrected, the </w:t>
      </w:r>
      <w:r w:rsidR="00015BF6" w:rsidRPr="00015BF6">
        <w:t>Access A</w:t>
      </w:r>
      <w:r w:rsidRPr="00015BF6">
        <w:t>rrangement</w:t>
      </w:r>
      <w:r w:rsidR="00015BF6" w:rsidRPr="00015BF6">
        <w:t xml:space="preserve"> Decision</w:t>
      </w:r>
      <w:r>
        <w:t xml:space="preserve"> will better adhere to the relevant provisions of the </w:t>
      </w:r>
      <w:proofErr w:type="spellStart"/>
      <w:r>
        <w:t>NGR</w:t>
      </w:r>
      <w:proofErr w:type="spellEnd"/>
      <w:r>
        <w:t xml:space="preserve"> and the </w:t>
      </w:r>
      <w:proofErr w:type="spellStart"/>
      <w:r>
        <w:t>NGL</w:t>
      </w:r>
      <w:proofErr w:type="spellEnd"/>
      <w:r>
        <w:t xml:space="preserve">, thereby contributing to the NGO, as </w:t>
      </w:r>
      <w:r w:rsidR="002F561B">
        <w:t>‘</w:t>
      </w:r>
      <w:r w:rsidRPr="000108A4">
        <w:rPr>
          <w:i/>
        </w:rPr>
        <w:t>those provisions are made of that purpose</w:t>
      </w:r>
      <w:r w:rsidR="002F561B">
        <w:t>’</w:t>
      </w:r>
      <w:r w:rsidR="0094468E">
        <w:t xml:space="preserve">.  </w:t>
      </w:r>
      <w:r>
        <w:t xml:space="preserve">For example, </w:t>
      </w:r>
      <w:proofErr w:type="spellStart"/>
      <w:r>
        <w:t>ATCO</w:t>
      </w:r>
      <w:proofErr w:type="spellEnd"/>
      <w:r>
        <w:t xml:space="preserve"> submits that correcting the</w:t>
      </w:r>
      <w:r w:rsidR="00015BF6">
        <w:t xml:space="preserve"> alleged</w:t>
      </w:r>
      <w:r>
        <w:t xml:space="preserve"> errors</w:t>
      </w:r>
      <w:r w:rsidR="00E248F6">
        <w:t>:</w:t>
      </w:r>
      <w:r>
        <w:t xml:space="preserve"> </w:t>
      </w:r>
    </w:p>
    <w:p w:rsidR="00E248F6" w:rsidRDefault="0094468E" w:rsidP="0094468E">
      <w:pPr>
        <w:pStyle w:val="ListNo1"/>
        <w:numPr>
          <w:ilvl w:val="0"/>
          <w:numId w:val="0"/>
        </w:numPr>
        <w:ind w:left="720" w:hanging="720"/>
      </w:pPr>
      <w:r>
        <w:t>(a)</w:t>
      </w:r>
      <w:r>
        <w:tab/>
      </w:r>
      <w:r w:rsidR="002F561B">
        <w:t>‘</w:t>
      </w:r>
      <w:r w:rsidR="006B2B4C" w:rsidRPr="000108A4">
        <w:rPr>
          <w:i/>
        </w:rPr>
        <w:t>will prevent adverse impacts on the quality</w:t>
      </w:r>
      <w:r w:rsidR="00B60734" w:rsidRPr="000108A4">
        <w:rPr>
          <w:i/>
        </w:rPr>
        <w:t>,</w:t>
      </w:r>
      <w:r w:rsidR="006B2B4C" w:rsidRPr="000108A4">
        <w:rPr>
          <w:i/>
        </w:rPr>
        <w:t xml:space="preserve"> safety, security and reliability of gas supply to consumers over the long te</w:t>
      </w:r>
      <w:r w:rsidR="00E248F6" w:rsidRPr="000108A4">
        <w:rPr>
          <w:i/>
        </w:rPr>
        <w:t>rm</w:t>
      </w:r>
      <w:r w:rsidR="002F561B">
        <w:t>’</w:t>
      </w:r>
      <w:r w:rsidR="00E248F6">
        <w:t>;</w:t>
      </w:r>
      <w:r w:rsidR="006B2B4C">
        <w:t xml:space="preserve"> </w:t>
      </w:r>
    </w:p>
    <w:p w:rsidR="00E248F6" w:rsidRDefault="0094468E" w:rsidP="0094468E">
      <w:pPr>
        <w:pStyle w:val="ListNo1"/>
        <w:numPr>
          <w:ilvl w:val="0"/>
          <w:numId w:val="0"/>
        </w:numPr>
        <w:ind w:left="720" w:hanging="720"/>
      </w:pPr>
      <w:r>
        <w:t>(b)</w:t>
      </w:r>
      <w:r>
        <w:tab/>
      </w:r>
      <w:r w:rsidR="002F561B">
        <w:t>‘</w:t>
      </w:r>
      <w:r w:rsidR="006B2B4C" w:rsidRPr="000108A4">
        <w:rPr>
          <w:i/>
        </w:rPr>
        <w:t xml:space="preserve">would promote the efficient investment in the </w:t>
      </w:r>
      <w:proofErr w:type="spellStart"/>
      <w:r w:rsidR="006B2B4C" w:rsidRPr="000108A4">
        <w:rPr>
          <w:i/>
        </w:rPr>
        <w:t>ATCO</w:t>
      </w:r>
      <w:proofErr w:type="spellEnd"/>
      <w:r w:rsidR="006B2B4C" w:rsidRPr="000108A4">
        <w:rPr>
          <w:i/>
        </w:rPr>
        <w:t xml:space="preserve"> gas distribution system, which would be more conducive to </w:t>
      </w:r>
      <w:r w:rsidR="00E248F6" w:rsidRPr="000108A4">
        <w:rPr>
          <w:i/>
        </w:rPr>
        <w:t>its efficient operation and use</w:t>
      </w:r>
      <w:r w:rsidR="002F561B" w:rsidRPr="000108A4">
        <w:rPr>
          <w:i/>
        </w:rPr>
        <w:t>’</w:t>
      </w:r>
      <w:r w:rsidR="00E248F6">
        <w:t>; and</w:t>
      </w:r>
    </w:p>
    <w:p w:rsidR="006B2B4C" w:rsidRDefault="0094468E" w:rsidP="0094468E">
      <w:pPr>
        <w:pStyle w:val="ListNo1"/>
        <w:numPr>
          <w:ilvl w:val="0"/>
          <w:numId w:val="0"/>
        </w:numPr>
        <w:ind w:left="720" w:hanging="720"/>
      </w:pPr>
      <w:r>
        <w:lastRenderedPageBreak/>
        <w:t>(c)</w:t>
      </w:r>
      <w:r>
        <w:tab/>
      </w:r>
      <w:r w:rsidR="00EB69BF">
        <w:t>w</w:t>
      </w:r>
      <w:r w:rsidR="00EF4D68">
        <w:t xml:space="preserve">ill </w:t>
      </w:r>
      <w:r w:rsidR="002F561B">
        <w:t>‘</w:t>
      </w:r>
      <w:r w:rsidR="00EF4D68" w:rsidRPr="000108A4">
        <w:rPr>
          <w:i/>
        </w:rPr>
        <w:t xml:space="preserve">provide </w:t>
      </w:r>
      <w:proofErr w:type="spellStart"/>
      <w:r w:rsidR="00EF4D68" w:rsidRPr="000108A4">
        <w:rPr>
          <w:i/>
        </w:rPr>
        <w:t>ATCO</w:t>
      </w:r>
      <w:proofErr w:type="spellEnd"/>
      <w:r w:rsidR="00EF4D68" w:rsidRPr="000108A4">
        <w:rPr>
          <w:i/>
        </w:rPr>
        <w:t xml:space="preserve"> with a reasonable opportunity to recover at least its efficient costs of providing reference services and complying with its regulatory obligations and requirements as contemplated by s 24(2) (being on</w:t>
      </w:r>
      <w:r w:rsidR="00EB69BF" w:rsidRPr="000108A4">
        <w:rPr>
          <w:i/>
        </w:rPr>
        <w:t>e</w:t>
      </w:r>
      <w:r w:rsidR="00EF4D68" w:rsidRPr="000108A4">
        <w:rPr>
          <w:i/>
        </w:rPr>
        <w:t xml:space="preserve"> of the Revenue and Pricing Principles) of the </w:t>
      </w:r>
      <w:proofErr w:type="spellStart"/>
      <w:r w:rsidR="00EF4D68" w:rsidRPr="000108A4">
        <w:rPr>
          <w:i/>
        </w:rPr>
        <w:t>NGL</w:t>
      </w:r>
      <w:proofErr w:type="spellEnd"/>
      <w:r w:rsidR="00EF4D68" w:rsidRPr="000108A4">
        <w:rPr>
          <w:i/>
        </w:rPr>
        <w:t>.</w:t>
      </w:r>
      <w:r w:rsidR="002F561B">
        <w:t>’</w:t>
      </w:r>
      <w:r w:rsidR="006B2B4C">
        <w:t xml:space="preserve"> </w:t>
      </w:r>
    </w:p>
    <w:p w:rsidR="00624520" w:rsidRDefault="00E93E96" w:rsidP="006B2B4C">
      <w:pPr>
        <w:pStyle w:val="ParaNumbering"/>
      </w:pPr>
      <w:r>
        <w:t>On the basis of these considerations, and on the matters set out more fully</w:t>
      </w:r>
      <w:r w:rsidR="00015BF6">
        <w:t xml:space="preserve"> in</w:t>
      </w:r>
      <w:r>
        <w:t xml:space="preserve"> </w:t>
      </w:r>
      <w:proofErr w:type="spellStart"/>
      <w:r>
        <w:t>ATCO</w:t>
      </w:r>
      <w:r w:rsidR="002F561B">
        <w:t>’</w:t>
      </w:r>
      <w:r>
        <w:t>s</w:t>
      </w:r>
      <w:proofErr w:type="spellEnd"/>
      <w:r>
        <w:t xml:space="preserve"> Review Application, the Tribunal considers that a </w:t>
      </w:r>
      <w:r w:rsidRPr="00E93E96">
        <w:rPr>
          <w:i/>
        </w:rPr>
        <w:t>prima facie</w:t>
      </w:r>
      <w:r>
        <w:t xml:space="preserve"> case pursuant to s 249(b)</w:t>
      </w:r>
      <w:r w:rsidR="000108A4">
        <w:t xml:space="preserve"> of the NGL</w:t>
      </w:r>
      <w:r>
        <w:t xml:space="preserve"> has been established by </w:t>
      </w:r>
      <w:proofErr w:type="spellStart"/>
      <w:r>
        <w:t>ATCO</w:t>
      </w:r>
      <w:proofErr w:type="spellEnd"/>
      <w:r>
        <w:t>.</w:t>
      </w:r>
    </w:p>
    <w:p w:rsidR="00F83844" w:rsidRDefault="00F83844" w:rsidP="00F83844">
      <w:pPr>
        <w:pStyle w:val="Heading1"/>
      </w:pPr>
      <w:r>
        <w:t>CONCLUSION</w:t>
      </w:r>
    </w:p>
    <w:p w:rsidR="00E93E96" w:rsidRDefault="00AF1CD4" w:rsidP="006B2B4C">
      <w:pPr>
        <w:pStyle w:val="ParaNumbering"/>
      </w:pPr>
      <w:r>
        <w:t>As t</w:t>
      </w:r>
      <w:r w:rsidR="00E93E96">
        <w:t xml:space="preserve">he three </w:t>
      </w:r>
      <w:r>
        <w:t xml:space="preserve">relevant </w:t>
      </w:r>
      <w:r w:rsidR="00E93E96">
        <w:t>criteria for the granting of leave have been satisfied</w:t>
      </w:r>
      <w:r>
        <w:t xml:space="preserve">, </w:t>
      </w:r>
      <w:r w:rsidR="00E93E96">
        <w:t xml:space="preserve">the Tribunal grants leave to </w:t>
      </w:r>
      <w:proofErr w:type="spellStart"/>
      <w:r w:rsidR="00E93E96">
        <w:t>ATCO</w:t>
      </w:r>
      <w:proofErr w:type="spellEnd"/>
      <w:r w:rsidR="00E93E96">
        <w:t xml:space="preserve"> to apply for </w:t>
      </w:r>
      <w:r w:rsidR="000D0ECE">
        <w:t xml:space="preserve">a merits </w:t>
      </w:r>
      <w:r w:rsidR="00E93E96">
        <w:t>review</w:t>
      </w:r>
      <w:r w:rsidR="000D0ECE">
        <w:t xml:space="preserve"> </w:t>
      </w:r>
      <w:r w:rsidR="000B0680">
        <w:t xml:space="preserve">of the Access Arrangement Decision </w:t>
      </w:r>
      <w:r w:rsidR="000D0ECE">
        <w:t>under s</w:t>
      </w:r>
      <w:r w:rsidR="0094468E">
        <w:t> </w:t>
      </w:r>
      <w:r w:rsidR="000D0ECE">
        <w:t xml:space="preserve">245 of the </w:t>
      </w:r>
      <w:proofErr w:type="spellStart"/>
      <w:r w:rsidR="000D0ECE">
        <w:t>NGL</w:t>
      </w:r>
      <w:proofErr w:type="spellEnd"/>
      <w:r w:rsidR="00E93E96">
        <w:t>.</w:t>
      </w:r>
    </w:p>
    <w:p w:rsidR="0016479C" w:rsidRPr="00CA23A0" w:rsidRDefault="0016479C" w:rsidP="0016479C">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CA23A0" w:rsidRPr="00CA23A0">
        <w:tc>
          <w:tcPr>
            <w:tcW w:w="3794" w:type="dxa"/>
            <w:shd w:val="clear" w:color="auto" w:fill="auto"/>
          </w:tcPr>
          <w:p w:rsidR="00CA23A0" w:rsidRPr="00CA23A0" w:rsidRDefault="00CA23A0" w:rsidP="00D95B24">
            <w:pPr>
              <w:pStyle w:val="Normal1linespace"/>
            </w:pPr>
            <w:bookmarkStart w:id="20" w:name="Certification"/>
            <w:r w:rsidRPr="00CA23A0">
              <w:t xml:space="preserve">I certify that the preceding </w:t>
            </w:r>
            <w:bookmarkStart w:id="21" w:name="NumberWord"/>
            <w:r>
              <w:t>thirty-two</w:t>
            </w:r>
            <w:bookmarkEnd w:id="21"/>
            <w:r w:rsidRPr="00CA23A0">
              <w:t xml:space="preserve"> (</w:t>
            </w:r>
            <w:bookmarkStart w:id="22" w:name="NumberNumeral"/>
            <w:r>
              <w:t>32</w:t>
            </w:r>
            <w:bookmarkEnd w:id="22"/>
            <w:r w:rsidRPr="00CA23A0">
              <w:t xml:space="preserve">) numbered </w:t>
            </w:r>
            <w:bookmarkStart w:id="23" w:name="CertPara"/>
            <w:r>
              <w:t>paragraphs are</w:t>
            </w:r>
            <w:bookmarkEnd w:id="23"/>
            <w:r w:rsidRPr="00CA23A0">
              <w:t xml:space="preserve"> a true copy of the Reasons for Judgment herein of the Honourable </w:t>
            </w:r>
            <w:bookmarkStart w:id="24" w:name="Justice"/>
            <w:r>
              <w:t>Justice Middleto</w:t>
            </w:r>
            <w:r w:rsidR="00D95B24">
              <w:t xml:space="preserve">n, Mr R </w:t>
            </w:r>
            <w:proofErr w:type="spellStart"/>
            <w:r w:rsidR="00D95B24">
              <w:t>Steinwall</w:t>
            </w:r>
            <w:proofErr w:type="spellEnd"/>
            <w:r w:rsidR="00D95B24">
              <w:t xml:space="preserve"> and Professor </w:t>
            </w:r>
            <w:proofErr w:type="spellStart"/>
            <w:r w:rsidR="00D95B24">
              <w:t>KT</w:t>
            </w:r>
            <w:proofErr w:type="spellEnd"/>
            <w:r w:rsidR="00D95B24">
              <w:t xml:space="preserve"> Davis</w:t>
            </w:r>
            <w:bookmarkEnd w:id="24"/>
            <w:r w:rsidRPr="00CA23A0">
              <w:t>.</w:t>
            </w:r>
          </w:p>
        </w:tc>
      </w:tr>
    </w:tbl>
    <w:p w:rsidR="00CA23A0" w:rsidRDefault="00CA23A0" w:rsidP="00815065">
      <w:pPr>
        <w:pStyle w:val="BodyText"/>
      </w:pPr>
    </w:p>
    <w:p w:rsidR="00CA23A0" w:rsidRDefault="00CA23A0" w:rsidP="00815065">
      <w:pPr>
        <w:pStyle w:val="BodyText"/>
      </w:pPr>
      <w:r>
        <w:t>Associate:</w:t>
      </w:r>
      <w:r w:rsidR="004E5FB9">
        <w:t xml:space="preserve">  </w:t>
      </w:r>
      <w:bookmarkStart w:id="25" w:name="_GoBack"/>
      <w:bookmarkEnd w:id="25"/>
    </w:p>
    <w:p w:rsidR="00CA23A0" w:rsidRDefault="00CA23A0" w:rsidP="00815065">
      <w:pPr>
        <w:pStyle w:val="BodyText"/>
      </w:pPr>
    </w:p>
    <w:p w:rsidR="00CA23A0" w:rsidRDefault="00CA23A0" w:rsidP="00815065">
      <w:pPr>
        <w:pStyle w:val="BodyText"/>
        <w:tabs>
          <w:tab w:val="left" w:pos="1134"/>
        </w:tabs>
      </w:pPr>
      <w:r>
        <w:t>Dated:</w:t>
      </w:r>
      <w:r>
        <w:tab/>
      </w:r>
      <w:bookmarkStart w:id="26" w:name="CertifyDated"/>
      <w:r w:rsidR="004E5FB9">
        <w:t>1 December 2015</w:t>
      </w:r>
      <w:bookmarkEnd w:id="26"/>
    </w:p>
    <w:p w:rsidR="00CE5CFF" w:rsidRDefault="00CE5CFF" w:rsidP="00815065">
      <w:pPr>
        <w:pStyle w:val="BodyText"/>
      </w:pPr>
    </w:p>
    <w:p w:rsidR="00CE5CFF" w:rsidRPr="00CE5CFF" w:rsidRDefault="00CE5CFF" w:rsidP="00CE5CFF"/>
    <w:bookmarkEnd w:id="20"/>
    <w:sectPr w:rsidR="00CE5CFF" w:rsidRPr="00CE5CFF">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2F" w:rsidRDefault="00BE062F">
      <w:pPr>
        <w:spacing w:line="20" w:lineRule="exact"/>
      </w:pPr>
    </w:p>
    <w:p w:rsidR="00BE062F" w:rsidRDefault="00BE062F"/>
    <w:p w:rsidR="00BE062F" w:rsidRDefault="00BE062F"/>
  </w:endnote>
  <w:endnote w:type="continuationSeparator" w:id="0">
    <w:p w:rsidR="00BE062F" w:rsidRDefault="00BE062F">
      <w:r>
        <w:t xml:space="preserve"> </w:t>
      </w:r>
    </w:p>
    <w:p w:rsidR="00BE062F" w:rsidRDefault="00BE062F"/>
    <w:p w:rsidR="00BE062F" w:rsidRDefault="00BE062F"/>
  </w:endnote>
  <w:endnote w:type="continuationNotice" w:id="1">
    <w:p w:rsidR="00BE062F" w:rsidRDefault="00BE062F">
      <w:r>
        <w:t xml:space="preserve"> </w:t>
      </w:r>
    </w:p>
    <w:p w:rsidR="00BE062F" w:rsidRDefault="00BE062F"/>
    <w:p w:rsidR="00BE062F" w:rsidRDefault="00BE0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4E5FB9" w:rsidRDefault="00395B24" w:rsidP="004E5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4E5FB9" w:rsidRDefault="002F1E49" w:rsidP="004E5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2F" w:rsidRDefault="00BE062F"/>
    <w:p w:rsidR="00BE062F" w:rsidRDefault="00BE062F"/>
    <w:p w:rsidR="00BE062F" w:rsidRDefault="00BE062F"/>
  </w:footnote>
  <w:footnote w:type="continuationSeparator" w:id="0">
    <w:p w:rsidR="00BE062F" w:rsidRDefault="00BE062F">
      <w:r>
        <w:continuationSeparator/>
      </w:r>
    </w:p>
    <w:p w:rsidR="00BE062F" w:rsidRDefault="00BE062F"/>
    <w:p w:rsidR="00BE062F" w:rsidRDefault="00BE0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C2DDE">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C2DDE">
      <w:rPr>
        <w:noProof/>
      </w:rPr>
      <w:t>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
    <w:docVar w:name="CounselParties" w:val="Respondent"/>
    <w:docVar w:name="CounselType" w:val="Solicitor for the "/>
    <w:docVar w:name="Division" w:val="GENERAL DIVISION"/>
    <w:docVar w:name="DocCreated" w:val="True"/>
    <w:docVar w:name="FileNumbers" w:val="ACT 10 of 2015"/>
    <w:docVar w:name="FullCourt" w:val="False"/>
    <w:docVar w:name="HearingDate" w:val="##"/>
    <w:docVar w:name="Judgdate" w:val="##"/>
    <w:docVar w:name="Judge" w:val="Middleton"/>
    <w:docVar w:name="JudgePlace" w:val="PERTH"/>
    <w:docVar w:name="lstEntryList" w:val="-1"/>
    <w:docVar w:name="myEntryList" w:val="Counsel for the Applicant=##|Solicitor for the Applicant=##|Counsel for the Respondent=##|Solicitor for the Respondent=##"/>
    <w:docVar w:name="NSD" w:val="NSD ACT 10 of 2015"/>
    <w:docVar w:name="NumApps" w:val="1"/>
    <w:docVar w:name="NumApps_" w:val="1"/>
    <w:docVar w:name="NumJudges" w:val="Single Judge"/>
    <w:docVar w:name="Parties" w:val="Respondent"/>
    <w:docVar w:name="Place_SentenceCase" w:val="Perth"/>
    <w:docVar w:name="Respondent" w:val="##"/>
    <w:docVar w:name="ResState" w:val="WESTERN AUSTRALIA"/>
    <w:docVar w:name="Single" w:val="True"/>
  </w:docVars>
  <w:rsids>
    <w:rsidRoot w:val="00BE062F"/>
    <w:rsid w:val="000108A4"/>
    <w:rsid w:val="00015BF6"/>
    <w:rsid w:val="00044DC8"/>
    <w:rsid w:val="00062FF8"/>
    <w:rsid w:val="0008086C"/>
    <w:rsid w:val="000B0680"/>
    <w:rsid w:val="000D0ECE"/>
    <w:rsid w:val="000D2137"/>
    <w:rsid w:val="000F5E3E"/>
    <w:rsid w:val="001128BD"/>
    <w:rsid w:val="00125CFC"/>
    <w:rsid w:val="0016479C"/>
    <w:rsid w:val="00171EF7"/>
    <w:rsid w:val="001727A4"/>
    <w:rsid w:val="001738AB"/>
    <w:rsid w:val="001872E5"/>
    <w:rsid w:val="00187BBC"/>
    <w:rsid w:val="001938E0"/>
    <w:rsid w:val="001B14AC"/>
    <w:rsid w:val="001B7940"/>
    <w:rsid w:val="001D449D"/>
    <w:rsid w:val="001E3B49"/>
    <w:rsid w:val="001E7388"/>
    <w:rsid w:val="00227E66"/>
    <w:rsid w:val="00240730"/>
    <w:rsid w:val="002535D0"/>
    <w:rsid w:val="002602C2"/>
    <w:rsid w:val="00274F5B"/>
    <w:rsid w:val="00280836"/>
    <w:rsid w:val="002A1B50"/>
    <w:rsid w:val="002A55EA"/>
    <w:rsid w:val="002B0E91"/>
    <w:rsid w:val="002C31AD"/>
    <w:rsid w:val="002C7385"/>
    <w:rsid w:val="002D0174"/>
    <w:rsid w:val="002E68A0"/>
    <w:rsid w:val="002F1E49"/>
    <w:rsid w:val="002F4E9C"/>
    <w:rsid w:val="002F561B"/>
    <w:rsid w:val="002F58B5"/>
    <w:rsid w:val="003463FE"/>
    <w:rsid w:val="00346BA8"/>
    <w:rsid w:val="00356632"/>
    <w:rsid w:val="003845A9"/>
    <w:rsid w:val="00386E53"/>
    <w:rsid w:val="00390883"/>
    <w:rsid w:val="00390AFF"/>
    <w:rsid w:val="00395B24"/>
    <w:rsid w:val="003A2D38"/>
    <w:rsid w:val="003B2C72"/>
    <w:rsid w:val="003C20FF"/>
    <w:rsid w:val="003F193E"/>
    <w:rsid w:val="003F63AE"/>
    <w:rsid w:val="004128D5"/>
    <w:rsid w:val="004509F4"/>
    <w:rsid w:val="00472027"/>
    <w:rsid w:val="00472F50"/>
    <w:rsid w:val="0049417F"/>
    <w:rsid w:val="004D4386"/>
    <w:rsid w:val="004D53E5"/>
    <w:rsid w:val="004E5FB9"/>
    <w:rsid w:val="004F7FD0"/>
    <w:rsid w:val="0051346D"/>
    <w:rsid w:val="00513EAE"/>
    <w:rsid w:val="00525305"/>
    <w:rsid w:val="005359EB"/>
    <w:rsid w:val="0054254A"/>
    <w:rsid w:val="005466B5"/>
    <w:rsid w:val="005A4DF8"/>
    <w:rsid w:val="005C1767"/>
    <w:rsid w:val="005C42EF"/>
    <w:rsid w:val="005E02F5"/>
    <w:rsid w:val="005E176E"/>
    <w:rsid w:val="005E35A0"/>
    <w:rsid w:val="0060281F"/>
    <w:rsid w:val="0060770E"/>
    <w:rsid w:val="00624520"/>
    <w:rsid w:val="00636871"/>
    <w:rsid w:val="00643DE0"/>
    <w:rsid w:val="00644E85"/>
    <w:rsid w:val="00650816"/>
    <w:rsid w:val="00662BB0"/>
    <w:rsid w:val="00676D5D"/>
    <w:rsid w:val="006A5695"/>
    <w:rsid w:val="006B2B4C"/>
    <w:rsid w:val="006B3904"/>
    <w:rsid w:val="006B5B7D"/>
    <w:rsid w:val="006D0ECF"/>
    <w:rsid w:val="00707218"/>
    <w:rsid w:val="00712B1D"/>
    <w:rsid w:val="007325D9"/>
    <w:rsid w:val="00746FE6"/>
    <w:rsid w:val="007850F1"/>
    <w:rsid w:val="007929CF"/>
    <w:rsid w:val="007B64A6"/>
    <w:rsid w:val="007D561F"/>
    <w:rsid w:val="00817081"/>
    <w:rsid w:val="00831927"/>
    <w:rsid w:val="0084273D"/>
    <w:rsid w:val="00845A83"/>
    <w:rsid w:val="008B2071"/>
    <w:rsid w:val="008B585A"/>
    <w:rsid w:val="008C6D50"/>
    <w:rsid w:val="008E6315"/>
    <w:rsid w:val="00904591"/>
    <w:rsid w:val="009054CB"/>
    <w:rsid w:val="00926F64"/>
    <w:rsid w:val="0094468E"/>
    <w:rsid w:val="00967855"/>
    <w:rsid w:val="00980736"/>
    <w:rsid w:val="009A7671"/>
    <w:rsid w:val="009B13FA"/>
    <w:rsid w:val="009B1E2D"/>
    <w:rsid w:val="009C2DDE"/>
    <w:rsid w:val="009E4FA6"/>
    <w:rsid w:val="009E7D93"/>
    <w:rsid w:val="009F2AE4"/>
    <w:rsid w:val="00A03EAC"/>
    <w:rsid w:val="00A11CA6"/>
    <w:rsid w:val="00A20C49"/>
    <w:rsid w:val="00A359AC"/>
    <w:rsid w:val="00A950B6"/>
    <w:rsid w:val="00AB41C1"/>
    <w:rsid w:val="00AC6F39"/>
    <w:rsid w:val="00AD1099"/>
    <w:rsid w:val="00AF1CD4"/>
    <w:rsid w:val="00B51EE1"/>
    <w:rsid w:val="00B60734"/>
    <w:rsid w:val="00BA3DBC"/>
    <w:rsid w:val="00BB2DA2"/>
    <w:rsid w:val="00BB56DC"/>
    <w:rsid w:val="00BC453A"/>
    <w:rsid w:val="00BC72D4"/>
    <w:rsid w:val="00BE062F"/>
    <w:rsid w:val="00C1066C"/>
    <w:rsid w:val="00C36442"/>
    <w:rsid w:val="00C474F2"/>
    <w:rsid w:val="00C6030E"/>
    <w:rsid w:val="00CA23A0"/>
    <w:rsid w:val="00CA656E"/>
    <w:rsid w:val="00CC6CA6"/>
    <w:rsid w:val="00CE5CFF"/>
    <w:rsid w:val="00D10F21"/>
    <w:rsid w:val="00D17CC3"/>
    <w:rsid w:val="00D375EE"/>
    <w:rsid w:val="00D67286"/>
    <w:rsid w:val="00D90979"/>
    <w:rsid w:val="00D94EFC"/>
    <w:rsid w:val="00D95B24"/>
    <w:rsid w:val="00D9725F"/>
    <w:rsid w:val="00DA14ED"/>
    <w:rsid w:val="00DB3DE1"/>
    <w:rsid w:val="00DB716C"/>
    <w:rsid w:val="00DD4236"/>
    <w:rsid w:val="00DE4DD1"/>
    <w:rsid w:val="00DE6622"/>
    <w:rsid w:val="00E027BC"/>
    <w:rsid w:val="00E14EA5"/>
    <w:rsid w:val="00E1719A"/>
    <w:rsid w:val="00E248F6"/>
    <w:rsid w:val="00E31C4F"/>
    <w:rsid w:val="00E545F7"/>
    <w:rsid w:val="00E703BB"/>
    <w:rsid w:val="00E76E45"/>
    <w:rsid w:val="00E93E96"/>
    <w:rsid w:val="00EA4E2E"/>
    <w:rsid w:val="00EB2CCB"/>
    <w:rsid w:val="00EB69BF"/>
    <w:rsid w:val="00ED7DD9"/>
    <w:rsid w:val="00EE3EA0"/>
    <w:rsid w:val="00EF3113"/>
    <w:rsid w:val="00EF3F84"/>
    <w:rsid w:val="00EF4D68"/>
    <w:rsid w:val="00F176AC"/>
    <w:rsid w:val="00F27714"/>
    <w:rsid w:val="00F50E34"/>
    <w:rsid w:val="00F72E54"/>
    <w:rsid w:val="00F75E81"/>
    <w:rsid w:val="00F83844"/>
    <w:rsid w:val="00F8655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CA23A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CA23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976D-F14C-4AFE-AF55-2B586059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Pages>
  <Words>2980</Words>
  <Characters>15349</Characters>
  <Application>Microsoft Office Word</Application>
  <DocSecurity>0</DocSecurity>
  <Lines>393</Lines>
  <Paragraphs>185</Paragraphs>
  <ScaleCrop>false</ScaleCrop>
  <HeadingPairs>
    <vt:vector size="2" baseType="variant">
      <vt:variant>
        <vt:lpstr>Title</vt:lpstr>
      </vt:variant>
      <vt:variant>
        <vt:i4>1</vt:i4>
      </vt:variant>
    </vt:vector>
  </HeadingPairs>
  <TitlesOfParts>
    <vt:vector size="1" baseType="lpstr">
      <vt:lpstr>Application by ATCO Gas Australia Pty Ltd [2015] ACompT 7</vt:lpstr>
    </vt:vector>
  </TitlesOfParts>
  <Company>Federal Court of Australia</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ATCO Gas Australia Pty Ltd [2015] ACompT 7</dc:title>
  <dc:creator>Susi Ivandic</dc:creator>
  <cp:lastModifiedBy>Anna Masters</cp:lastModifiedBy>
  <cp:revision>3</cp:revision>
  <cp:lastPrinted>2015-11-30T00:34:00Z</cp:lastPrinted>
  <dcterms:created xsi:type="dcterms:W3CDTF">2015-12-06T22:04:00Z</dcterms:created>
  <dcterms:modified xsi:type="dcterms:W3CDTF">2015-12-06T22:04:00Z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1 DECEMBER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ACT 10 of 2015</vt:lpwstr>
  </property>
  <property fmtid="{D5CDD505-2E9C-101B-9397-08002B2CF9AE}" pid="8" name="Pages">
    <vt:lpwstr>10</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