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EBE59" w14:textId="10EDB31A" w:rsidR="00395B24" w:rsidRDefault="006E3A62" w:rsidP="00A22932">
      <w:pPr>
        <w:pStyle w:val="CourtTitle"/>
      </w:pPr>
      <w:r>
        <w:fldChar w:fldCharType="begin"/>
      </w:r>
      <w:r>
        <w:instrText xml:space="preserve"> DOCPROPERTY  Court  \* MERGEFORMAT </w:instrText>
      </w:r>
      <w:r>
        <w:fldChar w:fldCharType="separate"/>
      </w:r>
      <w:r>
        <w:t>Federal Court of Australia</w:t>
      </w:r>
      <w:r>
        <w:fldChar w:fldCharType="end"/>
      </w:r>
    </w:p>
    <w:p w14:paraId="4B790D8F" w14:textId="77777777" w:rsidR="004D7950" w:rsidRDefault="004D7950">
      <w:pPr>
        <w:pStyle w:val="NormalHeadings"/>
        <w:jc w:val="center"/>
        <w:rPr>
          <w:sz w:val="32"/>
        </w:rPr>
      </w:pPr>
    </w:p>
    <w:bookmarkStart w:id="0" w:name="MNC"/>
    <w:p w14:paraId="7E0A0DBF" w14:textId="0CE23C16" w:rsidR="00374CC4" w:rsidRDefault="00644BAE" w:rsidP="004C6C80">
      <w:pPr>
        <w:pStyle w:val="MNC"/>
        <w:ind w:left="567" w:right="567"/>
      </w:pPr>
      <w:sdt>
        <w:sdtPr>
          <w:alias w:val="MNC"/>
          <w:tag w:val="MNC"/>
          <w:id w:val="343289786"/>
          <w:lock w:val="sdtLocked"/>
          <w:placeholder>
            <w:docPart w:val="B4741E29FEC34629B4BED4E424F9CDE0"/>
          </w:placeholder>
          <w:dataBinding w:prefixMappings="xmlns:ns0='http://schemas.globalmacros.com/FCA'" w:xpath="/ns0:root[1]/ns0:Name[1]" w:storeItemID="{687E7CCB-4AA5-44E7-B148-17BA2B6F57C0}"/>
          <w:text w:multiLine="1"/>
        </w:sdtPr>
        <w:sdtEndPr/>
        <w:sdtContent>
          <w:r w:rsidR="004C6C80">
            <w:t>Owners of Cargo laden on board the MV “APL England”</w:t>
          </w:r>
          <w:r w:rsidR="004C6C80" w:rsidRPr="00CC5126">
            <w:t xml:space="preserve"> v CMB Ocean 13 Leasing Company Pte Ltd [2022] FCA </w:t>
          </w:r>
          <w:r w:rsidR="004C6C80">
            <w:t>565</w:t>
          </w:r>
          <w:r w:rsidR="004C6C80" w:rsidRPr="00CC5126">
            <w:t xml:space="preserve"> </w:t>
          </w:r>
        </w:sdtContent>
      </w:sdt>
      <w:bookmarkEnd w:id="0"/>
    </w:p>
    <w:tbl>
      <w:tblPr>
        <w:tblW w:w="9250" w:type="dxa"/>
        <w:tblLayout w:type="fixed"/>
        <w:tblLook w:val="01E0" w:firstRow="1" w:lastRow="1" w:firstColumn="1" w:lastColumn="1" w:noHBand="0" w:noVBand="0"/>
        <w:tblCaption w:val="Cover Table"/>
        <w:tblDescription w:val="Cover Table"/>
      </w:tblPr>
      <w:tblGrid>
        <w:gridCol w:w="3119"/>
        <w:gridCol w:w="5951"/>
        <w:gridCol w:w="180"/>
      </w:tblGrid>
      <w:tr w:rsidR="00395B24" w14:paraId="7610227E" w14:textId="77777777" w:rsidTr="00047A49">
        <w:tc>
          <w:tcPr>
            <w:tcW w:w="3119" w:type="dxa"/>
            <w:shd w:val="clear" w:color="auto" w:fill="auto"/>
          </w:tcPr>
          <w:p w14:paraId="62BE60AE" w14:textId="77777777" w:rsidR="00395B24" w:rsidRDefault="002C7385" w:rsidP="00663878">
            <w:pPr>
              <w:pStyle w:val="Normal1linespace"/>
              <w:widowControl w:val="0"/>
              <w:jc w:val="left"/>
            </w:pPr>
            <w:r>
              <w:t>File number(s):</w:t>
            </w:r>
          </w:p>
        </w:tc>
        <w:tc>
          <w:tcPr>
            <w:tcW w:w="6131" w:type="dxa"/>
            <w:gridSpan w:val="2"/>
            <w:shd w:val="clear" w:color="auto" w:fill="auto"/>
          </w:tcPr>
          <w:p w14:paraId="3C8FDCA3" w14:textId="77777777" w:rsidR="00395B24" w:rsidRPr="00514535" w:rsidRDefault="00653619" w:rsidP="00514535">
            <w:pPr>
              <w:pStyle w:val="Normal1linespace"/>
              <w:jc w:val="left"/>
            </w:pPr>
            <w:fldSimple w:instr=" REF  FileNo  \* MERGEFORMAT " w:fldLock="1">
              <w:r w:rsidR="00514535" w:rsidRPr="00514535">
                <w:t>NSD 66 of 2021</w:t>
              </w:r>
            </w:fldSimple>
          </w:p>
        </w:tc>
      </w:tr>
      <w:tr w:rsidR="00395B24" w14:paraId="300CCDEF" w14:textId="77777777" w:rsidTr="00047A49">
        <w:tc>
          <w:tcPr>
            <w:tcW w:w="3119" w:type="dxa"/>
            <w:shd w:val="clear" w:color="auto" w:fill="auto"/>
          </w:tcPr>
          <w:p w14:paraId="64082E56" w14:textId="77777777" w:rsidR="00395B24" w:rsidRDefault="00395B24" w:rsidP="00663878">
            <w:pPr>
              <w:pStyle w:val="Normal1linespace"/>
              <w:widowControl w:val="0"/>
              <w:jc w:val="left"/>
            </w:pPr>
          </w:p>
        </w:tc>
        <w:tc>
          <w:tcPr>
            <w:tcW w:w="6131" w:type="dxa"/>
            <w:gridSpan w:val="2"/>
            <w:shd w:val="clear" w:color="auto" w:fill="auto"/>
          </w:tcPr>
          <w:p w14:paraId="28E68F1B" w14:textId="77777777" w:rsidR="00395B24" w:rsidRDefault="00395B24" w:rsidP="00663878">
            <w:pPr>
              <w:pStyle w:val="Normal1linespace"/>
              <w:widowControl w:val="0"/>
              <w:jc w:val="left"/>
            </w:pPr>
          </w:p>
        </w:tc>
      </w:tr>
      <w:tr w:rsidR="00395B24" w14:paraId="50E059FF" w14:textId="77777777" w:rsidTr="00047A49">
        <w:tc>
          <w:tcPr>
            <w:tcW w:w="3119" w:type="dxa"/>
            <w:shd w:val="clear" w:color="auto" w:fill="auto"/>
          </w:tcPr>
          <w:p w14:paraId="76451C78" w14:textId="77777777" w:rsidR="00395B24" w:rsidRDefault="002C7385" w:rsidP="00663878">
            <w:pPr>
              <w:pStyle w:val="Normal1linespace"/>
              <w:widowControl w:val="0"/>
              <w:jc w:val="left"/>
            </w:pPr>
            <w:r>
              <w:t>Judg</w:t>
            </w:r>
            <w:r w:rsidR="005724F6">
              <w:t>ment of</w:t>
            </w:r>
            <w:r>
              <w:t>:</w:t>
            </w:r>
          </w:p>
        </w:tc>
        <w:tc>
          <w:tcPr>
            <w:tcW w:w="6131" w:type="dxa"/>
            <w:gridSpan w:val="2"/>
            <w:shd w:val="clear" w:color="auto" w:fill="auto"/>
          </w:tcPr>
          <w:p w14:paraId="54620ED8" w14:textId="77777777" w:rsidR="00395B24" w:rsidRDefault="002C7385" w:rsidP="00663878">
            <w:pPr>
              <w:pStyle w:val="Normal1linespace"/>
              <w:widowControl w:val="0"/>
              <w:jc w:val="left"/>
              <w:rPr>
                <w:b/>
              </w:rPr>
            </w:pPr>
            <w:r w:rsidRPr="00514535">
              <w:rPr>
                <w:b/>
              </w:rPr>
              <w:fldChar w:fldCharType="begin" w:fldLock="1"/>
            </w:r>
            <w:r w:rsidRPr="00514535">
              <w:rPr>
                <w:b/>
              </w:rPr>
              <w:instrText xml:space="preserve"> REF  Judge  \* MERGEFORMAT </w:instrText>
            </w:r>
            <w:r w:rsidRPr="00514535">
              <w:rPr>
                <w:b/>
              </w:rPr>
              <w:fldChar w:fldCharType="separate"/>
            </w:r>
            <w:r w:rsidR="00514535" w:rsidRPr="00514535">
              <w:rPr>
                <w:b/>
                <w:caps/>
                <w:szCs w:val="24"/>
              </w:rPr>
              <w:t>STEWART J</w:t>
            </w:r>
            <w:r w:rsidRPr="00514535">
              <w:rPr>
                <w:b/>
              </w:rPr>
              <w:fldChar w:fldCharType="end"/>
            </w:r>
          </w:p>
        </w:tc>
      </w:tr>
      <w:tr w:rsidR="00395B24" w14:paraId="695A5AC6" w14:textId="77777777" w:rsidTr="00047A49">
        <w:tc>
          <w:tcPr>
            <w:tcW w:w="3119" w:type="dxa"/>
            <w:shd w:val="clear" w:color="auto" w:fill="auto"/>
          </w:tcPr>
          <w:p w14:paraId="49E96A32" w14:textId="77777777" w:rsidR="00395B24" w:rsidRDefault="00395B24" w:rsidP="00663878">
            <w:pPr>
              <w:pStyle w:val="Normal1linespace"/>
              <w:widowControl w:val="0"/>
              <w:jc w:val="left"/>
            </w:pPr>
          </w:p>
        </w:tc>
        <w:tc>
          <w:tcPr>
            <w:tcW w:w="6131" w:type="dxa"/>
            <w:gridSpan w:val="2"/>
            <w:shd w:val="clear" w:color="auto" w:fill="auto"/>
          </w:tcPr>
          <w:p w14:paraId="1A9BE2D9" w14:textId="77777777" w:rsidR="00395B24" w:rsidRDefault="00395B24" w:rsidP="00663878">
            <w:pPr>
              <w:pStyle w:val="Normal1linespace"/>
              <w:widowControl w:val="0"/>
              <w:jc w:val="left"/>
            </w:pPr>
          </w:p>
        </w:tc>
      </w:tr>
      <w:tr w:rsidR="00395B24" w14:paraId="750AF60E" w14:textId="77777777" w:rsidTr="00047A49">
        <w:tc>
          <w:tcPr>
            <w:tcW w:w="3119" w:type="dxa"/>
            <w:shd w:val="clear" w:color="auto" w:fill="auto"/>
          </w:tcPr>
          <w:p w14:paraId="4A5943C2" w14:textId="77777777" w:rsidR="00395B24" w:rsidRDefault="002C7385" w:rsidP="00663878">
            <w:pPr>
              <w:pStyle w:val="Normal1linespace"/>
              <w:widowControl w:val="0"/>
              <w:jc w:val="left"/>
            </w:pPr>
            <w:r>
              <w:t>Date of judgment:</w:t>
            </w:r>
          </w:p>
        </w:tc>
        <w:tc>
          <w:tcPr>
            <w:tcW w:w="6131" w:type="dxa"/>
            <w:gridSpan w:val="2"/>
            <w:shd w:val="clear" w:color="auto" w:fill="auto"/>
          </w:tcPr>
          <w:p w14:paraId="5D893D8B" w14:textId="77777777" w:rsidR="00395B24" w:rsidRDefault="00CC5126" w:rsidP="00CC5126">
            <w:pPr>
              <w:pStyle w:val="Normal1linespace"/>
              <w:widowControl w:val="0"/>
              <w:jc w:val="left"/>
            </w:pPr>
            <w:bookmarkStart w:id="1" w:name="JudgmentDate"/>
            <w:r>
              <w:t>2 May 2022</w:t>
            </w:r>
            <w:bookmarkEnd w:id="1"/>
          </w:p>
        </w:tc>
      </w:tr>
      <w:tr w:rsidR="00CC5126" w14:paraId="63B9136A" w14:textId="77777777" w:rsidTr="00047A49">
        <w:tc>
          <w:tcPr>
            <w:tcW w:w="3119" w:type="dxa"/>
            <w:shd w:val="clear" w:color="auto" w:fill="auto"/>
          </w:tcPr>
          <w:p w14:paraId="408E5AE4" w14:textId="77777777" w:rsidR="00CC5126" w:rsidRDefault="00CC5126" w:rsidP="00663878">
            <w:pPr>
              <w:pStyle w:val="Normal1linespace"/>
              <w:widowControl w:val="0"/>
              <w:jc w:val="left"/>
            </w:pPr>
          </w:p>
        </w:tc>
        <w:tc>
          <w:tcPr>
            <w:tcW w:w="6131" w:type="dxa"/>
            <w:gridSpan w:val="2"/>
            <w:shd w:val="clear" w:color="auto" w:fill="auto"/>
          </w:tcPr>
          <w:p w14:paraId="3041B492" w14:textId="77777777" w:rsidR="00CC5126" w:rsidRDefault="00CC5126" w:rsidP="00CC5126">
            <w:pPr>
              <w:pStyle w:val="Normal1linespace"/>
              <w:widowControl w:val="0"/>
              <w:jc w:val="left"/>
            </w:pPr>
          </w:p>
        </w:tc>
      </w:tr>
      <w:tr w:rsidR="00CC5126" w14:paraId="6FC1AEF8" w14:textId="77777777" w:rsidTr="00047A49">
        <w:tc>
          <w:tcPr>
            <w:tcW w:w="3119" w:type="dxa"/>
            <w:shd w:val="clear" w:color="auto" w:fill="auto"/>
          </w:tcPr>
          <w:p w14:paraId="4E2AA332" w14:textId="77777777" w:rsidR="00CC5126" w:rsidRDefault="00CC5126" w:rsidP="00663878">
            <w:pPr>
              <w:pStyle w:val="Normal1linespace"/>
              <w:widowControl w:val="0"/>
              <w:jc w:val="left"/>
            </w:pPr>
            <w:r>
              <w:t>Date of publication of reasons:</w:t>
            </w:r>
          </w:p>
        </w:tc>
        <w:tc>
          <w:tcPr>
            <w:tcW w:w="6131" w:type="dxa"/>
            <w:gridSpan w:val="2"/>
            <w:shd w:val="clear" w:color="auto" w:fill="auto"/>
          </w:tcPr>
          <w:p w14:paraId="54C39F43" w14:textId="4AA58BBF" w:rsidR="00CC5126" w:rsidRDefault="00642620" w:rsidP="00CC5126">
            <w:pPr>
              <w:pStyle w:val="Normal1linespace"/>
              <w:widowControl w:val="0"/>
              <w:jc w:val="left"/>
            </w:pPr>
            <w:r>
              <w:t>17</w:t>
            </w:r>
            <w:r w:rsidR="009544B0" w:rsidRPr="00642620">
              <w:t xml:space="preserve"> May 2022</w:t>
            </w:r>
          </w:p>
        </w:tc>
      </w:tr>
      <w:tr w:rsidR="00395B24" w14:paraId="1981C468" w14:textId="77777777" w:rsidTr="00047A49">
        <w:tc>
          <w:tcPr>
            <w:tcW w:w="3119" w:type="dxa"/>
            <w:shd w:val="clear" w:color="auto" w:fill="auto"/>
          </w:tcPr>
          <w:p w14:paraId="746253EE" w14:textId="77777777" w:rsidR="00395B24" w:rsidRDefault="00395B24" w:rsidP="00663878">
            <w:pPr>
              <w:pStyle w:val="Normal1linespace"/>
              <w:widowControl w:val="0"/>
              <w:jc w:val="left"/>
            </w:pPr>
          </w:p>
        </w:tc>
        <w:tc>
          <w:tcPr>
            <w:tcW w:w="6131" w:type="dxa"/>
            <w:gridSpan w:val="2"/>
            <w:shd w:val="clear" w:color="auto" w:fill="auto"/>
          </w:tcPr>
          <w:p w14:paraId="7B3ACAC4" w14:textId="77777777" w:rsidR="00395B24" w:rsidRDefault="00395B24" w:rsidP="00663878">
            <w:pPr>
              <w:pStyle w:val="Normal1linespace"/>
              <w:widowControl w:val="0"/>
              <w:jc w:val="left"/>
            </w:pPr>
          </w:p>
        </w:tc>
      </w:tr>
      <w:tr w:rsidR="00395B24" w14:paraId="6FBA34A1" w14:textId="77777777" w:rsidTr="00047A49">
        <w:tc>
          <w:tcPr>
            <w:tcW w:w="3119" w:type="dxa"/>
            <w:shd w:val="clear" w:color="auto" w:fill="auto"/>
          </w:tcPr>
          <w:p w14:paraId="22587F5B" w14:textId="77777777" w:rsidR="00395B24" w:rsidRDefault="002C7385" w:rsidP="00663878">
            <w:pPr>
              <w:pStyle w:val="Normal1linespace"/>
              <w:widowControl w:val="0"/>
              <w:jc w:val="left"/>
            </w:pPr>
            <w:r>
              <w:t>Catchwords:</w:t>
            </w:r>
          </w:p>
        </w:tc>
        <w:tc>
          <w:tcPr>
            <w:tcW w:w="6131" w:type="dxa"/>
            <w:gridSpan w:val="2"/>
            <w:shd w:val="clear" w:color="auto" w:fill="auto"/>
          </w:tcPr>
          <w:p w14:paraId="40740489" w14:textId="332B1A3F" w:rsidR="00C91B1D" w:rsidRDefault="000D04B6" w:rsidP="00C91B1D">
            <w:pPr>
              <w:pStyle w:val="Normal1linespace"/>
              <w:widowControl w:val="0"/>
              <w:jc w:val="left"/>
            </w:pPr>
            <w:bookmarkStart w:id="2" w:name="Catchwords"/>
            <w:r>
              <w:rPr>
                <w:b/>
              </w:rPr>
              <w:t>REPRESENTATIVE PROCEEDINGS</w:t>
            </w:r>
            <w:r w:rsidR="00CD4F17">
              <w:t xml:space="preserve"> – application for approval of class action settlement – </w:t>
            </w:r>
            <w:r w:rsidR="00562A36">
              <w:t xml:space="preserve">where settlement agreement made between subrogated insurers and respondents – where insurers have indemnified group members in respect of the claims sought to be settled – </w:t>
            </w:r>
            <w:r w:rsidR="001C20DE">
              <w:t xml:space="preserve">where group members </w:t>
            </w:r>
            <w:r w:rsidR="00C91B1D">
              <w:t xml:space="preserve">largely </w:t>
            </w:r>
            <w:r w:rsidR="001C20DE">
              <w:t xml:space="preserve">unaffected by settlement – </w:t>
            </w:r>
            <w:r w:rsidR="00562A36">
              <w:t xml:space="preserve">where settlement amount </w:t>
            </w:r>
            <w:r w:rsidR="001C20DE">
              <w:t xml:space="preserve">constitutes </w:t>
            </w:r>
            <w:r w:rsidR="00C91B1D">
              <w:t>more than 80</w:t>
            </w:r>
            <w:r w:rsidR="001C20DE">
              <w:t xml:space="preserve">% of the total claim amount – where settlement amount is to be distributed </w:t>
            </w:r>
            <w:r w:rsidR="00C91B1D">
              <w:t xml:space="preserve">to the insurers </w:t>
            </w:r>
            <w:r w:rsidR="001C20DE">
              <w:t>pro-rata in respect of each group member’s claim – where legal costs not deducted from settlement amount</w:t>
            </w:r>
            <w:r w:rsidR="00C91B1D">
              <w:t xml:space="preserve"> and to be paid separately</w:t>
            </w:r>
            <w:r w:rsidR="001C20DE">
              <w:t xml:space="preserve"> –</w:t>
            </w:r>
            <w:r w:rsidR="00C91B1D">
              <w:t xml:space="preserve"> approval granted</w:t>
            </w:r>
          </w:p>
          <w:p w14:paraId="179AC139" w14:textId="77777777" w:rsidR="008210D7" w:rsidRDefault="008210D7" w:rsidP="00C91B1D">
            <w:pPr>
              <w:pStyle w:val="Normal1linespace"/>
              <w:widowControl w:val="0"/>
              <w:jc w:val="left"/>
            </w:pPr>
          </w:p>
          <w:p w14:paraId="381A9B07" w14:textId="7A77EA47" w:rsidR="00395B24" w:rsidRDefault="00C91B1D" w:rsidP="00C91B1D">
            <w:pPr>
              <w:pStyle w:val="Normal1linespace"/>
              <w:widowControl w:val="0"/>
              <w:jc w:val="left"/>
            </w:pPr>
            <w:r w:rsidRPr="00C91B1D">
              <w:rPr>
                <w:b/>
              </w:rPr>
              <w:t>ADMIRALTY</w:t>
            </w:r>
            <w:r>
              <w:t xml:space="preserve"> – maritime casualty involving scores of lost and damaged containers – representative proceeding by cargo insurers against vessel owner and demise charterer – </w:t>
            </w:r>
            <w:r w:rsidR="00047A49">
              <w:t xml:space="preserve">where group members are numerous cargo owners or receivers – </w:t>
            </w:r>
            <w:r>
              <w:t>where defence relies on defences available to intervening contractual carriers – circular indemnities and Himalaya clauses – numerous cross claims – whether settlement of proceeding between insurers and defendants should be approved – complex and costly litigation for modest sums – settlement at more than 80% of claimed amount – approval granted</w:t>
            </w:r>
            <w:r w:rsidR="002C7385">
              <w:t xml:space="preserve"> </w:t>
            </w:r>
            <w:bookmarkEnd w:id="2"/>
          </w:p>
        </w:tc>
      </w:tr>
      <w:tr w:rsidR="00395B24" w14:paraId="754FB47C" w14:textId="77777777" w:rsidTr="00047A49">
        <w:tc>
          <w:tcPr>
            <w:tcW w:w="3119" w:type="dxa"/>
            <w:shd w:val="clear" w:color="auto" w:fill="auto"/>
          </w:tcPr>
          <w:p w14:paraId="55820391" w14:textId="77777777" w:rsidR="00395B24" w:rsidRDefault="00395B24" w:rsidP="00663878">
            <w:pPr>
              <w:pStyle w:val="Normal1linespace"/>
              <w:widowControl w:val="0"/>
              <w:jc w:val="left"/>
            </w:pPr>
          </w:p>
        </w:tc>
        <w:tc>
          <w:tcPr>
            <w:tcW w:w="6131" w:type="dxa"/>
            <w:gridSpan w:val="2"/>
            <w:shd w:val="clear" w:color="auto" w:fill="auto"/>
          </w:tcPr>
          <w:p w14:paraId="77CFADE9" w14:textId="77777777" w:rsidR="00395B24" w:rsidRDefault="00395B24" w:rsidP="00663878">
            <w:pPr>
              <w:pStyle w:val="Normal1linespace"/>
              <w:widowControl w:val="0"/>
              <w:jc w:val="left"/>
            </w:pPr>
          </w:p>
        </w:tc>
      </w:tr>
      <w:tr w:rsidR="00395B24" w14:paraId="420C10EC" w14:textId="77777777" w:rsidTr="00047A49">
        <w:tc>
          <w:tcPr>
            <w:tcW w:w="3119" w:type="dxa"/>
            <w:shd w:val="clear" w:color="auto" w:fill="auto"/>
          </w:tcPr>
          <w:p w14:paraId="0DCBE82B" w14:textId="77777777" w:rsidR="00395B24" w:rsidRDefault="002C7385" w:rsidP="00663878">
            <w:pPr>
              <w:pStyle w:val="Normal1linespace"/>
              <w:widowControl w:val="0"/>
              <w:jc w:val="left"/>
            </w:pPr>
            <w:r>
              <w:t>Legislation:</w:t>
            </w:r>
          </w:p>
        </w:tc>
        <w:tc>
          <w:tcPr>
            <w:tcW w:w="6131" w:type="dxa"/>
            <w:gridSpan w:val="2"/>
            <w:shd w:val="clear" w:color="auto" w:fill="auto"/>
          </w:tcPr>
          <w:p w14:paraId="3F1EB189" w14:textId="381A9885" w:rsidR="009544B0" w:rsidRDefault="009544B0" w:rsidP="00D82620">
            <w:pPr>
              <w:pStyle w:val="CasesLegislationAppealFrom"/>
              <w:spacing w:after="60"/>
              <w:rPr>
                <w:i/>
              </w:rPr>
            </w:pPr>
            <w:bookmarkStart w:id="3" w:name="Legislation"/>
            <w:r w:rsidRPr="009B5D66">
              <w:rPr>
                <w:i/>
                <w:iCs/>
              </w:rPr>
              <w:t xml:space="preserve">Federal Court of Australia Act 1976 </w:t>
            </w:r>
            <w:r>
              <w:t>(Cth) s</w:t>
            </w:r>
            <w:r w:rsidR="00632D5B">
              <w:t>s</w:t>
            </w:r>
            <w:r>
              <w:t xml:space="preserve"> 33V(1)</w:t>
            </w:r>
            <w:r w:rsidR="00632D5B">
              <w:t>, 33X, 33Y</w:t>
            </w:r>
          </w:p>
          <w:p w14:paraId="5C905CAE" w14:textId="77777777" w:rsidR="001C20DE" w:rsidRDefault="007F39F3" w:rsidP="00D82620">
            <w:pPr>
              <w:pStyle w:val="CasesLegislationAppealFrom"/>
              <w:spacing w:after="60"/>
            </w:pPr>
            <w:r>
              <w:rPr>
                <w:i/>
              </w:rPr>
              <w:t>Marine Insurance Act 1909</w:t>
            </w:r>
            <w:r>
              <w:t xml:space="preserve"> (Cth) s 85</w:t>
            </w:r>
          </w:p>
          <w:p w14:paraId="279ED720" w14:textId="77777777" w:rsidR="001C20DE" w:rsidRDefault="001C20DE" w:rsidP="00D82620">
            <w:pPr>
              <w:pStyle w:val="CasesLegislationAppealFrom"/>
              <w:spacing w:after="60"/>
            </w:pPr>
          </w:p>
          <w:p w14:paraId="62967B7B" w14:textId="7C6F2CB2" w:rsidR="00395B24" w:rsidRDefault="001C20DE" w:rsidP="001C20DE">
            <w:pPr>
              <w:pStyle w:val="CasesLegislationAppealFrom"/>
              <w:spacing w:after="60"/>
            </w:pPr>
            <w:r>
              <w:t>Class Actions Practice Note (GPN-CA)</w:t>
            </w:r>
            <w:r w:rsidR="002C7385">
              <w:t xml:space="preserve"> </w:t>
            </w:r>
            <w:bookmarkEnd w:id="3"/>
          </w:p>
        </w:tc>
      </w:tr>
      <w:tr w:rsidR="00395B24" w14:paraId="2349F5F5" w14:textId="77777777" w:rsidTr="00047A49">
        <w:tc>
          <w:tcPr>
            <w:tcW w:w="3119" w:type="dxa"/>
            <w:shd w:val="clear" w:color="auto" w:fill="auto"/>
          </w:tcPr>
          <w:p w14:paraId="63F21582" w14:textId="77777777" w:rsidR="00395B24" w:rsidRDefault="00395B24" w:rsidP="00663878">
            <w:pPr>
              <w:pStyle w:val="Normal1linespace"/>
              <w:widowControl w:val="0"/>
              <w:jc w:val="left"/>
            </w:pPr>
          </w:p>
        </w:tc>
        <w:tc>
          <w:tcPr>
            <w:tcW w:w="6131" w:type="dxa"/>
            <w:gridSpan w:val="2"/>
            <w:shd w:val="clear" w:color="auto" w:fill="auto"/>
          </w:tcPr>
          <w:p w14:paraId="59300C05" w14:textId="77777777" w:rsidR="00395B24" w:rsidRDefault="00395B24" w:rsidP="00663878">
            <w:pPr>
              <w:pStyle w:val="Normal1linespace"/>
              <w:widowControl w:val="0"/>
              <w:jc w:val="left"/>
            </w:pPr>
          </w:p>
        </w:tc>
      </w:tr>
      <w:tr w:rsidR="00395B24" w14:paraId="353388B2" w14:textId="77777777" w:rsidTr="00047A49">
        <w:tc>
          <w:tcPr>
            <w:tcW w:w="3119" w:type="dxa"/>
            <w:shd w:val="clear" w:color="auto" w:fill="auto"/>
          </w:tcPr>
          <w:p w14:paraId="676D7F2F" w14:textId="77777777" w:rsidR="00395B24" w:rsidRDefault="002C7385" w:rsidP="00663878">
            <w:pPr>
              <w:pStyle w:val="Normal1linespace"/>
              <w:widowControl w:val="0"/>
              <w:jc w:val="left"/>
            </w:pPr>
            <w:r>
              <w:t>Cases cited:</w:t>
            </w:r>
          </w:p>
        </w:tc>
        <w:tc>
          <w:tcPr>
            <w:tcW w:w="6131" w:type="dxa"/>
            <w:gridSpan w:val="2"/>
            <w:shd w:val="clear" w:color="auto" w:fill="auto"/>
          </w:tcPr>
          <w:p w14:paraId="38BDE29D" w14:textId="77777777" w:rsidR="009544B0" w:rsidRDefault="009544B0" w:rsidP="00D82620">
            <w:pPr>
              <w:pStyle w:val="CasesLegislationAppealFrom"/>
              <w:spacing w:after="60"/>
            </w:pPr>
            <w:bookmarkStart w:id="4" w:name="Cases_Cited"/>
            <w:r>
              <w:rPr>
                <w:i/>
              </w:rPr>
              <w:t xml:space="preserve">Court v Spotless Group Holdings Limited </w:t>
            </w:r>
            <w:r>
              <w:t>[2020] FCA 1730</w:t>
            </w:r>
          </w:p>
          <w:p w14:paraId="74AB85DF" w14:textId="77777777" w:rsidR="009544B0" w:rsidRDefault="009544B0" w:rsidP="00D82620">
            <w:pPr>
              <w:pStyle w:val="CasesLegislationAppealFrom"/>
              <w:spacing w:after="60"/>
            </w:pPr>
            <w:r>
              <w:rPr>
                <w:i/>
              </w:rPr>
              <w:t xml:space="preserve">Hall v Arnold Bloch Leibler (a firm) (No 2) </w:t>
            </w:r>
            <w:r>
              <w:t>[2022] FCA 163</w:t>
            </w:r>
          </w:p>
          <w:p w14:paraId="6EB51D57" w14:textId="397DC687" w:rsidR="00395B24" w:rsidRDefault="009544B0" w:rsidP="001C20DE">
            <w:pPr>
              <w:pStyle w:val="CasesLegislationAppealFrom"/>
              <w:spacing w:after="60"/>
            </w:pPr>
            <w:r>
              <w:rPr>
                <w:i/>
                <w:iCs/>
              </w:rPr>
              <w:t>Williams v FAI Homes Security Pty Ltd (No 4)</w:t>
            </w:r>
            <w:r>
              <w:t xml:space="preserve"> [2000] FCA </w:t>
            </w:r>
            <w:r>
              <w:lastRenderedPageBreak/>
              <w:t>1925; 180 ALR 459</w:t>
            </w:r>
            <w:r w:rsidR="002C7385">
              <w:t xml:space="preserve"> </w:t>
            </w:r>
            <w:bookmarkEnd w:id="4"/>
          </w:p>
        </w:tc>
      </w:tr>
      <w:tr w:rsidR="00514535" w14:paraId="223F8646" w14:textId="77777777" w:rsidTr="00047A49">
        <w:tc>
          <w:tcPr>
            <w:tcW w:w="3119" w:type="dxa"/>
            <w:shd w:val="clear" w:color="auto" w:fill="auto"/>
          </w:tcPr>
          <w:p w14:paraId="150FD255" w14:textId="77777777" w:rsidR="00514535" w:rsidRDefault="00514535" w:rsidP="00850039">
            <w:pPr>
              <w:pStyle w:val="Normal1linespace"/>
              <w:widowControl w:val="0"/>
            </w:pPr>
          </w:p>
        </w:tc>
        <w:tc>
          <w:tcPr>
            <w:tcW w:w="6131" w:type="dxa"/>
            <w:gridSpan w:val="2"/>
            <w:shd w:val="clear" w:color="auto" w:fill="auto"/>
          </w:tcPr>
          <w:p w14:paraId="1B04CD2A" w14:textId="77777777" w:rsidR="00514535" w:rsidRDefault="00514535" w:rsidP="00850039">
            <w:pPr>
              <w:pStyle w:val="Normal1linespace"/>
              <w:widowControl w:val="0"/>
              <w:jc w:val="left"/>
            </w:pPr>
          </w:p>
        </w:tc>
      </w:tr>
      <w:tr w:rsidR="00514535" w14:paraId="16BE39B0" w14:textId="77777777" w:rsidTr="00047A49">
        <w:tc>
          <w:tcPr>
            <w:tcW w:w="3119" w:type="dxa"/>
            <w:shd w:val="clear" w:color="auto" w:fill="auto"/>
          </w:tcPr>
          <w:p w14:paraId="7A0EDFE0" w14:textId="77777777" w:rsidR="00514535" w:rsidRDefault="00514535" w:rsidP="00501A12">
            <w:pPr>
              <w:pStyle w:val="Normal1linespace"/>
              <w:widowControl w:val="0"/>
            </w:pPr>
            <w:r>
              <w:t>Division:</w:t>
            </w:r>
          </w:p>
        </w:tc>
        <w:tc>
          <w:tcPr>
            <w:tcW w:w="6131" w:type="dxa"/>
            <w:gridSpan w:val="2"/>
            <w:shd w:val="clear" w:color="auto" w:fill="auto"/>
          </w:tcPr>
          <w:p w14:paraId="27AF9A46" w14:textId="3E6CF16E" w:rsidR="00514535" w:rsidRPr="00F17599" w:rsidRDefault="00653619" w:rsidP="00501A12">
            <w:pPr>
              <w:pStyle w:val="Normal1linespace"/>
              <w:widowControl w:val="0"/>
              <w:jc w:val="left"/>
            </w:pPr>
            <w:fldSimple w:instr=" DOCPROPERTY  Division ">
              <w:r w:rsidR="006E3A62">
                <w:t>General Division</w:t>
              </w:r>
            </w:fldSimple>
          </w:p>
        </w:tc>
      </w:tr>
      <w:tr w:rsidR="00514535" w14:paraId="630067C5" w14:textId="77777777" w:rsidTr="00047A49">
        <w:tc>
          <w:tcPr>
            <w:tcW w:w="3119" w:type="dxa"/>
            <w:shd w:val="clear" w:color="auto" w:fill="auto"/>
          </w:tcPr>
          <w:p w14:paraId="1AB7C8A4" w14:textId="77777777" w:rsidR="00514535" w:rsidRDefault="00514535" w:rsidP="00501A12">
            <w:pPr>
              <w:pStyle w:val="Normal1linespace"/>
              <w:widowControl w:val="0"/>
            </w:pPr>
            <w:bookmarkStart w:id="5" w:name="Registry_rows" w:colFirst="0" w:colLast="1"/>
          </w:p>
        </w:tc>
        <w:tc>
          <w:tcPr>
            <w:tcW w:w="6131" w:type="dxa"/>
            <w:gridSpan w:val="2"/>
            <w:shd w:val="clear" w:color="auto" w:fill="auto"/>
          </w:tcPr>
          <w:p w14:paraId="1798FBCB" w14:textId="77777777" w:rsidR="00514535" w:rsidRDefault="00514535" w:rsidP="00501A12">
            <w:pPr>
              <w:pStyle w:val="Normal1linespace"/>
              <w:widowControl w:val="0"/>
              <w:jc w:val="left"/>
            </w:pPr>
          </w:p>
        </w:tc>
      </w:tr>
      <w:tr w:rsidR="00514535" w14:paraId="0BED1FDC" w14:textId="77777777" w:rsidTr="00047A49">
        <w:tc>
          <w:tcPr>
            <w:tcW w:w="3119" w:type="dxa"/>
            <w:shd w:val="clear" w:color="auto" w:fill="auto"/>
          </w:tcPr>
          <w:p w14:paraId="2199E648" w14:textId="77777777" w:rsidR="00514535" w:rsidRDefault="00514535" w:rsidP="00501A12">
            <w:pPr>
              <w:pStyle w:val="Normal1linespace"/>
              <w:widowControl w:val="0"/>
            </w:pPr>
            <w:r>
              <w:t>Registry:</w:t>
            </w:r>
          </w:p>
        </w:tc>
        <w:tc>
          <w:tcPr>
            <w:tcW w:w="6131" w:type="dxa"/>
            <w:gridSpan w:val="2"/>
            <w:shd w:val="clear" w:color="auto" w:fill="auto"/>
          </w:tcPr>
          <w:p w14:paraId="28241958" w14:textId="0D949EEB" w:rsidR="00514535" w:rsidRPr="00F17599" w:rsidRDefault="00653619" w:rsidP="00501A12">
            <w:pPr>
              <w:pStyle w:val="Normal1linespace"/>
              <w:widowControl w:val="0"/>
              <w:jc w:val="left"/>
            </w:pPr>
            <w:fldSimple w:instr=" DOCPROPERTY  Registry ">
              <w:r w:rsidR="006E3A62">
                <w:t>New South Wales</w:t>
              </w:r>
            </w:fldSimple>
          </w:p>
        </w:tc>
      </w:tr>
      <w:tr w:rsidR="00514535" w14:paraId="18A9F07C" w14:textId="77777777" w:rsidTr="00047A49">
        <w:tc>
          <w:tcPr>
            <w:tcW w:w="3119" w:type="dxa"/>
            <w:shd w:val="clear" w:color="auto" w:fill="auto"/>
          </w:tcPr>
          <w:p w14:paraId="22EBFB10" w14:textId="77777777" w:rsidR="00514535" w:rsidRDefault="00514535" w:rsidP="00501A12">
            <w:pPr>
              <w:pStyle w:val="Normal1linespace"/>
              <w:widowControl w:val="0"/>
            </w:pPr>
            <w:bookmarkStart w:id="6" w:name="NPARow" w:colFirst="0" w:colLast="1"/>
            <w:bookmarkEnd w:id="5"/>
          </w:p>
        </w:tc>
        <w:tc>
          <w:tcPr>
            <w:tcW w:w="6131" w:type="dxa"/>
            <w:gridSpan w:val="2"/>
            <w:shd w:val="clear" w:color="auto" w:fill="auto"/>
          </w:tcPr>
          <w:p w14:paraId="520B5ADF" w14:textId="77777777" w:rsidR="00514535" w:rsidRPr="00F17599" w:rsidRDefault="00514535" w:rsidP="00501A12">
            <w:pPr>
              <w:pStyle w:val="Normal1linespace"/>
              <w:widowControl w:val="0"/>
              <w:jc w:val="left"/>
              <w:rPr>
                <w:b/>
              </w:rPr>
            </w:pPr>
          </w:p>
        </w:tc>
      </w:tr>
      <w:tr w:rsidR="00514535" w14:paraId="2FB0BCA0" w14:textId="77777777" w:rsidTr="00047A49">
        <w:tc>
          <w:tcPr>
            <w:tcW w:w="3119" w:type="dxa"/>
            <w:shd w:val="clear" w:color="auto" w:fill="auto"/>
          </w:tcPr>
          <w:p w14:paraId="4A7B85DC" w14:textId="77777777" w:rsidR="00514535" w:rsidRDefault="00514535" w:rsidP="00501A12">
            <w:pPr>
              <w:pStyle w:val="Normal1linespace"/>
              <w:widowControl w:val="0"/>
            </w:pPr>
            <w:r>
              <w:t>National Practice Area:</w:t>
            </w:r>
          </w:p>
        </w:tc>
        <w:tc>
          <w:tcPr>
            <w:tcW w:w="6131" w:type="dxa"/>
            <w:gridSpan w:val="2"/>
            <w:shd w:val="clear" w:color="auto" w:fill="auto"/>
          </w:tcPr>
          <w:p w14:paraId="7FCB2754" w14:textId="5DF4D780" w:rsidR="00514535" w:rsidRPr="00F17599" w:rsidRDefault="00653619" w:rsidP="00850039">
            <w:pPr>
              <w:pStyle w:val="Normal1linespace"/>
              <w:widowControl w:val="0"/>
              <w:jc w:val="left"/>
              <w:rPr>
                <w:b/>
              </w:rPr>
            </w:pPr>
            <w:fldSimple w:instr=" DOCPROPERTY  &quot;Practice Area&quot;  \* MERGEFORMAT ">
              <w:r w:rsidR="006E3A62">
                <w:t>Admiralty and Maritime</w:t>
              </w:r>
            </w:fldSimple>
          </w:p>
        </w:tc>
      </w:tr>
      <w:tr w:rsidR="00514535" w14:paraId="34A1E04C" w14:textId="77777777" w:rsidTr="00047A49">
        <w:tc>
          <w:tcPr>
            <w:tcW w:w="3119" w:type="dxa"/>
            <w:shd w:val="clear" w:color="auto" w:fill="auto"/>
          </w:tcPr>
          <w:p w14:paraId="2A410A63" w14:textId="77777777" w:rsidR="00514535" w:rsidRDefault="00514535" w:rsidP="00501A12">
            <w:pPr>
              <w:pStyle w:val="Normal1linespace"/>
              <w:widowControl w:val="0"/>
            </w:pPr>
            <w:bookmarkStart w:id="7" w:name="SubAreaRow" w:colFirst="0" w:colLast="1"/>
            <w:bookmarkEnd w:id="6"/>
          </w:p>
        </w:tc>
        <w:tc>
          <w:tcPr>
            <w:tcW w:w="6131" w:type="dxa"/>
            <w:gridSpan w:val="2"/>
            <w:shd w:val="clear" w:color="auto" w:fill="auto"/>
          </w:tcPr>
          <w:p w14:paraId="1C383DA7" w14:textId="77777777" w:rsidR="00514535" w:rsidRDefault="00514535" w:rsidP="00850039">
            <w:pPr>
              <w:pStyle w:val="Normal1linespace"/>
              <w:widowControl w:val="0"/>
              <w:jc w:val="left"/>
            </w:pPr>
          </w:p>
        </w:tc>
      </w:tr>
      <w:bookmarkEnd w:id="7"/>
      <w:tr w:rsidR="00514535" w14:paraId="4CF6AB9E" w14:textId="77777777" w:rsidTr="00047A49">
        <w:tc>
          <w:tcPr>
            <w:tcW w:w="3119" w:type="dxa"/>
            <w:shd w:val="clear" w:color="auto" w:fill="auto"/>
          </w:tcPr>
          <w:p w14:paraId="41269907" w14:textId="77777777" w:rsidR="00514535" w:rsidRDefault="00514535" w:rsidP="00501A12">
            <w:pPr>
              <w:pStyle w:val="Normal1linespace"/>
              <w:widowControl w:val="0"/>
            </w:pPr>
            <w:r>
              <w:t>Number of paragraphs:</w:t>
            </w:r>
          </w:p>
        </w:tc>
        <w:tc>
          <w:tcPr>
            <w:tcW w:w="6131" w:type="dxa"/>
            <w:gridSpan w:val="2"/>
            <w:shd w:val="clear" w:color="auto" w:fill="auto"/>
          </w:tcPr>
          <w:p w14:paraId="00C97E15" w14:textId="5D9A1F66" w:rsidR="00514535" w:rsidRDefault="004C6C80" w:rsidP="00501A12">
            <w:pPr>
              <w:pStyle w:val="Normal1linespace"/>
              <w:widowControl w:val="0"/>
              <w:jc w:val="left"/>
            </w:pPr>
            <w:bookmarkStart w:id="8" w:name="PlaceCategoryParagraphs"/>
            <w:r>
              <w:t>26</w:t>
            </w:r>
            <w:bookmarkEnd w:id="8"/>
          </w:p>
        </w:tc>
      </w:tr>
      <w:tr w:rsidR="00514535" w14:paraId="130C8D35" w14:textId="77777777" w:rsidTr="00047A49">
        <w:tc>
          <w:tcPr>
            <w:tcW w:w="3119" w:type="dxa"/>
            <w:shd w:val="clear" w:color="auto" w:fill="auto"/>
          </w:tcPr>
          <w:p w14:paraId="2E22AAE3" w14:textId="77777777" w:rsidR="00514535" w:rsidRDefault="00514535" w:rsidP="00514535">
            <w:pPr>
              <w:pStyle w:val="Normal1linespace"/>
              <w:widowControl w:val="0"/>
              <w:jc w:val="left"/>
            </w:pPr>
          </w:p>
        </w:tc>
        <w:tc>
          <w:tcPr>
            <w:tcW w:w="6131" w:type="dxa"/>
            <w:gridSpan w:val="2"/>
            <w:shd w:val="clear" w:color="auto" w:fill="auto"/>
          </w:tcPr>
          <w:p w14:paraId="03028748" w14:textId="77777777" w:rsidR="00514535" w:rsidRDefault="00514535" w:rsidP="00514535">
            <w:pPr>
              <w:pStyle w:val="Normal1linespace"/>
              <w:widowControl w:val="0"/>
              <w:jc w:val="left"/>
            </w:pPr>
          </w:p>
        </w:tc>
      </w:tr>
      <w:tr w:rsidR="00514535" w14:paraId="02520B6F" w14:textId="77777777" w:rsidTr="00047A49">
        <w:tc>
          <w:tcPr>
            <w:tcW w:w="3119" w:type="dxa"/>
            <w:shd w:val="clear" w:color="auto" w:fill="auto"/>
          </w:tcPr>
          <w:p w14:paraId="6391D8A3" w14:textId="77777777" w:rsidR="00514535" w:rsidRDefault="00514535" w:rsidP="00514535">
            <w:pPr>
              <w:pStyle w:val="Normal1linespace"/>
              <w:widowControl w:val="0"/>
              <w:jc w:val="left"/>
            </w:pPr>
            <w:bookmarkStart w:id="9" w:name="CounselDate" w:colFirst="0" w:colLast="2"/>
            <w:r w:rsidRPr="006A24E3">
              <w:t>Date of hearing:</w:t>
            </w:r>
          </w:p>
        </w:tc>
        <w:tc>
          <w:tcPr>
            <w:tcW w:w="6131" w:type="dxa"/>
            <w:gridSpan w:val="2"/>
            <w:shd w:val="clear" w:color="auto" w:fill="auto"/>
          </w:tcPr>
          <w:p w14:paraId="6D30C066" w14:textId="5E6A0C82" w:rsidR="00514535" w:rsidRDefault="00CD0E49" w:rsidP="00CD0E49">
            <w:pPr>
              <w:pStyle w:val="Normal1linespace"/>
              <w:widowControl w:val="0"/>
              <w:jc w:val="left"/>
            </w:pPr>
            <w:bookmarkStart w:id="10" w:name="HearingDate"/>
            <w:r>
              <w:t>29</w:t>
            </w:r>
            <w:r w:rsidR="00CC5126">
              <w:t xml:space="preserve"> </w:t>
            </w:r>
            <w:r>
              <w:t xml:space="preserve">April </w:t>
            </w:r>
            <w:r w:rsidR="00CC5126">
              <w:t>2022</w:t>
            </w:r>
            <w:r w:rsidR="00514535">
              <w:t xml:space="preserve"> </w:t>
            </w:r>
            <w:bookmarkEnd w:id="10"/>
          </w:p>
        </w:tc>
      </w:tr>
      <w:tr w:rsidR="00514535" w14:paraId="120E26C7" w14:textId="77777777" w:rsidTr="00047A49">
        <w:tc>
          <w:tcPr>
            <w:tcW w:w="3119" w:type="dxa"/>
            <w:shd w:val="clear" w:color="auto" w:fill="auto"/>
          </w:tcPr>
          <w:p w14:paraId="208D56E6" w14:textId="77777777" w:rsidR="00514535" w:rsidRDefault="00514535" w:rsidP="00514535">
            <w:pPr>
              <w:pStyle w:val="Normal1linespace"/>
              <w:widowControl w:val="0"/>
              <w:jc w:val="left"/>
            </w:pPr>
          </w:p>
        </w:tc>
        <w:tc>
          <w:tcPr>
            <w:tcW w:w="6131" w:type="dxa"/>
            <w:gridSpan w:val="2"/>
            <w:shd w:val="clear" w:color="auto" w:fill="auto"/>
          </w:tcPr>
          <w:p w14:paraId="694B8A86" w14:textId="77777777" w:rsidR="00514535" w:rsidRDefault="00514535" w:rsidP="00514535">
            <w:pPr>
              <w:pStyle w:val="Normal1linespace"/>
              <w:widowControl w:val="0"/>
              <w:jc w:val="left"/>
            </w:pPr>
          </w:p>
        </w:tc>
      </w:tr>
      <w:tr w:rsidR="001C20DE" w14:paraId="6742A847" w14:textId="77777777" w:rsidTr="00047A49">
        <w:trPr>
          <w:gridAfter w:val="1"/>
          <w:wAfter w:w="180" w:type="dxa"/>
        </w:trPr>
        <w:tc>
          <w:tcPr>
            <w:tcW w:w="3119" w:type="dxa"/>
            <w:shd w:val="clear" w:color="auto" w:fill="auto"/>
          </w:tcPr>
          <w:p w14:paraId="19EDC2C6" w14:textId="609897BE" w:rsidR="001C20DE" w:rsidRDefault="001C20DE" w:rsidP="001C20DE">
            <w:pPr>
              <w:pStyle w:val="Normal1linespace"/>
              <w:widowControl w:val="0"/>
              <w:jc w:val="left"/>
            </w:pPr>
            <w:bookmarkStart w:id="11" w:name="Counsel" w:colFirst="0" w:colLast="2"/>
            <w:bookmarkEnd w:id="9"/>
            <w:r>
              <w:t>Counsel for the Applicants:</w:t>
            </w:r>
          </w:p>
        </w:tc>
        <w:tc>
          <w:tcPr>
            <w:tcW w:w="5951" w:type="dxa"/>
            <w:shd w:val="clear" w:color="auto" w:fill="auto"/>
          </w:tcPr>
          <w:p w14:paraId="5155E518" w14:textId="590233C8" w:rsidR="001C20DE" w:rsidRDefault="001C20DE" w:rsidP="001C20DE">
            <w:pPr>
              <w:pStyle w:val="Normal1linespace"/>
              <w:widowControl w:val="0"/>
              <w:jc w:val="left"/>
            </w:pPr>
            <w:bookmarkStart w:id="12" w:name="AppCounsel"/>
            <w:bookmarkEnd w:id="12"/>
            <w:r>
              <w:t>E G H Cox SC and M D Swanson</w:t>
            </w:r>
          </w:p>
        </w:tc>
      </w:tr>
      <w:tr w:rsidR="001C20DE" w14:paraId="7ED35C5C" w14:textId="77777777" w:rsidTr="00047A49">
        <w:trPr>
          <w:gridAfter w:val="1"/>
          <w:wAfter w:w="180" w:type="dxa"/>
        </w:trPr>
        <w:tc>
          <w:tcPr>
            <w:tcW w:w="3119" w:type="dxa"/>
            <w:shd w:val="clear" w:color="auto" w:fill="auto"/>
          </w:tcPr>
          <w:p w14:paraId="74C088EF" w14:textId="77777777" w:rsidR="001C20DE" w:rsidRDefault="001C20DE" w:rsidP="001C20DE">
            <w:pPr>
              <w:pStyle w:val="Normal1linespace"/>
              <w:widowControl w:val="0"/>
              <w:jc w:val="left"/>
            </w:pPr>
          </w:p>
        </w:tc>
        <w:tc>
          <w:tcPr>
            <w:tcW w:w="5951" w:type="dxa"/>
            <w:shd w:val="clear" w:color="auto" w:fill="auto"/>
          </w:tcPr>
          <w:p w14:paraId="19522147" w14:textId="77777777" w:rsidR="001C20DE" w:rsidRDefault="001C20DE" w:rsidP="001C20DE">
            <w:pPr>
              <w:pStyle w:val="Normal1linespace"/>
              <w:widowControl w:val="0"/>
              <w:jc w:val="left"/>
            </w:pPr>
          </w:p>
        </w:tc>
      </w:tr>
      <w:tr w:rsidR="001C20DE" w14:paraId="56867F42" w14:textId="77777777" w:rsidTr="00047A49">
        <w:trPr>
          <w:gridAfter w:val="1"/>
          <w:wAfter w:w="180" w:type="dxa"/>
        </w:trPr>
        <w:tc>
          <w:tcPr>
            <w:tcW w:w="3119" w:type="dxa"/>
            <w:shd w:val="clear" w:color="auto" w:fill="auto"/>
          </w:tcPr>
          <w:p w14:paraId="7F3A5E96" w14:textId="00CCF25A" w:rsidR="001C20DE" w:rsidRDefault="001C20DE" w:rsidP="001C20DE">
            <w:pPr>
              <w:pStyle w:val="Normal1linespace"/>
              <w:widowControl w:val="0"/>
              <w:jc w:val="left"/>
            </w:pPr>
            <w:r>
              <w:t>Solicitor for the Applicants:</w:t>
            </w:r>
          </w:p>
        </w:tc>
        <w:tc>
          <w:tcPr>
            <w:tcW w:w="5951" w:type="dxa"/>
            <w:shd w:val="clear" w:color="auto" w:fill="auto"/>
          </w:tcPr>
          <w:p w14:paraId="7D4B8DA9" w14:textId="517A2556" w:rsidR="001C20DE" w:rsidRDefault="001C20DE" w:rsidP="001C20DE">
            <w:pPr>
              <w:pStyle w:val="Normal1linespace"/>
              <w:widowControl w:val="0"/>
              <w:jc w:val="left"/>
            </w:pPr>
            <w:r>
              <w:t>Mills Oakley</w:t>
            </w:r>
          </w:p>
        </w:tc>
      </w:tr>
      <w:tr w:rsidR="001C20DE" w14:paraId="08A75FD3" w14:textId="77777777" w:rsidTr="00047A49">
        <w:trPr>
          <w:gridAfter w:val="1"/>
          <w:wAfter w:w="180" w:type="dxa"/>
        </w:trPr>
        <w:tc>
          <w:tcPr>
            <w:tcW w:w="3119" w:type="dxa"/>
            <w:shd w:val="clear" w:color="auto" w:fill="auto"/>
          </w:tcPr>
          <w:p w14:paraId="616898E2" w14:textId="77777777" w:rsidR="001C20DE" w:rsidRDefault="001C20DE" w:rsidP="001C20DE">
            <w:pPr>
              <w:pStyle w:val="Normal1linespace"/>
              <w:widowControl w:val="0"/>
              <w:jc w:val="left"/>
            </w:pPr>
          </w:p>
        </w:tc>
        <w:tc>
          <w:tcPr>
            <w:tcW w:w="5951" w:type="dxa"/>
            <w:shd w:val="clear" w:color="auto" w:fill="auto"/>
          </w:tcPr>
          <w:p w14:paraId="04BE03E0" w14:textId="77777777" w:rsidR="001C20DE" w:rsidRDefault="001C20DE" w:rsidP="001C20DE">
            <w:pPr>
              <w:pStyle w:val="Normal1linespace"/>
              <w:widowControl w:val="0"/>
              <w:jc w:val="left"/>
            </w:pPr>
          </w:p>
        </w:tc>
      </w:tr>
      <w:tr w:rsidR="001C20DE" w14:paraId="0D17EFDF" w14:textId="77777777" w:rsidTr="00047A49">
        <w:trPr>
          <w:gridAfter w:val="1"/>
          <w:wAfter w:w="180" w:type="dxa"/>
        </w:trPr>
        <w:tc>
          <w:tcPr>
            <w:tcW w:w="3119" w:type="dxa"/>
            <w:shd w:val="clear" w:color="auto" w:fill="auto"/>
          </w:tcPr>
          <w:p w14:paraId="5CAEF19A" w14:textId="6A59E8B8" w:rsidR="001C20DE" w:rsidRDefault="001C20DE" w:rsidP="001C20DE">
            <w:pPr>
              <w:pStyle w:val="Normal1linespace"/>
              <w:widowControl w:val="0"/>
              <w:jc w:val="left"/>
            </w:pPr>
            <w:r>
              <w:t>Counsel for the First, Second and Third Respondents:</w:t>
            </w:r>
          </w:p>
        </w:tc>
        <w:tc>
          <w:tcPr>
            <w:tcW w:w="5951" w:type="dxa"/>
            <w:shd w:val="clear" w:color="auto" w:fill="auto"/>
          </w:tcPr>
          <w:p w14:paraId="3E77983B" w14:textId="43A38662" w:rsidR="001C20DE" w:rsidRDefault="001C20DE" w:rsidP="001C20DE">
            <w:pPr>
              <w:pStyle w:val="Normal1linespace"/>
              <w:widowControl w:val="0"/>
              <w:jc w:val="left"/>
            </w:pPr>
            <w:r>
              <w:t xml:space="preserve">G </w:t>
            </w:r>
            <w:r w:rsidR="00FB06FE">
              <w:t xml:space="preserve">J </w:t>
            </w:r>
            <w:r>
              <w:t>Nell SC</w:t>
            </w:r>
          </w:p>
        </w:tc>
      </w:tr>
      <w:tr w:rsidR="001C20DE" w14:paraId="628CC545" w14:textId="77777777" w:rsidTr="00047A49">
        <w:trPr>
          <w:gridAfter w:val="1"/>
          <w:wAfter w:w="180" w:type="dxa"/>
        </w:trPr>
        <w:tc>
          <w:tcPr>
            <w:tcW w:w="3119" w:type="dxa"/>
            <w:shd w:val="clear" w:color="auto" w:fill="auto"/>
          </w:tcPr>
          <w:p w14:paraId="428952A7" w14:textId="77777777" w:rsidR="001C20DE" w:rsidRDefault="001C20DE" w:rsidP="001C20DE">
            <w:pPr>
              <w:pStyle w:val="Normal1linespace"/>
              <w:widowControl w:val="0"/>
              <w:jc w:val="left"/>
            </w:pPr>
          </w:p>
        </w:tc>
        <w:tc>
          <w:tcPr>
            <w:tcW w:w="5951" w:type="dxa"/>
            <w:shd w:val="clear" w:color="auto" w:fill="auto"/>
          </w:tcPr>
          <w:p w14:paraId="29349D8C" w14:textId="77777777" w:rsidR="001C20DE" w:rsidRDefault="001C20DE" w:rsidP="001C20DE">
            <w:pPr>
              <w:pStyle w:val="Normal1linespace"/>
              <w:widowControl w:val="0"/>
              <w:jc w:val="left"/>
            </w:pPr>
          </w:p>
        </w:tc>
      </w:tr>
      <w:tr w:rsidR="001C20DE" w14:paraId="7D057437" w14:textId="77777777" w:rsidTr="00047A49">
        <w:trPr>
          <w:gridAfter w:val="1"/>
          <w:wAfter w:w="180" w:type="dxa"/>
        </w:trPr>
        <w:tc>
          <w:tcPr>
            <w:tcW w:w="3119" w:type="dxa"/>
            <w:shd w:val="clear" w:color="auto" w:fill="auto"/>
          </w:tcPr>
          <w:p w14:paraId="3B7C45FF" w14:textId="55486C5F" w:rsidR="001C20DE" w:rsidRDefault="001C20DE" w:rsidP="001C20DE">
            <w:pPr>
              <w:pStyle w:val="Normal1linespace"/>
              <w:widowControl w:val="0"/>
              <w:jc w:val="left"/>
            </w:pPr>
            <w:r>
              <w:t>Counsel for the First, Second and Third Respondents:</w:t>
            </w:r>
          </w:p>
        </w:tc>
        <w:tc>
          <w:tcPr>
            <w:tcW w:w="5951" w:type="dxa"/>
            <w:shd w:val="clear" w:color="auto" w:fill="auto"/>
          </w:tcPr>
          <w:p w14:paraId="2996108B" w14:textId="5672653B" w:rsidR="001C20DE" w:rsidRDefault="001C20DE" w:rsidP="001C20DE">
            <w:pPr>
              <w:pStyle w:val="Normal1linespace"/>
              <w:widowControl w:val="0"/>
              <w:jc w:val="left"/>
            </w:pPr>
            <w:r>
              <w:t>Thynne &amp; Macartney</w:t>
            </w:r>
          </w:p>
        </w:tc>
      </w:tr>
      <w:tr w:rsidR="001C20DE" w14:paraId="5FC890A3" w14:textId="77777777" w:rsidTr="00047A49">
        <w:trPr>
          <w:gridAfter w:val="1"/>
          <w:wAfter w:w="180" w:type="dxa"/>
        </w:trPr>
        <w:tc>
          <w:tcPr>
            <w:tcW w:w="3119" w:type="dxa"/>
            <w:shd w:val="clear" w:color="auto" w:fill="auto"/>
          </w:tcPr>
          <w:p w14:paraId="2E0C1A88" w14:textId="77777777" w:rsidR="001C20DE" w:rsidRDefault="001C20DE" w:rsidP="001C20DE">
            <w:pPr>
              <w:pStyle w:val="Normal1linespace"/>
              <w:widowControl w:val="0"/>
              <w:jc w:val="left"/>
            </w:pPr>
          </w:p>
        </w:tc>
        <w:tc>
          <w:tcPr>
            <w:tcW w:w="5951" w:type="dxa"/>
            <w:shd w:val="clear" w:color="auto" w:fill="auto"/>
          </w:tcPr>
          <w:p w14:paraId="2162A109" w14:textId="77777777" w:rsidR="001C20DE" w:rsidRDefault="001C20DE" w:rsidP="001C20DE">
            <w:pPr>
              <w:pStyle w:val="Normal1linespace"/>
              <w:widowControl w:val="0"/>
              <w:jc w:val="left"/>
            </w:pPr>
          </w:p>
        </w:tc>
      </w:tr>
      <w:tr w:rsidR="001C20DE" w14:paraId="72BDCA38" w14:textId="77777777" w:rsidTr="00047A49">
        <w:trPr>
          <w:gridAfter w:val="1"/>
          <w:wAfter w:w="180" w:type="dxa"/>
        </w:trPr>
        <w:tc>
          <w:tcPr>
            <w:tcW w:w="3119" w:type="dxa"/>
            <w:shd w:val="clear" w:color="auto" w:fill="auto"/>
          </w:tcPr>
          <w:p w14:paraId="0C8EF6FD" w14:textId="7603BA1B" w:rsidR="001C20DE" w:rsidRDefault="001C20DE" w:rsidP="001C20DE">
            <w:pPr>
              <w:pStyle w:val="Normal1linespace"/>
              <w:widowControl w:val="0"/>
              <w:jc w:val="left"/>
            </w:pPr>
            <w:r>
              <w:t>Solicitor for the Fourth Respondent:</w:t>
            </w:r>
          </w:p>
        </w:tc>
        <w:tc>
          <w:tcPr>
            <w:tcW w:w="5951" w:type="dxa"/>
            <w:shd w:val="clear" w:color="auto" w:fill="auto"/>
          </w:tcPr>
          <w:p w14:paraId="63A60294" w14:textId="08079014" w:rsidR="001C20DE" w:rsidRDefault="001C20DE" w:rsidP="001C20DE">
            <w:pPr>
              <w:pStyle w:val="Normal1linespace"/>
              <w:widowControl w:val="0"/>
              <w:jc w:val="left"/>
            </w:pPr>
            <w:r>
              <w:t>Clyde &amp; Co</w:t>
            </w:r>
          </w:p>
        </w:tc>
      </w:tr>
      <w:tr w:rsidR="001C20DE" w14:paraId="79D1AC8D" w14:textId="77777777" w:rsidTr="00047A49">
        <w:trPr>
          <w:gridAfter w:val="1"/>
          <w:wAfter w:w="180" w:type="dxa"/>
        </w:trPr>
        <w:tc>
          <w:tcPr>
            <w:tcW w:w="3119" w:type="dxa"/>
            <w:shd w:val="clear" w:color="auto" w:fill="auto"/>
          </w:tcPr>
          <w:p w14:paraId="5B12CDD5" w14:textId="77777777" w:rsidR="001C20DE" w:rsidRDefault="001C20DE" w:rsidP="001C20DE">
            <w:pPr>
              <w:pStyle w:val="Normal1linespace"/>
              <w:widowControl w:val="0"/>
              <w:jc w:val="left"/>
            </w:pPr>
          </w:p>
        </w:tc>
        <w:tc>
          <w:tcPr>
            <w:tcW w:w="5951" w:type="dxa"/>
            <w:shd w:val="clear" w:color="auto" w:fill="auto"/>
          </w:tcPr>
          <w:p w14:paraId="7B6F59B7" w14:textId="77777777" w:rsidR="001C20DE" w:rsidRDefault="001C20DE" w:rsidP="001C20DE">
            <w:pPr>
              <w:pStyle w:val="Normal1linespace"/>
              <w:widowControl w:val="0"/>
              <w:jc w:val="left"/>
            </w:pPr>
          </w:p>
        </w:tc>
      </w:tr>
      <w:tr w:rsidR="001C20DE" w14:paraId="7A48A5DC" w14:textId="77777777" w:rsidTr="00047A49">
        <w:trPr>
          <w:gridAfter w:val="1"/>
          <w:wAfter w:w="180" w:type="dxa"/>
        </w:trPr>
        <w:tc>
          <w:tcPr>
            <w:tcW w:w="3119" w:type="dxa"/>
            <w:shd w:val="clear" w:color="auto" w:fill="auto"/>
          </w:tcPr>
          <w:p w14:paraId="3A0CACAD" w14:textId="500FE142" w:rsidR="001C20DE" w:rsidRDefault="001C20DE" w:rsidP="001C20DE">
            <w:pPr>
              <w:pStyle w:val="Normal1linespace"/>
              <w:widowControl w:val="0"/>
              <w:jc w:val="left"/>
            </w:pPr>
            <w:r>
              <w:t>Solicitor for the Fifth Respondent:</w:t>
            </w:r>
          </w:p>
        </w:tc>
        <w:tc>
          <w:tcPr>
            <w:tcW w:w="5951" w:type="dxa"/>
            <w:shd w:val="clear" w:color="auto" w:fill="auto"/>
          </w:tcPr>
          <w:p w14:paraId="1349337B" w14:textId="0C417008" w:rsidR="001C20DE" w:rsidRDefault="001C20DE" w:rsidP="001C20DE">
            <w:pPr>
              <w:pStyle w:val="Normal1linespace"/>
              <w:widowControl w:val="0"/>
              <w:jc w:val="left"/>
            </w:pPr>
            <w:r>
              <w:t>HWL Ebsworth Lawyers</w:t>
            </w:r>
          </w:p>
        </w:tc>
      </w:tr>
      <w:tr w:rsidR="001C20DE" w14:paraId="1DB481F8" w14:textId="77777777" w:rsidTr="00047A49">
        <w:trPr>
          <w:gridAfter w:val="1"/>
          <w:wAfter w:w="180" w:type="dxa"/>
        </w:trPr>
        <w:tc>
          <w:tcPr>
            <w:tcW w:w="3119" w:type="dxa"/>
            <w:shd w:val="clear" w:color="auto" w:fill="auto"/>
          </w:tcPr>
          <w:p w14:paraId="66BDCC7B" w14:textId="77777777" w:rsidR="001C20DE" w:rsidRDefault="001C20DE" w:rsidP="001C20DE">
            <w:pPr>
              <w:pStyle w:val="Normal1linespace"/>
              <w:widowControl w:val="0"/>
              <w:jc w:val="left"/>
            </w:pPr>
          </w:p>
        </w:tc>
        <w:tc>
          <w:tcPr>
            <w:tcW w:w="5951" w:type="dxa"/>
            <w:shd w:val="clear" w:color="auto" w:fill="auto"/>
          </w:tcPr>
          <w:p w14:paraId="1A5A8532" w14:textId="77777777" w:rsidR="001C20DE" w:rsidRDefault="001C20DE" w:rsidP="001C20DE">
            <w:pPr>
              <w:pStyle w:val="Normal1linespace"/>
              <w:widowControl w:val="0"/>
              <w:jc w:val="left"/>
            </w:pPr>
          </w:p>
        </w:tc>
      </w:tr>
      <w:tr w:rsidR="001C20DE" w14:paraId="5148FCAD" w14:textId="77777777" w:rsidTr="00047A49">
        <w:trPr>
          <w:gridAfter w:val="1"/>
          <w:wAfter w:w="180" w:type="dxa"/>
        </w:trPr>
        <w:tc>
          <w:tcPr>
            <w:tcW w:w="3119" w:type="dxa"/>
            <w:shd w:val="clear" w:color="auto" w:fill="auto"/>
          </w:tcPr>
          <w:p w14:paraId="304116FB" w14:textId="781248DE" w:rsidR="001C20DE" w:rsidRDefault="001C20DE" w:rsidP="001C20DE">
            <w:pPr>
              <w:pStyle w:val="Normal1linespace"/>
              <w:widowControl w:val="0"/>
              <w:jc w:val="left"/>
            </w:pPr>
            <w:r>
              <w:t>Solicitor for the Seventh Respondent:</w:t>
            </w:r>
          </w:p>
        </w:tc>
        <w:tc>
          <w:tcPr>
            <w:tcW w:w="5951" w:type="dxa"/>
            <w:shd w:val="clear" w:color="auto" w:fill="auto"/>
          </w:tcPr>
          <w:p w14:paraId="4C1B6044" w14:textId="7942302A" w:rsidR="001C20DE" w:rsidRDefault="009C221F" w:rsidP="001C20DE">
            <w:pPr>
              <w:pStyle w:val="Normal1linespace"/>
              <w:widowControl w:val="0"/>
              <w:jc w:val="left"/>
            </w:pPr>
            <w:r>
              <w:t xml:space="preserve">D Shahen of </w:t>
            </w:r>
            <w:r w:rsidR="001C20DE">
              <w:t>Kennedys</w:t>
            </w:r>
          </w:p>
        </w:tc>
      </w:tr>
      <w:bookmarkEnd w:id="11"/>
    </w:tbl>
    <w:p w14:paraId="40FD8FD4" w14:textId="77777777" w:rsidR="007470BD" w:rsidRDefault="007470BD">
      <w:pPr>
        <w:pStyle w:val="Normal1linespace"/>
      </w:pPr>
    </w:p>
    <w:p w14:paraId="5A83826B" w14:textId="77777777" w:rsidR="00E94CBF" w:rsidRDefault="00E94CBF">
      <w:pPr>
        <w:pStyle w:val="Normal1linespace"/>
      </w:pPr>
    </w:p>
    <w:p w14:paraId="022F2AE0" w14:textId="77777777"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668C8B58"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9242" w:type="dxa"/>
        <w:tblLayout w:type="fixed"/>
        <w:tblLook w:val="0000" w:firstRow="0" w:lastRow="0" w:firstColumn="0" w:lastColumn="0" w:noHBand="0" w:noVBand="0"/>
        <w:tblCaption w:val="Parties"/>
        <w:tblDescription w:val="Parties"/>
      </w:tblPr>
      <w:tblGrid>
        <w:gridCol w:w="2376"/>
        <w:gridCol w:w="4536"/>
        <w:gridCol w:w="2330"/>
      </w:tblGrid>
      <w:tr w:rsidR="00A46CCC" w14:paraId="47497252" w14:textId="77777777" w:rsidTr="00156CF8">
        <w:tc>
          <w:tcPr>
            <w:tcW w:w="6912" w:type="dxa"/>
            <w:gridSpan w:val="2"/>
          </w:tcPr>
          <w:p w14:paraId="38CAA31C" w14:textId="77777777" w:rsidR="00A46CCC" w:rsidRPr="001765E0" w:rsidRDefault="00A46CCC" w:rsidP="00525A49">
            <w:pPr>
              <w:pStyle w:val="NormalHeadings"/>
            </w:pPr>
          </w:p>
        </w:tc>
        <w:tc>
          <w:tcPr>
            <w:tcW w:w="2330" w:type="dxa"/>
          </w:tcPr>
          <w:p w14:paraId="50E0487B" w14:textId="77777777" w:rsidR="00A46CCC" w:rsidRDefault="00514535" w:rsidP="00F92355">
            <w:pPr>
              <w:pStyle w:val="NormalHeadings"/>
              <w:jc w:val="right"/>
            </w:pPr>
            <w:bookmarkStart w:id="13" w:name="FileNo"/>
            <w:r>
              <w:t>NSD 66 of 2021</w:t>
            </w:r>
            <w:bookmarkEnd w:id="13"/>
          </w:p>
        </w:tc>
      </w:tr>
      <w:tr w:rsidR="00A76C13" w14:paraId="6F24C175" w14:textId="77777777" w:rsidTr="00156CF8">
        <w:tc>
          <w:tcPr>
            <w:tcW w:w="9242" w:type="dxa"/>
            <w:gridSpan w:val="3"/>
          </w:tcPr>
          <w:p w14:paraId="67B3933F" w14:textId="77777777" w:rsidR="00A76C13" w:rsidRPr="00A76C13" w:rsidRDefault="00514535" w:rsidP="00514535">
            <w:pPr>
              <w:pStyle w:val="NormalHeadings"/>
              <w:jc w:val="left"/>
            </w:pPr>
            <w:bookmarkStart w:id="14" w:name="InTheMatterOf"/>
            <w:r>
              <w:t xml:space="preserve"> </w:t>
            </w:r>
            <w:bookmarkEnd w:id="14"/>
          </w:p>
        </w:tc>
      </w:tr>
      <w:tr w:rsidR="00A46CCC" w14:paraId="0D6E6272" w14:textId="77777777" w:rsidTr="00156CF8">
        <w:trPr>
          <w:trHeight w:val="386"/>
        </w:trPr>
        <w:tc>
          <w:tcPr>
            <w:tcW w:w="2376" w:type="dxa"/>
          </w:tcPr>
          <w:p w14:paraId="701EA315" w14:textId="77777777" w:rsidR="00A46CCC" w:rsidRDefault="00A46CCC" w:rsidP="00850039">
            <w:pPr>
              <w:pStyle w:val="NormalHeadings"/>
              <w:jc w:val="left"/>
              <w:rPr>
                <w:caps/>
                <w:szCs w:val="24"/>
              </w:rPr>
            </w:pPr>
            <w:bookmarkStart w:id="15" w:name="Parties"/>
            <w:r>
              <w:rPr>
                <w:caps/>
                <w:szCs w:val="24"/>
              </w:rPr>
              <w:t>BETWEEN:</w:t>
            </w:r>
          </w:p>
        </w:tc>
        <w:tc>
          <w:tcPr>
            <w:tcW w:w="6866" w:type="dxa"/>
            <w:gridSpan w:val="2"/>
          </w:tcPr>
          <w:p w14:paraId="626346F3" w14:textId="77777777" w:rsidR="00514535" w:rsidRPr="00156CF8" w:rsidRDefault="00514535" w:rsidP="00514535">
            <w:pPr>
              <w:pStyle w:val="NormalHeadings"/>
              <w:jc w:val="left"/>
              <w:rPr>
                <w:b w:val="0"/>
              </w:rPr>
            </w:pPr>
            <w:bookmarkStart w:id="16" w:name="Applicant"/>
            <w:r>
              <w:t>ST JOHN AMBULANCE AUSTRALIA LTD</w:t>
            </w:r>
            <w:r w:rsidR="00156CF8">
              <w:t xml:space="preserve"> </w:t>
            </w:r>
            <w:r w:rsidR="00156CF8">
              <w:rPr>
                <w:b w:val="0"/>
              </w:rPr>
              <w:t>(and others named in the Schedule)</w:t>
            </w:r>
          </w:p>
          <w:p w14:paraId="15A5CEE4" w14:textId="77777777" w:rsidR="00514535" w:rsidRDefault="00514535" w:rsidP="00514535">
            <w:pPr>
              <w:pStyle w:val="PartyType"/>
            </w:pPr>
            <w:r>
              <w:t>First Applicant</w:t>
            </w:r>
          </w:p>
          <w:bookmarkEnd w:id="16"/>
          <w:p w14:paraId="14FEC8E9" w14:textId="77777777" w:rsidR="00A46CCC" w:rsidRPr="006555B4" w:rsidRDefault="00A46CCC" w:rsidP="00514535">
            <w:pPr>
              <w:pStyle w:val="NormalHeadings"/>
              <w:jc w:val="left"/>
            </w:pPr>
          </w:p>
        </w:tc>
      </w:tr>
      <w:tr w:rsidR="00A46CCC" w14:paraId="37026E57" w14:textId="77777777" w:rsidTr="00156CF8">
        <w:trPr>
          <w:trHeight w:val="386"/>
        </w:trPr>
        <w:tc>
          <w:tcPr>
            <w:tcW w:w="2376" w:type="dxa"/>
          </w:tcPr>
          <w:p w14:paraId="5EC3740C" w14:textId="77777777" w:rsidR="00A46CCC" w:rsidRDefault="00A46CCC" w:rsidP="00850039">
            <w:pPr>
              <w:pStyle w:val="NormalHeadings"/>
              <w:jc w:val="left"/>
              <w:rPr>
                <w:caps/>
                <w:szCs w:val="24"/>
              </w:rPr>
            </w:pPr>
            <w:r>
              <w:rPr>
                <w:caps/>
                <w:szCs w:val="24"/>
              </w:rPr>
              <w:t>AND:</w:t>
            </w:r>
          </w:p>
        </w:tc>
        <w:tc>
          <w:tcPr>
            <w:tcW w:w="6866" w:type="dxa"/>
            <w:gridSpan w:val="2"/>
          </w:tcPr>
          <w:p w14:paraId="0B47D8E3" w14:textId="77777777" w:rsidR="00514535" w:rsidRPr="00156CF8" w:rsidRDefault="00514535" w:rsidP="00514535">
            <w:pPr>
              <w:pStyle w:val="NormalHeadings"/>
              <w:jc w:val="left"/>
              <w:rPr>
                <w:b w:val="0"/>
              </w:rPr>
            </w:pPr>
            <w:bookmarkStart w:id="17" w:name="Respondent"/>
            <w:r>
              <w:t>CMB OCEAN 13 LEASING COMPANY PTE LTD</w:t>
            </w:r>
            <w:r w:rsidR="00156CF8">
              <w:t xml:space="preserve"> </w:t>
            </w:r>
            <w:r w:rsidR="00156CF8">
              <w:rPr>
                <w:b w:val="0"/>
              </w:rPr>
              <w:t>(and others named in the Schedule)</w:t>
            </w:r>
          </w:p>
          <w:p w14:paraId="5E583EDA" w14:textId="77777777" w:rsidR="00514535" w:rsidRDefault="00514535" w:rsidP="00514535">
            <w:pPr>
              <w:pStyle w:val="PartyType"/>
            </w:pPr>
            <w:r>
              <w:t>First Respondent</w:t>
            </w:r>
          </w:p>
          <w:bookmarkEnd w:id="17"/>
          <w:p w14:paraId="7A70087C" w14:textId="77777777" w:rsidR="00A46CCC" w:rsidRPr="006555B4" w:rsidRDefault="00A46CCC" w:rsidP="00514535">
            <w:pPr>
              <w:pStyle w:val="NormalHeadings"/>
              <w:jc w:val="left"/>
            </w:pPr>
          </w:p>
        </w:tc>
      </w:tr>
      <w:tr w:rsidR="00514535" w14:paraId="068155A7" w14:textId="77777777" w:rsidTr="00156CF8">
        <w:trPr>
          <w:trHeight w:val="300"/>
        </w:trPr>
        <w:tc>
          <w:tcPr>
            <w:tcW w:w="2376" w:type="dxa"/>
          </w:tcPr>
          <w:p w14:paraId="734FCBA8" w14:textId="77777777" w:rsidR="00514535" w:rsidRDefault="00514535">
            <w:pPr>
              <w:pStyle w:val="NormalHeadings"/>
              <w:jc w:val="left"/>
              <w:rPr>
                <w:caps/>
                <w:szCs w:val="24"/>
              </w:rPr>
            </w:pPr>
            <w:bookmarkStart w:id="18" w:name="CrossClaimPosition"/>
            <w:bookmarkEnd w:id="15"/>
            <w:bookmarkEnd w:id="18"/>
          </w:p>
        </w:tc>
        <w:tc>
          <w:tcPr>
            <w:tcW w:w="6866" w:type="dxa"/>
            <w:gridSpan w:val="2"/>
          </w:tcPr>
          <w:p w14:paraId="5744D3E1" w14:textId="77777777" w:rsidR="00514535" w:rsidRDefault="00514535">
            <w:pPr>
              <w:pStyle w:val="NormalHeadings"/>
              <w:jc w:val="left"/>
              <w:rPr>
                <w:szCs w:val="24"/>
              </w:rPr>
            </w:pPr>
          </w:p>
        </w:tc>
      </w:tr>
      <w:tr w:rsidR="00514535" w14:paraId="0C1F6DCC" w14:textId="77777777" w:rsidTr="00156CF8">
        <w:trPr>
          <w:trHeight w:val="386"/>
        </w:trPr>
        <w:tc>
          <w:tcPr>
            <w:tcW w:w="2376" w:type="dxa"/>
          </w:tcPr>
          <w:p w14:paraId="2ABFA543" w14:textId="77777777" w:rsidR="00514535" w:rsidRDefault="00514535">
            <w:pPr>
              <w:pStyle w:val="NormalHeadings"/>
              <w:jc w:val="left"/>
              <w:rPr>
                <w:caps/>
                <w:szCs w:val="24"/>
              </w:rPr>
            </w:pPr>
            <w:r>
              <w:rPr>
                <w:caps/>
                <w:szCs w:val="24"/>
              </w:rPr>
              <w:t>AND BETWEEN:</w:t>
            </w:r>
          </w:p>
        </w:tc>
        <w:tc>
          <w:tcPr>
            <w:tcW w:w="6866" w:type="dxa"/>
            <w:gridSpan w:val="2"/>
          </w:tcPr>
          <w:p w14:paraId="1533BAA8" w14:textId="77777777" w:rsidR="00514535" w:rsidRPr="0007529E" w:rsidRDefault="00514535" w:rsidP="00514535">
            <w:pPr>
              <w:pStyle w:val="NormalHeadings"/>
              <w:jc w:val="left"/>
              <w:rPr>
                <w:b w:val="0"/>
              </w:rPr>
            </w:pPr>
            <w:bookmarkStart w:id="19" w:name="Cross_Applicant"/>
            <w:r>
              <w:t>CMB OCEAN 13 LEASING COMPANY PTE LTD</w:t>
            </w:r>
            <w:r w:rsidR="0007529E">
              <w:t xml:space="preserve"> </w:t>
            </w:r>
            <w:r w:rsidR="0007529E">
              <w:rPr>
                <w:b w:val="0"/>
              </w:rPr>
              <w:t>(and another named in the Schedule)</w:t>
            </w:r>
          </w:p>
          <w:p w14:paraId="7C8C8529" w14:textId="77777777" w:rsidR="00514535" w:rsidRDefault="0007529E" w:rsidP="00514535">
            <w:pPr>
              <w:pStyle w:val="PartyType"/>
            </w:pPr>
            <w:r>
              <w:t xml:space="preserve">First </w:t>
            </w:r>
            <w:r w:rsidR="00514535">
              <w:t>Cross-Claimant</w:t>
            </w:r>
            <w:r w:rsidR="00156CF8">
              <w:t xml:space="preserve"> on the First Cross-Claim</w:t>
            </w:r>
          </w:p>
          <w:bookmarkEnd w:id="19"/>
          <w:p w14:paraId="35DD76B2" w14:textId="77777777" w:rsidR="00514535" w:rsidRDefault="00514535">
            <w:pPr>
              <w:pStyle w:val="NormalHeadings"/>
              <w:jc w:val="left"/>
              <w:rPr>
                <w:szCs w:val="24"/>
              </w:rPr>
            </w:pPr>
          </w:p>
        </w:tc>
      </w:tr>
      <w:tr w:rsidR="00514535" w14:paraId="467124D4" w14:textId="77777777" w:rsidTr="00156CF8">
        <w:trPr>
          <w:trHeight w:val="386"/>
        </w:trPr>
        <w:tc>
          <w:tcPr>
            <w:tcW w:w="2376" w:type="dxa"/>
          </w:tcPr>
          <w:p w14:paraId="2CC3EA80" w14:textId="77777777" w:rsidR="00514535" w:rsidRDefault="00514535">
            <w:pPr>
              <w:pStyle w:val="NormalHeadings"/>
              <w:jc w:val="left"/>
              <w:rPr>
                <w:caps/>
                <w:szCs w:val="24"/>
              </w:rPr>
            </w:pPr>
            <w:r>
              <w:rPr>
                <w:caps/>
                <w:szCs w:val="24"/>
              </w:rPr>
              <w:t>AND:</w:t>
            </w:r>
          </w:p>
        </w:tc>
        <w:tc>
          <w:tcPr>
            <w:tcW w:w="6866" w:type="dxa"/>
            <w:gridSpan w:val="2"/>
          </w:tcPr>
          <w:p w14:paraId="7307FD99" w14:textId="77777777" w:rsidR="00514535" w:rsidRDefault="00514535" w:rsidP="00514535">
            <w:pPr>
              <w:pStyle w:val="NormalHeadings"/>
              <w:jc w:val="left"/>
            </w:pPr>
            <w:bookmarkStart w:id="20" w:name="Cross_Respondent"/>
            <w:r>
              <w:t xml:space="preserve">ST JOHN AMBULANCE AUSTRALIA LTD </w:t>
            </w:r>
            <w:r w:rsidRPr="00514535">
              <w:rPr>
                <w:b w:val="0"/>
              </w:rPr>
              <w:t xml:space="preserve">(and </w:t>
            </w:r>
            <w:r w:rsidR="0007529E">
              <w:rPr>
                <w:b w:val="0"/>
              </w:rPr>
              <w:t>others</w:t>
            </w:r>
            <w:r w:rsidRPr="00514535">
              <w:rPr>
                <w:b w:val="0"/>
              </w:rPr>
              <w:t xml:space="preserve"> named in the Schedule)</w:t>
            </w:r>
          </w:p>
          <w:p w14:paraId="1498D344" w14:textId="77777777" w:rsidR="00514535" w:rsidRDefault="00514535" w:rsidP="00514535">
            <w:pPr>
              <w:pStyle w:val="PartyType"/>
            </w:pPr>
            <w:r>
              <w:t>First Cross-Respondent</w:t>
            </w:r>
            <w:r w:rsidR="0007529E">
              <w:t xml:space="preserve"> on the First Cross-Claim</w:t>
            </w:r>
          </w:p>
          <w:bookmarkEnd w:id="20"/>
          <w:p w14:paraId="45ED94C5" w14:textId="77777777" w:rsidR="00514535" w:rsidRDefault="00514535">
            <w:pPr>
              <w:pStyle w:val="NormalHeadings"/>
              <w:jc w:val="left"/>
              <w:rPr>
                <w:szCs w:val="24"/>
              </w:rPr>
            </w:pPr>
          </w:p>
        </w:tc>
      </w:tr>
      <w:tr w:rsidR="00156CF8" w14:paraId="676E207B" w14:textId="77777777" w:rsidTr="00156CF8">
        <w:trPr>
          <w:trHeight w:val="300"/>
        </w:trPr>
        <w:tc>
          <w:tcPr>
            <w:tcW w:w="2376" w:type="dxa"/>
          </w:tcPr>
          <w:p w14:paraId="7D9EBBFE" w14:textId="77777777" w:rsidR="00156CF8" w:rsidRDefault="00156CF8" w:rsidP="00850039">
            <w:pPr>
              <w:pStyle w:val="NormalHeadings"/>
              <w:jc w:val="left"/>
              <w:rPr>
                <w:caps/>
                <w:szCs w:val="24"/>
              </w:rPr>
            </w:pPr>
          </w:p>
        </w:tc>
        <w:tc>
          <w:tcPr>
            <w:tcW w:w="6866" w:type="dxa"/>
            <w:gridSpan w:val="2"/>
          </w:tcPr>
          <w:p w14:paraId="4D9EFD74" w14:textId="77777777" w:rsidR="00156CF8" w:rsidRDefault="00156CF8" w:rsidP="00850039">
            <w:pPr>
              <w:pStyle w:val="NormalHeadings"/>
              <w:jc w:val="left"/>
              <w:rPr>
                <w:szCs w:val="24"/>
              </w:rPr>
            </w:pPr>
          </w:p>
        </w:tc>
      </w:tr>
      <w:tr w:rsidR="00156CF8" w14:paraId="671EEDFD" w14:textId="77777777" w:rsidTr="00156CF8">
        <w:trPr>
          <w:trHeight w:val="386"/>
        </w:trPr>
        <w:tc>
          <w:tcPr>
            <w:tcW w:w="2376" w:type="dxa"/>
          </w:tcPr>
          <w:p w14:paraId="06E10A9E" w14:textId="77777777" w:rsidR="00156CF8" w:rsidRDefault="00156CF8" w:rsidP="00850039">
            <w:pPr>
              <w:pStyle w:val="NormalHeadings"/>
              <w:jc w:val="left"/>
              <w:rPr>
                <w:caps/>
                <w:szCs w:val="24"/>
              </w:rPr>
            </w:pPr>
            <w:r>
              <w:rPr>
                <w:caps/>
                <w:szCs w:val="24"/>
              </w:rPr>
              <w:t>AND BETWEEN:</w:t>
            </w:r>
          </w:p>
        </w:tc>
        <w:tc>
          <w:tcPr>
            <w:tcW w:w="6866" w:type="dxa"/>
            <w:gridSpan w:val="2"/>
          </w:tcPr>
          <w:p w14:paraId="02611383" w14:textId="77777777" w:rsidR="00156CF8" w:rsidRPr="0007529E" w:rsidRDefault="0007529E" w:rsidP="00850039">
            <w:pPr>
              <w:pStyle w:val="NormalHeadings"/>
              <w:jc w:val="left"/>
              <w:rPr>
                <w:b w:val="0"/>
              </w:rPr>
            </w:pPr>
            <w:r>
              <w:t xml:space="preserve">CH ROBINSON INTERNATIONAL INC </w:t>
            </w:r>
            <w:r>
              <w:rPr>
                <w:b w:val="0"/>
              </w:rPr>
              <w:t>(and another named in the Schedule)</w:t>
            </w:r>
          </w:p>
          <w:p w14:paraId="61364056" w14:textId="77777777" w:rsidR="00156CF8" w:rsidRDefault="0007529E" w:rsidP="00850039">
            <w:pPr>
              <w:pStyle w:val="PartyType"/>
            </w:pPr>
            <w:r>
              <w:t xml:space="preserve">First </w:t>
            </w:r>
            <w:r w:rsidR="00156CF8">
              <w:t>Cross-Claimant on the Second Cross-Claim</w:t>
            </w:r>
          </w:p>
          <w:p w14:paraId="794F027A" w14:textId="77777777" w:rsidR="00156CF8" w:rsidRDefault="00156CF8" w:rsidP="00850039">
            <w:pPr>
              <w:pStyle w:val="NormalHeadings"/>
              <w:jc w:val="left"/>
              <w:rPr>
                <w:szCs w:val="24"/>
              </w:rPr>
            </w:pPr>
          </w:p>
        </w:tc>
      </w:tr>
      <w:tr w:rsidR="00156CF8" w14:paraId="612CEE10" w14:textId="77777777" w:rsidTr="00156CF8">
        <w:trPr>
          <w:trHeight w:val="386"/>
        </w:trPr>
        <w:tc>
          <w:tcPr>
            <w:tcW w:w="2376" w:type="dxa"/>
          </w:tcPr>
          <w:p w14:paraId="289D03DD" w14:textId="77777777" w:rsidR="00156CF8" w:rsidRDefault="00156CF8" w:rsidP="00850039">
            <w:pPr>
              <w:pStyle w:val="NormalHeadings"/>
              <w:jc w:val="left"/>
              <w:rPr>
                <w:caps/>
                <w:szCs w:val="24"/>
              </w:rPr>
            </w:pPr>
            <w:r>
              <w:rPr>
                <w:caps/>
                <w:szCs w:val="24"/>
              </w:rPr>
              <w:t>AND:</w:t>
            </w:r>
          </w:p>
        </w:tc>
        <w:tc>
          <w:tcPr>
            <w:tcW w:w="6866" w:type="dxa"/>
            <w:gridSpan w:val="2"/>
          </w:tcPr>
          <w:p w14:paraId="2AA9FFEA" w14:textId="77777777" w:rsidR="00156CF8" w:rsidRDefault="0007529E" w:rsidP="00850039">
            <w:pPr>
              <w:pStyle w:val="NormalHeadings"/>
              <w:jc w:val="left"/>
            </w:pPr>
            <w:r>
              <w:t>ANL SINGAPORE PTE LTD</w:t>
            </w:r>
            <w:r w:rsidR="00156CF8">
              <w:t xml:space="preserve"> </w:t>
            </w:r>
          </w:p>
          <w:p w14:paraId="56CB8A8D" w14:textId="77777777" w:rsidR="00156CF8" w:rsidRDefault="00156CF8" w:rsidP="00850039">
            <w:pPr>
              <w:pStyle w:val="PartyType"/>
            </w:pPr>
            <w:r>
              <w:t>Cross-Respondent</w:t>
            </w:r>
            <w:r w:rsidR="0007529E">
              <w:t xml:space="preserve"> on the Second Cross-Claim</w:t>
            </w:r>
          </w:p>
          <w:p w14:paraId="598F1531" w14:textId="77777777" w:rsidR="00156CF8" w:rsidRDefault="00156CF8" w:rsidP="00850039">
            <w:pPr>
              <w:pStyle w:val="NormalHeadings"/>
              <w:jc w:val="left"/>
              <w:rPr>
                <w:szCs w:val="24"/>
              </w:rPr>
            </w:pPr>
          </w:p>
        </w:tc>
      </w:tr>
      <w:tr w:rsidR="00156CF8" w14:paraId="44E42304" w14:textId="77777777" w:rsidTr="00156CF8">
        <w:trPr>
          <w:trHeight w:val="300"/>
        </w:trPr>
        <w:tc>
          <w:tcPr>
            <w:tcW w:w="2376" w:type="dxa"/>
          </w:tcPr>
          <w:p w14:paraId="13B5BFEB" w14:textId="77777777" w:rsidR="00156CF8" w:rsidRDefault="00156CF8" w:rsidP="00850039">
            <w:pPr>
              <w:pStyle w:val="NormalHeadings"/>
              <w:jc w:val="left"/>
              <w:rPr>
                <w:caps/>
                <w:szCs w:val="24"/>
              </w:rPr>
            </w:pPr>
          </w:p>
        </w:tc>
        <w:tc>
          <w:tcPr>
            <w:tcW w:w="6866" w:type="dxa"/>
            <w:gridSpan w:val="2"/>
          </w:tcPr>
          <w:p w14:paraId="3E90679F" w14:textId="77777777" w:rsidR="00156CF8" w:rsidRDefault="00156CF8" w:rsidP="00850039">
            <w:pPr>
              <w:pStyle w:val="NormalHeadings"/>
              <w:jc w:val="left"/>
              <w:rPr>
                <w:szCs w:val="24"/>
              </w:rPr>
            </w:pPr>
          </w:p>
        </w:tc>
      </w:tr>
      <w:tr w:rsidR="00156CF8" w14:paraId="48CA2792" w14:textId="77777777" w:rsidTr="00156CF8">
        <w:trPr>
          <w:trHeight w:val="386"/>
        </w:trPr>
        <w:tc>
          <w:tcPr>
            <w:tcW w:w="2376" w:type="dxa"/>
          </w:tcPr>
          <w:p w14:paraId="7F202BA3" w14:textId="77777777" w:rsidR="00156CF8" w:rsidRDefault="00156CF8" w:rsidP="00850039">
            <w:pPr>
              <w:pStyle w:val="NormalHeadings"/>
              <w:jc w:val="left"/>
              <w:rPr>
                <w:caps/>
                <w:szCs w:val="24"/>
              </w:rPr>
            </w:pPr>
            <w:r>
              <w:rPr>
                <w:caps/>
                <w:szCs w:val="24"/>
              </w:rPr>
              <w:t>AND BETWEEN:</w:t>
            </w:r>
          </w:p>
        </w:tc>
        <w:tc>
          <w:tcPr>
            <w:tcW w:w="6866" w:type="dxa"/>
            <w:gridSpan w:val="2"/>
          </w:tcPr>
          <w:p w14:paraId="10370E98" w14:textId="77777777" w:rsidR="00156CF8" w:rsidRDefault="00530E75" w:rsidP="00850039">
            <w:pPr>
              <w:pStyle w:val="NormalHeadings"/>
              <w:jc w:val="left"/>
            </w:pPr>
            <w:r>
              <w:t>COSCO SHIPPING LINES CO LTD</w:t>
            </w:r>
          </w:p>
          <w:p w14:paraId="2B3792CB" w14:textId="77777777" w:rsidR="00156CF8" w:rsidRDefault="00156CF8" w:rsidP="00850039">
            <w:pPr>
              <w:pStyle w:val="PartyType"/>
            </w:pPr>
            <w:r>
              <w:t>Cross-Claimant</w:t>
            </w:r>
            <w:r w:rsidR="0007529E">
              <w:t xml:space="preserve"> on the Third Cross-Claim</w:t>
            </w:r>
          </w:p>
          <w:p w14:paraId="0E074AB8" w14:textId="77777777" w:rsidR="00156CF8" w:rsidRDefault="00156CF8" w:rsidP="00850039">
            <w:pPr>
              <w:pStyle w:val="NormalHeadings"/>
              <w:jc w:val="left"/>
              <w:rPr>
                <w:szCs w:val="24"/>
              </w:rPr>
            </w:pPr>
          </w:p>
        </w:tc>
      </w:tr>
      <w:tr w:rsidR="00156CF8" w14:paraId="1BDCE3DB" w14:textId="77777777" w:rsidTr="00156CF8">
        <w:trPr>
          <w:trHeight w:val="386"/>
        </w:trPr>
        <w:tc>
          <w:tcPr>
            <w:tcW w:w="2376" w:type="dxa"/>
          </w:tcPr>
          <w:p w14:paraId="0E5CE4C2" w14:textId="77777777" w:rsidR="00156CF8" w:rsidRDefault="00156CF8" w:rsidP="00850039">
            <w:pPr>
              <w:pStyle w:val="NormalHeadings"/>
              <w:jc w:val="left"/>
              <w:rPr>
                <w:caps/>
                <w:szCs w:val="24"/>
              </w:rPr>
            </w:pPr>
            <w:r>
              <w:rPr>
                <w:caps/>
                <w:szCs w:val="24"/>
              </w:rPr>
              <w:t>AND:</w:t>
            </w:r>
          </w:p>
        </w:tc>
        <w:tc>
          <w:tcPr>
            <w:tcW w:w="6866" w:type="dxa"/>
            <w:gridSpan w:val="2"/>
          </w:tcPr>
          <w:p w14:paraId="1CC09C5A" w14:textId="77777777" w:rsidR="00156CF8" w:rsidRDefault="009E3C3D" w:rsidP="00850039">
            <w:pPr>
              <w:pStyle w:val="NormalHeadings"/>
              <w:jc w:val="left"/>
            </w:pPr>
            <w:r>
              <w:t>CMB OCEAN 13 LEASING COMPANY PTE LTD</w:t>
            </w:r>
            <w:r w:rsidR="00156CF8">
              <w:t xml:space="preserve"> </w:t>
            </w:r>
            <w:r w:rsidR="00156CF8" w:rsidRPr="00514535">
              <w:rPr>
                <w:b w:val="0"/>
              </w:rPr>
              <w:t xml:space="preserve">(and </w:t>
            </w:r>
            <w:r>
              <w:rPr>
                <w:b w:val="0"/>
              </w:rPr>
              <w:t xml:space="preserve">others </w:t>
            </w:r>
            <w:r w:rsidR="00156CF8" w:rsidRPr="00514535">
              <w:rPr>
                <w:b w:val="0"/>
              </w:rPr>
              <w:t>named in the Schedule)</w:t>
            </w:r>
          </w:p>
          <w:p w14:paraId="243AF32D" w14:textId="77777777" w:rsidR="00156CF8" w:rsidRDefault="00156CF8" w:rsidP="00850039">
            <w:pPr>
              <w:pStyle w:val="PartyType"/>
            </w:pPr>
            <w:r>
              <w:t>First Cross-Respondent</w:t>
            </w:r>
            <w:r w:rsidR="00CD4F17">
              <w:t xml:space="preserve"> on the Third Cross-Claim</w:t>
            </w:r>
          </w:p>
          <w:p w14:paraId="048FCDF5" w14:textId="77777777" w:rsidR="00156CF8" w:rsidRDefault="00156CF8" w:rsidP="00850039">
            <w:pPr>
              <w:pStyle w:val="NormalHeadings"/>
              <w:jc w:val="left"/>
              <w:rPr>
                <w:szCs w:val="24"/>
              </w:rPr>
            </w:pPr>
          </w:p>
        </w:tc>
      </w:tr>
    </w:tbl>
    <w:p w14:paraId="1534B7F7" w14:textId="1020BE2E" w:rsidR="00395B24" w:rsidRDefault="00395B24">
      <w:pPr>
        <w:pStyle w:val="NormalHeadings"/>
      </w:pPr>
    </w:p>
    <w:p w14:paraId="532C9A5D" w14:textId="77777777" w:rsidR="00047A49" w:rsidRDefault="00047A49">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395B24" w14:paraId="35102C1D" w14:textId="77777777">
        <w:tc>
          <w:tcPr>
            <w:tcW w:w="2376" w:type="dxa"/>
          </w:tcPr>
          <w:p w14:paraId="22823069" w14:textId="77777777" w:rsidR="00395B24" w:rsidRDefault="00974709">
            <w:pPr>
              <w:pStyle w:val="NormalHeadings"/>
              <w:spacing w:after="120"/>
              <w:jc w:val="left"/>
              <w:rPr>
                <w:caps/>
                <w:szCs w:val="24"/>
              </w:rPr>
            </w:pPr>
            <w:bookmarkStart w:id="21" w:name="JudgeText"/>
            <w:r>
              <w:rPr>
                <w:caps/>
                <w:szCs w:val="24"/>
              </w:rPr>
              <w:t>order made by</w:t>
            </w:r>
            <w:bookmarkEnd w:id="21"/>
            <w:r w:rsidR="002C7385">
              <w:rPr>
                <w:caps/>
                <w:szCs w:val="24"/>
              </w:rPr>
              <w:t>:</w:t>
            </w:r>
          </w:p>
        </w:tc>
        <w:tc>
          <w:tcPr>
            <w:tcW w:w="6866" w:type="dxa"/>
          </w:tcPr>
          <w:p w14:paraId="7787F007" w14:textId="77777777" w:rsidR="00395B24" w:rsidRDefault="00514535">
            <w:pPr>
              <w:pStyle w:val="NormalHeadings"/>
              <w:jc w:val="left"/>
              <w:rPr>
                <w:caps/>
                <w:szCs w:val="24"/>
              </w:rPr>
            </w:pPr>
            <w:bookmarkStart w:id="22" w:name="Judge"/>
            <w:r>
              <w:rPr>
                <w:caps/>
                <w:szCs w:val="24"/>
              </w:rPr>
              <w:t>STEWART J</w:t>
            </w:r>
            <w:bookmarkEnd w:id="22"/>
          </w:p>
        </w:tc>
      </w:tr>
      <w:tr w:rsidR="00395B24" w14:paraId="26798036" w14:textId="77777777">
        <w:tc>
          <w:tcPr>
            <w:tcW w:w="2376" w:type="dxa"/>
          </w:tcPr>
          <w:p w14:paraId="487919D8" w14:textId="77777777" w:rsidR="00395B24" w:rsidRDefault="002C7385">
            <w:pPr>
              <w:pStyle w:val="NormalHeadings"/>
              <w:spacing w:after="120"/>
              <w:jc w:val="left"/>
              <w:rPr>
                <w:caps/>
                <w:szCs w:val="24"/>
              </w:rPr>
            </w:pPr>
            <w:r>
              <w:rPr>
                <w:caps/>
                <w:szCs w:val="24"/>
              </w:rPr>
              <w:t>DATE OF ORDER:</w:t>
            </w:r>
          </w:p>
        </w:tc>
        <w:tc>
          <w:tcPr>
            <w:tcW w:w="6866" w:type="dxa"/>
          </w:tcPr>
          <w:p w14:paraId="68E14DFB" w14:textId="77777777" w:rsidR="00395B24" w:rsidRDefault="00CC5126">
            <w:pPr>
              <w:pStyle w:val="NormalHeadings"/>
              <w:jc w:val="left"/>
              <w:rPr>
                <w:caps/>
                <w:szCs w:val="24"/>
              </w:rPr>
            </w:pPr>
            <w:r>
              <w:rPr>
                <w:caps/>
                <w:szCs w:val="24"/>
              </w:rPr>
              <w:t>2 May 2022</w:t>
            </w:r>
          </w:p>
        </w:tc>
      </w:tr>
    </w:tbl>
    <w:p w14:paraId="28B1D8BB" w14:textId="37CB4D65" w:rsidR="00047A49" w:rsidRDefault="00047A49">
      <w:pPr>
        <w:pStyle w:val="NormalHeadings"/>
        <w:rPr>
          <w:b w:val="0"/>
        </w:rPr>
      </w:pPr>
    </w:p>
    <w:p w14:paraId="0D64DCF5" w14:textId="77777777" w:rsidR="00642620" w:rsidRDefault="00642620">
      <w:pPr>
        <w:pStyle w:val="NormalHeadings"/>
        <w:rPr>
          <w:b w:val="0"/>
        </w:rPr>
      </w:pPr>
    </w:p>
    <w:p w14:paraId="5B66C783" w14:textId="77777777" w:rsidR="00395B24" w:rsidRDefault="00CC5126" w:rsidP="00047A49">
      <w:pPr>
        <w:pStyle w:val="NormalHeadings"/>
        <w:keepNext/>
      </w:pPr>
      <w:r>
        <w:lastRenderedPageBreak/>
        <w:t xml:space="preserve">BY CONSENT, </w:t>
      </w:r>
      <w:r w:rsidR="002C7385">
        <w:t>THE COURT ORDERS THAT:</w:t>
      </w:r>
    </w:p>
    <w:p w14:paraId="1100E54D" w14:textId="77777777" w:rsidR="007F60DF" w:rsidRDefault="007F60DF" w:rsidP="00047A49">
      <w:pPr>
        <w:pStyle w:val="NormalHeadings"/>
        <w:keepNext/>
      </w:pPr>
    </w:p>
    <w:p w14:paraId="6A698659" w14:textId="1682863A" w:rsidR="001A6C52" w:rsidRDefault="008B64C9" w:rsidP="00047A49">
      <w:pPr>
        <w:pStyle w:val="Order1"/>
        <w:keepNext/>
      </w:pPr>
      <w:r>
        <w:t xml:space="preserve">Pursuant to s 33V(1) of the </w:t>
      </w:r>
      <w:r>
        <w:rPr>
          <w:i/>
        </w:rPr>
        <w:t xml:space="preserve">Federal Court of Australia Act 1976 </w:t>
      </w:r>
      <w:r>
        <w:t>(Cth)</w:t>
      </w:r>
      <w:r w:rsidR="00E851D1">
        <w:t>:</w:t>
      </w:r>
    </w:p>
    <w:p w14:paraId="2864256E" w14:textId="177DA66D" w:rsidR="00E851D1" w:rsidRDefault="00E851D1" w:rsidP="00E851D1">
      <w:pPr>
        <w:pStyle w:val="Order2"/>
      </w:pPr>
      <w:r>
        <w:t>the settlement of the proceeding in accordance with the deed, as executed in two counterparts, comprising exhibit A on the application (</w:t>
      </w:r>
      <w:r>
        <w:rPr>
          <w:b/>
        </w:rPr>
        <w:t>Deed</w:t>
      </w:r>
      <w:r>
        <w:t>) be approved; and</w:t>
      </w:r>
    </w:p>
    <w:p w14:paraId="4A666310" w14:textId="3BD0E196" w:rsidR="00E851D1" w:rsidRDefault="00E851D1" w:rsidP="00E851D1">
      <w:pPr>
        <w:pStyle w:val="Order2"/>
      </w:pPr>
      <w:r>
        <w:t>the relevant parties have leave following the payment of the Claims Settlement Amount, as defined at item D of the “Defined Terms” of the Deed, to file notices of discontinuance (with no order as to costs) with respect to:</w:t>
      </w:r>
    </w:p>
    <w:p w14:paraId="576B00EC" w14:textId="2CD2FA23" w:rsidR="00E851D1" w:rsidRDefault="00E851D1" w:rsidP="00E851D1">
      <w:pPr>
        <w:pStyle w:val="Order3"/>
      </w:pPr>
      <w:r>
        <w:t>the Further Amended Originating Process and the Further Amended Statement of Claim filed on 20 May 2021;</w:t>
      </w:r>
    </w:p>
    <w:p w14:paraId="34D2D816" w14:textId="57494D14" w:rsidR="00E851D1" w:rsidRDefault="00E851D1" w:rsidP="00E851D1">
      <w:pPr>
        <w:pStyle w:val="Order3"/>
      </w:pPr>
      <w:r>
        <w:t>the Amended Notice of Cross-Claim and the Amended Statement of Cross-Claim filed on 9 September 2021 by the First and Second Respondents against the Fifth to Ninth Cross-Respondents;</w:t>
      </w:r>
    </w:p>
    <w:p w14:paraId="321EDAF3" w14:textId="5EA1A4F7" w:rsidR="00E851D1" w:rsidRDefault="00E851D1" w:rsidP="00E851D1">
      <w:pPr>
        <w:pStyle w:val="Order3"/>
      </w:pPr>
      <w:r>
        <w:t>the Notice of Cross-Claim and the Statement of Cross-Claim filed on 3 September 2021 by the Seventh Respondent; and</w:t>
      </w:r>
    </w:p>
    <w:p w14:paraId="7A42869F" w14:textId="6FC4DF5D" w:rsidR="00E851D1" w:rsidRDefault="00E851D1" w:rsidP="00E851D1">
      <w:pPr>
        <w:pStyle w:val="Order3"/>
      </w:pPr>
      <w:proofErr w:type="gramStart"/>
      <w:r>
        <w:t>the</w:t>
      </w:r>
      <w:proofErr w:type="gramEnd"/>
      <w:r>
        <w:t xml:space="preserve"> Notice of Cross-Claim and the Statement of Cross-Claim filed on 12 October 2021 by the Fourth Respondent against the Fourth Cross-Respondent.</w:t>
      </w:r>
    </w:p>
    <w:p w14:paraId="6D53FA31" w14:textId="77777777" w:rsidR="001A6C52" w:rsidRDefault="001A6C52" w:rsidP="001A6C52">
      <w:pPr>
        <w:pStyle w:val="BodyText"/>
      </w:pPr>
    </w:p>
    <w:p w14:paraId="49B21F4A" w14:textId="77777777" w:rsidR="00A431E6" w:rsidRDefault="00A431E6" w:rsidP="001A6C52">
      <w:pPr>
        <w:pStyle w:val="BodyText"/>
      </w:pPr>
    </w:p>
    <w:p w14:paraId="51672C87" w14:textId="77777777" w:rsidR="0050309C" w:rsidRDefault="00514535" w:rsidP="004D53E5">
      <w:pPr>
        <w:pStyle w:val="SingleSpace"/>
      </w:pPr>
      <w:bookmarkStart w:id="23" w:name="OrdersStatement"/>
      <w:r>
        <w:t>Note:</w:t>
      </w:r>
      <w:r>
        <w:tab/>
        <w:t xml:space="preserve">Entry of orders is dealt with in Rule 39.32 of the </w:t>
      </w:r>
      <w:r>
        <w:rPr>
          <w:i/>
        </w:rPr>
        <w:t>Federal Court Rules 2011</w:t>
      </w:r>
      <w:r>
        <w:t>.</w:t>
      </w:r>
      <w:bookmarkEnd w:id="23"/>
    </w:p>
    <w:p w14:paraId="7E241E4A" w14:textId="77777777" w:rsidR="00E23577" w:rsidRDefault="00E23577" w:rsidP="002B0E91">
      <w:pPr>
        <w:pStyle w:val="BodyText"/>
      </w:pPr>
    </w:p>
    <w:p w14:paraId="4AAB08A0" w14:textId="77777777"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14:paraId="1E76B2D3" w14:textId="77777777" w:rsidR="00484F6D" w:rsidRPr="00045BB7" w:rsidRDefault="00484F6D" w:rsidP="00045BB7">
      <w:pPr>
        <w:pStyle w:val="NormalHeadings"/>
        <w:spacing w:line="480" w:lineRule="auto"/>
        <w:jc w:val="center"/>
        <w:rPr>
          <w:sz w:val="28"/>
          <w:szCs w:val="28"/>
        </w:rPr>
      </w:pPr>
      <w:bookmarkStart w:id="24" w:name="ReasonsPage"/>
      <w:bookmarkEnd w:id="24"/>
      <w:r w:rsidRPr="00045BB7">
        <w:rPr>
          <w:sz w:val="28"/>
          <w:szCs w:val="28"/>
        </w:rPr>
        <w:lastRenderedPageBreak/>
        <w:t>REASONS FOR JUDGMENT</w:t>
      </w:r>
    </w:p>
    <w:p w14:paraId="4AB7142E" w14:textId="77777777" w:rsidR="00694BEB" w:rsidRDefault="00156CF8" w:rsidP="005E0510">
      <w:pPr>
        <w:pStyle w:val="NormalHeadings"/>
        <w:spacing w:line="360" w:lineRule="auto"/>
        <w:jc w:val="left"/>
        <w:rPr>
          <w:sz w:val="26"/>
          <w:szCs w:val="26"/>
        </w:rPr>
      </w:pPr>
      <w:r>
        <w:rPr>
          <w:sz w:val="26"/>
          <w:szCs w:val="26"/>
        </w:rPr>
        <w:t>STEWART J:</w:t>
      </w:r>
    </w:p>
    <w:p w14:paraId="27971F5E" w14:textId="17C16D67" w:rsidR="00B63201" w:rsidRDefault="00B63201" w:rsidP="00B63201">
      <w:pPr>
        <w:pStyle w:val="Heading2"/>
      </w:pPr>
      <w:r>
        <w:t>Introduction</w:t>
      </w:r>
    </w:p>
    <w:p w14:paraId="6C8E0625" w14:textId="285F6F03" w:rsidR="00CC5126" w:rsidRDefault="00CC5126" w:rsidP="00850039">
      <w:pPr>
        <w:pStyle w:val="ParaNumbering"/>
      </w:pPr>
      <w:r>
        <w:t xml:space="preserve">On 2 May 2022, I made orders by consent </w:t>
      </w:r>
      <w:r w:rsidR="00AF7C32">
        <w:t xml:space="preserve">pursuant to s </w:t>
      </w:r>
      <w:proofErr w:type="gramStart"/>
      <w:r w:rsidR="00AF7C32">
        <w:t>33V(</w:t>
      </w:r>
      <w:proofErr w:type="gramEnd"/>
      <w:r w:rsidR="00AF7C32">
        <w:t xml:space="preserve">1) of the </w:t>
      </w:r>
      <w:r w:rsidR="00AF7C32" w:rsidRPr="009B5D66">
        <w:rPr>
          <w:i/>
          <w:iCs/>
        </w:rPr>
        <w:t xml:space="preserve">Federal Court of Australia Act 1976 </w:t>
      </w:r>
      <w:r w:rsidR="00AF7C32">
        <w:t xml:space="preserve">(Cth) </w:t>
      </w:r>
      <w:r w:rsidR="00262BF1">
        <w:t>(</w:t>
      </w:r>
      <w:r w:rsidR="00262BF1" w:rsidRPr="00262BF1">
        <w:rPr>
          <w:b/>
        </w:rPr>
        <w:t>FCA Act</w:t>
      </w:r>
      <w:r w:rsidR="00262BF1">
        <w:t xml:space="preserve">) </w:t>
      </w:r>
      <w:r w:rsidRPr="00AF7C32">
        <w:t>approving</w:t>
      </w:r>
      <w:r>
        <w:t xml:space="preserve"> the </w:t>
      </w:r>
      <w:r w:rsidR="00711F7D">
        <w:t xml:space="preserve">settlement of this representative proceeding in accordance with a settlement </w:t>
      </w:r>
      <w:r w:rsidR="00047A49">
        <w:t>agreement</w:t>
      </w:r>
      <w:r w:rsidR="00711F7D">
        <w:t>. I also granted</w:t>
      </w:r>
      <w:r>
        <w:t xml:space="preserve"> the applicant</w:t>
      </w:r>
      <w:r w:rsidR="00AA471C">
        <w:t>s</w:t>
      </w:r>
      <w:r>
        <w:t xml:space="preserve"> and the numerous cross-claimants leave, following payment of the settlement amount, to file notices of </w:t>
      </w:r>
      <w:r w:rsidRPr="003177AC">
        <w:t>discontinuance</w:t>
      </w:r>
      <w:r>
        <w:t>. These are my reasons for making those orders.</w:t>
      </w:r>
    </w:p>
    <w:p w14:paraId="1F8EA6B0" w14:textId="40D0F1F7" w:rsidR="00CC5126" w:rsidRDefault="00CC5126" w:rsidP="00BB4FAB">
      <w:pPr>
        <w:pStyle w:val="Heading2"/>
      </w:pPr>
      <w:r>
        <w:t>Background</w:t>
      </w:r>
    </w:p>
    <w:p w14:paraId="3E45D8F4" w14:textId="22669C82" w:rsidR="00262BF1" w:rsidRDefault="005B6742" w:rsidP="00CC5126">
      <w:pPr>
        <w:pStyle w:val="ParaNumbering"/>
      </w:pPr>
      <w:r>
        <w:t>As the proceeding was settled, no factual findings were required to be made. This brief synopsis of the background is gleaned from the pleadings</w:t>
      </w:r>
      <w:r w:rsidR="00262BF1">
        <w:t xml:space="preserve"> and other documents filed in the proceeding. It is offered here only to provide context and does not reflect evidence-based findings of fact.</w:t>
      </w:r>
    </w:p>
    <w:p w14:paraId="3E9D817C" w14:textId="73C247C6" w:rsidR="00CC5126" w:rsidRPr="001C20DE" w:rsidRDefault="00CC5126" w:rsidP="00CC5126">
      <w:pPr>
        <w:pStyle w:val="ParaNumbering"/>
      </w:pPr>
      <w:r w:rsidRPr="001C20DE">
        <w:t xml:space="preserve">On </w:t>
      </w:r>
      <w:r w:rsidR="009B1673" w:rsidRPr="001C20DE">
        <w:t xml:space="preserve">11 </w:t>
      </w:r>
      <w:r w:rsidR="00AF7C32" w:rsidRPr="001C20DE">
        <w:t>May 2020, the</w:t>
      </w:r>
      <w:r w:rsidR="009B1673" w:rsidRPr="001C20DE">
        <w:t xml:space="preserve"> </w:t>
      </w:r>
      <w:r w:rsidR="00AF7C32" w:rsidRPr="001C20DE">
        <w:t xml:space="preserve">MV </w:t>
      </w:r>
      <w:r w:rsidR="00AF7C32" w:rsidRPr="001C20DE">
        <w:rPr>
          <w:i/>
          <w:iCs/>
        </w:rPr>
        <w:t>APL England</w:t>
      </w:r>
      <w:r w:rsidR="009B1673" w:rsidRPr="001C20DE">
        <w:t xml:space="preserve">, a </w:t>
      </w:r>
      <w:r w:rsidR="009D5689" w:rsidRPr="001C20DE">
        <w:t xml:space="preserve">Singapore-flagged </w:t>
      </w:r>
      <w:r w:rsidR="009B1673" w:rsidRPr="001C20DE">
        <w:t xml:space="preserve">5,780 TEU </w:t>
      </w:r>
      <w:r w:rsidR="00711F7D">
        <w:t xml:space="preserve">cellular </w:t>
      </w:r>
      <w:r w:rsidR="009B1673" w:rsidRPr="001C20DE">
        <w:t xml:space="preserve">containership, departed Ningbo, China laden with </w:t>
      </w:r>
      <w:r w:rsidR="009D5689" w:rsidRPr="001C20DE">
        <w:t>3,161 containers bound</w:t>
      </w:r>
      <w:r w:rsidR="00262BF1">
        <w:t>, ultimately,</w:t>
      </w:r>
      <w:r w:rsidR="009D5689" w:rsidRPr="001C20DE">
        <w:t xml:space="preserve"> for Melbourne. </w:t>
      </w:r>
    </w:p>
    <w:p w14:paraId="602E6276" w14:textId="3E661BCF" w:rsidR="00F316F5" w:rsidRPr="001C20DE" w:rsidRDefault="00D13406" w:rsidP="00CC5126">
      <w:pPr>
        <w:pStyle w:val="ParaNumbering"/>
      </w:pPr>
      <w:r w:rsidRPr="001C20DE">
        <w:t xml:space="preserve">Early in the morning </w:t>
      </w:r>
      <w:r w:rsidR="00A91458">
        <w:t>on 24 May 2020, the v</w:t>
      </w:r>
      <w:r w:rsidR="00096DAF" w:rsidRPr="001C20DE">
        <w:t xml:space="preserve">essel was </w:t>
      </w:r>
      <w:r w:rsidR="00262BF1">
        <w:t>steaming</w:t>
      </w:r>
      <w:r w:rsidR="00096DAF" w:rsidRPr="001C20DE">
        <w:t xml:space="preserve"> approximately 46 </w:t>
      </w:r>
      <w:r w:rsidR="009B5D66" w:rsidRPr="001C20DE">
        <w:t>nm</w:t>
      </w:r>
      <w:r w:rsidR="00096DAF" w:rsidRPr="001C20DE">
        <w:t xml:space="preserve"> south-east of Sydney</w:t>
      </w:r>
      <w:r w:rsidR="005B6742">
        <w:t>. It</w:t>
      </w:r>
      <w:r w:rsidR="00096DAF" w:rsidRPr="001C20DE">
        <w:t xml:space="preserve"> encountered </w:t>
      </w:r>
      <w:r w:rsidR="00047A49">
        <w:t>adverse</w:t>
      </w:r>
      <w:r w:rsidR="00096DAF" w:rsidRPr="001C20DE">
        <w:t xml:space="preserve"> weather </w:t>
      </w:r>
      <w:r w:rsidR="00047A49">
        <w:t xml:space="preserve">reportedly </w:t>
      </w:r>
      <w:r w:rsidR="00096DAF" w:rsidRPr="001C20DE">
        <w:t xml:space="preserve">including winds of force 7 on the Beaufort </w:t>
      </w:r>
      <w:r w:rsidR="00217DD4" w:rsidRPr="001C20DE">
        <w:t>s</w:t>
      </w:r>
      <w:r w:rsidR="00096DAF" w:rsidRPr="001C20DE">
        <w:t>cale</w:t>
      </w:r>
      <w:r w:rsidR="00217DD4" w:rsidRPr="001C20DE">
        <w:t xml:space="preserve"> (ie, near gale)</w:t>
      </w:r>
      <w:r w:rsidR="00096DAF" w:rsidRPr="001C20DE">
        <w:t xml:space="preserve"> and heavy swells </w:t>
      </w:r>
      <w:r w:rsidR="00217DD4" w:rsidRPr="001C20DE">
        <w:t xml:space="preserve">(5.8 – 5.9 m) causing </w:t>
      </w:r>
      <w:r w:rsidR="00262BF1">
        <w:t>it</w:t>
      </w:r>
      <w:r w:rsidR="00217DD4" w:rsidRPr="001C20DE">
        <w:t xml:space="preserve"> to undergo a series of heavy rolls. </w:t>
      </w:r>
      <w:r w:rsidR="00047A49">
        <w:t>These conditions caused the vessel’s main engine to shut down briefly.</w:t>
      </w:r>
      <w:r w:rsidR="00F316F5" w:rsidRPr="001C20DE">
        <w:t xml:space="preserve"> </w:t>
      </w:r>
    </w:p>
    <w:p w14:paraId="63CA2FD8" w14:textId="69EFDE79" w:rsidR="00D13406" w:rsidRDefault="00047A49" w:rsidP="00CC5126">
      <w:pPr>
        <w:pStyle w:val="ParaNumbering"/>
      </w:pPr>
      <w:r>
        <w:t>I</w:t>
      </w:r>
      <w:r w:rsidR="00F316F5">
        <w:t xml:space="preserve">t was </w:t>
      </w:r>
      <w:r>
        <w:t xml:space="preserve">later </w:t>
      </w:r>
      <w:r w:rsidR="00F316F5">
        <w:t>observed that there were container stack collapses</w:t>
      </w:r>
      <w:r w:rsidR="00262BF1">
        <w:t xml:space="preserve"> in bays 30 and 62</w:t>
      </w:r>
      <w:r w:rsidR="00F316F5">
        <w:t xml:space="preserve">. Numerous containers were </w:t>
      </w:r>
      <w:r w:rsidR="009E626A">
        <w:t xml:space="preserve">damaged and as many as 40 were lost overboard. </w:t>
      </w:r>
      <w:r w:rsidR="00275C44">
        <w:t>F</w:t>
      </w:r>
      <w:r w:rsidR="009E626A">
        <w:t xml:space="preserve">ollowing the incident, </w:t>
      </w:r>
      <w:r w:rsidR="00275C44">
        <w:t xml:space="preserve">it was widely reported that </w:t>
      </w:r>
      <w:r w:rsidR="009E626A">
        <w:t xml:space="preserve">numerous items, purportedly </w:t>
      </w:r>
      <w:r w:rsidR="00275C44">
        <w:t>consisting of</w:t>
      </w:r>
      <w:r w:rsidR="009E626A">
        <w:t xml:space="preserve"> the cargo lost overboard, washed ashore at Bondi and Coogee.</w:t>
      </w:r>
    </w:p>
    <w:p w14:paraId="6482D4DA" w14:textId="5806D621" w:rsidR="001E25AA" w:rsidRDefault="001E25AA" w:rsidP="001E25AA">
      <w:pPr>
        <w:pStyle w:val="Heading2"/>
      </w:pPr>
      <w:r>
        <w:t>The Parties</w:t>
      </w:r>
      <w:r w:rsidR="009E626A">
        <w:t xml:space="preserve"> and their Claim</w:t>
      </w:r>
      <w:r w:rsidR="00023D3D">
        <w:t>s</w:t>
      </w:r>
    </w:p>
    <w:p w14:paraId="79622513" w14:textId="1348C064" w:rsidR="00EA2FB3" w:rsidRDefault="005E481A" w:rsidP="00850039">
      <w:pPr>
        <w:pStyle w:val="ParaNumbering"/>
      </w:pPr>
      <w:r>
        <w:t>The</w:t>
      </w:r>
      <w:r w:rsidR="00275C44">
        <w:t xml:space="preserve"> </w:t>
      </w:r>
      <w:r>
        <w:t xml:space="preserve">proceeding </w:t>
      </w:r>
      <w:r w:rsidR="00262BF1">
        <w:t>was</w:t>
      </w:r>
      <w:r>
        <w:t xml:space="preserve"> commenced</w:t>
      </w:r>
      <w:r w:rsidR="00EA2FB3">
        <w:t xml:space="preserve"> in </w:t>
      </w:r>
      <w:r>
        <w:t>January 2021 by St John Ambulance Australia Ltd (</w:t>
      </w:r>
      <w:r w:rsidRPr="003F6A7F">
        <w:rPr>
          <w:b/>
          <w:bCs/>
        </w:rPr>
        <w:t>Lead Applicant</w:t>
      </w:r>
      <w:r>
        <w:t>) as a representative proceeding under Pt IVA of the FCA</w:t>
      </w:r>
      <w:r w:rsidR="00262BF1">
        <w:t xml:space="preserve"> </w:t>
      </w:r>
      <w:r>
        <w:t>A</w:t>
      </w:r>
      <w:r w:rsidR="00262BF1">
        <w:t>ct</w:t>
      </w:r>
      <w:r>
        <w:t>.</w:t>
      </w:r>
      <w:r w:rsidR="00372841">
        <w:t xml:space="preserve"> </w:t>
      </w:r>
      <w:r w:rsidR="003E71D1">
        <w:t xml:space="preserve">The group members were described as those persons who are the owners or persons entitled to immediate possession of cargo that was lost or damaged as a result of the collapse of container stacks on the vessel </w:t>
      </w:r>
      <w:r w:rsidR="00A91458">
        <w:t>in the incident</w:t>
      </w:r>
      <w:r w:rsidR="003E71D1">
        <w:t xml:space="preserve">. </w:t>
      </w:r>
      <w:r w:rsidR="00EA2FB3">
        <w:t xml:space="preserve">The names of the 104 group members were set out in a schedule. </w:t>
      </w:r>
    </w:p>
    <w:p w14:paraId="47121C02" w14:textId="0C7FF0CC" w:rsidR="00E73636" w:rsidRPr="001C20DE" w:rsidRDefault="00E73636" w:rsidP="00E73636">
      <w:pPr>
        <w:pStyle w:val="ParaNumbering"/>
      </w:pPr>
      <w:r>
        <w:lastRenderedPageBreak/>
        <w:t>A</w:t>
      </w:r>
      <w:r w:rsidRPr="001C20DE">
        <w:t xml:space="preserve">lthough not described as such in the pleadings, the group members are limited to those who were insured </w:t>
      </w:r>
      <w:r>
        <w:t xml:space="preserve">for the damage to or loss of their goods </w:t>
      </w:r>
      <w:r w:rsidRPr="001C20DE">
        <w:t xml:space="preserve">and were indemnified by their respective </w:t>
      </w:r>
      <w:r w:rsidRPr="001C20DE">
        <w:rPr>
          <w:b/>
        </w:rPr>
        <w:t>Insurers</w:t>
      </w:r>
      <w:r w:rsidRPr="001C20DE">
        <w:t xml:space="preserve">. Thus, although the proceeding is brought in the name of the cargo owners, it is the group members’ respective insurers, acting as subrogated claimants (see s 85 of the </w:t>
      </w:r>
      <w:r w:rsidRPr="001C20DE">
        <w:rPr>
          <w:i/>
        </w:rPr>
        <w:t>Marine Insurance Act 1909</w:t>
      </w:r>
      <w:r w:rsidRPr="001C20DE">
        <w:t xml:space="preserve"> (Cth)), who instructed Mills Oakley to bring th</w:t>
      </w:r>
      <w:r>
        <w:t>e</w:t>
      </w:r>
      <w:r w:rsidRPr="001C20DE">
        <w:t xml:space="preserve"> proceeding and who have the relevant financial interest in the proceeding and its settlement. </w:t>
      </w:r>
      <w:r>
        <w:t xml:space="preserve">There were ultimately eight such insurers. Group members were advised by notice pursuant to ss 33X and 33Y of the FCA Act back in March 2021 to advise the applicants’ solicitors if they had any uninsured losses, but none </w:t>
      </w:r>
      <w:r w:rsidR="003F65BA">
        <w:t>so advised</w:t>
      </w:r>
      <w:r>
        <w:t xml:space="preserve">. </w:t>
      </w:r>
    </w:p>
    <w:p w14:paraId="0E1CDD6F" w14:textId="79FB446C" w:rsidR="001931F5" w:rsidRDefault="00E73636" w:rsidP="00850039">
      <w:pPr>
        <w:pStyle w:val="ParaNumbering"/>
      </w:pPr>
      <w:r>
        <w:t>Initially</w:t>
      </w:r>
      <w:r w:rsidR="00372841">
        <w:t xml:space="preserve">, the only named respondents were </w:t>
      </w:r>
      <w:r w:rsidR="008A137A">
        <w:t>CMB Ocean 13 Leasing Co Pte</w:t>
      </w:r>
      <w:r w:rsidR="00372841">
        <w:t xml:space="preserve"> Ltd, t</w:t>
      </w:r>
      <w:r w:rsidR="001931F5">
        <w:t>he first respondent</w:t>
      </w:r>
      <w:r w:rsidR="00372841">
        <w:t xml:space="preserve"> </w:t>
      </w:r>
      <w:r w:rsidR="00A91458">
        <w:t>and registered owner of the v</w:t>
      </w:r>
      <w:r w:rsidR="00372841">
        <w:t>essel</w:t>
      </w:r>
      <w:r w:rsidR="001931F5">
        <w:t>,</w:t>
      </w:r>
      <w:r w:rsidR="008A137A">
        <w:t xml:space="preserve"> and</w:t>
      </w:r>
      <w:r w:rsidR="001931F5">
        <w:t xml:space="preserve"> </w:t>
      </w:r>
      <w:r w:rsidR="00372841" w:rsidRPr="00905800">
        <w:rPr>
          <w:b/>
        </w:rPr>
        <w:t>APL</w:t>
      </w:r>
      <w:r w:rsidR="00372841">
        <w:t xml:space="preserve"> Co Pt</w:t>
      </w:r>
      <w:r w:rsidR="008A137A">
        <w:t>e</w:t>
      </w:r>
      <w:r w:rsidR="00372841">
        <w:t xml:space="preserve"> Ltd, the </w:t>
      </w:r>
      <w:r w:rsidR="00F13A67">
        <w:t>second respondent</w:t>
      </w:r>
      <w:r w:rsidR="00372841">
        <w:t xml:space="preserve"> and </w:t>
      </w:r>
      <w:r w:rsidR="00F13A67">
        <w:t xml:space="preserve">demise charterer. I will refer to them </w:t>
      </w:r>
      <w:r w:rsidR="00262BF1">
        <w:t xml:space="preserve">compendiously </w:t>
      </w:r>
      <w:r w:rsidR="00F13A67">
        <w:t xml:space="preserve">as </w:t>
      </w:r>
      <w:r w:rsidR="00F13A67" w:rsidRPr="008A137A">
        <w:rPr>
          <w:b/>
          <w:bCs/>
        </w:rPr>
        <w:t>the</w:t>
      </w:r>
      <w:r w:rsidR="00F13A67" w:rsidRPr="003F6A7F">
        <w:rPr>
          <w:b/>
          <w:bCs/>
        </w:rPr>
        <w:t xml:space="preserve"> Owners</w:t>
      </w:r>
      <w:r w:rsidR="00F13A67">
        <w:t>.</w:t>
      </w:r>
    </w:p>
    <w:p w14:paraId="442C47C2" w14:textId="28EE08E2" w:rsidR="008A137A" w:rsidRPr="003177AC" w:rsidRDefault="008A137A" w:rsidP="003F6A7F">
      <w:pPr>
        <w:pStyle w:val="ParaNumbering"/>
      </w:pPr>
      <w:r w:rsidRPr="00BA3472">
        <w:t xml:space="preserve">In its original statement of claim, the Lead Applicant alleged that the Owners were bailees of goods carried on board </w:t>
      </w:r>
      <w:r w:rsidR="00A91458" w:rsidRPr="00BA3472">
        <w:t>the v</w:t>
      </w:r>
      <w:r w:rsidRPr="00BA3472">
        <w:t>essel and that they were negligent in the carriage of those goods resulting in loss and damage to the cargo.</w:t>
      </w:r>
      <w:r w:rsidR="008210D7" w:rsidRPr="00BA3472">
        <w:t xml:space="preserve"> </w:t>
      </w:r>
      <w:r w:rsidR="00B63201" w:rsidRPr="00BA3472">
        <w:t xml:space="preserve">That is to say, it was not alleged that the Lead Applicant </w:t>
      </w:r>
      <w:r w:rsidR="00E02D07" w:rsidRPr="00BA3472">
        <w:t xml:space="preserve">or other group members </w:t>
      </w:r>
      <w:r w:rsidR="00B63201" w:rsidRPr="00BA3472">
        <w:t>had any contractual relationship with the Owners.</w:t>
      </w:r>
    </w:p>
    <w:p w14:paraId="56BC3641" w14:textId="1481CE25" w:rsidR="008A137A" w:rsidRDefault="00E02D07" w:rsidP="003F6A7F">
      <w:pPr>
        <w:pStyle w:val="ParaNumbering"/>
      </w:pPr>
      <w:r>
        <w:t>In</w:t>
      </w:r>
      <w:r w:rsidR="008A137A">
        <w:t xml:space="preserve"> April 2021, the Owners filed a defence and cross-claim. The defence pleaded, inter alia, that, under certain bills of lading, the Lead Applicant contracted with the </w:t>
      </w:r>
      <w:r w:rsidR="008A137A" w:rsidRPr="00A569B9">
        <w:rPr>
          <w:b/>
        </w:rPr>
        <w:t>ANL</w:t>
      </w:r>
      <w:r w:rsidR="008A137A">
        <w:t xml:space="preserve"> </w:t>
      </w:r>
      <w:r w:rsidR="008A137A" w:rsidRPr="00A569B9">
        <w:t>Singapore Pte Ltd</w:t>
      </w:r>
      <w:r w:rsidR="008A137A">
        <w:t xml:space="preserve"> as the carrier of the relevant goods, that the Owners were entitled to the benefit of all </w:t>
      </w:r>
      <w:r>
        <w:t xml:space="preserve">the </w:t>
      </w:r>
      <w:r w:rsidR="008A137A">
        <w:t xml:space="preserve">provisions </w:t>
      </w:r>
      <w:r>
        <w:t>of</w:t>
      </w:r>
      <w:r w:rsidR="008A137A">
        <w:t xml:space="preserve"> the ANL bills </w:t>
      </w:r>
      <w:r w:rsidR="006971C4">
        <w:t xml:space="preserve">of lading </w:t>
      </w:r>
      <w:r w:rsidR="008A137A">
        <w:t>and that they had taken possession of the cargo either as sub-bailees or bailees under those bills</w:t>
      </w:r>
      <w:r>
        <w:t xml:space="preserve"> and subject to their terms</w:t>
      </w:r>
      <w:r w:rsidR="008A137A">
        <w:t>. The Owners’ cross-claim (</w:t>
      </w:r>
      <w:r w:rsidR="008A137A">
        <w:rPr>
          <w:b/>
        </w:rPr>
        <w:t>First Cross-Claim</w:t>
      </w:r>
      <w:r w:rsidR="008A137A">
        <w:t>) commenced proceedings against the Lead Applicant and ANL asserting an entitlement to an indemnity from either or both of them.</w:t>
      </w:r>
    </w:p>
    <w:p w14:paraId="7F251950" w14:textId="7AA09109" w:rsidR="008A137A" w:rsidRDefault="00E02D07" w:rsidP="00444876">
      <w:pPr>
        <w:pStyle w:val="ParaNumbering"/>
      </w:pPr>
      <w:r>
        <w:t>In</w:t>
      </w:r>
      <w:r w:rsidR="00444876">
        <w:t xml:space="preserve"> May 2021, the Lead Applicant filed a further amended originating application and further amended statement of claim (</w:t>
      </w:r>
      <w:r w:rsidR="00444876" w:rsidRPr="00444876">
        <w:t>together,</w:t>
      </w:r>
      <w:r w:rsidR="00444876">
        <w:rPr>
          <w:b/>
        </w:rPr>
        <w:t xml:space="preserve"> </w:t>
      </w:r>
      <w:r w:rsidR="00444876" w:rsidRPr="00444876">
        <w:rPr>
          <w:b/>
        </w:rPr>
        <w:t>the</w:t>
      </w:r>
      <w:r w:rsidR="00444876">
        <w:t xml:space="preserve"> </w:t>
      </w:r>
      <w:r w:rsidR="00444876">
        <w:rPr>
          <w:b/>
        </w:rPr>
        <w:t>Further Amended Pleadings</w:t>
      </w:r>
      <w:r w:rsidR="00444876">
        <w:t>), which n</w:t>
      </w:r>
      <w:r w:rsidR="00251D23">
        <w:t xml:space="preserve">amed the following </w:t>
      </w:r>
      <w:r w:rsidR="00251D23">
        <w:rPr>
          <w:b/>
        </w:rPr>
        <w:t>Additional Respondents</w:t>
      </w:r>
      <w:r w:rsidR="00251D23">
        <w:t>:</w:t>
      </w:r>
    </w:p>
    <w:p w14:paraId="639607DE" w14:textId="36351F75" w:rsidR="00251D23" w:rsidRDefault="00251D23" w:rsidP="00F66762">
      <w:pPr>
        <w:pStyle w:val="FCBullets"/>
      </w:pPr>
      <w:r>
        <w:t>ANL as the third respondent;</w:t>
      </w:r>
    </w:p>
    <w:p w14:paraId="2F04AD96" w14:textId="3176F3BC" w:rsidR="00251D23" w:rsidRDefault="00251D23" w:rsidP="00F66762">
      <w:pPr>
        <w:pStyle w:val="FCBullets"/>
      </w:pPr>
      <w:r>
        <w:rPr>
          <w:b/>
        </w:rPr>
        <w:t>COSCO</w:t>
      </w:r>
      <w:r>
        <w:t xml:space="preserve"> as the fourth respondent;</w:t>
      </w:r>
    </w:p>
    <w:p w14:paraId="3B7153F4" w14:textId="2BA6FBF3" w:rsidR="00251D23" w:rsidRDefault="00251D23" w:rsidP="00F66762">
      <w:pPr>
        <w:pStyle w:val="FCBullets"/>
      </w:pPr>
      <w:r>
        <w:t>Orient Overseas Container Line Ltd trading as Orient Overseas Container Line (</w:t>
      </w:r>
      <w:r>
        <w:rPr>
          <w:b/>
        </w:rPr>
        <w:t>OOCL</w:t>
      </w:r>
      <w:r>
        <w:t>) as the fifth respondent;</w:t>
      </w:r>
    </w:p>
    <w:p w14:paraId="401C6135" w14:textId="03A3499B" w:rsidR="00251D23" w:rsidRDefault="00251D23" w:rsidP="00F66762">
      <w:pPr>
        <w:pStyle w:val="FCBullets"/>
      </w:pPr>
      <w:r w:rsidRPr="00251D23">
        <w:rPr>
          <w:b/>
        </w:rPr>
        <w:t>Shanghai Supreme</w:t>
      </w:r>
      <w:r>
        <w:t xml:space="preserve"> International Freight Forwarding Co Ltd as the sixth respondent;</w:t>
      </w:r>
    </w:p>
    <w:p w14:paraId="35B29596" w14:textId="40446046" w:rsidR="00251D23" w:rsidRDefault="00251D23" w:rsidP="00F66762">
      <w:pPr>
        <w:pStyle w:val="FCBullets"/>
      </w:pPr>
      <w:r>
        <w:lastRenderedPageBreak/>
        <w:t xml:space="preserve">CH Robinson International Inc and CH Robinson Freight Services Ltd trading as </w:t>
      </w:r>
      <w:r w:rsidRPr="00251D23">
        <w:rPr>
          <w:b/>
        </w:rPr>
        <w:t>CHR</w:t>
      </w:r>
      <w:r>
        <w:t>istal Lines as the seventh respondent; and</w:t>
      </w:r>
    </w:p>
    <w:p w14:paraId="1A2E4595" w14:textId="7AA911B9" w:rsidR="00251D23" w:rsidRDefault="00251D23" w:rsidP="00F66762">
      <w:pPr>
        <w:pStyle w:val="FCBullets"/>
      </w:pPr>
      <w:r>
        <w:rPr>
          <w:b/>
        </w:rPr>
        <w:t>China Great</w:t>
      </w:r>
      <w:r>
        <w:t xml:space="preserve"> Logistics Co Ltd as the eighth respondent,</w:t>
      </w:r>
    </w:p>
    <w:p w14:paraId="4319D553" w14:textId="2D191A93" w:rsidR="00251D23" w:rsidRDefault="00251D23" w:rsidP="00251D23">
      <w:pPr>
        <w:pStyle w:val="NoNum"/>
      </w:pPr>
      <w:proofErr w:type="gramStart"/>
      <w:r>
        <w:t>each</w:t>
      </w:r>
      <w:proofErr w:type="gramEnd"/>
      <w:r>
        <w:t xml:space="preserve"> of which were contractual carriers </w:t>
      </w:r>
      <w:r w:rsidR="00F66762">
        <w:t xml:space="preserve">that are pleaded to have agreed to carry cargo that was </w:t>
      </w:r>
      <w:r>
        <w:t>damaged or lost</w:t>
      </w:r>
      <w:r w:rsidR="00E02D07">
        <w:t>, ie, the group members’ cargo</w:t>
      </w:r>
      <w:r>
        <w:t>.</w:t>
      </w:r>
      <w:r w:rsidR="00D069EE">
        <w:t xml:space="preserve"> Of the Additional Respondents, Shanghai Supreme and China Great have not entered appearances.</w:t>
      </w:r>
    </w:p>
    <w:p w14:paraId="30E96F64" w14:textId="6CF91E73" w:rsidR="00251D23" w:rsidRDefault="00251D23" w:rsidP="00850039">
      <w:pPr>
        <w:pStyle w:val="ParaNumbering"/>
      </w:pPr>
      <w:r>
        <w:t xml:space="preserve">Further, as the Lead Applicant did not have a claim in contract against each of the Additional Respondents, the </w:t>
      </w:r>
      <w:r w:rsidR="00F66762">
        <w:t xml:space="preserve">Further Amended Pleadings joined the following </w:t>
      </w:r>
      <w:r w:rsidRPr="009A480C">
        <w:rPr>
          <w:b/>
        </w:rPr>
        <w:t>Additional Applicants</w:t>
      </w:r>
      <w:r w:rsidR="00FD1781">
        <w:t xml:space="preserve">: </w:t>
      </w:r>
    </w:p>
    <w:p w14:paraId="25DEA9C0" w14:textId="7A95520F" w:rsidR="00251D23" w:rsidRDefault="00251D23" w:rsidP="00F66762">
      <w:pPr>
        <w:pStyle w:val="FCBullets"/>
      </w:pPr>
      <w:r w:rsidRPr="00251D23">
        <w:rPr>
          <w:b/>
        </w:rPr>
        <w:t xml:space="preserve">Kmart </w:t>
      </w:r>
      <w:r>
        <w:t>Australia Ltd as the second applicant;</w:t>
      </w:r>
    </w:p>
    <w:p w14:paraId="4D79F964" w14:textId="47028CB2" w:rsidR="00251D23" w:rsidRDefault="00251D23" w:rsidP="00F66762">
      <w:pPr>
        <w:pStyle w:val="FCBullets"/>
      </w:pPr>
      <w:r>
        <w:t>Fire Safety Equipment Pty Ltd as the third applicant;</w:t>
      </w:r>
    </w:p>
    <w:p w14:paraId="3CDC8D43" w14:textId="0507CA6D" w:rsidR="00251D23" w:rsidRDefault="00251D23" w:rsidP="00F66762">
      <w:pPr>
        <w:pStyle w:val="FCBullets"/>
      </w:pPr>
      <w:r w:rsidRPr="001C20DE">
        <w:t>Ilana Accessories</w:t>
      </w:r>
      <w:r>
        <w:t xml:space="preserve"> Australia Pty Ltd as the fourth applicant;</w:t>
      </w:r>
    </w:p>
    <w:p w14:paraId="4B6AAEF2" w14:textId="77777777" w:rsidR="00251D23" w:rsidRDefault="00251D23" w:rsidP="00F66762">
      <w:pPr>
        <w:pStyle w:val="FCBullets"/>
      </w:pPr>
      <w:r w:rsidRPr="001C20DE">
        <w:t>Reece</w:t>
      </w:r>
      <w:r>
        <w:t xml:space="preserve"> Pty Ltd as the fifth applicant; and</w:t>
      </w:r>
    </w:p>
    <w:p w14:paraId="76C63080" w14:textId="77777777" w:rsidR="00FD1781" w:rsidRDefault="00251D23" w:rsidP="00F66762">
      <w:pPr>
        <w:pStyle w:val="FCBullets"/>
      </w:pPr>
      <w:r w:rsidRPr="001C20DE">
        <w:t>Saferoads</w:t>
      </w:r>
      <w:r>
        <w:t xml:space="preserve"> Pty Ltd </w:t>
      </w:r>
      <w:r w:rsidR="00FD1781">
        <w:t>as the sixth applicant,</w:t>
      </w:r>
    </w:p>
    <w:p w14:paraId="1FF7779A" w14:textId="4357C04E" w:rsidR="004B2A3C" w:rsidRDefault="00FD1781" w:rsidP="00FD1781">
      <w:pPr>
        <w:pStyle w:val="NoNum"/>
      </w:pPr>
      <w:proofErr w:type="gramStart"/>
      <w:r>
        <w:t>to</w:t>
      </w:r>
      <w:proofErr w:type="gramEnd"/>
      <w:r>
        <w:t xml:space="preserve"> represent sub-groups consisting of members with claims against their respective contractual carriers, namely the Additional Respondents. </w:t>
      </w:r>
    </w:p>
    <w:p w14:paraId="16ED5F9D" w14:textId="65841F60" w:rsidR="00251D23" w:rsidRDefault="00BA3472" w:rsidP="004C6C80">
      <w:pPr>
        <w:pStyle w:val="ParaNumbering"/>
      </w:pPr>
      <w:r w:rsidRPr="003177AC">
        <w:t xml:space="preserve">Each of the claims against the </w:t>
      </w:r>
      <w:r w:rsidR="004B2A3C">
        <w:t>respondents</w:t>
      </w:r>
      <w:r w:rsidRPr="003177AC">
        <w:t xml:space="preserve"> are pleaded to give rise to questions of law or fact </w:t>
      </w:r>
      <w:r w:rsidR="00642620" w:rsidRPr="003177AC">
        <w:t xml:space="preserve">common </w:t>
      </w:r>
      <w:r w:rsidRPr="003177AC">
        <w:t xml:space="preserve">to the claims </w:t>
      </w:r>
      <w:r w:rsidR="007E33C5" w:rsidRPr="003177AC">
        <w:t xml:space="preserve">of </w:t>
      </w:r>
      <w:r w:rsidRPr="003177AC">
        <w:t xml:space="preserve">the respective group representative and </w:t>
      </w:r>
      <w:r w:rsidR="004B2A3C">
        <w:t>its</w:t>
      </w:r>
      <w:r w:rsidRPr="003177AC">
        <w:t xml:space="preserve"> members.</w:t>
      </w:r>
      <w:r w:rsidR="00477CB6">
        <w:t xml:space="preserve"> There are many such common questions. They include in relation to the Owners’ obligations and alleged breaches as bailees, the alleged contracts of carriage between each of the applicants and their respective respondents including the incorporation of </w:t>
      </w:r>
      <w:proofErr w:type="gramStart"/>
      <w:r w:rsidR="00477CB6">
        <w:t>the</w:t>
      </w:r>
      <w:proofErr w:type="gramEnd"/>
      <w:r w:rsidR="00477CB6">
        <w:t xml:space="preserve"> Hague Visby Rules and any breaches thereof, and whether the Owners qualified to benefit from Himalaya clauses in the contracts of carriage and hence circular indemnities.</w:t>
      </w:r>
    </w:p>
    <w:p w14:paraId="49F015FC" w14:textId="5BB515E7" w:rsidR="004A5669" w:rsidRDefault="004A5669" w:rsidP="009A480C">
      <w:pPr>
        <w:pStyle w:val="ParaNumbering"/>
      </w:pPr>
      <w:r>
        <w:t xml:space="preserve">As a result of the Further Amended Pleadings, the First Cross-Claim was amended to join </w:t>
      </w:r>
      <w:r w:rsidR="004928B2">
        <w:t>COSCO and OOCL</w:t>
      </w:r>
      <w:r>
        <w:t xml:space="preserve"> and each of the Additional Applicants as cross-respondents. The claim made against the cross-respondents is essentially the same as that claimed against the Lead Applicant and ANL, namely that the Owners are entitled to indemnities </w:t>
      </w:r>
      <w:r w:rsidR="00D76615">
        <w:t xml:space="preserve">from the Additional Respondents, COSCO and/or OOCL </w:t>
      </w:r>
      <w:r>
        <w:t>pursuant to undertakings in certain waybills.</w:t>
      </w:r>
    </w:p>
    <w:p w14:paraId="3A22B992" w14:textId="77777777" w:rsidR="004B0BB2" w:rsidRDefault="004A5669" w:rsidP="00850039">
      <w:pPr>
        <w:pStyle w:val="ParaNumbering"/>
      </w:pPr>
      <w:r>
        <w:t xml:space="preserve">There are two further cross-claims. </w:t>
      </w:r>
    </w:p>
    <w:p w14:paraId="21C7404D" w14:textId="202B869F" w:rsidR="004B0BB2" w:rsidRDefault="00E73636" w:rsidP="00850039">
      <w:pPr>
        <w:pStyle w:val="ParaNumbering"/>
      </w:pPr>
      <w:r>
        <w:lastRenderedPageBreak/>
        <w:t>In</w:t>
      </w:r>
      <w:r w:rsidR="004B0BB2">
        <w:t xml:space="preserve"> September 2021, CHR commenced the </w:t>
      </w:r>
      <w:r w:rsidR="00206B3E">
        <w:t>s</w:t>
      </w:r>
      <w:r w:rsidR="004B0BB2" w:rsidRPr="00206B3E">
        <w:t xml:space="preserve">econd </w:t>
      </w:r>
      <w:r w:rsidR="00206B3E">
        <w:t>c</w:t>
      </w:r>
      <w:r w:rsidR="004B0BB2" w:rsidRPr="00206B3E">
        <w:t>ross-</w:t>
      </w:r>
      <w:r w:rsidR="00206B3E">
        <w:t>c</w:t>
      </w:r>
      <w:r w:rsidR="004B0BB2" w:rsidRPr="00206B3E">
        <w:t>laim</w:t>
      </w:r>
      <w:r w:rsidR="004B0BB2">
        <w:t xml:space="preserve"> by which it claims damages in contract and in </w:t>
      </w:r>
      <w:r w:rsidR="001F6BCB">
        <w:t>tort</w:t>
      </w:r>
      <w:r w:rsidR="004B0BB2">
        <w:t xml:space="preserve"> against ANL.</w:t>
      </w:r>
    </w:p>
    <w:p w14:paraId="207084F7" w14:textId="7748AE7C" w:rsidR="004B0BB2" w:rsidRPr="001C20DE" w:rsidRDefault="00E73636" w:rsidP="00850039">
      <w:pPr>
        <w:pStyle w:val="ParaNumbering"/>
      </w:pPr>
      <w:r>
        <w:t>In</w:t>
      </w:r>
      <w:r w:rsidR="00C4320D" w:rsidRPr="001C20DE">
        <w:t xml:space="preserve"> October 2021, COSCO commenced the </w:t>
      </w:r>
      <w:r w:rsidR="00206B3E">
        <w:t>t</w:t>
      </w:r>
      <w:r w:rsidR="00C4320D" w:rsidRPr="00206B3E">
        <w:t xml:space="preserve">hird </w:t>
      </w:r>
      <w:r w:rsidR="00206B3E">
        <w:t>c</w:t>
      </w:r>
      <w:r w:rsidR="00C4320D" w:rsidRPr="00206B3E">
        <w:t>ross-</w:t>
      </w:r>
      <w:r w:rsidR="00206B3E">
        <w:t>c</w:t>
      </w:r>
      <w:r w:rsidR="00C4320D" w:rsidRPr="00206B3E">
        <w:t>laim</w:t>
      </w:r>
      <w:r w:rsidR="001F6BCB" w:rsidRPr="001C20DE">
        <w:rPr>
          <w:b/>
        </w:rPr>
        <w:t xml:space="preserve"> </w:t>
      </w:r>
      <w:r w:rsidR="001F6BCB" w:rsidRPr="001C20DE">
        <w:t>by which it claims damages in contract and in tort against the Owners and ANL. COSCO also pleads that the Owners and ANL are each tortfeasors who are concurrently liable to the cargo owners and, in that regard, it claims indemnity or contribution in respect of any amounts it is ordered to pay to the cargo owners. COSCO also claims an indemnity from Kmart for all the consequences of the principal action against the Owners on the basis of an undertaking that Kmart would not bring any action ag</w:t>
      </w:r>
      <w:r w:rsidR="0067723B">
        <w:t xml:space="preserve">ainst anyone other than COSCO. </w:t>
      </w:r>
      <w:r w:rsidR="001F6BCB" w:rsidRPr="001C20DE">
        <w:t>It is to be observed that that is in substance the counterpart to the claims made by the Owners in the First Cross-Claim.</w:t>
      </w:r>
    </w:p>
    <w:p w14:paraId="12508E8B" w14:textId="3A7B2EBB" w:rsidR="009B5D66" w:rsidRDefault="00B650EE" w:rsidP="009B5D66">
      <w:pPr>
        <w:pStyle w:val="Heading2"/>
      </w:pPr>
      <w:r>
        <w:t xml:space="preserve">Mediation and </w:t>
      </w:r>
      <w:r w:rsidR="009B5D66">
        <w:t xml:space="preserve">Settlement </w:t>
      </w:r>
    </w:p>
    <w:p w14:paraId="5549C7D2" w14:textId="374EE048" w:rsidR="00850039" w:rsidRDefault="001F6BCB" w:rsidP="00B650EE">
      <w:pPr>
        <w:pStyle w:val="ParaNumbering"/>
      </w:pPr>
      <w:r>
        <w:t>Meanwhile, on</w:t>
      </w:r>
      <w:r w:rsidR="00B650EE">
        <w:t xml:space="preserve"> 13 August 2021, the parties were ordered to participate in mediation</w:t>
      </w:r>
      <w:r w:rsidR="0067723B">
        <w:t>. The mediation</w:t>
      </w:r>
      <w:r w:rsidR="00860085">
        <w:t xml:space="preserve"> was conducted over a length of time in a number of session</w:t>
      </w:r>
      <w:r w:rsidR="00AC6588">
        <w:t>s</w:t>
      </w:r>
      <w:r w:rsidR="00860085">
        <w:t xml:space="preserve"> with Michael McHugh SC</w:t>
      </w:r>
      <w:r w:rsidR="00AC6588">
        <w:t>, an experienced shipping lawyer,</w:t>
      </w:r>
      <w:r w:rsidR="00860085">
        <w:t xml:space="preserve"> as mediator.  The</w:t>
      </w:r>
      <w:r w:rsidR="00B650EE">
        <w:t xml:space="preserve"> mediation was </w:t>
      </w:r>
      <w:r w:rsidR="00860085">
        <w:t xml:space="preserve">ultimately </w:t>
      </w:r>
      <w:r w:rsidR="00B650EE">
        <w:t>successful and the settlement thereby reached forms the genesis of the present application.</w:t>
      </w:r>
      <w:r w:rsidR="00850039">
        <w:t xml:space="preserve"> </w:t>
      </w:r>
    </w:p>
    <w:p w14:paraId="5774475B" w14:textId="042EF709" w:rsidR="00B650EE" w:rsidRPr="001C20DE" w:rsidRDefault="00850039" w:rsidP="00B650EE">
      <w:pPr>
        <w:pStyle w:val="ParaNumbering"/>
      </w:pPr>
      <w:r w:rsidRPr="001C20DE">
        <w:t xml:space="preserve">The </w:t>
      </w:r>
      <w:r w:rsidR="00047A49">
        <w:t>settlement agreement</w:t>
      </w:r>
      <w:r w:rsidRPr="001C20DE">
        <w:t xml:space="preserve"> was made on 4 April 2022 and is subject to court approval.</w:t>
      </w:r>
      <w:r w:rsidR="0048696E" w:rsidRPr="001C20DE">
        <w:t xml:space="preserve"> The preamble records that the Insurers made claims in respect of </w:t>
      </w:r>
      <w:r w:rsidR="00B0447E" w:rsidRPr="001C20DE">
        <w:t xml:space="preserve">the </w:t>
      </w:r>
      <w:r w:rsidR="0048696E" w:rsidRPr="001C20DE">
        <w:t xml:space="preserve">cargo in the amount of approximately $2,302,260.30. </w:t>
      </w:r>
      <w:r w:rsidR="00D069EE" w:rsidRPr="001C20DE">
        <w:t xml:space="preserve">The </w:t>
      </w:r>
      <w:r w:rsidR="0048696E" w:rsidRPr="001C20DE">
        <w:t xml:space="preserve">terms may be </w:t>
      </w:r>
      <w:r w:rsidR="00D069EE" w:rsidRPr="001C20DE">
        <w:t xml:space="preserve">relevantly </w:t>
      </w:r>
      <w:r w:rsidR="0048696E" w:rsidRPr="001C20DE">
        <w:t>summarised as follows:</w:t>
      </w:r>
      <w:r w:rsidR="009D5988" w:rsidRPr="001C20DE">
        <w:t xml:space="preserve"> </w:t>
      </w:r>
    </w:p>
    <w:p w14:paraId="77BFD0F3" w14:textId="1213B37C" w:rsidR="00850039" w:rsidRDefault="0048696E" w:rsidP="0048696E">
      <w:pPr>
        <w:pStyle w:val="ListNo1"/>
      </w:pPr>
      <w:r>
        <w:t>Upon the Court’s approval, APL, the demise charterer, shall pay the settlement amount of $2,040,000 to the Insurers’ (ie, the applicants’) solicitors, Mills Oakley.</w:t>
      </w:r>
    </w:p>
    <w:p w14:paraId="6D352156" w14:textId="629FCCAB" w:rsidR="0048696E" w:rsidRDefault="0048696E" w:rsidP="0048696E">
      <w:pPr>
        <w:pStyle w:val="ListNo1"/>
      </w:pPr>
      <w:r>
        <w:t>Upon receipt of the settlement amount by Mills Oakley:</w:t>
      </w:r>
    </w:p>
    <w:p w14:paraId="6509E8BE" w14:textId="2A9F1E61" w:rsidR="0048696E" w:rsidRDefault="0048696E" w:rsidP="0048696E">
      <w:pPr>
        <w:pStyle w:val="ListNo2"/>
      </w:pPr>
      <w:r>
        <w:t xml:space="preserve">all claims </w:t>
      </w:r>
      <w:r w:rsidR="00C10C97">
        <w:t>in relation to the loss or damage of the cargo are settled fully for the amounts set out in an annexed table;</w:t>
      </w:r>
      <w:r w:rsidR="009350CE">
        <w:t xml:space="preserve"> </w:t>
      </w:r>
    </w:p>
    <w:p w14:paraId="71BB20E4" w14:textId="786FFDBD" w:rsidR="00C10C97" w:rsidRDefault="00C10C97" w:rsidP="0048696E">
      <w:pPr>
        <w:pStyle w:val="ListNo2"/>
      </w:pPr>
      <w:r>
        <w:t>the Insurers are to release the respondents from all actions arising out of the incident</w:t>
      </w:r>
      <w:r w:rsidR="00DB3360">
        <w:t>, which release does not bind any of the group members</w:t>
      </w:r>
      <w:r>
        <w:t>;</w:t>
      </w:r>
    </w:p>
    <w:p w14:paraId="72FD5FB7" w14:textId="3B5269A2" w:rsidR="00C10C97" w:rsidRDefault="00DB3360" w:rsidP="0048696E">
      <w:pPr>
        <w:pStyle w:val="ListNo2"/>
      </w:pPr>
      <w:r>
        <w:t xml:space="preserve">the Insurers are to indemnify </w:t>
      </w:r>
      <w:r w:rsidR="00D069EE">
        <w:t xml:space="preserve">the respondents who have appeared in the proceeding against any loss or liability </w:t>
      </w:r>
      <w:r>
        <w:t>due to a claim arising from a bill of lading or cargo;</w:t>
      </w:r>
    </w:p>
    <w:p w14:paraId="63AB30A3" w14:textId="3DA02726" w:rsidR="00DB3360" w:rsidRDefault="00DB3360" w:rsidP="0048696E">
      <w:pPr>
        <w:pStyle w:val="ListNo2"/>
      </w:pPr>
      <w:r>
        <w:t>save for</w:t>
      </w:r>
      <w:r w:rsidR="009D5988">
        <w:t xml:space="preserve"> any claims between</w:t>
      </w:r>
      <w:r>
        <w:t xml:space="preserve"> the Owners and ANL, </w:t>
      </w:r>
      <w:r w:rsidR="009D5988">
        <w:t>each of the respondents who have appeared release each other from all actions arising out of the cargo; and</w:t>
      </w:r>
    </w:p>
    <w:p w14:paraId="449DB195" w14:textId="44DF9FC6" w:rsidR="009D5988" w:rsidRDefault="009D5988" w:rsidP="0048696E">
      <w:pPr>
        <w:pStyle w:val="ListNo2"/>
      </w:pPr>
      <w:proofErr w:type="gramStart"/>
      <w:r>
        <w:lastRenderedPageBreak/>
        <w:t>the</w:t>
      </w:r>
      <w:proofErr w:type="gramEnd"/>
      <w:r>
        <w:t xml:space="preserve"> parties will file notices of discontinuance of each proceeding</w:t>
      </w:r>
      <w:r w:rsidR="00B0447E">
        <w:t xml:space="preserve"> with</w:t>
      </w:r>
      <w:r w:rsidR="00B0447E" w:rsidRPr="00B0447E">
        <w:t xml:space="preserve"> </w:t>
      </w:r>
      <w:r w:rsidR="00B0447E">
        <w:t>no orders as to costs</w:t>
      </w:r>
      <w:r>
        <w:t>.</w:t>
      </w:r>
      <w:r w:rsidR="007F39F3">
        <w:t xml:space="preserve"> </w:t>
      </w:r>
    </w:p>
    <w:p w14:paraId="296B3891" w14:textId="3FB1FA3E" w:rsidR="009D5988" w:rsidRDefault="009D5988" w:rsidP="009D5988">
      <w:pPr>
        <w:pStyle w:val="ListNo1"/>
      </w:pPr>
      <w:r>
        <w:t>The settlement amount is to</w:t>
      </w:r>
      <w:r w:rsidR="00B0447E">
        <w:t xml:space="preserve"> be distributed by Mills Oakley to the Insurers in accordance with an annexed table, which table apportions the amount pro rata in respect of their subrogated rights.</w:t>
      </w:r>
    </w:p>
    <w:p w14:paraId="696C3F12" w14:textId="07C97AEE" w:rsidR="00D0093E" w:rsidRDefault="00B0447E" w:rsidP="00B650EE">
      <w:pPr>
        <w:pStyle w:val="ParaNumbering"/>
      </w:pPr>
      <w:r>
        <w:t xml:space="preserve">A number of further pertinent features are to be observed. First, the settlement amount equates to 88 per cent of the total claimed amount. Secondly, none of the settlement amount is to be paid to group members, the </w:t>
      </w:r>
      <w:r w:rsidR="00047A49">
        <w:t>settlement agreement</w:t>
      </w:r>
      <w:r>
        <w:t xml:space="preserve"> being executed by the Insurers and the respondents. As mentioned, all of the group members have been indemnified by the Insurers</w:t>
      </w:r>
      <w:r w:rsidR="0067723B">
        <w:t xml:space="preserve"> under their respective goods in transit or other cargo policies</w:t>
      </w:r>
      <w:r>
        <w:t xml:space="preserve">. And thirdly, the legal costs of the named applicants are not being met by any deduction from the settlement amount to be distributed; rather, they are being met separately by the Insurers. </w:t>
      </w:r>
    </w:p>
    <w:p w14:paraId="494F0974" w14:textId="6CF1F320" w:rsidR="00BB4FAB" w:rsidRDefault="000E5A32" w:rsidP="00BB4FAB">
      <w:pPr>
        <w:pStyle w:val="Heading2"/>
      </w:pPr>
      <w:r>
        <w:t xml:space="preserve">The </w:t>
      </w:r>
      <w:r w:rsidR="00BB4FAB">
        <w:t>Applicable Principles</w:t>
      </w:r>
    </w:p>
    <w:p w14:paraId="2FB08BED" w14:textId="77777777" w:rsidR="002609A5" w:rsidRDefault="001B4AAF" w:rsidP="00BB4FAB">
      <w:pPr>
        <w:pStyle w:val="ParaNumbering"/>
      </w:pPr>
      <w:r>
        <w:t>The applicable principles are</w:t>
      </w:r>
      <w:r w:rsidR="00AE1F70">
        <w:t xml:space="preserve"> uncontentious. </w:t>
      </w:r>
      <w:r w:rsidR="00681FB6">
        <w:t>The task of the Court is to determ</w:t>
      </w:r>
      <w:r w:rsidR="002609A5">
        <w:t xml:space="preserve">ine whether the proposed settlement is fair and reasonable having regard to the interests of the group members as a whole and also inter se: See </w:t>
      </w:r>
      <w:r w:rsidR="002609A5">
        <w:rPr>
          <w:i/>
        </w:rPr>
        <w:t xml:space="preserve">Hall v Arnold Bloch Leibler (a firm) (No 2) </w:t>
      </w:r>
      <w:r w:rsidR="002609A5">
        <w:t xml:space="preserve">[2022] FCA 163 at [15]; </w:t>
      </w:r>
      <w:r w:rsidR="002609A5">
        <w:rPr>
          <w:i/>
        </w:rPr>
        <w:t xml:space="preserve">Court v Spotless Group Holdings Limited </w:t>
      </w:r>
      <w:r w:rsidR="002609A5">
        <w:t xml:space="preserve">[2020] FCA 1730 at [8]. </w:t>
      </w:r>
    </w:p>
    <w:p w14:paraId="708E2FF2" w14:textId="72A79C23" w:rsidR="00AE1F70" w:rsidRDefault="004B7097" w:rsidP="00BB4FAB">
      <w:pPr>
        <w:pStyle w:val="ParaNumbering"/>
      </w:pPr>
      <w:bookmarkStart w:id="25" w:name="_Ref103282861"/>
      <w:r>
        <w:t xml:space="preserve">The factors that the Court should take into account when determining whether the settlement is fair were stated by Goldberg J in </w:t>
      </w:r>
      <w:r w:rsidR="00614E04">
        <w:rPr>
          <w:i/>
          <w:iCs/>
        </w:rPr>
        <w:t>Williams v FAI Homes Security Pty Ltd (No 4)</w:t>
      </w:r>
      <w:r w:rsidR="00614E04">
        <w:t xml:space="preserve"> </w:t>
      </w:r>
      <w:r w:rsidR="009544B0">
        <w:t>[2000] FCA 1925;</w:t>
      </w:r>
      <w:r>
        <w:t xml:space="preserve"> 180 ALR 459 at [19]</w:t>
      </w:r>
      <w:r w:rsidR="00E059B3">
        <w:t xml:space="preserve"> and are now reflected in the Class Actions Practice Note (GPN-CA) at [15.5]. They are as follows:</w:t>
      </w:r>
      <w:bookmarkEnd w:id="25"/>
    </w:p>
    <w:p w14:paraId="136EBB66" w14:textId="155B029B" w:rsidR="00E059B3" w:rsidRDefault="00E059B3" w:rsidP="00E059B3">
      <w:pPr>
        <w:pStyle w:val="ListNo1alt"/>
      </w:pPr>
      <w:r>
        <w:t>the complexity and likely duration of the litigation;</w:t>
      </w:r>
    </w:p>
    <w:p w14:paraId="5F7FAC15" w14:textId="0D12CB1C" w:rsidR="00E059B3" w:rsidRDefault="00E059B3" w:rsidP="00E059B3">
      <w:pPr>
        <w:pStyle w:val="ListNo1alt"/>
      </w:pPr>
      <w:r>
        <w:t>the reaction of the class to the settlement;</w:t>
      </w:r>
    </w:p>
    <w:p w14:paraId="2506A7CC" w14:textId="6772B165" w:rsidR="00E059B3" w:rsidRDefault="00E059B3" w:rsidP="00E059B3">
      <w:pPr>
        <w:pStyle w:val="ListNo1alt"/>
      </w:pPr>
      <w:r>
        <w:t>the stage of the proceedings;</w:t>
      </w:r>
    </w:p>
    <w:p w14:paraId="360C5C7D" w14:textId="710AC077" w:rsidR="00E059B3" w:rsidRDefault="00E059B3" w:rsidP="00E059B3">
      <w:pPr>
        <w:pStyle w:val="ListNo1alt"/>
      </w:pPr>
      <w:r>
        <w:t>the risks of establishing liability;</w:t>
      </w:r>
    </w:p>
    <w:p w14:paraId="44869AD4" w14:textId="6378F59F" w:rsidR="00E059B3" w:rsidRDefault="00E059B3" w:rsidP="00E059B3">
      <w:pPr>
        <w:pStyle w:val="ListNo1alt"/>
      </w:pPr>
      <w:r>
        <w:t>the risks of establishing loss or damage;</w:t>
      </w:r>
    </w:p>
    <w:p w14:paraId="3273D318" w14:textId="7316FA34" w:rsidR="00E059B3" w:rsidRDefault="00E059B3" w:rsidP="00E059B3">
      <w:pPr>
        <w:pStyle w:val="ListNo1alt"/>
      </w:pPr>
      <w:r>
        <w:t>the risks of maintaining a class action;</w:t>
      </w:r>
    </w:p>
    <w:p w14:paraId="538985CA" w14:textId="30A58070" w:rsidR="00E059B3" w:rsidRDefault="00E059B3" w:rsidP="00E059B3">
      <w:pPr>
        <w:pStyle w:val="ListNo1alt"/>
      </w:pPr>
      <w:r>
        <w:t>the ability of the respondent to withstand a greater judgment;</w:t>
      </w:r>
    </w:p>
    <w:p w14:paraId="583D1AF5" w14:textId="3AAFE099" w:rsidR="00E059B3" w:rsidRDefault="00E059B3" w:rsidP="00E059B3">
      <w:pPr>
        <w:pStyle w:val="ListNo1alt"/>
      </w:pPr>
      <w:r>
        <w:t>the range of reasonableness of the settlement in light of the best recovery;</w:t>
      </w:r>
    </w:p>
    <w:p w14:paraId="08480FAC" w14:textId="4656D73D" w:rsidR="00E059B3" w:rsidRDefault="00E059B3" w:rsidP="00E059B3">
      <w:pPr>
        <w:pStyle w:val="ListNo1alt"/>
      </w:pPr>
      <w:r>
        <w:lastRenderedPageBreak/>
        <w:t>the range of reasonableness of the settlement in light of all the attendant risks of the litigation; and</w:t>
      </w:r>
    </w:p>
    <w:p w14:paraId="0C8C1A5A" w14:textId="2E42D4CA" w:rsidR="00E059B3" w:rsidRDefault="00E059B3" w:rsidP="00E059B3">
      <w:pPr>
        <w:pStyle w:val="ListNo1alt"/>
      </w:pPr>
      <w:proofErr w:type="gramStart"/>
      <w:r>
        <w:t>the</w:t>
      </w:r>
      <w:proofErr w:type="gramEnd"/>
      <w:r>
        <w:t xml:space="preserve"> terms of any advice received from counsel and/or from any independent expert in relation to the issues which arise in the proceeding.</w:t>
      </w:r>
    </w:p>
    <w:p w14:paraId="139CD819" w14:textId="100F6BC2" w:rsidR="00BB4FAB" w:rsidRDefault="00BB4FAB" w:rsidP="002609A5">
      <w:pPr>
        <w:pStyle w:val="Heading2"/>
      </w:pPr>
      <w:r>
        <w:t>Consideration</w:t>
      </w:r>
    </w:p>
    <w:p w14:paraId="031AEDDC" w14:textId="5504BD3B" w:rsidR="00BB4FAB" w:rsidRDefault="002609A5" w:rsidP="00BB4FAB">
      <w:pPr>
        <w:pStyle w:val="ParaNumbering"/>
      </w:pPr>
      <w:r>
        <w:t xml:space="preserve">Perhaps uniquely amongst applications of this kind, the settlement sought to be approved is not made between the applicants and the respondents. As mentioned, the parties to the agreement are, on the one hand, the Insurers exercising </w:t>
      </w:r>
      <w:r w:rsidR="00860085">
        <w:t xml:space="preserve">the </w:t>
      </w:r>
      <w:r>
        <w:t xml:space="preserve">applicants’ and group members’ subrogated rights and, on the other hand, the respondents who have appeared in the proceeding. Indeed, the </w:t>
      </w:r>
      <w:r w:rsidR="00047A49">
        <w:t>settlement agreement</w:t>
      </w:r>
      <w:r>
        <w:t xml:space="preserve"> does not purport to bind the applicants in any way. </w:t>
      </w:r>
      <w:r w:rsidR="00E1723B">
        <w:t xml:space="preserve">Further, </w:t>
      </w:r>
      <w:r w:rsidR="007E5F45">
        <w:t>it also does not allow any deduction from the settlement amount of the legal costs incurred by the parties.</w:t>
      </w:r>
    </w:p>
    <w:p w14:paraId="7A771B26" w14:textId="268F4DDB" w:rsidR="007E5F45" w:rsidRDefault="007E5F45" w:rsidP="00BB4FAB">
      <w:pPr>
        <w:pStyle w:val="ParaNumbering"/>
      </w:pPr>
      <w:r>
        <w:t xml:space="preserve">In respect </w:t>
      </w:r>
      <w:r w:rsidR="0068568F">
        <w:t>of each of the factors identified in [</w:t>
      </w:r>
      <w:r w:rsidR="0068568F">
        <w:fldChar w:fldCharType="begin"/>
      </w:r>
      <w:r w:rsidR="0068568F">
        <w:instrText xml:space="preserve"> REF _Ref103282861 \r \h </w:instrText>
      </w:r>
      <w:r w:rsidR="0068568F">
        <w:fldChar w:fldCharType="separate"/>
      </w:r>
      <w:r w:rsidR="006E3A62">
        <w:t>22</w:t>
      </w:r>
      <w:r w:rsidR="0068568F">
        <w:fldChar w:fldCharType="end"/>
      </w:r>
      <w:r w:rsidR="0068568F">
        <w:t>] above, I observe as follows:</w:t>
      </w:r>
    </w:p>
    <w:p w14:paraId="2FB9F430" w14:textId="667C56AE" w:rsidR="0068568F" w:rsidRDefault="003039B8" w:rsidP="00996477">
      <w:pPr>
        <w:pStyle w:val="ListNo1alt"/>
        <w:numPr>
          <w:ilvl w:val="0"/>
          <w:numId w:val="32"/>
        </w:numPr>
      </w:pPr>
      <w:r>
        <w:t>T</w:t>
      </w:r>
      <w:r w:rsidR="00996477">
        <w:t>he litigation is likely to be complex and lengthy</w:t>
      </w:r>
      <w:r w:rsidR="00BE2FF0">
        <w:t>,</w:t>
      </w:r>
      <w:r w:rsidR="003E5192">
        <w:t xml:space="preserve"> and would undoubtedly involve considerable expert evidence concerning the </w:t>
      </w:r>
      <w:r>
        <w:t>stowage of cargo on</w:t>
      </w:r>
      <w:r w:rsidR="001515C8">
        <w:t>,</w:t>
      </w:r>
      <w:r>
        <w:t xml:space="preserve"> </w:t>
      </w:r>
      <w:r w:rsidR="001515C8">
        <w:t xml:space="preserve">and seaworthiness and navigation of </w:t>
      </w:r>
      <w:r>
        <w:t>the vessel. Further, there is the added complexity of the numerous cross-claims, requiring determination of circular indemnities under various different bills of lading and sea waybills.</w:t>
      </w:r>
      <w:r w:rsidR="00A636D0">
        <w:t xml:space="preserve"> The considerable cost in pursuing the </w:t>
      </w:r>
      <w:r w:rsidR="0067723B">
        <w:t>claims to trial i</w:t>
      </w:r>
      <w:r w:rsidR="00435D9C">
        <w:t>s</w:t>
      </w:r>
      <w:r w:rsidR="0067723B">
        <w:t xml:space="preserve"> to be contras</w:t>
      </w:r>
      <w:r w:rsidR="00A636D0">
        <w:t>ted with the relatively modest quantum at stake.</w:t>
      </w:r>
    </w:p>
    <w:p w14:paraId="52FE2F76" w14:textId="0DEF979C" w:rsidR="003039B8" w:rsidRDefault="003039B8" w:rsidP="00996477">
      <w:pPr>
        <w:pStyle w:val="ListNo1alt"/>
        <w:numPr>
          <w:ilvl w:val="0"/>
          <w:numId w:val="32"/>
        </w:numPr>
      </w:pPr>
      <w:r>
        <w:t xml:space="preserve">There have been no objections by group members to the </w:t>
      </w:r>
      <w:r w:rsidR="00047A49">
        <w:t>settlement agreement</w:t>
      </w:r>
      <w:r w:rsidR="00860085">
        <w:t xml:space="preserve"> despite being</w:t>
      </w:r>
      <w:r>
        <w:t xml:space="preserve"> notified of the settlement </w:t>
      </w:r>
      <w:r w:rsidR="00860085">
        <w:t>and invited to object or opt out</w:t>
      </w:r>
      <w:r w:rsidR="007005C3">
        <w:t>.</w:t>
      </w:r>
      <w:r w:rsidR="00BB5F91">
        <w:t xml:space="preserve"> It is also to be observed that save in respect of insured losses in respect of which the Insurers exercise subrogated rights in concluding the </w:t>
      </w:r>
      <w:r w:rsidR="00047A49">
        <w:t>settlement agreement</w:t>
      </w:r>
      <w:r w:rsidR="00BB5F91">
        <w:t xml:space="preserve">, the claims of group members and any other parties who </w:t>
      </w:r>
      <w:r w:rsidR="00435D9C">
        <w:t xml:space="preserve">may </w:t>
      </w:r>
      <w:r w:rsidR="00BB5F91">
        <w:t>say that they have claims arising from the damage to or loss of cargo in the incident are unaffected by the settlement.</w:t>
      </w:r>
    </w:p>
    <w:p w14:paraId="37704FC5" w14:textId="54A93F0C" w:rsidR="003039B8" w:rsidRDefault="003039B8" w:rsidP="00996477">
      <w:pPr>
        <w:pStyle w:val="ListNo1alt"/>
        <w:numPr>
          <w:ilvl w:val="0"/>
          <w:numId w:val="32"/>
        </w:numPr>
      </w:pPr>
      <w:r>
        <w:t>The proceeding</w:t>
      </w:r>
      <w:r w:rsidR="00860085">
        <w:t xml:space="preserve"> i</w:t>
      </w:r>
      <w:r>
        <w:t>s at an early stage; the parties have not yet</w:t>
      </w:r>
      <w:r w:rsidR="009350CE">
        <w:t xml:space="preserve"> commenced preparing and exchanging evidence and have not incurred any costs in that regard. Indeed, </w:t>
      </w:r>
      <w:r w:rsidR="00BE2FF0">
        <w:t xml:space="preserve">in each of the cross-claims, many of the </w:t>
      </w:r>
      <w:r w:rsidR="001515C8">
        <w:t>defences have not been filed.</w:t>
      </w:r>
    </w:p>
    <w:p w14:paraId="3E9D3E1B" w14:textId="77777777" w:rsidR="003B1B32" w:rsidRDefault="001515C8" w:rsidP="00E61207">
      <w:pPr>
        <w:pStyle w:val="ListNo1alt"/>
        <w:numPr>
          <w:ilvl w:val="0"/>
          <w:numId w:val="32"/>
        </w:numPr>
      </w:pPr>
      <w:r>
        <w:t xml:space="preserve">In light of the respondents’ denial of liability </w:t>
      </w:r>
      <w:r w:rsidR="00A30A50">
        <w:t xml:space="preserve">and </w:t>
      </w:r>
      <w:r>
        <w:t xml:space="preserve">each of them relying on circular indemnity </w:t>
      </w:r>
      <w:r w:rsidR="00860085">
        <w:t>and</w:t>
      </w:r>
      <w:r w:rsidR="00CF530C">
        <w:t xml:space="preserve"> </w:t>
      </w:r>
      <w:r>
        <w:t>limitations clauses, there is some risk to the applicants’ ability to establish liability.</w:t>
      </w:r>
      <w:r w:rsidR="00A30A50">
        <w:t xml:space="preserve"> That risk, as articulated by senior counsel for the applicants, </w:t>
      </w:r>
      <w:r w:rsidR="00A30A50">
        <w:lastRenderedPageBreak/>
        <w:t>primarily concerns the inconvenience and cost of establishing a case with complex factual and legal aspe</w:t>
      </w:r>
      <w:r w:rsidR="0067723B">
        <w:t xml:space="preserve">cts. </w:t>
      </w:r>
    </w:p>
    <w:p w14:paraId="2A819D63" w14:textId="5CB4BE22" w:rsidR="001515C8" w:rsidRDefault="003B1B32" w:rsidP="00E61207">
      <w:pPr>
        <w:pStyle w:val="ListNo1alt"/>
        <w:numPr>
          <w:ilvl w:val="0"/>
          <w:numId w:val="32"/>
        </w:numPr>
      </w:pPr>
      <w:r>
        <w:t>The risk of failing to establishing loss or damage, once liability is established, would appear to be relatively low</w:t>
      </w:r>
      <w:r w:rsidR="00A30A50">
        <w:t>.</w:t>
      </w:r>
    </w:p>
    <w:p w14:paraId="54B6FA78" w14:textId="64FCB513" w:rsidR="00A30A50" w:rsidRDefault="0067723B" w:rsidP="00996477">
      <w:pPr>
        <w:pStyle w:val="ListNo1alt"/>
        <w:numPr>
          <w:ilvl w:val="0"/>
          <w:numId w:val="32"/>
        </w:numPr>
      </w:pPr>
      <w:r>
        <w:t xml:space="preserve">Given that the proceeding is in effect brought by insurers, who can be taken to be well-resourced and experienced litigants, </w:t>
      </w:r>
      <w:r w:rsidR="003B1B32">
        <w:t>the risk in maintaining the class action if the settlement were not approved would appear to be remote – perhaps limited to an economic calculus as to whether it was worth incurring substantial costs in order to realise a relatively modest sum.</w:t>
      </w:r>
    </w:p>
    <w:p w14:paraId="1BDAC228" w14:textId="365CE57C" w:rsidR="00A30A50" w:rsidRDefault="00EB4088" w:rsidP="00996477">
      <w:pPr>
        <w:pStyle w:val="ListNo1alt"/>
        <w:numPr>
          <w:ilvl w:val="0"/>
          <w:numId w:val="32"/>
        </w:numPr>
      </w:pPr>
      <w:r>
        <w:t>There is nothing to suggest that the respondents would not be able to withstand a greater judgment amount.</w:t>
      </w:r>
    </w:p>
    <w:p w14:paraId="24DC934D" w14:textId="50BDBCD8" w:rsidR="00EB4088" w:rsidRDefault="00CF530C" w:rsidP="00996477">
      <w:pPr>
        <w:pStyle w:val="ListNo1alt"/>
        <w:numPr>
          <w:ilvl w:val="0"/>
          <w:numId w:val="32"/>
        </w:numPr>
      </w:pPr>
      <w:bookmarkStart w:id="26" w:name="_Ref103287992"/>
      <w:r>
        <w:t>On the applicants’ view, t</w:t>
      </w:r>
      <w:r w:rsidR="00EB4088">
        <w:t xml:space="preserve">he </w:t>
      </w:r>
      <w:r w:rsidR="005B08DA">
        <w:t>settlement amount constitutes</w:t>
      </w:r>
      <w:r w:rsidR="00EB4088">
        <w:t xml:space="preserve"> </w:t>
      </w:r>
      <w:r w:rsidR="00EA6E9E">
        <w:t>more than</w:t>
      </w:r>
      <w:r w:rsidR="005B08DA">
        <w:t xml:space="preserve"> </w:t>
      </w:r>
      <w:r w:rsidR="00EB4088">
        <w:t>88 per cent of the total claim amount</w:t>
      </w:r>
      <w:r>
        <w:t>;</w:t>
      </w:r>
      <w:r w:rsidR="005B08DA">
        <w:t xml:space="preserve"> </w:t>
      </w:r>
      <w:r>
        <w:t>o</w:t>
      </w:r>
      <w:r w:rsidR="005B08DA">
        <w:t>n the respondents’ view, the settlement amount is more tha</w:t>
      </w:r>
      <w:r w:rsidR="003B1B32">
        <w:t>n the quantum of the total losses</w:t>
      </w:r>
      <w:r w:rsidR="005B08DA">
        <w:t>.</w:t>
      </w:r>
      <w:r>
        <w:t xml:space="preserve"> </w:t>
      </w:r>
      <w:r w:rsidR="005B08DA">
        <w:t xml:space="preserve">I am satisfied that </w:t>
      </w:r>
      <w:r>
        <w:t xml:space="preserve">the settlement amount is within the range of reasonable settlements, in light of the best </w:t>
      </w:r>
      <w:r w:rsidR="003B1B32">
        <w:t xml:space="preserve">likely </w:t>
      </w:r>
      <w:r>
        <w:t>recovery.</w:t>
      </w:r>
      <w:bookmarkEnd w:id="26"/>
    </w:p>
    <w:p w14:paraId="763FC1BA" w14:textId="474C5068" w:rsidR="005B08DA" w:rsidRDefault="00CF530C" w:rsidP="00996477">
      <w:pPr>
        <w:pStyle w:val="ListNo1alt"/>
        <w:numPr>
          <w:ilvl w:val="0"/>
          <w:numId w:val="32"/>
        </w:numPr>
      </w:pPr>
      <w:r>
        <w:t xml:space="preserve">For the same reasons as those in relation to </w:t>
      </w:r>
      <w:r>
        <w:fldChar w:fldCharType="begin"/>
      </w:r>
      <w:r>
        <w:instrText xml:space="preserve"> REF _Ref103287992 \r \h </w:instrText>
      </w:r>
      <w:r>
        <w:fldChar w:fldCharType="separate"/>
      </w:r>
      <w:r w:rsidR="006E3A62">
        <w:t>(h)</w:t>
      </w:r>
      <w:r>
        <w:fldChar w:fldCharType="end"/>
      </w:r>
      <w:r>
        <w:t>, the settlement is also within the range of reasonableness in light of all the attendant risks of litigation, particularly in light of the cross-claims.</w:t>
      </w:r>
    </w:p>
    <w:p w14:paraId="1A3F7711" w14:textId="3FF00ED1" w:rsidR="005B08DA" w:rsidRDefault="00CF530C" w:rsidP="00996477">
      <w:pPr>
        <w:pStyle w:val="ListNo1alt"/>
        <w:numPr>
          <w:ilvl w:val="0"/>
          <w:numId w:val="32"/>
        </w:numPr>
      </w:pPr>
      <w:r>
        <w:t xml:space="preserve">The Court has received privileged evidence which </w:t>
      </w:r>
      <w:r w:rsidR="003B1B32">
        <w:t>records</w:t>
      </w:r>
      <w:r>
        <w:t xml:space="preserve"> the views of </w:t>
      </w:r>
      <w:r w:rsidR="00562A36">
        <w:t>counsel, the legal representatives and the mediator.</w:t>
      </w:r>
    </w:p>
    <w:p w14:paraId="5D58B559" w14:textId="5499B4E2" w:rsidR="008A46F3" w:rsidRDefault="005B08DA" w:rsidP="00BB4FAB">
      <w:pPr>
        <w:pStyle w:val="ParaNumbering"/>
      </w:pPr>
      <w:r>
        <w:t>Further, I am satisfied that there</w:t>
      </w:r>
      <w:r w:rsidR="008A46F3">
        <w:t xml:space="preserve"> is </w:t>
      </w:r>
      <w:r w:rsidR="003B1B32">
        <w:t xml:space="preserve">essentially </w:t>
      </w:r>
      <w:r w:rsidR="008A46F3">
        <w:t xml:space="preserve">no risk to the group members: in respect of the claims brought in the proceeding and settled, their rights have been subrogated to the Insurers who are in truth the claimants in this proceeding; in respect of any other claims that the group members might otherwise have, they are entirely unaffected by the </w:t>
      </w:r>
      <w:r w:rsidR="00047A49">
        <w:t>settlement agreement</w:t>
      </w:r>
      <w:r w:rsidR="008A46F3">
        <w:t>.</w:t>
      </w:r>
    </w:p>
    <w:p w14:paraId="64ED7D57" w14:textId="23FB579E" w:rsidR="00514535" w:rsidRDefault="00937E1A" w:rsidP="00562A36">
      <w:pPr>
        <w:pStyle w:val="ParaNumbering"/>
      </w:pPr>
      <w:r>
        <w:t xml:space="preserve">In the circumstances, I am satisfied that the </w:t>
      </w:r>
      <w:r w:rsidR="00047A49">
        <w:t>settlement agreement</w:t>
      </w:r>
      <w:r>
        <w:t xml:space="preserve"> is fair and reasonable</w:t>
      </w:r>
      <w:r w:rsidR="00562A36">
        <w:t>, especially in light of the apportionment of the settlement amount pro-rated in accordance with the group members’ respective claims</w:t>
      </w:r>
      <w:r>
        <w:t xml:space="preserve">. </w:t>
      </w:r>
      <w:r w:rsidR="008B64C9">
        <w:t>For these reasons, I made the orders sought by the parties on 2 May 2022.</w:t>
      </w:r>
    </w:p>
    <w:p w14:paraId="1F9F92E5" w14:textId="77777777" w:rsidR="001C20DE" w:rsidRDefault="001C20DE" w:rsidP="00815065">
      <w:pPr>
        <w:pStyle w:val="BodyText"/>
      </w:pPr>
      <w:bookmarkStart w:id="27" w:name="Certification"/>
      <w:bookmarkStart w:id="28" w:name="SOP_Section"/>
    </w:p>
    <w:tbl>
      <w:tblPr>
        <w:tblW w:w="0" w:type="auto"/>
        <w:tblLook w:val="04A0" w:firstRow="1" w:lastRow="0" w:firstColumn="1" w:lastColumn="0" w:noHBand="0" w:noVBand="1"/>
      </w:tblPr>
      <w:tblGrid>
        <w:gridCol w:w="3794"/>
      </w:tblGrid>
      <w:tr w:rsidR="001C20DE" w:rsidRPr="001C20DE" w14:paraId="06AD0A62" w14:textId="77777777">
        <w:tc>
          <w:tcPr>
            <w:tcW w:w="3794" w:type="dxa"/>
            <w:shd w:val="clear" w:color="auto" w:fill="auto"/>
          </w:tcPr>
          <w:p w14:paraId="47D30D2B" w14:textId="7DF09407" w:rsidR="001C20DE" w:rsidRPr="001C20DE" w:rsidRDefault="001C20DE" w:rsidP="001C20DE">
            <w:pPr>
              <w:pStyle w:val="Normal1linespace"/>
            </w:pPr>
            <w:r w:rsidRPr="001C20DE">
              <w:t xml:space="preserve">I certify that the preceding </w:t>
            </w:r>
            <w:bookmarkStart w:id="29" w:name="NumberWord"/>
            <w:r w:rsidR="004C6C80">
              <w:t>twenty-six</w:t>
            </w:r>
            <w:bookmarkEnd w:id="29"/>
            <w:r w:rsidRPr="001C20DE">
              <w:t xml:space="preserve"> (</w:t>
            </w:r>
            <w:bookmarkStart w:id="30" w:name="NumberNumeral"/>
            <w:r w:rsidR="004C6C80">
              <w:t>26</w:t>
            </w:r>
            <w:bookmarkEnd w:id="30"/>
            <w:r w:rsidRPr="001C20DE">
              <w:t xml:space="preserve">) numbered </w:t>
            </w:r>
            <w:bookmarkStart w:id="31" w:name="CertPara"/>
            <w:r w:rsidR="004C6C80">
              <w:t>paragraphs are</w:t>
            </w:r>
            <w:bookmarkEnd w:id="31"/>
            <w:r w:rsidRPr="001C20DE">
              <w:t xml:space="preserve"> a true </w:t>
            </w:r>
            <w:r w:rsidRPr="001C20DE">
              <w:lastRenderedPageBreak/>
              <w:t xml:space="preserve">copy of the Reasons for Judgment of </w:t>
            </w:r>
            <w:bookmarkStart w:id="32" w:name="bkHonourable"/>
            <w:r w:rsidRPr="001C20DE">
              <w:t xml:space="preserve">the Honourable </w:t>
            </w:r>
            <w:bookmarkStart w:id="33" w:name="Justice"/>
            <w:bookmarkEnd w:id="32"/>
            <w:r>
              <w:t>Justice Stewart</w:t>
            </w:r>
            <w:bookmarkEnd w:id="33"/>
            <w:r w:rsidRPr="001C20DE">
              <w:t>.</w:t>
            </w:r>
          </w:p>
        </w:tc>
      </w:tr>
    </w:tbl>
    <w:p w14:paraId="79BCD8E2" w14:textId="77777777" w:rsidR="001C20DE" w:rsidRDefault="001C20DE" w:rsidP="00815065">
      <w:pPr>
        <w:pStyle w:val="BodyText"/>
      </w:pPr>
    </w:p>
    <w:p w14:paraId="5CD941EC" w14:textId="77777777" w:rsidR="001C20DE" w:rsidRDefault="001C20DE" w:rsidP="00815065">
      <w:pPr>
        <w:pStyle w:val="BodyText"/>
      </w:pPr>
    </w:p>
    <w:p w14:paraId="15C2E343" w14:textId="567CC383" w:rsidR="001C20DE" w:rsidRDefault="001C20DE" w:rsidP="00815065">
      <w:pPr>
        <w:pStyle w:val="BodyText"/>
      </w:pPr>
      <w:r>
        <w:t>Associate:</w:t>
      </w:r>
      <w:r w:rsidR="002625E6">
        <w:t xml:space="preserve"> </w:t>
      </w:r>
      <w:bookmarkStart w:id="34" w:name="_GoBack"/>
      <w:bookmarkEnd w:id="34"/>
    </w:p>
    <w:p w14:paraId="709543B9" w14:textId="77777777" w:rsidR="001C20DE" w:rsidRDefault="001C20DE" w:rsidP="00815065">
      <w:pPr>
        <w:pStyle w:val="BodyText"/>
      </w:pPr>
    </w:p>
    <w:p w14:paraId="29540DDD" w14:textId="63DF27A1" w:rsidR="001C20DE" w:rsidRDefault="001C20DE" w:rsidP="00815065">
      <w:pPr>
        <w:pStyle w:val="BodyText"/>
        <w:tabs>
          <w:tab w:val="left" w:pos="1134"/>
        </w:tabs>
      </w:pPr>
      <w:r>
        <w:t>Dated:</w:t>
      </w:r>
      <w:r>
        <w:tab/>
      </w:r>
      <w:bookmarkStart w:id="35" w:name="CertifyDated"/>
      <w:r w:rsidR="00642620">
        <w:t>17</w:t>
      </w:r>
      <w:r w:rsidRPr="00642620">
        <w:t xml:space="preserve"> May 2022</w:t>
      </w:r>
      <w:bookmarkEnd w:id="35"/>
    </w:p>
    <w:p w14:paraId="18A4A24B" w14:textId="77777777" w:rsidR="001C20DE" w:rsidRDefault="001C20DE" w:rsidP="00815065">
      <w:pPr>
        <w:pStyle w:val="BodyText"/>
      </w:pPr>
    </w:p>
    <w:bookmarkEnd w:id="27"/>
    <w:p w14:paraId="5D55933C" w14:textId="77777777" w:rsidR="00C57868" w:rsidRDefault="00C57868">
      <w:pPr>
        <w:spacing w:line="240" w:lineRule="auto"/>
        <w:jc w:val="left"/>
      </w:pPr>
      <w:r>
        <w:br w:type="page"/>
      </w:r>
    </w:p>
    <w:p w14:paraId="05EE6852" w14:textId="6DD69D18" w:rsidR="00514535" w:rsidRPr="00CD498A" w:rsidRDefault="00514535" w:rsidP="00C57868">
      <w:pPr>
        <w:pStyle w:val="NormalHeadings"/>
        <w:jc w:val="center"/>
      </w:pPr>
      <w:r w:rsidRPr="00CD498A">
        <w:lastRenderedPageBreak/>
        <w:t>SCHEDULE OF PARTIES</w:t>
      </w:r>
    </w:p>
    <w:p w14:paraId="2624D2FB" w14:textId="77777777" w:rsidR="00514535" w:rsidRPr="00663089" w:rsidRDefault="00514535" w:rsidP="00850039">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514535" w14:paraId="719B8B08" w14:textId="77777777" w:rsidTr="00514535">
        <w:tc>
          <w:tcPr>
            <w:tcW w:w="3368" w:type="dxa"/>
          </w:tcPr>
          <w:p w14:paraId="6DBE9BB5" w14:textId="77777777" w:rsidR="00514535" w:rsidRDefault="00514535" w:rsidP="00850039">
            <w:pPr>
              <w:pStyle w:val="NormalHeadings"/>
              <w:jc w:val="left"/>
              <w:rPr>
                <w:caps/>
                <w:szCs w:val="24"/>
              </w:rPr>
            </w:pPr>
          </w:p>
        </w:tc>
        <w:tc>
          <w:tcPr>
            <w:tcW w:w="5874" w:type="dxa"/>
          </w:tcPr>
          <w:p w14:paraId="44685542" w14:textId="77777777" w:rsidR="00514535" w:rsidRDefault="00653619" w:rsidP="00850039">
            <w:pPr>
              <w:pStyle w:val="NormalHeadings"/>
              <w:jc w:val="right"/>
            </w:pPr>
            <w:fldSimple w:instr=" REF  FileNo " w:fldLock="1">
              <w:r w:rsidR="00514535">
                <w:t>NSD 66 of 2021</w:t>
              </w:r>
            </w:fldSimple>
          </w:p>
        </w:tc>
      </w:tr>
      <w:tr w:rsidR="00514535" w14:paraId="6DE0A7F7" w14:textId="77777777" w:rsidTr="00514535">
        <w:trPr>
          <w:trHeight w:val="386"/>
        </w:trPr>
        <w:tc>
          <w:tcPr>
            <w:tcW w:w="3368" w:type="dxa"/>
          </w:tcPr>
          <w:p w14:paraId="7731ABBD" w14:textId="77777777" w:rsidR="00514535" w:rsidRDefault="00514535" w:rsidP="00850039">
            <w:pPr>
              <w:pStyle w:val="BodyTextBold"/>
              <w:spacing w:before="180"/>
              <w:jc w:val="left"/>
            </w:pPr>
            <w:bookmarkStart w:id="36" w:name="SOP_ApplicantsRows" w:colFirst="0" w:colLast="1"/>
            <w:r>
              <w:t>Applicants</w:t>
            </w:r>
          </w:p>
        </w:tc>
        <w:tc>
          <w:tcPr>
            <w:tcW w:w="5874" w:type="dxa"/>
            <w:tcMar>
              <w:left w:w="28" w:type="dxa"/>
            </w:tcMar>
          </w:tcPr>
          <w:p w14:paraId="479658FC" w14:textId="77777777" w:rsidR="00514535" w:rsidRDefault="00514535" w:rsidP="00850039">
            <w:pPr>
              <w:pStyle w:val="BodyText"/>
              <w:jc w:val="left"/>
            </w:pPr>
          </w:p>
        </w:tc>
      </w:tr>
      <w:tr w:rsidR="00514535" w14:paraId="66D1F08F" w14:textId="77777777" w:rsidTr="00514535">
        <w:trPr>
          <w:trHeight w:val="386"/>
        </w:trPr>
        <w:tc>
          <w:tcPr>
            <w:tcW w:w="3368" w:type="dxa"/>
          </w:tcPr>
          <w:p w14:paraId="5E98A890" w14:textId="77777777" w:rsidR="00514535" w:rsidRDefault="00156CF8" w:rsidP="00850039">
            <w:pPr>
              <w:pStyle w:val="BodyText"/>
              <w:spacing w:after="240" w:line="240" w:lineRule="auto"/>
              <w:jc w:val="left"/>
            </w:pPr>
            <w:bookmarkStart w:id="37" w:name="SOP_FirstApplicant"/>
            <w:bookmarkEnd w:id="37"/>
            <w:r>
              <w:t>Second</w:t>
            </w:r>
            <w:r w:rsidR="00514535">
              <w:t xml:space="preserve"> Applicant:</w:t>
            </w:r>
          </w:p>
        </w:tc>
        <w:tc>
          <w:tcPr>
            <w:tcW w:w="5874" w:type="dxa"/>
            <w:tcMar>
              <w:left w:w="28" w:type="dxa"/>
            </w:tcMar>
          </w:tcPr>
          <w:p w14:paraId="218783A4" w14:textId="77777777" w:rsidR="00514535" w:rsidRDefault="00156CF8" w:rsidP="00850039">
            <w:pPr>
              <w:pStyle w:val="BodyText"/>
              <w:spacing w:after="240" w:line="240" w:lineRule="auto"/>
              <w:jc w:val="left"/>
            </w:pPr>
            <w:r>
              <w:t>KMART AUSTRALIA LTD</w:t>
            </w:r>
          </w:p>
        </w:tc>
      </w:tr>
      <w:tr w:rsidR="00156CF8" w14:paraId="29ECE3F5" w14:textId="77777777" w:rsidTr="00850039">
        <w:trPr>
          <w:trHeight w:val="386"/>
        </w:trPr>
        <w:tc>
          <w:tcPr>
            <w:tcW w:w="3368" w:type="dxa"/>
          </w:tcPr>
          <w:p w14:paraId="1F0690D1" w14:textId="77777777" w:rsidR="00156CF8" w:rsidRDefault="00156CF8" w:rsidP="00850039">
            <w:pPr>
              <w:pStyle w:val="BodyText"/>
              <w:spacing w:after="240" w:line="240" w:lineRule="auto"/>
              <w:jc w:val="left"/>
            </w:pPr>
            <w:r>
              <w:t>Third Applicant:</w:t>
            </w:r>
          </w:p>
        </w:tc>
        <w:tc>
          <w:tcPr>
            <w:tcW w:w="5874" w:type="dxa"/>
            <w:tcMar>
              <w:left w:w="28" w:type="dxa"/>
            </w:tcMar>
          </w:tcPr>
          <w:p w14:paraId="59EE66DC" w14:textId="77777777" w:rsidR="00156CF8" w:rsidRDefault="00156CF8" w:rsidP="00850039">
            <w:pPr>
              <w:pStyle w:val="BodyText"/>
              <w:spacing w:after="240" w:line="240" w:lineRule="auto"/>
              <w:jc w:val="left"/>
            </w:pPr>
            <w:r>
              <w:t>FIRE SAFETY EQUIPMENT PTY LTD</w:t>
            </w:r>
          </w:p>
        </w:tc>
      </w:tr>
      <w:tr w:rsidR="00156CF8" w14:paraId="01087DD8" w14:textId="77777777" w:rsidTr="00850039">
        <w:trPr>
          <w:trHeight w:val="386"/>
        </w:trPr>
        <w:tc>
          <w:tcPr>
            <w:tcW w:w="3368" w:type="dxa"/>
          </w:tcPr>
          <w:p w14:paraId="7FF20644" w14:textId="77777777" w:rsidR="00156CF8" w:rsidRDefault="00156CF8" w:rsidP="00850039">
            <w:pPr>
              <w:pStyle w:val="BodyText"/>
              <w:spacing w:after="240" w:line="240" w:lineRule="auto"/>
              <w:jc w:val="left"/>
            </w:pPr>
            <w:r>
              <w:t>Fourth Applicant:</w:t>
            </w:r>
          </w:p>
        </w:tc>
        <w:tc>
          <w:tcPr>
            <w:tcW w:w="5874" w:type="dxa"/>
            <w:tcMar>
              <w:left w:w="28" w:type="dxa"/>
            </w:tcMar>
          </w:tcPr>
          <w:p w14:paraId="02E75DDC" w14:textId="77777777" w:rsidR="00156CF8" w:rsidRDefault="00156CF8" w:rsidP="00850039">
            <w:pPr>
              <w:pStyle w:val="BodyText"/>
              <w:spacing w:after="240" w:line="240" w:lineRule="auto"/>
              <w:jc w:val="left"/>
            </w:pPr>
            <w:r>
              <w:t>ILANA ACCESSORIES AUSTRALIA PTY LTD</w:t>
            </w:r>
          </w:p>
        </w:tc>
      </w:tr>
      <w:tr w:rsidR="00514535" w14:paraId="515AE9F8" w14:textId="77777777" w:rsidTr="00514535">
        <w:trPr>
          <w:trHeight w:val="386"/>
        </w:trPr>
        <w:tc>
          <w:tcPr>
            <w:tcW w:w="3368" w:type="dxa"/>
          </w:tcPr>
          <w:p w14:paraId="3DD06E6F" w14:textId="77777777" w:rsidR="00514535" w:rsidRDefault="00514535" w:rsidP="00850039">
            <w:pPr>
              <w:pStyle w:val="BodyText"/>
              <w:spacing w:after="240" w:line="240" w:lineRule="auto"/>
              <w:jc w:val="left"/>
            </w:pPr>
            <w:r>
              <w:t>Fifth Applicant:</w:t>
            </w:r>
          </w:p>
        </w:tc>
        <w:tc>
          <w:tcPr>
            <w:tcW w:w="5874" w:type="dxa"/>
            <w:tcMar>
              <w:left w:w="28" w:type="dxa"/>
            </w:tcMar>
          </w:tcPr>
          <w:p w14:paraId="0029742F" w14:textId="77777777" w:rsidR="00514535" w:rsidRDefault="00514535" w:rsidP="00850039">
            <w:pPr>
              <w:pStyle w:val="BodyText"/>
              <w:spacing w:after="240" w:line="240" w:lineRule="auto"/>
              <w:jc w:val="left"/>
            </w:pPr>
            <w:r>
              <w:t>REECE PTY LTD</w:t>
            </w:r>
          </w:p>
        </w:tc>
      </w:tr>
      <w:tr w:rsidR="00514535" w14:paraId="0CD3BB9A" w14:textId="77777777" w:rsidTr="00514535">
        <w:trPr>
          <w:trHeight w:val="386"/>
        </w:trPr>
        <w:tc>
          <w:tcPr>
            <w:tcW w:w="3368" w:type="dxa"/>
          </w:tcPr>
          <w:p w14:paraId="27CEA018" w14:textId="77777777" w:rsidR="00514535" w:rsidRDefault="00514535" w:rsidP="00850039">
            <w:pPr>
              <w:pStyle w:val="BodyText"/>
              <w:spacing w:after="240" w:line="240" w:lineRule="auto"/>
              <w:jc w:val="left"/>
            </w:pPr>
            <w:r>
              <w:t>Sixth Applicant:</w:t>
            </w:r>
          </w:p>
        </w:tc>
        <w:tc>
          <w:tcPr>
            <w:tcW w:w="5874" w:type="dxa"/>
            <w:tcMar>
              <w:left w:w="28" w:type="dxa"/>
            </w:tcMar>
          </w:tcPr>
          <w:p w14:paraId="3CE08825" w14:textId="77777777" w:rsidR="00514535" w:rsidRDefault="00514535" w:rsidP="00850039">
            <w:pPr>
              <w:pStyle w:val="BodyText"/>
              <w:spacing w:after="240" w:line="240" w:lineRule="auto"/>
              <w:jc w:val="left"/>
            </w:pPr>
            <w:r>
              <w:t>SAFEROADS PTY LTD</w:t>
            </w:r>
          </w:p>
        </w:tc>
      </w:tr>
      <w:tr w:rsidR="00514535" w14:paraId="16AE8E28" w14:textId="77777777" w:rsidTr="00514535">
        <w:trPr>
          <w:trHeight w:val="386"/>
        </w:trPr>
        <w:tc>
          <w:tcPr>
            <w:tcW w:w="3368" w:type="dxa"/>
          </w:tcPr>
          <w:p w14:paraId="31D0B35A" w14:textId="77777777" w:rsidR="00514535" w:rsidRDefault="00514535" w:rsidP="00850039">
            <w:pPr>
              <w:pStyle w:val="BodyTextBold"/>
              <w:spacing w:before="180"/>
              <w:jc w:val="left"/>
            </w:pPr>
            <w:bookmarkStart w:id="38" w:name="SOP_RespondentsRows" w:colFirst="0" w:colLast="1"/>
            <w:bookmarkEnd w:id="36"/>
            <w:r>
              <w:t>Respondents</w:t>
            </w:r>
          </w:p>
        </w:tc>
        <w:tc>
          <w:tcPr>
            <w:tcW w:w="5874" w:type="dxa"/>
            <w:tcMar>
              <w:left w:w="28" w:type="dxa"/>
            </w:tcMar>
          </w:tcPr>
          <w:p w14:paraId="2E7D4436" w14:textId="77777777" w:rsidR="00514535" w:rsidRDefault="00514535" w:rsidP="00850039">
            <w:pPr>
              <w:pStyle w:val="BodyText"/>
              <w:jc w:val="left"/>
            </w:pPr>
          </w:p>
        </w:tc>
      </w:tr>
      <w:tr w:rsidR="00514535" w14:paraId="12936FD4" w14:textId="77777777" w:rsidTr="00514535">
        <w:trPr>
          <w:trHeight w:val="386"/>
        </w:trPr>
        <w:tc>
          <w:tcPr>
            <w:tcW w:w="3368" w:type="dxa"/>
          </w:tcPr>
          <w:p w14:paraId="41905365" w14:textId="77777777" w:rsidR="00514535" w:rsidRDefault="00156CF8" w:rsidP="00850039">
            <w:pPr>
              <w:pStyle w:val="BodyText"/>
              <w:spacing w:after="240" w:line="240" w:lineRule="auto"/>
              <w:jc w:val="left"/>
            </w:pPr>
            <w:bookmarkStart w:id="39" w:name="SOP_FirstRespondent"/>
            <w:bookmarkEnd w:id="39"/>
            <w:r>
              <w:t>Second</w:t>
            </w:r>
            <w:r w:rsidR="00514535">
              <w:t xml:space="preserve"> Respondent:</w:t>
            </w:r>
          </w:p>
        </w:tc>
        <w:tc>
          <w:tcPr>
            <w:tcW w:w="5874" w:type="dxa"/>
            <w:tcMar>
              <w:left w:w="28" w:type="dxa"/>
            </w:tcMar>
          </w:tcPr>
          <w:p w14:paraId="58DC32BD" w14:textId="77777777" w:rsidR="00514535" w:rsidRDefault="00156CF8" w:rsidP="00850039">
            <w:pPr>
              <w:pStyle w:val="BodyText"/>
              <w:spacing w:after="240" w:line="240" w:lineRule="auto"/>
              <w:jc w:val="left"/>
            </w:pPr>
            <w:r>
              <w:t>APL CO PTE LTD</w:t>
            </w:r>
          </w:p>
        </w:tc>
      </w:tr>
      <w:tr w:rsidR="00156CF8" w14:paraId="74E3D0A2" w14:textId="77777777" w:rsidTr="00850039">
        <w:trPr>
          <w:trHeight w:val="386"/>
        </w:trPr>
        <w:tc>
          <w:tcPr>
            <w:tcW w:w="3368" w:type="dxa"/>
          </w:tcPr>
          <w:p w14:paraId="3D35D276" w14:textId="77777777" w:rsidR="00156CF8" w:rsidRDefault="00156CF8" w:rsidP="00850039">
            <w:pPr>
              <w:pStyle w:val="BodyText"/>
              <w:spacing w:after="240" w:line="240" w:lineRule="auto"/>
              <w:jc w:val="left"/>
            </w:pPr>
            <w:r>
              <w:t>Third Respondent:</w:t>
            </w:r>
          </w:p>
        </w:tc>
        <w:tc>
          <w:tcPr>
            <w:tcW w:w="5874" w:type="dxa"/>
            <w:tcMar>
              <w:left w:w="28" w:type="dxa"/>
            </w:tcMar>
          </w:tcPr>
          <w:p w14:paraId="54D7C66B" w14:textId="77777777" w:rsidR="00156CF8" w:rsidRDefault="00156CF8" w:rsidP="00850039">
            <w:pPr>
              <w:pStyle w:val="BodyText"/>
              <w:spacing w:after="240" w:line="240" w:lineRule="auto"/>
              <w:jc w:val="left"/>
            </w:pPr>
            <w:r>
              <w:t>ANL SINGAPORE PTE LTD</w:t>
            </w:r>
          </w:p>
        </w:tc>
      </w:tr>
      <w:tr w:rsidR="00156CF8" w14:paraId="24670ED3" w14:textId="77777777" w:rsidTr="00850039">
        <w:trPr>
          <w:trHeight w:val="386"/>
        </w:trPr>
        <w:tc>
          <w:tcPr>
            <w:tcW w:w="3368" w:type="dxa"/>
          </w:tcPr>
          <w:p w14:paraId="62C7C7EB" w14:textId="77777777" w:rsidR="00156CF8" w:rsidRDefault="00156CF8" w:rsidP="00850039">
            <w:pPr>
              <w:pStyle w:val="BodyText"/>
              <w:spacing w:after="240" w:line="240" w:lineRule="auto"/>
              <w:jc w:val="left"/>
            </w:pPr>
            <w:r>
              <w:t>Fourth Respondent:</w:t>
            </w:r>
          </w:p>
        </w:tc>
        <w:tc>
          <w:tcPr>
            <w:tcW w:w="5874" w:type="dxa"/>
            <w:tcMar>
              <w:left w:w="28" w:type="dxa"/>
            </w:tcMar>
          </w:tcPr>
          <w:p w14:paraId="254D5FF5" w14:textId="77777777" w:rsidR="00156CF8" w:rsidRDefault="00156CF8" w:rsidP="00850039">
            <w:pPr>
              <w:pStyle w:val="BodyText"/>
              <w:spacing w:after="240" w:line="240" w:lineRule="auto"/>
              <w:jc w:val="left"/>
            </w:pPr>
            <w:r>
              <w:t>COSCO SHIPPING LINES CO LTD</w:t>
            </w:r>
          </w:p>
        </w:tc>
      </w:tr>
      <w:tr w:rsidR="00514535" w14:paraId="31C0613C" w14:textId="77777777" w:rsidTr="00514535">
        <w:trPr>
          <w:trHeight w:val="386"/>
        </w:trPr>
        <w:tc>
          <w:tcPr>
            <w:tcW w:w="3368" w:type="dxa"/>
          </w:tcPr>
          <w:p w14:paraId="20B07FCF" w14:textId="77777777" w:rsidR="00514535" w:rsidRDefault="00514535" w:rsidP="00850039">
            <w:pPr>
              <w:pStyle w:val="BodyText"/>
              <w:spacing w:after="240" w:line="240" w:lineRule="auto"/>
              <w:jc w:val="left"/>
            </w:pPr>
            <w:r>
              <w:t>Fifth Respondent:</w:t>
            </w:r>
          </w:p>
        </w:tc>
        <w:tc>
          <w:tcPr>
            <w:tcW w:w="5874" w:type="dxa"/>
            <w:tcMar>
              <w:left w:w="28" w:type="dxa"/>
            </w:tcMar>
          </w:tcPr>
          <w:p w14:paraId="2E23E2CB" w14:textId="77777777" w:rsidR="00514535" w:rsidRDefault="00514535" w:rsidP="00850039">
            <w:pPr>
              <w:pStyle w:val="BodyText"/>
              <w:spacing w:after="240" w:line="240" w:lineRule="auto"/>
              <w:jc w:val="left"/>
            </w:pPr>
            <w:r>
              <w:t>ORIENT OVERSEAS CONTAINER LINE LTD TRADING AS ORIENT OVERSEAS CONTAINER LINE</w:t>
            </w:r>
          </w:p>
        </w:tc>
      </w:tr>
      <w:tr w:rsidR="00514535" w14:paraId="32CD2DFE" w14:textId="77777777" w:rsidTr="00514535">
        <w:trPr>
          <w:trHeight w:val="386"/>
        </w:trPr>
        <w:tc>
          <w:tcPr>
            <w:tcW w:w="3368" w:type="dxa"/>
          </w:tcPr>
          <w:p w14:paraId="3C5F0C52" w14:textId="77777777" w:rsidR="00514535" w:rsidRDefault="00514535" w:rsidP="00850039">
            <w:pPr>
              <w:pStyle w:val="BodyText"/>
              <w:spacing w:after="240" w:line="240" w:lineRule="auto"/>
              <w:jc w:val="left"/>
            </w:pPr>
            <w:r>
              <w:t>Sixth Respondent:</w:t>
            </w:r>
          </w:p>
        </w:tc>
        <w:tc>
          <w:tcPr>
            <w:tcW w:w="5874" w:type="dxa"/>
            <w:tcMar>
              <w:left w:w="28" w:type="dxa"/>
            </w:tcMar>
          </w:tcPr>
          <w:p w14:paraId="2568713E" w14:textId="77777777" w:rsidR="00514535" w:rsidRDefault="00514535" w:rsidP="00850039">
            <w:pPr>
              <w:pStyle w:val="BodyText"/>
              <w:spacing w:after="240" w:line="240" w:lineRule="auto"/>
              <w:jc w:val="left"/>
            </w:pPr>
            <w:r>
              <w:t>SHANGHAI SUPREME INTERNATIONAL FREIGHT FORWARDING CO LTD</w:t>
            </w:r>
          </w:p>
        </w:tc>
      </w:tr>
      <w:tr w:rsidR="00514535" w14:paraId="19FCC14B" w14:textId="77777777" w:rsidTr="00514535">
        <w:trPr>
          <w:trHeight w:val="386"/>
        </w:trPr>
        <w:tc>
          <w:tcPr>
            <w:tcW w:w="3368" w:type="dxa"/>
          </w:tcPr>
          <w:p w14:paraId="046A3448" w14:textId="77777777" w:rsidR="00514535" w:rsidRDefault="00514535" w:rsidP="00850039">
            <w:pPr>
              <w:pStyle w:val="BodyText"/>
              <w:spacing w:after="240" w:line="240" w:lineRule="auto"/>
              <w:jc w:val="left"/>
            </w:pPr>
            <w:r>
              <w:t>Seventh Respondent:</w:t>
            </w:r>
          </w:p>
        </w:tc>
        <w:tc>
          <w:tcPr>
            <w:tcW w:w="5874" w:type="dxa"/>
            <w:tcMar>
              <w:left w:w="28" w:type="dxa"/>
            </w:tcMar>
          </w:tcPr>
          <w:p w14:paraId="79645ACF" w14:textId="77777777" w:rsidR="00514535" w:rsidRDefault="00514535" w:rsidP="00850039">
            <w:pPr>
              <w:pStyle w:val="BodyText"/>
              <w:spacing w:after="240" w:line="240" w:lineRule="auto"/>
              <w:jc w:val="left"/>
            </w:pPr>
            <w:r>
              <w:t>CH ROBINSON INTERNATIONAL INC AND CH ROBINSON FREIGHT SERVICES LTD TRADING AS CHRISTAL LINES</w:t>
            </w:r>
          </w:p>
        </w:tc>
      </w:tr>
      <w:tr w:rsidR="00514535" w14:paraId="66EA0D44" w14:textId="77777777" w:rsidTr="00514535">
        <w:trPr>
          <w:trHeight w:val="386"/>
        </w:trPr>
        <w:tc>
          <w:tcPr>
            <w:tcW w:w="3368" w:type="dxa"/>
          </w:tcPr>
          <w:p w14:paraId="10902B19" w14:textId="77777777" w:rsidR="00514535" w:rsidRDefault="00514535" w:rsidP="00850039">
            <w:pPr>
              <w:pStyle w:val="BodyText"/>
              <w:spacing w:after="240" w:line="240" w:lineRule="auto"/>
              <w:jc w:val="left"/>
            </w:pPr>
            <w:r>
              <w:t>Eighth Respondent:</w:t>
            </w:r>
          </w:p>
        </w:tc>
        <w:tc>
          <w:tcPr>
            <w:tcW w:w="5874" w:type="dxa"/>
            <w:tcMar>
              <w:left w:w="28" w:type="dxa"/>
            </w:tcMar>
          </w:tcPr>
          <w:p w14:paraId="05D21130" w14:textId="77777777" w:rsidR="00514535" w:rsidRDefault="00514535" w:rsidP="00850039">
            <w:pPr>
              <w:pStyle w:val="BodyText"/>
              <w:spacing w:after="240" w:line="240" w:lineRule="auto"/>
              <w:jc w:val="left"/>
            </w:pPr>
            <w:r>
              <w:t>CHINA GREAT LOGISTICS CO LTD</w:t>
            </w:r>
          </w:p>
        </w:tc>
      </w:tr>
      <w:tr w:rsidR="00156CF8" w14:paraId="2D5EBA61" w14:textId="77777777" w:rsidTr="00850039">
        <w:trPr>
          <w:trHeight w:val="386"/>
        </w:trPr>
        <w:tc>
          <w:tcPr>
            <w:tcW w:w="9242" w:type="dxa"/>
            <w:gridSpan w:val="2"/>
          </w:tcPr>
          <w:p w14:paraId="3C0BD7B3" w14:textId="77777777" w:rsidR="00156CF8" w:rsidRPr="00156CF8" w:rsidRDefault="00156CF8" w:rsidP="0007529E">
            <w:pPr>
              <w:pStyle w:val="BodyText"/>
              <w:spacing w:before="180"/>
              <w:jc w:val="left"/>
              <w:rPr>
                <w:b/>
              </w:rPr>
            </w:pPr>
            <w:bookmarkStart w:id="40" w:name="SOP_CrossRespondentRows" w:colFirst="0" w:colLast="1"/>
            <w:bookmarkEnd w:id="38"/>
            <w:r w:rsidRPr="00156CF8">
              <w:rPr>
                <w:b/>
              </w:rPr>
              <w:t>Cross-</w:t>
            </w:r>
            <w:r w:rsidR="0007529E">
              <w:rPr>
                <w:b/>
              </w:rPr>
              <w:t xml:space="preserve">Claimants </w:t>
            </w:r>
            <w:r w:rsidRPr="00156CF8">
              <w:rPr>
                <w:b/>
              </w:rPr>
              <w:t>on the First Cross-Claim</w:t>
            </w:r>
          </w:p>
        </w:tc>
      </w:tr>
      <w:tr w:rsidR="00514535" w14:paraId="177E2E71" w14:textId="77777777" w:rsidTr="00514535">
        <w:trPr>
          <w:trHeight w:val="386"/>
        </w:trPr>
        <w:tc>
          <w:tcPr>
            <w:tcW w:w="3368" w:type="dxa"/>
          </w:tcPr>
          <w:p w14:paraId="2620F89A" w14:textId="77777777" w:rsidR="00514535" w:rsidRPr="007B4DC5" w:rsidRDefault="00514535" w:rsidP="0007529E">
            <w:pPr>
              <w:pStyle w:val="BodyText"/>
              <w:spacing w:after="240" w:line="240" w:lineRule="auto"/>
              <w:jc w:val="left"/>
            </w:pPr>
            <w:bookmarkStart w:id="41" w:name="SOP_FirstCrossRespondent"/>
            <w:bookmarkEnd w:id="41"/>
            <w:r>
              <w:t>Second Cross-</w:t>
            </w:r>
            <w:r w:rsidR="0007529E">
              <w:t>Claimant:</w:t>
            </w:r>
          </w:p>
        </w:tc>
        <w:tc>
          <w:tcPr>
            <w:tcW w:w="5874" w:type="dxa"/>
            <w:tcMar>
              <w:left w:w="28" w:type="dxa"/>
            </w:tcMar>
          </w:tcPr>
          <w:p w14:paraId="59EDEBDC" w14:textId="77777777" w:rsidR="00514535" w:rsidRDefault="0007529E" w:rsidP="00850039">
            <w:pPr>
              <w:pStyle w:val="BodyText"/>
              <w:spacing w:after="240" w:line="240" w:lineRule="auto"/>
              <w:jc w:val="left"/>
            </w:pPr>
            <w:r>
              <w:t>APL CO PTE LTD</w:t>
            </w:r>
          </w:p>
        </w:tc>
      </w:tr>
      <w:tr w:rsidR="0007529E" w14:paraId="47DEFA5E" w14:textId="77777777" w:rsidTr="00850039">
        <w:trPr>
          <w:trHeight w:val="386"/>
        </w:trPr>
        <w:tc>
          <w:tcPr>
            <w:tcW w:w="9242" w:type="dxa"/>
            <w:gridSpan w:val="2"/>
          </w:tcPr>
          <w:p w14:paraId="5EC85E85" w14:textId="77777777" w:rsidR="0007529E" w:rsidRPr="00156CF8" w:rsidRDefault="0007529E" w:rsidP="00850039">
            <w:pPr>
              <w:pStyle w:val="BodyText"/>
              <w:spacing w:before="180"/>
              <w:jc w:val="left"/>
              <w:rPr>
                <w:b/>
              </w:rPr>
            </w:pPr>
            <w:r w:rsidRPr="00156CF8">
              <w:rPr>
                <w:b/>
              </w:rPr>
              <w:t>Cross-Respondents on the First Cross-Claim</w:t>
            </w:r>
          </w:p>
        </w:tc>
      </w:tr>
      <w:tr w:rsidR="0007529E" w14:paraId="2C26336F" w14:textId="77777777" w:rsidTr="00850039">
        <w:trPr>
          <w:trHeight w:val="386"/>
        </w:trPr>
        <w:tc>
          <w:tcPr>
            <w:tcW w:w="3368" w:type="dxa"/>
          </w:tcPr>
          <w:p w14:paraId="5037D11F" w14:textId="77777777" w:rsidR="0007529E" w:rsidRPr="007B4DC5" w:rsidRDefault="0007529E" w:rsidP="0007529E">
            <w:pPr>
              <w:pStyle w:val="BodyText"/>
              <w:spacing w:after="240" w:line="240" w:lineRule="auto"/>
              <w:jc w:val="left"/>
            </w:pPr>
            <w:r>
              <w:t>Second Cross-Respondent:</w:t>
            </w:r>
          </w:p>
        </w:tc>
        <w:tc>
          <w:tcPr>
            <w:tcW w:w="5874" w:type="dxa"/>
            <w:tcMar>
              <w:left w:w="28" w:type="dxa"/>
            </w:tcMar>
          </w:tcPr>
          <w:p w14:paraId="085E7E76" w14:textId="77777777" w:rsidR="0007529E" w:rsidRDefault="0007529E" w:rsidP="00850039">
            <w:pPr>
              <w:pStyle w:val="BodyText"/>
              <w:spacing w:after="240" w:line="240" w:lineRule="auto"/>
              <w:jc w:val="left"/>
            </w:pPr>
            <w:r>
              <w:t>ANL SINGAPORE PTE LTD</w:t>
            </w:r>
          </w:p>
        </w:tc>
      </w:tr>
      <w:tr w:rsidR="0007529E" w14:paraId="4B172354" w14:textId="77777777" w:rsidTr="00514535">
        <w:trPr>
          <w:trHeight w:val="386"/>
        </w:trPr>
        <w:tc>
          <w:tcPr>
            <w:tcW w:w="3368" w:type="dxa"/>
          </w:tcPr>
          <w:p w14:paraId="508FF680" w14:textId="77777777" w:rsidR="0007529E" w:rsidRDefault="0007529E" w:rsidP="00850039">
            <w:pPr>
              <w:pStyle w:val="BodyText"/>
              <w:spacing w:after="240" w:line="240" w:lineRule="auto"/>
              <w:jc w:val="left"/>
            </w:pPr>
            <w:r>
              <w:t>Third Cross-Respondent:</w:t>
            </w:r>
          </w:p>
        </w:tc>
        <w:tc>
          <w:tcPr>
            <w:tcW w:w="5874" w:type="dxa"/>
            <w:tcMar>
              <w:left w:w="28" w:type="dxa"/>
            </w:tcMar>
          </w:tcPr>
          <w:p w14:paraId="3DF069C9" w14:textId="77777777" w:rsidR="0007529E" w:rsidRDefault="0007529E" w:rsidP="00850039">
            <w:pPr>
              <w:pStyle w:val="BodyText"/>
              <w:spacing w:after="240" w:line="240" w:lineRule="auto"/>
              <w:jc w:val="left"/>
            </w:pPr>
            <w:r>
              <w:t>COSCO SHIPPING LINES CO LTD</w:t>
            </w:r>
          </w:p>
        </w:tc>
      </w:tr>
      <w:tr w:rsidR="0007529E" w14:paraId="3A0B8FB3" w14:textId="77777777" w:rsidTr="00514535">
        <w:trPr>
          <w:trHeight w:val="386"/>
        </w:trPr>
        <w:tc>
          <w:tcPr>
            <w:tcW w:w="3368" w:type="dxa"/>
          </w:tcPr>
          <w:p w14:paraId="51B32927" w14:textId="77777777" w:rsidR="0007529E" w:rsidRDefault="0007529E" w:rsidP="00850039">
            <w:pPr>
              <w:pStyle w:val="BodyText"/>
              <w:spacing w:after="240" w:line="240" w:lineRule="auto"/>
              <w:jc w:val="left"/>
            </w:pPr>
            <w:r>
              <w:t>Fourth Cross-Respondent:</w:t>
            </w:r>
          </w:p>
        </w:tc>
        <w:tc>
          <w:tcPr>
            <w:tcW w:w="5874" w:type="dxa"/>
            <w:tcMar>
              <w:left w:w="28" w:type="dxa"/>
            </w:tcMar>
          </w:tcPr>
          <w:p w14:paraId="613E9CA0" w14:textId="77777777" w:rsidR="0007529E" w:rsidRDefault="0007529E" w:rsidP="00850039">
            <w:pPr>
              <w:pStyle w:val="BodyText"/>
              <w:spacing w:after="240" w:line="240" w:lineRule="auto"/>
              <w:jc w:val="left"/>
            </w:pPr>
            <w:r>
              <w:t>ORIENT OVERSEAS CONTAINER LINE LTD TRADING AS ORIENT OVERSEAS CONTAINER LINE</w:t>
            </w:r>
          </w:p>
        </w:tc>
      </w:tr>
      <w:tr w:rsidR="0007529E" w14:paraId="358E7E02" w14:textId="77777777" w:rsidTr="00514535">
        <w:trPr>
          <w:trHeight w:val="386"/>
        </w:trPr>
        <w:tc>
          <w:tcPr>
            <w:tcW w:w="3368" w:type="dxa"/>
          </w:tcPr>
          <w:p w14:paraId="68949D3E" w14:textId="77777777" w:rsidR="0007529E" w:rsidRDefault="0007529E" w:rsidP="00850039">
            <w:pPr>
              <w:pStyle w:val="BodyText"/>
              <w:spacing w:after="240" w:line="240" w:lineRule="auto"/>
              <w:jc w:val="left"/>
            </w:pPr>
            <w:r>
              <w:lastRenderedPageBreak/>
              <w:t>Fifth Cross-Respondent:</w:t>
            </w:r>
          </w:p>
        </w:tc>
        <w:tc>
          <w:tcPr>
            <w:tcW w:w="5874" w:type="dxa"/>
            <w:tcMar>
              <w:left w:w="28" w:type="dxa"/>
            </w:tcMar>
          </w:tcPr>
          <w:p w14:paraId="28613DD9" w14:textId="77777777" w:rsidR="0007529E" w:rsidRDefault="0007529E" w:rsidP="00850039">
            <w:pPr>
              <w:pStyle w:val="BodyText"/>
              <w:spacing w:after="240" w:line="240" w:lineRule="auto"/>
              <w:jc w:val="left"/>
            </w:pPr>
            <w:r>
              <w:t>KMART AUSTRALIA LTD</w:t>
            </w:r>
          </w:p>
        </w:tc>
      </w:tr>
      <w:tr w:rsidR="0007529E" w14:paraId="7543D7CD" w14:textId="77777777" w:rsidTr="00514535">
        <w:trPr>
          <w:trHeight w:val="386"/>
        </w:trPr>
        <w:tc>
          <w:tcPr>
            <w:tcW w:w="3368" w:type="dxa"/>
          </w:tcPr>
          <w:p w14:paraId="3684D3D7" w14:textId="77777777" w:rsidR="0007529E" w:rsidRDefault="0007529E" w:rsidP="00850039">
            <w:pPr>
              <w:pStyle w:val="BodyText"/>
              <w:spacing w:after="240" w:line="240" w:lineRule="auto"/>
              <w:jc w:val="left"/>
            </w:pPr>
            <w:r>
              <w:t>Sixth Cross-Respondent:</w:t>
            </w:r>
          </w:p>
        </w:tc>
        <w:tc>
          <w:tcPr>
            <w:tcW w:w="5874" w:type="dxa"/>
            <w:tcMar>
              <w:left w:w="28" w:type="dxa"/>
            </w:tcMar>
          </w:tcPr>
          <w:p w14:paraId="20BFB307" w14:textId="77777777" w:rsidR="0007529E" w:rsidRDefault="0007529E" w:rsidP="00850039">
            <w:pPr>
              <w:pStyle w:val="BodyText"/>
              <w:spacing w:after="240" w:line="240" w:lineRule="auto"/>
              <w:jc w:val="left"/>
            </w:pPr>
            <w:r>
              <w:t>FIRE SAFETY EQUIPMENT PTY LTD</w:t>
            </w:r>
          </w:p>
        </w:tc>
      </w:tr>
      <w:tr w:rsidR="0007529E" w14:paraId="3BE6F3DC" w14:textId="77777777" w:rsidTr="00514535">
        <w:trPr>
          <w:trHeight w:val="386"/>
        </w:trPr>
        <w:tc>
          <w:tcPr>
            <w:tcW w:w="3368" w:type="dxa"/>
          </w:tcPr>
          <w:p w14:paraId="46BABF85" w14:textId="77777777" w:rsidR="0007529E" w:rsidRDefault="0007529E" w:rsidP="00850039">
            <w:pPr>
              <w:pStyle w:val="BodyText"/>
              <w:spacing w:after="240" w:line="240" w:lineRule="auto"/>
              <w:jc w:val="left"/>
            </w:pPr>
            <w:r>
              <w:t>Seventh Cross-Respondent:</w:t>
            </w:r>
          </w:p>
        </w:tc>
        <w:tc>
          <w:tcPr>
            <w:tcW w:w="5874" w:type="dxa"/>
            <w:tcMar>
              <w:left w:w="28" w:type="dxa"/>
            </w:tcMar>
          </w:tcPr>
          <w:p w14:paraId="05522876" w14:textId="77777777" w:rsidR="0007529E" w:rsidRDefault="0007529E" w:rsidP="00850039">
            <w:pPr>
              <w:pStyle w:val="BodyText"/>
              <w:spacing w:after="240" w:line="240" w:lineRule="auto"/>
              <w:jc w:val="left"/>
            </w:pPr>
            <w:r>
              <w:t>ILANA ACCESSORIES AUSTRALIA PTY LTD</w:t>
            </w:r>
          </w:p>
        </w:tc>
      </w:tr>
      <w:tr w:rsidR="0007529E" w14:paraId="52285912" w14:textId="77777777" w:rsidTr="00514535">
        <w:trPr>
          <w:trHeight w:val="386"/>
        </w:trPr>
        <w:tc>
          <w:tcPr>
            <w:tcW w:w="3368" w:type="dxa"/>
          </w:tcPr>
          <w:p w14:paraId="26261338" w14:textId="77777777" w:rsidR="0007529E" w:rsidRDefault="0007529E" w:rsidP="00850039">
            <w:pPr>
              <w:pStyle w:val="BodyText"/>
              <w:spacing w:after="240" w:line="240" w:lineRule="auto"/>
              <w:jc w:val="left"/>
            </w:pPr>
            <w:r>
              <w:t>Eighth Cross-Respondent:</w:t>
            </w:r>
          </w:p>
        </w:tc>
        <w:tc>
          <w:tcPr>
            <w:tcW w:w="5874" w:type="dxa"/>
            <w:tcMar>
              <w:left w:w="28" w:type="dxa"/>
            </w:tcMar>
          </w:tcPr>
          <w:p w14:paraId="1DBC0C16" w14:textId="77777777" w:rsidR="0007529E" w:rsidRDefault="0007529E" w:rsidP="00850039">
            <w:pPr>
              <w:pStyle w:val="BodyText"/>
              <w:spacing w:after="240" w:line="240" w:lineRule="auto"/>
              <w:jc w:val="left"/>
            </w:pPr>
            <w:r>
              <w:t>REECE PTY LTD</w:t>
            </w:r>
          </w:p>
        </w:tc>
      </w:tr>
      <w:tr w:rsidR="0007529E" w14:paraId="12CABE89" w14:textId="77777777" w:rsidTr="00514535">
        <w:trPr>
          <w:trHeight w:val="386"/>
        </w:trPr>
        <w:tc>
          <w:tcPr>
            <w:tcW w:w="3368" w:type="dxa"/>
          </w:tcPr>
          <w:p w14:paraId="70EDE067" w14:textId="77777777" w:rsidR="0007529E" w:rsidRDefault="0007529E" w:rsidP="00850039">
            <w:pPr>
              <w:pStyle w:val="BodyText"/>
              <w:spacing w:after="240" w:line="240" w:lineRule="auto"/>
              <w:jc w:val="left"/>
            </w:pPr>
            <w:r>
              <w:t>Ninth Cross-Respondent:</w:t>
            </w:r>
          </w:p>
        </w:tc>
        <w:tc>
          <w:tcPr>
            <w:tcW w:w="5874" w:type="dxa"/>
            <w:tcMar>
              <w:left w:w="28" w:type="dxa"/>
            </w:tcMar>
          </w:tcPr>
          <w:p w14:paraId="70C6B997" w14:textId="77777777" w:rsidR="0007529E" w:rsidRDefault="0007529E" w:rsidP="00850039">
            <w:pPr>
              <w:pStyle w:val="BodyText"/>
              <w:spacing w:after="240" w:line="240" w:lineRule="auto"/>
              <w:jc w:val="left"/>
            </w:pPr>
            <w:r>
              <w:t>SAFEROADS PTY LTD</w:t>
            </w:r>
          </w:p>
        </w:tc>
      </w:tr>
      <w:tr w:rsidR="0007529E" w14:paraId="14F5AFDB" w14:textId="77777777" w:rsidTr="00850039">
        <w:trPr>
          <w:trHeight w:val="386"/>
        </w:trPr>
        <w:tc>
          <w:tcPr>
            <w:tcW w:w="9242" w:type="dxa"/>
            <w:gridSpan w:val="2"/>
          </w:tcPr>
          <w:p w14:paraId="06FC37CF" w14:textId="77777777" w:rsidR="0007529E" w:rsidRPr="00156CF8" w:rsidRDefault="0007529E" w:rsidP="0007529E">
            <w:pPr>
              <w:pStyle w:val="BodyText"/>
              <w:spacing w:before="180"/>
              <w:jc w:val="left"/>
              <w:rPr>
                <w:b/>
              </w:rPr>
            </w:pPr>
            <w:r w:rsidRPr="00156CF8">
              <w:rPr>
                <w:b/>
              </w:rPr>
              <w:t>Cross-</w:t>
            </w:r>
            <w:r>
              <w:rPr>
                <w:b/>
              </w:rPr>
              <w:t xml:space="preserve">Claimants </w:t>
            </w:r>
            <w:r w:rsidRPr="00156CF8">
              <w:rPr>
                <w:b/>
              </w:rPr>
              <w:t xml:space="preserve">on the </w:t>
            </w:r>
            <w:r>
              <w:rPr>
                <w:b/>
              </w:rPr>
              <w:t>Second</w:t>
            </w:r>
            <w:r w:rsidRPr="00156CF8">
              <w:rPr>
                <w:b/>
              </w:rPr>
              <w:t xml:space="preserve"> Cross-Claim</w:t>
            </w:r>
          </w:p>
        </w:tc>
      </w:tr>
      <w:tr w:rsidR="0007529E" w14:paraId="3EBBEBA3" w14:textId="77777777" w:rsidTr="00850039">
        <w:trPr>
          <w:trHeight w:val="386"/>
        </w:trPr>
        <w:tc>
          <w:tcPr>
            <w:tcW w:w="3368" w:type="dxa"/>
          </w:tcPr>
          <w:p w14:paraId="30682C1E" w14:textId="77777777" w:rsidR="0007529E" w:rsidRPr="007B4DC5" w:rsidRDefault="0007529E" w:rsidP="00850039">
            <w:pPr>
              <w:pStyle w:val="BodyText"/>
              <w:spacing w:after="240" w:line="240" w:lineRule="auto"/>
              <w:jc w:val="left"/>
            </w:pPr>
            <w:r>
              <w:t>Second Cross-Claimant:</w:t>
            </w:r>
          </w:p>
        </w:tc>
        <w:tc>
          <w:tcPr>
            <w:tcW w:w="5874" w:type="dxa"/>
            <w:tcMar>
              <w:left w:w="28" w:type="dxa"/>
            </w:tcMar>
          </w:tcPr>
          <w:p w14:paraId="27714049" w14:textId="77777777" w:rsidR="0007529E" w:rsidRDefault="0007529E" w:rsidP="00850039">
            <w:pPr>
              <w:pStyle w:val="BodyText"/>
              <w:spacing w:after="240" w:line="240" w:lineRule="auto"/>
              <w:jc w:val="left"/>
            </w:pPr>
            <w:r>
              <w:t>CH ROBINSON FREIGHT SERVICES LTD</w:t>
            </w:r>
          </w:p>
        </w:tc>
      </w:tr>
      <w:tr w:rsidR="0007529E" w14:paraId="54FD03EF" w14:textId="77777777" w:rsidTr="00850039">
        <w:trPr>
          <w:trHeight w:val="386"/>
        </w:trPr>
        <w:tc>
          <w:tcPr>
            <w:tcW w:w="9242" w:type="dxa"/>
            <w:gridSpan w:val="2"/>
          </w:tcPr>
          <w:p w14:paraId="4A4BB21E" w14:textId="77777777" w:rsidR="0007529E" w:rsidRPr="00156CF8" w:rsidRDefault="0007529E" w:rsidP="00541A59">
            <w:pPr>
              <w:pStyle w:val="BodyText"/>
              <w:spacing w:before="180"/>
              <w:jc w:val="left"/>
              <w:rPr>
                <w:b/>
              </w:rPr>
            </w:pPr>
            <w:r w:rsidRPr="00156CF8">
              <w:rPr>
                <w:b/>
              </w:rPr>
              <w:t xml:space="preserve">Cross-Respondents on the </w:t>
            </w:r>
            <w:r w:rsidR="00541A59">
              <w:rPr>
                <w:b/>
              </w:rPr>
              <w:t>Third</w:t>
            </w:r>
            <w:r w:rsidRPr="00156CF8">
              <w:rPr>
                <w:b/>
              </w:rPr>
              <w:t xml:space="preserve"> Cross-Claim</w:t>
            </w:r>
          </w:p>
        </w:tc>
      </w:tr>
      <w:tr w:rsidR="0007529E" w14:paraId="7BCDF488" w14:textId="77777777" w:rsidTr="00850039">
        <w:trPr>
          <w:trHeight w:val="386"/>
        </w:trPr>
        <w:tc>
          <w:tcPr>
            <w:tcW w:w="3368" w:type="dxa"/>
          </w:tcPr>
          <w:p w14:paraId="098CDC44" w14:textId="77777777" w:rsidR="0007529E" w:rsidRPr="007B4DC5" w:rsidRDefault="0007529E" w:rsidP="00850039">
            <w:pPr>
              <w:pStyle w:val="BodyText"/>
              <w:spacing w:after="240" w:line="240" w:lineRule="auto"/>
              <w:jc w:val="left"/>
            </w:pPr>
            <w:r>
              <w:t>Second Cross-Respondent:</w:t>
            </w:r>
          </w:p>
        </w:tc>
        <w:tc>
          <w:tcPr>
            <w:tcW w:w="5874" w:type="dxa"/>
            <w:tcMar>
              <w:left w:w="28" w:type="dxa"/>
            </w:tcMar>
          </w:tcPr>
          <w:p w14:paraId="7BEADA84" w14:textId="77777777" w:rsidR="0007529E" w:rsidRDefault="009E3C3D" w:rsidP="00850039">
            <w:pPr>
              <w:pStyle w:val="BodyText"/>
              <w:spacing w:after="240" w:line="240" w:lineRule="auto"/>
              <w:jc w:val="left"/>
            </w:pPr>
            <w:r>
              <w:t>APL CO PTE LTD</w:t>
            </w:r>
          </w:p>
        </w:tc>
      </w:tr>
      <w:tr w:rsidR="00541A59" w14:paraId="4441BF0B" w14:textId="77777777" w:rsidTr="00850039">
        <w:trPr>
          <w:trHeight w:val="386"/>
        </w:trPr>
        <w:tc>
          <w:tcPr>
            <w:tcW w:w="3368" w:type="dxa"/>
          </w:tcPr>
          <w:p w14:paraId="272B0BE8" w14:textId="77777777" w:rsidR="00541A59" w:rsidRDefault="00541A59" w:rsidP="00850039">
            <w:pPr>
              <w:pStyle w:val="BodyText"/>
              <w:spacing w:after="240" w:line="240" w:lineRule="auto"/>
              <w:jc w:val="left"/>
            </w:pPr>
            <w:r>
              <w:t>Third Cross-Respondent:</w:t>
            </w:r>
          </w:p>
        </w:tc>
        <w:tc>
          <w:tcPr>
            <w:tcW w:w="5874" w:type="dxa"/>
            <w:tcMar>
              <w:left w:w="28" w:type="dxa"/>
            </w:tcMar>
          </w:tcPr>
          <w:p w14:paraId="3974788E" w14:textId="77777777" w:rsidR="00541A59" w:rsidRDefault="00541A59" w:rsidP="00850039">
            <w:pPr>
              <w:pStyle w:val="BodyText"/>
              <w:spacing w:after="240" w:line="240" w:lineRule="auto"/>
              <w:jc w:val="left"/>
            </w:pPr>
            <w:r>
              <w:t>ANL SINGAPORE PTE LTD</w:t>
            </w:r>
          </w:p>
        </w:tc>
      </w:tr>
      <w:tr w:rsidR="0007529E" w14:paraId="6C8581EF" w14:textId="77777777" w:rsidTr="00514535">
        <w:trPr>
          <w:trHeight w:val="386"/>
        </w:trPr>
        <w:tc>
          <w:tcPr>
            <w:tcW w:w="3368" w:type="dxa"/>
          </w:tcPr>
          <w:p w14:paraId="294AF292" w14:textId="77777777" w:rsidR="0007529E" w:rsidRDefault="00541A59" w:rsidP="00850039">
            <w:pPr>
              <w:pStyle w:val="BodyText"/>
              <w:spacing w:after="240" w:line="240" w:lineRule="auto"/>
              <w:jc w:val="left"/>
            </w:pPr>
            <w:r>
              <w:t>Fourth Cross-Respondent:</w:t>
            </w:r>
          </w:p>
        </w:tc>
        <w:tc>
          <w:tcPr>
            <w:tcW w:w="5874" w:type="dxa"/>
            <w:tcMar>
              <w:left w:w="28" w:type="dxa"/>
            </w:tcMar>
          </w:tcPr>
          <w:p w14:paraId="3B48A242" w14:textId="77777777" w:rsidR="0007529E" w:rsidRDefault="00541A59" w:rsidP="00850039">
            <w:pPr>
              <w:pStyle w:val="BodyText"/>
              <w:spacing w:after="240" w:line="240" w:lineRule="auto"/>
              <w:jc w:val="left"/>
            </w:pPr>
            <w:r>
              <w:t>KMART AUSTRALIA LTD</w:t>
            </w:r>
          </w:p>
        </w:tc>
      </w:tr>
      <w:bookmarkEnd w:id="40"/>
    </w:tbl>
    <w:p w14:paraId="58D6A45C" w14:textId="77777777" w:rsidR="00514535" w:rsidRDefault="00514535" w:rsidP="002B0E91">
      <w:pPr>
        <w:pStyle w:val="BodyText"/>
      </w:pPr>
    </w:p>
    <w:bookmarkEnd w:id="28"/>
    <w:p w14:paraId="3D6C450C" w14:textId="77777777" w:rsidR="00514535" w:rsidRDefault="00514535" w:rsidP="00514535">
      <w:pPr>
        <w:pStyle w:val="BodyText"/>
      </w:pPr>
    </w:p>
    <w:sectPr w:rsidR="00514535" w:rsidSect="00A84FD0">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542BF" w14:textId="77777777" w:rsidR="00A01A3A" w:rsidRDefault="00A01A3A">
      <w:pPr>
        <w:spacing w:line="20" w:lineRule="exact"/>
      </w:pPr>
    </w:p>
    <w:p w14:paraId="0FCE7900" w14:textId="77777777" w:rsidR="00A01A3A" w:rsidRDefault="00A01A3A"/>
    <w:p w14:paraId="7F049FC8" w14:textId="77777777" w:rsidR="00A01A3A" w:rsidRDefault="00A01A3A"/>
  </w:endnote>
  <w:endnote w:type="continuationSeparator" w:id="0">
    <w:p w14:paraId="1DFCEB80" w14:textId="77777777" w:rsidR="00A01A3A" w:rsidRDefault="00A01A3A">
      <w:r>
        <w:t xml:space="preserve"> </w:t>
      </w:r>
    </w:p>
    <w:p w14:paraId="0AE33E48" w14:textId="77777777" w:rsidR="00A01A3A" w:rsidRDefault="00A01A3A"/>
    <w:p w14:paraId="4AD90D26" w14:textId="77777777" w:rsidR="00A01A3A" w:rsidRDefault="00A01A3A"/>
  </w:endnote>
  <w:endnote w:type="continuationNotice" w:id="1">
    <w:p w14:paraId="66B3892E" w14:textId="77777777" w:rsidR="00A01A3A" w:rsidRDefault="00A01A3A">
      <w:r>
        <w:t xml:space="preserve"> </w:t>
      </w:r>
    </w:p>
    <w:p w14:paraId="10A2A785" w14:textId="77777777" w:rsidR="00A01A3A" w:rsidRDefault="00A01A3A"/>
    <w:p w14:paraId="4B014BD1" w14:textId="77777777" w:rsidR="00A01A3A" w:rsidRDefault="00A01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5ABD7" w14:textId="605FD306" w:rsidR="00850039" w:rsidRPr="00C47B9D" w:rsidRDefault="00850039"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3F3E78D4" wp14:editId="5AAE35F4">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17E61A"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4C6C80">
          <w:rPr>
            <w:bCs/>
            <w:sz w:val="18"/>
            <w:szCs w:val="18"/>
          </w:rPr>
          <w:t xml:space="preserve">Owners of Cargo laden on board the MV “APL England” v CMB Ocean 13 Leasing Company Pte Ltd [2022] FCA 565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F919F" w14:textId="5EFB0F28" w:rsidR="00850039" w:rsidRPr="00C47B9D" w:rsidRDefault="00850039"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6858C2C8" wp14:editId="30355723">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99BFF1"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F8EB5651152D464E853DE41788A2325B"/>
        </w:placeholder>
        <w:dataBinding w:prefixMappings="xmlns:ns0='http://schemas.globalmacros.com/FCA'" w:xpath="/ns0:root[1]/ns0:Name[1]" w:storeItemID="{687E7CCB-4AA5-44E7-B148-17BA2B6F57C0}"/>
        <w:text w:multiLine="1"/>
      </w:sdtPr>
      <w:sdtEndPr/>
      <w:sdtContent>
        <w:r w:rsidR="004C6C80">
          <w:rPr>
            <w:bCs/>
            <w:sz w:val="18"/>
            <w:szCs w:val="18"/>
          </w:rPr>
          <w:t xml:space="preserve">Owners of Cargo laden on board the MV “APL England” v CMB Ocean 13 Leasing Company Pte Ltd [2022] FCA 565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44BAE">
      <w:rPr>
        <w:bCs/>
        <w:noProof/>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CB537" w14:textId="76EAACFC" w:rsidR="00850039" w:rsidRPr="00C47B9D" w:rsidRDefault="00850039"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095CA373" wp14:editId="41F71C10">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65657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B974353735CD4EB7AACDB706CCBE2920"/>
        </w:placeholder>
        <w:dataBinding w:prefixMappings="xmlns:ns0='http://schemas.globalmacros.com/FCA'" w:xpath="/ns0:root[1]/ns0:Name[1]" w:storeItemID="{687E7CCB-4AA5-44E7-B148-17BA2B6F57C0}"/>
        <w:text w:multiLine="1"/>
      </w:sdtPr>
      <w:sdtEndPr/>
      <w:sdtContent>
        <w:r w:rsidR="004C6C80">
          <w:rPr>
            <w:bCs/>
            <w:sz w:val="18"/>
            <w:szCs w:val="18"/>
          </w:rPr>
          <w:t xml:space="preserve">Owners of Cargo laden on board the MV “APL England” v CMB Ocean 13 Leasing Company Pte Ltd [2022] FCA 565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44BAE">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E0195" w14:textId="4225E3DF" w:rsidR="00850039" w:rsidRPr="00C47B9D" w:rsidRDefault="00850039"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3FFC6EE0" wp14:editId="523651C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47B723"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80778D048A4D40529FAA5395C22725DD"/>
        </w:placeholder>
        <w:dataBinding w:prefixMappings="xmlns:ns0='http://schemas.globalmacros.com/FCA'" w:xpath="/ns0:root[1]/ns0:Name[1]" w:storeItemID="{687E7CCB-4AA5-44E7-B148-17BA2B6F57C0}"/>
        <w:text w:multiLine="1"/>
      </w:sdtPr>
      <w:sdtEndPr/>
      <w:sdtContent>
        <w:r w:rsidR="004C6C80">
          <w:rPr>
            <w:bCs/>
            <w:sz w:val="18"/>
            <w:szCs w:val="18"/>
          </w:rPr>
          <w:t xml:space="preserve">Owners of Cargo laden on board the MV “APL England” v CMB Ocean 13 Leasing Company Pte Ltd [2022] FCA 565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44BAE">
      <w:rPr>
        <w:bCs/>
        <w:noProof/>
        <w:sz w:val="20"/>
      </w:rPr>
      <w:t>9</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27DB6" w14:textId="5B5AAB80" w:rsidR="00850039" w:rsidRPr="00C47B9D" w:rsidRDefault="00850039"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08EC274C" wp14:editId="66AC4694">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2BD3A6"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D7EFB293B22645ECB412A43DD8CE18F3"/>
        </w:placeholder>
        <w:dataBinding w:prefixMappings="xmlns:ns0='http://schemas.globalmacros.com/FCA'" w:xpath="/ns0:root[1]/ns0:Name[1]" w:storeItemID="{687E7CCB-4AA5-44E7-B148-17BA2B6F57C0}"/>
        <w:text w:multiLine="1"/>
      </w:sdtPr>
      <w:sdtEndPr/>
      <w:sdtContent>
        <w:r w:rsidR="004C6C80">
          <w:rPr>
            <w:bCs/>
            <w:sz w:val="18"/>
            <w:szCs w:val="18"/>
          </w:rPr>
          <w:t xml:space="preserve">Owners of Cargo laden on board the MV “APL England” v CMB Ocean 13 Leasing Company Pte Ltd [2022] FCA 565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44BAE">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C6F03" w14:textId="77777777" w:rsidR="00A01A3A" w:rsidRDefault="00A01A3A"/>
  </w:footnote>
  <w:footnote w:type="continuationSeparator" w:id="0">
    <w:p w14:paraId="2A6F34D8" w14:textId="77777777" w:rsidR="00A01A3A" w:rsidRDefault="00A01A3A">
      <w:r>
        <w:continuationSeparator/>
      </w:r>
    </w:p>
    <w:p w14:paraId="074B16FE" w14:textId="77777777" w:rsidR="00A01A3A" w:rsidRDefault="00A01A3A"/>
    <w:p w14:paraId="66BDBD8D" w14:textId="77777777" w:rsidR="00A01A3A" w:rsidRDefault="00A01A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C7F08" w14:textId="77777777" w:rsidR="00850039" w:rsidRDefault="00850039">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B3C89" w14:textId="77777777" w:rsidR="00850039" w:rsidRDefault="00850039">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80CCC" w14:textId="77777777" w:rsidR="00850039" w:rsidRDefault="0085003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CEEE0" w14:textId="77777777" w:rsidR="00850039" w:rsidRDefault="00850039">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EBD3E" w14:textId="77777777" w:rsidR="00850039" w:rsidRDefault="00850039"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False"/>
    <w:docVar w:name="APPAndOthers" w:val="True"/>
    <w:docVar w:name="Applicant" w:val="St John Ambulance Australia Ltd|Kmart Australia Ltd|Fire Safety Equipment Pty Ltd|Ilana Accessories Australia Pty Ltd|Reece Pty Ltd|Saferoads Pty Ltd"/>
    <w:docVar w:name="CounselParties" w:val="Respondent"/>
    <w:docVar w:name="CounselType" w:val="Solicitor for the "/>
    <w:docVar w:name="Court" w:val="Federal Court of Australia (FCA)"/>
    <w:docVar w:name="Cross1AndAnother" w:val="True"/>
    <w:docVar w:name="Cross1AndOthers" w:val="False"/>
    <w:docVar w:name="Cross2AndAnother" w:val="True"/>
    <w:docVar w:name="Cross2AndOthers" w:val="False"/>
    <w:docVar w:name="Cross-Claimant" w:val="CMB Ocean 13 Leasing Company Pte Ltd"/>
    <w:docVar w:name="Cross-Respondent" w:val="St John Ambulance Australia Ltd|ANL Singapore Pte Ltd"/>
    <w:docVar w:name="Defenders" w:val="(and another named in the Schedule)"/>
    <w:docVar w:name="dgnword-docGUID" w:val="{53E4FB84-7F22-4205-8FB3-6384E61EEEFC}"/>
    <w:docVar w:name="dgnword-eventsink" w:val="506932040"/>
    <w:docVar w:name="Division" w:val="FCA General Division"/>
    <w:docVar w:name="DocCreated" w:val="True"/>
    <w:docVar w:name="EntryList" w:val="Counsel for the First, Second and Third Respondents"/>
    <w:docVar w:name="FileNumbers" w:val="NSD 66 of 2021"/>
    <w:docVar w:name="Initiators" w:val="(and another named in the Schedule)"/>
    <w:docVar w:name="Judgdate" w:val="16 May 2022"/>
    <w:docVar w:name="Judge" w:val="Stewart"/>
    <w:docVar w:name="JudgeType" w:val="Justice"/>
    <w:docVar w:name="lstEntryList" w:val="2"/>
    <w:docVar w:name="myEntryList" w:val="Counsel for the Applicants=E G H Cox SC and M D Swanson|Solicitor for the Applicants=Mills Oakley|Counsel for the First, Second and Third Respondents=G Nell SC|Counsel for the First, Second and Third Respondents=Thynne &amp; Macartney|Solicitor for the Fourth Respondent=Clyde &amp; Co|Solicitor for the Fifth Respondent=HWL Ebsworth Lawyers|Solicitor for the Seventh Respondent=Kennedys"/>
    <w:docVar w:name="NSD" w:val="NSD "/>
    <w:docVar w:name="NumApps" w:val="6"/>
    <w:docVar w:name="NumApps_" w:val="8"/>
    <w:docVar w:name="NumCrossResps" w:val="2"/>
    <w:docVar w:name="NumDefs" w:val="8"/>
    <w:docVar w:name="NumOthers" w:val="1"/>
    <w:docVar w:name="OtherNum" w:val="0"/>
    <w:docVar w:name="Parties1" w:val="Applicant"/>
    <w:docVar w:name="Parties2" w:val="Respondent"/>
    <w:docVar w:name="Parties3" w:val="Cross-Claimant"/>
    <w:docVar w:name="Parties4" w:val="Cross-Respondent"/>
    <w:docVar w:name="Parties5" w:val="Intervener"/>
    <w:docVar w:name="Place" w:val="N/A FCA"/>
    <w:docVar w:name="PracticeArea" w:val="Admiralty and Maritime"/>
    <w:docVar w:name="RESAndAnother" w:val="False"/>
    <w:docVar w:name="RESAndOthers" w:val="True"/>
    <w:docVar w:name="Respondent" w:val="CMB Ocean 13 Leasing Company Pte Ltd|APL Co Pte Ltd|ANL Singapore Pte Ltd|COSCO Shipping Lines Co Ltd|Orient Overseas Container Line Ltd trading as Orient Overseas Container Line|Shanghai Supreme International Freight Forwarding Co Ltd|CH Robinson International Inc and CH Robinson Freight Services Ltd trading as CHRistal Lines|China Great Logistics Co Ltd"/>
    <w:docVar w:name="ResState" w:val="New South Wales"/>
    <w:docVar w:name="SubArea" w:val="(none)"/>
  </w:docVars>
  <w:rsids>
    <w:rsidRoot w:val="00514535"/>
    <w:rsid w:val="00000747"/>
    <w:rsid w:val="000115C5"/>
    <w:rsid w:val="0001469E"/>
    <w:rsid w:val="00015993"/>
    <w:rsid w:val="00021CCB"/>
    <w:rsid w:val="00022289"/>
    <w:rsid w:val="000237E9"/>
    <w:rsid w:val="00023D3D"/>
    <w:rsid w:val="000254E9"/>
    <w:rsid w:val="00027398"/>
    <w:rsid w:val="0003201A"/>
    <w:rsid w:val="0003207A"/>
    <w:rsid w:val="0003269B"/>
    <w:rsid w:val="00032F9F"/>
    <w:rsid w:val="00041C07"/>
    <w:rsid w:val="00045BB7"/>
    <w:rsid w:val="00047A49"/>
    <w:rsid w:val="00055719"/>
    <w:rsid w:val="0005641B"/>
    <w:rsid w:val="0006196A"/>
    <w:rsid w:val="000650F0"/>
    <w:rsid w:val="00071FB3"/>
    <w:rsid w:val="0007529E"/>
    <w:rsid w:val="00077768"/>
    <w:rsid w:val="00081497"/>
    <w:rsid w:val="000831EC"/>
    <w:rsid w:val="00084126"/>
    <w:rsid w:val="00085255"/>
    <w:rsid w:val="00096DAF"/>
    <w:rsid w:val="000A2E76"/>
    <w:rsid w:val="000A3D06"/>
    <w:rsid w:val="000A4807"/>
    <w:rsid w:val="000A4BE4"/>
    <w:rsid w:val="000C023E"/>
    <w:rsid w:val="000C405D"/>
    <w:rsid w:val="000C5195"/>
    <w:rsid w:val="000C62EF"/>
    <w:rsid w:val="000D04B6"/>
    <w:rsid w:val="000D2137"/>
    <w:rsid w:val="000D3FD2"/>
    <w:rsid w:val="000D4B2E"/>
    <w:rsid w:val="000D7ECE"/>
    <w:rsid w:val="000E3FC8"/>
    <w:rsid w:val="000E5A32"/>
    <w:rsid w:val="000E7BAE"/>
    <w:rsid w:val="000F133D"/>
    <w:rsid w:val="0010536B"/>
    <w:rsid w:val="0011145C"/>
    <w:rsid w:val="001128BD"/>
    <w:rsid w:val="0011419D"/>
    <w:rsid w:val="00114B02"/>
    <w:rsid w:val="001226C0"/>
    <w:rsid w:val="00126EC8"/>
    <w:rsid w:val="0012731C"/>
    <w:rsid w:val="001279B5"/>
    <w:rsid w:val="00131A15"/>
    <w:rsid w:val="00132054"/>
    <w:rsid w:val="00134964"/>
    <w:rsid w:val="001351B9"/>
    <w:rsid w:val="001515C8"/>
    <w:rsid w:val="00155CD2"/>
    <w:rsid w:val="00156CF8"/>
    <w:rsid w:val="001727A4"/>
    <w:rsid w:val="0017376C"/>
    <w:rsid w:val="001738AB"/>
    <w:rsid w:val="001765E0"/>
    <w:rsid w:val="00177759"/>
    <w:rsid w:val="00180BB3"/>
    <w:rsid w:val="00185DD6"/>
    <w:rsid w:val="00185E6B"/>
    <w:rsid w:val="00187BBC"/>
    <w:rsid w:val="001931F5"/>
    <w:rsid w:val="001932F3"/>
    <w:rsid w:val="001A2B40"/>
    <w:rsid w:val="001A4309"/>
    <w:rsid w:val="001A46AE"/>
    <w:rsid w:val="001A6C52"/>
    <w:rsid w:val="001B1053"/>
    <w:rsid w:val="001B14AC"/>
    <w:rsid w:val="001B4AAF"/>
    <w:rsid w:val="001B7940"/>
    <w:rsid w:val="001C171A"/>
    <w:rsid w:val="001C20DE"/>
    <w:rsid w:val="001C2FE0"/>
    <w:rsid w:val="001C37CA"/>
    <w:rsid w:val="001C4085"/>
    <w:rsid w:val="001D4303"/>
    <w:rsid w:val="001D6746"/>
    <w:rsid w:val="001E0C61"/>
    <w:rsid w:val="001E25AA"/>
    <w:rsid w:val="001E3B49"/>
    <w:rsid w:val="001E4A05"/>
    <w:rsid w:val="001E6A19"/>
    <w:rsid w:val="001E7388"/>
    <w:rsid w:val="001F13DD"/>
    <w:rsid w:val="001F2473"/>
    <w:rsid w:val="001F2DBC"/>
    <w:rsid w:val="001F6BCB"/>
    <w:rsid w:val="001F73E8"/>
    <w:rsid w:val="0020262C"/>
    <w:rsid w:val="00202723"/>
    <w:rsid w:val="00206B3E"/>
    <w:rsid w:val="00211A3E"/>
    <w:rsid w:val="00213F20"/>
    <w:rsid w:val="00214055"/>
    <w:rsid w:val="00215BCA"/>
    <w:rsid w:val="002160F5"/>
    <w:rsid w:val="00217AC4"/>
    <w:rsid w:val="00217DD4"/>
    <w:rsid w:val="00221461"/>
    <w:rsid w:val="00224537"/>
    <w:rsid w:val="00235956"/>
    <w:rsid w:val="00243E5E"/>
    <w:rsid w:val="002467A6"/>
    <w:rsid w:val="00247C9A"/>
    <w:rsid w:val="0025160C"/>
    <w:rsid w:val="00251D23"/>
    <w:rsid w:val="002535D0"/>
    <w:rsid w:val="002539B3"/>
    <w:rsid w:val="00256336"/>
    <w:rsid w:val="00257C3E"/>
    <w:rsid w:val="002602C2"/>
    <w:rsid w:val="002609A5"/>
    <w:rsid w:val="002625E6"/>
    <w:rsid w:val="00262BF1"/>
    <w:rsid w:val="002666C9"/>
    <w:rsid w:val="00270136"/>
    <w:rsid w:val="00270FD7"/>
    <w:rsid w:val="00274F5B"/>
    <w:rsid w:val="00275C44"/>
    <w:rsid w:val="00280836"/>
    <w:rsid w:val="00282E1A"/>
    <w:rsid w:val="002840F1"/>
    <w:rsid w:val="00285922"/>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3779"/>
    <w:rsid w:val="002E5BF9"/>
    <w:rsid w:val="002E6A7A"/>
    <w:rsid w:val="002F1E49"/>
    <w:rsid w:val="002F4E9C"/>
    <w:rsid w:val="002F6E15"/>
    <w:rsid w:val="00302F4E"/>
    <w:rsid w:val="003039B8"/>
    <w:rsid w:val="0031256C"/>
    <w:rsid w:val="00314D6C"/>
    <w:rsid w:val="00316D2A"/>
    <w:rsid w:val="003177AC"/>
    <w:rsid w:val="00322A7C"/>
    <w:rsid w:val="00322EEC"/>
    <w:rsid w:val="00323061"/>
    <w:rsid w:val="003402D3"/>
    <w:rsid w:val="0034068E"/>
    <w:rsid w:val="00343ABC"/>
    <w:rsid w:val="003463FE"/>
    <w:rsid w:val="003472FC"/>
    <w:rsid w:val="00347D41"/>
    <w:rsid w:val="003554B3"/>
    <w:rsid w:val="00356632"/>
    <w:rsid w:val="00357C7E"/>
    <w:rsid w:val="003653B6"/>
    <w:rsid w:val="00370327"/>
    <w:rsid w:val="00372841"/>
    <w:rsid w:val="00374CC4"/>
    <w:rsid w:val="003774B2"/>
    <w:rsid w:val="00380F2D"/>
    <w:rsid w:val="003845A9"/>
    <w:rsid w:val="003850C9"/>
    <w:rsid w:val="00390883"/>
    <w:rsid w:val="003922F8"/>
    <w:rsid w:val="00395B24"/>
    <w:rsid w:val="003A2D38"/>
    <w:rsid w:val="003A7ECC"/>
    <w:rsid w:val="003B1B32"/>
    <w:rsid w:val="003B2C72"/>
    <w:rsid w:val="003B58B4"/>
    <w:rsid w:val="003C1333"/>
    <w:rsid w:val="003C20FF"/>
    <w:rsid w:val="003C550A"/>
    <w:rsid w:val="003C6055"/>
    <w:rsid w:val="003D2650"/>
    <w:rsid w:val="003D560C"/>
    <w:rsid w:val="003D5C00"/>
    <w:rsid w:val="003E1E6D"/>
    <w:rsid w:val="003E3154"/>
    <w:rsid w:val="003E5192"/>
    <w:rsid w:val="003E5874"/>
    <w:rsid w:val="003E71D1"/>
    <w:rsid w:val="003E72D3"/>
    <w:rsid w:val="003F193E"/>
    <w:rsid w:val="003F242C"/>
    <w:rsid w:val="003F34F1"/>
    <w:rsid w:val="003F65BA"/>
    <w:rsid w:val="003F6A7F"/>
    <w:rsid w:val="004031D8"/>
    <w:rsid w:val="004104B6"/>
    <w:rsid w:val="00411AE8"/>
    <w:rsid w:val="00413B74"/>
    <w:rsid w:val="004342F3"/>
    <w:rsid w:val="00435C5F"/>
    <w:rsid w:val="00435D9C"/>
    <w:rsid w:val="00436155"/>
    <w:rsid w:val="00436460"/>
    <w:rsid w:val="00441E98"/>
    <w:rsid w:val="00444876"/>
    <w:rsid w:val="00450F3A"/>
    <w:rsid w:val="004532F7"/>
    <w:rsid w:val="00464D51"/>
    <w:rsid w:val="00472027"/>
    <w:rsid w:val="00477CB6"/>
    <w:rsid w:val="004804CF"/>
    <w:rsid w:val="00483314"/>
    <w:rsid w:val="00484962"/>
    <w:rsid w:val="00484F6D"/>
    <w:rsid w:val="00484FB7"/>
    <w:rsid w:val="0048554D"/>
    <w:rsid w:val="0048696E"/>
    <w:rsid w:val="004928B2"/>
    <w:rsid w:val="0049338A"/>
    <w:rsid w:val="0049417F"/>
    <w:rsid w:val="00496D41"/>
    <w:rsid w:val="004A1C0E"/>
    <w:rsid w:val="004A5669"/>
    <w:rsid w:val="004A6602"/>
    <w:rsid w:val="004B0BB2"/>
    <w:rsid w:val="004B2A3C"/>
    <w:rsid w:val="004B3EFA"/>
    <w:rsid w:val="004B7097"/>
    <w:rsid w:val="004C2A87"/>
    <w:rsid w:val="004C4C39"/>
    <w:rsid w:val="004C4D7B"/>
    <w:rsid w:val="004C4ED3"/>
    <w:rsid w:val="004C667B"/>
    <w:rsid w:val="004C6C80"/>
    <w:rsid w:val="004C7ECD"/>
    <w:rsid w:val="004D2EA5"/>
    <w:rsid w:val="004D32A6"/>
    <w:rsid w:val="004D53E5"/>
    <w:rsid w:val="004D6ECF"/>
    <w:rsid w:val="004D7950"/>
    <w:rsid w:val="004E6DC4"/>
    <w:rsid w:val="004F21C1"/>
    <w:rsid w:val="00501A12"/>
    <w:rsid w:val="0050309C"/>
    <w:rsid w:val="0051327C"/>
    <w:rsid w:val="0051346D"/>
    <w:rsid w:val="00513EAE"/>
    <w:rsid w:val="0051434F"/>
    <w:rsid w:val="00514535"/>
    <w:rsid w:val="00516806"/>
    <w:rsid w:val="0052098C"/>
    <w:rsid w:val="00525A49"/>
    <w:rsid w:val="005262D1"/>
    <w:rsid w:val="00530876"/>
    <w:rsid w:val="00530E75"/>
    <w:rsid w:val="00534964"/>
    <w:rsid w:val="00535613"/>
    <w:rsid w:val="005359EB"/>
    <w:rsid w:val="00541A59"/>
    <w:rsid w:val="0054254A"/>
    <w:rsid w:val="0054500B"/>
    <w:rsid w:val="005466B5"/>
    <w:rsid w:val="00554314"/>
    <w:rsid w:val="00562829"/>
    <w:rsid w:val="005629B3"/>
    <w:rsid w:val="00562A36"/>
    <w:rsid w:val="0057128A"/>
    <w:rsid w:val="005724F6"/>
    <w:rsid w:val="00573AC4"/>
    <w:rsid w:val="005801FC"/>
    <w:rsid w:val="00583CB0"/>
    <w:rsid w:val="00585BA9"/>
    <w:rsid w:val="00587359"/>
    <w:rsid w:val="00590262"/>
    <w:rsid w:val="00595016"/>
    <w:rsid w:val="00597AAE"/>
    <w:rsid w:val="005A222C"/>
    <w:rsid w:val="005A4DF8"/>
    <w:rsid w:val="005A78C8"/>
    <w:rsid w:val="005B08DA"/>
    <w:rsid w:val="005B1426"/>
    <w:rsid w:val="005B6742"/>
    <w:rsid w:val="005C0A8E"/>
    <w:rsid w:val="005C1767"/>
    <w:rsid w:val="005C185C"/>
    <w:rsid w:val="005C42EF"/>
    <w:rsid w:val="005E02F5"/>
    <w:rsid w:val="005E0510"/>
    <w:rsid w:val="005E176E"/>
    <w:rsid w:val="005E218E"/>
    <w:rsid w:val="005E35A0"/>
    <w:rsid w:val="005E481A"/>
    <w:rsid w:val="005F0D1B"/>
    <w:rsid w:val="005F1865"/>
    <w:rsid w:val="005F26FF"/>
    <w:rsid w:val="006007BD"/>
    <w:rsid w:val="006013C8"/>
    <w:rsid w:val="0060270D"/>
    <w:rsid w:val="00604342"/>
    <w:rsid w:val="00604611"/>
    <w:rsid w:val="00611586"/>
    <w:rsid w:val="00612D26"/>
    <w:rsid w:val="00614E04"/>
    <w:rsid w:val="00615855"/>
    <w:rsid w:val="00620DA8"/>
    <w:rsid w:val="00621887"/>
    <w:rsid w:val="00624520"/>
    <w:rsid w:val="006271F5"/>
    <w:rsid w:val="00632300"/>
    <w:rsid w:val="00632BB7"/>
    <w:rsid w:val="00632D5B"/>
    <w:rsid w:val="00635B36"/>
    <w:rsid w:val="00636871"/>
    <w:rsid w:val="00640EE1"/>
    <w:rsid w:val="00640F4E"/>
    <w:rsid w:val="00642620"/>
    <w:rsid w:val="00643DE0"/>
    <w:rsid w:val="0064437D"/>
    <w:rsid w:val="00644BAE"/>
    <w:rsid w:val="00644E85"/>
    <w:rsid w:val="006516D8"/>
    <w:rsid w:val="00652C52"/>
    <w:rsid w:val="00653619"/>
    <w:rsid w:val="0066063F"/>
    <w:rsid w:val="00662BB0"/>
    <w:rsid w:val="006633C0"/>
    <w:rsid w:val="00663878"/>
    <w:rsid w:val="006665C9"/>
    <w:rsid w:val="00667773"/>
    <w:rsid w:val="00670743"/>
    <w:rsid w:val="00672FBF"/>
    <w:rsid w:val="0067723B"/>
    <w:rsid w:val="00680A85"/>
    <w:rsid w:val="00681ADF"/>
    <w:rsid w:val="00681FB6"/>
    <w:rsid w:val="0068568F"/>
    <w:rsid w:val="00690EE2"/>
    <w:rsid w:val="00693854"/>
    <w:rsid w:val="00694BEB"/>
    <w:rsid w:val="006971C4"/>
    <w:rsid w:val="006A0E20"/>
    <w:rsid w:val="006A24E3"/>
    <w:rsid w:val="006A5695"/>
    <w:rsid w:val="006B0439"/>
    <w:rsid w:val="006B3904"/>
    <w:rsid w:val="006B5B7D"/>
    <w:rsid w:val="006C3293"/>
    <w:rsid w:val="006C5B46"/>
    <w:rsid w:val="006C6E39"/>
    <w:rsid w:val="006D0ECF"/>
    <w:rsid w:val="006D3D5B"/>
    <w:rsid w:val="006D4C92"/>
    <w:rsid w:val="006D4EB6"/>
    <w:rsid w:val="006D7FBC"/>
    <w:rsid w:val="006E33AF"/>
    <w:rsid w:val="006E35BF"/>
    <w:rsid w:val="006E3A62"/>
    <w:rsid w:val="006E7850"/>
    <w:rsid w:val="006F19D8"/>
    <w:rsid w:val="006F46D6"/>
    <w:rsid w:val="006F4BBB"/>
    <w:rsid w:val="007005C3"/>
    <w:rsid w:val="007028D9"/>
    <w:rsid w:val="00707218"/>
    <w:rsid w:val="00710D04"/>
    <w:rsid w:val="00711F7D"/>
    <w:rsid w:val="00712B1D"/>
    <w:rsid w:val="00715751"/>
    <w:rsid w:val="007171BA"/>
    <w:rsid w:val="00717616"/>
    <w:rsid w:val="007325D9"/>
    <w:rsid w:val="0073413F"/>
    <w:rsid w:val="0073583B"/>
    <w:rsid w:val="007360CA"/>
    <w:rsid w:val="00737560"/>
    <w:rsid w:val="0074667B"/>
    <w:rsid w:val="007470BD"/>
    <w:rsid w:val="00755272"/>
    <w:rsid w:val="00760EC0"/>
    <w:rsid w:val="007711BD"/>
    <w:rsid w:val="0078003A"/>
    <w:rsid w:val="00780771"/>
    <w:rsid w:val="007929CF"/>
    <w:rsid w:val="00797BA8"/>
    <w:rsid w:val="007A081D"/>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33C5"/>
    <w:rsid w:val="007E41BE"/>
    <w:rsid w:val="007E4DB6"/>
    <w:rsid w:val="007E5F45"/>
    <w:rsid w:val="007E6733"/>
    <w:rsid w:val="007E7CD4"/>
    <w:rsid w:val="007F12AC"/>
    <w:rsid w:val="007F39F3"/>
    <w:rsid w:val="007F4501"/>
    <w:rsid w:val="007F60DF"/>
    <w:rsid w:val="00801800"/>
    <w:rsid w:val="00801861"/>
    <w:rsid w:val="00801B5B"/>
    <w:rsid w:val="00805A30"/>
    <w:rsid w:val="008210D7"/>
    <w:rsid w:val="008216E7"/>
    <w:rsid w:val="00825BE6"/>
    <w:rsid w:val="008276B4"/>
    <w:rsid w:val="00831927"/>
    <w:rsid w:val="00837288"/>
    <w:rsid w:val="00841BD3"/>
    <w:rsid w:val="0084273D"/>
    <w:rsid w:val="00843FD6"/>
    <w:rsid w:val="00844E3F"/>
    <w:rsid w:val="00845A83"/>
    <w:rsid w:val="00846BB9"/>
    <w:rsid w:val="00850039"/>
    <w:rsid w:val="00860085"/>
    <w:rsid w:val="008649D5"/>
    <w:rsid w:val="008712BB"/>
    <w:rsid w:val="008830E7"/>
    <w:rsid w:val="00890EDE"/>
    <w:rsid w:val="008916E3"/>
    <w:rsid w:val="00892B38"/>
    <w:rsid w:val="008A137A"/>
    <w:rsid w:val="008A1741"/>
    <w:rsid w:val="008A2484"/>
    <w:rsid w:val="008A46F3"/>
    <w:rsid w:val="008A52F3"/>
    <w:rsid w:val="008B64C9"/>
    <w:rsid w:val="008B7EC4"/>
    <w:rsid w:val="008C26D9"/>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3603"/>
    <w:rsid w:val="009054CB"/>
    <w:rsid w:val="00905800"/>
    <w:rsid w:val="00907D2F"/>
    <w:rsid w:val="00911F8D"/>
    <w:rsid w:val="00912F94"/>
    <w:rsid w:val="009171BC"/>
    <w:rsid w:val="0092497E"/>
    <w:rsid w:val="0092590B"/>
    <w:rsid w:val="00925BF3"/>
    <w:rsid w:val="00925E60"/>
    <w:rsid w:val="009264B3"/>
    <w:rsid w:val="00931E4C"/>
    <w:rsid w:val="009350CE"/>
    <w:rsid w:val="009365E0"/>
    <w:rsid w:val="00937E1A"/>
    <w:rsid w:val="00942BA2"/>
    <w:rsid w:val="009432B7"/>
    <w:rsid w:val="00944C86"/>
    <w:rsid w:val="00947C02"/>
    <w:rsid w:val="00950BE6"/>
    <w:rsid w:val="009544B0"/>
    <w:rsid w:val="00957DE8"/>
    <w:rsid w:val="00960ECB"/>
    <w:rsid w:val="009615D6"/>
    <w:rsid w:val="00967855"/>
    <w:rsid w:val="00971CD1"/>
    <w:rsid w:val="00974709"/>
    <w:rsid w:val="009801AE"/>
    <w:rsid w:val="00980736"/>
    <w:rsid w:val="00981A39"/>
    <w:rsid w:val="00982D56"/>
    <w:rsid w:val="00983DBF"/>
    <w:rsid w:val="00987097"/>
    <w:rsid w:val="00991123"/>
    <w:rsid w:val="00991CAB"/>
    <w:rsid w:val="00996477"/>
    <w:rsid w:val="009A3A9C"/>
    <w:rsid w:val="009A480C"/>
    <w:rsid w:val="009B046C"/>
    <w:rsid w:val="009B13FA"/>
    <w:rsid w:val="009B1673"/>
    <w:rsid w:val="009B1E2D"/>
    <w:rsid w:val="009B40D3"/>
    <w:rsid w:val="009B5D66"/>
    <w:rsid w:val="009C221F"/>
    <w:rsid w:val="009C59FB"/>
    <w:rsid w:val="009C6F3B"/>
    <w:rsid w:val="009D1467"/>
    <w:rsid w:val="009D328D"/>
    <w:rsid w:val="009D5689"/>
    <w:rsid w:val="009D5988"/>
    <w:rsid w:val="009E3C3D"/>
    <w:rsid w:val="009E4FA6"/>
    <w:rsid w:val="009E626A"/>
    <w:rsid w:val="009E7D93"/>
    <w:rsid w:val="009F3C34"/>
    <w:rsid w:val="009F462C"/>
    <w:rsid w:val="009F5C33"/>
    <w:rsid w:val="00A01A3A"/>
    <w:rsid w:val="00A026F0"/>
    <w:rsid w:val="00A03EAC"/>
    <w:rsid w:val="00A04DBB"/>
    <w:rsid w:val="00A07EA0"/>
    <w:rsid w:val="00A11CA6"/>
    <w:rsid w:val="00A20C49"/>
    <w:rsid w:val="00A22932"/>
    <w:rsid w:val="00A269CA"/>
    <w:rsid w:val="00A30A50"/>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9B9"/>
    <w:rsid w:val="00A56E77"/>
    <w:rsid w:val="00A61605"/>
    <w:rsid w:val="00A636D0"/>
    <w:rsid w:val="00A65F97"/>
    <w:rsid w:val="00A73B04"/>
    <w:rsid w:val="00A76C13"/>
    <w:rsid w:val="00A84FD0"/>
    <w:rsid w:val="00A91458"/>
    <w:rsid w:val="00A92E79"/>
    <w:rsid w:val="00A950B6"/>
    <w:rsid w:val="00A95D45"/>
    <w:rsid w:val="00AA3EA8"/>
    <w:rsid w:val="00AA471C"/>
    <w:rsid w:val="00AB41C1"/>
    <w:rsid w:val="00AB4CF2"/>
    <w:rsid w:val="00AB6CCA"/>
    <w:rsid w:val="00AC223F"/>
    <w:rsid w:val="00AC33B1"/>
    <w:rsid w:val="00AC6588"/>
    <w:rsid w:val="00AD12A8"/>
    <w:rsid w:val="00AE023F"/>
    <w:rsid w:val="00AE1F70"/>
    <w:rsid w:val="00AF3577"/>
    <w:rsid w:val="00AF35F9"/>
    <w:rsid w:val="00AF7C32"/>
    <w:rsid w:val="00B0424C"/>
    <w:rsid w:val="00B0447E"/>
    <w:rsid w:val="00B05C7D"/>
    <w:rsid w:val="00B15D57"/>
    <w:rsid w:val="00B16347"/>
    <w:rsid w:val="00B17D6E"/>
    <w:rsid w:val="00B2435E"/>
    <w:rsid w:val="00B25061"/>
    <w:rsid w:val="00B26E71"/>
    <w:rsid w:val="00B33D81"/>
    <w:rsid w:val="00B346C3"/>
    <w:rsid w:val="00B352C1"/>
    <w:rsid w:val="00B4005C"/>
    <w:rsid w:val="00B4227E"/>
    <w:rsid w:val="00B4471C"/>
    <w:rsid w:val="00B451A6"/>
    <w:rsid w:val="00B56D6E"/>
    <w:rsid w:val="00B63201"/>
    <w:rsid w:val="00B64347"/>
    <w:rsid w:val="00B650EE"/>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472"/>
    <w:rsid w:val="00BA3DBC"/>
    <w:rsid w:val="00BA707A"/>
    <w:rsid w:val="00BB1AFB"/>
    <w:rsid w:val="00BB27AE"/>
    <w:rsid w:val="00BB2DA2"/>
    <w:rsid w:val="00BB4FAB"/>
    <w:rsid w:val="00BB56DC"/>
    <w:rsid w:val="00BB5F91"/>
    <w:rsid w:val="00BD6AD1"/>
    <w:rsid w:val="00BD6FD5"/>
    <w:rsid w:val="00BE183D"/>
    <w:rsid w:val="00BE2FF0"/>
    <w:rsid w:val="00BF24C2"/>
    <w:rsid w:val="00BF2922"/>
    <w:rsid w:val="00BF5D7A"/>
    <w:rsid w:val="00C01C2E"/>
    <w:rsid w:val="00C02D33"/>
    <w:rsid w:val="00C04B53"/>
    <w:rsid w:val="00C10C97"/>
    <w:rsid w:val="00C1232C"/>
    <w:rsid w:val="00C27C6B"/>
    <w:rsid w:val="00C31F68"/>
    <w:rsid w:val="00C3594D"/>
    <w:rsid w:val="00C36442"/>
    <w:rsid w:val="00C400CE"/>
    <w:rsid w:val="00C410FD"/>
    <w:rsid w:val="00C4320D"/>
    <w:rsid w:val="00C457DE"/>
    <w:rsid w:val="00C47DD3"/>
    <w:rsid w:val="00C5316F"/>
    <w:rsid w:val="00C53562"/>
    <w:rsid w:val="00C539FB"/>
    <w:rsid w:val="00C5420F"/>
    <w:rsid w:val="00C57868"/>
    <w:rsid w:val="00C66AA3"/>
    <w:rsid w:val="00C66E57"/>
    <w:rsid w:val="00C724D7"/>
    <w:rsid w:val="00C74150"/>
    <w:rsid w:val="00C748F2"/>
    <w:rsid w:val="00C75594"/>
    <w:rsid w:val="00C85982"/>
    <w:rsid w:val="00C91B1D"/>
    <w:rsid w:val="00CA0466"/>
    <w:rsid w:val="00CA246D"/>
    <w:rsid w:val="00CA50D9"/>
    <w:rsid w:val="00CB3054"/>
    <w:rsid w:val="00CB5636"/>
    <w:rsid w:val="00CB5F30"/>
    <w:rsid w:val="00CC3EE5"/>
    <w:rsid w:val="00CC5126"/>
    <w:rsid w:val="00CC6E47"/>
    <w:rsid w:val="00CD0E49"/>
    <w:rsid w:val="00CD1346"/>
    <w:rsid w:val="00CD4F17"/>
    <w:rsid w:val="00CE3242"/>
    <w:rsid w:val="00CE425C"/>
    <w:rsid w:val="00CE58AC"/>
    <w:rsid w:val="00CF530C"/>
    <w:rsid w:val="00CF5A80"/>
    <w:rsid w:val="00D0093E"/>
    <w:rsid w:val="00D045EE"/>
    <w:rsid w:val="00D05091"/>
    <w:rsid w:val="00D069EE"/>
    <w:rsid w:val="00D10CA6"/>
    <w:rsid w:val="00D10F21"/>
    <w:rsid w:val="00D13406"/>
    <w:rsid w:val="00D134CF"/>
    <w:rsid w:val="00D1573B"/>
    <w:rsid w:val="00D24806"/>
    <w:rsid w:val="00D34040"/>
    <w:rsid w:val="00D34E69"/>
    <w:rsid w:val="00D36C78"/>
    <w:rsid w:val="00D375EE"/>
    <w:rsid w:val="00D55AE8"/>
    <w:rsid w:val="00D56056"/>
    <w:rsid w:val="00D6085F"/>
    <w:rsid w:val="00D62699"/>
    <w:rsid w:val="00D76615"/>
    <w:rsid w:val="00D778E9"/>
    <w:rsid w:val="00D812BF"/>
    <w:rsid w:val="00D82620"/>
    <w:rsid w:val="00D827F8"/>
    <w:rsid w:val="00D85707"/>
    <w:rsid w:val="00D9725F"/>
    <w:rsid w:val="00DA01B1"/>
    <w:rsid w:val="00DA11A2"/>
    <w:rsid w:val="00DA14ED"/>
    <w:rsid w:val="00DA26D6"/>
    <w:rsid w:val="00DB2EF1"/>
    <w:rsid w:val="00DB3360"/>
    <w:rsid w:val="00DB3DE1"/>
    <w:rsid w:val="00DB5DA0"/>
    <w:rsid w:val="00DB716C"/>
    <w:rsid w:val="00DC5C85"/>
    <w:rsid w:val="00DC7C5D"/>
    <w:rsid w:val="00DD4236"/>
    <w:rsid w:val="00DD44F1"/>
    <w:rsid w:val="00DD6957"/>
    <w:rsid w:val="00DD6E7A"/>
    <w:rsid w:val="00DE2682"/>
    <w:rsid w:val="00DE3067"/>
    <w:rsid w:val="00DF3EEE"/>
    <w:rsid w:val="00DF75E1"/>
    <w:rsid w:val="00E027BC"/>
    <w:rsid w:val="00E02D07"/>
    <w:rsid w:val="00E045BE"/>
    <w:rsid w:val="00E059B3"/>
    <w:rsid w:val="00E10F0D"/>
    <w:rsid w:val="00E14EA5"/>
    <w:rsid w:val="00E1723B"/>
    <w:rsid w:val="00E2070E"/>
    <w:rsid w:val="00E21133"/>
    <w:rsid w:val="00E2327E"/>
    <w:rsid w:val="00E23577"/>
    <w:rsid w:val="00E266EF"/>
    <w:rsid w:val="00E326A8"/>
    <w:rsid w:val="00E47428"/>
    <w:rsid w:val="00E56C8E"/>
    <w:rsid w:val="00E5716B"/>
    <w:rsid w:val="00E57F1F"/>
    <w:rsid w:val="00E66B9F"/>
    <w:rsid w:val="00E67F33"/>
    <w:rsid w:val="00E70A6A"/>
    <w:rsid w:val="00E710D6"/>
    <w:rsid w:val="00E73636"/>
    <w:rsid w:val="00E73DA4"/>
    <w:rsid w:val="00E76E45"/>
    <w:rsid w:val="00E777C9"/>
    <w:rsid w:val="00E81DA6"/>
    <w:rsid w:val="00E84212"/>
    <w:rsid w:val="00E851D1"/>
    <w:rsid w:val="00E9086C"/>
    <w:rsid w:val="00E90AAA"/>
    <w:rsid w:val="00E91A0F"/>
    <w:rsid w:val="00E94A71"/>
    <w:rsid w:val="00E94CBF"/>
    <w:rsid w:val="00EA03CE"/>
    <w:rsid w:val="00EA23E5"/>
    <w:rsid w:val="00EA2FB3"/>
    <w:rsid w:val="00EA4E2E"/>
    <w:rsid w:val="00EA6E9E"/>
    <w:rsid w:val="00EB2417"/>
    <w:rsid w:val="00EB2CCB"/>
    <w:rsid w:val="00EB4088"/>
    <w:rsid w:val="00EB7A25"/>
    <w:rsid w:val="00EC0F3E"/>
    <w:rsid w:val="00EC57A7"/>
    <w:rsid w:val="00ED0817"/>
    <w:rsid w:val="00ED7DD9"/>
    <w:rsid w:val="00EE445B"/>
    <w:rsid w:val="00EE75CD"/>
    <w:rsid w:val="00EE762D"/>
    <w:rsid w:val="00EF3113"/>
    <w:rsid w:val="00EF3F84"/>
    <w:rsid w:val="00F13A67"/>
    <w:rsid w:val="00F176AC"/>
    <w:rsid w:val="00F26F28"/>
    <w:rsid w:val="00F27714"/>
    <w:rsid w:val="00F27A15"/>
    <w:rsid w:val="00F316F5"/>
    <w:rsid w:val="00F3276E"/>
    <w:rsid w:val="00F33D3C"/>
    <w:rsid w:val="00F37A91"/>
    <w:rsid w:val="00F408A0"/>
    <w:rsid w:val="00F45CF5"/>
    <w:rsid w:val="00F47DB0"/>
    <w:rsid w:val="00F50C3F"/>
    <w:rsid w:val="00F50E34"/>
    <w:rsid w:val="00F51AFB"/>
    <w:rsid w:val="00F53EF7"/>
    <w:rsid w:val="00F54BF2"/>
    <w:rsid w:val="00F66762"/>
    <w:rsid w:val="00F75B30"/>
    <w:rsid w:val="00F775AC"/>
    <w:rsid w:val="00F85933"/>
    <w:rsid w:val="00F8792F"/>
    <w:rsid w:val="00F9214D"/>
    <w:rsid w:val="00F92355"/>
    <w:rsid w:val="00F93963"/>
    <w:rsid w:val="00F94291"/>
    <w:rsid w:val="00FA298A"/>
    <w:rsid w:val="00FA5B66"/>
    <w:rsid w:val="00FB06FE"/>
    <w:rsid w:val="00FB0B9C"/>
    <w:rsid w:val="00FB1DC6"/>
    <w:rsid w:val="00FB30EB"/>
    <w:rsid w:val="00FB7982"/>
    <w:rsid w:val="00FC0734"/>
    <w:rsid w:val="00FC0FC5"/>
    <w:rsid w:val="00FC394F"/>
    <w:rsid w:val="00FC588F"/>
    <w:rsid w:val="00FC6879"/>
    <w:rsid w:val="00FD1781"/>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C97F97"/>
  <w15:docId w15:val="{4B9EDED4-76CB-4F36-88D0-19AEB39D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UnresolvedMention1">
    <w:name w:val="Unresolved Mention1"/>
    <w:basedOn w:val="DefaultParagraphFont"/>
    <w:uiPriority w:val="99"/>
    <w:semiHidden/>
    <w:unhideWhenUsed/>
    <w:rsid w:val="001E2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741E29FEC34629B4BED4E424F9CDE0"/>
        <w:category>
          <w:name w:val="General"/>
          <w:gallery w:val="placeholder"/>
        </w:category>
        <w:types>
          <w:type w:val="bbPlcHdr"/>
        </w:types>
        <w:behaviors>
          <w:behavior w:val="content"/>
        </w:behaviors>
        <w:guid w:val="{6E307931-DD13-4A91-A15A-3A3AC92E11B1}"/>
      </w:docPartPr>
      <w:docPartBody>
        <w:p w:rsidR="00D1538D" w:rsidRDefault="00D1538D">
          <w:pPr>
            <w:pStyle w:val="B4741E29FEC34629B4BED4E424F9CDE0"/>
          </w:pPr>
          <w:r>
            <w:rPr>
              <w:rStyle w:val="PlaceholderText"/>
            </w:rPr>
            <w:t>MNC Text</w:t>
          </w:r>
        </w:p>
      </w:docPartBody>
    </w:docPart>
    <w:docPart>
      <w:docPartPr>
        <w:name w:val="F8EB5651152D464E853DE41788A2325B"/>
        <w:category>
          <w:name w:val="General"/>
          <w:gallery w:val="placeholder"/>
        </w:category>
        <w:types>
          <w:type w:val="bbPlcHdr"/>
        </w:types>
        <w:behaviors>
          <w:behavior w:val="content"/>
        </w:behaviors>
        <w:guid w:val="{4C0AC81F-0FBA-4A80-AEC3-217482AF841E}"/>
      </w:docPartPr>
      <w:docPartBody>
        <w:p w:rsidR="00D1538D" w:rsidRDefault="00D1538D">
          <w:pPr>
            <w:pStyle w:val="F8EB5651152D464E853DE41788A2325B"/>
          </w:pPr>
          <w:r w:rsidRPr="005C44BE">
            <w:rPr>
              <w:rStyle w:val="PlaceholderText"/>
            </w:rPr>
            <w:t>Click or tap here to enter text.</w:t>
          </w:r>
        </w:p>
      </w:docPartBody>
    </w:docPart>
    <w:docPart>
      <w:docPartPr>
        <w:name w:val="B974353735CD4EB7AACDB706CCBE2920"/>
        <w:category>
          <w:name w:val="General"/>
          <w:gallery w:val="placeholder"/>
        </w:category>
        <w:types>
          <w:type w:val="bbPlcHdr"/>
        </w:types>
        <w:behaviors>
          <w:behavior w:val="content"/>
        </w:behaviors>
        <w:guid w:val="{5BAF712B-C55E-4F55-91E7-5F747673D87F}"/>
      </w:docPartPr>
      <w:docPartBody>
        <w:p w:rsidR="00D1538D" w:rsidRDefault="00D1538D">
          <w:pPr>
            <w:pStyle w:val="B974353735CD4EB7AACDB706CCBE2920"/>
          </w:pPr>
          <w:r w:rsidRPr="005C44BE">
            <w:rPr>
              <w:rStyle w:val="PlaceholderText"/>
            </w:rPr>
            <w:t>Click or tap here to enter text.</w:t>
          </w:r>
        </w:p>
      </w:docPartBody>
    </w:docPart>
    <w:docPart>
      <w:docPartPr>
        <w:name w:val="80778D048A4D40529FAA5395C22725DD"/>
        <w:category>
          <w:name w:val="General"/>
          <w:gallery w:val="placeholder"/>
        </w:category>
        <w:types>
          <w:type w:val="bbPlcHdr"/>
        </w:types>
        <w:behaviors>
          <w:behavior w:val="content"/>
        </w:behaviors>
        <w:guid w:val="{3F11B229-7281-4796-9A0D-AF2704F4AE88}"/>
      </w:docPartPr>
      <w:docPartBody>
        <w:p w:rsidR="00D1538D" w:rsidRDefault="00D1538D">
          <w:pPr>
            <w:pStyle w:val="80778D048A4D40529FAA5395C22725DD"/>
          </w:pPr>
          <w:r w:rsidRPr="005C44BE">
            <w:rPr>
              <w:rStyle w:val="PlaceholderText"/>
            </w:rPr>
            <w:t>Click or tap here to enter text.</w:t>
          </w:r>
        </w:p>
      </w:docPartBody>
    </w:docPart>
    <w:docPart>
      <w:docPartPr>
        <w:name w:val="D7EFB293B22645ECB412A43DD8CE18F3"/>
        <w:category>
          <w:name w:val="General"/>
          <w:gallery w:val="placeholder"/>
        </w:category>
        <w:types>
          <w:type w:val="bbPlcHdr"/>
        </w:types>
        <w:behaviors>
          <w:behavior w:val="content"/>
        </w:behaviors>
        <w:guid w:val="{7FE70EFB-758B-4570-97B5-DE71ABE05BE4}"/>
      </w:docPartPr>
      <w:docPartBody>
        <w:p w:rsidR="00D1538D" w:rsidRDefault="00D1538D">
          <w:pPr>
            <w:pStyle w:val="D7EFB293B22645ECB412A43DD8CE18F3"/>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38D"/>
    <w:rsid w:val="00362D55"/>
    <w:rsid w:val="00791208"/>
    <w:rsid w:val="00B7195D"/>
    <w:rsid w:val="00C6586C"/>
    <w:rsid w:val="00D1538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4741E29FEC34629B4BED4E424F9CDE0">
    <w:name w:val="B4741E29FEC34629B4BED4E424F9CDE0"/>
  </w:style>
  <w:style w:type="paragraph" w:customStyle="1" w:styleId="F8EB5651152D464E853DE41788A2325B">
    <w:name w:val="F8EB5651152D464E853DE41788A2325B"/>
  </w:style>
  <w:style w:type="paragraph" w:customStyle="1" w:styleId="B974353735CD4EB7AACDB706CCBE2920">
    <w:name w:val="B974353735CD4EB7AACDB706CCBE2920"/>
  </w:style>
  <w:style w:type="paragraph" w:customStyle="1" w:styleId="80778D048A4D40529FAA5395C22725DD">
    <w:name w:val="80778D048A4D40529FAA5395C22725DD"/>
  </w:style>
  <w:style w:type="paragraph" w:customStyle="1" w:styleId="D7EFB293B22645ECB412A43DD8CE18F3">
    <w:name w:val="D7EFB293B22645ECB412A43DD8CE18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Owners of Cargo laden on board the MV “APL England” v CMB Ocean 13 Leasing Company Pte Ltd [2022] FCA 565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414DC501-1812-48C8-A441-58B2E4D68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14</Pages>
  <Words>3486</Words>
  <Characters>18348</Characters>
  <Application>Microsoft Office Word</Application>
  <DocSecurity>0</DocSecurity>
  <Lines>495</Lines>
  <Paragraphs>263</Paragraphs>
  <ScaleCrop>false</ScaleCrop>
  <HeadingPairs>
    <vt:vector size="2" baseType="variant">
      <vt:variant>
        <vt:lpstr>Title</vt:lpstr>
      </vt:variant>
      <vt:variant>
        <vt:i4>1</vt:i4>
      </vt:variant>
    </vt:vector>
  </HeadingPairs>
  <TitlesOfParts>
    <vt:vector size="1" baseType="lpstr">
      <vt:lpstr>Owners of Cargo laden on board the MV “APL England” v CMB Ocean 13 Leasing Company Pte Ltd [2022] FCA 565 </vt:lpstr>
    </vt:vector>
  </TitlesOfParts>
  <Company>Federal Court of Australia</Company>
  <LinksUpToDate>false</LinksUpToDate>
  <CharactersWithSpaces>21571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Owners of Cargo laden on board the MV “APL England” v CMB Ocean 13 Leasing Company Pte Ltd [2022] FCA 565</dc:title>
  <dc:creator>Federal Court of Australia</dc:creator>
  <dc:description>v1.3</dc:description>
  <cp:lastModifiedBy>Federal Court of Australia</cp:lastModifiedBy>
  <cp:revision>3</cp:revision>
  <cp:lastPrinted>2006-02-06T01:31:00Z</cp:lastPrinted>
  <dcterms:created xsi:type="dcterms:W3CDTF">2022-05-17T03:44:00Z</dcterms:created>
  <dcterms:modified xsi:type="dcterms:W3CDTF">2022-05-17T03:46:00Z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4</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Admiralty and Maritime</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