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D4819" w14:textId="4FA9D8BA" w:rsidR="004D7950" w:rsidRDefault="00AA33CB" w:rsidP="008E55DA">
      <w:pPr>
        <w:pStyle w:val="CourtTitle"/>
        <w:spacing w:line="480" w:lineRule="auto"/>
      </w:pPr>
      <w:r>
        <w:fldChar w:fldCharType="begin"/>
      </w:r>
      <w:r>
        <w:instrText xml:space="preserve"> DOCPROPERTY  Court  \* MERGEFORMAT </w:instrText>
      </w:r>
      <w:r>
        <w:fldChar w:fldCharType="separate"/>
      </w:r>
      <w:r w:rsidR="00886521">
        <w:t>Federal Court of Australia</w:t>
      </w:r>
      <w:r>
        <w:fldChar w:fldCharType="end"/>
      </w:r>
    </w:p>
    <w:bookmarkStart w:id="0" w:name="MNC"/>
    <w:p w14:paraId="5AE38F8B" w14:textId="72AE96DB" w:rsidR="00374CC4" w:rsidRDefault="003A0443" w:rsidP="001A2B40">
      <w:pPr>
        <w:pStyle w:val="MNC"/>
      </w:pPr>
      <w:sdt>
        <w:sdtPr>
          <w:alias w:val="MNC"/>
          <w:tag w:val="MNC"/>
          <w:id w:val="343289786"/>
          <w:lock w:val="sdtLocked"/>
          <w:placeholder>
            <w:docPart w:val="A92C91A91E4046E3A78335EBDC16BC1C"/>
          </w:placeholder>
          <w:dataBinding w:prefixMappings="xmlns:ns0='http://schemas.globalmacros.com/FCA'" w:xpath="/ns0:root[1]/ns0:Name[1]" w:storeItemID="{687E7CCB-4AA5-44E7-B148-17BA2B6F57C0}"/>
          <w:text w:multiLine="1"/>
        </w:sdtPr>
        <w:sdtEndPr/>
        <w:sdtContent>
          <w:r w:rsidR="00886521">
            <w:t xml:space="preserve">Tucker v Broderick [2022] FCAFC </w:t>
          </w:r>
          <w:r w:rsidR="008E55DA">
            <w:t>174</w:t>
          </w:r>
          <w:r w:rsidR="00693854">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886521" w14:paraId="2069EA97" w14:textId="77777777" w:rsidTr="00CE556A">
        <w:tc>
          <w:tcPr>
            <w:tcW w:w="3084" w:type="dxa"/>
            <w:shd w:val="clear" w:color="auto" w:fill="auto"/>
          </w:tcPr>
          <w:p w14:paraId="6706A4A1" w14:textId="77777777" w:rsidR="00886521" w:rsidRDefault="00886521" w:rsidP="00663878">
            <w:pPr>
              <w:pStyle w:val="Normal1linespace"/>
              <w:widowControl w:val="0"/>
              <w:jc w:val="left"/>
            </w:pPr>
            <w:r>
              <w:t>Appeal from:</w:t>
            </w:r>
          </w:p>
        </w:tc>
        <w:tc>
          <w:tcPr>
            <w:tcW w:w="5989" w:type="dxa"/>
            <w:shd w:val="clear" w:color="auto" w:fill="auto"/>
          </w:tcPr>
          <w:p w14:paraId="04E6AC3A" w14:textId="77777777" w:rsidR="00886521" w:rsidRPr="00886521" w:rsidRDefault="00886521" w:rsidP="00886521">
            <w:pPr>
              <w:pStyle w:val="Normal1linespace"/>
              <w:jc w:val="left"/>
            </w:pPr>
            <w:r w:rsidRPr="00886521">
              <w:rPr>
                <w:i/>
              </w:rPr>
              <w:t>Tucker v Broderick</w:t>
            </w:r>
            <w:r w:rsidRPr="00886521">
              <w:t xml:space="preserve"> [2021] FCA 1492</w:t>
            </w:r>
          </w:p>
        </w:tc>
      </w:tr>
      <w:tr w:rsidR="00886521" w14:paraId="0D01F982" w14:textId="77777777" w:rsidTr="00CE556A">
        <w:tc>
          <w:tcPr>
            <w:tcW w:w="3084" w:type="dxa"/>
            <w:shd w:val="clear" w:color="auto" w:fill="auto"/>
          </w:tcPr>
          <w:p w14:paraId="1A595B34" w14:textId="77777777" w:rsidR="00886521" w:rsidRDefault="00886521" w:rsidP="00663878">
            <w:pPr>
              <w:pStyle w:val="Normal1linespace"/>
              <w:widowControl w:val="0"/>
              <w:jc w:val="left"/>
            </w:pPr>
          </w:p>
        </w:tc>
        <w:tc>
          <w:tcPr>
            <w:tcW w:w="5989" w:type="dxa"/>
            <w:shd w:val="clear" w:color="auto" w:fill="auto"/>
          </w:tcPr>
          <w:p w14:paraId="710CA424" w14:textId="77777777" w:rsidR="00886521" w:rsidRPr="00886521" w:rsidRDefault="00886521" w:rsidP="00886521">
            <w:pPr>
              <w:pStyle w:val="Normal1linespace"/>
              <w:jc w:val="left"/>
            </w:pPr>
          </w:p>
        </w:tc>
      </w:tr>
      <w:tr w:rsidR="00395B24" w14:paraId="5EC11E65" w14:textId="77777777" w:rsidTr="00CE556A">
        <w:tc>
          <w:tcPr>
            <w:tcW w:w="3084" w:type="dxa"/>
            <w:shd w:val="clear" w:color="auto" w:fill="auto"/>
          </w:tcPr>
          <w:p w14:paraId="1FCDB098" w14:textId="77777777" w:rsidR="00395B24" w:rsidRDefault="00886521" w:rsidP="00663878">
            <w:pPr>
              <w:pStyle w:val="Normal1linespace"/>
              <w:widowControl w:val="0"/>
              <w:jc w:val="left"/>
            </w:pPr>
            <w:r>
              <w:t>File number:</w:t>
            </w:r>
          </w:p>
        </w:tc>
        <w:tc>
          <w:tcPr>
            <w:tcW w:w="5989" w:type="dxa"/>
            <w:shd w:val="clear" w:color="auto" w:fill="auto"/>
          </w:tcPr>
          <w:p w14:paraId="30FC6BD2" w14:textId="77777777" w:rsidR="00395B24" w:rsidRPr="00886521" w:rsidRDefault="007B7026" w:rsidP="00886521">
            <w:pPr>
              <w:pStyle w:val="Normal1linespace"/>
              <w:jc w:val="left"/>
            </w:pPr>
            <w:fldSimple w:instr=" REF  FileNo  \* MERGEFORMAT " w:fldLock="1">
              <w:r w:rsidR="00886521" w:rsidRPr="00886521">
                <w:t>VID 775 of 2021</w:t>
              </w:r>
            </w:fldSimple>
          </w:p>
        </w:tc>
      </w:tr>
      <w:tr w:rsidR="00395B24" w14:paraId="7001A68D" w14:textId="77777777" w:rsidTr="00CE556A">
        <w:tc>
          <w:tcPr>
            <w:tcW w:w="3084" w:type="dxa"/>
            <w:shd w:val="clear" w:color="auto" w:fill="auto"/>
          </w:tcPr>
          <w:p w14:paraId="31B7F0FE" w14:textId="77777777" w:rsidR="00395B24" w:rsidRDefault="00395B24" w:rsidP="00663878">
            <w:pPr>
              <w:pStyle w:val="Normal1linespace"/>
              <w:widowControl w:val="0"/>
              <w:jc w:val="left"/>
            </w:pPr>
          </w:p>
        </w:tc>
        <w:tc>
          <w:tcPr>
            <w:tcW w:w="5989" w:type="dxa"/>
            <w:shd w:val="clear" w:color="auto" w:fill="auto"/>
          </w:tcPr>
          <w:p w14:paraId="78A5141D" w14:textId="77777777" w:rsidR="00395B24" w:rsidRDefault="00395B24" w:rsidP="00663878">
            <w:pPr>
              <w:pStyle w:val="Normal1linespace"/>
              <w:widowControl w:val="0"/>
              <w:jc w:val="left"/>
            </w:pPr>
          </w:p>
        </w:tc>
      </w:tr>
      <w:tr w:rsidR="00395B24" w14:paraId="610CB181" w14:textId="77777777" w:rsidTr="00CE556A">
        <w:tc>
          <w:tcPr>
            <w:tcW w:w="3084" w:type="dxa"/>
            <w:shd w:val="clear" w:color="auto" w:fill="auto"/>
          </w:tcPr>
          <w:p w14:paraId="0A5F5F8B"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7E115C4" w14:textId="77777777" w:rsidR="00395B24" w:rsidRPr="00F8305D" w:rsidRDefault="002C7385" w:rsidP="00886521">
            <w:pPr>
              <w:pStyle w:val="Normal1linespace"/>
              <w:widowControl w:val="0"/>
              <w:jc w:val="left"/>
              <w:rPr>
                <w:b/>
              </w:rPr>
            </w:pPr>
            <w:r w:rsidRPr="00F8305D">
              <w:rPr>
                <w:b/>
              </w:rPr>
              <w:fldChar w:fldCharType="begin" w:fldLock="1"/>
            </w:r>
            <w:r w:rsidRPr="00F8305D">
              <w:rPr>
                <w:b/>
              </w:rPr>
              <w:instrText xml:space="preserve"> REF  Judge  \* MERGEFORMAT </w:instrText>
            </w:r>
            <w:r w:rsidRPr="00F8305D">
              <w:rPr>
                <w:b/>
              </w:rPr>
              <w:fldChar w:fldCharType="separate"/>
            </w:r>
            <w:r w:rsidR="005379C4" w:rsidRPr="00F8305D">
              <w:rPr>
                <w:b/>
                <w:caps/>
                <w:szCs w:val="24"/>
              </w:rPr>
              <w:t>BROMBERG, BROMWICH AND</w:t>
            </w:r>
            <w:r w:rsidR="00886521" w:rsidRPr="00F8305D">
              <w:rPr>
                <w:b/>
                <w:caps/>
                <w:szCs w:val="24"/>
              </w:rPr>
              <w:t xml:space="preserve"> MCEVOY JJ </w:t>
            </w:r>
            <w:r w:rsidRPr="00F8305D">
              <w:rPr>
                <w:b/>
              </w:rPr>
              <w:fldChar w:fldCharType="end"/>
            </w:r>
          </w:p>
        </w:tc>
      </w:tr>
      <w:tr w:rsidR="00395B24" w14:paraId="0891981F" w14:textId="77777777" w:rsidTr="00CE556A">
        <w:tc>
          <w:tcPr>
            <w:tcW w:w="3084" w:type="dxa"/>
            <w:shd w:val="clear" w:color="auto" w:fill="auto"/>
          </w:tcPr>
          <w:p w14:paraId="3F028FA2" w14:textId="77777777" w:rsidR="00395B24" w:rsidRDefault="00395B24" w:rsidP="00663878">
            <w:pPr>
              <w:pStyle w:val="Normal1linespace"/>
              <w:widowControl w:val="0"/>
              <w:jc w:val="left"/>
            </w:pPr>
          </w:p>
        </w:tc>
        <w:tc>
          <w:tcPr>
            <w:tcW w:w="5989" w:type="dxa"/>
            <w:shd w:val="clear" w:color="auto" w:fill="auto"/>
          </w:tcPr>
          <w:p w14:paraId="604D17A9" w14:textId="77777777" w:rsidR="00395B24" w:rsidRPr="00F8305D" w:rsidRDefault="00395B24" w:rsidP="00663878">
            <w:pPr>
              <w:pStyle w:val="Normal1linespace"/>
              <w:widowControl w:val="0"/>
              <w:jc w:val="left"/>
            </w:pPr>
          </w:p>
        </w:tc>
      </w:tr>
      <w:tr w:rsidR="00395B24" w14:paraId="081A2FC3" w14:textId="77777777" w:rsidTr="00CE556A">
        <w:tc>
          <w:tcPr>
            <w:tcW w:w="3084" w:type="dxa"/>
            <w:shd w:val="clear" w:color="auto" w:fill="auto"/>
          </w:tcPr>
          <w:p w14:paraId="54859C0D" w14:textId="77777777" w:rsidR="00395B24" w:rsidRPr="00493A31" w:rsidRDefault="002C7385" w:rsidP="00663878">
            <w:pPr>
              <w:pStyle w:val="Normal1linespace"/>
              <w:widowControl w:val="0"/>
              <w:jc w:val="left"/>
            </w:pPr>
            <w:r w:rsidRPr="00493A31">
              <w:t>Date of judgment:</w:t>
            </w:r>
          </w:p>
        </w:tc>
        <w:tc>
          <w:tcPr>
            <w:tcW w:w="5989" w:type="dxa"/>
            <w:shd w:val="clear" w:color="auto" w:fill="auto"/>
          </w:tcPr>
          <w:p w14:paraId="24C080CE" w14:textId="7A3477EB" w:rsidR="00395B24" w:rsidRPr="00493A31" w:rsidRDefault="00F8305D" w:rsidP="00F45D4B">
            <w:pPr>
              <w:pStyle w:val="Normal1linespace"/>
              <w:widowControl w:val="0"/>
              <w:jc w:val="left"/>
            </w:pPr>
            <w:bookmarkStart w:id="1" w:name="JudgmentDate"/>
            <w:bookmarkEnd w:id="1"/>
            <w:r w:rsidRPr="00493A31">
              <w:t>28 October 2022</w:t>
            </w:r>
          </w:p>
        </w:tc>
      </w:tr>
      <w:tr w:rsidR="00395B24" w14:paraId="45153700" w14:textId="77777777" w:rsidTr="00CE556A">
        <w:tc>
          <w:tcPr>
            <w:tcW w:w="3084" w:type="dxa"/>
            <w:shd w:val="clear" w:color="auto" w:fill="auto"/>
          </w:tcPr>
          <w:p w14:paraId="6FA705E8" w14:textId="77777777" w:rsidR="00395B24" w:rsidRPr="00493A31" w:rsidRDefault="00395B24" w:rsidP="00663878">
            <w:pPr>
              <w:pStyle w:val="Normal1linespace"/>
              <w:widowControl w:val="0"/>
              <w:jc w:val="left"/>
            </w:pPr>
          </w:p>
        </w:tc>
        <w:tc>
          <w:tcPr>
            <w:tcW w:w="5989" w:type="dxa"/>
            <w:shd w:val="clear" w:color="auto" w:fill="auto"/>
          </w:tcPr>
          <w:p w14:paraId="759A8CB7" w14:textId="77777777" w:rsidR="00395B24" w:rsidRPr="00493A31" w:rsidRDefault="00395B24" w:rsidP="00663878">
            <w:pPr>
              <w:pStyle w:val="Normal1linespace"/>
              <w:widowControl w:val="0"/>
              <w:jc w:val="left"/>
            </w:pPr>
          </w:p>
        </w:tc>
      </w:tr>
      <w:tr w:rsidR="00395B24" w14:paraId="5089D90E" w14:textId="77777777" w:rsidTr="003B3476">
        <w:trPr>
          <w:trHeight w:val="1900"/>
        </w:trPr>
        <w:tc>
          <w:tcPr>
            <w:tcW w:w="3084" w:type="dxa"/>
            <w:shd w:val="clear" w:color="auto" w:fill="auto"/>
          </w:tcPr>
          <w:p w14:paraId="59EBD1D7" w14:textId="77777777" w:rsidR="00395B24" w:rsidRPr="00493A31" w:rsidRDefault="002C7385" w:rsidP="00663878">
            <w:pPr>
              <w:pStyle w:val="Normal1linespace"/>
              <w:widowControl w:val="0"/>
              <w:jc w:val="left"/>
            </w:pPr>
            <w:r w:rsidRPr="00493A31">
              <w:t>Catchwords:</w:t>
            </w:r>
          </w:p>
        </w:tc>
        <w:tc>
          <w:tcPr>
            <w:tcW w:w="5989" w:type="dxa"/>
            <w:shd w:val="clear" w:color="auto" w:fill="auto"/>
          </w:tcPr>
          <w:p w14:paraId="46DE12F3" w14:textId="3CA9BED1" w:rsidR="00395B24" w:rsidRPr="00493A31" w:rsidRDefault="008E55DA" w:rsidP="002B027E">
            <w:pPr>
              <w:spacing w:line="240" w:lineRule="auto"/>
              <w:rPr>
                <w:sz w:val="22"/>
              </w:rPr>
            </w:pPr>
            <w:proofErr w:type="gramStart"/>
            <w:r w:rsidRPr="00493A31">
              <w:rPr>
                <w:b/>
              </w:rPr>
              <w:t>INDUSTRIAL RELATIONS</w:t>
            </w:r>
            <w:r w:rsidRPr="00493A31">
              <w:t xml:space="preserve"> – appeal from orders summarily dismissing proceeding pursuant to r 26.01 of the </w:t>
            </w:r>
            <w:r w:rsidRPr="00493A31">
              <w:rPr>
                <w:i/>
              </w:rPr>
              <w:t xml:space="preserve">Federal Court Rules 2011 </w:t>
            </w:r>
            <w:r w:rsidRPr="00493A31">
              <w:t>(</w:t>
            </w:r>
            <w:proofErr w:type="spellStart"/>
            <w:r w:rsidRPr="00493A31">
              <w:t>Cth</w:t>
            </w:r>
            <w:proofErr w:type="spellEnd"/>
            <w:r w:rsidRPr="00493A31">
              <w:t xml:space="preserve">) – </w:t>
            </w:r>
            <w:r>
              <w:t xml:space="preserve">primary judge </w:t>
            </w:r>
            <w:r w:rsidR="002B027E">
              <w:t>determined</w:t>
            </w:r>
            <w:r>
              <w:t xml:space="preserve"> that claims in the Federal Court were plainly founded on an issue already pleaded and resolved in the Supreme Court </w:t>
            </w:r>
            <w:r w:rsidR="002B027E">
              <w:t>of Victoria and</w:t>
            </w:r>
            <w:r>
              <w:t xml:space="preserve"> that </w:t>
            </w:r>
            <w:r w:rsidR="00AA33CB">
              <w:t xml:space="preserve">the </w:t>
            </w:r>
            <w:r>
              <w:t xml:space="preserve">causes of action pleaded </w:t>
            </w:r>
            <w:r w:rsidR="002B027E">
              <w:t>had merged in the judgment of</w:t>
            </w:r>
            <w:r>
              <w:t xml:space="preserve"> the Supreme Court –</w:t>
            </w:r>
            <w:r w:rsidR="002B027E">
              <w:t xml:space="preserve"> </w:t>
            </w:r>
            <w:r>
              <w:t xml:space="preserve">cause of action estoppel </w:t>
            </w:r>
            <w:r w:rsidR="002B027E" w:rsidRPr="00493A31">
              <w:t xml:space="preserve"> – </w:t>
            </w:r>
            <w:r>
              <w:t xml:space="preserve"> </w:t>
            </w:r>
            <w:r w:rsidRPr="00493A31">
              <w:t>proceeding</w:t>
            </w:r>
            <w:r w:rsidR="002B027E">
              <w:t xml:space="preserve"> determined to be </w:t>
            </w:r>
            <w:r w:rsidRPr="00493A31">
              <w:t xml:space="preserve">an abuse of process which sought to vex the respondents with the same claim – </w:t>
            </w:r>
            <w:r>
              <w:t xml:space="preserve">primary judge found appellant’s claim based on the Victorian Model Litigant Guidelines was hopeless as no relevant cause of action </w:t>
            </w:r>
            <w:r w:rsidRPr="00493A31">
              <w:t>–</w:t>
            </w:r>
            <w:r>
              <w:t xml:space="preserve">  </w:t>
            </w:r>
            <w:r w:rsidRPr="00493A31">
              <w:t>appellant makes no challenge to key aspect of primary judge’s finding that the proceeding constitutes an abuse of process – primary judge adequately explained findings – appeal had no prospect of success – appeal dismissed.</w:t>
            </w:r>
            <w:proofErr w:type="gramEnd"/>
          </w:p>
        </w:tc>
      </w:tr>
      <w:tr w:rsidR="00395B24" w14:paraId="3E256FCA" w14:textId="77777777" w:rsidTr="00CE556A">
        <w:tc>
          <w:tcPr>
            <w:tcW w:w="3084" w:type="dxa"/>
            <w:shd w:val="clear" w:color="auto" w:fill="auto"/>
          </w:tcPr>
          <w:p w14:paraId="5358D3B0" w14:textId="77777777" w:rsidR="00395B24" w:rsidRDefault="00395B24" w:rsidP="00663878">
            <w:pPr>
              <w:pStyle w:val="Normal1linespace"/>
              <w:widowControl w:val="0"/>
              <w:jc w:val="left"/>
            </w:pPr>
          </w:p>
        </w:tc>
        <w:tc>
          <w:tcPr>
            <w:tcW w:w="5989" w:type="dxa"/>
            <w:shd w:val="clear" w:color="auto" w:fill="auto"/>
          </w:tcPr>
          <w:p w14:paraId="11BDEC78" w14:textId="77777777" w:rsidR="00395B24" w:rsidRDefault="00395B24" w:rsidP="00663878">
            <w:pPr>
              <w:pStyle w:val="Normal1linespace"/>
              <w:widowControl w:val="0"/>
              <w:jc w:val="left"/>
            </w:pPr>
          </w:p>
        </w:tc>
      </w:tr>
      <w:tr w:rsidR="00395B24" w14:paraId="27C9F6A4" w14:textId="77777777" w:rsidTr="00CE556A">
        <w:tc>
          <w:tcPr>
            <w:tcW w:w="3084" w:type="dxa"/>
            <w:shd w:val="clear" w:color="auto" w:fill="auto"/>
          </w:tcPr>
          <w:p w14:paraId="3D3E7B10" w14:textId="77777777" w:rsidR="00395B24" w:rsidRDefault="002C7385" w:rsidP="00663878">
            <w:pPr>
              <w:pStyle w:val="Normal1linespace"/>
              <w:widowControl w:val="0"/>
              <w:jc w:val="left"/>
            </w:pPr>
            <w:r>
              <w:t>Legislation:</w:t>
            </w:r>
          </w:p>
        </w:tc>
        <w:tc>
          <w:tcPr>
            <w:tcW w:w="5989" w:type="dxa"/>
            <w:shd w:val="clear" w:color="auto" w:fill="auto"/>
          </w:tcPr>
          <w:p w14:paraId="01292F9A" w14:textId="77777777" w:rsidR="009E6059" w:rsidRPr="007B598C" w:rsidRDefault="009E6059" w:rsidP="009E6059">
            <w:pPr>
              <w:pStyle w:val="CasesLegislationAppealFrom"/>
              <w:spacing w:after="60"/>
              <w:rPr>
                <w:i/>
              </w:rPr>
            </w:pPr>
            <w:bookmarkStart w:id="2" w:name="Legislation"/>
            <w:r>
              <w:rPr>
                <w:i/>
              </w:rPr>
              <w:t xml:space="preserve">Fair Work Act 2009 </w:t>
            </w:r>
            <w:r>
              <w:t>(</w:t>
            </w:r>
            <w:proofErr w:type="spellStart"/>
            <w:r>
              <w:t>Cth</w:t>
            </w:r>
            <w:proofErr w:type="spellEnd"/>
            <w:r>
              <w:t xml:space="preserve">) </w:t>
            </w:r>
            <w:proofErr w:type="spellStart"/>
            <w:r>
              <w:t>ss</w:t>
            </w:r>
            <w:proofErr w:type="spellEnd"/>
            <w:r>
              <w:t xml:space="preserve"> 50, 546, 570(2)(a), 570(2)(b)</w:t>
            </w:r>
          </w:p>
          <w:p w14:paraId="2413E058" w14:textId="77777777" w:rsidR="009E6059" w:rsidRPr="007B598C" w:rsidRDefault="009E6059" w:rsidP="009E6059">
            <w:pPr>
              <w:pStyle w:val="CasesLegislationAppealFrom"/>
              <w:spacing w:after="60"/>
              <w:rPr>
                <w:i/>
              </w:rPr>
            </w:pPr>
            <w:r w:rsidRPr="007B598C">
              <w:rPr>
                <w:i/>
              </w:rPr>
              <w:t xml:space="preserve">Federal Court of Australia Act 1976 </w:t>
            </w:r>
            <w:r w:rsidRPr="00B61A57">
              <w:t>(</w:t>
            </w:r>
            <w:proofErr w:type="spellStart"/>
            <w:r w:rsidRPr="00B61A57">
              <w:t>Cth</w:t>
            </w:r>
            <w:proofErr w:type="spellEnd"/>
            <w:r w:rsidRPr="00B61A57">
              <w:t>)</w:t>
            </w:r>
            <w:r w:rsidRPr="007B598C">
              <w:rPr>
                <w:i/>
              </w:rPr>
              <w:t xml:space="preserve"> </w:t>
            </w:r>
            <w:proofErr w:type="spellStart"/>
            <w:r w:rsidRPr="007B598C">
              <w:t>ss</w:t>
            </w:r>
            <w:proofErr w:type="spellEnd"/>
            <w:r w:rsidRPr="007B598C">
              <w:t xml:space="preserve"> 51A, 52</w:t>
            </w:r>
          </w:p>
          <w:p w14:paraId="299248B1" w14:textId="77777777" w:rsidR="009E6059" w:rsidRDefault="009E6059" w:rsidP="009E6059">
            <w:pPr>
              <w:pStyle w:val="CasesLegislationAppealFrom"/>
              <w:spacing w:after="60"/>
            </w:pPr>
            <w:r w:rsidRPr="00BA448A">
              <w:rPr>
                <w:i/>
              </w:rPr>
              <w:t xml:space="preserve">Federal Court Rules 2011 </w:t>
            </w:r>
            <w:r>
              <w:t>(</w:t>
            </w:r>
            <w:proofErr w:type="spellStart"/>
            <w:r>
              <w:t>Cth</w:t>
            </w:r>
            <w:proofErr w:type="spellEnd"/>
            <w:r>
              <w:t>) r 26.01</w:t>
            </w:r>
          </w:p>
          <w:p w14:paraId="5348ADDE" w14:textId="36922C90" w:rsidR="009E6059" w:rsidRPr="009E6059" w:rsidRDefault="009E6059" w:rsidP="007B598C">
            <w:pPr>
              <w:pStyle w:val="CasesLegislationAppealFrom"/>
              <w:spacing w:after="60"/>
            </w:pPr>
            <w:r w:rsidRPr="006F3BF3">
              <w:rPr>
                <w:i/>
              </w:rPr>
              <w:t>Judiciary Act 1903</w:t>
            </w:r>
            <w:r>
              <w:t xml:space="preserve"> (</w:t>
            </w:r>
            <w:proofErr w:type="spellStart"/>
            <w:r>
              <w:t>Cth</w:t>
            </w:r>
            <w:proofErr w:type="spellEnd"/>
            <w:r>
              <w:t xml:space="preserve">) s 39(2) </w:t>
            </w:r>
          </w:p>
          <w:p w14:paraId="0A1A7ED2" w14:textId="5E21D72C" w:rsidR="007B598C" w:rsidRDefault="007B598C" w:rsidP="007B598C">
            <w:pPr>
              <w:pStyle w:val="CasesLegislationAppealFrom"/>
              <w:spacing w:after="60"/>
              <w:rPr>
                <w:i/>
              </w:rPr>
            </w:pPr>
            <w:r>
              <w:rPr>
                <w:i/>
              </w:rPr>
              <w:t xml:space="preserve">Civil Procedure Act 2010 </w:t>
            </w:r>
            <w:r w:rsidRPr="00B002A8">
              <w:t>(Vic)</w:t>
            </w:r>
          </w:p>
          <w:p w14:paraId="6F802AF4" w14:textId="5602BFF1" w:rsidR="00425E0B" w:rsidRDefault="00425E0B" w:rsidP="00D82620">
            <w:pPr>
              <w:pStyle w:val="CasesLegislationAppealFrom"/>
              <w:spacing w:after="60"/>
            </w:pPr>
            <w:r w:rsidRPr="00425E0B">
              <w:rPr>
                <w:i/>
              </w:rPr>
              <w:t>J</w:t>
            </w:r>
            <w:r w:rsidRPr="004556B1">
              <w:rPr>
                <w:i/>
              </w:rPr>
              <w:t>urisdiction of Courts (Cross-Vesting) Act 1987</w:t>
            </w:r>
            <w:r>
              <w:t xml:space="preserve"> (Vic)</w:t>
            </w:r>
            <w:r w:rsidR="00F216C1">
              <w:t xml:space="preserve"> s 5</w:t>
            </w:r>
          </w:p>
          <w:p w14:paraId="302C1FBA" w14:textId="18F777F8" w:rsidR="00395B24" w:rsidRDefault="00A90E3B" w:rsidP="00D82620">
            <w:pPr>
              <w:pStyle w:val="CasesLegislationAppealFrom"/>
              <w:spacing w:after="60"/>
            </w:pPr>
            <w:r w:rsidRPr="00BA448A">
              <w:rPr>
                <w:i/>
              </w:rPr>
              <w:t>Public Administr</w:t>
            </w:r>
            <w:r w:rsidRPr="00975700">
              <w:rPr>
                <w:i/>
              </w:rPr>
              <w:t xml:space="preserve">ation Act 2004 </w:t>
            </w:r>
            <w:r w:rsidRPr="00487DB6">
              <w:t>(Vic)</w:t>
            </w:r>
            <w:r w:rsidR="007B598C">
              <w:t xml:space="preserve"> </w:t>
            </w:r>
            <w:proofErr w:type="spellStart"/>
            <w:r w:rsidR="007B598C">
              <w:t>ss</w:t>
            </w:r>
            <w:proofErr w:type="spellEnd"/>
            <w:r w:rsidR="007B598C">
              <w:t xml:space="preserve"> 8(b), 20(3), 20(3)(c)</w:t>
            </w:r>
            <w:r w:rsidR="002C7385">
              <w:t xml:space="preserve"> </w:t>
            </w:r>
            <w:bookmarkEnd w:id="2"/>
          </w:p>
        </w:tc>
      </w:tr>
      <w:tr w:rsidR="00395B24" w14:paraId="62E81209" w14:textId="77777777" w:rsidTr="00CE556A">
        <w:tc>
          <w:tcPr>
            <w:tcW w:w="3084" w:type="dxa"/>
            <w:shd w:val="clear" w:color="auto" w:fill="auto"/>
          </w:tcPr>
          <w:p w14:paraId="0A07C3C7" w14:textId="77777777" w:rsidR="00395B24" w:rsidRDefault="00395B24" w:rsidP="00663878">
            <w:pPr>
              <w:pStyle w:val="Normal1linespace"/>
              <w:widowControl w:val="0"/>
              <w:jc w:val="left"/>
            </w:pPr>
          </w:p>
        </w:tc>
        <w:tc>
          <w:tcPr>
            <w:tcW w:w="5989" w:type="dxa"/>
            <w:shd w:val="clear" w:color="auto" w:fill="auto"/>
          </w:tcPr>
          <w:p w14:paraId="66EE66BB" w14:textId="77777777" w:rsidR="00395B24" w:rsidRDefault="00395B24" w:rsidP="00663878">
            <w:pPr>
              <w:pStyle w:val="Normal1linespace"/>
              <w:widowControl w:val="0"/>
              <w:jc w:val="left"/>
            </w:pPr>
          </w:p>
        </w:tc>
      </w:tr>
      <w:tr w:rsidR="00395B24" w14:paraId="74F132AE" w14:textId="77777777" w:rsidTr="00CE556A">
        <w:tc>
          <w:tcPr>
            <w:tcW w:w="3084" w:type="dxa"/>
            <w:shd w:val="clear" w:color="auto" w:fill="auto"/>
          </w:tcPr>
          <w:p w14:paraId="7C08D801" w14:textId="77777777" w:rsidR="00395B24" w:rsidRDefault="002C7385" w:rsidP="00663878">
            <w:pPr>
              <w:pStyle w:val="Normal1linespace"/>
              <w:widowControl w:val="0"/>
              <w:jc w:val="left"/>
            </w:pPr>
            <w:r>
              <w:t>Cases cited:</w:t>
            </w:r>
          </w:p>
        </w:tc>
        <w:tc>
          <w:tcPr>
            <w:tcW w:w="5989" w:type="dxa"/>
            <w:shd w:val="clear" w:color="auto" w:fill="auto"/>
          </w:tcPr>
          <w:p w14:paraId="7C7F8A6C" w14:textId="48D384F0" w:rsidR="00A52F9D" w:rsidRDefault="00A52F9D" w:rsidP="004A7260">
            <w:pPr>
              <w:pStyle w:val="CasesLegislationAppealFrom"/>
              <w:spacing w:after="60"/>
            </w:pPr>
            <w:bookmarkStart w:id="3" w:name="Cases_Cited"/>
            <w:r w:rsidRPr="00EA209B">
              <w:rPr>
                <w:i/>
              </w:rPr>
              <w:t>Bass v Permanent Trustee Company Ltd</w:t>
            </w:r>
            <w:r w:rsidRPr="00EA209B">
              <w:t xml:space="preserve"> (1999) 198 CLR 334</w:t>
            </w:r>
            <w:r w:rsidR="003E2CE8">
              <w:t xml:space="preserve">; [1999] HCA 9 </w:t>
            </w:r>
          </w:p>
          <w:p w14:paraId="759FC7A5" w14:textId="6324CFBB" w:rsidR="004B108E" w:rsidRDefault="004B108E" w:rsidP="004A7260">
            <w:pPr>
              <w:pStyle w:val="CasesLegislationAppealFrom"/>
              <w:spacing w:after="60"/>
            </w:pPr>
            <w:proofErr w:type="spellStart"/>
            <w:r w:rsidRPr="004B108E">
              <w:rPr>
                <w:i/>
              </w:rPr>
              <w:t>Batistatos</w:t>
            </w:r>
            <w:proofErr w:type="spellEnd"/>
            <w:r w:rsidRPr="004B108E">
              <w:rPr>
                <w:i/>
              </w:rPr>
              <w:t xml:space="preserve"> v Roads and Traffic Authority </w:t>
            </w:r>
            <w:r>
              <w:rPr>
                <w:i/>
              </w:rPr>
              <w:t xml:space="preserve">of New South Wales </w:t>
            </w:r>
            <w:r w:rsidRPr="004B108E">
              <w:t xml:space="preserve">(2006) </w:t>
            </w:r>
            <w:r>
              <w:t xml:space="preserve">226 </w:t>
            </w:r>
            <w:r w:rsidRPr="004B108E">
              <w:t>CLR 256</w:t>
            </w:r>
            <w:r>
              <w:t>; [206] HCA 27</w:t>
            </w:r>
          </w:p>
          <w:p w14:paraId="39834E72" w14:textId="571F1213" w:rsidR="00F05BBA" w:rsidRDefault="00F05BBA" w:rsidP="004A7260">
            <w:pPr>
              <w:pStyle w:val="CasesLegislationAppealFrom"/>
              <w:spacing w:after="60"/>
            </w:pPr>
            <w:proofErr w:type="spellStart"/>
            <w:r>
              <w:rPr>
                <w:i/>
              </w:rPr>
              <w:t>Boensch</w:t>
            </w:r>
            <w:proofErr w:type="spellEnd"/>
            <w:r>
              <w:rPr>
                <w:i/>
              </w:rPr>
              <w:t xml:space="preserve"> v Pascoe </w:t>
            </w:r>
            <w:r>
              <w:t xml:space="preserve">(2019) 268 CLR 593; </w:t>
            </w:r>
            <w:r w:rsidR="004A7260">
              <w:t>[2019] HCA 49</w:t>
            </w:r>
          </w:p>
          <w:p w14:paraId="2A605C52" w14:textId="2976C575" w:rsidR="00A52F9D" w:rsidRDefault="00A52F9D" w:rsidP="004A7260">
            <w:pPr>
              <w:pStyle w:val="CasesLegislationAppealFrom"/>
              <w:spacing w:after="60"/>
            </w:pPr>
            <w:r w:rsidRPr="00EE0972">
              <w:rPr>
                <w:i/>
              </w:rPr>
              <w:t>Clayton v Bant</w:t>
            </w:r>
            <w:r>
              <w:t xml:space="preserve"> (2020) </w:t>
            </w:r>
            <w:r w:rsidR="00E7324A">
              <w:t>272 CLR 1</w:t>
            </w:r>
            <w:r>
              <w:t>; [2020] HCA 44</w:t>
            </w:r>
            <w:r w:rsidR="00E94298">
              <w:t xml:space="preserve"> </w:t>
            </w:r>
          </w:p>
          <w:p w14:paraId="5EBDF540" w14:textId="77777777" w:rsidR="00EB0BF1" w:rsidRDefault="00EB0BF1" w:rsidP="004A7260">
            <w:pPr>
              <w:pStyle w:val="CasesLegislationAppealFrom"/>
              <w:spacing w:after="60"/>
            </w:pPr>
            <w:proofErr w:type="spellStart"/>
            <w:r w:rsidRPr="001D4847">
              <w:rPr>
                <w:i/>
              </w:rPr>
              <w:t>Comaz</w:t>
            </w:r>
            <w:proofErr w:type="spellEnd"/>
            <w:r w:rsidRPr="001D4847">
              <w:rPr>
                <w:i/>
              </w:rPr>
              <w:t xml:space="preserve"> (</w:t>
            </w:r>
            <w:proofErr w:type="spellStart"/>
            <w:r w:rsidRPr="001D4847">
              <w:rPr>
                <w:i/>
              </w:rPr>
              <w:t>Aust</w:t>
            </w:r>
            <w:proofErr w:type="spellEnd"/>
            <w:r w:rsidRPr="001D4847">
              <w:rPr>
                <w:i/>
              </w:rPr>
              <w:t>) Pty Ltd v Commissioner of State Revenue</w:t>
            </w:r>
            <w:r>
              <w:t xml:space="preserve"> (2015) 101 ATR 339; [2015] VSC 294</w:t>
            </w:r>
          </w:p>
          <w:p w14:paraId="4866BA2E" w14:textId="1D69CAA1" w:rsidR="00EB0BF1" w:rsidRPr="00EB0BF1" w:rsidRDefault="00EB0BF1" w:rsidP="004A7260">
            <w:pPr>
              <w:pStyle w:val="CasesLegislationAppealFrom"/>
              <w:spacing w:after="60"/>
            </w:pPr>
            <w:proofErr w:type="spellStart"/>
            <w:r w:rsidRPr="004A7260">
              <w:rPr>
                <w:i/>
              </w:rPr>
              <w:lastRenderedPageBreak/>
              <w:t>Gronow</w:t>
            </w:r>
            <w:proofErr w:type="spellEnd"/>
            <w:r w:rsidRPr="004A7260">
              <w:rPr>
                <w:i/>
              </w:rPr>
              <w:t xml:space="preserve"> v </w:t>
            </w:r>
            <w:proofErr w:type="spellStart"/>
            <w:r w:rsidRPr="004A7260">
              <w:rPr>
                <w:i/>
              </w:rPr>
              <w:t>Gronow</w:t>
            </w:r>
            <w:proofErr w:type="spellEnd"/>
            <w:r w:rsidRPr="004A7260">
              <w:rPr>
                <w:i/>
              </w:rPr>
              <w:t xml:space="preserve"> </w:t>
            </w:r>
            <w:r w:rsidRPr="004A7260">
              <w:t xml:space="preserve">(1979) 144 CLR 513; </w:t>
            </w:r>
            <w:r w:rsidR="004A7260" w:rsidRPr="004A7260">
              <w:t>(1979) FLC 90-716</w:t>
            </w:r>
          </w:p>
          <w:p w14:paraId="37231C5D" w14:textId="44E3D9D9" w:rsidR="003E2CE8" w:rsidRDefault="003E2CE8" w:rsidP="004A7260">
            <w:pPr>
              <w:pStyle w:val="CasesLegislationAppealFrom"/>
              <w:spacing w:after="60"/>
            </w:pPr>
            <w:r w:rsidRPr="0084393A">
              <w:rPr>
                <w:i/>
              </w:rPr>
              <w:t xml:space="preserve">House v </w:t>
            </w:r>
            <w:r w:rsidR="001E10F8">
              <w:rPr>
                <w:i/>
              </w:rPr>
              <w:t>R</w:t>
            </w:r>
            <w:r>
              <w:t xml:space="preserve"> (1936) 55 CLR 499; </w:t>
            </w:r>
            <w:r w:rsidR="00414CD2">
              <w:t>[1936] HCA 40</w:t>
            </w:r>
          </w:p>
          <w:p w14:paraId="0C3B293B" w14:textId="4EA20962" w:rsidR="000D6B3C" w:rsidRDefault="000D6B3C" w:rsidP="004A7260">
            <w:pPr>
              <w:pStyle w:val="CasesLegislationAppealFrom"/>
              <w:spacing w:after="60"/>
            </w:pPr>
            <w:r w:rsidRPr="001D4847">
              <w:rPr>
                <w:i/>
              </w:rPr>
              <w:t xml:space="preserve">North West Melbourne Recycling Pty Ltd v Commissioner of State Revenue (No 2) </w:t>
            </w:r>
            <w:r>
              <w:t>[2017] VSC 726</w:t>
            </w:r>
          </w:p>
          <w:p w14:paraId="09272DB0" w14:textId="17AC0C66" w:rsidR="00EB0BF1" w:rsidRDefault="00EB0BF1" w:rsidP="004A7260">
            <w:pPr>
              <w:pStyle w:val="CasesLegislationAppealFrom"/>
              <w:spacing w:after="60"/>
            </w:pPr>
            <w:proofErr w:type="spellStart"/>
            <w:r w:rsidRPr="007202D9">
              <w:rPr>
                <w:bCs/>
                <w:i/>
                <w:iCs/>
              </w:rPr>
              <w:t>Oswal</w:t>
            </w:r>
            <w:proofErr w:type="spellEnd"/>
            <w:r w:rsidRPr="007202D9">
              <w:rPr>
                <w:bCs/>
                <w:i/>
                <w:iCs/>
              </w:rPr>
              <w:t> v Burrup Fertilisers Pty Ltd (Receivers and Managers Appointed)</w:t>
            </w:r>
            <w:r>
              <w:rPr>
                <w:bCs/>
              </w:rPr>
              <w:t xml:space="preserve"> (</w:t>
            </w:r>
            <w:r w:rsidRPr="007202D9">
              <w:rPr>
                <w:bCs/>
              </w:rPr>
              <w:t>2011) 85 ACSR 531</w:t>
            </w:r>
            <w:r>
              <w:rPr>
                <w:bCs/>
              </w:rPr>
              <w:t xml:space="preserve">; </w:t>
            </w:r>
            <w:r w:rsidR="00B412CF">
              <w:rPr>
                <w:bCs/>
              </w:rPr>
              <w:t>[2011] FCAFC 117</w:t>
            </w:r>
          </w:p>
          <w:p w14:paraId="010933E2" w14:textId="172D6ACF" w:rsidR="00AD1160" w:rsidRDefault="00AD1160" w:rsidP="004A7260">
            <w:pPr>
              <w:pStyle w:val="CasesLegislationAppealFrom"/>
              <w:spacing w:after="60"/>
            </w:pPr>
            <w:r>
              <w:rPr>
                <w:i/>
              </w:rPr>
              <w:t xml:space="preserve">Perkins v County Court of Victoria </w:t>
            </w:r>
            <w:r>
              <w:t>(2000) 2 VR 246; [2000] VSCA 171</w:t>
            </w:r>
          </w:p>
          <w:p w14:paraId="44673727" w14:textId="3EC1FC81" w:rsidR="000D6B3C" w:rsidRDefault="000D6B3C" w:rsidP="004A7260">
            <w:pPr>
              <w:pStyle w:val="CasesLegislationAppealFrom"/>
              <w:spacing w:after="60"/>
            </w:pPr>
            <w:r>
              <w:rPr>
                <w:i/>
              </w:rPr>
              <w:t>R</w:t>
            </w:r>
            <w:r w:rsidRPr="00ED1A5E">
              <w:rPr>
                <w:i/>
              </w:rPr>
              <w:t xml:space="preserve"> v Carroll </w:t>
            </w:r>
            <w:r w:rsidRPr="00ED1A5E">
              <w:t>(2002) 213 CLR 635</w:t>
            </w:r>
            <w:r>
              <w:t>; [2002] HCA 55</w:t>
            </w:r>
          </w:p>
          <w:p w14:paraId="29F7DECC" w14:textId="73DCC09D" w:rsidR="00EB0BF1" w:rsidRDefault="00EB0BF1" w:rsidP="004A7260">
            <w:pPr>
              <w:pStyle w:val="CasesLegislationAppealFrom"/>
              <w:spacing w:after="60"/>
            </w:pPr>
            <w:proofErr w:type="spellStart"/>
            <w:r>
              <w:rPr>
                <w:i/>
              </w:rPr>
              <w:t>Razzy</w:t>
            </w:r>
            <w:proofErr w:type="spellEnd"/>
            <w:r>
              <w:rPr>
                <w:i/>
              </w:rPr>
              <w:t xml:space="preserve"> Australia Pty Ltd </w:t>
            </w:r>
            <w:r w:rsidRPr="001D4847">
              <w:rPr>
                <w:i/>
              </w:rPr>
              <w:t>v Commissioner of State Revenue</w:t>
            </w:r>
            <w:r>
              <w:t xml:space="preserve"> [2021] VSC 409</w:t>
            </w:r>
          </w:p>
          <w:p w14:paraId="1AAE5189" w14:textId="77777777" w:rsidR="003B3476" w:rsidRDefault="00AD1160" w:rsidP="004A7260">
            <w:pPr>
              <w:pStyle w:val="CasesLegislationAppealFrom"/>
              <w:spacing w:after="60"/>
            </w:pPr>
            <w:r w:rsidRPr="00AD1160">
              <w:rPr>
                <w:i/>
              </w:rPr>
              <w:t xml:space="preserve">Stoker v Adecco </w:t>
            </w:r>
            <w:proofErr w:type="spellStart"/>
            <w:r w:rsidRPr="00AD1160">
              <w:rPr>
                <w:i/>
              </w:rPr>
              <w:t>Gemvale</w:t>
            </w:r>
            <w:proofErr w:type="spellEnd"/>
            <w:r w:rsidRPr="00AD1160">
              <w:rPr>
                <w:i/>
              </w:rPr>
              <w:t xml:space="preserve"> Constructions Pty Ltd</w:t>
            </w:r>
            <w:r w:rsidRPr="00AD1160">
              <w:t xml:space="preserve"> [2004] NSWCA 449</w:t>
            </w:r>
          </w:p>
          <w:p w14:paraId="3876856A" w14:textId="7E9AFB79" w:rsidR="004A7260" w:rsidRDefault="00A52F9D" w:rsidP="004A7260">
            <w:pPr>
              <w:pStyle w:val="CasesLegislationAppealFrom"/>
              <w:spacing w:after="60"/>
            </w:pPr>
            <w:r w:rsidRPr="00EE0972">
              <w:rPr>
                <w:i/>
              </w:rPr>
              <w:t>Tomlinson v Ramsey Food Processing Pty Ltd</w:t>
            </w:r>
            <w:r>
              <w:t xml:space="preserve"> (2015) 256 CLR 507</w:t>
            </w:r>
            <w:r w:rsidR="00713909">
              <w:t>; [2015] HCA 28</w:t>
            </w:r>
          </w:p>
          <w:p w14:paraId="4E16CCFD" w14:textId="77777777" w:rsidR="004A7260" w:rsidRDefault="004A7260" w:rsidP="004A7260">
            <w:pPr>
              <w:pStyle w:val="CasesLegislationAppealFrom"/>
              <w:spacing w:after="60"/>
            </w:pPr>
            <w:r>
              <w:rPr>
                <w:i/>
              </w:rPr>
              <w:t>Tucker v Broderick</w:t>
            </w:r>
            <w:r>
              <w:t xml:space="preserve"> [2021] FCA 1492</w:t>
            </w:r>
          </w:p>
          <w:p w14:paraId="274C06FE" w14:textId="77777777" w:rsidR="004A7260" w:rsidRDefault="00E94298" w:rsidP="004A7260">
            <w:pPr>
              <w:pStyle w:val="CasesLegislationAppealFrom"/>
              <w:spacing w:after="60"/>
            </w:pPr>
            <w:r>
              <w:rPr>
                <w:i/>
              </w:rPr>
              <w:t>Tucker</w:t>
            </w:r>
            <w:r w:rsidRPr="00726B7D">
              <w:rPr>
                <w:i/>
              </w:rPr>
              <w:t xml:space="preserve"> v State of Victoria </w:t>
            </w:r>
            <w:r>
              <w:t>[2018] VSC 389</w:t>
            </w:r>
          </w:p>
          <w:p w14:paraId="6F7191A7" w14:textId="77777777" w:rsidR="004A7260" w:rsidRDefault="00A52F9D" w:rsidP="004A7260">
            <w:pPr>
              <w:pStyle w:val="CasesLegislationAppealFrom"/>
              <w:spacing w:after="60"/>
            </w:pPr>
            <w:r w:rsidRPr="00F01D6D">
              <w:rPr>
                <w:i/>
              </w:rPr>
              <w:t xml:space="preserve">Tucker v State of Victoria </w:t>
            </w:r>
            <w:r>
              <w:t>[2019] VSC 420</w:t>
            </w:r>
          </w:p>
          <w:p w14:paraId="75E00331" w14:textId="77777777" w:rsidR="004A7260" w:rsidRDefault="00965AA5" w:rsidP="004A7260">
            <w:pPr>
              <w:pStyle w:val="CasesLegislationAppealFrom"/>
              <w:spacing w:after="60"/>
            </w:pPr>
            <w:r w:rsidRPr="00EC3A98">
              <w:rPr>
                <w:i/>
              </w:rPr>
              <w:t>Tucker v State of Victoria</w:t>
            </w:r>
            <w:r>
              <w:t xml:space="preserve"> [2021] VSCA 120</w:t>
            </w:r>
          </w:p>
          <w:p w14:paraId="7A539E6A" w14:textId="78804433" w:rsidR="00395B24" w:rsidRPr="004A7260" w:rsidRDefault="004A7260" w:rsidP="004A7260">
            <w:pPr>
              <w:pStyle w:val="CasesLegislationAppealFrom"/>
              <w:spacing w:after="60"/>
            </w:pPr>
            <w:proofErr w:type="spellStart"/>
            <w:r>
              <w:rPr>
                <w:i/>
              </w:rPr>
              <w:t>Whisprun</w:t>
            </w:r>
            <w:proofErr w:type="spellEnd"/>
            <w:r>
              <w:rPr>
                <w:i/>
              </w:rPr>
              <w:t xml:space="preserve"> Pty Ltd v Dixon </w:t>
            </w:r>
            <w:r>
              <w:t>(2003) 200 ALR 447; [2003] HCA 48</w:t>
            </w:r>
            <w:r w:rsidR="002C7385">
              <w:t xml:space="preserve"> </w:t>
            </w:r>
            <w:bookmarkEnd w:id="3"/>
          </w:p>
        </w:tc>
      </w:tr>
      <w:tr w:rsidR="00886521" w14:paraId="3A59054E" w14:textId="77777777" w:rsidTr="00CE556A">
        <w:tc>
          <w:tcPr>
            <w:tcW w:w="3084" w:type="dxa"/>
            <w:shd w:val="clear" w:color="auto" w:fill="auto"/>
          </w:tcPr>
          <w:p w14:paraId="643225E2" w14:textId="77777777" w:rsidR="00886521" w:rsidRDefault="00886521" w:rsidP="00F8692B">
            <w:pPr>
              <w:pStyle w:val="Normal1linespace"/>
              <w:widowControl w:val="0"/>
            </w:pPr>
          </w:p>
        </w:tc>
        <w:tc>
          <w:tcPr>
            <w:tcW w:w="5989" w:type="dxa"/>
            <w:shd w:val="clear" w:color="auto" w:fill="auto"/>
          </w:tcPr>
          <w:p w14:paraId="72E445DC" w14:textId="77777777" w:rsidR="00886521" w:rsidRDefault="00886521" w:rsidP="00F8692B">
            <w:pPr>
              <w:pStyle w:val="Normal1linespace"/>
              <w:widowControl w:val="0"/>
              <w:jc w:val="left"/>
            </w:pPr>
          </w:p>
        </w:tc>
      </w:tr>
      <w:tr w:rsidR="00886521" w14:paraId="66376EE2" w14:textId="77777777" w:rsidTr="00CE556A">
        <w:tc>
          <w:tcPr>
            <w:tcW w:w="3084" w:type="dxa"/>
            <w:shd w:val="clear" w:color="auto" w:fill="auto"/>
          </w:tcPr>
          <w:p w14:paraId="042D48E5" w14:textId="77777777" w:rsidR="00886521" w:rsidRDefault="00886521" w:rsidP="00501A12">
            <w:pPr>
              <w:pStyle w:val="Normal1linespace"/>
              <w:widowControl w:val="0"/>
            </w:pPr>
            <w:r>
              <w:t>Division:</w:t>
            </w:r>
          </w:p>
        </w:tc>
        <w:tc>
          <w:tcPr>
            <w:tcW w:w="5989" w:type="dxa"/>
            <w:shd w:val="clear" w:color="auto" w:fill="auto"/>
          </w:tcPr>
          <w:p w14:paraId="58523E93" w14:textId="411B0DED" w:rsidR="00886521" w:rsidRPr="00F17599" w:rsidRDefault="009E6059" w:rsidP="00501A12">
            <w:pPr>
              <w:pStyle w:val="Normal1linespace"/>
              <w:widowControl w:val="0"/>
              <w:jc w:val="left"/>
            </w:pPr>
            <w:r>
              <w:t>Fair Work Division</w:t>
            </w:r>
          </w:p>
        </w:tc>
      </w:tr>
      <w:tr w:rsidR="00886521" w14:paraId="6E6CA491" w14:textId="77777777" w:rsidTr="00CE556A">
        <w:tc>
          <w:tcPr>
            <w:tcW w:w="3084" w:type="dxa"/>
            <w:shd w:val="clear" w:color="auto" w:fill="auto"/>
          </w:tcPr>
          <w:p w14:paraId="77A5BA00" w14:textId="77777777" w:rsidR="00886521" w:rsidRDefault="00886521" w:rsidP="00501A12">
            <w:pPr>
              <w:pStyle w:val="Normal1linespace"/>
              <w:widowControl w:val="0"/>
            </w:pPr>
            <w:bookmarkStart w:id="4" w:name="Registry_rows" w:colFirst="0" w:colLast="1"/>
          </w:p>
        </w:tc>
        <w:tc>
          <w:tcPr>
            <w:tcW w:w="5989" w:type="dxa"/>
            <w:shd w:val="clear" w:color="auto" w:fill="auto"/>
          </w:tcPr>
          <w:p w14:paraId="2BDD9367" w14:textId="77777777" w:rsidR="00886521" w:rsidRDefault="00886521" w:rsidP="00501A12">
            <w:pPr>
              <w:pStyle w:val="Normal1linespace"/>
              <w:widowControl w:val="0"/>
              <w:jc w:val="left"/>
            </w:pPr>
          </w:p>
        </w:tc>
      </w:tr>
      <w:tr w:rsidR="00886521" w14:paraId="43EB1D00" w14:textId="77777777" w:rsidTr="00CE556A">
        <w:tc>
          <w:tcPr>
            <w:tcW w:w="3084" w:type="dxa"/>
            <w:shd w:val="clear" w:color="auto" w:fill="auto"/>
          </w:tcPr>
          <w:p w14:paraId="58F239D2" w14:textId="77777777" w:rsidR="00886521" w:rsidRDefault="00886521" w:rsidP="00501A12">
            <w:pPr>
              <w:pStyle w:val="Normal1linespace"/>
              <w:widowControl w:val="0"/>
            </w:pPr>
            <w:r>
              <w:t>Registry:</w:t>
            </w:r>
          </w:p>
        </w:tc>
        <w:tc>
          <w:tcPr>
            <w:tcW w:w="5989" w:type="dxa"/>
            <w:shd w:val="clear" w:color="auto" w:fill="auto"/>
          </w:tcPr>
          <w:p w14:paraId="5FA123E6" w14:textId="77777777" w:rsidR="00886521" w:rsidRPr="00F17599" w:rsidRDefault="003A0443" w:rsidP="00501A12">
            <w:pPr>
              <w:pStyle w:val="Normal1linespace"/>
              <w:widowControl w:val="0"/>
              <w:jc w:val="left"/>
            </w:pPr>
            <w:r>
              <w:fldChar w:fldCharType="begin"/>
            </w:r>
            <w:r>
              <w:instrText xml:space="preserve"> DOCPROPERTY  Registry </w:instrText>
            </w:r>
            <w:r>
              <w:fldChar w:fldCharType="separate"/>
            </w:r>
            <w:r w:rsidR="00886521">
              <w:t>Victoria</w:t>
            </w:r>
            <w:r>
              <w:fldChar w:fldCharType="end"/>
            </w:r>
          </w:p>
        </w:tc>
      </w:tr>
      <w:tr w:rsidR="00886521" w14:paraId="7A8C7555" w14:textId="77777777" w:rsidTr="00CE556A">
        <w:tc>
          <w:tcPr>
            <w:tcW w:w="3084" w:type="dxa"/>
            <w:shd w:val="clear" w:color="auto" w:fill="auto"/>
          </w:tcPr>
          <w:p w14:paraId="2DC458CD" w14:textId="77777777" w:rsidR="00886521" w:rsidRDefault="00886521" w:rsidP="00501A12">
            <w:pPr>
              <w:pStyle w:val="Normal1linespace"/>
              <w:widowControl w:val="0"/>
            </w:pPr>
            <w:bookmarkStart w:id="5" w:name="NPARow" w:colFirst="0" w:colLast="1"/>
            <w:bookmarkEnd w:id="4"/>
          </w:p>
        </w:tc>
        <w:tc>
          <w:tcPr>
            <w:tcW w:w="5989" w:type="dxa"/>
            <w:shd w:val="clear" w:color="auto" w:fill="auto"/>
          </w:tcPr>
          <w:p w14:paraId="608F751B" w14:textId="77777777" w:rsidR="00886521" w:rsidRPr="00F17599" w:rsidRDefault="00886521" w:rsidP="00501A12">
            <w:pPr>
              <w:pStyle w:val="Normal1linespace"/>
              <w:widowControl w:val="0"/>
              <w:jc w:val="left"/>
              <w:rPr>
                <w:b/>
              </w:rPr>
            </w:pPr>
          </w:p>
        </w:tc>
      </w:tr>
      <w:tr w:rsidR="00886521" w14:paraId="54621466" w14:textId="77777777" w:rsidTr="00CE556A">
        <w:tc>
          <w:tcPr>
            <w:tcW w:w="3084" w:type="dxa"/>
            <w:shd w:val="clear" w:color="auto" w:fill="auto"/>
          </w:tcPr>
          <w:p w14:paraId="797E26A0" w14:textId="77777777" w:rsidR="00886521" w:rsidRDefault="00886521" w:rsidP="00501A12">
            <w:pPr>
              <w:pStyle w:val="Normal1linespace"/>
              <w:widowControl w:val="0"/>
            </w:pPr>
            <w:r>
              <w:t>National Practice Area:</w:t>
            </w:r>
          </w:p>
        </w:tc>
        <w:tc>
          <w:tcPr>
            <w:tcW w:w="5989" w:type="dxa"/>
            <w:shd w:val="clear" w:color="auto" w:fill="auto"/>
          </w:tcPr>
          <w:p w14:paraId="779CC5ED" w14:textId="00CD36E8" w:rsidR="00886521" w:rsidRPr="00F17599" w:rsidRDefault="003A0443" w:rsidP="00F8692B">
            <w:pPr>
              <w:pStyle w:val="Normal1linespace"/>
              <w:widowControl w:val="0"/>
              <w:jc w:val="left"/>
              <w:rPr>
                <w:b/>
              </w:rPr>
            </w:pPr>
            <w:r>
              <w:fldChar w:fldCharType="begin"/>
            </w:r>
            <w:r>
              <w:instrText xml:space="preserve"> DOCPROPERTY  "Practice Area"  \* MERGEFORMAT </w:instrText>
            </w:r>
            <w:r>
              <w:fldChar w:fldCharType="separate"/>
            </w:r>
            <w:r w:rsidR="00886521">
              <w:t>Employment and Industrial Relations</w:t>
            </w:r>
            <w:r>
              <w:fldChar w:fldCharType="end"/>
            </w:r>
          </w:p>
        </w:tc>
      </w:tr>
      <w:bookmarkEnd w:id="5"/>
      <w:tr w:rsidR="00886521" w14:paraId="0DE57591" w14:textId="77777777" w:rsidTr="00CE556A">
        <w:tc>
          <w:tcPr>
            <w:tcW w:w="3084" w:type="dxa"/>
            <w:shd w:val="clear" w:color="auto" w:fill="auto"/>
          </w:tcPr>
          <w:p w14:paraId="51B57E45" w14:textId="77777777" w:rsidR="00886521" w:rsidRDefault="00886521" w:rsidP="00501A12">
            <w:pPr>
              <w:pStyle w:val="Normal1linespace"/>
              <w:widowControl w:val="0"/>
            </w:pPr>
          </w:p>
        </w:tc>
        <w:tc>
          <w:tcPr>
            <w:tcW w:w="5989" w:type="dxa"/>
            <w:shd w:val="clear" w:color="auto" w:fill="auto"/>
          </w:tcPr>
          <w:p w14:paraId="3ABA0884" w14:textId="77777777" w:rsidR="00886521" w:rsidRDefault="00886521" w:rsidP="00501A12">
            <w:pPr>
              <w:pStyle w:val="Normal1linespace"/>
              <w:widowControl w:val="0"/>
              <w:jc w:val="left"/>
            </w:pPr>
          </w:p>
        </w:tc>
      </w:tr>
      <w:tr w:rsidR="00886521" w14:paraId="0B23EDD2" w14:textId="77777777" w:rsidTr="00CE556A">
        <w:tc>
          <w:tcPr>
            <w:tcW w:w="3084" w:type="dxa"/>
            <w:shd w:val="clear" w:color="auto" w:fill="auto"/>
          </w:tcPr>
          <w:p w14:paraId="36DBE556" w14:textId="77777777" w:rsidR="00886521" w:rsidRDefault="00886521" w:rsidP="00501A12">
            <w:pPr>
              <w:pStyle w:val="Normal1linespace"/>
              <w:widowControl w:val="0"/>
            </w:pPr>
            <w:r>
              <w:t>Number of paragraphs:</w:t>
            </w:r>
          </w:p>
        </w:tc>
        <w:tc>
          <w:tcPr>
            <w:tcW w:w="5989" w:type="dxa"/>
            <w:shd w:val="clear" w:color="auto" w:fill="auto"/>
          </w:tcPr>
          <w:p w14:paraId="2CF9EDC8" w14:textId="20EADED7" w:rsidR="00886521" w:rsidRDefault="00CE556A" w:rsidP="00501A12">
            <w:pPr>
              <w:pStyle w:val="Normal1linespace"/>
              <w:widowControl w:val="0"/>
              <w:jc w:val="left"/>
            </w:pPr>
            <w:bookmarkStart w:id="6" w:name="PlaceCategoryParagraphs"/>
            <w:r>
              <w:t>50</w:t>
            </w:r>
            <w:bookmarkEnd w:id="6"/>
          </w:p>
        </w:tc>
      </w:tr>
      <w:tr w:rsidR="00886521" w14:paraId="11C6C35F" w14:textId="77777777" w:rsidTr="00CE556A">
        <w:tc>
          <w:tcPr>
            <w:tcW w:w="3084" w:type="dxa"/>
            <w:shd w:val="clear" w:color="auto" w:fill="auto"/>
          </w:tcPr>
          <w:p w14:paraId="7C6754CC" w14:textId="77777777" w:rsidR="00886521" w:rsidRDefault="00886521" w:rsidP="00886521">
            <w:pPr>
              <w:pStyle w:val="Normal1linespace"/>
              <w:widowControl w:val="0"/>
              <w:jc w:val="left"/>
            </w:pPr>
          </w:p>
        </w:tc>
        <w:tc>
          <w:tcPr>
            <w:tcW w:w="5989" w:type="dxa"/>
            <w:shd w:val="clear" w:color="auto" w:fill="auto"/>
          </w:tcPr>
          <w:p w14:paraId="232D0934" w14:textId="77777777" w:rsidR="00886521" w:rsidRDefault="00886521" w:rsidP="00886521">
            <w:pPr>
              <w:pStyle w:val="Normal1linespace"/>
              <w:widowControl w:val="0"/>
              <w:jc w:val="left"/>
            </w:pPr>
          </w:p>
        </w:tc>
      </w:tr>
      <w:tr w:rsidR="00886521" w14:paraId="662A7C6F" w14:textId="77777777" w:rsidTr="00CE556A">
        <w:tc>
          <w:tcPr>
            <w:tcW w:w="3084" w:type="dxa"/>
            <w:shd w:val="clear" w:color="auto" w:fill="auto"/>
          </w:tcPr>
          <w:p w14:paraId="1141BED3" w14:textId="77777777" w:rsidR="00886521" w:rsidRDefault="00886521" w:rsidP="00886521">
            <w:pPr>
              <w:pStyle w:val="Normal1linespace"/>
              <w:widowControl w:val="0"/>
              <w:jc w:val="left"/>
            </w:pPr>
            <w:bookmarkStart w:id="7" w:name="CounselDate" w:colFirst="0" w:colLast="2"/>
            <w:r w:rsidRPr="006A24E3">
              <w:t>Date of hearing:</w:t>
            </w:r>
          </w:p>
        </w:tc>
        <w:tc>
          <w:tcPr>
            <w:tcW w:w="5989" w:type="dxa"/>
            <w:shd w:val="clear" w:color="auto" w:fill="auto"/>
          </w:tcPr>
          <w:p w14:paraId="224257AE" w14:textId="77777777" w:rsidR="00886521" w:rsidRDefault="00886521" w:rsidP="00886521">
            <w:pPr>
              <w:pStyle w:val="Normal1linespace"/>
              <w:widowControl w:val="0"/>
              <w:jc w:val="left"/>
            </w:pPr>
            <w:bookmarkStart w:id="8" w:name="HearingDate"/>
            <w:r>
              <w:t xml:space="preserve">5 August 2022 </w:t>
            </w:r>
            <w:bookmarkEnd w:id="8"/>
          </w:p>
        </w:tc>
      </w:tr>
      <w:tr w:rsidR="00886521" w14:paraId="2B4AF03E" w14:textId="77777777" w:rsidTr="00CE556A">
        <w:tc>
          <w:tcPr>
            <w:tcW w:w="3084" w:type="dxa"/>
            <w:shd w:val="clear" w:color="auto" w:fill="auto"/>
          </w:tcPr>
          <w:p w14:paraId="07B7F699" w14:textId="77777777" w:rsidR="00886521" w:rsidRPr="00886521" w:rsidRDefault="00886521" w:rsidP="00886521">
            <w:pPr>
              <w:pStyle w:val="Normal1linespace"/>
              <w:widowControl w:val="0"/>
              <w:jc w:val="left"/>
            </w:pPr>
            <w:bookmarkStart w:id="9" w:name="Place_rows" w:colFirst="0" w:colLast="1"/>
          </w:p>
        </w:tc>
        <w:tc>
          <w:tcPr>
            <w:tcW w:w="5989" w:type="dxa"/>
            <w:shd w:val="clear" w:color="auto" w:fill="auto"/>
          </w:tcPr>
          <w:p w14:paraId="377C014E" w14:textId="77777777" w:rsidR="00886521" w:rsidRPr="00886521" w:rsidRDefault="00886521" w:rsidP="00886521">
            <w:pPr>
              <w:pStyle w:val="Normal1linespace"/>
              <w:widowControl w:val="0"/>
              <w:jc w:val="left"/>
            </w:pPr>
          </w:p>
        </w:tc>
      </w:tr>
      <w:tr w:rsidR="00886521" w14:paraId="6867D029" w14:textId="77777777" w:rsidTr="00CE556A">
        <w:tc>
          <w:tcPr>
            <w:tcW w:w="3084" w:type="dxa"/>
            <w:shd w:val="clear" w:color="auto" w:fill="auto"/>
          </w:tcPr>
          <w:p w14:paraId="74EF4B5E" w14:textId="77777777" w:rsidR="00886521" w:rsidRPr="00886521" w:rsidRDefault="00886521" w:rsidP="00886521">
            <w:pPr>
              <w:pStyle w:val="Normal1linespace"/>
              <w:widowControl w:val="0"/>
              <w:jc w:val="left"/>
            </w:pPr>
            <w:r>
              <w:t>Counsel for the Appellant:</w:t>
            </w:r>
          </w:p>
        </w:tc>
        <w:tc>
          <w:tcPr>
            <w:tcW w:w="5989" w:type="dxa"/>
            <w:shd w:val="clear" w:color="auto" w:fill="auto"/>
          </w:tcPr>
          <w:p w14:paraId="1B2B54FB" w14:textId="77777777" w:rsidR="00886521" w:rsidRPr="00886521" w:rsidRDefault="00886521" w:rsidP="00886521">
            <w:pPr>
              <w:pStyle w:val="Normal1linespace"/>
              <w:widowControl w:val="0"/>
              <w:jc w:val="left"/>
            </w:pPr>
            <w:r>
              <w:t xml:space="preserve">Mr </w:t>
            </w:r>
            <w:proofErr w:type="spellStart"/>
            <w:r>
              <w:t>Dober</w:t>
            </w:r>
            <w:proofErr w:type="spellEnd"/>
          </w:p>
        </w:tc>
      </w:tr>
      <w:tr w:rsidR="00886521" w14:paraId="6BC09ECF" w14:textId="77777777" w:rsidTr="00CE556A">
        <w:tc>
          <w:tcPr>
            <w:tcW w:w="3084" w:type="dxa"/>
            <w:shd w:val="clear" w:color="auto" w:fill="auto"/>
          </w:tcPr>
          <w:p w14:paraId="71A9B0D3" w14:textId="77777777" w:rsidR="00886521" w:rsidRDefault="00886521" w:rsidP="00886521">
            <w:pPr>
              <w:pStyle w:val="Normal1linespace"/>
              <w:widowControl w:val="0"/>
              <w:jc w:val="left"/>
            </w:pPr>
          </w:p>
        </w:tc>
        <w:tc>
          <w:tcPr>
            <w:tcW w:w="5989" w:type="dxa"/>
            <w:shd w:val="clear" w:color="auto" w:fill="auto"/>
          </w:tcPr>
          <w:p w14:paraId="15F17921" w14:textId="77777777" w:rsidR="00886521" w:rsidRDefault="00886521" w:rsidP="00886521">
            <w:pPr>
              <w:pStyle w:val="Normal1linespace"/>
              <w:widowControl w:val="0"/>
              <w:jc w:val="left"/>
            </w:pPr>
          </w:p>
        </w:tc>
      </w:tr>
      <w:tr w:rsidR="00886521" w14:paraId="0CFC63B0" w14:textId="77777777" w:rsidTr="00CE556A">
        <w:tc>
          <w:tcPr>
            <w:tcW w:w="3084" w:type="dxa"/>
            <w:shd w:val="clear" w:color="auto" w:fill="auto"/>
          </w:tcPr>
          <w:p w14:paraId="57995166" w14:textId="77777777" w:rsidR="00886521" w:rsidRDefault="00886521" w:rsidP="00886521">
            <w:pPr>
              <w:pStyle w:val="Normal1linespace"/>
              <w:widowControl w:val="0"/>
              <w:jc w:val="left"/>
            </w:pPr>
            <w:r>
              <w:t xml:space="preserve">Solicitors for the Appellant: </w:t>
            </w:r>
          </w:p>
        </w:tc>
        <w:tc>
          <w:tcPr>
            <w:tcW w:w="5989" w:type="dxa"/>
            <w:shd w:val="clear" w:color="auto" w:fill="auto"/>
          </w:tcPr>
          <w:p w14:paraId="2FD4ACF8" w14:textId="77777777" w:rsidR="00886521" w:rsidRDefault="00886521" w:rsidP="00886521">
            <w:pPr>
              <w:pStyle w:val="Normal1linespace"/>
              <w:widowControl w:val="0"/>
              <w:jc w:val="left"/>
            </w:pPr>
            <w:r>
              <w:t>SGM Legal</w:t>
            </w:r>
          </w:p>
        </w:tc>
      </w:tr>
      <w:tr w:rsidR="00886521" w14:paraId="25A956D4" w14:textId="77777777" w:rsidTr="00CE556A">
        <w:tc>
          <w:tcPr>
            <w:tcW w:w="3084" w:type="dxa"/>
            <w:shd w:val="clear" w:color="auto" w:fill="auto"/>
          </w:tcPr>
          <w:p w14:paraId="49891640" w14:textId="77777777" w:rsidR="00886521" w:rsidRDefault="00886521" w:rsidP="00886521">
            <w:pPr>
              <w:pStyle w:val="Normal1linespace"/>
              <w:widowControl w:val="0"/>
              <w:jc w:val="left"/>
            </w:pPr>
          </w:p>
        </w:tc>
        <w:tc>
          <w:tcPr>
            <w:tcW w:w="5989" w:type="dxa"/>
            <w:shd w:val="clear" w:color="auto" w:fill="auto"/>
          </w:tcPr>
          <w:p w14:paraId="2B2781BF" w14:textId="77777777" w:rsidR="00886521" w:rsidRDefault="00886521" w:rsidP="00886521">
            <w:pPr>
              <w:pStyle w:val="Normal1linespace"/>
              <w:widowControl w:val="0"/>
              <w:jc w:val="left"/>
            </w:pPr>
          </w:p>
        </w:tc>
      </w:tr>
      <w:tr w:rsidR="00886521" w14:paraId="4209BC6E" w14:textId="77777777" w:rsidTr="00CE556A">
        <w:tc>
          <w:tcPr>
            <w:tcW w:w="3084" w:type="dxa"/>
            <w:shd w:val="clear" w:color="auto" w:fill="auto"/>
          </w:tcPr>
          <w:p w14:paraId="6C74BFB5" w14:textId="5377F6BE" w:rsidR="00886521" w:rsidRDefault="00886521" w:rsidP="00881F5D">
            <w:pPr>
              <w:pStyle w:val="Normal1linespace"/>
              <w:widowControl w:val="0"/>
              <w:jc w:val="left"/>
            </w:pPr>
            <w:r>
              <w:t>Counsel for the Respondents:</w:t>
            </w:r>
          </w:p>
        </w:tc>
        <w:tc>
          <w:tcPr>
            <w:tcW w:w="5989" w:type="dxa"/>
            <w:shd w:val="clear" w:color="auto" w:fill="auto"/>
          </w:tcPr>
          <w:p w14:paraId="55EB618A" w14:textId="77777777" w:rsidR="00886521" w:rsidRDefault="00886521" w:rsidP="00886521">
            <w:pPr>
              <w:pStyle w:val="Normal1linespace"/>
              <w:widowControl w:val="0"/>
              <w:jc w:val="left"/>
            </w:pPr>
            <w:r>
              <w:t>Mr Bourke QC with Ms Preston</w:t>
            </w:r>
          </w:p>
        </w:tc>
      </w:tr>
      <w:tr w:rsidR="00886521" w14:paraId="4F7FE559" w14:textId="77777777" w:rsidTr="00CE556A">
        <w:tc>
          <w:tcPr>
            <w:tcW w:w="3084" w:type="dxa"/>
            <w:shd w:val="clear" w:color="auto" w:fill="auto"/>
          </w:tcPr>
          <w:p w14:paraId="0A8EA4E0" w14:textId="77777777" w:rsidR="00886521" w:rsidRDefault="00886521" w:rsidP="00886521">
            <w:pPr>
              <w:pStyle w:val="Normal1linespace"/>
              <w:widowControl w:val="0"/>
              <w:jc w:val="left"/>
            </w:pPr>
          </w:p>
        </w:tc>
        <w:tc>
          <w:tcPr>
            <w:tcW w:w="5989" w:type="dxa"/>
            <w:shd w:val="clear" w:color="auto" w:fill="auto"/>
          </w:tcPr>
          <w:p w14:paraId="1D57E1D8" w14:textId="77777777" w:rsidR="00886521" w:rsidRDefault="00886521" w:rsidP="00886521">
            <w:pPr>
              <w:pStyle w:val="Normal1linespace"/>
              <w:widowControl w:val="0"/>
              <w:jc w:val="left"/>
            </w:pPr>
          </w:p>
        </w:tc>
      </w:tr>
      <w:tr w:rsidR="00886521" w14:paraId="00F102F5" w14:textId="77777777" w:rsidTr="00CE556A">
        <w:tc>
          <w:tcPr>
            <w:tcW w:w="3084" w:type="dxa"/>
            <w:shd w:val="clear" w:color="auto" w:fill="auto"/>
          </w:tcPr>
          <w:p w14:paraId="788E64EA" w14:textId="218EE432" w:rsidR="00886521" w:rsidRDefault="00881F5D" w:rsidP="00881F5D">
            <w:pPr>
              <w:pStyle w:val="Normal1linespace"/>
              <w:widowControl w:val="0"/>
              <w:jc w:val="left"/>
            </w:pPr>
            <w:r>
              <w:t xml:space="preserve">Solicitor for the </w:t>
            </w:r>
            <w:r w:rsidR="00886521">
              <w:t>Respondents:</w:t>
            </w:r>
          </w:p>
        </w:tc>
        <w:tc>
          <w:tcPr>
            <w:tcW w:w="5989" w:type="dxa"/>
            <w:shd w:val="clear" w:color="auto" w:fill="auto"/>
          </w:tcPr>
          <w:p w14:paraId="09C26032" w14:textId="77777777" w:rsidR="00886521" w:rsidRDefault="00886521" w:rsidP="00886521">
            <w:pPr>
              <w:pStyle w:val="Normal1linespace"/>
              <w:widowControl w:val="0"/>
              <w:jc w:val="left"/>
            </w:pPr>
            <w:proofErr w:type="spellStart"/>
            <w:r>
              <w:t>Maddocks</w:t>
            </w:r>
            <w:proofErr w:type="spellEnd"/>
          </w:p>
        </w:tc>
      </w:tr>
    </w:tbl>
    <w:p w14:paraId="390B2B99" w14:textId="77777777" w:rsidR="00B17D6E" w:rsidRDefault="00B17D6E">
      <w:pPr>
        <w:pStyle w:val="Normal1linespace"/>
      </w:pPr>
      <w:bookmarkStart w:id="10" w:name="CompletionTable"/>
      <w:bookmarkEnd w:id="7"/>
      <w:bookmarkEnd w:id="9"/>
    </w:p>
    <w:bookmarkEnd w:id="10"/>
    <w:p w14:paraId="7C946811" w14:textId="77777777" w:rsidR="007470BD" w:rsidRDefault="007470BD">
      <w:pPr>
        <w:pStyle w:val="Normal1linespace"/>
      </w:pPr>
    </w:p>
    <w:p w14:paraId="64695786" w14:textId="77777777" w:rsidR="00E94CBF" w:rsidRDefault="00E94CBF">
      <w:pPr>
        <w:pStyle w:val="Normal1linespace"/>
      </w:pPr>
    </w:p>
    <w:p w14:paraId="2ADDDF1D"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1CC5274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9CF605C" w14:textId="77777777" w:rsidTr="00E81DA6">
        <w:tc>
          <w:tcPr>
            <w:tcW w:w="6912" w:type="dxa"/>
            <w:gridSpan w:val="2"/>
          </w:tcPr>
          <w:p w14:paraId="52810DDC" w14:textId="77777777" w:rsidR="00A46CCC" w:rsidRPr="001765E0" w:rsidRDefault="00A46CCC" w:rsidP="00525A49">
            <w:pPr>
              <w:pStyle w:val="NormalHeadings"/>
            </w:pPr>
          </w:p>
        </w:tc>
        <w:tc>
          <w:tcPr>
            <w:tcW w:w="2330" w:type="dxa"/>
          </w:tcPr>
          <w:p w14:paraId="3BFD91CE" w14:textId="77777777" w:rsidR="00A46CCC" w:rsidRDefault="00886521" w:rsidP="00F92355">
            <w:pPr>
              <w:pStyle w:val="NormalHeadings"/>
              <w:jc w:val="right"/>
            </w:pPr>
            <w:bookmarkStart w:id="11" w:name="FileNo"/>
            <w:r>
              <w:t>VID 775 of 2021</w:t>
            </w:r>
            <w:bookmarkEnd w:id="11"/>
          </w:p>
        </w:tc>
      </w:tr>
      <w:tr w:rsidR="00A76C13" w14:paraId="4F47BC78" w14:textId="77777777" w:rsidTr="00F8692B">
        <w:tc>
          <w:tcPr>
            <w:tcW w:w="9242" w:type="dxa"/>
            <w:gridSpan w:val="3"/>
          </w:tcPr>
          <w:p w14:paraId="73B058B3" w14:textId="77777777" w:rsidR="00A76C13" w:rsidRPr="00A76C13" w:rsidRDefault="00886521" w:rsidP="00886521">
            <w:pPr>
              <w:pStyle w:val="NormalHeadings"/>
              <w:jc w:val="left"/>
            </w:pPr>
            <w:bookmarkStart w:id="12" w:name="InTheMatterOf"/>
            <w:r>
              <w:t xml:space="preserve"> </w:t>
            </w:r>
            <w:bookmarkEnd w:id="12"/>
          </w:p>
        </w:tc>
      </w:tr>
      <w:tr w:rsidR="00A46CCC" w14:paraId="6FBCB7CC" w14:textId="77777777" w:rsidTr="00F8692B">
        <w:trPr>
          <w:trHeight w:val="386"/>
        </w:trPr>
        <w:tc>
          <w:tcPr>
            <w:tcW w:w="2376" w:type="dxa"/>
          </w:tcPr>
          <w:p w14:paraId="0E1621BC" w14:textId="77777777" w:rsidR="00A46CCC" w:rsidRDefault="00A46CCC" w:rsidP="00F8692B">
            <w:pPr>
              <w:pStyle w:val="NormalHeadings"/>
              <w:jc w:val="left"/>
              <w:rPr>
                <w:caps/>
                <w:szCs w:val="24"/>
              </w:rPr>
            </w:pPr>
            <w:bookmarkStart w:id="13" w:name="Parties"/>
            <w:r>
              <w:rPr>
                <w:caps/>
                <w:szCs w:val="24"/>
              </w:rPr>
              <w:t>BETWEEN:</w:t>
            </w:r>
          </w:p>
        </w:tc>
        <w:tc>
          <w:tcPr>
            <w:tcW w:w="6866" w:type="dxa"/>
            <w:gridSpan w:val="2"/>
          </w:tcPr>
          <w:p w14:paraId="0218F07C" w14:textId="77777777" w:rsidR="00886521" w:rsidRDefault="00886521" w:rsidP="00886521">
            <w:pPr>
              <w:pStyle w:val="NormalHeadings"/>
              <w:jc w:val="left"/>
            </w:pPr>
            <w:bookmarkStart w:id="14" w:name="Applicant"/>
            <w:r>
              <w:t>TOBIAS JOHN TUCKER</w:t>
            </w:r>
          </w:p>
          <w:p w14:paraId="11CE6798" w14:textId="77777777" w:rsidR="00886521" w:rsidRDefault="00886521" w:rsidP="00886521">
            <w:pPr>
              <w:pStyle w:val="PartyType"/>
            </w:pPr>
            <w:r>
              <w:t>Appellant</w:t>
            </w:r>
          </w:p>
          <w:bookmarkEnd w:id="14"/>
          <w:p w14:paraId="3668DB95" w14:textId="77777777" w:rsidR="00A46CCC" w:rsidRPr="006555B4" w:rsidRDefault="00A46CCC" w:rsidP="00F8692B">
            <w:pPr>
              <w:pStyle w:val="NormalHeadings"/>
              <w:jc w:val="left"/>
            </w:pPr>
          </w:p>
        </w:tc>
      </w:tr>
      <w:tr w:rsidR="00A46CCC" w14:paraId="1ABDFCB4" w14:textId="77777777" w:rsidTr="00F8692B">
        <w:trPr>
          <w:trHeight w:val="386"/>
        </w:trPr>
        <w:tc>
          <w:tcPr>
            <w:tcW w:w="2376" w:type="dxa"/>
          </w:tcPr>
          <w:p w14:paraId="35E3F0B1" w14:textId="77777777" w:rsidR="00A46CCC" w:rsidRDefault="00A46CCC" w:rsidP="00F8692B">
            <w:pPr>
              <w:pStyle w:val="NormalHeadings"/>
              <w:jc w:val="left"/>
              <w:rPr>
                <w:caps/>
                <w:szCs w:val="24"/>
              </w:rPr>
            </w:pPr>
            <w:r>
              <w:rPr>
                <w:caps/>
                <w:szCs w:val="24"/>
              </w:rPr>
              <w:t>AND:</w:t>
            </w:r>
          </w:p>
        </w:tc>
        <w:tc>
          <w:tcPr>
            <w:tcW w:w="6866" w:type="dxa"/>
            <w:gridSpan w:val="2"/>
          </w:tcPr>
          <w:p w14:paraId="04957937" w14:textId="77777777" w:rsidR="00886521" w:rsidRDefault="00886521" w:rsidP="00886521">
            <w:pPr>
              <w:pStyle w:val="NormalHeadings"/>
              <w:jc w:val="left"/>
            </w:pPr>
            <w:bookmarkStart w:id="15" w:name="Respondent"/>
            <w:r>
              <w:t>PAUL BRODERICK (SUED IN HIS CAPACITY AS COMMISSIONER OF STATE REVENUE)</w:t>
            </w:r>
          </w:p>
          <w:p w14:paraId="7557EE52" w14:textId="77777777" w:rsidR="00886521" w:rsidRDefault="00886521" w:rsidP="00886521">
            <w:pPr>
              <w:pStyle w:val="PartyType"/>
            </w:pPr>
            <w:r>
              <w:t>First Respondent</w:t>
            </w:r>
          </w:p>
          <w:p w14:paraId="495EBA99" w14:textId="77777777" w:rsidR="00886521" w:rsidRDefault="00886521" w:rsidP="00F8692B">
            <w:pPr>
              <w:pStyle w:val="NormalHeadings"/>
              <w:jc w:val="left"/>
              <w:rPr>
                <w:szCs w:val="24"/>
              </w:rPr>
            </w:pPr>
          </w:p>
          <w:p w14:paraId="52294E55" w14:textId="77777777" w:rsidR="00886521" w:rsidRDefault="00886521" w:rsidP="00886521">
            <w:pPr>
              <w:pStyle w:val="NormalHeadings"/>
              <w:jc w:val="left"/>
            </w:pPr>
            <w:r>
              <w:t>THE STATE OF VICTORIA</w:t>
            </w:r>
          </w:p>
          <w:p w14:paraId="15AEE90D" w14:textId="77777777" w:rsidR="00886521" w:rsidRDefault="00886521" w:rsidP="00886521">
            <w:pPr>
              <w:pStyle w:val="PartyType"/>
            </w:pPr>
            <w:r>
              <w:t>Second Respondent</w:t>
            </w:r>
          </w:p>
          <w:bookmarkEnd w:id="15"/>
          <w:p w14:paraId="722F46DA" w14:textId="77777777" w:rsidR="00A46CCC" w:rsidRPr="006555B4" w:rsidRDefault="00A46CCC" w:rsidP="00F8692B">
            <w:pPr>
              <w:pStyle w:val="NormalHeadings"/>
              <w:jc w:val="left"/>
            </w:pPr>
          </w:p>
        </w:tc>
      </w:tr>
    </w:tbl>
    <w:p w14:paraId="05944143"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76DCDEA5" w14:textId="77777777">
        <w:tc>
          <w:tcPr>
            <w:tcW w:w="2376" w:type="dxa"/>
          </w:tcPr>
          <w:p w14:paraId="23985FD6" w14:textId="77777777" w:rsidR="00395B24" w:rsidRPr="00B61A57" w:rsidRDefault="00974709">
            <w:pPr>
              <w:pStyle w:val="NormalHeadings"/>
              <w:spacing w:after="120"/>
              <w:jc w:val="left"/>
              <w:rPr>
                <w:caps/>
                <w:szCs w:val="24"/>
              </w:rPr>
            </w:pPr>
            <w:bookmarkStart w:id="17" w:name="JudgeText"/>
            <w:r w:rsidRPr="00B61A57">
              <w:rPr>
                <w:caps/>
                <w:szCs w:val="24"/>
              </w:rPr>
              <w:t>order made by</w:t>
            </w:r>
            <w:bookmarkEnd w:id="17"/>
            <w:r w:rsidR="002C7385" w:rsidRPr="00B61A57">
              <w:rPr>
                <w:caps/>
                <w:szCs w:val="24"/>
              </w:rPr>
              <w:t>:</w:t>
            </w:r>
          </w:p>
        </w:tc>
        <w:tc>
          <w:tcPr>
            <w:tcW w:w="6866" w:type="dxa"/>
          </w:tcPr>
          <w:p w14:paraId="27A16CEF" w14:textId="77777777" w:rsidR="00395B24" w:rsidRPr="00B61A57" w:rsidRDefault="00886521" w:rsidP="005379C4">
            <w:pPr>
              <w:pStyle w:val="NormalHeadings"/>
              <w:jc w:val="left"/>
              <w:rPr>
                <w:caps/>
                <w:szCs w:val="24"/>
              </w:rPr>
            </w:pPr>
            <w:bookmarkStart w:id="18" w:name="Judge"/>
            <w:r w:rsidRPr="00B61A57">
              <w:rPr>
                <w:caps/>
                <w:szCs w:val="24"/>
              </w:rPr>
              <w:t xml:space="preserve">BROMBERG, BROMWICH </w:t>
            </w:r>
            <w:r w:rsidR="005379C4" w:rsidRPr="00B61A57">
              <w:rPr>
                <w:caps/>
                <w:szCs w:val="24"/>
              </w:rPr>
              <w:t>AND MCEVOY</w:t>
            </w:r>
            <w:r w:rsidRPr="00B61A57">
              <w:rPr>
                <w:caps/>
                <w:szCs w:val="24"/>
              </w:rPr>
              <w:t xml:space="preserve"> JJ</w:t>
            </w:r>
            <w:bookmarkEnd w:id="18"/>
          </w:p>
        </w:tc>
      </w:tr>
      <w:tr w:rsidR="00395B24" w14:paraId="71EDE718" w14:textId="77777777">
        <w:tc>
          <w:tcPr>
            <w:tcW w:w="2376" w:type="dxa"/>
          </w:tcPr>
          <w:p w14:paraId="12564745" w14:textId="77777777" w:rsidR="00395B24" w:rsidRPr="00B61A57" w:rsidRDefault="002C7385">
            <w:pPr>
              <w:pStyle w:val="NormalHeadings"/>
              <w:spacing w:after="120"/>
              <w:jc w:val="left"/>
              <w:rPr>
                <w:caps/>
                <w:szCs w:val="24"/>
              </w:rPr>
            </w:pPr>
            <w:r w:rsidRPr="00B61A57">
              <w:rPr>
                <w:caps/>
                <w:szCs w:val="24"/>
              </w:rPr>
              <w:t>DATE OF ORDER:</w:t>
            </w:r>
          </w:p>
        </w:tc>
        <w:tc>
          <w:tcPr>
            <w:tcW w:w="6866" w:type="dxa"/>
          </w:tcPr>
          <w:p w14:paraId="12F8E821" w14:textId="38AD65B6" w:rsidR="00395B24" w:rsidRPr="00B61A57" w:rsidRDefault="00AB0791" w:rsidP="00B61A57">
            <w:pPr>
              <w:pStyle w:val="NormalHeadings"/>
              <w:jc w:val="left"/>
              <w:rPr>
                <w:caps/>
                <w:szCs w:val="24"/>
              </w:rPr>
            </w:pPr>
            <w:bookmarkStart w:id="19" w:name="Judgment_Dated"/>
            <w:bookmarkEnd w:id="19"/>
            <w:r>
              <w:rPr>
                <w:caps/>
                <w:szCs w:val="24"/>
              </w:rPr>
              <w:t>28</w:t>
            </w:r>
            <w:r w:rsidR="00B61A57" w:rsidRPr="00B61A57">
              <w:rPr>
                <w:caps/>
                <w:szCs w:val="24"/>
              </w:rPr>
              <w:t xml:space="preserve"> October 2022</w:t>
            </w:r>
          </w:p>
        </w:tc>
      </w:tr>
    </w:tbl>
    <w:p w14:paraId="4EC76AE5" w14:textId="77777777" w:rsidR="00395B24" w:rsidRDefault="00395B24">
      <w:pPr>
        <w:pStyle w:val="NormalHeadings"/>
        <w:rPr>
          <w:b w:val="0"/>
        </w:rPr>
      </w:pPr>
    </w:p>
    <w:p w14:paraId="535CB1AD" w14:textId="77777777" w:rsidR="008D1617" w:rsidRDefault="008D1617">
      <w:pPr>
        <w:pStyle w:val="NormalHeadings"/>
        <w:rPr>
          <w:b w:val="0"/>
        </w:rPr>
      </w:pPr>
    </w:p>
    <w:p w14:paraId="26191590" w14:textId="77777777" w:rsidR="00395B24" w:rsidRDefault="002C7385">
      <w:pPr>
        <w:pStyle w:val="NormalHeadings"/>
      </w:pPr>
      <w:r>
        <w:t>THE COURT ORDERS THAT:</w:t>
      </w:r>
    </w:p>
    <w:p w14:paraId="2B5CF561" w14:textId="77777777" w:rsidR="007F60DF" w:rsidRDefault="007F60DF" w:rsidP="00243E5E">
      <w:pPr>
        <w:pStyle w:val="NormalHeadings"/>
      </w:pPr>
    </w:p>
    <w:p w14:paraId="283E4954" w14:textId="498E3FB1" w:rsidR="001A6C52" w:rsidRDefault="003F3A6A" w:rsidP="001A6C52">
      <w:pPr>
        <w:pStyle w:val="Order1"/>
      </w:pPr>
      <w:proofErr w:type="gramStart"/>
      <w:r>
        <w:t>The appeal be dismissed</w:t>
      </w:r>
      <w:proofErr w:type="gramEnd"/>
      <w:r>
        <w:t>.</w:t>
      </w:r>
    </w:p>
    <w:p w14:paraId="788FF31B" w14:textId="624E7B07" w:rsidR="001A6C52" w:rsidRDefault="00917F03" w:rsidP="001A6C52">
      <w:pPr>
        <w:pStyle w:val="Order1"/>
      </w:pPr>
      <w:r w:rsidRPr="001A0843">
        <w:t>T</w:t>
      </w:r>
      <w:r w:rsidR="001A0843" w:rsidRPr="001A0843">
        <w:t>he appellant pay the costs of the respondents</w:t>
      </w:r>
      <w:r w:rsidRPr="001A0843">
        <w:t xml:space="preserve"> on an indemnity basis.</w:t>
      </w:r>
    </w:p>
    <w:p w14:paraId="456E399C" w14:textId="77777777" w:rsidR="00A431E6" w:rsidRDefault="00A431E6" w:rsidP="001A6C52">
      <w:pPr>
        <w:pStyle w:val="BodyText"/>
      </w:pPr>
    </w:p>
    <w:p w14:paraId="30A4F79B" w14:textId="77777777" w:rsidR="0050309C" w:rsidRDefault="00886521" w:rsidP="004D53E5">
      <w:pPr>
        <w:pStyle w:val="SingleSpace"/>
      </w:pPr>
      <w:bookmarkStart w:id="20" w:name="OrdersStatement"/>
      <w:r>
        <w:t>Note:</w:t>
      </w:r>
      <w:r>
        <w:tab/>
        <w:t xml:space="preserve">Entry of orders </w:t>
      </w:r>
      <w:proofErr w:type="gramStart"/>
      <w:r>
        <w:t>is dealt with</w:t>
      </w:r>
      <w:proofErr w:type="gramEnd"/>
      <w:r>
        <w:t xml:space="preserve"> in Rule 39.32 of the </w:t>
      </w:r>
      <w:r>
        <w:rPr>
          <w:i/>
        </w:rPr>
        <w:t>Federal Court Rules 2011</w:t>
      </w:r>
      <w:r>
        <w:t>.</w:t>
      </w:r>
      <w:bookmarkEnd w:id="20"/>
    </w:p>
    <w:p w14:paraId="43BBB84B" w14:textId="77777777" w:rsidR="00E23577" w:rsidRDefault="00E23577" w:rsidP="002B0E91">
      <w:pPr>
        <w:pStyle w:val="BodyText"/>
      </w:pPr>
    </w:p>
    <w:p w14:paraId="7BA89462"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0D516246"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0633D5D9" w14:textId="77777777" w:rsidR="00694BEB" w:rsidRDefault="00886521" w:rsidP="005E0510">
      <w:pPr>
        <w:pStyle w:val="NormalHeadings"/>
        <w:spacing w:line="360" w:lineRule="auto"/>
        <w:jc w:val="left"/>
        <w:rPr>
          <w:sz w:val="26"/>
          <w:szCs w:val="26"/>
        </w:rPr>
      </w:pPr>
      <w:r>
        <w:rPr>
          <w:sz w:val="26"/>
          <w:szCs w:val="26"/>
        </w:rPr>
        <w:t>THE COURT:</w:t>
      </w:r>
    </w:p>
    <w:p w14:paraId="0D9FA513" w14:textId="77777777" w:rsidR="00BA448A" w:rsidRDefault="00BA448A" w:rsidP="00BA448A">
      <w:pPr>
        <w:pStyle w:val="Heading1"/>
      </w:pPr>
      <w:r>
        <w:t>introduction</w:t>
      </w:r>
    </w:p>
    <w:p w14:paraId="408C8911" w14:textId="214A679C" w:rsidR="00CD1346" w:rsidRDefault="00BA448A" w:rsidP="00CD1346">
      <w:pPr>
        <w:pStyle w:val="ParaNumbering"/>
      </w:pPr>
      <w:r>
        <w:t>By notice of appeal dated 23 December 2021, Tobias John Tucker</w:t>
      </w:r>
      <w:r w:rsidR="008B594E">
        <w:t xml:space="preserve"> </w:t>
      </w:r>
      <w:r>
        <w:t xml:space="preserve">appeals from orders made in </w:t>
      </w:r>
      <w:r w:rsidRPr="00886521">
        <w:rPr>
          <w:i/>
        </w:rPr>
        <w:t>Tucker v Broderick</w:t>
      </w:r>
      <w:r w:rsidRPr="00886521">
        <w:t xml:space="preserve"> [2021] FCA 1492</w:t>
      </w:r>
      <w:r>
        <w:t>. Those orders summarily dismissed his proceeding p</w:t>
      </w:r>
      <w:r w:rsidR="00E94298">
        <w:t xml:space="preserve">ursuant to r </w:t>
      </w:r>
      <w:r w:rsidR="00684B02">
        <w:t>2</w:t>
      </w:r>
      <w:r>
        <w:t xml:space="preserve">6.01 of the </w:t>
      </w:r>
      <w:r w:rsidRPr="00BA448A">
        <w:rPr>
          <w:i/>
        </w:rPr>
        <w:t xml:space="preserve">Federal Court </w:t>
      </w:r>
      <w:r w:rsidRPr="003F3A6A">
        <w:rPr>
          <w:i/>
        </w:rPr>
        <w:t>Rules</w:t>
      </w:r>
      <w:r w:rsidRPr="00BA448A">
        <w:rPr>
          <w:i/>
        </w:rPr>
        <w:t xml:space="preserve"> 2011 </w:t>
      </w:r>
      <w:r>
        <w:t>(</w:t>
      </w:r>
      <w:proofErr w:type="spellStart"/>
      <w:r>
        <w:t>Cth</w:t>
      </w:r>
      <w:proofErr w:type="spellEnd"/>
      <w:r>
        <w:t>)</w:t>
      </w:r>
      <w:r w:rsidR="003F3A6A">
        <w:t xml:space="preserve"> (</w:t>
      </w:r>
      <w:r w:rsidR="003F3A6A" w:rsidRPr="00233331">
        <w:t>the</w:t>
      </w:r>
      <w:r w:rsidR="003F3A6A" w:rsidRPr="003F3A6A">
        <w:rPr>
          <w:b/>
        </w:rPr>
        <w:t xml:space="preserve"> Rules</w:t>
      </w:r>
      <w:r w:rsidR="003F3A6A">
        <w:t>)</w:t>
      </w:r>
      <w:r>
        <w:t xml:space="preserve"> and ord</w:t>
      </w:r>
      <w:r w:rsidR="008B594E">
        <w:t>ered that he pay the respondent</w:t>
      </w:r>
      <w:r>
        <w:t>s</w:t>
      </w:r>
      <w:r w:rsidR="008B594E">
        <w:t>’</w:t>
      </w:r>
      <w:r>
        <w:t xml:space="preserve"> costs on an indemnity basis. </w:t>
      </w:r>
    </w:p>
    <w:p w14:paraId="43B7F0E9" w14:textId="6AF4FEA5" w:rsidR="006A708E" w:rsidRDefault="006A708E" w:rsidP="00CD1346">
      <w:pPr>
        <w:pStyle w:val="ParaNumbering"/>
      </w:pPr>
      <w:r>
        <w:t xml:space="preserve">From 28 November 2011 until his employment was terminated on 19 July 2019, </w:t>
      </w:r>
      <w:proofErr w:type="gramStart"/>
      <w:r>
        <w:t xml:space="preserve">Mr Tucker was employed by </w:t>
      </w:r>
      <w:r w:rsidRPr="00FB07E2">
        <w:t>the second respondent</w:t>
      </w:r>
      <w:r>
        <w:t>, the State of Victoria, as a senior solicitor at the State Revenue Office (</w:t>
      </w:r>
      <w:r>
        <w:rPr>
          <w:b/>
        </w:rPr>
        <w:t>SRO</w:t>
      </w:r>
      <w:r>
        <w:t>)</w:t>
      </w:r>
      <w:proofErr w:type="gramEnd"/>
      <w:r>
        <w:t xml:space="preserve">. The first respondent, Mr Broderick, is the Commissioner of State Revenue and exercises delegated powers with respect to SRO employees. </w:t>
      </w:r>
    </w:p>
    <w:p w14:paraId="185CD366" w14:textId="775E9FCD" w:rsidR="008F76C9" w:rsidRDefault="00684B02" w:rsidP="00CD1346">
      <w:pPr>
        <w:pStyle w:val="ParaNumbering"/>
      </w:pPr>
      <w:r>
        <w:t>The primary judge found</w:t>
      </w:r>
      <w:r w:rsidR="00BA1B76">
        <w:t>, amongst other things,</w:t>
      </w:r>
      <w:r>
        <w:t xml:space="preserve"> that </w:t>
      </w:r>
      <w:r w:rsidR="006A708E">
        <w:t xml:space="preserve">Mr Tucker’s </w:t>
      </w:r>
      <w:r>
        <w:t>proceeding</w:t>
      </w:r>
      <w:r w:rsidR="008F76C9">
        <w:t xml:space="preserve"> in this Court</w:t>
      </w:r>
      <w:r>
        <w:t xml:space="preserve"> was an abuse of process </w:t>
      </w:r>
      <w:r w:rsidR="007B72AF">
        <w:t xml:space="preserve">in circumstances where </w:t>
      </w:r>
      <w:r w:rsidR="00A33958">
        <w:t xml:space="preserve">he </w:t>
      </w:r>
      <w:r w:rsidR="002A2E7F">
        <w:t xml:space="preserve">sought relief in relation to matters already determined in long running proceedings in </w:t>
      </w:r>
      <w:r>
        <w:t xml:space="preserve">the Supreme Court </w:t>
      </w:r>
      <w:r w:rsidR="002A2E7F">
        <w:t xml:space="preserve">of Victoria. His Honour concluded </w:t>
      </w:r>
      <w:r w:rsidR="00FB07E2">
        <w:t xml:space="preserve">(at [3], [64]-[70]) </w:t>
      </w:r>
      <w:r w:rsidR="002A2E7F">
        <w:t>that</w:t>
      </w:r>
      <w:r w:rsidR="008F76C9">
        <w:t xml:space="preserve"> the proceedings in this Court were an abuse</w:t>
      </w:r>
      <w:r w:rsidR="00FB07E2">
        <w:t>,</w:t>
      </w:r>
      <w:r w:rsidR="008F76C9">
        <w:t xml:space="preserve"> including because:</w:t>
      </w:r>
    </w:p>
    <w:p w14:paraId="32A7FC1F" w14:textId="77777777" w:rsidR="008F76C9" w:rsidRDefault="002A2E7F" w:rsidP="008F76C9">
      <w:pPr>
        <w:pStyle w:val="ListNo1alt"/>
      </w:pPr>
      <w:r>
        <w:t xml:space="preserve">the proceedings in the Supreme Court finally settled the real controversy between the parties that was the subject of the claims </w:t>
      </w:r>
      <w:r w:rsidR="004333BA">
        <w:t xml:space="preserve">Mr Tucker sought to bring </w:t>
      </w:r>
      <w:r>
        <w:t xml:space="preserve">in </w:t>
      </w:r>
      <w:r w:rsidR="004333BA">
        <w:t>t</w:t>
      </w:r>
      <w:r w:rsidR="008F76C9">
        <w:t>his Court;</w:t>
      </w:r>
      <w:r w:rsidR="004333BA">
        <w:t xml:space="preserve"> </w:t>
      </w:r>
    </w:p>
    <w:p w14:paraId="13110E0E" w14:textId="372913F3" w:rsidR="008F76C9" w:rsidRDefault="008F76C9" w:rsidP="008F76C9">
      <w:pPr>
        <w:pStyle w:val="ListNo1alt"/>
      </w:pPr>
      <w:r>
        <w:t>M</w:t>
      </w:r>
      <w:r w:rsidR="004333BA">
        <w:t xml:space="preserve">r Tucker elected to continue the proceedings in the Supreme Court in full knowledge of the fact that the Supreme Court could not make pecuniary penalty orders or orders for compensation under the </w:t>
      </w:r>
      <w:r w:rsidR="004333BA">
        <w:rPr>
          <w:i/>
        </w:rPr>
        <w:t xml:space="preserve">Fair Work Act 2009 </w:t>
      </w:r>
      <w:r w:rsidR="004333BA">
        <w:t>(</w:t>
      </w:r>
      <w:proofErr w:type="spellStart"/>
      <w:r w:rsidR="004333BA">
        <w:t>Cth</w:t>
      </w:r>
      <w:proofErr w:type="spellEnd"/>
      <w:r w:rsidR="004333BA">
        <w:t>) (</w:t>
      </w:r>
      <w:r w:rsidR="00233331">
        <w:t xml:space="preserve">the </w:t>
      </w:r>
      <w:r w:rsidR="004333BA">
        <w:rPr>
          <w:b/>
        </w:rPr>
        <w:t xml:space="preserve">FW </w:t>
      </w:r>
      <w:r w:rsidR="004333BA" w:rsidRPr="004333BA">
        <w:rPr>
          <w:b/>
        </w:rPr>
        <w:t>Act</w:t>
      </w:r>
      <w:r w:rsidR="004333BA">
        <w:t>)</w:t>
      </w:r>
      <w:r w:rsidR="003815B5">
        <w:t xml:space="preserve"> of the type he sought in th</w:t>
      </w:r>
      <w:r>
        <w:t>is Court;</w:t>
      </w:r>
    </w:p>
    <w:p w14:paraId="7E18AB27" w14:textId="5A5E9D28" w:rsidR="002A2E7F" w:rsidRDefault="008F76C9" w:rsidP="008F76C9">
      <w:pPr>
        <w:pStyle w:val="ListNo1alt"/>
      </w:pPr>
      <w:r>
        <w:t>the fact that</w:t>
      </w:r>
      <w:r w:rsidR="00B62E10">
        <w:t xml:space="preserve"> </w:t>
      </w:r>
      <w:r w:rsidR="003815B5">
        <w:t>Mr Tucker made no claim in the Supreme Court for loss or damage in respect of the matters pleaded in his proceeding</w:t>
      </w:r>
      <w:r>
        <w:t xml:space="preserve"> in this Court</w:t>
      </w:r>
      <w:r w:rsidR="003815B5">
        <w:t>, limiting his relief to permanent injunctive relief</w:t>
      </w:r>
      <w:r w:rsidR="00B62E10">
        <w:t>,</w:t>
      </w:r>
      <w:r>
        <w:t xml:space="preserve"> meant that</w:t>
      </w:r>
      <w:r w:rsidR="00B62E10">
        <w:t xml:space="preserve"> he could not </w:t>
      </w:r>
      <w:r w:rsidR="003815B5">
        <w:t>now press such a claim</w:t>
      </w:r>
      <w:r w:rsidR="00B62E10">
        <w:t xml:space="preserve"> in </w:t>
      </w:r>
      <w:r>
        <w:t xml:space="preserve">this Court; and </w:t>
      </w:r>
    </w:p>
    <w:p w14:paraId="7ABFE138" w14:textId="67434AF9" w:rsidR="008F76C9" w:rsidRDefault="008F76C9" w:rsidP="008F76C9">
      <w:pPr>
        <w:pStyle w:val="ListNo1alt"/>
      </w:pPr>
      <w:proofErr w:type="gramStart"/>
      <w:r>
        <w:t>by</w:t>
      </w:r>
      <w:proofErr w:type="gramEnd"/>
      <w:r>
        <w:t xml:space="preserve"> pursuing his claims in this Court Mr Tucker was seeking to vex the respondents again with the same claims he had pursued in the Supreme Court. </w:t>
      </w:r>
    </w:p>
    <w:p w14:paraId="2F9D3631" w14:textId="73910CF2" w:rsidR="00B62E10" w:rsidRDefault="00B62E10" w:rsidP="00CD1346">
      <w:pPr>
        <w:pStyle w:val="ParaNumbering"/>
      </w:pPr>
      <w:r>
        <w:t xml:space="preserve">Insofar as Mr Tucker also pleaded a claim based on the Victorian Model Litigant </w:t>
      </w:r>
      <w:r w:rsidRPr="003F3A6A">
        <w:t>Guidelines</w:t>
      </w:r>
      <w:r w:rsidR="003F3A6A">
        <w:t xml:space="preserve"> (</w:t>
      </w:r>
      <w:r w:rsidR="003F3A6A" w:rsidRPr="00233331">
        <w:t>the</w:t>
      </w:r>
      <w:r w:rsidR="003F3A6A" w:rsidRPr="003F3A6A">
        <w:rPr>
          <w:b/>
        </w:rPr>
        <w:t xml:space="preserve"> Guidelines</w:t>
      </w:r>
      <w:r w:rsidR="003F3A6A">
        <w:t>)</w:t>
      </w:r>
      <w:r>
        <w:t xml:space="preserve">, the primary judge concluded that such a claim was bound to fail because any </w:t>
      </w:r>
      <w:r>
        <w:lastRenderedPageBreak/>
        <w:t xml:space="preserve">breach of the Guidelines does not give rise to a cause of action and, in any event, this Court has no jurisdiction to adjudicate non-compliance with them. </w:t>
      </w:r>
    </w:p>
    <w:p w14:paraId="2B55F2A6" w14:textId="3E09C766" w:rsidR="00684B02" w:rsidRDefault="00B62E10" w:rsidP="005E708B">
      <w:pPr>
        <w:pStyle w:val="ParaNumbering"/>
      </w:pPr>
      <w:proofErr w:type="gramStart"/>
      <w:r>
        <w:t>For the reasons that follow</w:t>
      </w:r>
      <w:r w:rsidR="00A33958">
        <w:t>,</w:t>
      </w:r>
      <w:r w:rsidR="00231FED">
        <w:t xml:space="preserve"> we have concluded that the primary judge’s finding that the proceeding in this Court is an abuse of process because it seeks to vex the respondents again with the same claim, which finding was not challenged on the appeal, is a sufficient basis to sustain his Honour’s orders summarily dismissing the proceeding pursuant to r 26.01.</w:t>
      </w:r>
      <w:proofErr w:type="gramEnd"/>
      <w:r w:rsidR="00231FED">
        <w:t xml:space="preserve"> </w:t>
      </w:r>
      <w:r>
        <w:t>Accordingly</w:t>
      </w:r>
      <w:r w:rsidR="00231FED">
        <w:t>,</w:t>
      </w:r>
      <w:r>
        <w:t xml:space="preserve"> </w:t>
      </w:r>
      <w:r w:rsidR="007B72AF">
        <w:t xml:space="preserve">the appeal </w:t>
      </w:r>
      <w:proofErr w:type="gramStart"/>
      <w:r w:rsidR="007B72AF">
        <w:t>will be dismissed</w:t>
      </w:r>
      <w:proofErr w:type="gramEnd"/>
      <w:r w:rsidR="007B72AF">
        <w:t xml:space="preserve">. </w:t>
      </w:r>
      <w:r w:rsidR="00DF4DB3">
        <w:t xml:space="preserve">Mr Tucker </w:t>
      </w:r>
      <w:proofErr w:type="gramStart"/>
      <w:r w:rsidR="00DF4DB3">
        <w:t>will be ordered</w:t>
      </w:r>
      <w:proofErr w:type="gramEnd"/>
      <w:r w:rsidR="00DF4DB3">
        <w:t xml:space="preserve"> to pay the respondents’ costs </w:t>
      </w:r>
      <w:r w:rsidR="00FB07E2">
        <w:t>on an indemnity basis.</w:t>
      </w:r>
    </w:p>
    <w:p w14:paraId="44D74249" w14:textId="120CFEA7" w:rsidR="00684B02" w:rsidRDefault="00684B02" w:rsidP="00684B02">
      <w:pPr>
        <w:pStyle w:val="Heading1"/>
      </w:pPr>
      <w:r>
        <w:t>the proceedings in the supreme court of victoria</w:t>
      </w:r>
    </w:p>
    <w:p w14:paraId="2C499722" w14:textId="2824EB79" w:rsidR="006078B9" w:rsidRDefault="00330262" w:rsidP="00CD1346">
      <w:pPr>
        <w:pStyle w:val="ParaNumbering"/>
      </w:pPr>
      <w:r>
        <w:t xml:space="preserve">Mr Tucker’s </w:t>
      </w:r>
      <w:r w:rsidR="008B594E">
        <w:t xml:space="preserve">proceeding in </w:t>
      </w:r>
      <w:r w:rsidR="00684B02">
        <w:t>t</w:t>
      </w:r>
      <w:r w:rsidR="008F76C9">
        <w:t>his Court</w:t>
      </w:r>
      <w:r w:rsidR="008B594E">
        <w:t xml:space="preserve"> </w:t>
      </w:r>
      <w:proofErr w:type="gramStart"/>
      <w:r w:rsidR="008B594E">
        <w:t>was commenced</w:t>
      </w:r>
      <w:proofErr w:type="gramEnd"/>
      <w:r w:rsidR="008B594E">
        <w:t xml:space="preserve"> after the conclusion of proceedings he had commenced in the Supreme Court of Victoria on 11 December 2017. The </w:t>
      </w:r>
      <w:r w:rsidR="008B594E" w:rsidRPr="00684B02">
        <w:t>course</w:t>
      </w:r>
      <w:r w:rsidR="00684B02">
        <w:t xml:space="preserve"> of the</w:t>
      </w:r>
      <w:r w:rsidR="008B594E">
        <w:t xml:space="preserve"> proceedings </w:t>
      </w:r>
      <w:r w:rsidR="00684B02">
        <w:t xml:space="preserve">in the Supreme Court </w:t>
      </w:r>
      <w:r w:rsidR="008B594E">
        <w:t>is described in some detail by the primary judge (at [7]-[55])</w:t>
      </w:r>
      <w:r w:rsidR="00684B02">
        <w:t xml:space="preserve">, but it is necessary to provide some explanation </w:t>
      </w:r>
      <w:r w:rsidR="00A33958">
        <w:t xml:space="preserve">of the conduct </w:t>
      </w:r>
      <w:r>
        <w:t>of those proceedings here</w:t>
      </w:r>
      <w:r w:rsidR="00684B02">
        <w:t xml:space="preserve"> also</w:t>
      </w:r>
      <w:r w:rsidR="008B594E">
        <w:t xml:space="preserve">. </w:t>
      </w:r>
    </w:p>
    <w:p w14:paraId="6A732FBC" w14:textId="197AA84E" w:rsidR="008B594E" w:rsidRDefault="008B594E" w:rsidP="00CD1346">
      <w:pPr>
        <w:pStyle w:val="ParaNumbering"/>
      </w:pPr>
      <w:r>
        <w:t xml:space="preserve">In the Supreme Court proceedings </w:t>
      </w:r>
      <w:r w:rsidR="00EE1AF6">
        <w:t xml:space="preserve">Mr Tucker </w:t>
      </w:r>
      <w:r>
        <w:t xml:space="preserve">initially sought relief in the form of declarations and injunctions in relation to an investigation </w:t>
      </w:r>
      <w:r w:rsidR="003F3A6A">
        <w:t>pursuant to cl</w:t>
      </w:r>
      <w:r w:rsidR="00E5732D">
        <w:t>ause</w:t>
      </w:r>
      <w:r w:rsidR="003F3A6A">
        <w:t xml:space="preserve"> </w:t>
      </w:r>
      <w:r w:rsidR="00EE1AF6">
        <w:t>21 of the Victorian Public Service Enterprise Agreement 2016 (</w:t>
      </w:r>
      <w:r w:rsidR="003F3A6A">
        <w:t xml:space="preserve">the </w:t>
      </w:r>
      <w:r w:rsidR="00EE1AF6" w:rsidRPr="00EE1AF6">
        <w:rPr>
          <w:b/>
        </w:rPr>
        <w:t>VPSEA</w:t>
      </w:r>
      <w:r w:rsidR="00EE1AF6">
        <w:t xml:space="preserve">) </w:t>
      </w:r>
      <w:r w:rsidRPr="00EE1AF6">
        <w:t>arising</w:t>
      </w:r>
      <w:r>
        <w:t xml:space="preserve"> from allegations </w:t>
      </w:r>
      <w:r w:rsidR="00330262">
        <w:t>against him of workplace misconduct</w:t>
      </w:r>
      <w:r w:rsidR="001E1246">
        <w:t xml:space="preserve"> (the </w:t>
      </w:r>
      <w:r w:rsidR="001E1246">
        <w:rPr>
          <w:b/>
        </w:rPr>
        <w:t>Klug investigation</w:t>
      </w:r>
      <w:r w:rsidR="001E1246">
        <w:t>)</w:t>
      </w:r>
      <w:r w:rsidR="00330262">
        <w:t>.</w:t>
      </w:r>
      <w:r w:rsidR="00EE1AF6">
        <w:t xml:space="preserve"> </w:t>
      </w:r>
      <w:proofErr w:type="gramStart"/>
      <w:r w:rsidR="00EE1AF6">
        <w:t xml:space="preserve">He alleged a want of procedural fairness in the conduct of the </w:t>
      </w:r>
      <w:r w:rsidR="001E1246">
        <w:t xml:space="preserve">Klug </w:t>
      </w:r>
      <w:r w:rsidR="00EE1AF6">
        <w:t xml:space="preserve">investigation, that </w:t>
      </w:r>
      <w:r w:rsidR="00EE1AF6" w:rsidRPr="007B72AF">
        <w:t>the defendants</w:t>
      </w:r>
      <w:r w:rsidR="00EE1AF6">
        <w:t xml:space="preserve"> </w:t>
      </w:r>
      <w:r w:rsidR="007B72AF">
        <w:t xml:space="preserve">in the Supreme Court proceedings </w:t>
      </w:r>
      <w:r w:rsidR="00EE1AF6">
        <w:t xml:space="preserve">had failed to disclose relevant information to him, that he had not been given a real opportunity to be heard in respect of matters upon which </w:t>
      </w:r>
      <w:r w:rsidR="00EE1AF6" w:rsidRPr="007B72AF">
        <w:t>the defendants</w:t>
      </w:r>
      <w:r w:rsidR="00EE1AF6">
        <w:t xml:space="preserve"> might </w:t>
      </w:r>
      <w:r w:rsidR="00354276">
        <w:t>rely in determining a disciplinary</w:t>
      </w:r>
      <w:r w:rsidR="00EE1AF6">
        <w:t xml:space="preserve"> outcome in accordance with the VPSEA, and that </w:t>
      </w:r>
      <w:r w:rsidR="00EE1AF6" w:rsidRPr="007B72AF">
        <w:t>the defendants</w:t>
      </w:r>
      <w:r w:rsidR="00EE1AF6">
        <w:t xml:space="preserve"> had failed to provide him with information or material before the decision maker, including an un-redacted copy of the investigator’s report</w:t>
      </w:r>
      <w:r w:rsidR="007741E8">
        <w:t xml:space="preserve"> (the </w:t>
      </w:r>
      <w:r w:rsidR="007741E8">
        <w:rPr>
          <w:b/>
        </w:rPr>
        <w:t>Klug report</w:t>
      </w:r>
      <w:r w:rsidR="007741E8">
        <w:t>)</w:t>
      </w:r>
      <w:r w:rsidR="00EE1AF6">
        <w:t>.</w:t>
      </w:r>
      <w:proofErr w:type="gramEnd"/>
      <w:r w:rsidR="00EE1AF6">
        <w:t xml:space="preserve"> </w:t>
      </w:r>
    </w:p>
    <w:p w14:paraId="5FFB21FA" w14:textId="44A27D11" w:rsidR="008B594E" w:rsidRDefault="007A699C" w:rsidP="00CD1346">
      <w:pPr>
        <w:pStyle w:val="ParaNumbering"/>
      </w:pPr>
      <w:r>
        <w:t xml:space="preserve">Shortly after the commencement of </w:t>
      </w:r>
      <w:r w:rsidR="008B594E">
        <w:t xml:space="preserve">the Supreme </w:t>
      </w:r>
      <w:proofErr w:type="gramStart"/>
      <w:r w:rsidR="008B594E">
        <w:t>Court</w:t>
      </w:r>
      <w:proofErr w:type="gramEnd"/>
      <w:r w:rsidR="008B594E">
        <w:t xml:space="preserve"> proceedings the SRO advised </w:t>
      </w:r>
      <w:r>
        <w:t xml:space="preserve">Mr Tucker </w:t>
      </w:r>
      <w:r w:rsidR="008B594E">
        <w:t>that it proposed to terminate his employment</w:t>
      </w:r>
      <w:r w:rsidR="001E1246">
        <w:t xml:space="preserve"> by reason of the findings of another investigation (the </w:t>
      </w:r>
      <w:r w:rsidR="001E1246" w:rsidRPr="001E1246">
        <w:rPr>
          <w:b/>
        </w:rPr>
        <w:t>e-Sys investigation</w:t>
      </w:r>
      <w:r w:rsidR="001E1246">
        <w:t>) a</w:t>
      </w:r>
      <w:r w:rsidR="001416D4">
        <w:t>bout his conduct</w:t>
      </w:r>
      <w:r w:rsidR="008B594E">
        <w:t>.</w:t>
      </w:r>
      <w:r>
        <w:t xml:space="preserve"> Mr Tucker</w:t>
      </w:r>
      <w:r w:rsidR="008B594E">
        <w:t xml:space="preserve"> </w:t>
      </w:r>
      <w:proofErr w:type="gramStart"/>
      <w:r w:rsidR="0070402A">
        <w:t>was given</w:t>
      </w:r>
      <w:proofErr w:type="gramEnd"/>
      <w:r w:rsidR="0070402A">
        <w:t xml:space="preserve"> leave to </w:t>
      </w:r>
      <w:r w:rsidR="008B594E">
        <w:t xml:space="preserve">amend his claim </w:t>
      </w:r>
      <w:r w:rsidR="007C60E3">
        <w:t>t</w:t>
      </w:r>
      <w:r w:rsidR="008B594E">
        <w:t>o include</w:t>
      </w:r>
      <w:r w:rsidR="0070402A">
        <w:t xml:space="preserve"> relief with respect to the e-Sys investigation and the termination of his employment. </w:t>
      </w:r>
      <w:r w:rsidR="007741E8">
        <w:t xml:space="preserve">He </w:t>
      </w:r>
      <w:r>
        <w:t xml:space="preserve">claimed that there had been </w:t>
      </w:r>
      <w:r w:rsidR="008B594E">
        <w:t>a failure to comply with relevant provisions of th</w:t>
      </w:r>
      <w:r w:rsidR="007C60E3">
        <w:t>e</w:t>
      </w:r>
      <w:r w:rsidR="008B594E">
        <w:t xml:space="preserve"> </w:t>
      </w:r>
      <w:r>
        <w:t xml:space="preserve">VPSEA in the conduct of </w:t>
      </w:r>
      <w:r w:rsidR="0070402A">
        <w:t xml:space="preserve">both </w:t>
      </w:r>
      <w:r>
        <w:t>investigation</w:t>
      </w:r>
      <w:r w:rsidR="0070402A">
        <w:t>s,</w:t>
      </w:r>
      <w:r>
        <w:t xml:space="preserve"> </w:t>
      </w:r>
      <w:r w:rsidR="008B594E">
        <w:t xml:space="preserve">and </w:t>
      </w:r>
      <w:r>
        <w:t xml:space="preserve">that the SRO had </w:t>
      </w:r>
      <w:r w:rsidR="008B594E">
        <w:t>brea</w:t>
      </w:r>
      <w:r>
        <w:t>ched</w:t>
      </w:r>
      <w:r w:rsidR="008B594E">
        <w:t xml:space="preserve"> obligations </w:t>
      </w:r>
      <w:r>
        <w:t xml:space="preserve">it </w:t>
      </w:r>
      <w:r w:rsidR="008B594E">
        <w:t>owed</w:t>
      </w:r>
      <w:r>
        <w:t xml:space="preserve"> to treat him fairly </w:t>
      </w:r>
      <w:r w:rsidR="008B594E">
        <w:t xml:space="preserve">under the </w:t>
      </w:r>
      <w:r w:rsidR="008B594E" w:rsidRPr="007C60E3">
        <w:rPr>
          <w:i/>
        </w:rPr>
        <w:t xml:space="preserve">Public Administration Act 2014 </w:t>
      </w:r>
      <w:r w:rsidR="008B594E" w:rsidRPr="007A699C">
        <w:t>(Vic)</w:t>
      </w:r>
      <w:r w:rsidR="008B594E">
        <w:t xml:space="preserve"> (</w:t>
      </w:r>
      <w:r w:rsidR="00233331">
        <w:t xml:space="preserve">the </w:t>
      </w:r>
      <w:r w:rsidR="008B594E" w:rsidRPr="007C60E3">
        <w:rPr>
          <w:b/>
        </w:rPr>
        <w:t>PA Act</w:t>
      </w:r>
      <w:r w:rsidR="008B594E">
        <w:t xml:space="preserve">). </w:t>
      </w:r>
      <w:r w:rsidR="0070402A">
        <w:t>The defendants undertook not</w:t>
      </w:r>
      <w:r w:rsidR="00650BA7">
        <w:t xml:space="preserve"> to finalise either the Klug </w:t>
      </w:r>
      <w:proofErr w:type="gramStart"/>
      <w:r w:rsidR="00650BA7">
        <w:t xml:space="preserve">or </w:t>
      </w:r>
      <w:r w:rsidR="0070402A">
        <w:t>e</w:t>
      </w:r>
      <w:proofErr w:type="gramEnd"/>
      <w:r w:rsidR="0070402A">
        <w:t xml:space="preserve">-Sys investigations until the </w:t>
      </w:r>
      <w:r w:rsidR="0070402A">
        <w:lastRenderedPageBreak/>
        <w:t>proceeding</w:t>
      </w:r>
      <w:r w:rsidR="00D339F1">
        <w:t>s</w:t>
      </w:r>
      <w:r w:rsidR="0070402A">
        <w:t xml:space="preserve"> in the Supreme Court w</w:t>
      </w:r>
      <w:r w:rsidR="00D339F1">
        <w:t xml:space="preserve">ere </w:t>
      </w:r>
      <w:r w:rsidR="0070402A">
        <w:t>determined, and Mr Tucker gave an undertaking as to damages</w:t>
      </w:r>
      <w:r w:rsidR="001416D4">
        <w:t xml:space="preserve"> in this respect</w:t>
      </w:r>
      <w:r w:rsidR="0070402A">
        <w:t xml:space="preserve">. </w:t>
      </w:r>
    </w:p>
    <w:p w14:paraId="40535620" w14:textId="3F66E193" w:rsidR="007C60E3" w:rsidRDefault="00D339F1" w:rsidP="00CD1346">
      <w:pPr>
        <w:pStyle w:val="ParaNumbering"/>
      </w:pPr>
      <w:r>
        <w:t xml:space="preserve">Mr Tucker </w:t>
      </w:r>
      <w:r w:rsidR="004556B1">
        <w:t>subsequently sought leave</w:t>
      </w:r>
      <w:r w:rsidR="001416D4">
        <w:t xml:space="preserve"> in the Supreme Court proceedings</w:t>
      </w:r>
      <w:r w:rsidR="004556B1">
        <w:t xml:space="preserve">, relevantly, to file a further amended statement of claim </w:t>
      </w:r>
      <w:r>
        <w:t>(</w:t>
      </w:r>
      <w:r w:rsidRPr="00D339F1">
        <w:rPr>
          <w:b/>
        </w:rPr>
        <w:t>FASOC</w:t>
      </w:r>
      <w:r>
        <w:t xml:space="preserve">) </w:t>
      </w:r>
      <w:r w:rsidR="004556B1">
        <w:t xml:space="preserve">and </w:t>
      </w:r>
      <w:r w:rsidR="00E74388">
        <w:t>to have the</w:t>
      </w:r>
      <w:r w:rsidR="001416D4">
        <w:t xml:space="preserve"> Supreme Court</w:t>
      </w:r>
      <w:r w:rsidR="00E74388">
        <w:t xml:space="preserve"> proceedings transferred </w:t>
      </w:r>
      <w:r w:rsidR="004556B1">
        <w:t xml:space="preserve">to the Federal Court or the Federal Circuit Court pursuant to s 5 of the </w:t>
      </w:r>
      <w:r w:rsidR="004556B1" w:rsidRPr="00425E0B">
        <w:rPr>
          <w:i/>
        </w:rPr>
        <w:t>J</w:t>
      </w:r>
      <w:r w:rsidR="004556B1" w:rsidRPr="004556B1">
        <w:rPr>
          <w:i/>
        </w:rPr>
        <w:t>urisdiction of Courts (Cross-Vesting) Act 1987</w:t>
      </w:r>
      <w:r w:rsidR="00E74388">
        <w:t xml:space="preserve"> (Vic). The</w:t>
      </w:r>
      <w:r w:rsidR="004556B1">
        <w:t xml:space="preserve"> proposed </w:t>
      </w:r>
      <w:r>
        <w:t xml:space="preserve">FASOC </w:t>
      </w:r>
      <w:r w:rsidR="004556B1">
        <w:t xml:space="preserve">alleged that </w:t>
      </w:r>
      <w:r w:rsidR="004556B1" w:rsidRPr="007B72AF">
        <w:t xml:space="preserve">the </w:t>
      </w:r>
      <w:r w:rsidRPr="007B72AF">
        <w:t>defendants</w:t>
      </w:r>
      <w:r w:rsidR="004556B1">
        <w:t xml:space="preserve"> had breached s 50 of the </w:t>
      </w:r>
      <w:r>
        <w:t xml:space="preserve">FW Act </w:t>
      </w:r>
      <w:r w:rsidR="004556B1">
        <w:t>and sought to r</w:t>
      </w:r>
      <w:r w:rsidR="003F4C1F">
        <w:t xml:space="preserve">eformulate </w:t>
      </w:r>
      <w:r w:rsidR="004556B1">
        <w:t>the relief</w:t>
      </w:r>
      <w:r w:rsidR="00E74388">
        <w:t xml:space="preserve"> claimed</w:t>
      </w:r>
      <w:r w:rsidR="003F4C1F">
        <w:t>, including declarations that the defendant</w:t>
      </w:r>
      <w:r w:rsidR="004556B1">
        <w:t>s had contravened the VPSEA and/or the PA Act, the imposition of penalties in relation to the alleged breache</w:t>
      </w:r>
      <w:r w:rsidR="00726B7D">
        <w:t>s</w:t>
      </w:r>
      <w:r w:rsidR="004556B1">
        <w:t xml:space="preserve"> of the FW Act, and permanent injunctions preventing the defendants from f</w:t>
      </w:r>
      <w:r w:rsidR="003F4C1F">
        <w:t xml:space="preserve">inalising both </w:t>
      </w:r>
      <w:r w:rsidR="004556B1">
        <w:t xml:space="preserve">investigations. </w:t>
      </w:r>
    </w:p>
    <w:p w14:paraId="263C756A" w14:textId="7A677165" w:rsidR="00726B7D" w:rsidRDefault="00726B7D" w:rsidP="00CD1346">
      <w:pPr>
        <w:pStyle w:val="ParaNumbering"/>
      </w:pPr>
      <w:r>
        <w:t xml:space="preserve">In </w:t>
      </w:r>
      <w:r w:rsidR="00E94298">
        <w:rPr>
          <w:i/>
        </w:rPr>
        <w:t>Tucker</w:t>
      </w:r>
      <w:r w:rsidRPr="00726B7D">
        <w:rPr>
          <w:i/>
        </w:rPr>
        <w:t xml:space="preserve"> </w:t>
      </w:r>
      <w:proofErr w:type="gramStart"/>
      <w:r w:rsidRPr="00726B7D">
        <w:rPr>
          <w:i/>
        </w:rPr>
        <w:t>v</w:t>
      </w:r>
      <w:proofErr w:type="gramEnd"/>
      <w:r w:rsidRPr="00726B7D">
        <w:rPr>
          <w:i/>
        </w:rPr>
        <w:t xml:space="preserve"> State of Victoria </w:t>
      </w:r>
      <w:r>
        <w:t xml:space="preserve">[2018] VSC 389 McDonald J gave </w:t>
      </w:r>
      <w:r w:rsidR="003F4C1F">
        <w:t xml:space="preserve">Mr Tucker </w:t>
      </w:r>
      <w:r>
        <w:t>leave to file</w:t>
      </w:r>
      <w:r w:rsidR="003F4C1F">
        <w:t xml:space="preserve"> the FASOC</w:t>
      </w:r>
      <w:r>
        <w:t xml:space="preserve">, </w:t>
      </w:r>
      <w:r w:rsidR="00E74388">
        <w:t xml:space="preserve">but </w:t>
      </w:r>
      <w:r>
        <w:t>exclud</w:t>
      </w:r>
      <w:r w:rsidR="00354276">
        <w:t>ed</w:t>
      </w:r>
      <w:r>
        <w:t xml:space="preserve"> the FW Act claims</w:t>
      </w:r>
      <w:r w:rsidR="00E74388">
        <w:t xml:space="preserve"> on the basis that</w:t>
      </w:r>
      <w:r>
        <w:t xml:space="preserve"> the Supreme Court did not have jurisdiction to hear them. </w:t>
      </w:r>
      <w:r w:rsidR="007B72AF">
        <w:t xml:space="preserve">The transfer application </w:t>
      </w:r>
      <w:proofErr w:type="gramStart"/>
      <w:r w:rsidR="007B72AF">
        <w:t>was refused</w:t>
      </w:r>
      <w:proofErr w:type="gramEnd"/>
      <w:r w:rsidR="007B72AF">
        <w:t xml:space="preserve">. Whatever might be said about the refusal to transfer the proceeding, </w:t>
      </w:r>
      <w:r>
        <w:t xml:space="preserve">McDonald </w:t>
      </w:r>
      <w:r w:rsidR="007B72AF">
        <w:t xml:space="preserve">J </w:t>
      </w:r>
      <w:r>
        <w:t xml:space="preserve">observed at [19] of his judgment that senior counsel for </w:t>
      </w:r>
      <w:r w:rsidR="00974E8A">
        <w:t xml:space="preserve">Mr Tucker </w:t>
      </w:r>
      <w:r>
        <w:t xml:space="preserve">had acknowledged that the parties were in </w:t>
      </w:r>
      <w:r w:rsidRPr="00974E8A">
        <w:t>‘heated</w:t>
      </w:r>
      <w:r>
        <w:t xml:space="preserve"> agreement’ that if </w:t>
      </w:r>
      <w:r w:rsidR="00974E8A">
        <w:t xml:space="preserve">Mr Tucker </w:t>
      </w:r>
      <w:r>
        <w:t>w</w:t>
      </w:r>
      <w:r w:rsidR="00974E8A">
        <w:t>ished</w:t>
      </w:r>
      <w:r>
        <w:t xml:space="preserve"> to pursue claims alleging contraventions </w:t>
      </w:r>
      <w:r w:rsidR="00974E8A">
        <w:t>of the FW Act he would need ‘to go somewhere else to do it’</w:t>
      </w:r>
      <w:r>
        <w:t xml:space="preserve">. </w:t>
      </w:r>
    </w:p>
    <w:p w14:paraId="6A0067E5" w14:textId="0CEC56AD" w:rsidR="004556B1" w:rsidRDefault="00974E8A" w:rsidP="00CD1346">
      <w:pPr>
        <w:pStyle w:val="ParaNumbering"/>
      </w:pPr>
      <w:r>
        <w:t xml:space="preserve">Mr Tucker </w:t>
      </w:r>
      <w:r w:rsidR="00726B7D">
        <w:t>subsequently filed his</w:t>
      </w:r>
      <w:r w:rsidR="00726B7D" w:rsidRPr="00E94298">
        <w:t xml:space="preserve"> </w:t>
      </w:r>
      <w:r w:rsidR="00E94298" w:rsidRPr="00E94298">
        <w:t>FASOC</w:t>
      </w:r>
      <w:r w:rsidR="00726B7D" w:rsidRPr="00E94298">
        <w:t>.</w:t>
      </w:r>
      <w:r w:rsidR="00726B7D">
        <w:t xml:space="preserve"> It alleged that: </w:t>
      </w:r>
    </w:p>
    <w:p w14:paraId="7085D0E2" w14:textId="747C6ED6" w:rsidR="00726B7D" w:rsidRDefault="00726B7D" w:rsidP="004C64E9">
      <w:pPr>
        <w:pStyle w:val="ListNo1alt"/>
        <w:numPr>
          <w:ilvl w:val="0"/>
          <w:numId w:val="43"/>
        </w:numPr>
      </w:pPr>
      <w:r>
        <w:t xml:space="preserve">it was an implied term of his employment agreement that the SRO would adhere to any internal policy it implemented, including in relation to the management of </w:t>
      </w:r>
      <w:r w:rsidR="00E74388">
        <w:t>mis</w:t>
      </w:r>
      <w:r>
        <w:t xml:space="preserve">conduct; </w:t>
      </w:r>
    </w:p>
    <w:p w14:paraId="46161967" w14:textId="0EEA7A80" w:rsidR="00726B7D" w:rsidRDefault="00726B7D" w:rsidP="007B7026">
      <w:pPr>
        <w:pStyle w:val="ListNo1alt"/>
        <w:numPr>
          <w:ilvl w:val="0"/>
          <w:numId w:val="43"/>
        </w:numPr>
      </w:pPr>
      <w:r>
        <w:t>it was an implied term of his employment agreement that the defendants would exercise any right, duty, power, or authority as an employer under the relevant policy in good faith;</w:t>
      </w:r>
    </w:p>
    <w:p w14:paraId="546A2D4E" w14:textId="4BA4E223" w:rsidR="00726B7D" w:rsidRDefault="00726B7D" w:rsidP="007B7026">
      <w:pPr>
        <w:pStyle w:val="ListNo1alt"/>
        <w:numPr>
          <w:ilvl w:val="0"/>
          <w:numId w:val="43"/>
        </w:numPr>
      </w:pPr>
      <w:r>
        <w:t xml:space="preserve">by virtue of </w:t>
      </w:r>
      <w:proofErr w:type="spellStart"/>
      <w:r>
        <w:t>ss</w:t>
      </w:r>
      <w:proofErr w:type="spellEnd"/>
      <w:r>
        <w:t xml:space="preserve"> 20(3) and 8(b) of the PA Act, the defendants had an obligation to conduct any disciplinary process against him in accordance w</w:t>
      </w:r>
      <w:r w:rsidR="00E5732D">
        <w:t xml:space="preserve">ith clause </w:t>
      </w:r>
      <w:r>
        <w:t xml:space="preserve">21 of the VPSEA; </w:t>
      </w:r>
    </w:p>
    <w:p w14:paraId="3D596496" w14:textId="29DD312E" w:rsidR="00726B7D" w:rsidRDefault="00726B7D" w:rsidP="007B7026">
      <w:pPr>
        <w:pStyle w:val="ListNo1alt"/>
        <w:numPr>
          <w:ilvl w:val="0"/>
          <w:numId w:val="43"/>
        </w:numPr>
      </w:pPr>
      <w:r>
        <w:t>certain obligations arose under cl</w:t>
      </w:r>
      <w:r w:rsidR="00E5732D">
        <w:t>ause</w:t>
      </w:r>
      <w:r>
        <w:t xml:space="preserve"> 21 of the VPSEA;</w:t>
      </w:r>
    </w:p>
    <w:p w14:paraId="48317748" w14:textId="6DA1D788" w:rsidR="00726B7D" w:rsidRDefault="00726B7D" w:rsidP="007B7026">
      <w:pPr>
        <w:pStyle w:val="ListNo1alt"/>
        <w:numPr>
          <w:ilvl w:val="0"/>
          <w:numId w:val="43"/>
        </w:numPr>
      </w:pPr>
      <w:r>
        <w:t>the defendants failed to comply wit</w:t>
      </w:r>
      <w:r w:rsidR="00E94298">
        <w:t>h various obligations of cl</w:t>
      </w:r>
      <w:r w:rsidR="00E5732D">
        <w:t>ause</w:t>
      </w:r>
      <w:r w:rsidR="00E94298">
        <w:t xml:space="preserve"> </w:t>
      </w:r>
      <w:r>
        <w:t>21 in the conduct of the investigations; and</w:t>
      </w:r>
    </w:p>
    <w:p w14:paraId="22EF6BC0" w14:textId="1E632873" w:rsidR="00726B7D" w:rsidRDefault="00726B7D" w:rsidP="007B7026">
      <w:pPr>
        <w:pStyle w:val="ListNo1alt"/>
        <w:numPr>
          <w:ilvl w:val="0"/>
          <w:numId w:val="43"/>
        </w:numPr>
      </w:pPr>
      <w:proofErr w:type="gramStart"/>
      <w:r>
        <w:t>the</w:t>
      </w:r>
      <w:proofErr w:type="gramEnd"/>
      <w:r>
        <w:t xml:space="preserve"> defendants breached obligations under the PA Act in the conduct of the investigations.</w:t>
      </w:r>
    </w:p>
    <w:p w14:paraId="1152AF17" w14:textId="7BB01250" w:rsidR="00726B7D" w:rsidRDefault="00974E8A" w:rsidP="00CD1346">
      <w:pPr>
        <w:pStyle w:val="ParaNumbering"/>
      </w:pPr>
      <w:r>
        <w:lastRenderedPageBreak/>
        <w:t xml:space="preserve">Mr Tucker </w:t>
      </w:r>
      <w:r w:rsidR="00A977F4">
        <w:t xml:space="preserve">sought permanent injunctions preventing the defendants from </w:t>
      </w:r>
      <w:r w:rsidR="00A977F4" w:rsidRPr="00974E8A">
        <w:t>finalising</w:t>
      </w:r>
      <w:r w:rsidR="00A977F4">
        <w:t xml:space="preserve"> the investigations</w:t>
      </w:r>
      <w:r>
        <w:t>,</w:t>
      </w:r>
      <w:r w:rsidR="00A977F4">
        <w:t xml:space="preserve"> and declarations that they had contravened the VPSEA and/or the PA Act. </w:t>
      </w:r>
      <w:r>
        <w:t xml:space="preserve">He </w:t>
      </w:r>
      <w:r w:rsidR="00A977F4">
        <w:t>did not seek compensation in relation to the alleged breaches of his employment agreement, the PA Act, or the VPSEA. Consistently with the orders of McDonald J</w:t>
      </w:r>
      <w:r>
        <w:t>,</w:t>
      </w:r>
      <w:r w:rsidR="00A977F4">
        <w:t xml:space="preserve"> the claim for penalties for breach of s 50 of the FW Act </w:t>
      </w:r>
      <w:proofErr w:type="gramStart"/>
      <w:r w:rsidR="00A977F4">
        <w:t>was not pursued</w:t>
      </w:r>
      <w:proofErr w:type="gramEnd"/>
      <w:r w:rsidR="00A977F4">
        <w:t>.</w:t>
      </w:r>
    </w:p>
    <w:p w14:paraId="74A401F5" w14:textId="194D4D64" w:rsidR="00A977F4" w:rsidRDefault="00A977F4" w:rsidP="00CD1346">
      <w:pPr>
        <w:pStyle w:val="ParaNumbering"/>
      </w:pPr>
      <w:r>
        <w:t xml:space="preserve">Notwithstanding the absence of the FW Act claim from the case </w:t>
      </w:r>
      <w:r w:rsidR="00974E8A">
        <w:t xml:space="preserve">then </w:t>
      </w:r>
      <w:r>
        <w:t>pressed by</w:t>
      </w:r>
      <w:r w:rsidR="00974E8A">
        <w:t xml:space="preserve"> Mr Tucker</w:t>
      </w:r>
      <w:r>
        <w:t>, his outline of submissions in the Supreme Court proceedings nonetheless contended that a contravention of the obligations imposed by the VPSEA constituted a breach of the FW Act. He claimed to be entitled to a declaration that contraventions of this kind had occurred.</w:t>
      </w:r>
      <w:r w:rsidR="00B63346">
        <w:t xml:space="preserve"> </w:t>
      </w:r>
      <w:r>
        <w:t>The defendants’ outline of submissions contended in response that the Supreme Court did not have jurisdiction to entertain a claim that there had been an actionable breach of the VPSEA per se under s 50 of the FW Act</w:t>
      </w:r>
      <w:r w:rsidR="006F3BF3">
        <w:t>.</w:t>
      </w:r>
    </w:p>
    <w:p w14:paraId="34459ED8" w14:textId="2EA48293" w:rsidR="006F3BF3" w:rsidRDefault="006F3BF3" w:rsidP="00CD1346">
      <w:pPr>
        <w:pStyle w:val="ParaNumbering"/>
      </w:pPr>
      <w:r>
        <w:t xml:space="preserve">Prior to the hearing of the Supreme Court proceeding </w:t>
      </w:r>
      <w:r w:rsidR="00951112">
        <w:t xml:space="preserve">Mr Tucker </w:t>
      </w:r>
      <w:r>
        <w:t>proposed a further amendment to his claim to make it clear that it was his position that the S</w:t>
      </w:r>
      <w:r w:rsidR="002D41E5">
        <w:t>upreme Court</w:t>
      </w:r>
      <w:r>
        <w:t xml:space="preserve"> </w:t>
      </w:r>
      <w:r w:rsidR="00951112">
        <w:t xml:space="preserve">could </w:t>
      </w:r>
      <w:r>
        <w:t xml:space="preserve">and should grant relief for a contravention of the VPSEA. </w:t>
      </w:r>
      <w:r w:rsidR="00951112">
        <w:t xml:space="preserve">His </w:t>
      </w:r>
      <w:r>
        <w:t xml:space="preserve">solicitors stated in correspondence that if </w:t>
      </w:r>
      <w:r w:rsidRPr="007B72AF">
        <w:t>the defendants</w:t>
      </w:r>
      <w:r>
        <w:t xml:space="preserve"> did not agree to </w:t>
      </w:r>
      <w:r w:rsidR="00951112">
        <w:t xml:space="preserve">a </w:t>
      </w:r>
      <w:r>
        <w:t xml:space="preserve">further amendment the appellant remained at liberty to commence proceedings in the Federal Court. </w:t>
      </w:r>
    </w:p>
    <w:p w14:paraId="04790409" w14:textId="53592D08" w:rsidR="006F3BF3" w:rsidRDefault="006F3BF3" w:rsidP="00CD1346">
      <w:pPr>
        <w:pStyle w:val="ParaNumbering"/>
      </w:pPr>
      <w:r>
        <w:t xml:space="preserve">The defendants did not consent to </w:t>
      </w:r>
      <w:r w:rsidR="00951112">
        <w:t xml:space="preserve">Mr Tucker’s </w:t>
      </w:r>
      <w:r>
        <w:t xml:space="preserve">proposed amendments to his claim. They noted in correspondence that: </w:t>
      </w:r>
    </w:p>
    <w:p w14:paraId="4A826ECC" w14:textId="5741FB8B" w:rsidR="006F3BF3" w:rsidRDefault="006F3BF3" w:rsidP="006F3BF3">
      <w:pPr>
        <w:pStyle w:val="ListNo1alt"/>
        <w:numPr>
          <w:ilvl w:val="0"/>
          <w:numId w:val="37"/>
        </w:numPr>
      </w:pPr>
      <w:r>
        <w:t>McDonald J had alrea</w:t>
      </w:r>
      <w:r w:rsidR="00951112">
        <w:t xml:space="preserve">dy dealt with the Supreme Court’s </w:t>
      </w:r>
      <w:r>
        <w:t xml:space="preserve">jurisdiction to deal with alleged contraventions of the VPSEA; </w:t>
      </w:r>
    </w:p>
    <w:p w14:paraId="38C300AB" w14:textId="3A82A1C4" w:rsidR="006F3BF3" w:rsidRDefault="006F3BF3" w:rsidP="007B7026">
      <w:pPr>
        <w:pStyle w:val="ListNo1alt"/>
        <w:numPr>
          <w:ilvl w:val="0"/>
          <w:numId w:val="37"/>
        </w:numPr>
      </w:pPr>
      <w:r>
        <w:t xml:space="preserve">it would be an abuse of process for </w:t>
      </w:r>
      <w:r w:rsidR="00951112">
        <w:t xml:space="preserve">Mr Tucker </w:t>
      </w:r>
      <w:r>
        <w:t xml:space="preserve">to commence Federal Court proceedings whilst the Supreme Court proceedings remained on foot; and </w:t>
      </w:r>
    </w:p>
    <w:p w14:paraId="56188145" w14:textId="74448003" w:rsidR="006F3BF3" w:rsidRDefault="006F3BF3" w:rsidP="007B7026">
      <w:pPr>
        <w:pStyle w:val="ListNo1alt"/>
        <w:numPr>
          <w:ilvl w:val="0"/>
          <w:numId w:val="37"/>
        </w:numPr>
      </w:pPr>
      <w:proofErr w:type="gramStart"/>
      <w:r>
        <w:t>if</w:t>
      </w:r>
      <w:proofErr w:type="gramEnd"/>
      <w:r>
        <w:t xml:space="preserve"> </w:t>
      </w:r>
      <w:r w:rsidR="00951112">
        <w:t xml:space="preserve">Mr Tucker </w:t>
      </w:r>
      <w:r>
        <w:t>wished to discontinue the Supreme Court proceeding and pursue new proceedings in the Federal Court, he could and should have done so at an earlier time.</w:t>
      </w:r>
    </w:p>
    <w:p w14:paraId="245E47CF" w14:textId="5F6F7C2B" w:rsidR="006F3BF3" w:rsidRDefault="006F3BF3" w:rsidP="00CD1346">
      <w:pPr>
        <w:pStyle w:val="ParaNumbering"/>
      </w:pPr>
      <w:r>
        <w:t xml:space="preserve">Shortly thereafter </w:t>
      </w:r>
      <w:r w:rsidR="00BC3FB1">
        <w:t xml:space="preserve">Mr Tucker </w:t>
      </w:r>
      <w:r>
        <w:t>sought to rely on a proposed second further amended statement of claim (</w:t>
      </w:r>
      <w:r w:rsidRPr="006F3BF3">
        <w:rPr>
          <w:b/>
        </w:rPr>
        <w:t>2FASOC</w:t>
      </w:r>
      <w:r>
        <w:t xml:space="preserve">). There was no reference to the FW Act in this document and it </w:t>
      </w:r>
      <w:proofErr w:type="gramStart"/>
      <w:r>
        <w:t>was filed</w:t>
      </w:r>
      <w:proofErr w:type="gramEnd"/>
      <w:r>
        <w:t xml:space="preserve"> by consent, with the defendants also filing an amended defence. </w:t>
      </w:r>
    </w:p>
    <w:p w14:paraId="1D2FF5F9" w14:textId="4BED82C4" w:rsidR="006F3BF3" w:rsidRDefault="006F3BF3" w:rsidP="00CD1346">
      <w:pPr>
        <w:pStyle w:val="ParaNumbering"/>
      </w:pPr>
      <w:r>
        <w:t xml:space="preserve">Subsequently </w:t>
      </w:r>
      <w:r w:rsidR="00BC3FB1">
        <w:t>Mr Tucker filed</w:t>
      </w:r>
      <w:r>
        <w:t xml:space="preserve"> an outline of submissions which advanced a new argument – namely that the Supreme Court had jurisdiction to determine a claim for a contravention of the FW Act under s 39(2) of the</w:t>
      </w:r>
      <w:r w:rsidRPr="006F3BF3">
        <w:rPr>
          <w:i/>
        </w:rPr>
        <w:t xml:space="preserve"> Judiciary Act 1903</w:t>
      </w:r>
      <w:r>
        <w:t xml:space="preserve"> (</w:t>
      </w:r>
      <w:proofErr w:type="spellStart"/>
      <w:r>
        <w:t>Cth</w:t>
      </w:r>
      <w:proofErr w:type="spellEnd"/>
      <w:r>
        <w:t>)</w:t>
      </w:r>
      <w:r w:rsidR="00E646E1">
        <w:t xml:space="preserve"> (the </w:t>
      </w:r>
      <w:r w:rsidR="00E646E1" w:rsidRPr="00E646E1">
        <w:rPr>
          <w:b/>
        </w:rPr>
        <w:t>Judiciary Act</w:t>
      </w:r>
      <w:r w:rsidR="00E646E1">
        <w:t>)</w:t>
      </w:r>
      <w:r>
        <w:t>.</w:t>
      </w:r>
    </w:p>
    <w:p w14:paraId="76D37F55" w14:textId="630CDEE4" w:rsidR="006F3BF3" w:rsidRDefault="006F3BF3" w:rsidP="00CD1346">
      <w:pPr>
        <w:pStyle w:val="ParaNumbering"/>
      </w:pPr>
      <w:r>
        <w:lastRenderedPageBreak/>
        <w:t xml:space="preserve">The proceeding </w:t>
      </w:r>
      <w:proofErr w:type="gramStart"/>
      <w:r>
        <w:t>was heard</w:t>
      </w:r>
      <w:proofErr w:type="gramEnd"/>
      <w:r>
        <w:t xml:space="preserve"> in February 2019 by an associate judge of the Supreme Court. </w:t>
      </w:r>
      <w:r w:rsidR="00BC3FB1">
        <w:t xml:space="preserve">Mr Tucker </w:t>
      </w:r>
      <w:r>
        <w:t>abandoned several allegations contained in the</w:t>
      </w:r>
      <w:r w:rsidR="00BC3FB1">
        <w:t xml:space="preserve"> </w:t>
      </w:r>
      <w:proofErr w:type="gramStart"/>
      <w:r w:rsidR="00BC3FB1">
        <w:t>2FASOC,</w:t>
      </w:r>
      <w:proofErr w:type="gramEnd"/>
      <w:r w:rsidR="00BC3FB1">
        <w:t xml:space="preserve"> </w:t>
      </w:r>
      <w:r>
        <w:t xml:space="preserve">and after an exchange of submissions the matter came back before the associate judge on </w:t>
      </w:r>
      <w:r w:rsidR="00A52F9D">
        <w:t>7 </w:t>
      </w:r>
      <w:r>
        <w:t>May</w:t>
      </w:r>
      <w:r w:rsidR="00A52F9D">
        <w:t> </w:t>
      </w:r>
      <w:r>
        <w:t xml:space="preserve">2019 for argument on </w:t>
      </w:r>
      <w:r w:rsidR="004C1623">
        <w:t>Mr Tucker’s</w:t>
      </w:r>
      <w:r>
        <w:t xml:space="preserve"> </w:t>
      </w:r>
      <w:r w:rsidRPr="00E646E1">
        <w:t>Judiciary Act</w:t>
      </w:r>
      <w:r>
        <w:t xml:space="preserve"> and FW Act claims. Shortly thereafter </w:t>
      </w:r>
      <w:r w:rsidR="004C1623">
        <w:t xml:space="preserve">Mr Tucker </w:t>
      </w:r>
      <w:r>
        <w:t xml:space="preserve">served a proposed third further amended statement of </w:t>
      </w:r>
      <w:proofErr w:type="gramStart"/>
      <w:r>
        <w:t>claim which</w:t>
      </w:r>
      <w:proofErr w:type="gramEnd"/>
      <w:r>
        <w:t xml:space="preserve"> alleged that certain of the breaches alleged were contraventions of s 50 of the FW Act as they were contraventions of the VPSEA. </w:t>
      </w:r>
      <w:r w:rsidR="00E41875">
        <w:t xml:space="preserve">The parties identified for the Supreme Court that </w:t>
      </w:r>
      <w:r w:rsidR="004C1623">
        <w:t xml:space="preserve">Mr Tucker’s </w:t>
      </w:r>
      <w:r w:rsidR="00E41875">
        <w:t xml:space="preserve">assertion that the Court had jurisdiction to deal with allegations of contraventions of s 50 of the FW Act was a matter for determination. </w:t>
      </w:r>
    </w:p>
    <w:p w14:paraId="672CA412" w14:textId="4059ABD7" w:rsidR="00F01D6D" w:rsidRDefault="00F01D6D" w:rsidP="00F01D6D">
      <w:pPr>
        <w:pStyle w:val="ParaNumbering"/>
      </w:pPr>
      <w:r>
        <w:t xml:space="preserve">On 16 July 2019 in </w:t>
      </w:r>
      <w:r w:rsidRPr="00F01D6D">
        <w:rPr>
          <w:i/>
        </w:rPr>
        <w:t xml:space="preserve">Tucker v State of Victoria </w:t>
      </w:r>
      <w:r>
        <w:t>[2019] VSC 420 the Supreme Court made orders:</w:t>
      </w:r>
    </w:p>
    <w:p w14:paraId="4B222807" w14:textId="2824FEB3" w:rsidR="00F01D6D" w:rsidRDefault="00F01D6D" w:rsidP="00F01D6D">
      <w:pPr>
        <w:pStyle w:val="ListNo1alt"/>
        <w:numPr>
          <w:ilvl w:val="0"/>
          <w:numId w:val="38"/>
        </w:numPr>
      </w:pPr>
      <w:r>
        <w:t xml:space="preserve">dismissing the proceedings against </w:t>
      </w:r>
      <w:r w:rsidRPr="00CE6202">
        <w:t>the defendants;</w:t>
      </w:r>
      <w:r>
        <w:t xml:space="preserve"> </w:t>
      </w:r>
    </w:p>
    <w:p w14:paraId="003D0AC2" w14:textId="71FCBF2E" w:rsidR="00F01D6D" w:rsidRDefault="00F01D6D" w:rsidP="007B7026">
      <w:pPr>
        <w:pStyle w:val="ListNo1alt"/>
        <w:numPr>
          <w:ilvl w:val="0"/>
          <w:numId w:val="38"/>
        </w:numPr>
      </w:pPr>
      <w:r>
        <w:t xml:space="preserve">releasing </w:t>
      </w:r>
      <w:r w:rsidRPr="00CE6202">
        <w:t>the defendants</w:t>
      </w:r>
      <w:r>
        <w:t xml:space="preserve"> from their undertaking</w:t>
      </w:r>
      <w:r w:rsidR="00940357">
        <w:t xml:space="preserve"> not to finalise the Klug or e-Sys investigations</w:t>
      </w:r>
      <w:r>
        <w:t xml:space="preserve">; </w:t>
      </w:r>
    </w:p>
    <w:p w14:paraId="7E6C4956" w14:textId="3474FF90" w:rsidR="00F01D6D" w:rsidRDefault="00F01D6D" w:rsidP="007B7026">
      <w:pPr>
        <w:pStyle w:val="ListNo1alt"/>
        <w:numPr>
          <w:ilvl w:val="0"/>
          <w:numId w:val="38"/>
        </w:numPr>
      </w:pPr>
      <w:r>
        <w:t xml:space="preserve">that </w:t>
      </w:r>
      <w:r w:rsidR="00940357">
        <w:t xml:space="preserve">Mr Tucker </w:t>
      </w:r>
      <w:r w:rsidR="00CE6202">
        <w:t>pay the defendant</w:t>
      </w:r>
      <w:r>
        <w:t>s</w:t>
      </w:r>
      <w:r w:rsidR="00CE6202">
        <w:t>’</w:t>
      </w:r>
      <w:r>
        <w:t xml:space="preserve"> costs of and incidental to certain of the written submissions on the application for amendment made after 7</w:t>
      </w:r>
      <w:r w:rsidR="00940357">
        <w:t xml:space="preserve"> May 2019 on an indemnity basis</w:t>
      </w:r>
      <w:r w:rsidR="00257D36">
        <w:t>,</w:t>
      </w:r>
      <w:r w:rsidR="00940357">
        <w:t xml:space="preserve"> and </w:t>
      </w:r>
      <w:r>
        <w:t xml:space="preserve">otherwise on a standard basis; </w:t>
      </w:r>
    </w:p>
    <w:p w14:paraId="0E91247E" w14:textId="0E41004F" w:rsidR="00F01D6D" w:rsidRDefault="00F01D6D" w:rsidP="007B7026">
      <w:pPr>
        <w:pStyle w:val="ListNo1alt"/>
        <w:numPr>
          <w:ilvl w:val="0"/>
          <w:numId w:val="38"/>
        </w:numPr>
      </w:pPr>
      <w:r>
        <w:t xml:space="preserve">referring the question of whether </w:t>
      </w:r>
      <w:r w:rsidR="00940357">
        <w:t xml:space="preserve">Mr Tucker </w:t>
      </w:r>
      <w:r>
        <w:t xml:space="preserve">should be ordered to pay </w:t>
      </w:r>
      <w:r w:rsidRPr="00CE6202">
        <w:t>the defendants</w:t>
      </w:r>
      <w:r w:rsidR="00CE6202">
        <w:t>’</w:t>
      </w:r>
      <w:r w:rsidRPr="00CE6202">
        <w:t xml:space="preserve"> damages</w:t>
      </w:r>
      <w:r>
        <w:t xml:space="preserve"> on </w:t>
      </w:r>
      <w:r w:rsidR="00940357">
        <w:t xml:space="preserve">his </w:t>
      </w:r>
      <w:r>
        <w:t xml:space="preserve">undertaking for hearing and determination; and </w:t>
      </w:r>
    </w:p>
    <w:p w14:paraId="62467224" w14:textId="71DD4402" w:rsidR="00F01D6D" w:rsidRDefault="00F01D6D" w:rsidP="007B7026">
      <w:pPr>
        <w:pStyle w:val="ListNo1alt"/>
        <w:numPr>
          <w:ilvl w:val="0"/>
          <w:numId w:val="38"/>
        </w:numPr>
      </w:pPr>
      <w:proofErr w:type="gramStart"/>
      <w:r>
        <w:t>consequential</w:t>
      </w:r>
      <w:proofErr w:type="gramEnd"/>
      <w:r>
        <w:t xml:space="preserve"> </w:t>
      </w:r>
      <w:r w:rsidR="00940357">
        <w:t xml:space="preserve">procedural and </w:t>
      </w:r>
      <w:r>
        <w:t xml:space="preserve">timetabling orders. </w:t>
      </w:r>
    </w:p>
    <w:p w14:paraId="4A9B464C" w14:textId="7FA4CB79" w:rsidR="00F01D6D" w:rsidRDefault="00940357" w:rsidP="00F01D6D">
      <w:pPr>
        <w:pStyle w:val="ParaNumbering"/>
      </w:pPr>
      <w:r>
        <w:t xml:space="preserve">Shortly </w:t>
      </w:r>
      <w:proofErr w:type="gramStart"/>
      <w:r>
        <w:t>thereafter</w:t>
      </w:r>
      <w:proofErr w:type="gramEnd"/>
      <w:r>
        <w:t xml:space="preserve"> </w:t>
      </w:r>
      <w:r w:rsidR="00F01D6D">
        <w:t xml:space="preserve">the SRO wrote to </w:t>
      </w:r>
      <w:r>
        <w:t xml:space="preserve">Mr Tucker </w:t>
      </w:r>
      <w:r w:rsidR="00F01D6D">
        <w:t>advising that his employment was terminated with immediate effect, noting also that this outcome was not related in an</w:t>
      </w:r>
      <w:r>
        <w:t>y way to the Klug investigation</w:t>
      </w:r>
      <w:r w:rsidR="00F01D6D">
        <w:t xml:space="preserve">. </w:t>
      </w:r>
    </w:p>
    <w:p w14:paraId="6C6C5784" w14:textId="45513422" w:rsidR="00F01D6D" w:rsidRDefault="00940357" w:rsidP="00F01D6D">
      <w:pPr>
        <w:pStyle w:val="ParaNumbering"/>
      </w:pPr>
      <w:r>
        <w:t xml:space="preserve">Mr Tucker </w:t>
      </w:r>
      <w:r w:rsidR="00F01D6D">
        <w:t xml:space="preserve">then sought to stay the trial of </w:t>
      </w:r>
      <w:r w:rsidR="00F01D6D" w:rsidRPr="00CE6202">
        <w:t>the defendants’</w:t>
      </w:r>
      <w:r w:rsidR="00F01D6D">
        <w:t xml:space="preserve"> claim for damages arising on </w:t>
      </w:r>
      <w:r w:rsidR="00C17569">
        <w:t xml:space="preserve">his </w:t>
      </w:r>
      <w:r w:rsidR="00F01D6D">
        <w:t xml:space="preserve">undertaking on the basis that he </w:t>
      </w:r>
      <w:proofErr w:type="gramStart"/>
      <w:r w:rsidR="00F01D6D">
        <w:t>should first be permitted</w:t>
      </w:r>
      <w:proofErr w:type="gramEnd"/>
      <w:r w:rsidR="00F01D6D">
        <w:t xml:space="preserve"> to pursue an unfair dismissal claim in the Fair Work Commission. The associate judge denied that application, including because she regarded </w:t>
      </w:r>
      <w:r w:rsidR="00CE6202">
        <w:t xml:space="preserve">his </w:t>
      </w:r>
      <w:r w:rsidR="00F01D6D">
        <w:t>Fair Work Commission claim as being concerned with a</w:t>
      </w:r>
      <w:r w:rsidR="00C17569">
        <w:t>n altogether</w:t>
      </w:r>
      <w:r w:rsidR="00F01D6D">
        <w:t xml:space="preserve"> separate question. </w:t>
      </w:r>
    </w:p>
    <w:p w14:paraId="7528244B" w14:textId="10B77C8D" w:rsidR="00F01D6D" w:rsidRDefault="00C17569" w:rsidP="00F01D6D">
      <w:pPr>
        <w:pStyle w:val="ParaNumbering"/>
      </w:pPr>
      <w:proofErr w:type="gramStart"/>
      <w:r>
        <w:t>Ultimately</w:t>
      </w:r>
      <w:proofErr w:type="gramEnd"/>
      <w:r>
        <w:t xml:space="preserve"> the Supreme Court ordered </w:t>
      </w:r>
      <w:r w:rsidR="00F01D6D">
        <w:t xml:space="preserve">Mr Tucker </w:t>
      </w:r>
      <w:r>
        <w:t>to pay the defendant</w:t>
      </w:r>
      <w:r w:rsidR="00F01D6D">
        <w:t xml:space="preserve">s $199,681.46 in damages, that sum being the wages paid to him by the SRO </w:t>
      </w:r>
      <w:r>
        <w:t xml:space="preserve">from the time </w:t>
      </w:r>
      <w:r w:rsidR="00F01D6D">
        <w:t>of</w:t>
      </w:r>
      <w:r>
        <w:t xml:space="preserve"> his undertaking until the termination of his employment.</w:t>
      </w:r>
    </w:p>
    <w:p w14:paraId="72477628" w14:textId="7380CAC2" w:rsidR="00F01D6D" w:rsidRDefault="00F01D6D" w:rsidP="00F01D6D">
      <w:pPr>
        <w:pStyle w:val="ParaNumbering"/>
      </w:pPr>
      <w:r>
        <w:lastRenderedPageBreak/>
        <w:t xml:space="preserve">Mr Tucker then sought leave to appeal to the Court of Appeal. </w:t>
      </w:r>
      <w:proofErr w:type="gramStart"/>
      <w:r>
        <w:t>He contended that the associate judge had erred in concluding that his contract of employment</w:t>
      </w:r>
      <w:r w:rsidR="00A52F9D">
        <w:t xml:space="preserve"> did not incorporate cl</w:t>
      </w:r>
      <w:r w:rsidR="00E5732D">
        <w:t>ause</w:t>
      </w:r>
      <w:r w:rsidR="00A52F9D">
        <w:t xml:space="preserve"> </w:t>
      </w:r>
      <w:r>
        <w:t xml:space="preserve">21 of the VPSEA by reference, that the PA Act did not require compliance with the SRO’s </w:t>
      </w:r>
      <w:r w:rsidRPr="00CE6202">
        <w:t>Managing Misconduct Policy</w:t>
      </w:r>
      <w:r>
        <w:t xml:space="preserve"> and cl</w:t>
      </w:r>
      <w:r w:rsidR="00E5732D">
        <w:t xml:space="preserve">ause </w:t>
      </w:r>
      <w:r>
        <w:t>21 of the VPSEA, and by failing to conclude that the defendants had breached various obligations in cl</w:t>
      </w:r>
      <w:r w:rsidR="00E5732D">
        <w:t>ause</w:t>
      </w:r>
      <w:r>
        <w:t xml:space="preserve"> 21 of the VPSEA with respect to the conduct of the investigations.</w:t>
      </w:r>
      <w:proofErr w:type="gramEnd"/>
      <w:r>
        <w:t xml:space="preserve"> </w:t>
      </w:r>
    </w:p>
    <w:p w14:paraId="09527E2C" w14:textId="7BCAD2F3" w:rsidR="00F01D6D" w:rsidRDefault="00F01D6D" w:rsidP="00F01D6D">
      <w:pPr>
        <w:pStyle w:val="ParaNumbering"/>
      </w:pPr>
      <w:proofErr w:type="gramStart"/>
      <w:r>
        <w:t xml:space="preserve">Mr Tucker’s application for leave to appeal and the appeal </w:t>
      </w:r>
      <w:r w:rsidR="009813D3">
        <w:t>was heard by the Court of Appeal</w:t>
      </w:r>
      <w:proofErr w:type="gramEnd"/>
      <w:r w:rsidR="009813D3">
        <w:t xml:space="preserve"> on 10 March 2021. In the present context it is </w:t>
      </w:r>
      <w:r w:rsidR="00257D36">
        <w:t xml:space="preserve">relevant </w:t>
      </w:r>
      <w:r w:rsidR="009813D3">
        <w:t>to</w:t>
      </w:r>
      <w:r w:rsidR="00806434">
        <w:t xml:space="preserve"> record the following exchange </w:t>
      </w:r>
      <w:r w:rsidR="009813D3">
        <w:t xml:space="preserve">between Kyron JA and Mr Tucker: </w:t>
      </w:r>
    </w:p>
    <w:p w14:paraId="5D057BAE" w14:textId="77777777" w:rsidR="001819A7" w:rsidRDefault="001819A7" w:rsidP="001819A7">
      <w:pPr>
        <w:pStyle w:val="Quote1"/>
      </w:pPr>
      <w:r>
        <w:t xml:space="preserve">KYROU JA: Just to clarify something that </w:t>
      </w:r>
      <w:proofErr w:type="gramStart"/>
      <w:r>
        <w:t>you’ve</w:t>
      </w:r>
      <w:proofErr w:type="gramEnd"/>
      <w:r>
        <w:t xml:space="preserve"> already touched upon, in the substantive proceedings before the judge, you sought interlocutory and final injunctions and you also sought declarations.</w:t>
      </w:r>
    </w:p>
    <w:p w14:paraId="36669A1A" w14:textId="77777777" w:rsidR="001819A7" w:rsidRDefault="001819A7" w:rsidP="001819A7">
      <w:pPr>
        <w:pStyle w:val="Quote1"/>
      </w:pPr>
      <w:r>
        <w:t>…</w:t>
      </w:r>
    </w:p>
    <w:p w14:paraId="1932B3C2" w14:textId="77777777" w:rsidR="001819A7" w:rsidRDefault="001819A7" w:rsidP="001819A7">
      <w:pPr>
        <w:pStyle w:val="Quote1"/>
      </w:pPr>
      <w:r>
        <w:t xml:space="preserve">KYROU JA: Do you accept that the relief in the nature of injunctions [is] now not possible, because they go to stopping </w:t>
      </w:r>
      <w:proofErr w:type="gramStart"/>
      <w:r>
        <w:t>something which has already</w:t>
      </w:r>
      <w:proofErr w:type="gramEnd"/>
      <w:r>
        <w:t xml:space="preserve"> happened? Do you accept that? </w:t>
      </w:r>
      <w:proofErr w:type="gramStart"/>
      <w:r>
        <w:t>And therefore</w:t>
      </w:r>
      <w:proofErr w:type="gramEnd"/>
      <w:r>
        <w:t>, the only live relief really is the declarations, or some of the declarations.</w:t>
      </w:r>
    </w:p>
    <w:p w14:paraId="4926EAEC" w14:textId="77777777" w:rsidR="001819A7" w:rsidRDefault="001819A7" w:rsidP="001819A7">
      <w:pPr>
        <w:pStyle w:val="Quote1"/>
      </w:pPr>
      <w:r>
        <w:t xml:space="preserve">MR TUCKER: That’s – yes, yes, I accept that, and of course, you know, if everything goes well and I get the declarations and there’s no appeal, then I would have to go to the Federal Court somehow and get the penalty. You </w:t>
      </w:r>
      <w:proofErr w:type="gramStart"/>
      <w:r>
        <w:t>know,</w:t>
      </w:r>
      <w:proofErr w:type="gramEnd"/>
      <w:r>
        <w:t xml:space="preserve"> the personal pecuniary penalties for breaches of the enterprise agreement. So, yes, so as long as – yes.</w:t>
      </w:r>
    </w:p>
    <w:p w14:paraId="750F4A94" w14:textId="77777777" w:rsidR="001819A7" w:rsidRDefault="001819A7" w:rsidP="001819A7">
      <w:pPr>
        <w:pStyle w:val="Quote1"/>
      </w:pPr>
      <w:r>
        <w:t xml:space="preserve">KYROU JA: Okay. </w:t>
      </w:r>
      <w:proofErr w:type="gramStart"/>
      <w:r>
        <w:t>And</w:t>
      </w:r>
      <w:proofErr w:type="gramEnd"/>
      <w:r>
        <w:t xml:space="preserve"> that was going to be my next – sorry, I interrupted you. What was the balance of your answer?</w:t>
      </w:r>
    </w:p>
    <w:p w14:paraId="66AD10B7" w14:textId="77777777" w:rsidR="001819A7" w:rsidRDefault="001819A7" w:rsidP="001819A7">
      <w:pPr>
        <w:pStyle w:val="Quote1"/>
      </w:pPr>
      <w:r>
        <w:t xml:space="preserve">MR TUCKER: Sorry, I was just going to, yes, complete the circle. Your Honours asked a very reasonable question of </w:t>
      </w:r>
      <w:proofErr w:type="gramStart"/>
      <w:r>
        <w:t>what’s</w:t>
      </w:r>
      <w:proofErr w:type="gramEnd"/>
      <w:r>
        <w:t xml:space="preserve"> the point of all this. Well, the point is declaration for very personal reasons, as I passionately expressed, but also there is money in it for me, in the sense that in theory, I believe I can get those declarations and go the Federal Court and say, ‘Yes, sir, I was in the – whatever it is, the – for breaching the enterprise agreement.’</w:t>
      </w:r>
    </w:p>
    <w:p w14:paraId="18672D8D" w14:textId="77777777" w:rsidR="001819A7" w:rsidRDefault="001819A7" w:rsidP="001819A7">
      <w:pPr>
        <w:pStyle w:val="Quote1"/>
      </w:pPr>
      <w:r>
        <w:t>KYROU JA: Well, that’s – that was going to be my next question</w:t>
      </w:r>
      <w:proofErr w:type="gramStart"/>
      <w:r>
        <w:t>;</w:t>
      </w:r>
      <w:proofErr w:type="gramEnd"/>
      <w:r>
        <w:t xml:space="preserve"> what is the utility of the declarations? </w:t>
      </w:r>
      <w:proofErr w:type="gramStart"/>
      <w:r>
        <w:t>And</w:t>
      </w:r>
      <w:proofErr w:type="gramEnd"/>
      <w:r>
        <w:t xml:space="preserve"> from your answer it appears that you want to obtain a declaration so that you can use a declaration in a different proceeding in a different forum, is that correct? That may not be an appropriate use of the declaration relief in this Court, you see.</w:t>
      </w:r>
    </w:p>
    <w:p w14:paraId="494B315F" w14:textId="77777777" w:rsidR="001819A7" w:rsidRPr="00D33BF6" w:rsidRDefault="001819A7" w:rsidP="001819A7">
      <w:pPr>
        <w:pStyle w:val="Quote1"/>
      </w:pPr>
      <w:r>
        <w:t xml:space="preserve">MR TUCKER: Well, I – that was my understanding, from this long saga, was that the declaration </w:t>
      </w:r>
      <w:proofErr w:type="gramStart"/>
      <w:r>
        <w:t>could be enforced</w:t>
      </w:r>
      <w:proofErr w:type="gramEnd"/>
      <w:r>
        <w:t xml:space="preserve"> in the Federal Court. I mean, </w:t>
      </w:r>
      <w:proofErr w:type="gramStart"/>
      <w:r>
        <w:t>that’s</w:t>
      </w:r>
      <w:proofErr w:type="gramEnd"/>
      <w:r>
        <w:t xml:space="preserve"> why the – I don’t </w:t>
      </w:r>
      <w:r w:rsidRPr="00D33BF6">
        <w:t>know, Your Honour, I hadn’t put my mind to that particular scenario in any detail.</w:t>
      </w:r>
    </w:p>
    <w:p w14:paraId="64B1D75C" w14:textId="77777777" w:rsidR="001819A7" w:rsidRPr="00D33BF6" w:rsidRDefault="001819A7" w:rsidP="001819A7">
      <w:pPr>
        <w:pStyle w:val="Quote1"/>
      </w:pPr>
      <w:r w:rsidRPr="00D33BF6">
        <w:t xml:space="preserve">KYROU JA: Well, I just want to ask you </w:t>
      </w:r>
      <w:r>
        <w:t>–</w:t>
      </w:r>
      <w:r w:rsidRPr="00D33BF6">
        <w:t xml:space="preserve"> I</w:t>
      </w:r>
      <w:r>
        <w:t xml:space="preserve"> </w:t>
      </w:r>
      <w:r w:rsidRPr="00D33BF6">
        <w:t>want to ask you this; leaving aside possible use of the declaration in another forum in another proceeding, what is the utility of the declaration in this proceeding in this Court?</w:t>
      </w:r>
    </w:p>
    <w:p w14:paraId="159FDA10" w14:textId="77777777" w:rsidR="001819A7" w:rsidRPr="00D33BF6" w:rsidRDefault="001819A7" w:rsidP="001819A7">
      <w:pPr>
        <w:pStyle w:val="Quote1"/>
      </w:pPr>
      <w:r w:rsidRPr="00D33BF6">
        <w:t xml:space="preserve">MR TUCKER: </w:t>
      </w:r>
      <w:proofErr w:type="gramStart"/>
      <w:r w:rsidRPr="00D33BF6">
        <w:t>It’s</w:t>
      </w:r>
      <w:proofErr w:type="gramEnd"/>
      <w:r w:rsidRPr="00D33BF6">
        <w:t xml:space="preserve"> a vindication</w:t>
      </w:r>
      <w:r>
        <w:t xml:space="preserve">. </w:t>
      </w:r>
      <w:proofErr w:type="gramStart"/>
      <w:r w:rsidRPr="00D33BF6">
        <w:t>It’s</w:t>
      </w:r>
      <w:proofErr w:type="gramEnd"/>
      <w:r w:rsidRPr="00D33BF6">
        <w:t xml:space="preserve"> a vindication</w:t>
      </w:r>
      <w:r>
        <w:t xml:space="preserve">. </w:t>
      </w:r>
      <w:r w:rsidRPr="00D33BF6">
        <w:t xml:space="preserve">I can go and say, ‘Look at what </w:t>
      </w:r>
      <w:r w:rsidRPr="00D33BF6">
        <w:lastRenderedPageBreak/>
        <w:t xml:space="preserve">the SRO has alleged against </w:t>
      </w:r>
      <w:proofErr w:type="gramStart"/>
      <w:r w:rsidRPr="00D33BF6">
        <w:t>me, that</w:t>
      </w:r>
      <w:proofErr w:type="gramEnd"/>
      <w:r w:rsidRPr="00D33BF6">
        <w:t xml:space="preserve"> cuts deep to my professional reputation, to my name, to my family’s name reputation, and look, they stuffed the process up.’ </w:t>
      </w:r>
      <w:proofErr w:type="gramStart"/>
      <w:r w:rsidRPr="00D33BF6">
        <w:t>And</w:t>
      </w:r>
      <w:proofErr w:type="gramEnd"/>
      <w:r w:rsidRPr="00D33BF6">
        <w:t xml:space="preserve"> there is a lot of weight, I </w:t>
      </w:r>
      <w:r>
        <w:t>–</w:t>
      </w:r>
      <w:r w:rsidRPr="00D33BF6">
        <w:t xml:space="preserve"> I</w:t>
      </w:r>
      <w:r>
        <w:t xml:space="preserve"> </w:t>
      </w:r>
      <w:r w:rsidRPr="00D33BF6">
        <w:t xml:space="preserve">know that, you know, that’s </w:t>
      </w:r>
      <w:r>
        <w:t>–</w:t>
      </w:r>
      <w:r w:rsidRPr="00D33BF6">
        <w:t xml:space="preserve"> you</w:t>
      </w:r>
      <w:r>
        <w:t xml:space="preserve"> </w:t>
      </w:r>
      <w:r w:rsidRPr="00D33BF6">
        <w:t xml:space="preserve">know, like, well there’s no direct financial benefit from this Court, but it’s </w:t>
      </w:r>
      <w:r>
        <w:t>–</w:t>
      </w:r>
      <w:r w:rsidRPr="00D33BF6">
        <w:t xml:space="preserve"> it</w:t>
      </w:r>
      <w:r>
        <w:t xml:space="preserve"> </w:t>
      </w:r>
      <w:r w:rsidRPr="00D33BF6">
        <w:t>means a lot to me</w:t>
      </w:r>
      <w:r>
        <w:t xml:space="preserve">. </w:t>
      </w:r>
      <w:r w:rsidRPr="00D33BF6">
        <w:t xml:space="preserve">I mean, </w:t>
      </w:r>
      <w:proofErr w:type="gramStart"/>
      <w:r w:rsidRPr="00D33BF6">
        <w:t>that’s</w:t>
      </w:r>
      <w:proofErr w:type="gramEnd"/>
      <w:r w:rsidRPr="00D33BF6">
        <w:t xml:space="preserve"> why I’m fighting this.</w:t>
      </w:r>
    </w:p>
    <w:p w14:paraId="307D5208" w14:textId="77777777" w:rsidR="001819A7" w:rsidRPr="00DB37C9" w:rsidRDefault="001819A7" w:rsidP="001819A7">
      <w:pPr>
        <w:pStyle w:val="Quote1"/>
      </w:pPr>
      <w:r w:rsidRPr="00DB37C9">
        <w:t>KYROU JA: All right</w:t>
      </w:r>
      <w:r>
        <w:t xml:space="preserve">. </w:t>
      </w:r>
      <w:r w:rsidRPr="00DB37C9">
        <w:t xml:space="preserve">So, the declaration first </w:t>
      </w:r>
      <w:r>
        <w:t>–</w:t>
      </w:r>
      <w:r w:rsidRPr="00DB37C9">
        <w:t xml:space="preserve"> it</w:t>
      </w:r>
      <w:r>
        <w:t xml:space="preserve"> </w:t>
      </w:r>
      <w:r w:rsidRPr="00DB37C9">
        <w:t xml:space="preserve">would not say that the allegations were </w:t>
      </w:r>
      <w:proofErr w:type="gramStart"/>
      <w:r w:rsidRPr="00DB37C9">
        <w:t>false,</w:t>
      </w:r>
      <w:proofErr w:type="gramEnd"/>
      <w:r w:rsidRPr="00DB37C9">
        <w:t xml:space="preserve"> the declaration would say that that the process was flawed?</w:t>
      </w:r>
    </w:p>
    <w:p w14:paraId="19A5E6BD" w14:textId="68B76218" w:rsidR="009813D3" w:rsidRDefault="001819A7" w:rsidP="001819A7">
      <w:pPr>
        <w:pStyle w:val="Quote1"/>
      </w:pPr>
      <w:r w:rsidRPr="00DB37C9">
        <w:t>MR TUCKER: Correct.</w:t>
      </w:r>
    </w:p>
    <w:p w14:paraId="42271BA3" w14:textId="3FB059C2" w:rsidR="0050335D" w:rsidRDefault="00EC3A98" w:rsidP="0050335D">
      <w:pPr>
        <w:pStyle w:val="ParaNumbering"/>
      </w:pPr>
      <w:r>
        <w:t xml:space="preserve">On 12 May 2021 the Court of Appeal made orders in </w:t>
      </w:r>
      <w:r w:rsidRPr="00EC3A98">
        <w:rPr>
          <w:i/>
        </w:rPr>
        <w:t>Tucker v State of Victoria</w:t>
      </w:r>
      <w:r>
        <w:t xml:space="preserve"> [2021] VSCA 120 granting the application for leave to appeal, allowing the appeal, and substituting the associate judge’s order of 16 July 2019 dismissing the proceeding with an order that there be judgment for </w:t>
      </w:r>
      <w:r w:rsidR="0050335D">
        <w:t xml:space="preserve">Mr Tucker </w:t>
      </w:r>
      <w:r>
        <w:t xml:space="preserve">against </w:t>
      </w:r>
      <w:r w:rsidRPr="00CE6202">
        <w:t>the defendant</w:t>
      </w:r>
      <w:r w:rsidR="00CE6202">
        <w:t>s</w:t>
      </w:r>
      <w:r>
        <w:t xml:space="preserve"> in respect of the subject matter of a declaration in the following terms: </w:t>
      </w:r>
    </w:p>
    <w:p w14:paraId="5E445778" w14:textId="7A2A41B1" w:rsidR="00EC3A98" w:rsidRDefault="00EC3A98" w:rsidP="0050335D">
      <w:pPr>
        <w:pStyle w:val="Quote1"/>
      </w:pPr>
      <w:r>
        <w:t>The defendants have failed to conduct th</w:t>
      </w:r>
      <w:r w:rsidR="0050335D">
        <w:t xml:space="preserve">e investigation into harassment </w:t>
      </w:r>
      <w:r>
        <w:t xml:space="preserve">allegations against the plaintiff in accordance with the procedural fairness requirements of clause 21.11(a) of the Victorian Public Service Enterprise Agreement 2016 and section 20(3)(c) of the </w:t>
      </w:r>
      <w:r w:rsidRPr="0050335D">
        <w:rPr>
          <w:i/>
        </w:rPr>
        <w:t>Public Administration Act 200</w:t>
      </w:r>
      <w:r>
        <w:t>4, read together with section 8(b).</w:t>
      </w:r>
    </w:p>
    <w:p w14:paraId="3390A4EF" w14:textId="739F366F" w:rsidR="00EC3A98" w:rsidRPr="00CE556A" w:rsidRDefault="00EC3A98" w:rsidP="00650BA7">
      <w:pPr>
        <w:pStyle w:val="NoNum"/>
        <w:rPr>
          <w:highlight w:val="yellow"/>
        </w:rPr>
      </w:pPr>
      <w:r w:rsidRPr="00650BA7">
        <w:t xml:space="preserve">The Court of Appeal otherwise dismissed </w:t>
      </w:r>
      <w:r w:rsidR="00806434" w:rsidRPr="00650BA7">
        <w:t xml:space="preserve">Mr </w:t>
      </w:r>
      <w:proofErr w:type="gramStart"/>
      <w:r w:rsidR="00806434" w:rsidRPr="00650BA7">
        <w:t>Tucker’s</w:t>
      </w:r>
      <w:proofErr w:type="gramEnd"/>
      <w:r w:rsidR="00806434" w:rsidRPr="00650BA7">
        <w:t xml:space="preserve"> </w:t>
      </w:r>
      <w:r w:rsidRPr="00650BA7">
        <w:t>proceeding against the defendants.</w:t>
      </w:r>
    </w:p>
    <w:p w14:paraId="462237F9" w14:textId="2BCE032B" w:rsidR="00EC3A98" w:rsidRDefault="00EC3A98" w:rsidP="00EC3A98">
      <w:pPr>
        <w:pStyle w:val="Heading1"/>
      </w:pPr>
      <w:r>
        <w:t>the proceedings in the federal court</w:t>
      </w:r>
    </w:p>
    <w:p w14:paraId="195C5174" w14:textId="45B33D8E" w:rsidR="00EC3A98" w:rsidRDefault="00EC3A98" w:rsidP="00EC3A98">
      <w:pPr>
        <w:pStyle w:val="ParaNumbering"/>
      </w:pPr>
      <w:r>
        <w:t>Mr Tucker filed an originating application on 2 July 2021 which claimed:</w:t>
      </w:r>
    </w:p>
    <w:p w14:paraId="5CD4CA38" w14:textId="504AE33F" w:rsidR="00EC3A98" w:rsidRDefault="00EC3A98" w:rsidP="00EC3A98">
      <w:pPr>
        <w:pStyle w:val="ListNo1alt"/>
        <w:numPr>
          <w:ilvl w:val="0"/>
          <w:numId w:val="39"/>
        </w:numPr>
      </w:pPr>
      <w:r>
        <w:t>pecuniary penalty orders in respect of each of the contravention</w:t>
      </w:r>
      <w:r w:rsidR="00806434">
        <w:t>s</w:t>
      </w:r>
      <w:r>
        <w:t xml:space="preserve"> set out in the declaration </w:t>
      </w:r>
      <w:r w:rsidRPr="00572A18">
        <w:t xml:space="preserve">made by the Court of Appeal </w:t>
      </w:r>
      <w:r>
        <w:t>pursuant to s 546 of the FW Act;</w:t>
      </w:r>
    </w:p>
    <w:p w14:paraId="51EF200A" w14:textId="107C5B9E" w:rsidR="00EC3A98" w:rsidRDefault="00EC3A98" w:rsidP="00EC3A98">
      <w:pPr>
        <w:pStyle w:val="ListNo1alt"/>
        <w:numPr>
          <w:ilvl w:val="0"/>
          <w:numId w:val="39"/>
        </w:numPr>
      </w:pPr>
      <w:r>
        <w:t xml:space="preserve">an order that any pecuniary penalty ordered be paid to </w:t>
      </w:r>
      <w:r w:rsidR="004B712B">
        <w:t xml:space="preserve">him </w:t>
      </w:r>
      <w:r>
        <w:t>within 21 days, pursuant to s 546(3) of the FW Act;</w:t>
      </w:r>
    </w:p>
    <w:p w14:paraId="7775F431" w14:textId="46EC26FA" w:rsidR="00EC3A98" w:rsidRDefault="00EC3A98" w:rsidP="00EC3A98">
      <w:pPr>
        <w:pStyle w:val="ListNo1alt"/>
        <w:numPr>
          <w:ilvl w:val="0"/>
          <w:numId w:val="39"/>
        </w:numPr>
      </w:pPr>
      <w:r>
        <w:t xml:space="preserve">damages, including exemplary, general, aggravated, </w:t>
      </w:r>
      <w:r w:rsidRPr="004B712B">
        <w:rPr>
          <w:i/>
        </w:rPr>
        <w:t>Andrews</w:t>
      </w:r>
      <w:r>
        <w:t>, and special damages;</w:t>
      </w:r>
    </w:p>
    <w:p w14:paraId="08273E89" w14:textId="31CDFD08" w:rsidR="00EC3A98" w:rsidRDefault="00EC3A98" w:rsidP="00EC3A98">
      <w:pPr>
        <w:pStyle w:val="ListNo1alt"/>
        <w:numPr>
          <w:ilvl w:val="0"/>
          <w:numId w:val="39"/>
        </w:numPr>
      </w:pPr>
      <w:r>
        <w:t>a declaration that the respondents had breached their obligations under the Guidelines by reason of various failures; and</w:t>
      </w:r>
    </w:p>
    <w:p w14:paraId="5BBE5F79" w14:textId="35FDC21F" w:rsidR="00EC3A98" w:rsidRPr="00EC3A98" w:rsidRDefault="00EC3A98" w:rsidP="00EC3A98">
      <w:pPr>
        <w:pStyle w:val="ListNo1alt"/>
        <w:numPr>
          <w:ilvl w:val="0"/>
          <w:numId w:val="39"/>
        </w:numPr>
      </w:pPr>
      <w:proofErr w:type="gramStart"/>
      <w:r>
        <w:t>costs</w:t>
      </w:r>
      <w:proofErr w:type="gramEnd"/>
      <w:r>
        <w:t xml:space="preserve"> and interest pursuant to </w:t>
      </w:r>
      <w:proofErr w:type="spellStart"/>
      <w:r>
        <w:t>ss</w:t>
      </w:r>
      <w:proofErr w:type="spellEnd"/>
      <w:r>
        <w:t xml:space="preserve"> </w:t>
      </w:r>
      <w:r w:rsidRPr="00266323">
        <w:t>51A</w:t>
      </w:r>
      <w:r>
        <w:t xml:space="preserve"> and 52 of the </w:t>
      </w:r>
      <w:r w:rsidRPr="00EC3A98">
        <w:rPr>
          <w:i/>
        </w:rPr>
        <w:t xml:space="preserve">Federal Court of Australia Act 1976 </w:t>
      </w:r>
      <w:r>
        <w:t>(</w:t>
      </w:r>
      <w:proofErr w:type="spellStart"/>
      <w:r>
        <w:t>Cth</w:t>
      </w:r>
      <w:proofErr w:type="spellEnd"/>
      <w:r>
        <w:t>)</w:t>
      </w:r>
      <w:r w:rsidR="00572A18">
        <w:t>,</w:t>
      </w:r>
      <w:r>
        <w:t xml:space="preserve"> including</w:t>
      </w:r>
      <w:r w:rsidR="00266323">
        <w:t xml:space="preserve"> interest</w:t>
      </w:r>
      <w:r>
        <w:t xml:space="preserve"> on costs.</w:t>
      </w:r>
    </w:p>
    <w:p w14:paraId="06694AE6" w14:textId="54024347" w:rsidR="004556B1" w:rsidRDefault="00266323" w:rsidP="00CD1346">
      <w:pPr>
        <w:pStyle w:val="ParaNumbering"/>
      </w:pPr>
      <w:r>
        <w:t>In broad terms t</w:t>
      </w:r>
      <w:r w:rsidR="00EC3A98">
        <w:t xml:space="preserve">he </w:t>
      </w:r>
      <w:r w:rsidR="00965AA5">
        <w:t>statement of claim</w:t>
      </w:r>
      <w:r>
        <w:t xml:space="preserve"> alleged </w:t>
      </w:r>
      <w:r w:rsidR="00EC3A98">
        <w:t xml:space="preserve">that: </w:t>
      </w:r>
    </w:p>
    <w:p w14:paraId="0990FBF4" w14:textId="562993BC" w:rsidR="00EC3A98" w:rsidRDefault="00EC3A98" w:rsidP="00EC3A98">
      <w:pPr>
        <w:pStyle w:val="ListNo1alt"/>
        <w:numPr>
          <w:ilvl w:val="0"/>
          <w:numId w:val="40"/>
        </w:numPr>
      </w:pPr>
      <w:r>
        <w:t>the SRO was obliged to comply with cl</w:t>
      </w:r>
      <w:r w:rsidR="00E5732D">
        <w:t>ause</w:t>
      </w:r>
      <w:r>
        <w:t xml:space="preserve"> 21 of the VPSEA, it did not do so, and thereby </w:t>
      </w:r>
      <w:r w:rsidR="00572A18">
        <w:t xml:space="preserve">it </w:t>
      </w:r>
      <w:r>
        <w:t>contravened s 5</w:t>
      </w:r>
      <w:r w:rsidR="00266323">
        <w:t>0</w:t>
      </w:r>
      <w:r>
        <w:t xml:space="preserve"> of the FW Act in alleging that Mr Tucker had harassed </w:t>
      </w:r>
      <w:r w:rsidR="00572A18">
        <w:t>another employee</w:t>
      </w:r>
      <w:r w:rsidRPr="00572A18">
        <w:t>;</w:t>
      </w:r>
      <w:r>
        <w:t xml:space="preserve"> </w:t>
      </w:r>
    </w:p>
    <w:p w14:paraId="7279637D" w14:textId="0F38AF9D" w:rsidR="00EC3A98" w:rsidRDefault="00EC3A98" w:rsidP="00EC3A98">
      <w:pPr>
        <w:pStyle w:val="ListNo1alt"/>
        <w:numPr>
          <w:ilvl w:val="0"/>
          <w:numId w:val="40"/>
        </w:numPr>
      </w:pPr>
      <w:r>
        <w:lastRenderedPageBreak/>
        <w:t>the SRO was obliged to comply with s 20</w:t>
      </w:r>
      <w:r w:rsidR="00965AA5">
        <w:t xml:space="preserve">(3)(c) of the PA Act, read together with s 8(b), and thereby breached its obligations to treat Mr Tucker reasonably and fairly in </w:t>
      </w:r>
      <w:r w:rsidR="00DE6E79">
        <w:t xml:space="preserve">alleging that Mr Tucker had harassed </w:t>
      </w:r>
      <w:r w:rsidR="00965AA5" w:rsidRPr="00572A18">
        <w:t>another employee</w:t>
      </w:r>
      <w:r w:rsidR="00965AA5">
        <w:t xml:space="preserve">; and </w:t>
      </w:r>
    </w:p>
    <w:p w14:paraId="699ED156" w14:textId="3C9560CF" w:rsidR="00965AA5" w:rsidRDefault="00965AA5" w:rsidP="00EC3A98">
      <w:pPr>
        <w:pStyle w:val="ListNo1alt"/>
        <w:numPr>
          <w:ilvl w:val="0"/>
          <w:numId w:val="40"/>
        </w:numPr>
      </w:pPr>
      <w:proofErr w:type="gramStart"/>
      <w:r>
        <w:t>the</w:t>
      </w:r>
      <w:proofErr w:type="gramEnd"/>
      <w:r>
        <w:t xml:space="preserve"> SRO was contractually bound to comply with the provisions of the VPSEA and breached that contractual promise in making allegations that the applicant harassed </w:t>
      </w:r>
      <w:r w:rsidRPr="00572A18">
        <w:t>another employee.</w:t>
      </w:r>
    </w:p>
    <w:p w14:paraId="1566C6BE" w14:textId="64FC15A0" w:rsidR="00965AA5" w:rsidRDefault="00965AA5" w:rsidP="00965AA5">
      <w:pPr>
        <w:pStyle w:val="ParaNumbering"/>
      </w:pPr>
      <w:r>
        <w:t xml:space="preserve">Insofar as damages </w:t>
      </w:r>
      <w:r w:rsidR="00DE6E79">
        <w:t xml:space="preserve">are </w:t>
      </w:r>
      <w:r>
        <w:t>concerned, the statement of claim</w:t>
      </w:r>
      <w:r w:rsidR="003503D5">
        <w:t xml:space="preserve"> allege</w:t>
      </w:r>
      <w:r w:rsidR="00DE6E79">
        <w:t>d</w:t>
      </w:r>
      <w:r>
        <w:t xml:space="preserve"> that </w:t>
      </w:r>
      <w:proofErr w:type="gramStart"/>
      <w:r>
        <w:t>by reason of</w:t>
      </w:r>
      <w:proofErr w:type="gramEnd"/>
      <w:r>
        <w:t xml:space="preserve"> the matters complained of</w:t>
      </w:r>
      <w:r w:rsidR="00DE6E79">
        <w:t>,</w:t>
      </w:r>
      <w:r w:rsidR="00965204">
        <w:t xml:space="preserve"> Mr Tucker had</w:t>
      </w:r>
      <w:r>
        <w:t xml:space="preserve"> been brought into</w:t>
      </w:r>
      <w:r w:rsidR="00DE6E79">
        <w:t xml:space="preserve"> hatred</w:t>
      </w:r>
      <w:r w:rsidR="00965204">
        <w:t>, ridicule and contempt and had</w:t>
      </w:r>
      <w:r>
        <w:t xml:space="preserve"> been gravely injured in his character and reputation </w:t>
      </w:r>
      <w:r w:rsidR="00965204">
        <w:t>as a lawyer and employee and had</w:t>
      </w:r>
      <w:r>
        <w:t xml:space="preserve"> suffered hurt and embarrassm</w:t>
      </w:r>
      <w:r w:rsidR="00965204">
        <w:t>ent and had</w:t>
      </w:r>
      <w:r>
        <w:t xml:space="preserve"> suffered and will continue to suffer loss and damage. Particulars </w:t>
      </w:r>
      <w:proofErr w:type="gramStart"/>
      <w:r w:rsidR="00965204">
        <w:t>were</w:t>
      </w:r>
      <w:r w:rsidR="00DE6E79">
        <w:t xml:space="preserve"> provided</w:t>
      </w:r>
      <w:proofErr w:type="gramEnd"/>
      <w:r w:rsidR="00DE6E79">
        <w:t xml:space="preserve"> </w:t>
      </w:r>
      <w:r>
        <w:t>of aggravated, exemplary, and special damages.</w:t>
      </w:r>
    </w:p>
    <w:p w14:paraId="42E21EFC" w14:textId="16B0F77C" w:rsidR="00965AA5" w:rsidRPr="008305DE" w:rsidRDefault="00965AA5" w:rsidP="00965AA5">
      <w:pPr>
        <w:pStyle w:val="ParaNumbering"/>
      </w:pPr>
      <w:r>
        <w:t xml:space="preserve">The </w:t>
      </w:r>
      <w:r w:rsidR="00831BBC">
        <w:t>statement of claim also allege</w:t>
      </w:r>
      <w:r w:rsidR="00DE6E79">
        <w:t>d</w:t>
      </w:r>
      <w:r>
        <w:t xml:space="preserve"> </w:t>
      </w:r>
      <w:r w:rsidR="00DE6E79">
        <w:t xml:space="preserve">that </w:t>
      </w:r>
      <w:r>
        <w:t xml:space="preserve">the </w:t>
      </w:r>
      <w:r w:rsidR="00DE6E79">
        <w:t xml:space="preserve">SRO was </w:t>
      </w:r>
      <w:r>
        <w:t>oblig</w:t>
      </w:r>
      <w:r w:rsidR="00DE6E79">
        <w:t>ed</w:t>
      </w:r>
      <w:r>
        <w:t xml:space="preserve"> to comply with the Guidelines and </w:t>
      </w:r>
      <w:r w:rsidR="002827AD">
        <w:t xml:space="preserve">that </w:t>
      </w:r>
      <w:r>
        <w:t>it</w:t>
      </w:r>
      <w:r w:rsidR="002827AD">
        <w:t xml:space="preserve"> breached its obligations under various sub-paragraphs of th</w:t>
      </w:r>
      <w:r w:rsidR="007E22C6">
        <w:t>e</w:t>
      </w:r>
      <w:r w:rsidR="002827AD">
        <w:t xml:space="preserve"> Guidelines</w:t>
      </w:r>
      <w:r>
        <w:t xml:space="preserve">. Detailed </w:t>
      </w:r>
      <w:r w:rsidRPr="008305DE">
        <w:t>particulars</w:t>
      </w:r>
      <w:r w:rsidR="007E22C6" w:rsidRPr="008305DE">
        <w:t xml:space="preserve"> </w:t>
      </w:r>
      <w:proofErr w:type="gramStart"/>
      <w:r w:rsidR="007E22C6" w:rsidRPr="008305DE">
        <w:t xml:space="preserve">were </w:t>
      </w:r>
      <w:r w:rsidRPr="008305DE">
        <w:t>given</w:t>
      </w:r>
      <w:proofErr w:type="gramEnd"/>
      <w:r w:rsidRPr="008305DE">
        <w:t xml:space="preserve"> of the alleged failures. </w:t>
      </w:r>
    </w:p>
    <w:p w14:paraId="39749677" w14:textId="46255279" w:rsidR="00726B7D" w:rsidRPr="008305DE" w:rsidRDefault="00965AA5" w:rsidP="00965AA5">
      <w:pPr>
        <w:pStyle w:val="Heading1"/>
      </w:pPr>
      <w:r w:rsidRPr="008305DE">
        <w:t>the determination of the pr</w:t>
      </w:r>
      <w:r w:rsidR="0087289E" w:rsidRPr="008305DE">
        <w:t>imary judge</w:t>
      </w:r>
    </w:p>
    <w:p w14:paraId="3E837033" w14:textId="00CC8677" w:rsidR="0087289E" w:rsidRPr="008305DE" w:rsidRDefault="00AB0FB3" w:rsidP="00CD1346">
      <w:pPr>
        <w:pStyle w:val="ParaNumbering"/>
      </w:pPr>
      <w:proofErr w:type="gramStart"/>
      <w:r w:rsidRPr="008305DE">
        <w:t xml:space="preserve">The primary judge noted that in the Supreme Court proceeding Mr Tucker alleged, and </w:t>
      </w:r>
      <w:r w:rsidRPr="00572A18">
        <w:t>the defendants</w:t>
      </w:r>
      <w:r w:rsidRPr="008305DE">
        <w:t xml:space="preserve"> had denied, that the SRO was obliged to provide an un-redacted (or less redacted) copy of the Kl</w:t>
      </w:r>
      <w:r w:rsidR="00E5732D">
        <w:t xml:space="preserve">ug report to him pursuant to clause </w:t>
      </w:r>
      <w:r w:rsidRPr="008305DE">
        <w:t>21.11(a) of the VPSEA, by virtue of the terms of his employment, which included s 20(3) of the PA Act.</w:t>
      </w:r>
      <w:proofErr w:type="gramEnd"/>
      <w:r w:rsidRPr="008305DE">
        <w:t xml:space="preserve"> His Honour also observed that the particulars of </w:t>
      </w:r>
      <w:r w:rsidR="003A4318">
        <w:t xml:space="preserve">the </w:t>
      </w:r>
      <w:r w:rsidRPr="008305DE">
        <w:t xml:space="preserve">three matters complained </w:t>
      </w:r>
      <w:r w:rsidR="00572A18">
        <w:t xml:space="preserve">of </w:t>
      </w:r>
      <w:r w:rsidRPr="008305DE">
        <w:t xml:space="preserve">in the Federal Court proceeding </w:t>
      </w:r>
      <w:r w:rsidR="00572A18">
        <w:t>(</w:t>
      </w:r>
      <w:r w:rsidRPr="008305DE">
        <w:t>other than the claim about the Guidelines</w:t>
      </w:r>
      <w:r w:rsidR="00572A18">
        <w:t>),</w:t>
      </w:r>
      <w:r w:rsidRPr="008305DE">
        <w:t xml:space="preserve"> constituting the whole of the matters complained of, relied on the declaration made by the Court of Appeal. </w:t>
      </w:r>
    </w:p>
    <w:p w14:paraId="2499AA44" w14:textId="076F561D" w:rsidR="00AB0FB3" w:rsidRPr="00AB0FB3" w:rsidRDefault="00AB0FB3" w:rsidP="00CD1346">
      <w:pPr>
        <w:pStyle w:val="ParaNumbering"/>
      </w:pPr>
      <w:r w:rsidRPr="008305DE">
        <w:t xml:space="preserve">The primary judge regarded it as significant that each of Mr Tucker’s three Federal Court claims </w:t>
      </w:r>
      <w:r w:rsidR="00572A18">
        <w:t>(</w:t>
      </w:r>
      <w:r w:rsidRPr="008305DE">
        <w:t>other than the Guidelines claim</w:t>
      </w:r>
      <w:r w:rsidR="00572A18">
        <w:t>)</w:t>
      </w:r>
      <w:r w:rsidRPr="008305DE">
        <w:t xml:space="preserve"> </w:t>
      </w:r>
      <w:r w:rsidR="00572A18">
        <w:t>was</w:t>
      </w:r>
      <w:r w:rsidRPr="008305DE">
        <w:t xml:space="preserve"> founded on, and only on, the declaration – that is, the claims for:</w:t>
      </w:r>
      <w:r w:rsidRPr="00AB0FB3">
        <w:t xml:space="preserve"> </w:t>
      </w:r>
    </w:p>
    <w:p w14:paraId="793FFDCC" w14:textId="7D2EEEB1" w:rsidR="00AB0FB3" w:rsidRPr="00AB0FB3" w:rsidRDefault="00AB0FB3" w:rsidP="00AB0FB3">
      <w:pPr>
        <w:pStyle w:val="ListNo1alt"/>
        <w:numPr>
          <w:ilvl w:val="0"/>
          <w:numId w:val="41"/>
        </w:numPr>
      </w:pPr>
      <w:r w:rsidRPr="00AB0FB3">
        <w:t>compensations and penalties in respect of s 50 of the FW Act;</w:t>
      </w:r>
    </w:p>
    <w:p w14:paraId="22AA173F" w14:textId="0E5E7795" w:rsidR="00AB0FB3" w:rsidRPr="00AB0FB3" w:rsidRDefault="00AB0FB3" w:rsidP="00AB0FB3">
      <w:pPr>
        <w:pStyle w:val="ListNo1alt"/>
        <w:numPr>
          <w:ilvl w:val="0"/>
          <w:numId w:val="41"/>
        </w:numPr>
      </w:pPr>
      <w:r w:rsidRPr="00AB0FB3">
        <w:t>damages in contract for breach of the duty to comply with cl</w:t>
      </w:r>
      <w:r w:rsidR="00E5732D">
        <w:t>ause</w:t>
      </w:r>
      <w:r w:rsidRPr="00AB0FB3">
        <w:t xml:space="preserve"> 21.11(1) of the VPSEA; and</w:t>
      </w:r>
    </w:p>
    <w:p w14:paraId="220E6857" w14:textId="583D1253" w:rsidR="00AB0FB3" w:rsidRDefault="00AB0FB3" w:rsidP="00AB0FB3">
      <w:pPr>
        <w:pStyle w:val="ListNo1alt"/>
        <w:numPr>
          <w:ilvl w:val="0"/>
          <w:numId w:val="41"/>
        </w:numPr>
      </w:pPr>
      <w:proofErr w:type="gramStart"/>
      <w:r w:rsidRPr="00AB0FB3">
        <w:t>damages</w:t>
      </w:r>
      <w:proofErr w:type="gramEnd"/>
      <w:r w:rsidRPr="00AB0FB3">
        <w:t xml:space="preserve"> in relation to a breach of s 20(3)(c) of the PA Act.</w:t>
      </w:r>
    </w:p>
    <w:p w14:paraId="39F4F1D0" w14:textId="77777777" w:rsidR="00AB0FB3" w:rsidRDefault="00AB0FB3" w:rsidP="00AB0FB3">
      <w:pPr>
        <w:pStyle w:val="ParaNumbering"/>
      </w:pPr>
      <w:proofErr w:type="gramStart"/>
      <w:r>
        <w:lastRenderedPageBreak/>
        <w:t>In these circumstances the primary judge took the view that the three claims pursued in the Federal Court were plainly founded on an issue that had already been pleaded and resolved in Mr Tucker’s favour in the Supreme Cou</w:t>
      </w:r>
      <w:r w:rsidR="00E5732D">
        <w:t xml:space="preserve">rt proceedings – namely that clause </w:t>
      </w:r>
      <w:r>
        <w:t>21.11(a) of the VP</w:t>
      </w:r>
      <w:r w:rsidR="008B7047">
        <w:t>SE</w:t>
      </w:r>
      <w:r>
        <w:t xml:space="preserve">A entitled Mr </w:t>
      </w:r>
      <w:r w:rsidR="006346F9">
        <w:t xml:space="preserve">Tucker </w:t>
      </w:r>
      <w:r>
        <w:t>to receive an un-redacted (or less redacted) copy of the Klug report in the conduct of the disciplinary process which was on foot against Mr Tucker.</w:t>
      </w:r>
      <w:proofErr w:type="gramEnd"/>
    </w:p>
    <w:p w14:paraId="28B9C308" w14:textId="074543E5" w:rsidR="00AB0FB3" w:rsidRDefault="00AB0FB3" w:rsidP="00AB0FB3">
      <w:pPr>
        <w:pStyle w:val="ParaNumbering"/>
      </w:pPr>
      <w:r>
        <w:t xml:space="preserve">The primary judge also regarded it as relevant that: </w:t>
      </w:r>
    </w:p>
    <w:p w14:paraId="074A55C0" w14:textId="2ECCFA18" w:rsidR="00AB0FB3" w:rsidRDefault="00AB0FB3" w:rsidP="00AB0FB3">
      <w:pPr>
        <w:pStyle w:val="ListNo1alt"/>
        <w:numPr>
          <w:ilvl w:val="0"/>
          <w:numId w:val="42"/>
        </w:numPr>
      </w:pPr>
      <w:r>
        <w:t xml:space="preserve">in the Supreme Court proceeding Mr Tucker sought injunctive and declaratory relief based </w:t>
      </w:r>
      <w:r w:rsidR="003A4318">
        <w:t xml:space="preserve">on </w:t>
      </w:r>
      <w:r>
        <w:t>claims in contract and under the PA Act, but not damages;</w:t>
      </w:r>
    </w:p>
    <w:p w14:paraId="7EC4BB10" w14:textId="0B42C719" w:rsidR="00AB0FB3" w:rsidRDefault="00AB0FB3" w:rsidP="00AB0FB3">
      <w:pPr>
        <w:pStyle w:val="ListNo1alt"/>
        <w:numPr>
          <w:ilvl w:val="0"/>
          <w:numId w:val="42"/>
        </w:numPr>
      </w:pPr>
      <w:r>
        <w:t xml:space="preserve">Mr Tucker unsuccessfully attempted to persuade the Supreme Court that it had jurisdiction to hear a claim under the FW Act; and </w:t>
      </w:r>
    </w:p>
    <w:p w14:paraId="76DDDF02" w14:textId="154C35AD" w:rsidR="00AB0FB3" w:rsidRPr="00AB0FB3" w:rsidRDefault="00CF3DA7" w:rsidP="00AB0FB3">
      <w:pPr>
        <w:pStyle w:val="ListNo1alt"/>
        <w:numPr>
          <w:ilvl w:val="0"/>
          <w:numId w:val="42"/>
        </w:numPr>
      </w:pPr>
      <w:proofErr w:type="gramStart"/>
      <w:r>
        <w:t>a</w:t>
      </w:r>
      <w:r w:rsidR="00AB0FB3">
        <w:t>fter</w:t>
      </w:r>
      <w:proofErr w:type="gramEnd"/>
      <w:r w:rsidR="00AB0FB3">
        <w:t xml:space="preserve"> his unsuccessful application to transfer the Supreme Court proceeding to this Court, Mr Tucker did not discontinue the Supreme Court proceeding and instigate any proceeding, including a claim under the FW Act, in this Court.</w:t>
      </w:r>
    </w:p>
    <w:p w14:paraId="581BEF74" w14:textId="5F26C705" w:rsidR="00BA448A" w:rsidRDefault="00BA448A" w:rsidP="00CD1346">
      <w:pPr>
        <w:pStyle w:val="ParaNumbering"/>
      </w:pPr>
      <w:proofErr w:type="gramStart"/>
      <w:r w:rsidRPr="00AB0FB3">
        <w:t>T</w:t>
      </w:r>
      <w:r w:rsidR="00F8692B">
        <w:t>hus the</w:t>
      </w:r>
      <w:r w:rsidRPr="00AB0FB3">
        <w:t xml:space="preserve"> primary judge concluded</w:t>
      </w:r>
      <w:r w:rsidR="00F8692B">
        <w:t xml:space="preserve"> (at [64]-[65])</w:t>
      </w:r>
      <w:r w:rsidRPr="00AB0FB3">
        <w:t xml:space="preserve"> that Mr Tucker’s rights and obligations in respect of his claim that the SRO</w:t>
      </w:r>
      <w:r w:rsidR="00425E0B" w:rsidRPr="00AB0FB3">
        <w:t xml:space="preserve"> </w:t>
      </w:r>
      <w:r w:rsidRPr="00AB0FB3">
        <w:t>was obliged to provide an un</w:t>
      </w:r>
      <w:r w:rsidRPr="00AB0FB3">
        <w:noBreakHyphen/>
        <w:t xml:space="preserve">redacted (or less redacted) copy of the Klug </w:t>
      </w:r>
      <w:r w:rsidR="00A52F9D" w:rsidRPr="00AB0FB3">
        <w:t>report to him pursuant to c</w:t>
      </w:r>
      <w:r w:rsidR="00A52F9D">
        <w:t>l</w:t>
      </w:r>
      <w:r w:rsidR="00E5732D">
        <w:t>ause</w:t>
      </w:r>
      <w:r>
        <w:t xml:space="preserve"> 21.11(a) of the </w:t>
      </w:r>
      <w:r w:rsidRPr="00425E0B">
        <w:t>VPSEA</w:t>
      </w:r>
      <w:r w:rsidRPr="00BA448A">
        <w:t>, b</w:t>
      </w:r>
      <w:r>
        <w:t xml:space="preserve">y virtue of the terms of his employment, including </w:t>
      </w:r>
      <w:r w:rsidRPr="00BA448A">
        <w:t>s 20(3)(c) of the</w:t>
      </w:r>
      <w:r w:rsidRPr="00BA448A">
        <w:rPr>
          <w:i/>
        </w:rPr>
        <w:t xml:space="preserve"> </w:t>
      </w:r>
      <w:r w:rsidRPr="00425E0B">
        <w:t>PA Act</w:t>
      </w:r>
      <w:r w:rsidRPr="00BA448A">
        <w:t>, mer</w:t>
      </w:r>
      <w:r>
        <w:t xml:space="preserve">ged into a final judgment upon the making of the declaration by the Court of Appeal that </w:t>
      </w:r>
      <w:r w:rsidR="00572A18">
        <w:t xml:space="preserve">the defendants </w:t>
      </w:r>
      <w:r>
        <w:t>had “failed to conduct the investigation into harassment alleg</w:t>
      </w:r>
      <w:r w:rsidRPr="00BA448A">
        <w:t>ations against [Mr Tucker] in</w:t>
      </w:r>
      <w:r>
        <w:t xml:space="preserve"> accordance with the procedural fairness requirements o</w:t>
      </w:r>
      <w:r w:rsidR="00A52F9D">
        <w:t>f cl</w:t>
      </w:r>
      <w:r w:rsidR="00E5732D">
        <w:t>ause</w:t>
      </w:r>
      <w:r w:rsidRPr="00BA448A">
        <w:t xml:space="preserve"> 21.11(a) of the [VPSEA] and section 20(3)(c) of the </w:t>
      </w:r>
      <w:r w:rsidRPr="00572A18">
        <w:t>[PA Act</w:t>
      </w:r>
      <w:r w:rsidRPr="00BA448A">
        <w:t>] read together with section 8(b)</w:t>
      </w:r>
      <w:r>
        <w:t xml:space="preserve">”: </w:t>
      </w:r>
      <w:r w:rsidRPr="000B4372">
        <w:rPr>
          <w:b/>
          <w:i/>
        </w:rPr>
        <w:t>Tomlinson</w:t>
      </w:r>
      <w:r w:rsidRPr="00EE0972">
        <w:rPr>
          <w:i/>
        </w:rPr>
        <w:t xml:space="preserve"> v Ramsey Food Processing Pty Ltd</w:t>
      </w:r>
      <w:r>
        <w:t xml:space="preserve"> (2015) 256 CLR 507</w:t>
      </w:r>
      <w:r w:rsidR="00F05BBA">
        <w:t xml:space="preserve">at 516 </w:t>
      </w:r>
      <w:r>
        <w:t>[20]</w:t>
      </w:r>
      <w:r w:rsidR="0087289E">
        <w:t xml:space="preserve"> (French CJ, Bell, </w:t>
      </w:r>
      <w:proofErr w:type="spellStart"/>
      <w:r w:rsidR="0087289E">
        <w:t>Gageler</w:t>
      </w:r>
      <w:proofErr w:type="spellEnd"/>
      <w:r w:rsidR="0087289E">
        <w:t xml:space="preserve"> and Keane JJ)</w:t>
      </w:r>
      <w:r>
        <w:t xml:space="preserve">; </w:t>
      </w:r>
      <w:r w:rsidRPr="00EA209B">
        <w:rPr>
          <w:i/>
        </w:rPr>
        <w:t>Bass v Permanent Trustee Company Ltd</w:t>
      </w:r>
      <w:r w:rsidRPr="00EA209B">
        <w:t xml:space="preserve"> (1999) 198 CLR 334 at 356</w:t>
      </w:r>
      <w:r w:rsidR="00AC40A0">
        <w:t>-357</w:t>
      </w:r>
      <w:r w:rsidRPr="00EA209B">
        <w:t xml:space="preserve"> [48]</w:t>
      </w:r>
      <w:r w:rsidR="0087289E">
        <w:t xml:space="preserve"> (</w:t>
      </w:r>
      <w:r w:rsidR="00067F3C">
        <w:t xml:space="preserve">Gleeson CJ, </w:t>
      </w:r>
      <w:proofErr w:type="spellStart"/>
      <w:r w:rsidR="00067F3C">
        <w:t>Gaudron</w:t>
      </w:r>
      <w:proofErr w:type="spellEnd"/>
      <w:r w:rsidR="00067F3C">
        <w:t xml:space="preserve">, McHugh, </w:t>
      </w:r>
      <w:proofErr w:type="spellStart"/>
      <w:r w:rsidR="00067F3C">
        <w:t>Gummow</w:t>
      </w:r>
      <w:proofErr w:type="spellEnd"/>
      <w:r w:rsidR="00067F3C">
        <w:t>, Hayne and Callinan JJ</w:t>
      </w:r>
      <w:r w:rsidR="0087289E">
        <w:t>)</w:t>
      </w:r>
      <w:r w:rsidRPr="00EA209B">
        <w:t>.</w:t>
      </w:r>
      <w:proofErr w:type="gramEnd"/>
      <w:r>
        <w:t xml:space="preserve"> </w:t>
      </w:r>
    </w:p>
    <w:p w14:paraId="42BE0936" w14:textId="463C368C" w:rsidR="00BA448A" w:rsidRDefault="00F8692B" w:rsidP="00BA448A">
      <w:pPr>
        <w:pStyle w:val="ParaNumbering"/>
      </w:pPr>
      <w:r>
        <w:t>The</w:t>
      </w:r>
      <w:r w:rsidR="00AA2A0D">
        <w:t xml:space="preserve"> primary judge </w:t>
      </w:r>
      <w:r w:rsidR="00BA448A">
        <w:t>held</w:t>
      </w:r>
      <w:r>
        <w:t xml:space="preserve"> (at [66])</w:t>
      </w:r>
      <w:r w:rsidR="00BA448A">
        <w:t xml:space="preserve"> that the causes of action </w:t>
      </w:r>
      <w:proofErr w:type="gramStart"/>
      <w:r w:rsidR="00BA448A">
        <w:t>sought to be pleaded</w:t>
      </w:r>
      <w:proofErr w:type="gramEnd"/>
      <w:r w:rsidR="00BA448A">
        <w:t xml:space="preserve"> </w:t>
      </w:r>
      <w:r w:rsidR="00AA2A0D">
        <w:t xml:space="preserve">in this Court </w:t>
      </w:r>
      <w:r w:rsidR="00BA448A">
        <w:t xml:space="preserve">(other than the </w:t>
      </w:r>
      <w:r w:rsidR="00AA2A0D">
        <w:t>G</w:t>
      </w:r>
      <w:r w:rsidR="00BA448A">
        <w:t>uidelines claim) are no longer available, because they merged in the judgment in the Supreme Court and are extinguished.</w:t>
      </w:r>
    </w:p>
    <w:p w14:paraId="0F742ED1" w14:textId="24A89EA4" w:rsidR="00BA448A" w:rsidRDefault="00922461" w:rsidP="00CD1346">
      <w:pPr>
        <w:pStyle w:val="ParaNumbering"/>
      </w:pPr>
      <w:r>
        <w:t>The primary judge</w:t>
      </w:r>
      <w:r w:rsidR="00AA2A0D">
        <w:t xml:space="preserve"> </w:t>
      </w:r>
      <w:r w:rsidR="00BA448A">
        <w:t>also found</w:t>
      </w:r>
      <w:r w:rsidR="00F8692B">
        <w:t xml:space="preserve"> (at [67]-[68])</w:t>
      </w:r>
      <w:r w:rsidR="00BA448A">
        <w:t xml:space="preserve"> that, in any event, a cause of action estoppel applied in respect of each of the s 50, contract and PA Act claims, referring in this regard to </w:t>
      </w:r>
      <w:r w:rsidR="00BA448A" w:rsidRPr="00EE0972">
        <w:rPr>
          <w:i/>
        </w:rPr>
        <w:t>Clayton v Bant</w:t>
      </w:r>
      <w:r w:rsidR="00BA448A">
        <w:t xml:space="preserve"> </w:t>
      </w:r>
      <w:r w:rsidR="00BA448A" w:rsidRPr="00572A18">
        <w:t xml:space="preserve">(2020) </w:t>
      </w:r>
      <w:r w:rsidR="00E7324A">
        <w:t>272 CLR 1</w:t>
      </w:r>
      <w:r w:rsidR="00BA448A">
        <w:t xml:space="preserve"> at </w:t>
      </w:r>
      <w:r w:rsidR="00E7324A">
        <w:t>13-14</w:t>
      </w:r>
      <w:r w:rsidR="00BA448A">
        <w:t xml:space="preserve"> [34]. These findings</w:t>
      </w:r>
      <w:r w:rsidR="00F8692B">
        <w:t>, his Honour concluded,</w:t>
      </w:r>
      <w:r w:rsidR="00BA448A">
        <w:t xml:space="preserve"> operated to </w:t>
      </w:r>
      <w:r w:rsidR="00BA448A">
        <w:lastRenderedPageBreak/>
        <w:t xml:space="preserve">preclude </w:t>
      </w:r>
      <w:r w:rsidR="00AA2A0D">
        <w:t xml:space="preserve">Mr Tucker </w:t>
      </w:r>
      <w:r w:rsidR="00BA448A">
        <w:t xml:space="preserve">from validly commencing any proceedings in this Court in relation to </w:t>
      </w:r>
      <w:r w:rsidR="00AA2A0D">
        <w:t xml:space="preserve">any asserted </w:t>
      </w:r>
      <w:r w:rsidR="00BA448A">
        <w:t>failure of the SRO to provide him with an un-redacted copy of the Klug report.</w:t>
      </w:r>
    </w:p>
    <w:p w14:paraId="4467B0C1" w14:textId="3AA510E4" w:rsidR="00106792" w:rsidRDefault="00F8692B" w:rsidP="00CD1346">
      <w:pPr>
        <w:pStyle w:val="ParaNumbering"/>
      </w:pPr>
      <w:r>
        <w:t xml:space="preserve">As has been mentioned, </w:t>
      </w:r>
      <w:r w:rsidR="00217967">
        <w:t>the primary judge</w:t>
      </w:r>
      <w:r>
        <w:t xml:space="preserve"> also</w:t>
      </w:r>
      <w:r w:rsidR="00217967">
        <w:t xml:space="preserve"> found that the </w:t>
      </w:r>
      <w:r w:rsidR="00C746AC">
        <w:t>bringing of the</w:t>
      </w:r>
      <w:r w:rsidR="00217967">
        <w:t xml:space="preserve"> proceeding </w:t>
      </w:r>
      <w:r w:rsidR="00C746AC">
        <w:t xml:space="preserve">in this Court </w:t>
      </w:r>
      <w:r w:rsidR="00217967">
        <w:t xml:space="preserve">was also an abuse of process. </w:t>
      </w:r>
      <w:proofErr w:type="gramStart"/>
      <w:r w:rsidR="00217967">
        <w:t xml:space="preserve">Referring to </w:t>
      </w:r>
      <w:r w:rsidR="00217967" w:rsidRPr="00217967">
        <w:rPr>
          <w:i/>
        </w:rPr>
        <w:t>Tomlinson</w:t>
      </w:r>
      <w:r w:rsidR="00217967">
        <w:t xml:space="preserve"> at 518-51</w:t>
      </w:r>
      <w:r w:rsidR="008B594E">
        <w:t>9 [25]-[26]</w:t>
      </w:r>
      <w:r w:rsidR="00C746AC">
        <w:t xml:space="preserve">, and the observations </w:t>
      </w:r>
      <w:r w:rsidR="004D30F4">
        <w:t xml:space="preserve">made by French CJ, Bell, </w:t>
      </w:r>
      <w:proofErr w:type="spellStart"/>
      <w:r w:rsidR="004D30F4">
        <w:t>Gageler</w:t>
      </w:r>
      <w:proofErr w:type="spellEnd"/>
      <w:r w:rsidR="004D30F4">
        <w:t xml:space="preserve"> and Keane JJ </w:t>
      </w:r>
      <w:r w:rsidR="00C746AC">
        <w:t>about the inherently broader and more flexible nature of abuse of process</w:t>
      </w:r>
      <w:r w:rsidR="00D34FFF">
        <w:t xml:space="preserve"> as a doctrine of application in any circumstance in which the use of a court’s procedures would be unjustifiably oppressive to a party or would bring the administration of justice into disrepute</w:t>
      </w:r>
      <w:r w:rsidR="00C746AC">
        <w:t>,</w:t>
      </w:r>
      <w:r w:rsidR="008B594E">
        <w:t xml:space="preserve"> his Honour concluded</w:t>
      </w:r>
      <w:r w:rsidR="00217967">
        <w:t xml:space="preserve"> that the proceeding </w:t>
      </w:r>
      <w:r w:rsidR="00106792">
        <w:t>should be so regarded</w:t>
      </w:r>
      <w:r w:rsidR="004D30F4">
        <w:t>,</w:t>
      </w:r>
      <w:r w:rsidR="00106792">
        <w:t xml:space="preserve"> </w:t>
      </w:r>
      <w:r w:rsidR="00217967">
        <w:t xml:space="preserve">not only because </w:t>
      </w:r>
      <w:r w:rsidR="00C746AC">
        <w:t xml:space="preserve">Mr Tucker </w:t>
      </w:r>
      <w:r w:rsidR="00217967">
        <w:t xml:space="preserve">was seeking to raise before this </w:t>
      </w:r>
      <w:r w:rsidR="00C746AC">
        <w:t>C</w:t>
      </w:r>
      <w:r w:rsidR="00217967">
        <w:t xml:space="preserve">ourt issues which could have been raised before (the </w:t>
      </w:r>
      <w:r w:rsidR="00217967" w:rsidRPr="00425E0B">
        <w:t>FW Act</w:t>
      </w:r>
      <w:r w:rsidR="00425E0B">
        <w:t xml:space="preserve"> </w:t>
      </w:r>
      <w:r w:rsidR="00217967">
        <w:t>claim and claims for damages)</w:t>
      </w:r>
      <w:r w:rsidR="004D30F4">
        <w:t>,</w:t>
      </w:r>
      <w:r w:rsidR="00217967">
        <w:t xml:space="preserve"> but because he was seeking to vex the respondents again with the same claims.</w:t>
      </w:r>
      <w:proofErr w:type="gramEnd"/>
      <w:r w:rsidR="00C746AC">
        <w:t xml:space="preserve"> </w:t>
      </w:r>
      <w:r w:rsidR="00D34FFF">
        <w:t xml:space="preserve">In this regard his Honour </w:t>
      </w:r>
      <w:r w:rsidR="00C746AC">
        <w:t>accepted the respondents’ submission that</w:t>
      </w:r>
      <w:r w:rsidR="00106792">
        <w:t>:</w:t>
      </w:r>
    </w:p>
    <w:p w14:paraId="379DEAFC" w14:textId="77777777" w:rsidR="00A52212" w:rsidRDefault="00A52212" w:rsidP="00A52212">
      <w:pPr>
        <w:pStyle w:val="Quote1"/>
      </w:pPr>
      <w:r>
        <w:t xml:space="preserve">… </w:t>
      </w:r>
      <w:proofErr w:type="gramStart"/>
      <w:r>
        <w:t>it</w:t>
      </w:r>
      <w:proofErr w:type="gramEnd"/>
      <w:r>
        <w:t xml:space="preserve"> is an abuse of process to seek to use the outcome of the Supreme Court Proceedings, namely, the Declaration, to then pursue the s 50 Claim, the Contract Claim and the PA Act Claim.</w:t>
      </w:r>
    </w:p>
    <w:p w14:paraId="404C951F" w14:textId="77777777" w:rsidR="00A52212" w:rsidRDefault="00A52212" w:rsidP="00A52212">
      <w:pPr>
        <w:pStyle w:val="Quote1"/>
      </w:pPr>
      <w:r>
        <w:t>Mr Tucker elected to commence, and then continue, the Supreme Court Proceedings, rather than commencing proceedings in this Court, in full knowledge that the Supreme Court could not order penalties or compensation under the FW Act. He did so when it was in the interests of the parties and in the public interest for all claims to be resolved simultaneously in a single proceeding. Mr Tucker himself recognised the importance of these matters when seeking to cross vest the Supreme Court Proceedings to this Court.</w:t>
      </w:r>
    </w:p>
    <w:p w14:paraId="55019C5A" w14:textId="77777777" w:rsidR="00A52212" w:rsidRDefault="00A52212" w:rsidP="00A52212">
      <w:pPr>
        <w:pStyle w:val="Quote1"/>
      </w:pPr>
      <w:proofErr w:type="gramStart"/>
      <w:r>
        <w:t>Also</w:t>
      </w:r>
      <w:proofErr w:type="gramEnd"/>
      <w:r>
        <w:t xml:space="preserve">, conducting the litigation in this way deprived the First Respondent of his right to claim penalty privilege in respect of the s.50 Claim. The conduct of the litigation in this way undermines the processes of the Court and the protections afforded by the law. It will bring the administration of justice into disrepute if this proceeding </w:t>
      </w:r>
      <w:proofErr w:type="gramStart"/>
      <w:r>
        <w:t>is not stayed</w:t>
      </w:r>
      <w:proofErr w:type="gramEnd"/>
      <w:r>
        <w:t>.</w:t>
      </w:r>
    </w:p>
    <w:p w14:paraId="39D81D96" w14:textId="77777777" w:rsidR="00A52212" w:rsidRDefault="00A52212" w:rsidP="00A52212">
      <w:pPr>
        <w:pStyle w:val="Quote1"/>
      </w:pPr>
      <w:r>
        <w:t>Further, Mr Tucker did not seek damages for his claims in contract and under the PA Act in the Supreme Court proceedings, but now seeks damages in this Court for what are in substance identical claims.</w:t>
      </w:r>
    </w:p>
    <w:p w14:paraId="32F3C4C1" w14:textId="77777777" w:rsidR="00A52212" w:rsidRDefault="00A52212" w:rsidP="00A52212">
      <w:pPr>
        <w:pStyle w:val="Quote1"/>
      </w:pPr>
      <w:r>
        <w:t xml:space="preserve">Accordingly, Mr Tucker could have brought all his claims in a single proceeding in this Court. Knowing this, he sought to cross vest the proceeding to this Court. Mr Tucker argued that it was in the interests of all parties and the Court that his claims </w:t>
      </w:r>
      <w:proofErr w:type="gramStart"/>
      <w:r>
        <w:t>be heard</w:t>
      </w:r>
      <w:proofErr w:type="gramEnd"/>
      <w:r>
        <w:t xml:space="preserve"> together in this Court. When his application to cross vest the proceeding failed, it was incumbent on Mr Tucker, if he wanted to make claims under the FW Act, to then discontinue the Supreme Court Proceedings and commence proceedings in this Court.</w:t>
      </w:r>
    </w:p>
    <w:p w14:paraId="4CD001F8" w14:textId="77777777" w:rsidR="00A52212" w:rsidRDefault="00A52212" w:rsidP="00A52212">
      <w:pPr>
        <w:pStyle w:val="Quote1"/>
      </w:pPr>
      <w:r>
        <w:t xml:space="preserve">Mr Tucker raises in his affidavit affirmed 26 May 2021 his ‘understanding based on advice that it was inappropriate to discontinue the Supreme Court proceeding to commence a new proceeding in the Federal Court or the Federal Circuit Court’ for reasons which included the </w:t>
      </w:r>
      <w:proofErr w:type="spellStart"/>
      <w:r>
        <w:t>non transferability</w:t>
      </w:r>
      <w:proofErr w:type="spellEnd"/>
      <w:r>
        <w:t xml:space="preserve"> of the SRO’s undertaking not to finalise the disciplinary process and costs concerns.</w:t>
      </w:r>
    </w:p>
    <w:p w14:paraId="7734C55D" w14:textId="1DC883AB" w:rsidR="00217967" w:rsidRDefault="00A52212" w:rsidP="00A52212">
      <w:pPr>
        <w:pStyle w:val="Quote1"/>
      </w:pPr>
      <w:r>
        <w:lastRenderedPageBreak/>
        <w:t>The fact that Mr Tucker made a forensic decision, in what he considered to be his own interests, not to commence proceedings in this Court, is no answer to the abuse of process now alleged against him, let alone an answer based on the principles of res judicata or cause of action estoppel.</w:t>
      </w:r>
    </w:p>
    <w:p w14:paraId="3E847EE4" w14:textId="2F46D79B" w:rsidR="00217967" w:rsidRDefault="00217967" w:rsidP="00CD1346">
      <w:pPr>
        <w:pStyle w:val="ParaNumbering"/>
      </w:pPr>
      <w:proofErr w:type="gramStart"/>
      <w:r>
        <w:t xml:space="preserve">On the subject of </w:t>
      </w:r>
      <w:r w:rsidR="00106792">
        <w:t>Mr Tucker</w:t>
      </w:r>
      <w:r w:rsidR="00DE58CA">
        <w:t>’s</w:t>
      </w:r>
      <w:r w:rsidR="00106792">
        <w:t xml:space="preserve"> </w:t>
      </w:r>
      <w:r>
        <w:t xml:space="preserve">failure to comply with his undertaking as to damages in the Supreme Court, and whether that </w:t>
      </w:r>
      <w:r w:rsidR="00106792">
        <w:t xml:space="preserve">is a </w:t>
      </w:r>
      <w:r>
        <w:t xml:space="preserve">prima facie contempt of the Supreme Court such that it would not be in the interests of justice for this Court to permit </w:t>
      </w:r>
      <w:r w:rsidR="00682CAF">
        <w:t xml:space="preserve">him </w:t>
      </w:r>
      <w:r>
        <w:t>to pursue his claims here, the primary judge accepted that this might well be the position</w:t>
      </w:r>
      <w:r w:rsidR="00682CAF">
        <w:t>.</w:t>
      </w:r>
      <w:proofErr w:type="gramEnd"/>
      <w:r w:rsidR="00682CAF">
        <w:t xml:space="preserve"> However, he</w:t>
      </w:r>
      <w:r>
        <w:t xml:space="preserve"> declined to say anything about </w:t>
      </w:r>
      <w:r w:rsidR="00682CAF">
        <w:t xml:space="preserve">this </w:t>
      </w:r>
      <w:r>
        <w:t xml:space="preserve">in circumstances where </w:t>
      </w:r>
      <w:r w:rsidR="00682CAF">
        <w:t xml:space="preserve">he regarded </w:t>
      </w:r>
      <w:r>
        <w:t xml:space="preserve">the other grounds for the making of the orders the respondent sought </w:t>
      </w:r>
      <w:r w:rsidR="00682CAF">
        <w:t xml:space="preserve">as </w:t>
      </w:r>
      <w:r>
        <w:t>so clearly made out.</w:t>
      </w:r>
      <w:r w:rsidR="00B34F73">
        <w:t xml:space="preserve"> </w:t>
      </w:r>
    </w:p>
    <w:p w14:paraId="7C04BF46" w14:textId="3C2E9C05" w:rsidR="00B34F73" w:rsidRDefault="00D01F18" w:rsidP="00CD1346">
      <w:pPr>
        <w:pStyle w:val="ParaNumbering"/>
      </w:pPr>
      <w:r>
        <w:t xml:space="preserve">As </w:t>
      </w:r>
      <w:proofErr w:type="gramStart"/>
      <w:r>
        <w:t>has been mentioned</w:t>
      </w:r>
      <w:proofErr w:type="gramEnd"/>
      <w:r>
        <w:t xml:space="preserve"> the</w:t>
      </w:r>
      <w:r w:rsidR="00B34F73">
        <w:t xml:space="preserve"> primary judge regarded the appellant’s claim under the Guidelines as hopeless</w:t>
      </w:r>
      <w:r>
        <w:t xml:space="preserve"> on the basis that there was no relevant cause of action.</w:t>
      </w:r>
      <w:r w:rsidR="00B34F73">
        <w:t xml:space="preserve"> </w:t>
      </w:r>
    </w:p>
    <w:p w14:paraId="632443DB" w14:textId="2DC7995C" w:rsidR="00D01F18" w:rsidRDefault="00D01F18" w:rsidP="00D01F18">
      <w:pPr>
        <w:pStyle w:val="Heading1"/>
      </w:pPr>
      <w:r>
        <w:t>the appeal</w:t>
      </w:r>
    </w:p>
    <w:p w14:paraId="5D2AE773" w14:textId="0CFDB515" w:rsidR="00217967" w:rsidRDefault="00B34F73" w:rsidP="00CD1346">
      <w:pPr>
        <w:pStyle w:val="ParaNumbering"/>
      </w:pPr>
      <w:r>
        <w:t xml:space="preserve">By his notice of appeal </w:t>
      </w:r>
      <w:r w:rsidR="00D01F18">
        <w:t>Mr Tucker</w:t>
      </w:r>
      <w:r>
        <w:t xml:space="preserve"> appeal</w:t>
      </w:r>
      <w:r w:rsidR="00B03576">
        <w:t>s</w:t>
      </w:r>
      <w:r>
        <w:t xml:space="preserve"> from “the whole of the judgment and the orders” o</w:t>
      </w:r>
      <w:r w:rsidR="00D01F18">
        <w:t>f the primary judge as follows:</w:t>
      </w:r>
    </w:p>
    <w:p w14:paraId="51FE0CE7" w14:textId="77777777" w:rsidR="00893BC3" w:rsidRDefault="00893BC3" w:rsidP="00893BC3">
      <w:pPr>
        <w:pStyle w:val="Quote1"/>
        <w:numPr>
          <w:ilvl w:val="0"/>
          <w:numId w:val="29"/>
        </w:numPr>
      </w:pPr>
      <w:r w:rsidRPr="00893BC3">
        <w:t>The learned primary judge er</w:t>
      </w:r>
      <w:r>
        <w:t xml:space="preserve">red in summarily dismissing the </w:t>
      </w:r>
      <w:r w:rsidRPr="00893BC3">
        <w:t>proceeding</w:t>
      </w:r>
      <w:r w:rsidR="005658D6">
        <w:t xml:space="preserve"> </w:t>
      </w:r>
      <w:r w:rsidRPr="00893BC3">
        <w:t>(‘</w:t>
      </w:r>
      <w:r w:rsidRPr="005658D6">
        <w:rPr>
          <w:b/>
        </w:rPr>
        <w:t>proceeding</w:t>
      </w:r>
      <w:r w:rsidRPr="00893BC3">
        <w:t>’). Specifically, the learned primary judge erred in:</w:t>
      </w:r>
    </w:p>
    <w:p w14:paraId="1A41E9DD" w14:textId="77777777" w:rsidR="00893BC3" w:rsidRDefault="00893BC3" w:rsidP="00893BC3">
      <w:pPr>
        <w:pStyle w:val="Quote2"/>
        <w:numPr>
          <w:ilvl w:val="0"/>
          <w:numId w:val="31"/>
        </w:numPr>
      </w:pPr>
      <w:r w:rsidRPr="00893BC3">
        <w:t>concluding that the doctrine of merger or, alternatively, an estoppel applied to the</w:t>
      </w:r>
      <w:r>
        <w:t xml:space="preserve"> </w:t>
      </w:r>
      <w:r w:rsidRPr="00893BC3">
        <w:t xml:space="preserve">proceeding by reason of the Victorian Court of Appeal’s decision in </w:t>
      </w:r>
      <w:r w:rsidRPr="00893BC3">
        <w:rPr>
          <w:i/>
        </w:rPr>
        <w:t>Tucker v State</w:t>
      </w:r>
      <w:r>
        <w:rPr>
          <w:i/>
        </w:rPr>
        <w:t xml:space="preserve"> </w:t>
      </w:r>
      <w:r w:rsidRPr="00893BC3">
        <w:rPr>
          <w:i/>
        </w:rPr>
        <w:t>of Victoria</w:t>
      </w:r>
      <w:r w:rsidRPr="00893BC3">
        <w:t xml:space="preserve"> [2021] VSCA 120 (‘</w:t>
      </w:r>
      <w:r w:rsidRPr="000B4372">
        <w:rPr>
          <w:b/>
          <w:i/>
        </w:rPr>
        <w:t>Tucker</w:t>
      </w:r>
      <w:r w:rsidRPr="00893BC3">
        <w:t>’) in circumstances where:</w:t>
      </w:r>
    </w:p>
    <w:p w14:paraId="6DB584FF" w14:textId="77777777" w:rsidR="00893BC3" w:rsidRDefault="00893BC3" w:rsidP="00893BC3">
      <w:pPr>
        <w:pStyle w:val="Quote3"/>
        <w:numPr>
          <w:ilvl w:val="0"/>
          <w:numId w:val="32"/>
        </w:numPr>
      </w:pPr>
      <w:r w:rsidRPr="00893BC3">
        <w:t>the relief sought in the Federal Court, including access to pecuniary</w:t>
      </w:r>
      <w:r>
        <w:t xml:space="preserve"> </w:t>
      </w:r>
      <w:r w:rsidRPr="00893BC3">
        <w:t xml:space="preserve">penalty orders under the </w:t>
      </w:r>
      <w:r w:rsidRPr="00893BC3">
        <w:rPr>
          <w:i/>
        </w:rPr>
        <w:t xml:space="preserve">Fair Work Act 2009 </w:t>
      </w:r>
      <w:r w:rsidRPr="00893BC3">
        <w:t>(‘</w:t>
      </w:r>
      <w:r w:rsidRPr="00893BC3">
        <w:rPr>
          <w:b/>
        </w:rPr>
        <w:t>FWA</w:t>
      </w:r>
      <w:r w:rsidRPr="00893BC3">
        <w:t>’), was not available in</w:t>
      </w:r>
      <w:r>
        <w:t xml:space="preserve"> </w:t>
      </w:r>
      <w:r w:rsidRPr="00893BC3">
        <w:t>the Supreme Court;</w:t>
      </w:r>
    </w:p>
    <w:p w14:paraId="67BC0FF0" w14:textId="77777777" w:rsidR="00893BC3" w:rsidRDefault="00893BC3" w:rsidP="00893BC3">
      <w:pPr>
        <w:pStyle w:val="Quote3"/>
        <w:numPr>
          <w:ilvl w:val="0"/>
          <w:numId w:val="32"/>
        </w:numPr>
      </w:pPr>
      <w:r w:rsidRPr="00893BC3">
        <w:t xml:space="preserve">the principal issue determined in </w:t>
      </w:r>
      <w:r w:rsidRPr="005658D6">
        <w:rPr>
          <w:i/>
        </w:rPr>
        <w:t>Tucker</w:t>
      </w:r>
      <w:r w:rsidRPr="00893BC3">
        <w:t>, that is, whether the Respondents</w:t>
      </w:r>
      <w:r w:rsidR="00ED2028">
        <w:t xml:space="preserve"> </w:t>
      </w:r>
      <w:r w:rsidRPr="005658D6">
        <w:rPr>
          <w:b/>
        </w:rPr>
        <w:t>breached</w:t>
      </w:r>
      <w:r w:rsidRPr="00893BC3">
        <w:t xml:space="preserve"> a term of an enterprise agreement, is different to the principal</w:t>
      </w:r>
      <w:r w:rsidR="00ED2028">
        <w:t xml:space="preserve"> </w:t>
      </w:r>
      <w:r w:rsidRPr="00893BC3">
        <w:t xml:space="preserve">issue in the proceeding, that is, the </w:t>
      </w:r>
      <w:r w:rsidRPr="005658D6">
        <w:rPr>
          <w:b/>
        </w:rPr>
        <w:t>quantum</w:t>
      </w:r>
      <w:r w:rsidRPr="00893BC3">
        <w:t xml:space="preserve"> and </w:t>
      </w:r>
      <w:r w:rsidRPr="005658D6">
        <w:rPr>
          <w:b/>
        </w:rPr>
        <w:t xml:space="preserve">imposition </w:t>
      </w:r>
      <w:r w:rsidRPr="00893BC3">
        <w:t>of penalties</w:t>
      </w:r>
      <w:r w:rsidR="00ED2028">
        <w:t xml:space="preserve"> </w:t>
      </w:r>
      <w:r w:rsidRPr="00893BC3">
        <w:t>flowing from those breaches;</w:t>
      </w:r>
      <w:r w:rsidR="00ED2028">
        <w:t xml:space="preserve"> </w:t>
      </w:r>
    </w:p>
    <w:p w14:paraId="34BC5A35" w14:textId="77777777" w:rsidR="00ED2028" w:rsidRPr="00ED2028" w:rsidRDefault="00ED2028" w:rsidP="005658D6">
      <w:pPr>
        <w:pStyle w:val="Quote3"/>
        <w:numPr>
          <w:ilvl w:val="0"/>
          <w:numId w:val="32"/>
        </w:numPr>
      </w:pPr>
      <w:r w:rsidRPr="00ED2028">
        <w:t xml:space="preserve">in </w:t>
      </w:r>
      <w:r w:rsidRPr="005658D6">
        <w:rPr>
          <w:i/>
        </w:rPr>
        <w:t>Tucker</w:t>
      </w:r>
      <w:r w:rsidRPr="00ED2028">
        <w:t>, the Court of Appeal made a declaration (‘</w:t>
      </w:r>
      <w:r w:rsidRPr="00ED2028">
        <w:rPr>
          <w:b/>
        </w:rPr>
        <w:t>declaration</w:t>
      </w:r>
      <w:r w:rsidRPr="00ED2028">
        <w:t>’) that</w:t>
      </w:r>
      <w:r>
        <w:t xml:space="preserve"> </w:t>
      </w:r>
      <w:r w:rsidRPr="00ED2028">
        <w:t>recorded the Respondent’s breaches of a term of an enterprise</w:t>
      </w:r>
      <w:r>
        <w:t xml:space="preserve"> </w:t>
      </w:r>
      <w:r w:rsidRPr="00ED2028">
        <w:t>agreement notwithstanding the following exchange which, in the</w:t>
      </w:r>
      <w:r>
        <w:t xml:space="preserve"> </w:t>
      </w:r>
      <w:r w:rsidRPr="00ED2028">
        <w:t xml:space="preserve">circumstances, was not </w:t>
      </w:r>
      <w:proofErr w:type="spellStart"/>
      <w:r w:rsidRPr="00ED2028">
        <w:t>surplusage</w:t>
      </w:r>
      <w:proofErr w:type="spellEnd"/>
      <w:r w:rsidRPr="00ED2028">
        <w:t>:</w:t>
      </w:r>
    </w:p>
    <w:p w14:paraId="38DD6BEF" w14:textId="77777777" w:rsidR="00ED2028" w:rsidRPr="000B4372" w:rsidRDefault="00ED2028" w:rsidP="00ED2028">
      <w:pPr>
        <w:pStyle w:val="Quote4"/>
        <w:rPr>
          <w:sz w:val="21"/>
          <w:szCs w:val="21"/>
        </w:rPr>
      </w:pPr>
      <w:r w:rsidRPr="000B4372">
        <w:rPr>
          <w:sz w:val="21"/>
          <w:szCs w:val="21"/>
        </w:rPr>
        <w:t>KYROU JA: Sorry, Mr Bourke, just to take you back. If this court were to</w:t>
      </w:r>
      <w:r w:rsidR="005658D6" w:rsidRPr="000B4372">
        <w:rPr>
          <w:sz w:val="21"/>
          <w:szCs w:val="21"/>
        </w:rPr>
        <w:t xml:space="preserve"> </w:t>
      </w:r>
      <w:r w:rsidRPr="000B4372">
        <w:rPr>
          <w:sz w:val="21"/>
          <w:szCs w:val="21"/>
        </w:rPr>
        <w:t>make a declaration in the form sought by Mr Tucker; would that be binding on</w:t>
      </w:r>
      <w:r w:rsidR="005658D6" w:rsidRPr="000B4372">
        <w:rPr>
          <w:sz w:val="21"/>
          <w:szCs w:val="21"/>
        </w:rPr>
        <w:t xml:space="preserve"> </w:t>
      </w:r>
      <w:r w:rsidRPr="000B4372">
        <w:rPr>
          <w:sz w:val="21"/>
          <w:szCs w:val="21"/>
        </w:rPr>
        <w:t>the Fair Work Commission or the Federal Court or any other court because I</w:t>
      </w:r>
      <w:r w:rsidR="005658D6" w:rsidRPr="000B4372">
        <w:rPr>
          <w:sz w:val="21"/>
          <w:szCs w:val="21"/>
        </w:rPr>
        <w:t xml:space="preserve"> </w:t>
      </w:r>
      <w:r w:rsidRPr="000B4372">
        <w:rPr>
          <w:sz w:val="21"/>
          <w:szCs w:val="21"/>
        </w:rPr>
        <w:t>think you'd assume that it would be binding; is that a correct assumption?</w:t>
      </w:r>
    </w:p>
    <w:p w14:paraId="21829102" w14:textId="77777777" w:rsidR="00ED2028" w:rsidRDefault="00ED2028" w:rsidP="00ED2028">
      <w:pPr>
        <w:pStyle w:val="Quote4"/>
        <w:rPr>
          <w:sz w:val="21"/>
          <w:szCs w:val="21"/>
        </w:rPr>
      </w:pPr>
      <w:r>
        <w:rPr>
          <w:sz w:val="21"/>
          <w:szCs w:val="21"/>
        </w:rPr>
        <w:t>MR BOURKE: Potentially it may be binding.</w:t>
      </w:r>
    </w:p>
    <w:p w14:paraId="2901C3C2" w14:textId="77777777" w:rsidR="00ED2028" w:rsidRDefault="00ED2028" w:rsidP="00ED2028">
      <w:pPr>
        <w:pStyle w:val="Quote4"/>
        <w:rPr>
          <w:sz w:val="21"/>
          <w:szCs w:val="21"/>
        </w:rPr>
      </w:pPr>
      <w:r>
        <w:rPr>
          <w:sz w:val="21"/>
          <w:szCs w:val="21"/>
        </w:rPr>
        <w:t>KYROU JA: Potentially</w:t>
      </w:r>
    </w:p>
    <w:p w14:paraId="43BFAEA3" w14:textId="77777777" w:rsidR="00ED2028" w:rsidRDefault="00ED2028" w:rsidP="00ED2028">
      <w:pPr>
        <w:pStyle w:val="Quote4"/>
        <w:rPr>
          <w:sz w:val="21"/>
          <w:szCs w:val="21"/>
        </w:rPr>
      </w:pPr>
      <w:r>
        <w:rPr>
          <w:sz w:val="21"/>
          <w:szCs w:val="21"/>
        </w:rPr>
        <w:lastRenderedPageBreak/>
        <w:t xml:space="preserve">MR BOURKE: Because it is an adjudication of a fact that was in issue. </w:t>
      </w:r>
      <w:proofErr w:type="gramStart"/>
      <w:r>
        <w:rPr>
          <w:sz w:val="21"/>
          <w:szCs w:val="21"/>
        </w:rPr>
        <w:t>But we would say in circumstances where the purpose is to secure a penalty because of a breach of s.50 of the Fair Work Act which makes it unlawful to breach an enterprise agreement and where the legislature has given the Federal Court, and some other courts but not this court, jurisdiction in relation to those types of cases that would be inappropriate for such a declaration to be made and for the Federal Court's hands to be tied; and</w:t>
      </w:r>
      <w:proofErr w:type="gramEnd"/>
    </w:p>
    <w:p w14:paraId="2B9B6FCB" w14:textId="77777777" w:rsidR="00ED2028" w:rsidRDefault="00ED2028" w:rsidP="00ED2028">
      <w:pPr>
        <w:pStyle w:val="Quote3"/>
        <w:numPr>
          <w:ilvl w:val="0"/>
          <w:numId w:val="32"/>
        </w:numPr>
        <w:rPr>
          <w:lang w:eastAsia="en-AU"/>
        </w:rPr>
      </w:pPr>
      <w:r w:rsidRPr="00ED2028">
        <w:rPr>
          <w:lang w:eastAsia="en-AU"/>
        </w:rPr>
        <w:t>there is no substantial correspondence between the Appellant’s rights</w:t>
      </w:r>
      <w:r w:rsidR="005658D6">
        <w:rPr>
          <w:lang w:eastAsia="en-AU"/>
        </w:rPr>
        <w:t xml:space="preserve"> </w:t>
      </w:r>
      <w:r w:rsidRPr="00ED2028">
        <w:rPr>
          <w:lang w:eastAsia="en-AU"/>
        </w:rPr>
        <w:t xml:space="preserve">asserted in </w:t>
      </w:r>
      <w:r w:rsidRPr="00ED2028">
        <w:rPr>
          <w:i/>
          <w:iCs/>
          <w:lang w:eastAsia="en-AU"/>
        </w:rPr>
        <w:t>Tucker</w:t>
      </w:r>
      <w:r w:rsidRPr="00ED2028">
        <w:rPr>
          <w:lang w:eastAsia="en-AU"/>
        </w:rPr>
        <w:t xml:space="preserve">, that is, the right to procedural fairness under </w:t>
      </w:r>
      <w:r w:rsidRPr="00ED2028">
        <w:rPr>
          <w:i/>
          <w:iCs/>
          <w:lang w:eastAsia="en-AU"/>
        </w:rPr>
        <w:t>inter alia</w:t>
      </w:r>
      <w:r w:rsidR="005658D6">
        <w:rPr>
          <w:i/>
          <w:iCs/>
          <w:lang w:eastAsia="en-AU"/>
        </w:rPr>
        <w:t xml:space="preserve"> </w:t>
      </w:r>
      <w:r w:rsidRPr="00ED2028">
        <w:rPr>
          <w:lang w:eastAsia="en-AU"/>
        </w:rPr>
        <w:t>a term of an enterprise agreement, and the rights asserted in the Federal</w:t>
      </w:r>
      <w:r w:rsidR="005658D6">
        <w:rPr>
          <w:lang w:eastAsia="en-AU"/>
        </w:rPr>
        <w:t xml:space="preserve"> </w:t>
      </w:r>
      <w:r w:rsidRPr="00ED2028">
        <w:rPr>
          <w:lang w:eastAsia="en-AU"/>
        </w:rPr>
        <w:t>Court including the right to apply for pecuniary penalty orders undersection 546 of the FWA;</w:t>
      </w:r>
    </w:p>
    <w:p w14:paraId="051C8AA7" w14:textId="77777777" w:rsidR="00ED2028" w:rsidRDefault="00ED2028" w:rsidP="00ED2028">
      <w:pPr>
        <w:pStyle w:val="Quote2"/>
        <w:numPr>
          <w:ilvl w:val="0"/>
          <w:numId w:val="31"/>
        </w:numPr>
      </w:pPr>
      <w:r>
        <w:t xml:space="preserve">misapplying the High Court’s reasoning in </w:t>
      </w:r>
      <w:r>
        <w:rPr>
          <w:i/>
          <w:iCs/>
        </w:rPr>
        <w:t xml:space="preserve">Clayton v Bant </w:t>
      </w:r>
      <w:r>
        <w:t xml:space="preserve">[2020] HCA 44 (in particular at [84] per Edelman J) and </w:t>
      </w:r>
      <w:r>
        <w:rPr>
          <w:i/>
          <w:iCs/>
        </w:rPr>
        <w:t>Tomlinson v Ramsey Food Processing Pty</w:t>
      </w:r>
      <w:r w:rsidR="005658D6">
        <w:rPr>
          <w:i/>
          <w:iCs/>
        </w:rPr>
        <w:t xml:space="preserve"> </w:t>
      </w:r>
      <w:r>
        <w:rPr>
          <w:i/>
          <w:iCs/>
        </w:rPr>
        <w:t xml:space="preserve">Limited </w:t>
      </w:r>
      <w:r>
        <w:t>[2015] HCA 28 by reason of the circumstances set out above in subparagraph 1(a);</w:t>
      </w:r>
    </w:p>
    <w:p w14:paraId="32FFDC38" w14:textId="77777777" w:rsidR="00ED2028" w:rsidRPr="00ED2028" w:rsidRDefault="00ED2028" w:rsidP="00ED2028">
      <w:pPr>
        <w:pStyle w:val="Quote2"/>
        <w:numPr>
          <w:ilvl w:val="0"/>
          <w:numId w:val="31"/>
        </w:numPr>
      </w:pPr>
      <w:r w:rsidRPr="00ED2028">
        <w:t>concluding that the proceeding was an abuse of process in the circumstances set</w:t>
      </w:r>
      <w:r>
        <w:t xml:space="preserve"> </w:t>
      </w:r>
      <w:r w:rsidRPr="00ED2028">
        <w:t>out above in subparagraph 1(a);</w:t>
      </w:r>
    </w:p>
    <w:p w14:paraId="1CB028FD" w14:textId="77777777" w:rsidR="00ED2028" w:rsidRPr="00ED2028" w:rsidRDefault="00ED2028" w:rsidP="00ED2028">
      <w:pPr>
        <w:pStyle w:val="Quote2"/>
        <w:numPr>
          <w:ilvl w:val="0"/>
          <w:numId w:val="31"/>
        </w:numPr>
        <w:rPr>
          <w:sz w:val="24"/>
          <w:szCs w:val="24"/>
        </w:rPr>
      </w:pPr>
      <w:r w:rsidRPr="00ED2028">
        <w:t>failing to enforce the civil penalty regime in the FWA by:</w:t>
      </w:r>
    </w:p>
    <w:p w14:paraId="2D2120D1" w14:textId="77777777" w:rsidR="00ED2028" w:rsidRPr="00ED2028" w:rsidRDefault="00ED2028" w:rsidP="00ED2028">
      <w:pPr>
        <w:pStyle w:val="Quote3"/>
        <w:numPr>
          <w:ilvl w:val="0"/>
          <w:numId w:val="34"/>
        </w:numPr>
        <w:rPr>
          <w:sz w:val="24"/>
          <w:szCs w:val="24"/>
        </w:rPr>
      </w:pPr>
      <w:r w:rsidRPr="00ED2028">
        <w:t>depriving the Appellant access to pecuniary penalties orders under the</w:t>
      </w:r>
      <w:r>
        <w:t xml:space="preserve"> </w:t>
      </w:r>
      <w:r w:rsidRPr="00ED2028">
        <w:t>FWA as a consequence of the Respondents’ breaches of a term of an</w:t>
      </w:r>
      <w:r>
        <w:t xml:space="preserve"> </w:t>
      </w:r>
      <w:r w:rsidRPr="00ED2028">
        <w:t>enterprise agreement; and</w:t>
      </w:r>
    </w:p>
    <w:p w14:paraId="6AF4C086" w14:textId="77777777" w:rsidR="00ED2028" w:rsidRPr="00ED2028" w:rsidRDefault="00ED2028" w:rsidP="00ED2028">
      <w:pPr>
        <w:pStyle w:val="Quote3"/>
        <w:numPr>
          <w:ilvl w:val="0"/>
          <w:numId w:val="34"/>
        </w:numPr>
        <w:rPr>
          <w:sz w:val="24"/>
          <w:szCs w:val="24"/>
        </w:rPr>
      </w:pPr>
      <w:r w:rsidRPr="00ED2028">
        <w:t>absolving the Respondents from liability with respect to their unlawful</w:t>
      </w:r>
      <w:r>
        <w:t xml:space="preserve"> </w:t>
      </w:r>
      <w:r w:rsidRPr="00ED2028">
        <w:t>conduct that is recorded in the declaration; and</w:t>
      </w:r>
    </w:p>
    <w:p w14:paraId="4A8AC346" w14:textId="77777777" w:rsidR="00ED2028" w:rsidRPr="00ED2028" w:rsidRDefault="00ED2028" w:rsidP="00ED2028">
      <w:pPr>
        <w:pStyle w:val="Quote2"/>
        <w:numPr>
          <w:ilvl w:val="0"/>
          <w:numId w:val="31"/>
        </w:numPr>
        <w:rPr>
          <w:sz w:val="24"/>
          <w:szCs w:val="24"/>
        </w:rPr>
      </w:pPr>
      <w:r w:rsidRPr="00ED2028">
        <w:t>concluding that the claim in the proceeding which pertained to the Model Litigant</w:t>
      </w:r>
      <w:r>
        <w:t xml:space="preserve"> </w:t>
      </w:r>
      <w:r w:rsidRPr="00ED2028">
        <w:t>Guidelines (</w:t>
      </w:r>
      <w:r w:rsidRPr="00ED2028">
        <w:rPr>
          <w:b/>
          <w:bCs/>
        </w:rPr>
        <w:t>Guidelines Claim</w:t>
      </w:r>
      <w:r w:rsidRPr="00ED2028">
        <w:t>) was “hopeless” in circumstances where:</w:t>
      </w:r>
    </w:p>
    <w:p w14:paraId="4872322A" w14:textId="77777777" w:rsidR="00ED2028" w:rsidRDefault="00ED2028" w:rsidP="00ED2028">
      <w:pPr>
        <w:pStyle w:val="Quote3"/>
        <w:numPr>
          <w:ilvl w:val="0"/>
          <w:numId w:val="36"/>
        </w:numPr>
        <w:rPr>
          <w:sz w:val="24"/>
          <w:szCs w:val="24"/>
        </w:rPr>
      </w:pPr>
      <w:r w:rsidRPr="00ED2028">
        <w:t>the Guidelines impose binding obligations on the Respondents;</w:t>
      </w:r>
    </w:p>
    <w:p w14:paraId="5FFB5803" w14:textId="77777777" w:rsidR="00ED2028" w:rsidRPr="00ED2028" w:rsidRDefault="00ED2028" w:rsidP="00ED2028">
      <w:pPr>
        <w:pStyle w:val="Quote3"/>
        <w:numPr>
          <w:ilvl w:val="0"/>
          <w:numId w:val="36"/>
        </w:numPr>
        <w:rPr>
          <w:sz w:val="24"/>
          <w:szCs w:val="24"/>
        </w:rPr>
      </w:pPr>
      <w:r w:rsidRPr="00ED2028">
        <w:t xml:space="preserve">the Court has power to make declarations under section 21 of the </w:t>
      </w:r>
      <w:r w:rsidRPr="00ED2028">
        <w:rPr>
          <w:i/>
        </w:rPr>
        <w:t>Federal Court of Act 1976</w:t>
      </w:r>
      <w:r w:rsidRPr="00ED2028">
        <w:t>;</w:t>
      </w:r>
    </w:p>
    <w:p w14:paraId="486C545D" w14:textId="77777777" w:rsidR="00ED2028" w:rsidRDefault="00ED2028" w:rsidP="00CD7980">
      <w:pPr>
        <w:pStyle w:val="Quote3"/>
        <w:numPr>
          <w:ilvl w:val="0"/>
          <w:numId w:val="36"/>
        </w:numPr>
      </w:pPr>
      <w:r w:rsidRPr="00ED2028">
        <w:t>the Court has jurisdiction to determine all aspects of the proceeding</w:t>
      </w:r>
      <w:r>
        <w:t xml:space="preserve"> </w:t>
      </w:r>
      <w:r w:rsidRPr="00ED2028">
        <w:t>because the relevant matter is one arising under the FWA; and</w:t>
      </w:r>
    </w:p>
    <w:p w14:paraId="7EED557D" w14:textId="77777777" w:rsidR="00ED37FD" w:rsidRDefault="00ED2028" w:rsidP="00ED37FD">
      <w:pPr>
        <w:pStyle w:val="Quote3"/>
        <w:numPr>
          <w:ilvl w:val="0"/>
          <w:numId w:val="36"/>
        </w:numPr>
      </w:pPr>
      <w:proofErr w:type="gramStart"/>
      <w:r w:rsidRPr="00ED2028">
        <w:t>there</w:t>
      </w:r>
      <w:proofErr w:type="gramEnd"/>
      <w:r w:rsidRPr="00ED2028">
        <w:t xml:space="preserve"> is utility in granting the relief sought given the Respondents’</w:t>
      </w:r>
      <w:r>
        <w:t xml:space="preserve"> </w:t>
      </w:r>
      <w:r w:rsidRPr="00ED2028">
        <w:t>repeated breaches of the Guidelines</w:t>
      </w:r>
      <w:r>
        <w:t>.</w:t>
      </w:r>
    </w:p>
    <w:p w14:paraId="71F59737" w14:textId="77777777" w:rsidR="00ED37FD" w:rsidRDefault="00ED37FD" w:rsidP="00ED37FD">
      <w:pPr>
        <w:pStyle w:val="Quote1"/>
        <w:numPr>
          <w:ilvl w:val="0"/>
          <w:numId w:val="29"/>
        </w:numPr>
      </w:pPr>
      <w:r>
        <w:t>The learned primary judge erred in failing to provide adequate reasons.</w:t>
      </w:r>
    </w:p>
    <w:p w14:paraId="75B70E17" w14:textId="77777777" w:rsidR="0020213E" w:rsidRDefault="00ED37FD" w:rsidP="0020213E">
      <w:pPr>
        <w:pStyle w:val="Quote1"/>
        <w:ind w:left="1097"/>
        <w:rPr>
          <w:szCs w:val="22"/>
        </w:rPr>
      </w:pPr>
      <w:r w:rsidRPr="00ED37FD">
        <w:rPr>
          <w:szCs w:val="22"/>
        </w:rPr>
        <w:t xml:space="preserve">Specifically, the learned primary judge erred in failing to provide adequate </w:t>
      </w:r>
      <w:proofErr w:type="gramStart"/>
      <w:r w:rsidRPr="00ED37FD">
        <w:rPr>
          <w:szCs w:val="22"/>
        </w:rPr>
        <w:t>reasons which</w:t>
      </w:r>
      <w:proofErr w:type="gramEnd"/>
      <w:r w:rsidRPr="00ED37FD">
        <w:rPr>
          <w:szCs w:val="22"/>
        </w:rPr>
        <w:t xml:space="preserve"> addressed:</w:t>
      </w:r>
    </w:p>
    <w:p w14:paraId="0AA484F7" w14:textId="77777777" w:rsidR="0020213E" w:rsidRDefault="0020213E" w:rsidP="0020213E">
      <w:pPr>
        <w:pStyle w:val="Quote2"/>
        <w:ind w:left="1843" w:hanging="746"/>
      </w:pPr>
      <w:proofErr w:type="gramStart"/>
      <w:r>
        <w:rPr>
          <w:szCs w:val="22"/>
        </w:rPr>
        <w:t>a</w:t>
      </w:r>
      <w:proofErr w:type="gramEnd"/>
      <w:r>
        <w:rPr>
          <w:szCs w:val="22"/>
        </w:rPr>
        <w:t xml:space="preserve">. </w:t>
      </w:r>
      <w:r>
        <w:rPr>
          <w:szCs w:val="22"/>
        </w:rPr>
        <w:tab/>
      </w:r>
      <w:r w:rsidR="00ED37FD" w:rsidRPr="00ED37FD">
        <w:t xml:space="preserve">any of the Appellant’s submissions including written submissions </w:t>
      </w:r>
      <w:r>
        <w:t xml:space="preserve">filed 7 </w:t>
      </w:r>
      <w:r w:rsidR="00ED37FD" w:rsidRPr="00ED37FD">
        <w:t>October</w:t>
      </w:r>
      <w:r w:rsidR="00ED37FD">
        <w:t xml:space="preserve"> </w:t>
      </w:r>
      <w:r w:rsidR="00ED37FD" w:rsidRPr="00ED37FD">
        <w:t>2021;</w:t>
      </w:r>
    </w:p>
    <w:p w14:paraId="648DADE7" w14:textId="77777777" w:rsidR="0020213E" w:rsidRDefault="0020213E" w:rsidP="0020213E">
      <w:pPr>
        <w:pStyle w:val="Quote2"/>
        <w:ind w:left="1843" w:hanging="746"/>
      </w:pPr>
      <w:r>
        <w:t xml:space="preserve">b. </w:t>
      </w:r>
      <w:r>
        <w:tab/>
      </w:r>
      <w:r w:rsidRPr="0020213E">
        <w:t xml:space="preserve">any of the authorities relied on by the Appellant including </w:t>
      </w:r>
      <w:r w:rsidRPr="0020213E">
        <w:rPr>
          <w:i/>
        </w:rPr>
        <w:t xml:space="preserve">Miller v </w:t>
      </w:r>
      <w:r w:rsidRPr="0020213E">
        <w:rPr>
          <w:i/>
        </w:rPr>
        <w:lastRenderedPageBreak/>
        <w:t>University of New South Wales</w:t>
      </w:r>
      <w:r w:rsidRPr="0020213E">
        <w:t xml:space="preserve"> (2003) 132 FCR 147; [2003] FCAFC 180 (in particular at [48] –[76]</w:t>
      </w:r>
      <w:r>
        <w:t xml:space="preserve"> </w:t>
      </w:r>
      <w:r w:rsidRPr="0020213E">
        <w:t xml:space="preserve">and [83] – [85] per Ryan and </w:t>
      </w:r>
      <w:proofErr w:type="spellStart"/>
      <w:r w:rsidRPr="0020213E">
        <w:t>Gyles</w:t>
      </w:r>
      <w:proofErr w:type="spellEnd"/>
      <w:r w:rsidRPr="0020213E">
        <w:t xml:space="preserve"> JJ); and</w:t>
      </w:r>
    </w:p>
    <w:p w14:paraId="2A555D46" w14:textId="77777777" w:rsidR="0020213E" w:rsidRDefault="0020213E" w:rsidP="0020213E">
      <w:pPr>
        <w:pStyle w:val="Quote2"/>
        <w:ind w:left="1843" w:hanging="746"/>
        <w:rPr>
          <w:szCs w:val="22"/>
        </w:rPr>
      </w:pPr>
      <w:proofErr w:type="gramStart"/>
      <w:r>
        <w:t>c</w:t>
      </w:r>
      <w:proofErr w:type="gramEnd"/>
      <w:r>
        <w:t xml:space="preserve">. </w:t>
      </w:r>
      <w:r>
        <w:tab/>
      </w:r>
      <w:r>
        <w:rPr>
          <w:szCs w:val="22"/>
        </w:rPr>
        <w:t>the exchange in the Court of Appeal refer to in subparagraph 1(a)(iii) above.</w:t>
      </w:r>
    </w:p>
    <w:p w14:paraId="27E7FE8E" w14:textId="77777777" w:rsidR="0020213E" w:rsidRDefault="0020213E" w:rsidP="0020213E">
      <w:pPr>
        <w:pStyle w:val="Quote1"/>
        <w:ind w:left="993" w:hanging="256"/>
      </w:pPr>
      <w:r>
        <w:t xml:space="preserve">3. The learned primary judge erred in failing to set aside the Respondents’ </w:t>
      </w:r>
      <w:r w:rsidRPr="0020213E">
        <w:t xml:space="preserve">Notice to </w:t>
      </w:r>
      <w:proofErr w:type="gramStart"/>
      <w:r w:rsidRPr="0020213E">
        <w:t>Produce</w:t>
      </w:r>
      <w:proofErr w:type="gramEnd"/>
      <w:r w:rsidRPr="0020213E">
        <w:t xml:space="preserve"> dated 13 September 2021 (‘</w:t>
      </w:r>
      <w:r w:rsidRPr="0020213E">
        <w:rPr>
          <w:b/>
          <w:bCs/>
        </w:rPr>
        <w:t>NTP’</w:t>
      </w:r>
      <w:r w:rsidRPr="0020213E">
        <w:t>), with costs, given:</w:t>
      </w:r>
    </w:p>
    <w:p w14:paraId="0A1D42F0" w14:textId="77777777" w:rsidR="0020213E" w:rsidRDefault="0020213E" w:rsidP="0020213E">
      <w:pPr>
        <w:pStyle w:val="Quote2"/>
        <w:tabs>
          <w:tab w:val="left" w:pos="1843"/>
        </w:tabs>
        <w:ind w:left="1843" w:hanging="850"/>
      </w:pPr>
      <w:proofErr w:type="gramStart"/>
      <w:r>
        <w:t>a</w:t>
      </w:r>
      <w:proofErr w:type="gramEnd"/>
      <w:r>
        <w:t>.</w:t>
      </w:r>
      <w:r>
        <w:tab/>
        <w:t xml:space="preserve">the NTP did not seek “documentation” in accordance with rule 20.31 of  the </w:t>
      </w:r>
      <w:r>
        <w:rPr>
          <w:i/>
          <w:iCs/>
        </w:rPr>
        <w:t>Federal Court Rules 2011</w:t>
      </w:r>
      <w:r>
        <w:t>;</w:t>
      </w:r>
    </w:p>
    <w:p w14:paraId="1F9DB141" w14:textId="77777777" w:rsidR="0020213E" w:rsidRDefault="0020213E" w:rsidP="0020213E">
      <w:pPr>
        <w:pStyle w:val="Quote2"/>
        <w:tabs>
          <w:tab w:val="left" w:pos="1843"/>
        </w:tabs>
        <w:ind w:left="1843" w:hanging="850"/>
        <w:rPr>
          <w:szCs w:val="22"/>
        </w:rPr>
      </w:pPr>
      <w:proofErr w:type="gramStart"/>
      <w:r>
        <w:rPr>
          <w:szCs w:val="22"/>
        </w:rPr>
        <w:t>b</w:t>
      </w:r>
      <w:proofErr w:type="gramEnd"/>
      <w:r>
        <w:rPr>
          <w:szCs w:val="22"/>
        </w:rPr>
        <w:t>.</w:t>
      </w:r>
      <w:r>
        <w:rPr>
          <w:szCs w:val="22"/>
        </w:rPr>
        <w:tab/>
        <w:t>the NTP was akin to discovery;</w:t>
      </w:r>
    </w:p>
    <w:p w14:paraId="7FA5C9B3" w14:textId="77777777" w:rsidR="0020213E" w:rsidRDefault="0020213E" w:rsidP="0020213E">
      <w:pPr>
        <w:pStyle w:val="Quote2"/>
        <w:tabs>
          <w:tab w:val="left" w:pos="1843"/>
        </w:tabs>
        <w:ind w:left="1843" w:hanging="850"/>
        <w:rPr>
          <w:szCs w:val="22"/>
        </w:rPr>
      </w:pPr>
      <w:proofErr w:type="gramStart"/>
      <w:r>
        <w:rPr>
          <w:szCs w:val="22"/>
        </w:rPr>
        <w:t>c</w:t>
      </w:r>
      <w:proofErr w:type="gramEnd"/>
      <w:r>
        <w:rPr>
          <w:szCs w:val="22"/>
        </w:rPr>
        <w:t xml:space="preserve">. </w:t>
      </w:r>
      <w:r>
        <w:rPr>
          <w:szCs w:val="22"/>
        </w:rPr>
        <w:tab/>
        <w:t>the Respondents declined to withdraw the NTP;</w:t>
      </w:r>
    </w:p>
    <w:p w14:paraId="1637D5FC" w14:textId="77777777" w:rsidR="0020213E" w:rsidRDefault="0020213E" w:rsidP="0020213E">
      <w:pPr>
        <w:pStyle w:val="Quote2"/>
        <w:tabs>
          <w:tab w:val="left" w:pos="1843"/>
        </w:tabs>
        <w:ind w:left="1843" w:hanging="850"/>
        <w:rPr>
          <w:szCs w:val="22"/>
        </w:rPr>
      </w:pPr>
      <w:proofErr w:type="gramStart"/>
      <w:r w:rsidRPr="0020213E">
        <w:rPr>
          <w:szCs w:val="22"/>
        </w:rPr>
        <w:t>d</w:t>
      </w:r>
      <w:proofErr w:type="gramEnd"/>
      <w:r w:rsidRPr="0020213E">
        <w:rPr>
          <w:szCs w:val="22"/>
        </w:rPr>
        <w:t>.</w:t>
      </w:r>
      <w:r>
        <w:rPr>
          <w:szCs w:val="22"/>
        </w:rPr>
        <w:tab/>
      </w:r>
      <w:r w:rsidRPr="0020213E">
        <w:rPr>
          <w:szCs w:val="22"/>
        </w:rPr>
        <w:t>the Respondents issued their NTP in the context of a summary judgment</w:t>
      </w:r>
      <w:r>
        <w:rPr>
          <w:szCs w:val="22"/>
        </w:rPr>
        <w:t xml:space="preserve"> </w:t>
      </w:r>
      <w:r w:rsidRPr="0020213E">
        <w:rPr>
          <w:szCs w:val="22"/>
        </w:rPr>
        <w:t>application; and</w:t>
      </w:r>
    </w:p>
    <w:p w14:paraId="7718E50F" w14:textId="77777777" w:rsidR="0020213E" w:rsidRDefault="0020213E" w:rsidP="0020213E">
      <w:pPr>
        <w:pStyle w:val="Quote2"/>
        <w:tabs>
          <w:tab w:val="left" w:pos="1843"/>
        </w:tabs>
        <w:ind w:left="1843" w:hanging="850"/>
        <w:rPr>
          <w:szCs w:val="22"/>
        </w:rPr>
      </w:pPr>
      <w:proofErr w:type="gramStart"/>
      <w:r w:rsidRPr="0020213E">
        <w:rPr>
          <w:szCs w:val="22"/>
        </w:rPr>
        <w:t>e</w:t>
      </w:r>
      <w:proofErr w:type="gramEnd"/>
      <w:r w:rsidRPr="0020213E">
        <w:rPr>
          <w:szCs w:val="22"/>
        </w:rPr>
        <w:t>.</w:t>
      </w:r>
      <w:r>
        <w:rPr>
          <w:szCs w:val="22"/>
        </w:rPr>
        <w:tab/>
      </w:r>
      <w:r w:rsidRPr="0020213E">
        <w:rPr>
          <w:szCs w:val="22"/>
        </w:rPr>
        <w:t>in the above circumstances, the NTP was issued without a proper basis.</w:t>
      </w:r>
    </w:p>
    <w:p w14:paraId="1118595A" w14:textId="4C6AF1BD" w:rsidR="00F2673C" w:rsidRPr="0068172B" w:rsidRDefault="0020213E" w:rsidP="00291532">
      <w:pPr>
        <w:pStyle w:val="NoNum"/>
      </w:pPr>
      <w:r w:rsidRPr="0068172B">
        <w:t>(Footnotes omitted)</w:t>
      </w:r>
    </w:p>
    <w:p w14:paraId="3DC8B06F" w14:textId="2B4F9E01" w:rsidR="00B0451B" w:rsidRPr="00CE556A" w:rsidRDefault="00B0451B" w:rsidP="00291532">
      <w:pPr>
        <w:pStyle w:val="NoNum"/>
        <w:rPr>
          <w:highlight w:val="yellow"/>
        </w:rPr>
      </w:pPr>
      <w:r w:rsidRPr="0068172B">
        <w:t>(Original emphasis)</w:t>
      </w:r>
    </w:p>
    <w:p w14:paraId="6E28908F" w14:textId="77777777" w:rsidR="00B34F73" w:rsidRDefault="00B34F73" w:rsidP="00B34F73">
      <w:pPr>
        <w:pStyle w:val="Heading2"/>
      </w:pPr>
      <w:r>
        <w:t xml:space="preserve">Ground 1 </w:t>
      </w:r>
    </w:p>
    <w:p w14:paraId="1A0C6640" w14:textId="74533A63" w:rsidR="0018302B" w:rsidRPr="00CE556A" w:rsidRDefault="0018302B" w:rsidP="00CD1346">
      <w:pPr>
        <w:pStyle w:val="ParaNumbering"/>
      </w:pPr>
      <w:r w:rsidRPr="00CE556A">
        <w:t xml:space="preserve">It </w:t>
      </w:r>
      <w:proofErr w:type="gramStart"/>
      <w:r w:rsidRPr="00CE556A">
        <w:t>will be observed</w:t>
      </w:r>
      <w:proofErr w:type="gramEnd"/>
      <w:r w:rsidRPr="00CE556A">
        <w:t xml:space="preserve"> that there are several errors asserted against the reasoning of the primary judge in ground 1 of the notice of </w:t>
      </w:r>
      <w:r w:rsidRPr="003B3476">
        <w:t xml:space="preserve">appeal. </w:t>
      </w:r>
      <w:proofErr w:type="gramStart"/>
      <w:r w:rsidRPr="003B3476">
        <w:t>Ground 1(a)</w:t>
      </w:r>
      <w:r w:rsidR="009E627B" w:rsidRPr="003B3476">
        <w:t>,</w:t>
      </w:r>
      <w:r w:rsidR="00606F63" w:rsidRPr="003B3476">
        <w:t xml:space="preserve"> </w:t>
      </w:r>
      <w:r w:rsidR="009E627B" w:rsidRPr="003B3476">
        <w:t>and collaterally ground 1(b), are</w:t>
      </w:r>
      <w:r w:rsidR="00606F63" w:rsidRPr="003B3476">
        <w:t xml:space="preserve"> expressly</w:t>
      </w:r>
      <w:r w:rsidR="00BA1B62" w:rsidRPr="003B3476">
        <w:t xml:space="preserve"> </w:t>
      </w:r>
      <w:r w:rsidRPr="003B3476">
        <w:t>complaint</w:t>
      </w:r>
      <w:r w:rsidR="009E627B" w:rsidRPr="003B3476">
        <w:t>s</w:t>
      </w:r>
      <w:r w:rsidRPr="003B3476">
        <w:t xml:space="preserve"> about his Honour’s conclusion that the causes of action sought to be pleaded in this Court (aside from the Guidelines claim) are no longer open to Mr Tucker because they merged in the judgment in the Sup</w:t>
      </w:r>
      <w:r w:rsidR="00CB4B5A" w:rsidRPr="003B3476">
        <w:t>reme Court and are extinguished</w:t>
      </w:r>
      <w:r w:rsidRPr="003B3476">
        <w:t xml:space="preserve"> or are otherwise the subject of a cause of action estoppel.</w:t>
      </w:r>
      <w:proofErr w:type="gramEnd"/>
      <w:r w:rsidRPr="003B3476">
        <w:t xml:space="preserve"> </w:t>
      </w:r>
      <w:proofErr w:type="gramStart"/>
      <w:r w:rsidRPr="003B3476">
        <w:t xml:space="preserve">Insofar as ground 1(c) is a complaint about his Honour’s finding that the proceeding in this Court was an abuse of process, that complaint is based on </w:t>
      </w:r>
      <w:r w:rsidR="00CB4B5A" w:rsidRPr="003B3476">
        <w:t xml:space="preserve">the </w:t>
      </w:r>
      <w:r w:rsidRPr="003B3476">
        <w:t xml:space="preserve">finding </w:t>
      </w:r>
      <w:r w:rsidR="00CB4B5A" w:rsidRPr="003B3476">
        <w:t xml:space="preserve">of the primary judge </w:t>
      </w:r>
      <w:r w:rsidRPr="003B3476">
        <w:t>that the proceeding in this Court was an abuse by reason of his conclusions regarding the operation of the doctrines of merger and cause of action estoppel which are the subject of ground</w:t>
      </w:r>
      <w:r w:rsidR="009E627B" w:rsidRPr="003B3476">
        <w:t>s</w:t>
      </w:r>
      <w:r w:rsidRPr="003B3476">
        <w:t xml:space="preserve"> 1(a)</w:t>
      </w:r>
      <w:r w:rsidR="009E627B" w:rsidRPr="003B3476">
        <w:t xml:space="preserve"> and (b)</w:t>
      </w:r>
      <w:r w:rsidRPr="003B3476">
        <w:t xml:space="preserve"> of the no</w:t>
      </w:r>
      <w:r w:rsidRPr="00CE556A">
        <w:t>tice of appeal.</w:t>
      </w:r>
      <w:proofErr w:type="gramEnd"/>
      <w:r w:rsidRPr="00CE556A">
        <w:t xml:space="preserve"> </w:t>
      </w:r>
    </w:p>
    <w:p w14:paraId="68BF971B" w14:textId="592F9B25" w:rsidR="0018302B" w:rsidRDefault="0018302B" w:rsidP="00CD1346">
      <w:pPr>
        <w:pStyle w:val="ParaNumbering"/>
      </w:pPr>
      <w:r>
        <w:t>However</w:t>
      </w:r>
      <w:r w:rsidR="00CB4B5A">
        <w:t>,</w:t>
      </w:r>
      <w:r>
        <w:t xml:space="preserve"> the primary judge’s finding that the proceeding in this Court constituted an abuse of process was not based only on the fact that Mr Tucker was seeking to raise </w:t>
      </w:r>
      <w:proofErr w:type="gramStart"/>
      <w:r>
        <w:t>issues which</w:t>
      </w:r>
      <w:proofErr w:type="gramEnd"/>
      <w:r>
        <w:t xml:space="preserve"> could have been raised before. It was a critical further aspect of his Honour’s reasoning that the proceeding in this Court was an abuse of process because the effect of the proceeding was to vex the respondents again with the same claims in a manner which was unjustifiably oppressive or would bring the administration of justice into disrepute</w:t>
      </w:r>
      <w:r w:rsidR="00CB4B5A">
        <w:t xml:space="preserve"> (at [69]-[70])</w:t>
      </w:r>
      <w:r>
        <w:t>. In its terms</w:t>
      </w:r>
      <w:r w:rsidR="00CB4B5A">
        <w:t>,</w:t>
      </w:r>
      <w:r>
        <w:t xml:space="preserve"> ground 1(c) makes no complaint about his Honour’s conclusion in this regard. Nor </w:t>
      </w:r>
      <w:r w:rsidR="00CB4B5A">
        <w:t>wa</w:t>
      </w:r>
      <w:r>
        <w:t>s any complaint to this effect made in Mr Tucker’s written or oral submissions on this appeal.</w:t>
      </w:r>
    </w:p>
    <w:p w14:paraId="4F0E784D" w14:textId="446C2FB1" w:rsidR="007202D9" w:rsidRDefault="006022FC" w:rsidP="007202D9">
      <w:pPr>
        <w:pStyle w:val="ParaNumbering"/>
        <w:rPr>
          <w:bCs/>
        </w:rPr>
      </w:pPr>
      <w:r>
        <w:lastRenderedPageBreak/>
        <w:t xml:space="preserve">In order for Mr Tucker to succeed in this appeal, it is not enough for him to succeed only on his merger or cause of action estoppel case. He must also succeed on his abuse of process case. </w:t>
      </w:r>
      <w:proofErr w:type="gramStart"/>
      <w:r>
        <w:t>However, w</w:t>
      </w:r>
      <w:r w:rsidR="007202D9">
        <w:t xml:space="preserve">hether or not Mr Tucker’s conduct in bringing his further proceeding in this Court rises to the level necessary to constitute an abuse of process in the sense essayed by the High Court in </w:t>
      </w:r>
      <w:r w:rsidR="007202D9" w:rsidRPr="0018302B">
        <w:rPr>
          <w:i/>
        </w:rPr>
        <w:t>Tomlinson</w:t>
      </w:r>
      <w:r w:rsidR="007202D9">
        <w:t xml:space="preserve"> at [25]-[26] is not a question </w:t>
      </w:r>
      <w:r w:rsidR="00C742B0">
        <w:t xml:space="preserve">even raised </w:t>
      </w:r>
      <w:r w:rsidR="007202D9">
        <w:t>for determination on this appeal</w:t>
      </w:r>
      <w:r w:rsidR="00C742B0">
        <w:t>, let alone established on the submissions advanced in support of it</w:t>
      </w:r>
      <w:r w:rsidR="007202D9">
        <w:t>.</w:t>
      </w:r>
      <w:proofErr w:type="gramEnd"/>
      <w:r w:rsidR="007202D9">
        <w:t xml:space="preserve"> The primary judge, in the exercise of his discretion on the question of whether the proceeding should be summarily dismissed pursuant to r 26.01, has determined that it should be, including on the basis that the proceeding constitutes an abuse of process. </w:t>
      </w:r>
      <w:proofErr w:type="gramStart"/>
      <w:r w:rsidR="007202D9">
        <w:t>No challenge whatsoever i</w:t>
      </w:r>
      <w:r>
        <w:t>s made by Mr Tucker</w:t>
      </w:r>
      <w:proofErr w:type="gramEnd"/>
      <w:r>
        <w:t xml:space="preserve"> to the </w:t>
      </w:r>
      <w:r w:rsidR="007202D9">
        <w:t>key</w:t>
      </w:r>
      <w:r>
        <w:t xml:space="preserve"> aspect of his Honour’s finding</w:t>
      </w:r>
      <w:r w:rsidR="007202D9">
        <w:t xml:space="preserve"> that the proceeding constitutes an abuse</w:t>
      </w:r>
      <w:r>
        <w:t xml:space="preserve"> because it seeks to vex the respondents with the same claim.</w:t>
      </w:r>
      <w:r w:rsidR="007202D9">
        <w:t xml:space="preserve"> </w:t>
      </w:r>
      <w:proofErr w:type="gramStart"/>
      <w:r>
        <w:t>A</w:t>
      </w:r>
      <w:r w:rsidR="007202D9">
        <w:t>nd even if it were</w:t>
      </w:r>
      <w:r>
        <w:t>,</w:t>
      </w:r>
      <w:r w:rsidR="007202D9">
        <w:t xml:space="preserve"> any such challenge would plainly need to demonstrate that an error had been made in the exercise of the discretion in order to surmount the high hurdle necessary to disturb the exercise of a judicial discretion by a primary judge: </w:t>
      </w:r>
      <w:r w:rsidR="007202D9" w:rsidRPr="0084393A">
        <w:rPr>
          <w:i/>
        </w:rPr>
        <w:t xml:space="preserve">House v </w:t>
      </w:r>
      <w:r w:rsidR="001E10F8">
        <w:rPr>
          <w:i/>
        </w:rPr>
        <w:t>R</w:t>
      </w:r>
      <w:r w:rsidR="007202D9">
        <w:t xml:space="preserve"> (1936) 55 CLR 499 at 504-505 (Dixon, Evatt, </w:t>
      </w:r>
      <w:proofErr w:type="spellStart"/>
      <w:r w:rsidR="007202D9">
        <w:t>McTiernan</w:t>
      </w:r>
      <w:proofErr w:type="spellEnd"/>
      <w:r w:rsidR="007202D9">
        <w:t xml:space="preserve"> JJ); </w:t>
      </w:r>
      <w:proofErr w:type="spellStart"/>
      <w:r w:rsidR="007202D9">
        <w:rPr>
          <w:i/>
        </w:rPr>
        <w:t>Gronow</w:t>
      </w:r>
      <w:proofErr w:type="spellEnd"/>
      <w:r w:rsidR="007202D9">
        <w:rPr>
          <w:i/>
        </w:rPr>
        <w:t xml:space="preserve"> v </w:t>
      </w:r>
      <w:proofErr w:type="spellStart"/>
      <w:r w:rsidR="007202D9">
        <w:rPr>
          <w:i/>
        </w:rPr>
        <w:t>Gronow</w:t>
      </w:r>
      <w:proofErr w:type="spellEnd"/>
      <w:r w:rsidR="007202D9">
        <w:rPr>
          <w:i/>
        </w:rPr>
        <w:t xml:space="preserve"> </w:t>
      </w:r>
      <w:r w:rsidR="007202D9">
        <w:t xml:space="preserve">(1979) 144 CLR 513 at 519-520 (Stephen J); </w:t>
      </w:r>
      <w:r w:rsidR="007A2D8E">
        <w:rPr>
          <w:i/>
        </w:rPr>
        <w:t>R</w:t>
      </w:r>
      <w:r w:rsidR="0075765A">
        <w:rPr>
          <w:i/>
        </w:rPr>
        <w:t xml:space="preserve"> v Carroll </w:t>
      </w:r>
      <w:r w:rsidR="0075765A">
        <w:t>(2002) 213 CLR 635 at 657 [73] (</w:t>
      </w:r>
      <w:proofErr w:type="spellStart"/>
      <w:r w:rsidR="0075765A">
        <w:t>Gaudron</w:t>
      </w:r>
      <w:proofErr w:type="spellEnd"/>
      <w:r w:rsidR="0075765A">
        <w:t xml:space="preserve"> and </w:t>
      </w:r>
      <w:proofErr w:type="spellStart"/>
      <w:r w:rsidR="0075765A">
        <w:t>Gummow</w:t>
      </w:r>
      <w:proofErr w:type="spellEnd"/>
      <w:r w:rsidR="0075765A">
        <w:t xml:space="preserve"> JJ); </w:t>
      </w:r>
      <w:proofErr w:type="spellStart"/>
      <w:r w:rsidR="0075765A">
        <w:rPr>
          <w:i/>
        </w:rPr>
        <w:t>Batistatos</w:t>
      </w:r>
      <w:proofErr w:type="spellEnd"/>
      <w:r w:rsidR="0075765A">
        <w:rPr>
          <w:i/>
        </w:rPr>
        <w:t xml:space="preserve"> v Roads and Traffic Authority </w:t>
      </w:r>
      <w:r w:rsidR="004B108E">
        <w:rPr>
          <w:i/>
        </w:rPr>
        <w:t xml:space="preserve">of New South Wales </w:t>
      </w:r>
      <w:r w:rsidR="0075765A">
        <w:t xml:space="preserve">(2006) </w:t>
      </w:r>
      <w:r w:rsidR="004B108E">
        <w:t xml:space="preserve">226 </w:t>
      </w:r>
      <w:r w:rsidR="0075765A">
        <w:t xml:space="preserve">CLR 256 at 264 [7] (Gleeson CJ, </w:t>
      </w:r>
      <w:proofErr w:type="spellStart"/>
      <w:r w:rsidR="0075765A">
        <w:t>Gummow</w:t>
      </w:r>
      <w:proofErr w:type="spellEnd"/>
      <w:r w:rsidR="0075765A">
        <w:t xml:space="preserve">, Hayne and </w:t>
      </w:r>
      <w:proofErr w:type="spellStart"/>
      <w:r w:rsidR="0075765A">
        <w:t>Crennan</w:t>
      </w:r>
      <w:proofErr w:type="spellEnd"/>
      <w:r w:rsidR="0075765A">
        <w:t xml:space="preserve"> JJ); </w:t>
      </w:r>
      <w:proofErr w:type="spellStart"/>
      <w:r w:rsidR="007202D9" w:rsidRPr="007202D9">
        <w:rPr>
          <w:bCs/>
          <w:i/>
          <w:iCs/>
        </w:rPr>
        <w:t>Oswal</w:t>
      </w:r>
      <w:proofErr w:type="spellEnd"/>
      <w:r w:rsidR="007202D9" w:rsidRPr="007202D9">
        <w:rPr>
          <w:bCs/>
          <w:i/>
          <w:iCs/>
        </w:rPr>
        <w:t> v Burrup Fertilisers Pty Ltd (Receivers and Managers Appointed)</w:t>
      </w:r>
      <w:bookmarkStart w:id="22" w:name="ahfcommUio1885838sl305377214"/>
      <w:bookmarkEnd w:id="22"/>
      <w:r w:rsidR="007202D9">
        <w:rPr>
          <w:bCs/>
        </w:rPr>
        <w:t xml:space="preserve"> (</w:t>
      </w:r>
      <w:r w:rsidR="007202D9" w:rsidRPr="007202D9">
        <w:rPr>
          <w:bCs/>
        </w:rPr>
        <w:t>2011) 85 ACSR 531</w:t>
      </w:r>
      <w:r w:rsidR="007202D9">
        <w:rPr>
          <w:bCs/>
        </w:rPr>
        <w:t xml:space="preserve"> at</w:t>
      </w:r>
      <w:r w:rsidR="007202D9" w:rsidRPr="007202D9">
        <w:rPr>
          <w:bCs/>
        </w:rPr>
        <w:t xml:space="preserve"> </w:t>
      </w:r>
      <w:r w:rsidR="007202D9">
        <w:rPr>
          <w:bCs/>
        </w:rPr>
        <w:t>534 [8] (Mansfield</w:t>
      </w:r>
      <w:r w:rsidR="007202D9" w:rsidRPr="007202D9">
        <w:rPr>
          <w:bCs/>
        </w:rPr>
        <w:t xml:space="preserve"> </w:t>
      </w:r>
      <w:r w:rsidR="007202D9">
        <w:rPr>
          <w:bCs/>
        </w:rPr>
        <w:t>and</w:t>
      </w:r>
      <w:r w:rsidR="007202D9" w:rsidRPr="007202D9">
        <w:rPr>
          <w:bCs/>
        </w:rPr>
        <w:t xml:space="preserve"> Foster JJ)</w:t>
      </w:r>
      <w:r w:rsidR="007202D9">
        <w:rPr>
          <w:bCs/>
        </w:rPr>
        <w:t>.</w:t>
      </w:r>
      <w:proofErr w:type="gramEnd"/>
      <w:r w:rsidR="0075765A">
        <w:rPr>
          <w:bCs/>
        </w:rPr>
        <w:t xml:space="preserve"> No such error </w:t>
      </w:r>
      <w:proofErr w:type="gramStart"/>
      <w:r w:rsidR="0075765A">
        <w:rPr>
          <w:bCs/>
        </w:rPr>
        <w:t>has been suggested, still less demonstrated</w:t>
      </w:r>
      <w:proofErr w:type="gramEnd"/>
      <w:r w:rsidR="0075765A">
        <w:rPr>
          <w:bCs/>
        </w:rPr>
        <w:t xml:space="preserve">. </w:t>
      </w:r>
    </w:p>
    <w:p w14:paraId="79B10C81" w14:textId="02B690D3" w:rsidR="00EE0EDA" w:rsidRPr="003B3476" w:rsidRDefault="001A776A" w:rsidP="001A776A">
      <w:pPr>
        <w:pStyle w:val="ParaNumbering"/>
      </w:pPr>
      <w:r>
        <w:t xml:space="preserve">In these circumstances the primary judge’s finding that the proceeding in this Court is an abuse of process because it seeks to vex the respondents again with the same claim is a sufficient basis </w:t>
      </w:r>
      <w:r w:rsidR="00CB4B5A">
        <w:t xml:space="preserve">to sustain </w:t>
      </w:r>
      <w:r>
        <w:t xml:space="preserve">his Honour’s orders summarily dismissing the proceeding pursuant to r 26.01 and must stand. It is unnecessary to consider the complex </w:t>
      </w:r>
      <w:proofErr w:type="gramStart"/>
      <w:r>
        <w:t>questions which</w:t>
      </w:r>
      <w:proofErr w:type="gramEnd"/>
      <w:r>
        <w:t xml:space="preserve"> surround the scope and effect of the declaration made by the Court of Appeal and whether the doctrines of merger and cause of action estoppel would, in all the circumstances, preclude the maintenance of </w:t>
      </w:r>
      <w:r w:rsidRPr="003B3476">
        <w:t xml:space="preserve">related claims in this Court. </w:t>
      </w:r>
    </w:p>
    <w:p w14:paraId="2727B2B3" w14:textId="05BA5F6C" w:rsidR="002F232D" w:rsidRPr="003B3476" w:rsidRDefault="001A776A" w:rsidP="002F232D">
      <w:pPr>
        <w:pStyle w:val="ParaNumbering"/>
      </w:pPr>
      <w:r w:rsidRPr="003B3476">
        <w:t xml:space="preserve">Nor is it necessary to resolve whether ground </w:t>
      </w:r>
      <w:r w:rsidR="00E229AD" w:rsidRPr="003B3476">
        <w:t xml:space="preserve">1(d), alleging a failure to enforce the civil penalty regime in the FWA, </w:t>
      </w:r>
      <w:proofErr w:type="gramStart"/>
      <w:r w:rsidRPr="003B3476">
        <w:t>can be established</w:t>
      </w:r>
      <w:proofErr w:type="gramEnd"/>
      <w:r w:rsidRPr="003B3476">
        <w:t xml:space="preserve">. </w:t>
      </w:r>
      <w:r w:rsidR="009D082E" w:rsidRPr="003B3476">
        <w:t xml:space="preserve">Ground 1(d), although directed at the consequence of Mr Tucker not being able to maintain his action, is a function of the error asserted in ground 1(a). </w:t>
      </w:r>
      <w:r w:rsidR="002F232D" w:rsidRPr="003B3476">
        <w:t xml:space="preserve">While we are not satisfied that any error is established by ground 1(d), it is unnecessary to address it substantially as the failure to demonstrate error in the finding of an abuse of process more generally is fatal to the success of the appeal.  Not every ground of appeal must be addressed if a failure on any one of them is dispositive of the appeal: </w:t>
      </w:r>
      <w:proofErr w:type="spellStart"/>
      <w:r w:rsidR="009F6AAA" w:rsidRPr="003B3476">
        <w:rPr>
          <w:b/>
          <w:i/>
        </w:rPr>
        <w:t>Boensch</w:t>
      </w:r>
      <w:proofErr w:type="spellEnd"/>
      <w:r w:rsidR="009F6AAA" w:rsidRPr="003B3476">
        <w:rPr>
          <w:b/>
          <w:i/>
        </w:rPr>
        <w:t xml:space="preserve"> </w:t>
      </w:r>
      <w:r w:rsidR="009F6AAA" w:rsidRPr="003B3476">
        <w:rPr>
          <w:i/>
        </w:rPr>
        <w:t xml:space="preserve">v Pascoe </w:t>
      </w:r>
      <w:r w:rsidR="009F6AAA" w:rsidRPr="003B3476">
        <w:lastRenderedPageBreak/>
        <w:t>(2019) 268 CLR 593 at 600-601 [7]-[8] (</w:t>
      </w:r>
      <w:proofErr w:type="spellStart"/>
      <w:r w:rsidR="009F6AAA" w:rsidRPr="003B3476">
        <w:t>Kiefel</w:t>
      </w:r>
      <w:proofErr w:type="spellEnd"/>
      <w:r w:rsidR="009F6AAA" w:rsidRPr="003B3476">
        <w:t xml:space="preserve"> CJ, </w:t>
      </w:r>
      <w:proofErr w:type="spellStart"/>
      <w:r w:rsidR="009F6AAA" w:rsidRPr="003B3476">
        <w:t>Gageler</w:t>
      </w:r>
      <w:proofErr w:type="spellEnd"/>
      <w:r w:rsidR="009F6AAA" w:rsidRPr="003B3476">
        <w:t xml:space="preserve"> and Keane JJ), 629</w:t>
      </w:r>
      <w:r w:rsidR="00272BE3" w:rsidRPr="003B3476">
        <w:t>-630</w:t>
      </w:r>
      <w:r w:rsidR="009F6AAA" w:rsidRPr="003B3476">
        <w:t xml:space="preserve"> [101] (Bell, Nettle, Gordon and Edelman JJ)</w:t>
      </w:r>
      <w:r w:rsidR="001C2BFA" w:rsidRPr="003B3476">
        <w:t>.</w:t>
      </w:r>
      <w:r w:rsidR="001C2BFA" w:rsidRPr="003B3476">
        <w:rPr>
          <w:i/>
          <w:iCs/>
        </w:rPr>
        <w:t xml:space="preserve"> </w:t>
      </w:r>
    </w:p>
    <w:p w14:paraId="2139CDFB" w14:textId="13D2D5EA" w:rsidR="002F232D" w:rsidRPr="00CE556A" w:rsidRDefault="009F6AAA" w:rsidP="001A776A">
      <w:pPr>
        <w:pStyle w:val="ParaNumbering"/>
      </w:pPr>
      <w:r w:rsidRPr="003B3476">
        <w:t xml:space="preserve">The same </w:t>
      </w:r>
      <w:proofErr w:type="gramStart"/>
      <w:r w:rsidRPr="003B3476">
        <w:t>can be said</w:t>
      </w:r>
      <w:proofErr w:type="gramEnd"/>
      <w:r w:rsidRPr="003B3476">
        <w:t xml:space="preserve"> in relation to </w:t>
      </w:r>
      <w:r w:rsidR="002F232D" w:rsidRPr="003B3476">
        <w:t>ground 1(e), the claim based on his Honour’s determination that the Guidelines claim was “hopeless”</w:t>
      </w:r>
      <w:r w:rsidRPr="003B3476">
        <w:t>.</w:t>
      </w:r>
      <w:r w:rsidR="002F232D" w:rsidRPr="003B3476">
        <w:t xml:space="preserve"> </w:t>
      </w:r>
      <w:r w:rsidRPr="003B3476">
        <w:t xml:space="preserve">Nonetheless, </w:t>
      </w:r>
      <w:r w:rsidR="002F232D" w:rsidRPr="003B3476">
        <w:t xml:space="preserve">we do not doubt his Honour’s conclusion in this respect. </w:t>
      </w:r>
      <w:proofErr w:type="gramStart"/>
      <w:r w:rsidR="002F232D" w:rsidRPr="003B3476">
        <w:t>It is to be noted that the authorities cited by Mr Tucker on the appeal in support of the proposition that the Guidelines impose binding obligations which are regularly enforced by the courts do not support the existence of a free-standing caus</w:t>
      </w:r>
      <w:r w:rsidR="002F232D" w:rsidRPr="00CE556A">
        <w:t xml:space="preserve">e of action based on the Guidelines: </w:t>
      </w:r>
      <w:proofErr w:type="spellStart"/>
      <w:r w:rsidR="002F232D" w:rsidRPr="00CE556A">
        <w:rPr>
          <w:i/>
        </w:rPr>
        <w:t>Razzy</w:t>
      </w:r>
      <w:proofErr w:type="spellEnd"/>
      <w:r w:rsidR="002F232D" w:rsidRPr="00CE556A">
        <w:rPr>
          <w:i/>
        </w:rPr>
        <w:t xml:space="preserve"> Australia Pty Ltd v Commissioner of State Revenue</w:t>
      </w:r>
      <w:r w:rsidR="002F232D" w:rsidRPr="00CE556A">
        <w:t xml:space="preserve"> [2021] VSC 409 at 19 [78] (Delany J); </w:t>
      </w:r>
      <w:r w:rsidR="002F232D" w:rsidRPr="00CE556A">
        <w:rPr>
          <w:i/>
        </w:rPr>
        <w:t xml:space="preserve">North West Melbourne Recycling Pty Ltd v Commissioner of State Revenue (No 2) </w:t>
      </w:r>
      <w:r w:rsidR="002F232D" w:rsidRPr="00CE556A">
        <w:t xml:space="preserve">[2017] VSC 726 at 5-8 [11]-[17] (Croft J); </w:t>
      </w:r>
      <w:proofErr w:type="spellStart"/>
      <w:r w:rsidR="002F232D" w:rsidRPr="00CE556A">
        <w:rPr>
          <w:i/>
        </w:rPr>
        <w:t>Comaz</w:t>
      </w:r>
      <w:proofErr w:type="spellEnd"/>
      <w:r w:rsidR="002F232D" w:rsidRPr="00CE556A">
        <w:rPr>
          <w:i/>
        </w:rPr>
        <w:t xml:space="preserve"> (</w:t>
      </w:r>
      <w:proofErr w:type="spellStart"/>
      <w:r w:rsidR="002F232D" w:rsidRPr="00CE556A">
        <w:rPr>
          <w:i/>
        </w:rPr>
        <w:t>Aust</w:t>
      </w:r>
      <w:proofErr w:type="spellEnd"/>
      <w:r w:rsidR="002F232D" w:rsidRPr="00CE556A">
        <w:rPr>
          <w:i/>
        </w:rPr>
        <w:t>) Pty Ltd v Commissioner of State Revenue</w:t>
      </w:r>
      <w:r w:rsidR="002F232D" w:rsidRPr="00CE556A">
        <w:t xml:space="preserve"> (2015) 101 ATR 339 at 368-371 [71]-[79] (Croft J).</w:t>
      </w:r>
      <w:proofErr w:type="gramEnd"/>
      <w:r w:rsidR="002F232D" w:rsidRPr="00CE556A">
        <w:t xml:space="preserve"> The observations in these cases about the significance of the Guidelines are properly to </w:t>
      </w:r>
      <w:proofErr w:type="gramStart"/>
      <w:r w:rsidR="002F232D" w:rsidRPr="00CE556A">
        <w:t>be understood</w:t>
      </w:r>
      <w:proofErr w:type="gramEnd"/>
      <w:r w:rsidR="002F232D" w:rsidRPr="00CE556A">
        <w:t xml:space="preserve"> in the statutory context of the </w:t>
      </w:r>
      <w:r w:rsidR="002F232D" w:rsidRPr="00CE556A">
        <w:rPr>
          <w:i/>
        </w:rPr>
        <w:t xml:space="preserve">Civil Procedure Act 2010 </w:t>
      </w:r>
      <w:r w:rsidR="002F232D" w:rsidRPr="00CE556A">
        <w:t>(Vic).</w:t>
      </w:r>
    </w:p>
    <w:p w14:paraId="048A6FA4" w14:textId="29BC6891" w:rsidR="00F2673C" w:rsidRDefault="000874F1" w:rsidP="000874F1">
      <w:pPr>
        <w:pStyle w:val="Heading2"/>
      </w:pPr>
      <w:r>
        <w:t>Ground 2</w:t>
      </w:r>
    </w:p>
    <w:p w14:paraId="7D088F51" w14:textId="6D41B82A" w:rsidR="00A52F9D" w:rsidRDefault="000874F1" w:rsidP="00CD1346">
      <w:pPr>
        <w:pStyle w:val="ParaNumbering"/>
      </w:pPr>
      <w:r>
        <w:t xml:space="preserve">Insofar as it </w:t>
      </w:r>
      <w:proofErr w:type="gramStart"/>
      <w:r>
        <w:t>is alleged</w:t>
      </w:r>
      <w:proofErr w:type="gramEnd"/>
      <w:r>
        <w:t xml:space="preserve"> that the primary judge erred in failing to provide adequate reasons, we reject this ground of appeal. His Honour’s explanation of his critical finding that the proceeding in this Court constituted an abuse of process </w:t>
      </w:r>
      <w:proofErr w:type="gramStart"/>
      <w:r>
        <w:t>was adequately explained</w:t>
      </w:r>
      <w:proofErr w:type="gramEnd"/>
      <w:r>
        <w:t xml:space="preserve">. </w:t>
      </w:r>
      <w:proofErr w:type="gramStart"/>
      <w:r>
        <w:t xml:space="preserve">It was unnecessary for his Honour to </w:t>
      </w:r>
      <w:r w:rsidRPr="001E20DA">
        <w:t>address, in terms, the submissions made by the parties and the various autho</w:t>
      </w:r>
      <w:r w:rsidR="001E20DA">
        <w:t>rities brought to his attention</w:t>
      </w:r>
      <w:r w:rsidRPr="001E20DA">
        <w:t>:</w:t>
      </w:r>
      <w:r w:rsidR="001E20DA">
        <w:t xml:space="preserve"> </w:t>
      </w:r>
      <w:proofErr w:type="spellStart"/>
      <w:r w:rsidR="001E20DA">
        <w:rPr>
          <w:i/>
        </w:rPr>
        <w:t>Whisprun</w:t>
      </w:r>
      <w:proofErr w:type="spellEnd"/>
      <w:r w:rsidR="001E20DA">
        <w:rPr>
          <w:i/>
        </w:rPr>
        <w:t xml:space="preserve"> Pty Ltd v Dixon </w:t>
      </w:r>
      <w:r w:rsidR="001E20DA" w:rsidRPr="00231FED">
        <w:t>(2003) 200 ALR 447</w:t>
      </w:r>
      <w:r w:rsidR="007A0761">
        <w:t xml:space="preserve"> at 463-464</w:t>
      </w:r>
      <w:r w:rsidR="001E20DA">
        <w:t xml:space="preserve"> [62] (Gleeson CJ, McHugh and </w:t>
      </w:r>
      <w:proofErr w:type="spellStart"/>
      <w:r w:rsidR="001E20DA">
        <w:t>Gummow</w:t>
      </w:r>
      <w:proofErr w:type="spellEnd"/>
      <w:r w:rsidR="001E20DA">
        <w:t xml:space="preserve"> JJ)</w:t>
      </w:r>
      <w:r w:rsidR="00EE0EDA">
        <w:t xml:space="preserve">; see also </w:t>
      </w:r>
      <w:r w:rsidR="00EE0EDA">
        <w:rPr>
          <w:i/>
        </w:rPr>
        <w:t xml:space="preserve">Stoker v Adecco </w:t>
      </w:r>
      <w:proofErr w:type="spellStart"/>
      <w:r w:rsidR="00EE0EDA">
        <w:rPr>
          <w:i/>
        </w:rPr>
        <w:t>Gemvale</w:t>
      </w:r>
      <w:proofErr w:type="spellEnd"/>
      <w:r w:rsidR="00EE0EDA">
        <w:rPr>
          <w:i/>
        </w:rPr>
        <w:t xml:space="preserve"> Constructions Pty Ltd </w:t>
      </w:r>
      <w:r w:rsidR="00EE0EDA">
        <w:t>[2004] NSWCA 449 at [41] (</w:t>
      </w:r>
      <w:proofErr w:type="spellStart"/>
      <w:r w:rsidR="00EE0EDA">
        <w:t>Santow</w:t>
      </w:r>
      <w:proofErr w:type="spellEnd"/>
      <w:r w:rsidR="00EE0EDA">
        <w:t xml:space="preserve"> JA, with whom Mason P and Sheller JA agreed); </w:t>
      </w:r>
      <w:r w:rsidR="00A418F2">
        <w:rPr>
          <w:i/>
        </w:rPr>
        <w:t xml:space="preserve">Perkins v County Court of Victoria </w:t>
      </w:r>
      <w:r w:rsidR="00A418F2">
        <w:t>(2000) 2 VR 246 at 270</w:t>
      </w:r>
      <w:r w:rsidR="000F1431">
        <w:t>-271</w:t>
      </w:r>
      <w:r w:rsidR="00A418F2">
        <w:t xml:space="preserve"> [56] (Buchanan JA, with whom, relevantly, Phillips and Charles </w:t>
      </w:r>
      <w:r w:rsidR="003B3476">
        <w:t>J</w:t>
      </w:r>
      <w:r w:rsidR="00A418F2">
        <w:t>JA agreed).</w:t>
      </w:r>
      <w:proofErr w:type="gramEnd"/>
      <w:r w:rsidR="00A418F2">
        <w:t xml:space="preserve"> </w:t>
      </w:r>
      <w:r w:rsidR="00EE0EDA">
        <w:rPr>
          <w:i/>
        </w:rPr>
        <w:t xml:space="preserve"> </w:t>
      </w:r>
    </w:p>
    <w:p w14:paraId="29FEE30D" w14:textId="0E701531" w:rsidR="000874F1" w:rsidRDefault="000874F1" w:rsidP="000874F1">
      <w:pPr>
        <w:pStyle w:val="Heading2"/>
      </w:pPr>
      <w:r>
        <w:t>Ground 3</w:t>
      </w:r>
    </w:p>
    <w:p w14:paraId="7CE9B2A4" w14:textId="115E7CAA" w:rsidR="000874F1" w:rsidRDefault="000874F1" w:rsidP="000874F1">
      <w:pPr>
        <w:pStyle w:val="ParaNumbering"/>
      </w:pPr>
      <w:r>
        <w:t>The assertion that there was any error on the part of the primary judge in failing to set aside t</w:t>
      </w:r>
      <w:r w:rsidR="005E31E5">
        <w:t>he respondent</w:t>
      </w:r>
      <w:r>
        <w:t>s</w:t>
      </w:r>
      <w:r w:rsidR="005E31E5">
        <w:t>’</w:t>
      </w:r>
      <w:r>
        <w:t xml:space="preserve"> notice to produce dated 13 September 2021 is </w:t>
      </w:r>
      <w:r w:rsidR="002C53BD">
        <w:t>without foundation</w:t>
      </w:r>
      <w:r>
        <w:t xml:space="preserve"> and </w:t>
      </w:r>
      <w:proofErr w:type="gramStart"/>
      <w:r>
        <w:t>must also</w:t>
      </w:r>
      <w:proofErr w:type="gramEnd"/>
      <w:r>
        <w:t xml:space="preserve"> be rejected. It was unnecessary for his Honour to deal with this matter in determining </w:t>
      </w:r>
      <w:r w:rsidR="005E31E5">
        <w:t xml:space="preserve">on the application before him </w:t>
      </w:r>
      <w:r>
        <w:t xml:space="preserve">whether summarily to dismiss the proceeding pursuant to r </w:t>
      </w:r>
      <w:proofErr w:type="gramStart"/>
      <w:r>
        <w:t>26.01,</w:t>
      </w:r>
      <w:proofErr w:type="gramEnd"/>
      <w:r>
        <w:t xml:space="preserve"> </w:t>
      </w:r>
      <w:r w:rsidR="002C3392">
        <w:t xml:space="preserve">and </w:t>
      </w:r>
      <w:r w:rsidR="005E31E5">
        <w:t xml:space="preserve">at no stage did </w:t>
      </w:r>
      <w:r w:rsidR="002C3392">
        <w:t xml:space="preserve">his Honour indicate that he would deal with it. </w:t>
      </w:r>
      <w:r w:rsidR="005E31E5">
        <w:t xml:space="preserve">The complaint </w:t>
      </w:r>
      <w:r>
        <w:t>has emerged only on appeal and, even were it to have substance, could not operate to displace his Honour’s finding that Mr Tu</w:t>
      </w:r>
      <w:r w:rsidR="002C53BD">
        <w:t>c</w:t>
      </w:r>
      <w:r>
        <w:t>ker’s proceeding in this Court constitutes an abuse of process.</w:t>
      </w:r>
      <w:r w:rsidR="005E31E5">
        <w:t xml:space="preserve"> We accept </w:t>
      </w:r>
      <w:r w:rsidR="005E31E5">
        <w:lastRenderedPageBreak/>
        <w:t xml:space="preserve">the respondents’ submissions that, in any event, Mr Tucker’s application to have the notice to produce set aside was devoid of merit.  </w:t>
      </w:r>
    </w:p>
    <w:p w14:paraId="0B172F0F" w14:textId="6B7F3570" w:rsidR="002C53BD" w:rsidRDefault="002C53BD" w:rsidP="002C53BD">
      <w:pPr>
        <w:pStyle w:val="Heading1"/>
      </w:pPr>
      <w:r>
        <w:t>disposition</w:t>
      </w:r>
    </w:p>
    <w:p w14:paraId="0A320001" w14:textId="3706AD39" w:rsidR="002C53BD" w:rsidRPr="00945EE8" w:rsidRDefault="002C53BD" w:rsidP="002C53BD">
      <w:pPr>
        <w:pStyle w:val="ParaNumbering"/>
      </w:pPr>
      <w:r w:rsidRPr="00945EE8">
        <w:t xml:space="preserve">There </w:t>
      </w:r>
      <w:proofErr w:type="gramStart"/>
      <w:r w:rsidRPr="00945EE8">
        <w:t>will, accordingly, be</w:t>
      </w:r>
      <w:proofErr w:type="gramEnd"/>
      <w:r w:rsidRPr="00945EE8">
        <w:t xml:space="preserve"> an order dismissing the appeal. </w:t>
      </w:r>
      <w:proofErr w:type="gramStart"/>
      <w:r w:rsidR="00F7176D" w:rsidRPr="00945EE8">
        <w:t xml:space="preserve">Given that the failure to demonstrate error in the finding of an abuse of process more generally is fatal to the success of the appeal </w:t>
      </w:r>
      <w:r w:rsidRPr="00945EE8">
        <w:t>it is unnecessary to consider the notice of contention</w:t>
      </w:r>
      <w:r w:rsidR="00D46F64" w:rsidRPr="00945EE8">
        <w:t xml:space="preserve"> in relation to Mr Tucker’s failure to comply with his undertaking as to damages in the Supreme Court proceeding</w:t>
      </w:r>
      <w:r w:rsidRPr="00945EE8">
        <w:t xml:space="preserve">: </w:t>
      </w:r>
      <w:proofErr w:type="spellStart"/>
      <w:r w:rsidR="00501F85" w:rsidRPr="00945EE8">
        <w:rPr>
          <w:i/>
        </w:rPr>
        <w:t>Boensch</w:t>
      </w:r>
      <w:proofErr w:type="spellEnd"/>
      <w:r w:rsidR="00501F85" w:rsidRPr="00945EE8">
        <w:rPr>
          <w:i/>
        </w:rPr>
        <w:t xml:space="preserve"> </w:t>
      </w:r>
      <w:r w:rsidR="00F7176D" w:rsidRPr="00945EE8">
        <w:t>at 600-601 [7]-[8] (</w:t>
      </w:r>
      <w:proofErr w:type="spellStart"/>
      <w:r w:rsidR="00F7176D" w:rsidRPr="00945EE8">
        <w:t>Kiefel</w:t>
      </w:r>
      <w:proofErr w:type="spellEnd"/>
      <w:r w:rsidR="00F7176D" w:rsidRPr="00945EE8">
        <w:t xml:space="preserve"> CJ, </w:t>
      </w:r>
      <w:proofErr w:type="spellStart"/>
      <w:r w:rsidR="00F7176D" w:rsidRPr="00945EE8">
        <w:t>Gageler</w:t>
      </w:r>
      <w:proofErr w:type="spellEnd"/>
      <w:r w:rsidR="00F7176D" w:rsidRPr="00945EE8">
        <w:t xml:space="preserve"> and Keane JJ), 629</w:t>
      </w:r>
      <w:r w:rsidR="000840B5" w:rsidRPr="00945EE8">
        <w:t>-630</w:t>
      </w:r>
      <w:r w:rsidR="00F7176D" w:rsidRPr="00945EE8">
        <w:t xml:space="preserve"> [101] (Bell, Nettle, Gordon and Edelman JJ).</w:t>
      </w:r>
      <w:proofErr w:type="gramEnd"/>
    </w:p>
    <w:p w14:paraId="6DC31E0E" w14:textId="331ADF25" w:rsidR="002C53BD" w:rsidRDefault="002C53BD" w:rsidP="002C53BD">
      <w:pPr>
        <w:pStyle w:val="ParaNumbering"/>
      </w:pPr>
      <w:proofErr w:type="gramStart"/>
      <w:r w:rsidRPr="00945EE8">
        <w:t>Insofar as the costs of the appeal are</w:t>
      </w:r>
      <w:r>
        <w:t xml:space="preserve"> concerned, in circumstances where a critical finding of the primary judge </w:t>
      </w:r>
      <w:r w:rsidR="007202D9">
        <w:t xml:space="preserve">sufficient to sustain his Honour’s order summarily dismissing the proceeding </w:t>
      </w:r>
      <w:r>
        <w:t>was not ever the subject of challenge</w:t>
      </w:r>
      <w:r w:rsidR="007202D9">
        <w:t>,</w:t>
      </w:r>
      <w:r>
        <w:t xml:space="preserve"> we accept the submissions of the respondent </w:t>
      </w:r>
      <w:r w:rsidR="001E1757">
        <w:t>t</w:t>
      </w:r>
      <w:r>
        <w:t xml:space="preserve">hat the appeal had no prospect of success and that </w:t>
      </w:r>
      <w:r w:rsidR="00D46F64">
        <w:t>s 570(2</w:t>
      </w:r>
      <w:r w:rsidR="00D46F64" w:rsidRPr="005614D6">
        <w:t>)(b)</w:t>
      </w:r>
      <w:r w:rsidR="00D46F64">
        <w:t xml:space="preserve"> of the FW Act </w:t>
      </w:r>
      <w:r w:rsidR="005614D6">
        <w:t xml:space="preserve">is </w:t>
      </w:r>
      <w:r w:rsidR="00D46F64">
        <w:t>engaged.</w:t>
      </w:r>
      <w:proofErr w:type="gramEnd"/>
      <w:r w:rsidR="00D46F64">
        <w:t xml:space="preserve"> </w:t>
      </w:r>
      <w:r w:rsidR="005614D6">
        <w:t>It may be that s 570(2</w:t>
      </w:r>
      <w:proofErr w:type="gramStart"/>
      <w:r w:rsidR="005614D6">
        <w:t>)(</w:t>
      </w:r>
      <w:proofErr w:type="gramEnd"/>
      <w:r w:rsidR="005614D6">
        <w:t xml:space="preserve">a) of the FW Act is also engaged. </w:t>
      </w:r>
      <w:r w:rsidR="00AF4DD4">
        <w:t xml:space="preserve">In any event, </w:t>
      </w:r>
      <w:r>
        <w:t xml:space="preserve">Mr Tucker </w:t>
      </w:r>
      <w:proofErr w:type="gramStart"/>
      <w:r>
        <w:t>should be ordered</w:t>
      </w:r>
      <w:proofErr w:type="gramEnd"/>
      <w:r>
        <w:t xml:space="preserve"> to pay the costs of the appeal on an indemnity basis. </w:t>
      </w:r>
    </w:p>
    <w:p w14:paraId="6F9C313F" w14:textId="77777777" w:rsidR="00CE556A" w:rsidRDefault="00CE556A" w:rsidP="00815065">
      <w:pPr>
        <w:pStyle w:val="BodyText"/>
      </w:pPr>
      <w:bookmarkStart w:id="23" w:name="Certification"/>
    </w:p>
    <w:tbl>
      <w:tblPr>
        <w:tblW w:w="0" w:type="auto"/>
        <w:tblLook w:val="04A0" w:firstRow="1" w:lastRow="0" w:firstColumn="1" w:lastColumn="0" w:noHBand="0" w:noVBand="1"/>
      </w:tblPr>
      <w:tblGrid>
        <w:gridCol w:w="3794"/>
      </w:tblGrid>
      <w:tr w:rsidR="00CE556A" w:rsidRPr="00CE556A" w14:paraId="46D8752B" w14:textId="77777777">
        <w:tc>
          <w:tcPr>
            <w:tcW w:w="3794" w:type="dxa"/>
            <w:shd w:val="clear" w:color="auto" w:fill="auto"/>
          </w:tcPr>
          <w:p w14:paraId="561A37B8" w14:textId="1581B625" w:rsidR="00CE556A" w:rsidRPr="00CE556A" w:rsidRDefault="00CE556A" w:rsidP="00D347DE">
            <w:pPr>
              <w:pStyle w:val="Normal1linespace"/>
            </w:pPr>
            <w:r w:rsidRPr="00CE556A">
              <w:t xml:space="preserve">I certify that the preceding </w:t>
            </w:r>
            <w:bookmarkStart w:id="24" w:name="NumberWord"/>
            <w:r>
              <w:t>fifty</w:t>
            </w:r>
            <w:bookmarkEnd w:id="24"/>
            <w:r w:rsidRPr="00CE556A">
              <w:t xml:space="preserve"> (</w:t>
            </w:r>
            <w:bookmarkStart w:id="25" w:name="NumberNumeral"/>
            <w:r>
              <w:t>50</w:t>
            </w:r>
            <w:bookmarkEnd w:id="25"/>
            <w:r w:rsidRPr="00CE556A">
              <w:t xml:space="preserve">) numbered </w:t>
            </w:r>
            <w:bookmarkStart w:id="26" w:name="CertPara"/>
            <w:r>
              <w:t>paragraphs are</w:t>
            </w:r>
            <w:bookmarkEnd w:id="26"/>
            <w:r w:rsidRPr="00CE556A">
              <w:t xml:space="preserve"> a true copy of the Reasons for Judgment of </w:t>
            </w:r>
            <w:bookmarkStart w:id="27" w:name="bkHonourable"/>
            <w:r w:rsidRPr="00CE556A">
              <w:t xml:space="preserve">the Honourable </w:t>
            </w:r>
            <w:bookmarkStart w:id="28" w:name="Justice"/>
            <w:bookmarkEnd w:id="27"/>
            <w:r>
              <w:t xml:space="preserve">Justices Bromberg, Bromwich and </w:t>
            </w:r>
            <w:proofErr w:type="spellStart"/>
            <w:proofErr w:type="gramStart"/>
            <w:r>
              <w:t>McEvoy</w:t>
            </w:r>
            <w:proofErr w:type="spellEnd"/>
            <w:r>
              <w:t xml:space="preserve"> </w:t>
            </w:r>
            <w:bookmarkEnd w:id="28"/>
            <w:r w:rsidRPr="00CE556A">
              <w:t>.</w:t>
            </w:r>
            <w:proofErr w:type="gramEnd"/>
          </w:p>
        </w:tc>
      </w:tr>
    </w:tbl>
    <w:p w14:paraId="444D5E97" w14:textId="6BA6D692" w:rsidR="00CE556A" w:rsidRDefault="00CE556A" w:rsidP="00815065">
      <w:pPr>
        <w:pStyle w:val="BodyText"/>
      </w:pPr>
    </w:p>
    <w:p w14:paraId="6732ABDB" w14:textId="2B741869" w:rsidR="00CE556A" w:rsidRDefault="00CE556A" w:rsidP="00815065">
      <w:pPr>
        <w:pStyle w:val="BodyText"/>
      </w:pPr>
      <w:r>
        <w:t xml:space="preserve">Associate: </w:t>
      </w:r>
    </w:p>
    <w:p w14:paraId="524C2624" w14:textId="77777777" w:rsidR="00897056" w:rsidRDefault="00897056" w:rsidP="00815065">
      <w:pPr>
        <w:pStyle w:val="BodyText"/>
      </w:pPr>
      <w:bookmarkStart w:id="29" w:name="_GoBack"/>
      <w:bookmarkEnd w:id="29"/>
    </w:p>
    <w:p w14:paraId="28EF59E5" w14:textId="731B1FB8" w:rsidR="00CE556A" w:rsidRDefault="00CE556A" w:rsidP="00DB5319">
      <w:pPr>
        <w:pStyle w:val="BodyText"/>
        <w:tabs>
          <w:tab w:val="left" w:pos="1134"/>
        </w:tabs>
      </w:pPr>
      <w:r>
        <w:t>Dated:</w:t>
      </w:r>
      <w:r>
        <w:tab/>
      </w:r>
      <w:r w:rsidR="00DB5319">
        <w:t>28 October 2022</w:t>
      </w:r>
      <w:bookmarkEnd w:id="23"/>
    </w:p>
    <w:sectPr w:rsidR="00CE556A"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A32CF" w14:textId="77777777" w:rsidR="00286957" w:rsidRDefault="00286957">
      <w:pPr>
        <w:spacing w:line="20" w:lineRule="exact"/>
      </w:pPr>
    </w:p>
    <w:p w14:paraId="6D6BEAB1" w14:textId="77777777" w:rsidR="00286957" w:rsidRDefault="00286957"/>
    <w:p w14:paraId="60176AAE" w14:textId="77777777" w:rsidR="00286957" w:rsidRDefault="00286957"/>
  </w:endnote>
  <w:endnote w:type="continuationSeparator" w:id="0">
    <w:p w14:paraId="13DF368C" w14:textId="77777777" w:rsidR="00286957" w:rsidRDefault="00286957">
      <w:r>
        <w:t xml:space="preserve"> </w:t>
      </w:r>
    </w:p>
    <w:p w14:paraId="753C674E" w14:textId="77777777" w:rsidR="00286957" w:rsidRDefault="00286957"/>
    <w:p w14:paraId="2954225C" w14:textId="77777777" w:rsidR="00286957" w:rsidRDefault="00286957"/>
  </w:endnote>
  <w:endnote w:type="continuationNotice" w:id="1">
    <w:p w14:paraId="52367204" w14:textId="77777777" w:rsidR="00286957" w:rsidRDefault="00286957">
      <w:r>
        <w:t xml:space="preserve"> </w:t>
      </w:r>
    </w:p>
    <w:p w14:paraId="0DC0EB88" w14:textId="77777777" w:rsidR="00286957" w:rsidRDefault="00286957"/>
    <w:p w14:paraId="3D187F59" w14:textId="77777777" w:rsidR="00286957" w:rsidRDefault="00286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D9C7" w14:textId="77777777" w:rsidR="00DB5319" w:rsidRDefault="00DB5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A950" w14:textId="39DB5CE7" w:rsidR="00F8692B" w:rsidRPr="00C47B9D" w:rsidRDefault="00F8692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B62D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E55DA">
          <w:rPr>
            <w:bCs/>
            <w:sz w:val="18"/>
            <w:szCs w:val="18"/>
          </w:rPr>
          <w:t xml:space="preserve">Tucker v Broderick [2022] FCAFC 174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2040" w14:textId="78AB6C5F" w:rsidR="00F8692B" w:rsidRPr="00DB5319" w:rsidRDefault="00F8692B" w:rsidP="00DB53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1F2E" w14:textId="08E935CB" w:rsidR="00F8692B" w:rsidRPr="00C47B9D" w:rsidRDefault="00F8692B"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BCF1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F60726C495534943841C3A1933F98337"/>
        </w:placeholder>
        <w:dataBinding w:prefixMappings="xmlns:ns0='http://schemas.globalmacros.com/FCA'" w:xpath="/ns0:root[1]/ns0:Name[1]" w:storeItemID="{687E7CCB-4AA5-44E7-B148-17BA2B6F57C0}"/>
        <w:text w:multiLine="1"/>
      </w:sdtPr>
      <w:sdtEndPr/>
      <w:sdtContent>
        <w:r w:rsidR="008E55DA">
          <w:rPr>
            <w:bCs/>
            <w:sz w:val="18"/>
            <w:szCs w:val="18"/>
          </w:rPr>
          <w:t xml:space="preserve">Tucker v Broderick [2022] FCAFC 174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1BF8" w14:textId="17385EEC" w:rsidR="00F8692B" w:rsidRPr="00C47B9D" w:rsidRDefault="00F8692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ED11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449B4BE04B934D05866E7E5BC380DDB0"/>
        </w:placeholder>
        <w:dataBinding w:prefixMappings="xmlns:ns0='http://schemas.globalmacros.com/FCA'" w:xpath="/ns0:root[1]/ns0:Name[1]" w:storeItemID="{687E7CCB-4AA5-44E7-B148-17BA2B6F57C0}"/>
        <w:text w:multiLine="1"/>
      </w:sdtPr>
      <w:sdtEndPr/>
      <w:sdtContent>
        <w:r w:rsidR="008E55DA">
          <w:rPr>
            <w:bCs/>
            <w:sz w:val="18"/>
            <w:szCs w:val="18"/>
          </w:rPr>
          <w:t xml:space="preserve">Tucker v Broderick [2022] FCAFC 174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A0443">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15A1" w14:textId="26E400AA" w:rsidR="00F8692B" w:rsidRPr="00C47B9D" w:rsidRDefault="00F8692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8CBF5"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307E69572CF42A0AFE724D8CD79429B"/>
        </w:placeholder>
        <w:dataBinding w:prefixMappings="xmlns:ns0='http://schemas.globalmacros.com/FCA'" w:xpath="/ns0:root[1]/ns0:Name[1]" w:storeItemID="{687E7CCB-4AA5-44E7-B148-17BA2B6F57C0}"/>
        <w:text w:multiLine="1"/>
      </w:sdtPr>
      <w:sdtEndPr/>
      <w:sdtContent>
        <w:r w:rsidR="008E55DA">
          <w:rPr>
            <w:bCs/>
            <w:sz w:val="18"/>
            <w:szCs w:val="18"/>
          </w:rPr>
          <w:t xml:space="preserve">Tucker v Broderick [2022] FCAFC 174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A0443">
      <w:rPr>
        <w:bCs/>
        <w:noProof/>
        <w:sz w:val="20"/>
      </w:rPr>
      <w:t>15</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6228" w14:textId="18AFE8B5" w:rsidR="00F8692B" w:rsidRPr="00C47B9D" w:rsidRDefault="00F8692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A314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7AD75C11133C4280B1C43D855C2362D4"/>
        </w:placeholder>
        <w:dataBinding w:prefixMappings="xmlns:ns0='http://schemas.globalmacros.com/FCA'" w:xpath="/ns0:root[1]/ns0:Name[1]" w:storeItemID="{687E7CCB-4AA5-44E7-B148-17BA2B6F57C0}"/>
        <w:text w:multiLine="1"/>
      </w:sdtPr>
      <w:sdtEndPr/>
      <w:sdtContent>
        <w:r w:rsidR="008E55DA">
          <w:rPr>
            <w:bCs/>
            <w:sz w:val="18"/>
            <w:szCs w:val="18"/>
          </w:rPr>
          <w:t xml:space="preserve">Tucker v Broderick [2022] FCAFC 174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A0443">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E17C2" w14:textId="77777777" w:rsidR="00286957" w:rsidRDefault="00286957"/>
  </w:footnote>
  <w:footnote w:type="continuationSeparator" w:id="0">
    <w:p w14:paraId="1C821879" w14:textId="77777777" w:rsidR="00286957" w:rsidRDefault="00286957">
      <w:r>
        <w:continuationSeparator/>
      </w:r>
    </w:p>
    <w:p w14:paraId="45F1A988" w14:textId="77777777" w:rsidR="00286957" w:rsidRDefault="00286957"/>
    <w:p w14:paraId="63019C7F" w14:textId="77777777" w:rsidR="00286957" w:rsidRDefault="002869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FABA5" w14:textId="77777777" w:rsidR="00DB5319" w:rsidRDefault="00DB5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FD50" w14:textId="77777777" w:rsidR="00DB5319" w:rsidRDefault="00DB5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658B" w14:textId="77777777" w:rsidR="00DB5319" w:rsidRDefault="00DB53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170F" w14:textId="77777777" w:rsidR="00F8692B" w:rsidRDefault="00F8692B">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B3C1" w14:textId="77777777" w:rsidR="00F8692B" w:rsidRDefault="00F8692B">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436A" w14:textId="77777777" w:rsidR="00F8692B" w:rsidRDefault="00F8692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959F" w14:textId="77777777" w:rsidR="00F8692B" w:rsidRDefault="00F8692B">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679A" w14:textId="77777777" w:rsidR="00F8692B" w:rsidRDefault="00F8692B"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581009B"/>
    <w:multiLevelType w:val="hybridMultilevel"/>
    <w:tmpl w:val="361E99C8"/>
    <w:lvl w:ilvl="0" w:tplc="F82C355A">
      <w:start w:val="1"/>
      <w:numFmt w:val="lowerRoman"/>
      <w:lvlText w:val="%1."/>
      <w:lvlJc w:val="left"/>
      <w:pPr>
        <w:ind w:left="2880" w:hanging="720"/>
      </w:pPr>
      <w:rPr>
        <w:rFonts w:hint="default"/>
        <w:sz w:val="22"/>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2F602CEF"/>
    <w:multiLevelType w:val="hybridMultilevel"/>
    <w:tmpl w:val="3658176A"/>
    <w:lvl w:ilvl="0" w:tplc="FDA8BD92">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2273C70"/>
    <w:multiLevelType w:val="hybridMultilevel"/>
    <w:tmpl w:val="C070F904"/>
    <w:lvl w:ilvl="0" w:tplc="65ACF418">
      <w:start w:val="1"/>
      <w:numFmt w:val="lowerRoman"/>
      <w:lvlText w:val="%1."/>
      <w:lvlJc w:val="left"/>
      <w:pPr>
        <w:ind w:left="2880" w:hanging="720"/>
      </w:pPr>
      <w:rPr>
        <w:rFonts w:hint="default"/>
        <w:sz w:val="22"/>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3C041FEB"/>
    <w:multiLevelType w:val="hybridMultilevel"/>
    <w:tmpl w:val="3FF4E2B0"/>
    <w:lvl w:ilvl="0" w:tplc="7A06DE6A">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3" w15:restartNumberingAfterBreak="0">
    <w:nsid w:val="446D3B4B"/>
    <w:multiLevelType w:val="hybridMultilevel"/>
    <w:tmpl w:val="0CE88C36"/>
    <w:lvl w:ilvl="0" w:tplc="22CC6BB8">
      <w:start w:val="9"/>
      <w:numFmt w:val="lowerLetter"/>
      <w:lvlText w:val="%1."/>
      <w:lvlJc w:val="left"/>
      <w:pPr>
        <w:ind w:left="2520" w:hanging="360"/>
      </w:pPr>
      <w:rPr>
        <w:rFonts w:hint="default"/>
        <w:sz w:val="22"/>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4" w15:restartNumberingAfterBreak="0">
    <w:nsid w:val="494817A7"/>
    <w:multiLevelType w:val="multilevel"/>
    <w:tmpl w:val="0F0EC90E"/>
    <w:numStyleLink w:val="FCListNo"/>
  </w:abstractNum>
  <w:abstractNum w:abstractNumId="25"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0964542"/>
    <w:multiLevelType w:val="hybridMultilevel"/>
    <w:tmpl w:val="50181CD8"/>
    <w:lvl w:ilvl="0" w:tplc="47863A1A">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8" w15:restartNumberingAfterBreak="0">
    <w:nsid w:val="53662E5A"/>
    <w:multiLevelType w:val="hybridMultilevel"/>
    <w:tmpl w:val="24005770"/>
    <w:lvl w:ilvl="0" w:tplc="632C167E">
      <w:start w:val="1"/>
      <w:numFmt w:val="lowerRoman"/>
      <w:lvlText w:val="%1."/>
      <w:lvlJc w:val="left"/>
      <w:pPr>
        <w:ind w:left="2880" w:hanging="720"/>
      </w:pPr>
      <w:rPr>
        <w:rFonts w:hint="default"/>
        <w:sz w:val="22"/>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9" w15:restartNumberingAfterBreak="0">
    <w:nsid w:val="650D718D"/>
    <w:multiLevelType w:val="hybridMultilevel"/>
    <w:tmpl w:val="DAEE8DAE"/>
    <w:lvl w:ilvl="0" w:tplc="662C1DA0">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2"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5"/>
  </w:num>
  <w:num w:numId="14">
    <w:abstractNumId w:val="26"/>
  </w:num>
  <w:num w:numId="15">
    <w:abstractNumId w:val="32"/>
  </w:num>
  <w:num w:numId="16">
    <w:abstractNumId w:val="13"/>
  </w:num>
  <w:num w:numId="17">
    <w:abstractNumId w:val="31"/>
  </w:num>
  <w:num w:numId="18">
    <w:abstractNumId w:val="11"/>
  </w:num>
  <w:num w:numId="19">
    <w:abstractNumId w:val="21"/>
  </w:num>
  <w:num w:numId="20">
    <w:abstractNumId w:val="16"/>
  </w:num>
  <w:num w:numId="21">
    <w:abstractNumId w:val="17"/>
  </w:num>
  <w:num w:numId="22">
    <w:abstractNumId w:val="24"/>
  </w:num>
  <w:num w:numId="23">
    <w:abstractNumId w:val="10"/>
  </w:num>
  <w:num w:numId="24">
    <w:abstractNumId w:val="10"/>
  </w:num>
  <w:num w:numId="25">
    <w:abstractNumId w:val="12"/>
  </w:num>
  <w:num w:numId="26">
    <w:abstractNumId w:val="20"/>
  </w:num>
  <w:num w:numId="27">
    <w:abstractNumId w:val="20"/>
  </w:num>
  <w:num w:numId="28">
    <w:abstractNumId w:val="20"/>
  </w:num>
  <w:num w:numId="29">
    <w:abstractNumId w:val="29"/>
  </w:num>
  <w:num w:numId="30">
    <w:abstractNumId w:val="22"/>
  </w:num>
  <w:num w:numId="31">
    <w:abstractNumId w:val="18"/>
  </w:num>
  <w:num w:numId="32">
    <w:abstractNumId w:val="27"/>
  </w:num>
  <w:num w:numId="33">
    <w:abstractNumId w:val="14"/>
  </w:num>
  <w:num w:numId="34">
    <w:abstractNumId w:val="28"/>
  </w:num>
  <w:num w:numId="35">
    <w:abstractNumId w:val="23"/>
  </w:num>
  <w:num w:numId="36">
    <w:abstractNumId w:val="19"/>
  </w:num>
  <w:num w:numId="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num>
  <w:num w:numId="45">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r Tobias Tucker"/>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775 of 2021"/>
    <w:docVar w:name="Initiators" w:val="(and another named in the Schedule)"/>
    <w:docVar w:name="Judgdate" w:val="###"/>
    <w:docVar w:name="Judge" w:val="Bromberg, Bromwich and McEvoy JJ"/>
    <w:docVar w:name="JudgeType" w:val="Justices"/>
    <w:docVar w:name="lstEntryList" w:val="-1"/>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Melbourne"/>
    <w:docVar w:name="PracticeArea" w:val="Employment and Industrial Relations"/>
    <w:docVar w:name="RESAndAnother" w:val="True"/>
    <w:docVar w:name="RESAndOthers" w:val="False"/>
    <w:docVar w:name="Respondent" w:val="Mr Paul Broderick (sued in his capacity as commissioner of State Revenue)|The State of Victoria"/>
    <w:docVar w:name="ResState" w:val="Victoria"/>
    <w:docVar w:name="SubArea" w:val="(none)"/>
  </w:docVars>
  <w:rsids>
    <w:rsidRoot w:val="00886521"/>
    <w:rsid w:val="00000747"/>
    <w:rsid w:val="00010C6C"/>
    <w:rsid w:val="000115C5"/>
    <w:rsid w:val="0001469E"/>
    <w:rsid w:val="00015993"/>
    <w:rsid w:val="00021CCB"/>
    <w:rsid w:val="00022289"/>
    <w:rsid w:val="000237E9"/>
    <w:rsid w:val="00027398"/>
    <w:rsid w:val="0003201A"/>
    <w:rsid w:val="0003207A"/>
    <w:rsid w:val="00032F9F"/>
    <w:rsid w:val="00037308"/>
    <w:rsid w:val="00041C07"/>
    <w:rsid w:val="00045BB7"/>
    <w:rsid w:val="00046F98"/>
    <w:rsid w:val="00055719"/>
    <w:rsid w:val="0005641B"/>
    <w:rsid w:val="0006196A"/>
    <w:rsid w:val="000650F0"/>
    <w:rsid w:val="00067F3C"/>
    <w:rsid w:val="00071FB3"/>
    <w:rsid w:val="00077768"/>
    <w:rsid w:val="00077CE9"/>
    <w:rsid w:val="00081497"/>
    <w:rsid w:val="000831EC"/>
    <w:rsid w:val="000840B5"/>
    <w:rsid w:val="00084126"/>
    <w:rsid w:val="00085255"/>
    <w:rsid w:val="000874F1"/>
    <w:rsid w:val="000A2E76"/>
    <w:rsid w:val="000A4807"/>
    <w:rsid w:val="000A4BE4"/>
    <w:rsid w:val="000B4372"/>
    <w:rsid w:val="000C023E"/>
    <w:rsid w:val="000C1DA6"/>
    <w:rsid w:val="000C405D"/>
    <w:rsid w:val="000C5195"/>
    <w:rsid w:val="000C62EF"/>
    <w:rsid w:val="000D2137"/>
    <w:rsid w:val="000D3FD2"/>
    <w:rsid w:val="000D4B2E"/>
    <w:rsid w:val="000D6B3C"/>
    <w:rsid w:val="000E24E4"/>
    <w:rsid w:val="000E3FC8"/>
    <w:rsid w:val="000E7BAE"/>
    <w:rsid w:val="000F133D"/>
    <w:rsid w:val="000F1431"/>
    <w:rsid w:val="00102564"/>
    <w:rsid w:val="0010536B"/>
    <w:rsid w:val="00106792"/>
    <w:rsid w:val="0011145C"/>
    <w:rsid w:val="001128BD"/>
    <w:rsid w:val="0011419D"/>
    <w:rsid w:val="00114B02"/>
    <w:rsid w:val="001226C0"/>
    <w:rsid w:val="00126EC8"/>
    <w:rsid w:val="0012731C"/>
    <w:rsid w:val="00132054"/>
    <w:rsid w:val="00134964"/>
    <w:rsid w:val="001351B9"/>
    <w:rsid w:val="001416D4"/>
    <w:rsid w:val="00155CD2"/>
    <w:rsid w:val="00166956"/>
    <w:rsid w:val="001727A4"/>
    <w:rsid w:val="0017376C"/>
    <w:rsid w:val="001738AB"/>
    <w:rsid w:val="001765E0"/>
    <w:rsid w:val="00177759"/>
    <w:rsid w:val="00180BB3"/>
    <w:rsid w:val="001819A7"/>
    <w:rsid w:val="0018302B"/>
    <w:rsid w:val="00185DD6"/>
    <w:rsid w:val="00185E6B"/>
    <w:rsid w:val="00187BBC"/>
    <w:rsid w:val="001932F3"/>
    <w:rsid w:val="001A0843"/>
    <w:rsid w:val="001A2B40"/>
    <w:rsid w:val="001A4309"/>
    <w:rsid w:val="001A46AE"/>
    <w:rsid w:val="001A6C52"/>
    <w:rsid w:val="001A776A"/>
    <w:rsid w:val="001B1053"/>
    <w:rsid w:val="001B14AC"/>
    <w:rsid w:val="001B7940"/>
    <w:rsid w:val="001C171A"/>
    <w:rsid w:val="001C2BFA"/>
    <w:rsid w:val="001C2FE0"/>
    <w:rsid w:val="001C37CA"/>
    <w:rsid w:val="001C4085"/>
    <w:rsid w:val="001C40CC"/>
    <w:rsid w:val="001D4303"/>
    <w:rsid w:val="001D4847"/>
    <w:rsid w:val="001D4AF3"/>
    <w:rsid w:val="001D6746"/>
    <w:rsid w:val="001E0C61"/>
    <w:rsid w:val="001E10F8"/>
    <w:rsid w:val="001E1246"/>
    <w:rsid w:val="001E1757"/>
    <w:rsid w:val="001E20DA"/>
    <w:rsid w:val="001E3B49"/>
    <w:rsid w:val="001E4A05"/>
    <w:rsid w:val="001E6A19"/>
    <w:rsid w:val="001E7388"/>
    <w:rsid w:val="001F13DD"/>
    <w:rsid w:val="001F2473"/>
    <w:rsid w:val="001F2DBC"/>
    <w:rsid w:val="001F73E8"/>
    <w:rsid w:val="0020213E"/>
    <w:rsid w:val="0020262C"/>
    <w:rsid w:val="00202723"/>
    <w:rsid w:val="00211A3E"/>
    <w:rsid w:val="00213F20"/>
    <w:rsid w:val="00214055"/>
    <w:rsid w:val="00215BCA"/>
    <w:rsid w:val="002160F5"/>
    <w:rsid w:val="00217967"/>
    <w:rsid w:val="00217AC4"/>
    <w:rsid w:val="00221461"/>
    <w:rsid w:val="0022346D"/>
    <w:rsid w:val="00224537"/>
    <w:rsid w:val="00231FED"/>
    <w:rsid w:val="00233331"/>
    <w:rsid w:val="00235956"/>
    <w:rsid w:val="00243E5E"/>
    <w:rsid w:val="002467A6"/>
    <w:rsid w:val="00247C9A"/>
    <w:rsid w:val="0025160C"/>
    <w:rsid w:val="002535D0"/>
    <w:rsid w:val="002539B3"/>
    <w:rsid w:val="00256336"/>
    <w:rsid w:val="00257C3E"/>
    <w:rsid w:val="00257D36"/>
    <w:rsid w:val="002602C2"/>
    <w:rsid w:val="00266323"/>
    <w:rsid w:val="002666C9"/>
    <w:rsid w:val="00270136"/>
    <w:rsid w:val="00270FD7"/>
    <w:rsid w:val="00272BE3"/>
    <w:rsid w:val="00274F5B"/>
    <w:rsid w:val="00280836"/>
    <w:rsid w:val="002827AD"/>
    <w:rsid w:val="00282E1A"/>
    <w:rsid w:val="002840F1"/>
    <w:rsid w:val="00285922"/>
    <w:rsid w:val="00286957"/>
    <w:rsid w:val="0029113B"/>
    <w:rsid w:val="00291532"/>
    <w:rsid w:val="002934C0"/>
    <w:rsid w:val="00293E1F"/>
    <w:rsid w:val="0029764C"/>
    <w:rsid w:val="002A1B50"/>
    <w:rsid w:val="002A2E7F"/>
    <w:rsid w:val="002B027E"/>
    <w:rsid w:val="002B0E91"/>
    <w:rsid w:val="002B132C"/>
    <w:rsid w:val="002B3F23"/>
    <w:rsid w:val="002B4EB5"/>
    <w:rsid w:val="002B5AF5"/>
    <w:rsid w:val="002B6779"/>
    <w:rsid w:val="002B71C0"/>
    <w:rsid w:val="002B7A34"/>
    <w:rsid w:val="002C31AD"/>
    <w:rsid w:val="002C3392"/>
    <w:rsid w:val="002C51CE"/>
    <w:rsid w:val="002C53BD"/>
    <w:rsid w:val="002C7385"/>
    <w:rsid w:val="002D2DBB"/>
    <w:rsid w:val="002D37D8"/>
    <w:rsid w:val="002D41E5"/>
    <w:rsid w:val="002D54A6"/>
    <w:rsid w:val="002E3779"/>
    <w:rsid w:val="002E5BF9"/>
    <w:rsid w:val="002E6A7A"/>
    <w:rsid w:val="002F1E49"/>
    <w:rsid w:val="002F232D"/>
    <w:rsid w:val="002F4E9C"/>
    <w:rsid w:val="002F6E15"/>
    <w:rsid w:val="00302F4E"/>
    <w:rsid w:val="0031256C"/>
    <w:rsid w:val="00314D6C"/>
    <w:rsid w:val="00315D3D"/>
    <w:rsid w:val="00316D2A"/>
    <w:rsid w:val="00322A7C"/>
    <w:rsid w:val="00322EEC"/>
    <w:rsid w:val="00323061"/>
    <w:rsid w:val="00330262"/>
    <w:rsid w:val="003402D3"/>
    <w:rsid w:val="0034068E"/>
    <w:rsid w:val="00343ABC"/>
    <w:rsid w:val="003463FE"/>
    <w:rsid w:val="003472FC"/>
    <w:rsid w:val="00347D41"/>
    <w:rsid w:val="003503D5"/>
    <w:rsid w:val="00354276"/>
    <w:rsid w:val="003554B3"/>
    <w:rsid w:val="00356632"/>
    <w:rsid w:val="00357C7E"/>
    <w:rsid w:val="003653B6"/>
    <w:rsid w:val="00370327"/>
    <w:rsid w:val="00374CC4"/>
    <w:rsid w:val="003774B2"/>
    <w:rsid w:val="00380F2D"/>
    <w:rsid w:val="003815B5"/>
    <w:rsid w:val="003845A9"/>
    <w:rsid w:val="003850C9"/>
    <w:rsid w:val="00390883"/>
    <w:rsid w:val="003922F8"/>
    <w:rsid w:val="00395B24"/>
    <w:rsid w:val="003A0443"/>
    <w:rsid w:val="003A2D38"/>
    <w:rsid w:val="003A4318"/>
    <w:rsid w:val="003A7ECC"/>
    <w:rsid w:val="003B2C72"/>
    <w:rsid w:val="003B3476"/>
    <w:rsid w:val="003B58B4"/>
    <w:rsid w:val="003C1333"/>
    <w:rsid w:val="003C20FF"/>
    <w:rsid w:val="003C550A"/>
    <w:rsid w:val="003C6055"/>
    <w:rsid w:val="003D2650"/>
    <w:rsid w:val="003D560C"/>
    <w:rsid w:val="003D5C00"/>
    <w:rsid w:val="003E2CE8"/>
    <w:rsid w:val="003E3154"/>
    <w:rsid w:val="003E5874"/>
    <w:rsid w:val="003E72D3"/>
    <w:rsid w:val="003F193E"/>
    <w:rsid w:val="003F242C"/>
    <w:rsid w:val="003F34F1"/>
    <w:rsid w:val="003F3A6A"/>
    <w:rsid w:val="003F4C1F"/>
    <w:rsid w:val="004031D8"/>
    <w:rsid w:val="004104B6"/>
    <w:rsid w:val="00411AE8"/>
    <w:rsid w:val="00413B74"/>
    <w:rsid w:val="00414CD2"/>
    <w:rsid w:val="00425E0B"/>
    <w:rsid w:val="004333BA"/>
    <w:rsid w:val="0043354B"/>
    <w:rsid w:val="004342F3"/>
    <w:rsid w:val="00435C5F"/>
    <w:rsid w:val="00436155"/>
    <w:rsid w:val="00436460"/>
    <w:rsid w:val="00441E98"/>
    <w:rsid w:val="004425E4"/>
    <w:rsid w:val="00450F3A"/>
    <w:rsid w:val="004532F7"/>
    <w:rsid w:val="004556B1"/>
    <w:rsid w:val="00464D51"/>
    <w:rsid w:val="00472027"/>
    <w:rsid w:val="004804CF"/>
    <w:rsid w:val="00483314"/>
    <w:rsid w:val="00484962"/>
    <w:rsid w:val="00484F6D"/>
    <w:rsid w:val="00484FB7"/>
    <w:rsid w:val="0048554D"/>
    <w:rsid w:val="0049338A"/>
    <w:rsid w:val="00493A31"/>
    <w:rsid w:val="0049417F"/>
    <w:rsid w:val="00496D41"/>
    <w:rsid w:val="004A6602"/>
    <w:rsid w:val="004A7260"/>
    <w:rsid w:val="004B108E"/>
    <w:rsid w:val="004B3EFA"/>
    <w:rsid w:val="004B712B"/>
    <w:rsid w:val="004C1623"/>
    <w:rsid w:val="004C2A87"/>
    <w:rsid w:val="004C4D7B"/>
    <w:rsid w:val="004C4ED3"/>
    <w:rsid w:val="004C64E9"/>
    <w:rsid w:val="004C667B"/>
    <w:rsid w:val="004C7ECD"/>
    <w:rsid w:val="004D2EA5"/>
    <w:rsid w:val="004D30F4"/>
    <w:rsid w:val="004D32A6"/>
    <w:rsid w:val="004D53E5"/>
    <w:rsid w:val="004D7950"/>
    <w:rsid w:val="004E6DC4"/>
    <w:rsid w:val="004F21C1"/>
    <w:rsid w:val="00501A12"/>
    <w:rsid w:val="00501F85"/>
    <w:rsid w:val="0050309C"/>
    <w:rsid w:val="0050335D"/>
    <w:rsid w:val="0051327C"/>
    <w:rsid w:val="0051346D"/>
    <w:rsid w:val="00513EAE"/>
    <w:rsid w:val="00513FAE"/>
    <w:rsid w:val="0051434F"/>
    <w:rsid w:val="00516806"/>
    <w:rsid w:val="0052098C"/>
    <w:rsid w:val="00525A49"/>
    <w:rsid w:val="005262D1"/>
    <w:rsid w:val="00530876"/>
    <w:rsid w:val="00535613"/>
    <w:rsid w:val="005359EB"/>
    <w:rsid w:val="005379C4"/>
    <w:rsid w:val="0054254A"/>
    <w:rsid w:val="0054500B"/>
    <w:rsid w:val="00545572"/>
    <w:rsid w:val="005466B5"/>
    <w:rsid w:val="00554314"/>
    <w:rsid w:val="005614D6"/>
    <w:rsid w:val="00562829"/>
    <w:rsid w:val="005629B3"/>
    <w:rsid w:val="005658D6"/>
    <w:rsid w:val="0057128A"/>
    <w:rsid w:val="005724F6"/>
    <w:rsid w:val="00572A18"/>
    <w:rsid w:val="00573AC4"/>
    <w:rsid w:val="005801FC"/>
    <w:rsid w:val="005814D7"/>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1E5"/>
    <w:rsid w:val="005E35A0"/>
    <w:rsid w:val="005F0D1B"/>
    <w:rsid w:val="005F1865"/>
    <w:rsid w:val="005F265E"/>
    <w:rsid w:val="006007BD"/>
    <w:rsid w:val="006013C8"/>
    <w:rsid w:val="006022FC"/>
    <w:rsid w:val="0060270D"/>
    <w:rsid w:val="00604342"/>
    <w:rsid w:val="00604611"/>
    <w:rsid w:val="00606F63"/>
    <w:rsid w:val="006078B9"/>
    <w:rsid w:val="00611586"/>
    <w:rsid w:val="00612D26"/>
    <w:rsid w:val="00615855"/>
    <w:rsid w:val="00620DA8"/>
    <w:rsid w:val="00621887"/>
    <w:rsid w:val="00624520"/>
    <w:rsid w:val="006271F5"/>
    <w:rsid w:val="00632300"/>
    <w:rsid w:val="00632BB7"/>
    <w:rsid w:val="006346F9"/>
    <w:rsid w:val="00635B36"/>
    <w:rsid w:val="00636871"/>
    <w:rsid w:val="00640EE1"/>
    <w:rsid w:val="00640F4E"/>
    <w:rsid w:val="00643DE0"/>
    <w:rsid w:val="0064437D"/>
    <w:rsid w:val="00644E85"/>
    <w:rsid w:val="006455F3"/>
    <w:rsid w:val="00650BA7"/>
    <w:rsid w:val="006516D8"/>
    <w:rsid w:val="00652C52"/>
    <w:rsid w:val="0066063F"/>
    <w:rsid w:val="00662BB0"/>
    <w:rsid w:val="00663878"/>
    <w:rsid w:val="00667773"/>
    <w:rsid w:val="00670743"/>
    <w:rsid w:val="00670D73"/>
    <w:rsid w:val="00680A85"/>
    <w:rsid w:val="0068172B"/>
    <w:rsid w:val="00681ADF"/>
    <w:rsid w:val="00682CAF"/>
    <w:rsid w:val="00684B02"/>
    <w:rsid w:val="00690EE2"/>
    <w:rsid w:val="00693854"/>
    <w:rsid w:val="00694BEB"/>
    <w:rsid w:val="006A0E20"/>
    <w:rsid w:val="006A24E3"/>
    <w:rsid w:val="006A5695"/>
    <w:rsid w:val="006A708E"/>
    <w:rsid w:val="006B0439"/>
    <w:rsid w:val="006B3904"/>
    <w:rsid w:val="006B5B7D"/>
    <w:rsid w:val="006B6148"/>
    <w:rsid w:val="006C09CA"/>
    <w:rsid w:val="006C2295"/>
    <w:rsid w:val="006C5B46"/>
    <w:rsid w:val="006C6E39"/>
    <w:rsid w:val="006D0ECF"/>
    <w:rsid w:val="006D3D5B"/>
    <w:rsid w:val="006D4C92"/>
    <w:rsid w:val="006D4EB6"/>
    <w:rsid w:val="006D7143"/>
    <w:rsid w:val="006D7FBC"/>
    <w:rsid w:val="006E35BF"/>
    <w:rsid w:val="006E7850"/>
    <w:rsid w:val="006F19D8"/>
    <w:rsid w:val="006F3BF3"/>
    <w:rsid w:val="006F46D6"/>
    <w:rsid w:val="006F4BBB"/>
    <w:rsid w:val="007028D9"/>
    <w:rsid w:val="0070402A"/>
    <w:rsid w:val="00707218"/>
    <w:rsid w:val="00710D04"/>
    <w:rsid w:val="00712B1D"/>
    <w:rsid w:val="00713909"/>
    <w:rsid w:val="00715751"/>
    <w:rsid w:val="007171BA"/>
    <w:rsid w:val="00717616"/>
    <w:rsid w:val="007202D9"/>
    <w:rsid w:val="00726B7D"/>
    <w:rsid w:val="007325D9"/>
    <w:rsid w:val="0073413F"/>
    <w:rsid w:val="0073583B"/>
    <w:rsid w:val="007360CA"/>
    <w:rsid w:val="00740CFD"/>
    <w:rsid w:val="00741E9D"/>
    <w:rsid w:val="0074667B"/>
    <w:rsid w:val="007470BD"/>
    <w:rsid w:val="0075765A"/>
    <w:rsid w:val="00760EC0"/>
    <w:rsid w:val="00763F9E"/>
    <w:rsid w:val="007711BD"/>
    <w:rsid w:val="007741E8"/>
    <w:rsid w:val="00775627"/>
    <w:rsid w:val="0078003A"/>
    <w:rsid w:val="00780771"/>
    <w:rsid w:val="007929CF"/>
    <w:rsid w:val="00797BA8"/>
    <w:rsid w:val="007A0761"/>
    <w:rsid w:val="007A081D"/>
    <w:rsid w:val="007A2D8E"/>
    <w:rsid w:val="007A49E7"/>
    <w:rsid w:val="007A699C"/>
    <w:rsid w:val="007A6F28"/>
    <w:rsid w:val="007B03C6"/>
    <w:rsid w:val="007B0DB1"/>
    <w:rsid w:val="007B5673"/>
    <w:rsid w:val="007B598C"/>
    <w:rsid w:val="007B7026"/>
    <w:rsid w:val="007B7238"/>
    <w:rsid w:val="007B72AF"/>
    <w:rsid w:val="007B76FF"/>
    <w:rsid w:val="007C004C"/>
    <w:rsid w:val="007C3BF6"/>
    <w:rsid w:val="007C60E3"/>
    <w:rsid w:val="007C67B3"/>
    <w:rsid w:val="007D0FD2"/>
    <w:rsid w:val="007D2EF8"/>
    <w:rsid w:val="007D561F"/>
    <w:rsid w:val="007D7FD2"/>
    <w:rsid w:val="007E13D9"/>
    <w:rsid w:val="007E22C6"/>
    <w:rsid w:val="007E2AEC"/>
    <w:rsid w:val="007E41BE"/>
    <w:rsid w:val="007E4DB6"/>
    <w:rsid w:val="007E6733"/>
    <w:rsid w:val="007E7CD4"/>
    <w:rsid w:val="007F12AC"/>
    <w:rsid w:val="007F4501"/>
    <w:rsid w:val="007F60DF"/>
    <w:rsid w:val="00801800"/>
    <w:rsid w:val="00801861"/>
    <w:rsid w:val="00801B5B"/>
    <w:rsid w:val="00805A30"/>
    <w:rsid w:val="00806434"/>
    <w:rsid w:val="0081695B"/>
    <w:rsid w:val="008216E7"/>
    <w:rsid w:val="00825BE6"/>
    <w:rsid w:val="008276B4"/>
    <w:rsid w:val="008305DE"/>
    <w:rsid w:val="00831927"/>
    <w:rsid w:val="00831BBC"/>
    <w:rsid w:val="00837288"/>
    <w:rsid w:val="00841BD3"/>
    <w:rsid w:val="0084273D"/>
    <w:rsid w:val="0084393A"/>
    <w:rsid w:val="00844E3F"/>
    <w:rsid w:val="00845A83"/>
    <w:rsid w:val="00846BB9"/>
    <w:rsid w:val="008626C9"/>
    <w:rsid w:val="00863BF2"/>
    <w:rsid w:val="008649D5"/>
    <w:rsid w:val="00866D48"/>
    <w:rsid w:val="008712BB"/>
    <w:rsid w:val="0087289E"/>
    <w:rsid w:val="008772EC"/>
    <w:rsid w:val="00881F5D"/>
    <w:rsid w:val="008830E7"/>
    <w:rsid w:val="00886521"/>
    <w:rsid w:val="00890EDE"/>
    <w:rsid w:val="00892B38"/>
    <w:rsid w:val="00893BC3"/>
    <w:rsid w:val="00897056"/>
    <w:rsid w:val="008A1741"/>
    <w:rsid w:val="008A2484"/>
    <w:rsid w:val="008A52F3"/>
    <w:rsid w:val="008B594E"/>
    <w:rsid w:val="008B7047"/>
    <w:rsid w:val="008C26D9"/>
    <w:rsid w:val="008C6D50"/>
    <w:rsid w:val="008C7167"/>
    <w:rsid w:val="008C7503"/>
    <w:rsid w:val="008D1617"/>
    <w:rsid w:val="008D330F"/>
    <w:rsid w:val="008D48C1"/>
    <w:rsid w:val="008E55DA"/>
    <w:rsid w:val="008E6315"/>
    <w:rsid w:val="008F0480"/>
    <w:rsid w:val="008F07FC"/>
    <w:rsid w:val="008F11E0"/>
    <w:rsid w:val="008F3EA7"/>
    <w:rsid w:val="008F76C9"/>
    <w:rsid w:val="008F78BC"/>
    <w:rsid w:val="008F7B63"/>
    <w:rsid w:val="008F7D6A"/>
    <w:rsid w:val="00901C86"/>
    <w:rsid w:val="00903603"/>
    <w:rsid w:val="00904A1A"/>
    <w:rsid w:val="00904E15"/>
    <w:rsid w:val="009054CB"/>
    <w:rsid w:val="00911F8D"/>
    <w:rsid w:val="00912F94"/>
    <w:rsid w:val="009171BC"/>
    <w:rsid w:val="00917F03"/>
    <w:rsid w:val="00922461"/>
    <w:rsid w:val="0092497E"/>
    <w:rsid w:val="0092590B"/>
    <w:rsid w:val="00925BF3"/>
    <w:rsid w:val="00925E60"/>
    <w:rsid w:val="009264B3"/>
    <w:rsid w:val="00931E4C"/>
    <w:rsid w:val="009365E0"/>
    <w:rsid w:val="00940357"/>
    <w:rsid w:val="00942BA2"/>
    <w:rsid w:val="009432B7"/>
    <w:rsid w:val="00944C86"/>
    <w:rsid w:val="00945EE8"/>
    <w:rsid w:val="00947C02"/>
    <w:rsid w:val="00950BE6"/>
    <w:rsid w:val="00951112"/>
    <w:rsid w:val="00957DE8"/>
    <w:rsid w:val="00960ECB"/>
    <w:rsid w:val="009615D6"/>
    <w:rsid w:val="00965204"/>
    <w:rsid w:val="00965AA5"/>
    <w:rsid w:val="00967855"/>
    <w:rsid w:val="00971CD1"/>
    <w:rsid w:val="00971ECA"/>
    <w:rsid w:val="00974709"/>
    <w:rsid w:val="00974E8A"/>
    <w:rsid w:val="009801AE"/>
    <w:rsid w:val="00980736"/>
    <w:rsid w:val="009813D3"/>
    <w:rsid w:val="00981A39"/>
    <w:rsid w:val="00982D56"/>
    <w:rsid w:val="00983DBF"/>
    <w:rsid w:val="00987097"/>
    <w:rsid w:val="00991123"/>
    <w:rsid w:val="00991CAB"/>
    <w:rsid w:val="009A3A9C"/>
    <w:rsid w:val="009B046C"/>
    <w:rsid w:val="009B13FA"/>
    <w:rsid w:val="009B1E2D"/>
    <w:rsid w:val="009C59FB"/>
    <w:rsid w:val="009C6F3B"/>
    <w:rsid w:val="009D082E"/>
    <w:rsid w:val="009D1467"/>
    <w:rsid w:val="009D328D"/>
    <w:rsid w:val="009E4FA6"/>
    <w:rsid w:val="009E6059"/>
    <w:rsid w:val="009E627B"/>
    <w:rsid w:val="009E7D93"/>
    <w:rsid w:val="009F3C34"/>
    <w:rsid w:val="009F462C"/>
    <w:rsid w:val="009F5C33"/>
    <w:rsid w:val="009F6AAA"/>
    <w:rsid w:val="00A026F0"/>
    <w:rsid w:val="00A03EAC"/>
    <w:rsid w:val="00A04DBB"/>
    <w:rsid w:val="00A07EA0"/>
    <w:rsid w:val="00A11CA6"/>
    <w:rsid w:val="00A20C49"/>
    <w:rsid w:val="00A22932"/>
    <w:rsid w:val="00A269CA"/>
    <w:rsid w:val="00A336EE"/>
    <w:rsid w:val="00A33958"/>
    <w:rsid w:val="00A33F46"/>
    <w:rsid w:val="00A3427E"/>
    <w:rsid w:val="00A359AC"/>
    <w:rsid w:val="00A40F83"/>
    <w:rsid w:val="00A410FB"/>
    <w:rsid w:val="00A41413"/>
    <w:rsid w:val="00A418F2"/>
    <w:rsid w:val="00A431E6"/>
    <w:rsid w:val="00A436E8"/>
    <w:rsid w:val="00A43DD1"/>
    <w:rsid w:val="00A45FB1"/>
    <w:rsid w:val="00A46A0F"/>
    <w:rsid w:val="00A46CCC"/>
    <w:rsid w:val="00A47996"/>
    <w:rsid w:val="00A51CFE"/>
    <w:rsid w:val="00A5204D"/>
    <w:rsid w:val="00A52212"/>
    <w:rsid w:val="00A52F9D"/>
    <w:rsid w:val="00A56E77"/>
    <w:rsid w:val="00A61605"/>
    <w:rsid w:val="00A65F97"/>
    <w:rsid w:val="00A73B04"/>
    <w:rsid w:val="00A76C13"/>
    <w:rsid w:val="00A84FD0"/>
    <w:rsid w:val="00A90E3B"/>
    <w:rsid w:val="00A92E79"/>
    <w:rsid w:val="00A950B6"/>
    <w:rsid w:val="00A95D45"/>
    <w:rsid w:val="00A977F4"/>
    <w:rsid w:val="00AA1508"/>
    <w:rsid w:val="00AA2A0D"/>
    <w:rsid w:val="00AA33CB"/>
    <w:rsid w:val="00AA3EA8"/>
    <w:rsid w:val="00AB0791"/>
    <w:rsid w:val="00AB0FB3"/>
    <w:rsid w:val="00AB1FF5"/>
    <w:rsid w:val="00AB41C1"/>
    <w:rsid w:val="00AB4CF2"/>
    <w:rsid w:val="00AB6CCA"/>
    <w:rsid w:val="00AC011A"/>
    <w:rsid w:val="00AC223F"/>
    <w:rsid w:val="00AC33B1"/>
    <w:rsid w:val="00AC40A0"/>
    <w:rsid w:val="00AD1160"/>
    <w:rsid w:val="00AD12A8"/>
    <w:rsid w:val="00AE023F"/>
    <w:rsid w:val="00AF3577"/>
    <w:rsid w:val="00AF35F9"/>
    <w:rsid w:val="00AF4DD4"/>
    <w:rsid w:val="00B002A8"/>
    <w:rsid w:val="00B00830"/>
    <w:rsid w:val="00B03576"/>
    <w:rsid w:val="00B0424C"/>
    <w:rsid w:val="00B0451B"/>
    <w:rsid w:val="00B05C7D"/>
    <w:rsid w:val="00B15D57"/>
    <w:rsid w:val="00B16347"/>
    <w:rsid w:val="00B17D6E"/>
    <w:rsid w:val="00B2435E"/>
    <w:rsid w:val="00B346C3"/>
    <w:rsid w:val="00B34F73"/>
    <w:rsid w:val="00B4005C"/>
    <w:rsid w:val="00B412CF"/>
    <w:rsid w:val="00B4227E"/>
    <w:rsid w:val="00B4471C"/>
    <w:rsid w:val="00B451A6"/>
    <w:rsid w:val="00B46A69"/>
    <w:rsid w:val="00B56D6E"/>
    <w:rsid w:val="00B61A57"/>
    <w:rsid w:val="00B62E10"/>
    <w:rsid w:val="00B63346"/>
    <w:rsid w:val="00B64347"/>
    <w:rsid w:val="00B65DC6"/>
    <w:rsid w:val="00B67AC2"/>
    <w:rsid w:val="00B722DE"/>
    <w:rsid w:val="00B751E3"/>
    <w:rsid w:val="00B75BA6"/>
    <w:rsid w:val="00B76C44"/>
    <w:rsid w:val="00B8184A"/>
    <w:rsid w:val="00B82283"/>
    <w:rsid w:val="00B828D8"/>
    <w:rsid w:val="00B83F87"/>
    <w:rsid w:val="00B85EDD"/>
    <w:rsid w:val="00B87CDC"/>
    <w:rsid w:val="00B910C1"/>
    <w:rsid w:val="00BA1B62"/>
    <w:rsid w:val="00BA1B76"/>
    <w:rsid w:val="00BA2CA4"/>
    <w:rsid w:val="00BA2EFA"/>
    <w:rsid w:val="00BA3DBC"/>
    <w:rsid w:val="00BA448A"/>
    <w:rsid w:val="00BA707A"/>
    <w:rsid w:val="00BB1AFB"/>
    <w:rsid w:val="00BB27AE"/>
    <w:rsid w:val="00BB2DA2"/>
    <w:rsid w:val="00BB56DC"/>
    <w:rsid w:val="00BC3FB1"/>
    <w:rsid w:val="00BD1E35"/>
    <w:rsid w:val="00BE183D"/>
    <w:rsid w:val="00BF24C2"/>
    <w:rsid w:val="00BF2922"/>
    <w:rsid w:val="00BF5D7A"/>
    <w:rsid w:val="00C01C2E"/>
    <w:rsid w:val="00C02D33"/>
    <w:rsid w:val="00C04B53"/>
    <w:rsid w:val="00C12117"/>
    <w:rsid w:val="00C1232C"/>
    <w:rsid w:val="00C17569"/>
    <w:rsid w:val="00C27C6B"/>
    <w:rsid w:val="00C3594D"/>
    <w:rsid w:val="00C36442"/>
    <w:rsid w:val="00C400CE"/>
    <w:rsid w:val="00C410FD"/>
    <w:rsid w:val="00C457DE"/>
    <w:rsid w:val="00C47DD3"/>
    <w:rsid w:val="00C5316F"/>
    <w:rsid w:val="00C53562"/>
    <w:rsid w:val="00C539FB"/>
    <w:rsid w:val="00C57B1B"/>
    <w:rsid w:val="00C66AA3"/>
    <w:rsid w:val="00C66E57"/>
    <w:rsid w:val="00C724D7"/>
    <w:rsid w:val="00C74150"/>
    <w:rsid w:val="00C742B0"/>
    <w:rsid w:val="00C746AC"/>
    <w:rsid w:val="00C753DC"/>
    <w:rsid w:val="00C75594"/>
    <w:rsid w:val="00C85982"/>
    <w:rsid w:val="00CA0466"/>
    <w:rsid w:val="00CA246D"/>
    <w:rsid w:val="00CA50D9"/>
    <w:rsid w:val="00CB3054"/>
    <w:rsid w:val="00CB4B5A"/>
    <w:rsid w:val="00CB5636"/>
    <w:rsid w:val="00CB5F30"/>
    <w:rsid w:val="00CB79CA"/>
    <w:rsid w:val="00CC3EE5"/>
    <w:rsid w:val="00CC6E47"/>
    <w:rsid w:val="00CD1346"/>
    <w:rsid w:val="00CD7980"/>
    <w:rsid w:val="00CE425C"/>
    <w:rsid w:val="00CE551E"/>
    <w:rsid w:val="00CE556A"/>
    <w:rsid w:val="00CE58AC"/>
    <w:rsid w:val="00CE6202"/>
    <w:rsid w:val="00CF3DA7"/>
    <w:rsid w:val="00CF5A80"/>
    <w:rsid w:val="00D01F18"/>
    <w:rsid w:val="00D045EE"/>
    <w:rsid w:val="00D05091"/>
    <w:rsid w:val="00D10CA6"/>
    <w:rsid w:val="00D10F21"/>
    <w:rsid w:val="00D134CF"/>
    <w:rsid w:val="00D1573B"/>
    <w:rsid w:val="00D24806"/>
    <w:rsid w:val="00D339F1"/>
    <w:rsid w:val="00D34040"/>
    <w:rsid w:val="00D347DE"/>
    <w:rsid w:val="00D34E69"/>
    <w:rsid w:val="00D34FFF"/>
    <w:rsid w:val="00D36C78"/>
    <w:rsid w:val="00D375EE"/>
    <w:rsid w:val="00D46F64"/>
    <w:rsid w:val="00D55AE8"/>
    <w:rsid w:val="00D56056"/>
    <w:rsid w:val="00D6085F"/>
    <w:rsid w:val="00D62699"/>
    <w:rsid w:val="00D64638"/>
    <w:rsid w:val="00D778E9"/>
    <w:rsid w:val="00D77FF5"/>
    <w:rsid w:val="00D812BF"/>
    <w:rsid w:val="00D82620"/>
    <w:rsid w:val="00D85707"/>
    <w:rsid w:val="00D9725F"/>
    <w:rsid w:val="00DA01B1"/>
    <w:rsid w:val="00DA11A2"/>
    <w:rsid w:val="00DA14ED"/>
    <w:rsid w:val="00DA26D6"/>
    <w:rsid w:val="00DB2EF1"/>
    <w:rsid w:val="00DB3DE1"/>
    <w:rsid w:val="00DB5319"/>
    <w:rsid w:val="00DB5DA0"/>
    <w:rsid w:val="00DB716C"/>
    <w:rsid w:val="00DC5C85"/>
    <w:rsid w:val="00DC7C5D"/>
    <w:rsid w:val="00DD4236"/>
    <w:rsid w:val="00DD44F1"/>
    <w:rsid w:val="00DD6957"/>
    <w:rsid w:val="00DD6E7A"/>
    <w:rsid w:val="00DE3067"/>
    <w:rsid w:val="00DE58CA"/>
    <w:rsid w:val="00DE6E79"/>
    <w:rsid w:val="00DF3EEE"/>
    <w:rsid w:val="00DF4DB3"/>
    <w:rsid w:val="00DF75E1"/>
    <w:rsid w:val="00E027BC"/>
    <w:rsid w:val="00E045BE"/>
    <w:rsid w:val="00E10F0D"/>
    <w:rsid w:val="00E14EA5"/>
    <w:rsid w:val="00E2070E"/>
    <w:rsid w:val="00E21133"/>
    <w:rsid w:val="00E229AD"/>
    <w:rsid w:val="00E2327E"/>
    <w:rsid w:val="00E23577"/>
    <w:rsid w:val="00E266EF"/>
    <w:rsid w:val="00E326A8"/>
    <w:rsid w:val="00E41875"/>
    <w:rsid w:val="00E47428"/>
    <w:rsid w:val="00E56C8E"/>
    <w:rsid w:val="00E5716B"/>
    <w:rsid w:val="00E5732D"/>
    <w:rsid w:val="00E57F1F"/>
    <w:rsid w:val="00E646E1"/>
    <w:rsid w:val="00E66B9F"/>
    <w:rsid w:val="00E70A6A"/>
    <w:rsid w:val="00E710D6"/>
    <w:rsid w:val="00E7324A"/>
    <w:rsid w:val="00E73DA4"/>
    <w:rsid w:val="00E74388"/>
    <w:rsid w:val="00E76E45"/>
    <w:rsid w:val="00E777C9"/>
    <w:rsid w:val="00E81DA6"/>
    <w:rsid w:val="00E84212"/>
    <w:rsid w:val="00E9086C"/>
    <w:rsid w:val="00E90AAA"/>
    <w:rsid w:val="00E91A0F"/>
    <w:rsid w:val="00E94298"/>
    <w:rsid w:val="00E94A71"/>
    <w:rsid w:val="00E94CBF"/>
    <w:rsid w:val="00EA03CE"/>
    <w:rsid w:val="00EA23E5"/>
    <w:rsid w:val="00EA4E2E"/>
    <w:rsid w:val="00EB0BF1"/>
    <w:rsid w:val="00EB2417"/>
    <w:rsid w:val="00EB2CCB"/>
    <w:rsid w:val="00EB7A25"/>
    <w:rsid w:val="00EC0F3E"/>
    <w:rsid w:val="00EC3A98"/>
    <w:rsid w:val="00EC57A7"/>
    <w:rsid w:val="00ED0817"/>
    <w:rsid w:val="00ED1A5E"/>
    <w:rsid w:val="00ED2028"/>
    <w:rsid w:val="00ED37FD"/>
    <w:rsid w:val="00ED7DD9"/>
    <w:rsid w:val="00EE0EDA"/>
    <w:rsid w:val="00EE1AF6"/>
    <w:rsid w:val="00EE445B"/>
    <w:rsid w:val="00EF3113"/>
    <w:rsid w:val="00EF3F84"/>
    <w:rsid w:val="00F01D6D"/>
    <w:rsid w:val="00F05BBA"/>
    <w:rsid w:val="00F10917"/>
    <w:rsid w:val="00F176AC"/>
    <w:rsid w:val="00F216C1"/>
    <w:rsid w:val="00F2673C"/>
    <w:rsid w:val="00F26F28"/>
    <w:rsid w:val="00F27714"/>
    <w:rsid w:val="00F3276E"/>
    <w:rsid w:val="00F3367A"/>
    <w:rsid w:val="00F33D3C"/>
    <w:rsid w:val="00F350CB"/>
    <w:rsid w:val="00F37A91"/>
    <w:rsid w:val="00F408A0"/>
    <w:rsid w:val="00F45CF5"/>
    <w:rsid w:val="00F45D4B"/>
    <w:rsid w:val="00F47DB0"/>
    <w:rsid w:val="00F50C3F"/>
    <w:rsid w:val="00F50E34"/>
    <w:rsid w:val="00F51AFB"/>
    <w:rsid w:val="00F53EF7"/>
    <w:rsid w:val="00F54BF2"/>
    <w:rsid w:val="00F7176D"/>
    <w:rsid w:val="00F775AC"/>
    <w:rsid w:val="00F8305D"/>
    <w:rsid w:val="00F8692B"/>
    <w:rsid w:val="00F8792F"/>
    <w:rsid w:val="00F9214D"/>
    <w:rsid w:val="00F92355"/>
    <w:rsid w:val="00F93963"/>
    <w:rsid w:val="00F94291"/>
    <w:rsid w:val="00FA2643"/>
    <w:rsid w:val="00FA298A"/>
    <w:rsid w:val="00FA5B66"/>
    <w:rsid w:val="00FB07E2"/>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2C5780D"/>
  <w15:docId w15:val="{BA7A4579-6257-412C-89B1-0E5E1360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ED202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ED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6063">
      <w:bodyDiv w:val="1"/>
      <w:marLeft w:val="0"/>
      <w:marRight w:val="0"/>
      <w:marTop w:val="0"/>
      <w:marBottom w:val="0"/>
      <w:divBdr>
        <w:top w:val="none" w:sz="0" w:space="0" w:color="auto"/>
        <w:left w:val="none" w:sz="0" w:space="0" w:color="auto"/>
        <w:bottom w:val="none" w:sz="0" w:space="0" w:color="auto"/>
        <w:right w:val="none" w:sz="0" w:space="0" w:color="auto"/>
      </w:divBdr>
    </w:div>
    <w:div w:id="607010286">
      <w:bodyDiv w:val="1"/>
      <w:marLeft w:val="0"/>
      <w:marRight w:val="0"/>
      <w:marTop w:val="0"/>
      <w:marBottom w:val="0"/>
      <w:divBdr>
        <w:top w:val="none" w:sz="0" w:space="0" w:color="auto"/>
        <w:left w:val="none" w:sz="0" w:space="0" w:color="auto"/>
        <w:bottom w:val="none" w:sz="0" w:space="0" w:color="auto"/>
        <w:right w:val="none" w:sz="0" w:space="0" w:color="auto"/>
      </w:divBdr>
    </w:div>
    <w:div w:id="903372207">
      <w:bodyDiv w:val="1"/>
      <w:marLeft w:val="0"/>
      <w:marRight w:val="0"/>
      <w:marTop w:val="0"/>
      <w:marBottom w:val="0"/>
      <w:divBdr>
        <w:top w:val="none" w:sz="0" w:space="0" w:color="auto"/>
        <w:left w:val="none" w:sz="0" w:space="0" w:color="auto"/>
        <w:bottom w:val="none" w:sz="0" w:space="0" w:color="auto"/>
        <w:right w:val="none" w:sz="0" w:space="0" w:color="auto"/>
      </w:divBdr>
    </w:div>
    <w:div w:id="1026561881">
      <w:bodyDiv w:val="1"/>
      <w:marLeft w:val="0"/>
      <w:marRight w:val="0"/>
      <w:marTop w:val="0"/>
      <w:marBottom w:val="0"/>
      <w:divBdr>
        <w:top w:val="none" w:sz="0" w:space="0" w:color="auto"/>
        <w:left w:val="none" w:sz="0" w:space="0" w:color="auto"/>
        <w:bottom w:val="none" w:sz="0" w:space="0" w:color="auto"/>
        <w:right w:val="none" w:sz="0" w:space="0" w:color="auto"/>
      </w:divBdr>
    </w:div>
    <w:div w:id="1240098466">
      <w:bodyDiv w:val="1"/>
      <w:marLeft w:val="0"/>
      <w:marRight w:val="0"/>
      <w:marTop w:val="0"/>
      <w:marBottom w:val="0"/>
      <w:divBdr>
        <w:top w:val="none" w:sz="0" w:space="0" w:color="auto"/>
        <w:left w:val="none" w:sz="0" w:space="0" w:color="auto"/>
        <w:bottom w:val="none" w:sz="0" w:space="0" w:color="auto"/>
        <w:right w:val="none" w:sz="0" w:space="0" w:color="auto"/>
      </w:divBdr>
    </w:div>
    <w:div w:id="1545100337">
      <w:bodyDiv w:val="1"/>
      <w:marLeft w:val="0"/>
      <w:marRight w:val="0"/>
      <w:marTop w:val="0"/>
      <w:marBottom w:val="0"/>
      <w:divBdr>
        <w:top w:val="none" w:sz="0" w:space="0" w:color="auto"/>
        <w:left w:val="none" w:sz="0" w:space="0" w:color="auto"/>
        <w:bottom w:val="none" w:sz="0" w:space="0" w:color="auto"/>
        <w:right w:val="none" w:sz="0" w:space="0" w:color="auto"/>
      </w:divBdr>
    </w:div>
    <w:div w:id="20386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2C91A91E4046E3A78335EBDC16BC1C"/>
        <w:category>
          <w:name w:val="General"/>
          <w:gallery w:val="placeholder"/>
        </w:category>
        <w:types>
          <w:type w:val="bbPlcHdr"/>
        </w:types>
        <w:behaviors>
          <w:behavior w:val="content"/>
        </w:behaviors>
        <w:guid w:val="{1F493DA5-E112-450B-B065-52777C9758BB}"/>
      </w:docPartPr>
      <w:docPartBody>
        <w:p w:rsidR="000464C5" w:rsidRDefault="00856A83">
          <w:pPr>
            <w:pStyle w:val="A92C91A91E4046E3A78335EBDC16BC1C"/>
          </w:pPr>
          <w:r>
            <w:rPr>
              <w:rStyle w:val="PlaceholderText"/>
            </w:rPr>
            <w:t>MNC Text</w:t>
          </w:r>
        </w:p>
      </w:docPartBody>
    </w:docPart>
    <w:docPart>
      <w:docPartPr>
        <w:name w:val="F60726C495534943841C3A1933F98337"/>
        <w:category>
          <w:name w:val="General"/>
          <w:gallery w:val="placeholder"/>
        </w:category>
        <w:types>
          <w:type w:val="bbPlcHdr"/>
        </w:types>
        <w:behaviors>
          <w:behavior w:val="content"/>
        </w:behaviors>
        <w:guid w:val="{7FAC5471-7660-40B0-960B-B2167C082DC9}"/>
      </w:docPartPr>
      <w:docPartBody>
        <w:p w:rsidR="000464C5" w:rsidRDefault="00856A83">
          <w:pPr>
            <w:pStyle w:val="F60726C495534943841C3A1933F98337"/>
          </w:pPr>
          <w:r w:rsidRPr="005C44BE">
            <w:rPr>
              <w:rStyle w:val="PlaceholderText"/>
            </w:rPr>
            <w:t>Click or tap here to enter text.</w:t>
          </w:r>
        </w:p>
      </w:docPartBody>
    </w:docPart>
    <w:docPart>
      <w:docPartPr>
        <w:name w:val="449B4BE04B934D05866E7E5BC380DDB0"/>
        <w:category>
          <w:name w:val="General"/>
          <w:gallery w:val="placeholder"/>
        </w:category>
        <w:types>
          <w:type w:val="bbPlcHdr"/>
        </w:types>
        <w:behaviors>
          <w:behavior w:val="content"/>
        </w:behaviors>
        <w:guid w:val="{5B2154F2-C852-4FDF-8A94-FB521B3A1C5F}"/>
      </w:docPartPr>
      <w:docPartBody>
        <w:p w:rsidR="000464C5" w:rsidRDefault="00856A83">
          <w:pPr>
            <w:pStyle w:val="449B4BE04B934D05866E7E5BC380DDB0"/>
          </w:pPr>
          <w:r w:rsidRPr="005C44BE">
            <w:rPr>
              <w:rStyle w:val="PlaceholderText"/>
            </w:rPr>
            <w:t>Click or tap here to enter text.</w:t>
          </w:r>
        </w:p>
      </w:docPartBody>
    </w:docPart>
    <w:docPart>
      <w:docPartPr>
        <w:name w:val="D307E69572CF42A0AFE724D8CD79429B"/>
        <w:category>
          <w:name w:val="General"/>
          <w:gallery w:val="placeholder"/>
        </w:category>
        <w:types>
          <w:type w:val="bbPlcHdr"/>
        </w:types>
        <w:behaviors>
          <w:behavior w:val="content"/>
        </w:behaviors>
        <w:guid w:val="{59903A06-C428-41D4-BB5E-643F1E87B2B5}"/>
      </w:docPartPr>
      <w:docPartBody>
        <w:p w:rsidR="000464C5" w:rsidRDefault="00856A83">
          <w:pPr>
            <w:pStyle w:val="D307E69572CF42A0AFE724D8CD79429B"/>
          </w:pPr>
          <w:r w:rsidRPr="005C44BE">
            <w:rPr>
              <w:rStyle w:val="PlaceholderText"/>
            </w:rPr>
            <w:t>Click or tap here to enter text.</w:t>
          </w:r>
        </w:p>
      </w:docPartBody>
    </w:docPart>
    <w:docPart>
      <w:docPartPr>
        <w:name w:val="7AD75C11133C4280B1C43D855C2362D4"/>
        <w:category>
          <w:name w:val="General"/>
          <w:gallery w:val="placeholder"/>
        </w:category>
        <w:types>
          <w:type w:val="bbPlcHdr"/>
        </w:types>
        <w:behaviors>
          <w:behavior w:val="content"/>
        </w:behaviors>
        <w:guid w:val="{7DF676D5-6B52-40B3-9E5E-FA1F44C61C54}"/>
      </w:docPartPr>
      <w:docPartBody>
        <w:p w:rsidR="000464C5" w:rsidRDefault="00856A83">
          <w:pPr>
            <w:pStyle w:val="7AD75C11133C4280B1C43D855C2362D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3"/>
    <w:rsid w:val="000464C5"/>
    <w:rsid w:val="00101ACE"/>
    <w:rsid w:val="0077376C"/>
    <w:rsid w:val="00856A83"/>
    <w:rsid w:val="00B07269"/>
    <w:rsid w:val="00C466F2"/>
    <w:rsid w:val="00CA6638"/>
    <w:rsid w:val="00D92348"/>
    <w:rsid w:val="00F42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92C91A91E4046E3A78335EBDC16BC1C">
    <w:name w:val="A92C91A91E4046E3A78335EBDC16BC1C"/>
  </w:style>
  <w:style w:type="paragraph" w:customStyle="1" w:styleId="F60726C495534943841C3A1933F98337">
    <w:name w:val="F60726C495534943841C3A1933F98337"/>
  </w:style>
  <w:style w:type="paragraph" w:customStyle="1" w:styleId="449B4BE04B934D05866E7E5BC380DDB0">
    <w:name w:val="449B4BE04B934D05866E7E5BC380DDB0"/>
  </w:style>
  <w:style w:type="paragraph" w:customStyle="1" w:styleId="D307E69572CF42A0AFE724D8CD79429B">
    <w:name w:val="D307E69572CF42A0AFE724D8CD79429B"/>
  </w:style>
  <w:style w:type="paragraph" w:customStyle="1" w:styleId="7AD75C11133C4280B1C43D855C2362D4">
    <w:name w:val="7AD75C11133C4280B1C43D855C236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1800E1A0664E87F8F01E7C1C2C46" ma:contentTypeVersion="13" ma:contentTypeDescription="Create a new document." ma:contentTypeScope="" ma:versionID="a7c4aa89cf7e20bb1f0048dce5932236">
  <xsd:schema xmlns:xsd="http://www.w3.org/2001/XMLSchema" xmlns:xs="http://www.w3.org/2001/XMLSchema" xmlns:p="http://schemas.microsoft.com/office/2006/metadata/properties" xmlns:ns3="d79b9b56-a8d2-4956-bef2-6105f0472ad4" xmlns:ns4="63f70f85-eb9c-49df-9aa5-d08af23d9463" targetNamespace="http://schemas.microsoft.com/office/2006/metadata/properties" ma:root="true" ma:fieldsID="cc87f4639180fec522298207a8466582" ns3:_="" ns4:_="">
    <xsd:import namespace="d79b9b56-a8d2-4956-bef2-6105f0472ad4"/>
    <xsd:import namespace="63f70f85-eb9c-49df-9aa5-d08af23d94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b9b56-a8d2-4956-bef2-6105f0472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70f85-eb9c-49df-9aa5-d08af23d94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xmlns="http://schemas.globalmacros.com/FCA">
  <Name>Tucker v Broderick [2022] FCAFC 174 </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1C8C-5B9C-48F2-8FC5-79A0850C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b9b56-a8d2-4956-bef2-6105f0472ad4"/>
    <ds:schemaRef ds:uri="63f70f85-eb9c-49df-9aa5-d08af23d9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D3807-D52F-4302-8F64-AE281713D4CA}">
  <ds:schemaRefs>
    <ds:schemaRef ds:uri="http://schemas.microsoft.com/sharepoint/v3/contenttype/forms"/>
  </ds:schemaRefs>
</ds:datastoreItem>
</file>

<file path=customXml/itemProps3.xml><?xml version="1.0" encoding="utf-8"?>
<ds:datastoreItem xmlns:ds="http://schemas.openxmlformats.org/officeDocument/2006/customXml" ds:itemID="{5056F7E2-7BFD-414C-9C17-B49FC25BCC8E}">
  <ds:schemaRefs>
    <ds:schemaRef ds:uri="http://purl.org/dc/elements/1.1/"/>
    <ds:schemaRef ds:uri="http://schemas.microsoft.com/office/2006/metadata/properties"/>
    <ds:schemaRef ds:uri="http://schemas.openxmlformats.org/package/2006/metadata/core-properties"/>
    <ds:schemaRef ds:uri="http://purl.org/dc/terms/"/>
    <ds:schemaRef ds:uri="d79b9b56-a8d2-4956-bef2-6105f0472ad4"/>
    <ds:schemaRef ds:uri="63f70f85-eb9c-49df-9aa5-d08af23d94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0A83473E-34D0-4988-832C-C845341A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19</Pages>
  <Words>7263</Words>
  <Characters>35439</Characters>
  <Application>Microsoft Office Word</Application>
  <DocSecurity>0</DocSecurity>
  <Lines>694</Lines>
  <Paragraphs>271</Paragraphs>
  <ScaleCrop>false</ScaleCrop>
  <HeadingPairs>
    <vt:vector size="2" baseType="variant">
      <vt:variant>
        <vt:lpstr>Title</vt:lpstr>
      </vt:variant>
      <vt:variant>
        <vt:i4>1</vt:i4>
      </vt:variant>
    </vt:vector>
  </HeadingPairs>
  <TitlesOfParts>
    <vt:vector size="1" baseType="lpstr">
      <vt:lpstr>Tucker v Broderick [2022] FCAFC 174</vt:lpstr>
    </vt:vector>
  </TitlesOfParts>
  <Company>Federal Court of Australia</Company>
  <LinksUpToDate>false</LinksUpToDate>
  <CharactersWithSpaces>42431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Tucker v Broderick [2022] FCAFC 174</dc:title>
  <dc:creator>Federal Court of Australia</dc:creator>
  <dc:description>v1.3</dc:description>
  <cp:lastModifiedBy>Federal Court of Australia</cp:lastModifiedBy>
  <cp:revision>4</cp:revision>
  <cp:lastPrinted>2022-10-25T22:50:00Z</cp:lastPrinted>
  <dcterms:created xsi:type="dcterms:W3CDTF">2022-10-28T05:30:00Z</dcterms:created>
  <dcterms:modified xsi:type="dcterms:W3CDTF">2022-10-28T05:33:00Z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Melbourne</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0x0101007C7F1800E1A0664E87F8F01E7C1C2C46</vt:lpwstr>
  </property>
</Properties>
</file>