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E5CA1" w14:textId="6052D871" w:rsidR="00395B24" w:rsidRDefault="00BC7D85" w:rsidP="00367393">
      <w:pPr>
        <w:pStyle w:val="CourtTitle"/>
        <w:spacing w:line="480" w:lineRule="auto"/>
      </w:pPr>
      <w:r>
        <w:rPr>
          <w:caps w:val="0"/>
        </w:rPr>
        <w:t>FEDERAL COURT OF AUSTRALIA</w:t>
      </w:r>
    </w:p>
    <w:bookmarkStart w:id="0" w:name="MNC"/>
    <w:p w14:paraId="4865C826" w14:textId="32E0B978" w:rsidR="00374CC4" w:rsidRDefault="00C50C75" w:rsidP="001A2B40">
      <w:pPr>
        <w:pStyle w:val="MNC"/>
      </w:pPr>
      <w:sdt>
        <w:sdtPr>
          <w:alias w:val="MNC"/>
          <w:tag w:val="MNC"/>
          <w:id w:val="343289786"/>
          <w:lock w:val="sdtLocked"/>
          <w:placeholder>
            <w:docPart w:val="4B00295CD8494BAF923C122CC2FA582D"/>
          </w:placeholder>
          <w:dataBinding w:prefixMappings="xmlns:ns0='http://schemas.globalmacros.com/FCA'" w:xpath="/ns0:root[1]/ns0:Name[1]" w:storeItemID="{687E7CCB-4AA5-44E7-B148-17BA2B6F57C0}"/>
          <w:text w:multiLine="1"/>
        </w:sdtPr>
        <w:sdtEndPr/>
        <w:sdtContent>
          <w:r w:rsidR="00B61C28">
            <w:t>Henley Constructions Pty Ltd v H</w:t>
          </w:r>
          <w:r w:rsidR="005F487B">
            <w:t>enley Arch Pty Ltd [202</w:t>
          </w:r>
          <w:r>
            <w:t>3</w:t>
          </w:r>
          <w:r w:rsidR="005F487B">
            <w:t>] FCA</w:t>
          </w:r>
          <w:r w:rsidR="00992962">
            <w:t>FC</w:t>
          </w:r>
          <w:r w:rsidR="005F487B">
            <w:t xml:space="preserve"> 62</w:t>
          </w:r>
          <w:r w:rsidR="00890EDE">
            <w:t xml:space="preserve"> </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B61C28" w14:paraId="781324A3" w14:textId="77777777" w:rsidTr="001A77E9">
        <w:tc>
          <w:tcPr>
            <w:tcW w:w="3083" w:type="dxa"/>
            <w:shd w:val="clear" w:color="auto" w:fill="auto"/>
          </w:tcPr>
          <w:p w14:paraId="03BC29E8" w14:textId="77777777" w:rsidR="00B61C28" w:rsidRDefault="00B61C28"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64A0636C" w14:textId="77777777" w:rsidR="00B61C28" w:rsidRDefault="004F4A97" w:rsidP="002539B3">
            <w:pPr>
              <w:pStyle w:val="CasesLegislationAppealFrom"/>
              <w:spacing w:after="60"/>
            </w:pPr>
            <w:r w:rsidRPr="009523BC">
              <w:rPr>
                <w:i/>
              </w:rPr>
              <w:t>Henley Arch Pty Ltd v Henley Constructions Pty Ltd</w:t>
            </w:r>
            <w:r>
              <w:t xml:space="preserve"> [2021] FCA 1369</w:t>
            </w:r>
          </w:p>
        </w:tc>
      </w:tr>
      <w:tr w:rsidR="00B61C28" w14:paraId="43C2B6AA" w14:textId="77777777" w:rsidTr="001A77E9">
        <w:tc>
          <w:tcPr>
            <w:tcW w:w="3083" w:type="dxa"/>
            <w:shd w:val="clear" w:color="auto" w:fill="auto"/>
          </w:tcPr>
          <w:p w14:paraId="11716B77" w14:textId="77777777" w:rsidR="00B61C28" w:rsidRDefault="00B61C28" w:rsidP="00663878">
            <w:pPr>
              <w:pStyle w:val="Normal1linespace"/>
              <w:widowControl w:val="0"/>
              <w:jc w:val="left"/>
            </w:pPr>
          </w:p>
        </w:tc>
        <w:tc>
          <w:tcPr>
            <w:tcW w:w="5990" w:type="dxa"/>
            <w:shd w:val="clear" w:color="auto" w:fill="auto"/>
          </w:tcPr>
          <w:p w14:paraId="47347D96" w14:textId="77777777" w:rsidR="00B61C28" w:rsidRDefault="00B61C28" w:rsidP="00663878">
            <w:pPr>
              <w:pStyle w:val="Normal1linespace"/>
              <w:widowControl w:val="0"/>
              <w:jc w:val="left"/>
            </w:pPr>
          </w:p>
        </w:tc>
      </w:tr>
      <w:bookmarkEnd w:id="1"/>
      <w:tr w:rsidR="00395B24" w14:paraId="4BB33440" w14:textId="77777777" w:rsidTr="001A77E9">
        <w:tc>
          <w:tcPr>
            <w:tcW w:w="3083" w:type="dxa"/>
            <w:shd w:val="clear" w:color="auto" w:fill="auto"/>
          </w:tcPr>
          <w:p w14:paraId="1FE66310" w14:textId="77777777" w:rsidR="00395B24" w:rsidRDefault="00BE368A" w:rsidP="00663878">
            <w:pPr>
              <w:pStyle w:val="Normal1linespace"/>
              <w:widowControl w:val="0"/>
              <w:jc w:val="left"/>
            </w:pPr>
            <w:r>
              <w:t>File numbers</w:t>
            </w:r>
            <w:r w:rsidR="002C7385">
              <w:t>:</w:t>
            </w:r>
          </w:p>
        </w:tc>
        <w:tc>
          <w:tcPr>
            <w:tcW w:w="5990" w:type="dxa"/>
            <w:shd w:val="clear" w:color="auto" w:fill="auto"/>
          </w:tcPr>
          <w:p w14:paraId="64732557" w14:textId="77777777" w:rsidR="00B61C28" w:rsidRPr="00B61C28" w:rsidRDefault="00A56E77" w:rsidP="00B61C28">
            <w:pPr>
              <w:pStyle w:val="Normal1linespace"/>
              <w:jc w:val="left"/>
            </w:pPr>
            <w:r w:rsidRPr="00B61C28">
              <w:fldChar w:fldCharType="begin" w:fldLock="1"/>
            </w:r>
            <w:r w:rsidRPr="00B61C28">
              <w:instrText xml:space="preserve"> REF  FileNo  \* MERGEFORMAT </w:instrText>
            </w:r>
            <w:r w:rsidRPr="00B61C28">
              <w:fldChar w:fldCharType="separate"/>
            </w:r>
            <w:r w:rsidR="00B61C28" w:rsidRPr="00B61C28">
              <w:t>VID 737 of 2021</w:t>
            </w:r>
          </w:p>
          <w:p w14:paraId="306C7437" w14:textId="77777777" w:rsidR="00395B24" w:rsidRPr="001B1053" w:rsidRDefault="00B61C28" w:rsidP="00B61C28">
            <w:pPr>
              <w:pStyle w:val="Normal1linespace"/>
              <w:jc w:val="left"/>
            </w:pPr>
            <w:r w:rsidRPr="00B61C28">
              <w:t>VID 164 of 2022</w:t>
            </w:r>
            <w:r w:rsidR="00A56E77" w:rsidRPr="00B61C28">
              <w:fldChar w:fldCharType="end"/>
            </w:r>
          </w:p>
        </w:tc>
      </w:tr>
      <w:tr w:rsidR="00395B24" w14:paraId="3063D239" w14:textId="77777777" w:rsidTr="001A77E9">
        <w:tc>
          <w:tcPr>
            <w:tcW w:w="3083" w:type="dxa"/>
            <w:shd w:val="clear" w:color="auto" w:fill="auto"/>
          </w:tcPr>
          <w:p w14:paraId="34E86606" w14:textId="77777777" w:rsidR="00395B24" w:rsidRDefault="00395B24" w:rsidP="00663878">
            <w:pPr>
              <w:pStyle w:val="Normal1linespace"/>
              <w:widowControl w:val="0"/>
              <w:jc w:val="left"/>
            </w:pPr>
          </w:p>
        </w:tc>
        <w:tc>
          <w:tcPr>
            <w:tcW w:w="5990" w:type="dxa"/>
            <w:shd w:val="clear" w:color="auto" w:fill="auto"/>
          </w:tcPr>
          <w:p w14:paraId="529EC7CD" w14:textId="77777777" w:rsidR="00395B24" w:rsidRDefault="00395B24" w:rsidP="00663878">
            <w:pPr>
              <w:pStyle w:val="Normal1linespace"/>
              <w:widowControl w:val="0"/>
              <w:jc w:val="left"/>
            </w:pPr>
          </w:p>
        </w:tc>
      </w:tr>
      <w:tr w:rsidR="00395B24" w14:paraId="0DD8B028" w14:textId="77777777" w:rsidTr="001A77E9">
        <w:tc>
          <w:tcPr>
            <w:tcW w:w="3083" w:type="dxa"/>
            <w:shd w:val="clear" w:color="auto" w:fill="auto"/>
          </w:tcPr>
          <w:p w14:paraId="0084AAE1"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7C9C28DD" w14:textId="2A90C228" w:rsidR="00395B24" w:rsidRDefault="002418E0" w:rsidP="00663878">
            <w:pPr>
              <w:pStyle w:val="Normal1linespace"/>
              <w:widowControl w:val="0"/>
              <w:jc w:val="left"/>
              <w:rPr>
                <w:b/>
              </w:rPr>
            </w:pPr>
            <w:r>
              <w:rPr>
                <w:b/>
              </w:rPr>
              <w:t>YATES, ROFE AND MC</w:t>
            </w:r>
            <w:r w:rsidR="00986B67">
              <w:rPr>
                <w:b/>
              </w:rPr>
              <w:t>ELWAINE JJ</w:t>
            </w:r>
          </w:p>
        </w:tc>
      </w:tr>
      <w:tr w:rsidR="00395B24" w14:paraId="7251415C" w14:textId="77777777" w:rsidTr="001A77E9">
        <w:tc>
          <w:tcPr>
            <w:tcW w:w="3083" w:type="dxa"/>
            <w:shd w:val="clear" w:color="auto" w:fill="auto"/>
          </w:tcPr>
          <w:p w14:paraId="4CEAB5F0" w14:textId="77777777" w:rsidR="00395B24" w:rsidRDefault="00395B24" w:rsidP="00663878">
            <w:pPr>
              <w:pStyle w:val="Normal1linespace"/>
              <w:widowControl w:val="0"/>
              <w:jc w:val="left"/>
            </w:pPr>
          </w:p>
        </w:tc>
        <w:tc>
          <w:tcPr>
            <w:tcW w:w="5990" w:type="dxa"/>
            <w:shd w:val="clear" w:color="auto" w:fill="auto"/>
          </w:tcPr>
          <w:p w14:paraId="635295FF" w14:textId="77777777" w:rsidR="00395B24" w:rsidRDefault="00395B24" w:rsidP="00663878">
            <w:pPr>
              <w:pStyle w:val="Normal1linespace"/>
              <w:widowControl w:val="0"/>
              <w:jc w:val="left"/>
            </w:pPr>
          </w:p>
        </w:tc>
      </w:tr>
      <w:tr w:rsidR="00395B24" w14:paraId="3B30ADB6" w14:textId="77777777" w:rsidTr="001A77E9">
        <w:tc>
          <w:tcPr>
            <w:tcW w:w="3083" w:type="dxa"/>
            <w:shd w:val="clear" w:color="auto" w:fill="auto"/>
          </w:tcPr>
          <w:p w14:paraId="32454B94" w14:textId="77777777" w:rsidR="00395B24" w:rsidRDefault="002C7385" w:rsidP="00663878">
            <w:pPr>
              <w:pStyle w:val="Normal1linespace"/>
              <w:widowControl w:val="0"/>
              <w:jc w:val="left"/>
            </w:pPr>
            <w:r>
              <w:t>Date of judgment:</w:t>
            </w:r>
          </w:p>
        </w:tc>
        <w:tc>
          <w:tcPr>
            <w:tcW w:w="5990" w:type="dxa"/>
            <w:shd w:val="clear" w:color="auto" w:fill="auto"/>
          </w:tcPr>
          <w:p w14:paraId="277128A3" w14:textId="305C44B8" w:rsidR="00395B24" w:rsidRDefault="006747ED" w:rsidP="006747ED">
            <w:pPr>
              <w:pStyle w:val="Normal1linespace"/>
              <w:widowControl w:val="0"/>
              <w:jc w:val="left"/>
            </w:pPr>
            <w:bookmarkStart w:id="2" w:name="JudgmentDate"/>
            <w:r w:rsidRPr="006747ED">
              <w:t>28</w:t>
            </w:r>
            <w:r w:rsidR="00B61C28">
              <w:t xml:space="preserve"> </w:t>
            </w:r>
            <w:r>
              <w:t>April</w:t>
            </w:r>
            <w:r w:rsidR="00B61C28">
              <w:t xml:space="preserve"> 20</w:t>
            </w:r>
            <w:r w:rsidR="002418E0">
              <w:t>23</w:t>
            </w:r>
            <w:bookmarkEnd w:id="2"/>
          </w:p>
        </w:tc>
      </w:tr>
      <w:tr w:rsidR="00395B24" w14:paraId="34C6CCA5" w14:textId="77777777" w:rsidTr="001A77E9">
        <w:tc>
          <w:tcPr>
            <w:tcW w:w="3083" w:type="dxa"/>
            <w:shd w:val="clear" w:color="auto" w:fill="auto"/>
          </w:tcPr>
          <w:p w14:paraId="5584F74F" w14:textId="77777777" w:rsidR="00395B24" w:rsidRDefault="00395B24" w:rsidP="00663878">
            <w:pPr>
              <w:pStyle w:val="Normal1linespace"/>
              <w:widowControl w:val="0"/>
              <w:jc w:val="left"/>
            </w:pPr>
          </w:p>
        </w:tc>
        <w:tc>
          <w:tcPr>
            <w:tcW w:w="5990" w:type="dxa"/>
            <w:shd w:val="clear" w:color="auto" w:fill="auto"/>
          </w:tcPr>
          <w:p w14:paraId="69106385" w14:textId="77777777" w:rsidR="00395B24" w:rsidRDefault="00395B24" w:rsidP="00663878">
            <w:pPr>
              <w:pStyle w:val="Normal1linespace"/>
              <w:widowControl w:val="0"/>
              <w:jc w:val="left"/>
            </w:pPr>
          </w:p>
        </w:tc>
      </w:tr>
      <w:tr w:rsidR="00395B24" w14:paraId="63069BE1" w14:textId="77777777" w:rsidTr="001A77E9">
        <w:tc>
          <w:tcPr>
            <w:tcW w:w="3083" w:type="dxa"/>
            <w:shd w:val="clear" w:color="auto" w:fill="auto"/>
          </w:tcPr>
          <w:p w14:paraId="49A59BED" w14:textId="77777777" w:rsidR="00395B24" w:rsidRDefault="002C7385" w:rsidP="00663878">
            <w:pPr>
              <w:pStyle w:val="Normal1linespace"/>
              <w:widowControl w:val="0"/>
              <w:jc w:val="left"/>
            </w:pPr>
            <w:r>
              <w:t>Catchwords:</w:t>
            </w:r>
          </w:p>
        </w:tc>
        <w:tc>
          <w:tcPr>
            <w:tcW w:w="5990" w:type="dxa"/>
            <w:shd w:val="clear" w:color="auto" w:fill="auto"/>
          </w:tcPr>
          <w:p w14:paraId="1327CED1" w14:textId="432E2E10" w:rsidR="001A77E9" w:rsidRDefault="001A77E9" w:rsidP="001A77E9">
            <w:pPr>
              <w:pStyle w:val="Normal1linespace"/>
              <w:widowControl w:val="0"/>
              <w:jc w:val="left"/>
            </w:pPr>
            <w:bookmarkStart w:id="3" w:name="Catchwords"/>
            <w:r w:rsidRPr="001A77E9">
              <w:rPr>
                <w:b/>
              </w:rPr>
              <w:t>TRADE MARKS</w:t>
            </w:r>
            <w:r>
              <w:t xml:space="preserve"> – appeal – where primary judge </w:t>
            </w:r>
            <w:r w:rsidR="00316332">
              <w:t xml:space="preserve">found that the respondent’s </w:t>
            </w:r>
            <w:r w:rsidR="00316332" w:rsidRPr="00316332">
              <w:t xml:space="preserve">registered </w:t>
            </w:r>
            <w:r w:rsidR="00316332">
              <w:t xml:space="preserve">trade </w:t>
            </w:r>
            <w:r w:rsidR="00960C11">
              <w:t>mark HENLEY was valid</w:t>
            </w:r>
            <w:r w:rsidR="005605B1">
              <w:t xml:space="preserve"> and infringed by the first appellant</w:t>
            </w:r>
            <w:r w:rsidR="00960C11">
              <w:t xml:space="preserve"> </w:t>
            </w:r>
            <w:r w:rsidR="005579AE">
              <w:t>–</w:t>
            </w:r>
            <w:r w:rsidR="005A5CA8">
              <w:t xml:space="preserve"> </w:t>
            </w:r>
            <w:r w:rsidR="005579AE">
              <w:t xml:space="preserve">whether primary judge erred in </w:t>
            </w:r>
            <w:r w:rsidR="00960C11">
              <w:t xml:space="preserve">finding that HENLEY was </w:t>
            </w:r>
            <w:r w:rsidR="005579AE">
              <w:t xml:space="preserve">capable of distinguishing the respondent’s services </w:t>
            </w:r>
            <w:r w:rsidR="00960C11">
              <w:t xml:space="preserve">under </w:t>
            </w:r>
            <w:r w:rsidR="005579AE">
              <w:t xml:space="preserve">s 41 of the </w:t>
            </w:r>
            <w:r w:rsidR="00960C11" w:rsidRPr="00316332">
              <w:rPr>
                <w:i/>
              </w:rPr>
              <w:t>Trade Marks Act 1995</w:t>
            </w:r>
            <w:r w:rsidR="00960C11" w:rsidRPr="00316332">
              <w:t xml:space="preserve"> (</w:t>
            </w:r>
            <w:proofErr w:type="spellStart"/>
            <w:r w:rsidR="00960C11" w:rsidRPr="00316332">
              <w:t>Cth</w:t>
            </w:r>
            <w:proofErr w:type="spellEnd"/>
            <w:r w:rsidR="00960C11" w:rsidRPr="00316332">
              <w:t>)</w:t>
            </w:r>
            <w:r w:rsidR="00960C11">
              <w:t xml:space="preserve"> (the </w:t>
            </w:r>
            <w:r w:rsidR="00960C11" w:rsidRPr="005579AE">
              <w:rPr>
                <w:b/>
              </w:rPr>
              <w:t>Trade Marks Act</w:t>
            </w:r>
            <w:r w:rsidR="00960C11" w:rsidRPr="00960C11">
              <w:t>)</w:t>
            </w:r>
            <w:r w:rsidR="00960C11">
              <w:t xml:space="preserve"> </w:t>
            </w:r>
            <w:r w:rsidR="005579AE">
              <w:t xml:space="preserve">– where primary judge found that HENLEY was not inherently distinctive – where primary judge </w:t>
            </w:r>
            <w:r w:rsidR="00EF2E51">
              <w:t>found that s </w:t>
            </w:r>
            <w:r w:rsidR="003E1D16">
              <w:t>41(6) was satisfied – no error established</w:t>
            </w:r>
            <w:r w:rsidR="005D6BBD">
              <w:t xml:space="preserve"> in finding that s </w:t>
            </w:r>
            <w:r w:rsidR="00704554">
              <w:t>41(6) was satisfied</w:t>
            </w:r>
          </w:p>
          <w:p w14:paraId="62B16B71" w14:textId="0E3C766E" w:rsidR="001A77E9" w:rsidRDefault="001A77E9" w:rsidP="001A77E9">
            <w:pPr>
              <w:pStyle w:val="Normal1linespace"/>
              <w:widowControl w:val="0"/>
              <w:jc w:val="left"/>
            </w:pPr>
          </w:p>
          <w:p w14:paraId="40982125" w14:textId="0AED1075" w:rsidR="005579AE" w:rsidRDefault="005579AE" w:rsidP="001A77E9">
            <w:pPr>
              <w:pStyle w:val="Normal1linespace"/>
              <w:widowControl w:val="0"/>
              <w:jc w:val="left"/>
              <w:rPr>
                <w:b/>
              </w:rPr>
            </w:pPr>
            <w:r w:rsidRPr="001A77E9">
              <w:rPr>
                <w:b/>
              </w:rPr>
              <w:t>TRADE MARKS</w:t>
            </w:r>
            <w:r w:rsidR="00960C11">
              <w:rPr>
                <w:b/>
              </w:rPr>
              <w:t xml:space="preserve"> – </w:t>
            </w:r>
            <w:r w:rsidR="00842D56">
              <w:t>infringement</w:t>
            </w:r>
            <w:r w:rsidR="00960C11">
              <w:t xml:space="preserve"> – </w:t>
            </w:r>
            <w:r w:rsidR="00842D56">
              <w:t>substantial identity –</w:t>
            </w:r>
            <w:r w:rsidR="009140B6">
              <w:t>whether primary judge erred in finding that</w:t>
            </w:r>
            <w:r w:rsidR="00AD6441">
              <w:t xml:space="preserve"> HENLEY CONSTRUCTIONS is substantially identical to the respondent’s registered composite mark comprising the words HENLEY and PROPERTIES </w:t>
            </w:r>
            <w:r w:rsidR="0050250F">
              <w:t xml:space="preserve">with device elements – error </w:t>
            </w:r>
            <w:r w:rsidR="005605B1">
              <w:t>established</w:t>
            </w:r>
            <w:r w:rsidR="003E1D16">
              <w:t xml:space="preserve"> – appeal allowed in part</w:t>
            </w:r>
          </w:p>
          <w:p w14:paraId="403A8797" w14:textId="299380C8" w:rsidR="005579AE" w:rsidRDefault="005579AE" w:rsidP="001A77E9">
            <w:pPr>
              <w:pStyle w:val="Normal1linespace"/>
              <w:widowControl w:val="0"/>
              <w:jc w:val="left"/>
              <w:rPr>
                <w:b/>
              </w:rPr>
            </w:pPr>
          </w:p>
          <w:p w14:paraId="1AC049A8" w14:textId="14B5EEF5" w:rsidR="0050250F" w:rsidRPr="005605B1" w:rsidRDefault="0050250F" w:rsidP="001A77E9">
            <w:pPr>
              <w:pStyle w:val="Normal1linespace"/>
              <w:widowControl w:val="0"/>
              <w:jc w:val="left"/>
            </w:pPr>
            <w:r w:rsidRPr="001A77E9">
              <w:rPr>
                <w:b/>
              </w:rPr>
              <w:t>TRADE MARKS</w:t>
            </w:r>
            <w:r>
              <w:rPr>
                <w:b/>
              </w:rPr>
              <w:t xml:space="preserve"> – </w:t>
            </w:r>
            <w:r>
              <w:t xml:space="preserve">infringement – deceptive similarity – whether primary judge erred in finding that certain marks used by the first respondent are deceptively similar to the respondent’s registered marks </w:t>
            </w:r>
            <w:r w:rsidR="005605B1">
              <w:t>–</w:t>
            </w:r>
            <w:r>
              <w:t xml:space="preserve"> </w:t>
            </w:r>
            <w:r w:rsidR="005605B1">
              <w:t>no error established</w:t>
            </w:r>
          </w:p>
          <w:p w14:paraId="47DAFAAE" w14:textId="4F51C49A" w:rsidR="005605B1" w:rsidRDefault="005605B1" w:rsidP="001A77E9">
            <w:pPr>
              <w:pStyle w:val="Normal1linespace"/>
              <w:widowControl w:val="0"/>
              <w:jc w:val="left"/>
              <w:rPr>
                <w:b/>
              </w:rPr>
            </w:pPr>
          </w:p>
          <w:p w14:paraId="0EF022C3" w14:textId="3036EE9F" w:rsidR="005605B1" w:rsidRDefault="005605B1" w:rsidP="001A77E9">
            <w:pPr>
              <w:pStyle w:val="Normal1linespace"/>
              <w:widowControl w:val="0"/>
              <w:jc w:val="left"/>
              <w:rPr>
                <w:b/>
              </w:rPr>
            </w:pPr>
            <w:r>
              <w:rPr>
                <w:b/>
              </w:rPr>
              <w:t>TRADE MARKS</w:t>
            </w:r>
            <w:r>
              <w:t xml:space="preserve"> – infringement – use as a trade mark – whether primary judge erred in finding that the first appellant had used certain signs as </w:t>
            </w:r>
            <w:proofErr w:type="spellStart"/>
            <w:r>
              <w:t>trade marks</w:t>
            </w:r>
            <w:proofErr w:type="spellEnd"/>
            <w:r>
              <w:t xml:space="preserve"> – whether primary judge failed to have regard to the setting in which each sign was used – no error established</w:t>
            </w:r>
          </w:p>
          <w:p w14:paraId="5C0BFFD0" w14:textId="77777777" w:rsidR="005605B1" w:rsidRDefault="005605B1" w:rsidP="001A77E9">
            <w:pPr>
              <w:pStyle w:val="Normal1linespace"/>
              <w:widowControl w:val="0"/>
              <w:jc w:val="left"/>
              <w:rPr>
                <w:b/>
              </w:rPr>
            </w:pPr>
          </w:p>
          <w:p w14:paraId="76C0C528" w14:textId="768BBED9" w:rsidR="0069340D" w:rsidRDefault="005605B1" w:rsidP="001A77E9">
            <w:pPr>
              <w:pStyle w:val="Normal1linespace"/>
              <w:widowControl w:val="0"/>
              <w:jc w:val="left"/>
            </w:pPr>
            <w:r>
              <w:rPr>
                <w:b/>
              </w:rPr>
              <w:t>TRADE MARKS</w:t>
            </w:r>
            <w:r>
              <w:t xml:space="preserve"> – infringement –</w:t>
            </w:r>
            <w:r w:rsidR="00441252">
              <w:t xml:space="preserve"> prior use defence –</w:t>
            </w:r>
            <w:r>
              <w:t xml:space="preserve"> whether primary judge erred in finding that the first appellant had not established a defence under s 124 of the Trade Marks Act – where primary judge found that </w:t>
            </w:r>
            <w:r w:rsidR="00441252">
              <w:t xml:space="preserve">the respondent’s use of </w:t>
            </w:r>
            <w:r w:rsidR="0069340D">
              <w:t xml:space="preserve">the infringed marks HENLEY COLLECTION, HENLEY RESERVE and HENLEY </w:t>
            </w:r>
            <w:r w:rsidR="0069340D">
              <w:lastRenderedPageBreak/>
              <w:t>ESSENSE was use of HENLEY based on s 7(1) of the Trade Marks Act – where primary judge found that the first appellant had not used HENLEY CONSTRUCTIONS prior to the respondent’s first use of HENLEY – error established</w:t>
            </w:r>
            <w:r w:rsidR="00A92697">
              <w:t xml:space="preserve"> – appeal allowed in part</w:t>
            </w:r>
            <w:r w:rsidR="0069340D">
              <w:t xml:space="preserve"> </w:t>
            </w:r>
          </w:p>
          <w:p w14:paraId="7A0383D0" w14:textId="77777777" w:rsidR="005605B1" w:rsidRDefault="005605B1" w:rsidP="001A77E9">
            <w:pPr>
              <w:pStyle w:val="Normal1linespace"/>
              <w:widowControl w:val="0"/>
              <w:jc w:val="left"/>
              <w:rPr>
                <w:b/>
              </w:rPr>
            </w:pPr>
          </w:p>
          <w:p w14:paraId="1AA4F31D" w14:textId="175E690A" w:rsidR="00842D56" w:rsidRDefault="00842D56" w:rsidP="00842D56">
            <w:pPr>
              <w:pStyle w:val="Normal1linespace"/>
              <w:widowControl w:val="0"/>
              <w:jc w:val="left"/>
            </w:pPr>
            <w:r w:rsidRPr="00316332">
              <w:rPr>
                <w:b/>
              </w:rPr>
              <w:t>CONSUMER LAW</w:t>
            </w:r>
            <w:r>
              <w:t xml:space="preserve"> – </w:t>
            </w:r>
            <w:r w:rsidR="005605B1">
              <w:t xml:space="preserve">misleading and deceptive conduct – false or misleading representations – whether primary judge erred in finding that </w:t>
            </w:r>
            <w:r w:rsidR="00F54AA2">
              <w:t xml:space="preserve">the first appellant had contravened the Australian Consumer Law and the </w:t>
            </w:r>
            <w:r w:rsidR="00F54AA2" w:rsidRPr="00F54AA2">
              <w:rPr>
                <w:i/>
              </w:rPr>
              <w:t>Trade Practices Act 1974</w:t>
            </w:r>
            <w:r w:rsidR="00F54AA2">
              <w:t xml:space="preserve"> (</w:t>
            </w:r>
            <w:proofErr w:type="spellStart"/>
            <w:r w:rsidR="00F54AA2">
              <w:t>Cth</w:t>
            </w:r>
            <w:proofErr w:type="spellEnd"/>
            <w:r w:rsidR="00F54AA2">
              <w:t>) – whether primary judge erred in finding that the respondent had a relevant reputation –</w:t>
            </w:r>
            <w:r w:rsidR="00A92697">
              <w:t xml:space="preserve"> </w:t>
            </w:r>
            <w:r w:rsidR="00F54AA2">
              <w:t>whether primary judge erred in finding that the building and construction industry is a national industry</w:t>
            </w:r>
            <w:r w:rsidR="00A92697">
              <w:t xml:space="preserve"> – whether primary judge erred in finding that there to be evidence of consumer confusion</w:t>
            </w:r>
            <w:r w:rsidR="00F54AA2">
              <w:t xml:space="preserve"> – no error established</w:t>
            </w:r>
          </w:p>
          <w:p w14:paraId="4E59C90B" w14:textId="103AD1F0" w:rsidR="00316332" w:rsidRDefault="00316332" w:rsidP="001A77E9">
            <w:pPr>
              <w:pStyle w:val="Normal1linespace"/>
              <w:widowControl w:val="0"/>
              <w:jc w:val="left"/>
            </w:pPr>
          </w:p>
          <w:p w14:paraId="69A327A5" w14:textId="107FE12F" w:rsidR="007B2107" w:rsidRDefault="001A77E9" w:rsidP="001A77E9">
            <w:pPr>
              <w:pStyle w:val="Normal1linespace"/>
              <w:widowControl w:val="0"/>
              <w:jc w:val="left"/>
            </w:pPr>
            <w:r w:rsidRPr="001A77E9">
              <w:rPr>
                <w:b/>
              </w:rPr>
              <w:t>TRADE MARKS</w:t>
            </w:r>
            <w:r>
              <w:t xml:space="preserve"> </w:t>
            </w:r>
            <w:r w:rsidR="005579AE">
              <w:t>–</w:t>
            </w:r>
            <w:r w:rsidR="00715751">
              <w:t xml:space="preserve"> </w:t>
            </w:r>
            <w:r w:rsidR="005579AE">
              <w:t xml:space="preserve">relief </w:t>
            </w:r>
            <w:r w:rsidR="007B2107">
              <w:t>–</w:t>
            </w:r>
            <w:r w:rsidR="005579AE">
              <w:t xml:space="preserve"> </w:t>
            </w:r>
            <w:r w:rsidR="005605B1">
              <w:t xml:space="preserve">whether primary judge erred in directing the question of an account of profits be determined separately after all other relief – where trial set down on all </w:t>
            </w:r>
            <w:r w:rsidR="00A92697">
              <w:t>issues – no error established</w:t>
            </w:r>
          </w:p>
          <w:p w14:paraId="71B170BB" w14:textId="768AC4BE" w:rsidR="007B2107" w:rsidRDefault="007B2107" w:rsidP="001A77E9">
            <w:pPr>
              <w:pStyle w:val="Normal1linespace"/>
              <w:widowControl w:val="0"/>
              <w:jc w:val="left"/>
            </w:pPr>
          </w:p>
          <w:p w14:paraId="44AA9E51" w14:textId="3770E0B7" w:rsidR="00A92697" w:rsidRDefault="00A92697" w:rsidP="001A77E9">
            <w:pPr>
              <w:pStyle w:val="Normal1linespace"/>
              <w:widowControl w:val="0"/>
              <w:jc w:val="left"/>
            </w:pPr>
            <w:r w:rsidRPr="001A77E9">
              <w:rPr>
                <w:b/>
              </w:rPr>
              <w:t>TRADE MARKS</w:t>
            </w:r>
            <w:r>
              <w:t xml:space="preserve"> – cross appeal – whether primary judge erred in finding that the first appellant’s use of 1300HENLEY was not use as a trade mark – error established – cross-appeal allowed</w:t>
            </w:r>
          </w:p>
          <w:p w14:paraId="6896A69E" w14:textId="77777777" w:rsidR="00A92697" w:rsidRDefault="00A92697" w:rsidP="001A77E9">
            <w:pPr>
              <w:pStyle w:val="Normal1linespace"/>
              <w:widowControl w:val="0"/>
              <w:jc w:val="left"/>
            </w:pPr>
          </w:p>
          <w:p w14:paraId="715B9F99" w14:textId="048B6295" w:rsidR="00395B24" w:rsidRDefault="007B2107" w:rsidP="00187809">
            <w:pPr>
              <w:pStyle w:val="Normal1linespace"/>
              <w:widowControl w:val="0"/>
              <w:jc w:val="left"/>
            </w:pPr>
            <w:r>
              <w:rPr>
                <w:b/>
              </w:rPr>
              <w:t>COSTS</w:t>
            </w:r>
            <w:r>
              <w:t xml:space="preserve"> </w:t>
            </w:r>
            <w:r w:rsidR="00EB3B73">
              <w:t>–</w:t>
            </w:r>
            <w:r>
              <w:t xml:space="preserve"> </w:t>
            </w:r>
            <w:r w:rsidR="00EB3B73">
              <w:t xml:space="preserve">application for leave to appeal from costs judgment of primary judge </w:t>
            </w:r>
            <w:r w:rsidR="00313CB5">
              <w:t>–</w:t>
            </w:r>
            <w:r w:rsidR="00EB3B73">
              <w:t xml:space="preserve"> </w:t>
            </w:r>
            <w:r w:rsidR="00313CB5">
              <w:t>offer of compromise</w:t>
            </w:r>
            <w:r w:rsidR="006747ED">
              <w:t xml:space="preserve"> under r </w:t>
            </w:r>
            <w:r w:rsidR="00F278C8">
              <w:t xml:space="preserve">25.14(3) of the </w:t>
            </w:r>
            <w:r w:rsidR="00F278C8">
              <w:rPr>
                <w:i/>
              </w:rPr>
              <w:t xml:space="preserve">Federal Court Rules 2011 </w:t>
            </w:r>
            <w:r w:rsidR="00F278C8">
              <w:t>(</w:t>
            </w:r>
            <w:proofErr w:type="spellStart"/>
            <w:r w:rsidR="00F278C8">
              <w:t>Cth</w:t>
            </w:r>
            <w:proofErr w:type="spellEnd"/>
            <w:r w:rsidR="00F278C8">
              <w:t>)</w:t>
            </w:r>
            <w:r w:rsidR="00313CB5">
              <w:t xml:space="preserve"> – </w:t>
            </w:r>
            <w:r w:rsidR="00187809">
              <w:t>where</w:t>
            </w:r>
            <w:r w:rsidR="00313CB5">
              <w:t xml:space="preserve"> primary judge </w:t>
            </w:r>
            <w:r w:rsidR="00187809">
              <w:t xml:space="preserve">ordered that the </w:t>
            </w:r>
            <w:r w:rsidR="00487A0D">
              <w:t xml:space="preserve">appellants pay the respondent’s costs on an indemnity basis </w:t>
            </w:r>
            <w:r w:rsidR="00313CB5">
              <w:t>–</w:t>
            </w:r>
            <w:r w:rsidR="00187809">
              <w:t xml:space="preserve"> whether primary judge erred in finding that the respondent obtained a judgment more favourable than its offer of compromise –</w:t>
            </w:r>
            <w:r w:rsidR="00313CB5">
              <w:t xml:space="preserve"> application for leave to appeal dismissed</w:t>
            </w:r>
            <w:r w:rsidR="002C7385">
              <w:t xml:space="preserve"> </w:t>
            </w:r>
            <w:bookmarkEnd w:id="3"/>
          </w:p>
        </w:tc>
      </w:tr>
      <w:tr w:rsidR="00395B24" w14:paraId="08EB4EF5" w14:textId="77777777" w:rsidTr="001A77E9">
        <w:tc>
          <w:tcPr>
            <w:tcW w:w="3083" w:type="dxa"/>
            <w:shd w:val="clear" w:color="auto" w:fill="auto"/>
          </w:tcPr>
          <w:p w14:paraId="0F96E4C7" w14:textId="77777777" w:rsidR="00395B24" w:rsidRDefault="00395B24" w:rsidP="00663878">
            <w:pPr>
              <w:pStyle w:val="Normal1linespace"/>
              <w:widowControl w:val="0"/>
              <w:jc w:val="left"/>
            </w:pPr>
          </w:p>
        </w:tc>
        <w:tc>
          <w:tcPr>
            <w:tcW w:w="5990" w:type="dxa"/>
            <w:shd w:val="clear" w:color="auto" w:fill="auto"/>
          </w:tcPr>
          <w:p w14:paraId="2AD35832" w14:textId="77777777" w:rsidR="00395B24" w:rsidRDefault="00395B24" w:rsidP="00663878">
            <w:pPr>
              <w:pStyle w:val="Normal1linespace"/>
              <w:widowControl w:val="0"/>
              <w:jc w:val="left"/>
            </w:pPr>
          </w:p>
        </w:tc>
      </w:tr>
      <w:tr w:rsidR="00395B24" w14:paraId="27ED30C8" w14:textId="77777777" w:rsidTr="001A77E9">
        <w:tc>
          <w:tcPr>
            <w:tcW w:w="3083" w:type="dxa"/>
            <w:shd w:val="clear" w:color="auto" w:fill="auto"/>
          </w:tcPr>
          <w:p w14:paraId="4640C9D8" w14:textId="77777777" w:rsidR="00395B24" w:rsidRDefault="002C7385" w:rsidP="00663878">
            <w:pPr>
              <w:pStyle w:val="Normal1linespace"/>
              <w:widowControl w:val="0"/>
              <w:jc w:val="left"/>
            </w:pPr>
            <w:r>
              <w:t>Legislation:</w:t>
            </w:r>
          </w:p>
        </w:tc>
        <w:tc>
          <w:tcPr>
            <w:tcW w:w="5990" w:type="dxa"/>
            <w:shd w:val="clear" w:color="auto" w:fill="auto"/>
          </w:tcPr>
          <w:p w14:paraId="3508DBB7" w14:textId="77777777" w:rsidR="00586452" w:rsidRPr="00586452" w:rsidRDefault="00586452" w:rsidP="00586452">
            <w:pPr>
              <w:pStyle w:val="CasesLegislationAppealFrom"/>
              <w:spacing w:after="60"/>
            </w:pPr>
            <w:bookmarkStart w:id="4" w:name="Legislation"/>
            <w:r w:rsidRPr="00586452">
              <w:rPr>
                <w:i/>
              </w:rPr>
              <w:t>Competition and Consumer Act 2010</w:t>
            </w:r>
            <w:r w:rsidRPr="00586452">
              <w:t xml:space="preserve"> (</w:t>
            </w:r>
            <w:proofErr w:type="spellStart"/>
            <w:r w:rsidRPr="00586452">
              <w:t>Cth</w:t>
            </w:r>
            <w:proofErr w:type="spellEnd"/>
            <w:r w:rsidRPr="00586452">
              <w:t>)</w:t>
            </w:r>
            <w:r>
              <w:t xml:space="preserve"> </w:t>
            </w:r>
            <w:proofErr w:type="spellStart"/>
            <w:r>
              <w:t>Sch</w:t>
            </w:r>
            <w:proofErr w:type="spellEnd"/>
            <w:r>
              <w:t xml:space="preserve"> 2 </w:t>
            </w:r>
            <w:proofErr w:type="spellStart"/>
            <w:r>
              <w:t>ss</w:t>
            </w:r>
            <w:proofErr w:type="spellEnd"/>
            <w:r>
              <w:t xml:space="preserve"> 18, 29</w:t>
            </w:r>
          </w:p>
          <w:p w14:paraId="7189A670" w14:textId="31D4932E" w:rsidR="00586452" w:rsidRPr="00586452" w:rsidRDefault="00586452" w:rsidP="00586452">
            <w:pPr>
              <w:pStyle w:val="CasesLegislationAppealFrom"/>
              <w:spacing w:after="60"/>
            </w:pPr>
            <w:r w:rsidRPr="00586452">
              <w:rPr>
                <w:i/>
              </w:rPr>
              <w:t>Trade Marks Act 1995</w:t>
            </w:r>
            <w:r w:rsidRPr="00586452">
              <w:t xml:space="preserve"> (</w:t>
            </w:r>
            <w:proofErr w:type="spellStart"/>
            <w:r w:rsidRPr="00586452">
              <w:t>Cth</w:t>
            </w:r>
            <w:proofErr w:type="spellEnd"/>
            <w:r w:rsidRPr="00586452">
              <w:t>)</w:t>
            </w:r>
            <w:r>
              <w:t xml:space="preserve"> </w:t>
            </w:r>
            <w:proofErr w:type="spellStart"/>
            <w:r>
              <w:t>ss</w:t>
            </w:r>
            <w:proofErr w:type="spellEnd"/>
            <w:r>
              <w:t xml:space="preserve"> 7, 17, 41, 62,</w:t>
            </w:r>
            <w:r w:rsidR="003E1D16">
              <w:t xml:space="preserve"> 92,</w:t>
            </w:r>
            <w:r>
              <w:t xml:space="preserve"> 120, 122, 124</w:t>
            </w:r>
          </w:p>
          <w:p w14:paraId="70322F16" w14:textId="23E10CCC" w:rsidR="00586452" w:rsidRPr="00586452" w:rsidRDefault="00586452" w:rsidP="00586452">
            <w:pPr>
              <w:pStyle w:val="CasesLegislationAppealFrom"/>
              <w:spacing w:after="60"/>
            </w:pPr>
            <w:r w:rsidRPr="00586452">
              <w:rPr>
                <w:i/>
              </w:rPr>
              <w:t>Trade Practices Act 1974</w:t>
            </w:r>
            <w:r w:rsidRPr="00586452">
              <w:t xml:space="preserve"> (</w:t>
            </w:r>
            <w:proofErr w:type="spellStart"/>
            <w:r w:rsidRPr="00586452">
              <w:t>Cth</w:t>
            </w:r>
            <w:proofErr w:type="spellEnd"/>
            <w:r w:rsidRPr="00586452">
              <w:t xml:space="preserve">) </w:t>
            </w:r>
            <w:proofErr w:type="spellStart"/>
            <w:r>
              <w:t>ss</w:t>
            </w:r>
            <w:proofErr w:type="spellEnd"/>
            <w:r>
              <w:t xml:space="preserve"> 52, 53</w:t>
            </w:r>
          </w:p>
          <w:p w14:paraId="3E8C5031" w14:textId="1A8D6FA2" w:rsidR="00586452" w:rsidRPr="00586452" w:rsidRDefault="00586452" w:rsidP="00586452">
            <w:pPr>
              <w:pStyle w:val="CasesLegislationAppealFrom"/>
              <w:spacing w:after="60"/>
            </w:pPr>
            <w:r w:rsidRPr="00586452">
              <w:rPr>
                <w:i/>
              </w:rPr>
              <w:t>Federal Court Rules 2011</w:t>
            </w:r>
            <w:r w:rsidRPr="00586452">
              <w:t xml:space="preserve"> (</w:t>
            </w:r>
            <w:proofErr w:type="spellStart"/>
            <w:r w:rsidRPr="00586452">
              <w:t>Cth</w:t>
            </w:r>
            <w:proofErr w:type="spellEnd"/>
            <w:r>
              <w:t xml:space="preserve">) </w:t>
            </w:r>
            <w:r w:rsidRPr="00586452">
              <w:t>r 25.14(3)</w:t>
            </w:r>
            <w:bookmarkEnd w:id="4"/>
          </w:p>
        </w:tc>
      </w:tr>
      <w:tr w:rsidR="00395B24" w14:paraId="5D31262E" w14:textId="77777777" w:rsidTr="001A77E9">
        <w:tc>
          <w:tcPr>
            <w:tcW w:w="3083" w:type="dxa"/>
            <w:shd w:val="clear" w:color="auto" w:fill="auto"/>
          </w:tcPr>
          <w:p w14:paraId="51753F59" w14:textId="77777777" w:rsidR="00395B24" w:rsidRDefault="00395B24" w:rsidP="00663878">
            <w:pPr>
              <w:pStyle w:val="Normal1linespace"/>
              <w:widowControl w:val="0"/>
              <w:jc w:val="left"/>
            </w:pPr>
          </w:p>
        </w:tc>
        <w:tc>
          <w:tcPr>
            <w:tcW w:w="5990" w:type="dxa"/>
            <w:shd w:val="clear" w:color="auto" w:fill="auto"/>
          </w:tcPr>
          <w:p w14:paraId="1A0C193E" w14:textId="77777777" w:rsidR="00395B24" w:rsidRDefault="00395B24" w:rsidP="00663878">
            <w:pPr>
              <w:pStyle w:val="Normal1linespace"/>
              <w:widowControl w:val="0"/>
              <w:jc w:val="left"/>
            </w:pPr>
          </w:p>
        </w:tc>
      </w:tr>
      <w:tr w:rsidR="00395B24" w14:paraId="744ACE81" w14:textId="77777777" w:rsidTr="001A77E9">
        <w:tc>
          <w:tcPr>
            <w:tcW w:w="3083" w:type="dxa"/>
            <w:shd w:val="clear" w:color="auto" w:fill="auto"/>
          </w:tcPr>
          <w:p w14:paraId="41929791" w14:textId="77777777" w:rsidR="00395B24" w:rsidRDefault="002C7385" w:rsidP="00663878">
            <w:pPr>
              <w:pStyle w:val="Normal1linespace"/>
              <w:widowControl w:val="0"/>
              <w:jc w:val="left"/>
            </w:pPr>
            <w:r>
              <w:t>Cases cited:</w:t>
            </w:r>
          </w:p>
        </w:tc>
        <w:tc>
          <w:tcPr>
            <w:tcW w:w="5990" w:type="dxa"/>
            <w:shd w:val="clear" w:color="auto" w:fill="auto"/>
          </w:tcPr>
          <w:p w14:paraId="4458F373" w14:textId="77777777" w:rsidR="00586452" w:rsidRPr="00586452" w:rsidRDefault="00586452" w:rsidP="00586452">
            <w:pPr>
              <w:pStyle w:val="CasesLegislationAppealFrom"/>
              <w:spacing w:after="60"/>
            </w:pPr>
            <w:bookmarkStart w:id="5" w:name="Cases_Cited"/>
            <w:r w:rsidRPr="00586452">
              <w:rPr>
                <w:i/>
              </w:rPr>
              <w:t>Accor Australia &amp; New Zealand Hospitality Pty Ltd v Liv Pty Ltd</w:t>
            </w:r>
            <w:r w:rsidRPr="00586452">
              <w:t xml:space="preserve"> [2017] FCAFC 56</w:t>
            </w:r>
          </w:p>
          <w:p w14:paraId="23805952" w14:textId="77777777" w:rsidR="00586452" w:rsidRPr="00586452" w:rsidRDefault="00586452" w:rsidP="00586452">
            <w:pPr>
              <w:pStyle w:val="CasesLegislationAppealFrom"/>
              <w:spacing w:after="60"/>
            </w:pPr>
            <w:r w:rsidRPr="00586452">
              <w:rPr>
                <w:i/>
              </w:rPr>
              <w:t xml:space="preserve">Blount </w:t>
            </w:r>
            <w:proofErr w:type="spellStart"/>
            <w:r w:rsidRPr="00586452">
              <w:rPr>
                <w:i/>
              </w:rPr>
              <w:t>Inc</w:t>
            </w:r>
            <w:proofErr w:type="spellEnd"/>
            <w:r w:rsidRPr="00586452">
              <w:rPr>
                <w:i/>
              </w:rPr>
              <w:t xml:space="preserve"> v Registrar of Trade Marks</w:t>
            </w:r>
            <w:r w:rsidRPr="00586452">
              <w:t xml:space="preserve"> [1998] FCA 440; 83 FCR 50</w:t>
            </w:r>
          </w:p>
          <w:p w14:paraId="0DEF70C4" w14:textId="77777777" w:rsidR="00586452" w:rsidRPr="00586452" w:rsidRDefault="00586452" w:rsidP="00586452">
            <w:pPr>
              <w:pStyle w:val="CasesLegislationAppealFrom"/>
              <w:spacing w:after="60"/>
            </w:pPr>
            <w:r w:rsidRPr="00586452">
              <w:rPr>
                <w:i/>
              </w:rPr>
              <w:t>Bohemia Crystal Pty Ltd v Host Corporation Pty Ltd</w:t>
            </w:r>
            <w:r w:rsidRPr="00586452">
              <w:t xml:space="preserve"> [2018] FCA 235; 129 IPR 482</w:t>
            </w:r>
          </w:p>
          <w:p w14:paraId="35C5B7BE" w14:textId="77777777" w:rsidR="00586452" w:rsidRPr="00586452" w:rsidRDefault="00586452" w:rsidP="00586452">
            <w:pPr>
              <w:pStyle w:val="CasesLegislationAppealFrom"/>
              <w:spacing w:after="60"/>
            </w:pPr>
            <w:proofErr w:type="spellStart"/>
            <w:r w:rsidRPr="00586452">
              <w:rPr>
                <w:i/>
              </w:rPr>
              <w:t>Carr</w:t>
            </w:r>
            <w:proofErr w:type="spellEnd"/>
            <w:r w:rsidRPr="00586452">
              <w:rPr>
                <w:i/>
              </w:rPr>
              <w:t xml:space="preserve"> v Finance Corporation of Australia Ltd (No 1) </w:t>
            </w:r>
            <w:r w:rsidRPr="00586452">
              <w:t xml:space="preserve">(1981) </w:t>
            </w:r>
            <w:r w:rsidRPr="00586452">
              <w:lastRenderedPageBreak/>
              <w:t>147 CLR 246</w:t>
            </w:r>
          </w:p>
          <w:p w14:paraId="7D26B1C3" w14:textId="77777777" w:rsidR="00586452" w:rsidRPr="00586452" w:rsidRDefault="00586452" w:rsidP="00586452">
            <w:pPr>
              <w:pStyle w:val="CasesLegislationAppealFrom"/>
              <w:spacing w:after="60"/>
            </w:pPr>
            <w:r w:rsidRPr="00586452">
              <w:rPr>
                <w:i/>
              </w:rPr>
              <w:t>Clark Equipment Company v Registrar of Trade Marks</w:t>
            </w:r>
            <w:r w:rsidRPr="00586452">
              <w:t xml:space="preserve"> (1964) 111 CLR 511</w:t>
            </w:r>
          </w:p>
          <w:p w14:paraId="507E7974" w14:textId="77777777" w:rsidR="00586452" w:rsidRPr="00586452" w:rsidRDefault="00586452" w:rsidP="00586452">
            <w:pPr>
              <w:pStyle w:val="CasesLegislationAppealFrom"/>
              <w:spacing w:after="60"/>
            </w:pPr>
            <w:r w:rsidRPr="00586452">
              <w:rPr>
                <w:i/>
              </w:rPr>
              <w:t xml:space="preserve">Colorado Group Ltd v </w:t>
            </w:r>
            <w:proofErr w:type="spellStart"/>
            <w:r w:rsidRPr="00586452">
              <w:rPr>
                <w:i/>
              </w:rPr>
              <w:t>Strandbags</w:t>
            </w:r>
            <w:proofErr w:type="spellEnd"/>
            <w:r w:rsidRPr="00586452">
              <w:rPr>
                <w:i/>
              </w:rPr>
              <w:t xml:space="preserve"> Group Pty Ltd</w:t>
            </w:r>
            <w:r w:rsidRPr="00586452">
              <w:t xml:space="preserve"> [2007] FCAFC 184; 164 FCR 506</w:t>
            </w:r>
          </w:p>
          <w:p w14:paraId="1F063B79" w14:textId="77777777" w:rsidR="00586452" w:rsidRPr="00586452" w:rsidRDefault="00586452" w:rsidP="00586452">
            <w:pPr>
              <w:pStyle w:val="CasesLegislationAppealFrom"/>
              <w:spacing w:after="60"/>
            </w:pPr>
            <w:r w:rsidRPr="00586452">
              <w:rPr>
                <w:i/>
              </w:rPr>
              <w:t xml:space="preserve">Energy Beverages LLC v </w:t>
            </w:r>
            <w:proofErr w:type="spellStart"/>
            <w:r w:rsidRPr="00586452">
              <w:rPr>
                <w:i/>
              </w:rPr>
              <w:t>Cantarella</w:t>
            </w:r>
            <w:proofErr w:type="spellEnd"/>
            <w:r w:rsidRPr="00586452">
              <w:rPr>
                <w:i/>
              </w:rPr>
              <w:t xml:space="preserve"> Bros Pty Ltd</w:t>
            </w:r>
            <w:r w:rsidRPr="00586452">
              <w:t xml:space="preserve"> [2023] FCAFC 44</w:t>
            </w:r>
          </w:p>
          <w:p w14:paraId="4D244CC0" w14:textId="77777777" w:rsidR="00586452" w:rsidRPr="00586452" w:rsidRDefault="00586452" w:rsidP="00586452">
            <w:pPr>
              <w:pStyle w:val="CasesLegislationAppealFrom"/>
              <w:spacing w:after="60"/>
            </w:pPr>
            <w:r w:rsidRPr="00586452">
              <w:rPr>
                <w:i/>
              </w:rPr>
              <w:t>Glazier Holdings Pty Ltd v Australian Men’s Health Pty Ltd</w:t>
            </w:r>
            <w:r w:rsidRPr="00586452">
              <w:t xml:space="preserve"> [2000] NSWSC 253</w:t>
            </w:r>
          </w:p>
          <w:p w14:paraId="04A139A5" w14:textId="77777777" w:rsidR="00586452" w:rsidRPr="00586452" w:rsidRDefault="00586452" w:rsidP="00586452">
            <w:pPr>
              <w:pStyle w:val="CasesLegislationAppealFrom"/>
              <w:spacing w:after="60"/>
            </w:pPr>
            <w:r w:rsidRPr="00586452">
              <w:rPr>
                <w:i/>
              </w:rPr>
              <w:t>Henley Arch Pty Ltd v Henley Constructions Pty Ltd (No 2)</w:t>
            </w:r>
            <w:r w:rsidRPr="00586452">
              <w:t xml:space="preserve"> [2022] FCA 231</w:t>
            </w:r>
          </w:p>
          <w:p w14:paraId="382D24E4" w14:textId="77777777" w:rsidR="00586452" w:rsidRPr="00586452" w:rsidRDefault="00586452" w:rsidP="00586452">
            <w:pPr>
              <w:pStyle w:val="CasesLegislationAppealFrom"/>
              <w:spacing w:after="60"/>
            </w:pPr>
            <w:r w:rsidRPr="00586452">
              <w:rPr>
                <w:i/>
              </w:rPr>
              <w:t>Henley Arch Pty Ltd v Henley Constructions Pty Ltd</w:t>
            </w:r>
            <w:r w:rsidRPr="00586452">
              <w:t xml:space="preserve"> [2021] FCA 1369; 163 IPR 1</w:t>
            </w:r>
            <w:r w:rsidRPr="00586452" w:rsidDel="00586452">
              <w:t xml:space="preserve">   </w:t>
            </w:r>
          </w:p>
          <w:p w14:paraId="36ED1047" w14:textId="77777777" w:rsidR="00586452" w:rsidRPr="00586452" w:rsidRDefault="00586452" w:rsidP="00586452">
            <w:pPr>
              <w:pStyle w:val="CasesLegislationAppealFrom"/>
              <w:spacing w:after="60"/>
            </w:pPr>
            <w:r w:rsidRPr="00586452">
              <w:rPr>
                <w:i/>
              </w:rPr>
              <w:t>In Re The Magnolia Metal Company’s Trade Marks</w:t>
            </w:r>
            <w:r w:rsidRPr="00586452">
              <w:t xml:space="preserve"> [1897] 2 </w:t>
            </w:r>
            <w:proofErr w:type="spellStart"/>
            <w:r w:rsidRPr="00586452">
              <w:t>Ch</w:t>
            </w:r>
            <w:proofErr w:type="spellEnd"/>
            <w:r w:rsidRPr="00586452">
              <w:t xml:space="preserve"> 371</w:t>
            </w:r>
          </w:p>
          <w:p w14:paraId="3F963847" w14:textId="77777777" w:rsidR="00586452" w:rsidRPr="00586452" w:rsidRDefault="00586452" w:rsidP="00586452">
            <w:pPr>
              <w:pStyle w:val="CasesLegislationAppealFrom"/>
              <w:spacing w:after="60"/>
            </w:pPr>
            <w:r w:rsidRPr="00586452">
              <w:rPr>
                <w:i/>
              </w:rPr>
              <w:t>Johnson &amp; Johnson Australia Pty Ltd v Sterling Pharmaceuticals Pty Ltd</w:t>
            </w:r>
            <w:r w:rsidRPr="00586452">
              <w:t xml:space="preserve"> (1991) 30 FCR 326</w:t>
            </w:r>
          </w:p>
          <w:p w14:paraId="00F9D663" w14:textId="77777777" w:rsidR="00586452" w:rsidRPr="00586452" w:rsidRDefault="00586452" w:rsidP="00586452">
            <w:pPr>
              <w:pStyle w:val="CasesLegislationAppealFrom"/>
              <w:spacing w:after="60"/>
            </w:pPr>
            <w:r w:rsidRPr="00586452">
              <w:rPr>
                <w:i/>
              </w:rPr>
              <w:t>Meehan v Glazier Holdings Pty Ltd</w:t>
            </w:r>
            <w:r w:rsidRPr="00586452">
              <w:t xml:space="preserve"> [2002] NSWCA 22; 54 NSWLR 146</w:t>
            </w:r>
          </w:p>
          <w:p w14:paraId="0BA2383C" w14:textId="77777777" w:rsidR="00586452" w:rsidRPr="00586452" w:rsidRDefault="00586452" w:rsidP="00586452">
            <w:pPr>
              <w:pStyle w:val="CasesLegislationAppealFrom"/>
              <w:spacing w:after="60"/>
            </w:pPr>
            <w:r w:rsidRPr="00586452">
              <w:rPr>
                <w:i/>
              </w:rPr>
              <w:t>Optical 88 Ltd v Optical 88 Pty Ltd (No 2)</w:t>
            </w:r>
            <w:r w:rsidRPr="00586452">
              <w:t xml:space="preserve"> [2010] FCA 1380; 275 ALR 526</w:t>
            </w:r>
          </w:p>
          <w:p w14:paraId="695405FA" w14:textId="77777777" w:rsidR="00586452" w:rsidRPr="00586452" w:rsidRDefault="00586452" w:rsidP="00586452">
            <w:pPr>
              <w:pStyle w:val="CasesLegislationAppealFrom"/>
              <w:spacing w:after="60"/>
            </w:pPr>
            <w:r w:rsidRPr="00586452">
              <w:rPr>
                <w:i/>
              </w:rPr>
              <w:t>Optical 88 Ltd v Optical 88 Pty Ltd</w:t>
            </w:r>
            <w:r w:rsidRPr="00586452">
              <w:t xml:space="preserve"> [2011] FCAFC 130; 197 FCR 67</w:t>
            </w:r>
          </w:p>
          <w:p w14:paraId="5776254B" w14:textId="77777777" w:rsidR="00586452" w:rsidRPr="00586452" w:rsidRDefault="00586452" w:rsidP="00586452">
            <w:pPr>
              <w:pStyle w:val="CasesLegislationAppealFrom"/>
              <w:spacing w:after="60"/>
            </w:pPr>
            <w:r w:rsidRPr="00586452">
              <w:rPr>
                <w:i/>
              </w:rPr>
              <w:t>Oxford University Press v Registrar of Trade Marks</w:t>
            </w:r>
            <w:r w:rsidRPr="00586452">
              <w:t xml:space="preserve"> (1990) FCR 1</w:t>
            </w:r>
          </w:p>
          <w:p w14:paraId="6A818BC1" w14:textId="77777777" w:rsidR="00586452" w:rsidRPr="00586452" w:rsidRDefault="00586452" w:rsidP="00586452">
            <w:pPr>
              <w:pStyle w:val="CasesLegislationAppealFrom"/>
              <w:spacing w:after="60"/>
            </w:pPr>
            <w:r w:rsidRPr="00586452">
              <w:rPr>
                <w:i/>
              </w:rPr>
              <w:t>Shell Co of Australia Ltd v Esso Standard Oil (Australia) Ltd</w:t>
            </w:r>
            <w:r w:rsidRPr="00586452">
              <w:t xml:space="preserve"> (1963) 109 CLR 407</w:t>
            </w:r>
          </w:p>
          <w:p w14:paraId="06DB5F55" w14:textId="77777777" w:rsidR="00586452" w:rsidRPr="00586452" w:rsidRDefault="00586452" w:rsidP="00586452">
            <w:pPr>
              <w:pStyle w:val="CasesLegislationAppealFrom"/>
              <w:spacing w:after="60"/>
            </w:pPr>
            <w:r w:rsidRPr="00586452">
              <w:rPr>
                <w:i/>
              </w:rPr>
              <w:t xml:space="preserve">Urban Alley Brewery Pty Ltd v La </w:t>
            </w:r>
            <w:proofErr w:type="spellStart"/>
            <w:r w:rsidRPr="00586452">
              <w:rPr>
                <w:i/>
              </w:rPr>
              <w:t>Sirene</w:t>
            </w:r>
            <w:proofErr w:type="spellEnd"/>
            <w:r w:rsidRPr="00586452">
              <w:rPr>
                <w:i/>
              </w:rPr>
              <w:t xml:space="preserve"> Pty Ltd</w:t>
            </w:r>
            <w:r w:rsidRPr="00586452">
              <w:t xml:space="preserve"> [2020] FCA 82; 150 IPR 11</w:t>
            </w:r>
          </w:p>
          <w:p w14:paraId="2FCD5BE3" w14:textId="77A52FDC" w:rsidR="00586452" w:rsidRPr="00586452" w:rsidRDefault="00586452" w:rsidP="00586452">
            <w:pPr>
              <w:pStyle w:val="CasesLegislationAppealFrom"/>
              <w:spacing w:after="60"/>
            </w:pPr>
            <w:r w:rsidRPr="00586452">
              <w:rPr>
                <w:i/>
              </w:rPr>
              <w:t>Yarra Valley Dairy Pty Ltd v Lemnos Foods Pty Ltd</w:t>
            </w:r>
            <w:r w:rsidRPr="00586452">
              <w:t xml:space="preserve"> [2010] FCA 1367; 191 FCR 297</w:t>
            </w:r>
            <w:bookmarkEnd w:id="5"/>
          </w:p>
        </w:tc>
      </w:tr>
      <w:tr w:rsidR="00B61C28" w14:paraId="18D0EABC" w14:textId="77777777" w:rsidTr="001A77E9">
        <w:tc>
          <w:tcPr>
            <w:tcW w:w="3083" w:type="dxa"/>
            <w:shd w:val="clear" w:color="auto" w:fill="auto"/>
          </w:tcPr>
          <w:p w14:paraId="74E13028" w14:textId="77777777" w:rsidR="00B61C28" w:rsidRDefault="00B61C28" w:rsidP="00356CDB">
            <w:pPr>
              <w:pStyle w:val="Normal1linespace"/>
              <w:widowControl w:val="0"/>
            </w:pPr>
          </w:p>
        </w:tc>
        <w:tc>
          <w:tcPr>
            <w:tcW w:w="5990" w:type="dxa"/>
            <w:shd w:val="clear" w:color="auto" w:fill="auto"/>
          </w:tcPr>
          <w:p w14:paraId="7E017420" w14:textId="77777777" w:rsidR="00B61C28" w:rsidRDefault="00B61C28" w:rsidP="00356CDB">
            <w:pPr>
              <w:pStyle w:val="Normal1linespace"/>
              <w:widowControl w:val="0"/>
              <w:jc w:val="left"/>
            </w:pPr>
          </w:p>
        </w:tc>
      </w:tr>
      <w:tr w:rsidR="00B61C28" w14:paraId="375CA6D8" w14:textId="77777777" w:rsidTr="001A77E9">
        <w:tc>
          <w:tcPr>
            <w:tcW w:w="3083" w:type="dxa"/>
            <w:shd w:val="clear" w:color="auto" w:fill="auto"/>
          </w:tcPr>
          <w:p w14:paraId="21C9F28F" w14:textId="77777777" w:rsidR="00B61C28" w:rsidRDefault="00B61C28" w:rsidP="00501A12">
            <w:pPr>
              <w:pStyle w:val="Normal1linespace"/>
              <w:widowControl w:val="0"/>
            </w:pPr>
            <w:r>
              <w:t>Division:</w:t>
            </w:r>
          </w:p>
        </w:tc>
        <w:tc>
          <w:tcPr>
            <w:tcW w:w="5990" w:type="dxa"/>
            <w:shd w:val="clear" w:color="auto" w:fill="auto"/>
          </w:tcPr>
          <w:p w14:paraId="5B6B1DA2" w14:textId="33DA773C" w:rsidR="00B61C28" w:rsidRPr="00F17599" w:rsidRDefault="00B61C28" w:rsidP="00501A12">
            <w:pPr>
              <w:pStyle w:val="Normal1linespace"/>
              <w:widowControl w:val="0"/>
              <w:jc w:val="left"/>
            </w:pPr>
            <w:r>
              <w:t>General Division</w:t>
            </w:r>
          </w:p>
        </w:tc>
      </w:tr>
      <w:tr w:rsidR="00B61C28" w14:paraId="7B1DEC6C" w14:textId="77777777" w:rsidTr="001A77E9">
        <w:tc>
          <w:tcPr>
            <w:tcW w:w="3083" w:type="dxa"/>
            <w:shd w:val="clear" w:color="auto" w:fill="auto"/>
          </w:tcPr>
          <w:p w14:paraId="787981E2" w14:textId="77777777" w:rsidR="00B61C28" w:rsidRDefault="00B61C28" w:rsidP="00501A12">
            <w:pPr>
              <w:pStyle w:val="Normal1linespace"/>
              <w:widowControl w:val="0"/>
            </w:pPr>
            <w:bookmarkStart w:id="6" w:name="Registry_rows" w:colFirst="0" w:colLast="1"/>
          </w:p>
        </w:tc>
        <w:tc>
          <w:tcPr>
            <w:tcW w:w="5990" w:type="dxa"/>
            <w:shd w:val="clear" w:color="auto" w:fill="auto"/>
          </w:tcPr>
          <w:p w14:paraId="6878BE00" w14:textId="77777777" w:rsidR="00B61C28" w:rsidRDefault="00B61C28" w:rsidP="00501A12">
            <w:pPr>
              <w:pStyle w:val="Normal1linespace"/>
              <w:widowControl w:val="0"/>
              <w:jc w:val="left"/>
            </w:pPr>
          </w:p>
        </w:tc>
      </w:tr>
      <w:tr w:rsidR="00B61C28" w14:paraId="50F1F49B" w14:textId="77777777" w:rsidTr="001A77E9">
        <w:tc>
          <w:tcPr>
            <w:tcW w:w="3083" w:type="dxa"/>
            <w:shd w:val="clear" w:color="auto" w:fill="auto"/>
          </w:tcPr>
          <w:p w14:paraId="4603F70D" w14:textId="77777777" w:rsidR="00B61C28" w:rsidRDefault="00B61C28" w:rsidP="00501A12">
            <w:pPr>
              <w:pStyle w:val="Normal1linespace"/>
              <w:widowControl w:val="0"/>
            </w:pPr>
            <w:r>
              <w:t>Registry:</w:t>
            </w:r>
          </w:p>
        </w:tc>
        <w:tc>
          <w:tcPr>
            <w:tcW w:w="5990" w:type="dxa"/>
            <w:shd w:val="clear" w:color="auto" w:fill="auto"/>
          </w:tcPr>
          <w:p w14:paraId="21298577" w14:textId="402F4035" w:rsidR="00B61C28" w:rsidRPr="00F17599" w:rsidRDefault="00B61C28" w:rsidP="00501A12">
            <w:pPr>
              <w:pStyle w:val="Normal1linespace"/>
              <w:widowControl w:val="0"/>
              <w:jc w:val="left"/>
            </w:pPr>
            <w:r>
              <w:t>Victoria</w:t>
            </w:r>
          </w:p>
        </w:tc>
      </w:tr>
      <w:tr w:rsidR="00B61C28" w14:paraId="692F5CED" w14:textId="77777777" w:rsidTr="001A77E9">
        <w:tc>
          <w:tcPr>
            <w:tcW w:w="3083" w:type="dxa"/>
            <w:shd w:val="clear" w:color="auto" w:fill="auto"/>
          </w:tcPr>
          <w:p w14:paraId="6D41B7FF" w14:textId="77777777" w:rsidR="00B61C28" w:rsidRDefault="00B61C28" w:rsidP="00501A12">
            <w:pPr>
              <w:pStyle w:val="Normal1linespace"/>
              <w:widowControl w:val="0"/>
            </w:pPr>
            <w:bookmarkStart w:id="7" w:name="NPARow" w:colFirst="0" w:colLast="1"/>
            <w:bookmarkEnd w:id="6"/>
          </w:p>
        </w:tc>
        <w:tc>
          <w:tcPr>
            <w:tcW w:w="5990" w:type="dxa"/>
            <w:shd w:val="clear" w:color="auto" w:fill="auto"/>
          </w:tcPr>
          <w:p w14:paraId="0D3C9BBD" w14:textId="77777777" w:rsidR="00B61C28" w:rsidRPr="00F17599" w:rsidRDefault="00B61C28" w:rsidP="00501A12">
            <w:pPr>
              <w:pStyle w:val="Normal1linespace"/>
              <w:widowControl w:val="0"/>
              <w:jc w:val="left"/>
              <w:rPr>
                <w:b/>
              </w:rPr>
            </w:pPr>
          </w:p>
        </w:tc>
      </w:tr>
      <w:tr w:rsidR="00B61C28" w14:paraId="0576D260" w14:textId="77777777" w:rsidTr="001A77E9">
        <w:tc>
          <w:tcPr>
            <w:tcW w:w="3083" w:type="dxa"/>
            <w:shd w:val="clear" w:color="auto" w:fill="auto"/>
          </w:tcPr>
          <w:p w14:paraId="590CE3F0" w14:textId="77777777" w:rsidR="00B61C28" w:rsidRDefault="00B61C28" w:rsidP="00501A12">
            <w:pPr>
              <w:pStyle w:val="Normal1linespace"/>
              <w:widowControl w:val="0"/>
            </w:pPr>
            <w:r>
              <w:t>National Practice Area:</w:t>
            </w:r>
          </w:p>
        </w:tc>
        <w:tc>
          <w:tcPr>
            <w:tcW w:w="5990" w:type="dxa"/>
            <w:shd w:val="clear" w:color="auto" w:fill="auto"/>
          </w:tcPr>
          <w:p w14:paraId="5E9140FB" w14:textId="332BD823" w:rsidR="00B61C28" w:rsidRPr="00F17599" w:rsidRDefault="00B61C28" w:rsidP="00356CDB">
            <w:pPr>
              <w:pStyle w:val="Normal1linespace"/>
              <w:widowControl w:val="0"/>
              <w:jc w:val="left"/>
              <w:rPr>
                <w:b/>
              </w:rPr>
            </w:pPr>
            <w:r>
              <w:t>Intellectual Property</w:t>
            </w:r>
          </w:p>
        </w:tc>
      </w:tr>
      <w:tr w:rsidR="00B61C28" w14:paraId="063BD8BB" w14:textId="77777777" w:rsidTr="001A77E9">
        <w:tc>
          <w:tcPr>
            <w:tcW w:w="3083" w:type="dxa"/>
            <w:shd w:val="clear" w:color="auto" w:fill="auto"/>
          </w:tcPr>
          <w:p w14:paraId="3A7163A6" w14:textId="77777777" w:rsidR="00B61C28" w:rsidRDefault="00B61C28" w:rsidP="00501A12">
            <w:pPr>
              <w:pStyle w:val="Normal1linespace"/>
              <w:widowControl w:val="0"/>
            </w:pPr>
            <w:bookmarkStart w:id="8" w:name="SubAreaRow" w:colFirst="0" w:colLast="1"/>
            <w:bookmarkEnd w:id="7"/>
          </w:p>
        </w:tc>
        <w:tc>
          <w:tcPr>
            <w:tcW w:w="5990" w:type="dxa"/>
            <w:shd w:val="clear" w:color="auto" w:fill="auto"/>
          </w:tcPr>
          <w:p w14:paraId="2B08A8AE" w14:textId="77777777" w:rsidR="00B61C28" w:rsidRDefault="00B61C28" w:rsidP="00356CDB">
            <w:pPr>
              <w:pStyle w:val="Normal1linespace"/>
              <w:widowControl w:val="0"/>
              <w:jc w:val="left"/>
            </w:pPr>
          </w:p>
        </w:tc>
      </w:tr>
      <w:tr w:rsidR="00B61C28" w14:paraId="03D3C036" w14:textId="77777777" w:rsidTr="001A77E9">
        <w:tc>
          <w:tcPr>
            <w:tcW w:w="3083" w:type="dxa"/>
            <w:shd w:val="clear" w:color="auto" w:fill="auto"/>
          </w:tcPr>
          <w:p w14:paraId="40F63648" w14:textId="77777777" w:rsidR="00B61C28" w:rsidRDefault="00B61C28" w:rsidP="00501A12">
            <w:pPr>
              <w:pStyle w:val="Normal1linespace"/>
              <w:widowControl w:val="0"/>
            </w:pPr>
            <w:r>
              <w:t>Sub-area:</w:t>
            </w:r>
          </w:p>
        </w:tc>
        <w:tc>
          <w:tcPr>
            <w:tcW w:w="5990" w:type="dxa"/>
            <w:shd w:val="clear" w:color="auto" w:fill="auto"/>
          </w:tcPr>
          <w:p w14:paraId="408D3269" w14:textId="1C888A58" w:rsidR="00B61C28" w:rsidRPr="00837288" w:rsidRDefault="00B61C28" w:rsidP="00356CDB">
            <w:pPr>
              <w:pStyle w:val="Normal1linespace"/>
              <w:widowControl w:val="0"/>
              <w:jc w:val="left"/>
            </w:pPr>
            <w:r w:rsidRPr="00B61C28">
              <w:rPr>
                <w:lang w:val="en-US"/>
              </w:rPr>
              <w:t>Trade Marks</w:t>
            </w:r>
          </w:p>
        </w:tc>
      </w:tr>
      <w:bookmarkEnd w:id="8"/>
      <w:tr w:rsidR="00B61C28" w14:paraId="6DE5CC21" w14:textId="77777777" w:rsidTr="001A77E9">
        <w:tc>
          <w:tcPr>
            <w:tcW w:w="3083" w:type="dxa"/>
            <w:shd w:val="clear" w:color="auto" w:fill="auto"/>
          </w:tcPr>
          <w:p w14:paraId="6D8197D4" w14:textId="77777777" w:rsidR="00B61C28" w:rsidRDefault="00B61C28" w:rsidP="00501A12">
            <w:pPr>
              <w:pStyle w:val="Normal1linespace"/>
              <w:widowControl w:val="0"/>
            </w:pPr>
          </w:p>
        </w:tc>
        <w:tc>
          <w:tcPr>
            <w:tcW w:w="5990" w:type="dxa"/>
            <w:shd w:val="clear" w:color="auto" w:fill="auto"/>
          </w:tcPr>
          <w:p w14:paraId="1FAA9368" w14:textId="77777777" w:rsidR="00B61C28" w:rsidRDefault="00B61C28" w:rsidP="00501A12">
            <w:pPr>
              <w:pStyle w:val="Normal1linespace"/>
              <w:widowControl w:val="0"/>
              <w:jc w:val="left"/>
            </w:pPr>
          </w:p>
        </w:tc>
      </w:tr>
      <w:tr w:rsidR="00B61C28" w14:paraId="16AD8810" w14:textId="77777777" w:rsidTr="001A77E9">
        <w:tc>
          <w:tcPr>
            <w:tcW w:w="3083" w:type="dxa"/>
            <w:shd w:val="clear" w:color="auto" w:fill="auto"/>
          </w:tcPr>
          <w:p w14:paraId="23D4F58B" w14:textId="77777777" w:rsidR="00B61C28" w:rsidRDefault="00B61C28" w:rsidP="00501A12">
            <w:pPr>
              <w:pStyle w:val="Normal1linespace"/>
              <w:widowControl w:val="0"/>
            </w:pPr>
            <w:r>
              <w:t>Number of paragraphs:</w:t>
            </w:r>
          </w:p>
        </w:tc>
        <w:tc>
          <w:tcPr>
            <w:tcW w:w="5990" w:type="dxa"/>
            <w:shd w:val="clear" w:color="auto" w:fill="auto"/>
          </w:tcPr>
          <w:p w14:paraId="3BDC8A2C" w14:textId="7D5BECC9" w:rsidR="00B61C28" w:rsidRDefault="00512DD7" w:rsidP="00501A12">
            <w:pPr>
              <w:pStyle w:val="Normal1linespace"/>
              <w:widowControl w:val="0"/>
              <w:jc w:val="left"/>
            </w:pPr>
            <w:bookmarkStart w:id="9" w:name="PlaceCategoryParagraphs"/>
            <w:r>
              <w:t>317</w:t>
            </w:r>
            <w:bookmarkEnd w:id="9"/>
          </w:p>
        </w:tc>
      </w:tr>
      <w:tr w:rsidR="00B61C28" w14:paraId="1829C6E4" w14:textId="77777777" w:rsidTr="001A77E9">
        <w:tc>
          <w:tcPr>
            <w:tcW w:w="3083" w:type="dxa"/>
            <w:shd w:val="clear" w:color="auto" w:fill="auto"/>
          </w:tcPr>
          <w:p w14:paraId="1A498BA2" w14:textId="77777777" w:rsidR="00B61C28" w:rsidRDefault="00B61C28" w:rsidP="00B61C28">
            <w:pPr>
              <w:pStyle w:val="Normal1linespace"/>
              <w:widowControl w:val="0"/>
              <w:jc w:val="left"/>
            </w:pPr>
          </w:p>
        </w:tc>
        <w:tc>
          <w:tcPr>
            <w:tcW w:w="5990" w:type="dxa"/>
            <w:shd w:val="clear" w:color="auto" w:fill="auto"/>
          </w:tcPr>
          <w:p w14:paraId="127E73B6" w14:textId="77777777" w:rsidR="00B61C28" w:rsidRDefault="00B61C28" w:rsidP="00B61C28">
            <w:pPr>
              <w:pStyle w:val="Normal1linespace"/>
              <w:widowControl w:val="0"/>
              <w:jc w:val="left"/>
            </w:pPr>
          </w:p>
        </w:tc>
      </w:tr>
      <w:tr w:rsidR="00B61C28" w14:paraId="5FC70F9A" w14:textId="77777777" w:rsidTr="001A77E9">
        <w:tc>
          <w:tcPr>
            <w:tcW w:w="3083" w:type="dxa"/>
            <w:shd w:val="clear" w:color="auto" w:fill="auto"/>
          </w:tcPr>
          <w:p w14:paraId="15BFCE08" w14:textId="3CE57FBA" w:rsidR="00B61C28" w:rsidRDefault="00B61C28" w:rsidP="00B61C28">
            <w:pPr>
              <w:pStyle w:val="Normal1linespace"/>
              <w:widowControl w:val="0"/>
              <w:jc w:val="left"/>
            </w:pPr>
            <w:r>
              <w:t>Date of last submission:</w:t>
            </w:r>
          </w:p>
        </w:tc>
        <w:tc>
          <w:tcPr>
            <w:tcW w:w="5990" w:type="dxa"/>
            <w:shd w:val="clear" w:color="auto" w:fill="auto"/>
          </w:tcPr>
          <w:p w14:paraId="7A4FBB08" w14:textId="6E41233E" w:rsidR="00B61C28" w:rsidRDefault="00F3575C" w:rsidP="00B61C28">
            <w:pPr>
              <w:pStyle w:val="Normal1linespace"/>
              <w:widowControl w:val="0"/>
              <w:jc w:val="left"/>
            </w:pPr>
            <w:r>
              <w:t>16 May 2022</w:t>
            </w:r>
          </w:p>
        </w:tc>
      </w:tr>
      <w:tr w:rsidR="00B61C28" w14:paraId="06296438" w14:textId="77777777" w:rsidTr="001A77E9">
        <w:tc>
          <w:tcPr>
            <w:tcW w:w="3083" w:type="dxa"/>
            <w:shd w:val="clear" w:color="auto" w:fill="auto"/>
          </w:tcPr>
          <w:p w14:paraId="72AE5DC9" w14:textId="77777777" w:rsidR="00B61C28" w:rsidRDefault="00B61C28" w:rsidP="00B61C28">
            <w:pPr>
              <w:pStyle w:val="Normal1linespace"/>
              <w:widowControl w:val="0"/>
              <w:jc w:val="left"/>
            </w:pPr>
          </w:p>
        </w:tc>
        <w:tc>
          <w:tcPr>
            <w:tcW w:w="5990" w:type="dxa"/>
            <w:shd w:val="clear" w:color="auto" w:fill="auto"/>
          </w:tcPr>
          <w:p w14:paraId="2650D5DE" w14:textId="77777777" w:rsidR="00B61C28" w:rsidRDefault="00B61C28" w:rsidP="00B61C28">
            <w:pPr>
              <w:pStyle w:val="Normal1linespace"/>
              <w:widowControl w:val="0"/>
              <w:jc w:val="left"/>
            </w:pPr>
          </w:p>
        </w:tc>
      </w:tr>
      <w:tr w:rsidR="00B61C28" w14:paraId="201B5750" w14:textId="77777777" w:rsidTr="001A77E9">
        <w:tc>
          <w:tcPr>
            <w:tcW w:w="3083" w:type="dxa"/>
            <w:shd w:val="clear" w:color="auto" w:fill="auto"/>
          </w:tcPr>
          <w:p w14:paraId="7CF65F27" w14:textId="77777777" w:rsidR="00B61C28" w:rsidRDefault="00B61C28" w:rsidP="00B61C28">
            <w:pPr>
              <w:pStyle w:val="Normal1linespace"/>
              <w:widowControl w:val="0"/>
              <w:jc w:val="left"/>
            </w:pPr>
            <w:bookmarkStart w:id="10" w:name="CounselDate" w:colFirst="0" w:colLast="2"/>
            <w:r w:rsidRPr="006A24E3">
              <w:t>Date of hearing:</w:t>
            </w:r>
          </w:p>
        </w:tc>
        <w:tc>
          <w:tcPr>
            <w:tcW w:w="5990" w:type="dxa"/>
            <w:shd w:val="clear" w:color="auto" w:fill="auto"/>
          </w:tcPr>
          <w:p w14:paraId="12AD5ED2" w14:textId="7FBBEEB4" w:rsidR="00B61C28" w:rsidRDefault="001A77E9" w:rsidP="00B61C28">
            <w:pPr>
              <w:pStyle w:val="Normal1linespace"/>
              <w:widowControl w:val="0"/>
              <w:jc w:val="left"/>
            </w:pPr>
            <w:bookmarkStart w:id="11" w:name="HearingDate"/>
            <w:r>
              <w:t>4–5 May 2022</w:t>
            </w:r>
            <w:r w:rsidR="00B61C28">
              <w:t xml:space="preserve"> </w:t>
            </w:r>
            <w:bookmarkEnd w:id="11"/>
          </w:p>
        </w:tc>
      </w:tr>
      <w:tr w:rsidR="00B61C28" w14:paraId="5732236F" w14:textId="77777777" w:rsidTr="001A77E9">
        <w:tc>
          <w:tcPr>
            <w:tcW w:w="3083" w:type="dxa"/>
            <w:shd w:val="clear" w:color="auto" w:fill="auto"/>
          </w:tcPr>
          <w:p w14:paraId="53F1544E" w14:textId="77777777" w:rsidR="00B61C28" w:rsidRDefault="00B61C28" w:rsidP="00B61C28">
            <w:pPr>
              <w:pStyle w:val="Normal1linespace"/>
              <w:widowControl w:val="0"/>
              <w:jc w:val="left"/>
            </w:pPr>
          </w:p>
        </w:tc>
        <w:tc>
          <w:tcPr>
            <w:tcW w:w="5990" w:type="dxa"/>
            <w:shd w:val="clear" w:color="auto" w:fill="auto"/>
          </w:tcPr>
          <w:p w14:paraId="6C3C0FAC" w14:textId="77777777" w:rsidR="00B61C28" w:rsidRDefault="00B61C28" w:rsidP="00B61C28">
            <w:pPr>
              <w:pStyle w:val="Normal1linespace"/>
              <w:widowControl w:val="0"/>
              <w:jc w:val="left"/>
            </w:pPr>
          </w:p>
        </w:tc>
      </w:tr>
      <w:tr w:rsidR="00512DD7" w14:paraId="5C220E10" w14:textId="77777777" w:rsidTr="001A77E9">
        <w:tc>
          <w:tcPr>
            <w:tcW w:w="3083" w:type="dxa"/>
            <w:shd w:val="clear" w:color="auto" w:fill="auto"/>
          </w:tcPr>
          <w:p w14:paraId="606E35C4" w14:textId="3EB7297F" w:rsidR="00512DD7" w:rsidRDefault="00512DD7" w:rsidP="00512DD7">
            <w:pPr>
              <w:pStyle w:val="Normal1linespace"/>
              <w:widowControl w:val="0"/>
              <w:jc w:val="left"/>
            </w:pPr>
            <w:bookmarkStart w:id="12" w:name="Counsel" w:colFirst="0" w:colLast="2"/>
            <w:bookmarkStart w:id="13" w:name="CompletionTable"/>
            <w:bookmarkEnd w:id="10"/>
            <w:r>
              <w:t>Counsel for the Appellants:</w:t>
            </w:r>
          </w:p>
        </w:tc>
        <w:tc>
          <w:tcPr>
            <w:tcW w:w="5990" w:type="dxa"/>
            <w:shd w:val="clear" w:color="auto" w:fill="auto"/>
          </w:tcPr>
          <w:p w14:paraId="7F11777E" w14:textId="6F418358" w:rsidR="00512DD7" w:rsidRDefault="00512DD7" w:rsidP="00512DD7">
            <w:pPr>
              <w:pStyle w:val="Normal1linespace"/>
              <w:widowControl w:val="0"/>
              <w:jc w:val="left"/>
            </w:pPr>
            <w:bookmarkStart w:id="14" w:name="AppCounsel"/>
            <w:bookmarkEnd w:id="14"/>
            <w:r>
              <w:t>Mr A Bannon SC and Mr A Sykes</w:t>
            </w:r>
          </w:p>
        </w:tc>
      </w:tr>
      <w:tr w:rsidR="00512DD7" w14:paraId="4584AA10" w14:textId="77777777" w:rsidTr="001A77E9">
        <w:tc>
          <w:tcPr>
            <w:tcW w:w="3083" w:type="dxa"/>
            <w:shd w:val="clear" w:color="auto" w:fill="auto"/>
          </w:tcPr>
          <w:p w14:paraId="1C77F137" w14:textId="77777777" w:rsidR="00512DD7" w:rsidRDefault="00512DD7" w:rsidP="00512DD7">
            <w:pPr>
              <w:pStyle w:val="Normal1linespace"/>
              <w:widowControl w:val="0"/>
              <w:jc w:val="left"/>
            </w:pPr>
          </w:p>
        </w:tc>
        <w:tc>
          <w:tcPr>
            <w:tcW w:w="5989" w:type="dxa"/>
            <w:shd w:val="clear" w:color="auto" w:fill="auto"/>
          </w:tcPr>
          <w:p w14:paraId="406D8B45" w14:textId="77777777" w:rsidR="00512DD7" w:rsidRDefault="00512DD7" w:rsidP="00512DD7">
            <w:pPr>
              <w:pStyle w:val="Normal1linespace"/>
              <w:widowControl w:val="0"/>
              <w:jc w:val="left"/>
            </w:pPr>
          </w:p>
        </w:tc>
      </w:tr>
      <w:tr w:rsidR="00512DD7" w14:paraId="2059ABE1" w14:textId="77777777" w:rsidTr="001A77E9">
        <w:tc>
          <w:tcPr>
            <w:tcW w:w="3083" w:type="dxa"/>
            <w:shd w:val="clear" w:color="auto" w:fill="auto"/>
          </w:tcPr>
          <w:p w14:paraId="3D54836F" w14:textId="26E7C027" w:rsidR="00512DD7" w:rsidRDefault="00512DD7" w:rsidP="00512DD7">
            <w:pPr>
              <w:pStyle w:val="Normal1linespace"/>
              <w:widowControl w:val="0"/>
              <w:jc w:val="left"/>
            </w:pPr>
            <w:r>
              <w:t>Solicitor for the Appellants:</w:t>
            </w:r>
          </w:p>
        </w:tc>
        <w:tc>
          <w:tcPr>
            <w:tcW w:w="5989" w:type="dxa"/>
            <w:shd w:val="clear" w:color="auto" w:fill="auto"/>
          </w:tcPr>
          <w:p w14:paraId="6E432119" w14:textId="600B7D8C" w:rsidR="00512DD7" w:rsidRDefault="00512DD7" w:rsidP="00512DD7">
            <w:pPr>
              <w:pStyle w:val="Normal1linespace"/>
              <w:widowControl w:val="0"/>
              <w:jc w:val="left"/>
            </w:pPr>
            <w:r>
              <w:t>Gestalt Law</w:t>
            </w:r>
          </w:p>
        </w:tc>
      </w:tr>
      <w:tr w:rsidR="00512DD7" w14:paraId="6C259E3A" w14:textId="77777777" w:rsidTr="001A77E9">
        <w:tc>
          <w:tcPr>
            <w:tcW w:w="3083" w:type="dxa"/>
            <w:shd w:val="clear" w:color="auto" w:fill="auto"/>
          </w:tcPr>
          <w:p w14:paraId="60C80AC6" w14:textId="77777777" w:rsidR="00512DD7" w:rsidRDefault="00512DD7" w:rsidP="00512DD7">
            <w:pPr>
              <w:pStyle w:val="Normal1linespace"/>
              <w:widowControl w:val="0"/>
              <w:jc w:val="left"/>
            </w:pPr>
          </w:p>
        </w:tc>
        <w:tc>
          <w:tcPr>
            <w:tcW w:w="5989" w:type="dxa"/>
            <w:shd w:val="clear" w:color="auto" w:fill="auto"/>
          </w:tcPr>
          <w:p w14:paraId="75522A17" w14:textId="77777777" w:rsidR="00512DD7" w:rsidRDefault="00512DD7" w:rsidP="00512DD7">
            <w:pPr>
              <w:pStyle w:val="Normal1linespace"/>
              <w:widowControl w:val="0"/>
              <w:jc w:val="left"/>
            </w:pPr>
          </w:p>
        </w:tc>
      </w:tr>
      <w:tr w:rsidR="00512DD7" w14:paraId="04C6B3B5" w14:textId="77777777" w:rsidTr="001A77E9">
        <w:tc>
          <w:tcPr>
            <w:tcW w:w="3083" w:type="dxa"/>
            <w:shd w:val="clear" w:color="auto" w:fill="auto"/>
          </w:tcPr>
          <w:p w14:paraId="741CAD7B" w14:textId="2C1FB98D" w:rsidR="00512DD7" w:rsidRDefault="00512DD7" w:rsidP="00512DD7">
            <w:pPr>
              <w:pStyle w:val="Normal1linespace"/>
              <w:widowControl w:val="0"/>
              <w:jc w:val="left"/>
            </w:pPr>
            <w:r>
              <w:t>Counsel for the Respondent:</w:t>
            </w:r>
          </w:p>
        </w:tc>
        <w:tc>
          <w:tcPr>
            <w:tcW w:w="5989" w:type="dxa"/>
            <w:shd w:val="clear" w:color="auto" w:fill="auto"/>
          </w:tcPr>
          <w:p w14:paraId="0B382A98" w14:textId="5F6CC619" w:rsidR="00512DD7" w:rsidRDefault="00512DD7" w:rsidP="00512DD7">
            <w:pPr>
              <w:pStyle w:val="Normal1linespace"/>
              <w:widowControl w:val="0"/>
              <w:jc w:val="left"/>
            </w:pPr>
            <w:r>
              <w:t xml:space="preserve">Mr T </w:t>
            </w:r>
            <w:proofErr w:type="spellStart"/>
            <w:r>
              <w:t>Cordiner</w:t>
            </w:r>
            <w:proofErr w:type="spellEnd"/>
            <w:r>
              <w:t xml:space="preserve"> KC and Ms L Davis</w:t>
            </w:r>
          </w:p>
        </w:tc>
      </w:tr>
      <w:tr w:rsidR="00512DD7" w14:paraId="4E4B4D21" w14:textId="77777777" w:rsidTr="001A77E9">
        <w:tc>
          <w:tcPr>
            <w:tcW w:w="3083" w:type="dxa"/>
            <w:shd w:val="clear" w:color="auto" w:fill="auto"/>
          </w:tcPr>
          <w:p w14:paraId="36AEA4E9" w14:textId="77777777" w:rsidR="00512DD7" w:rsidRDefault="00512DD7" w:rsidP="00512DD7">
            <w:pPr>
              <w:pStyle w:val="Normal1linespace"/>
              <w:widowControl w:val="0"/>
              <w:jc w:val="left"/>
            </w:pPr>
          </w:p>
        </w:tc>
        <w:tc>
          <w:tcPr>
            <w:tcW w:w="5989" w:type="dxa"/>
            <w:shd w:val="clear" w:color="auto" w:fill="auto"/>
          </w:tcPr>
          <w:p w14:paraId="64F962AC" w14:textId="77777777" w:rsidR="00512DD7" w:rsidRDefault="00512DD7" w:rsidP="00512DD7">
            <w:pPr>
              <w:pStyle w:val="Normal1linespace"/>
              <w:widowControl w:val="0"/>
              <w:jc w:val="left"/>
            </w:pPr>
          </w:p>
        </w:tc>
      </w:tr>
      <w:tr w:rsidR="00512DD7" w14:paraId="76CD9287" w14:textId="77777777" w:rsidTr="001A77E9">
        <w:tc>
          <w:tcPr>
            <w:tcW w:w="3083" w:type="dxa"/>
            <w:shd w:val="clear" w:color="auto" w:fill="auto"/>
          </w:tcPr>
          <w:p w14:paraId="09FA1EEB" w14:textId="7B2E0328" w:rsidR="00512DD7" w:rsidRDefault="00512DD7" w:rsidP="00512DD7">
            <w:pPr>
              <w:pStyle w:val="Normal1linespace"/>
              <w:widowControl w:val="0"/>
              <w:jc w:val="left"/>
            </w:pPr>
            <w:r>
              <w:t>Solicitor for the Respondent:</w:t>
            </w:r>
          </w:p>
        </w:tc>
        <w:tc>
          <w:tcPr>
            <w:tcW w:w="5989" w:type="dxa"/>
            <w:shd w:val="clear" w:color="auto" w:fill="auto"/>
          </w:tcPr>
          <w:p w14:paraId="5B80C9E1" w14:textId="344CFBAB" w:rsidR="00512DD7" w:rsidRDefault="00512DD7" w:rsidP="00512DD7">
            <w:pPr>
              <w:pStyle w:val="Normal1linespace"/>
              <w:widowControl w:val="0"/>
              <w:jc w:val="left"/>
            </w:pPr>
            <w:proofErr w:type="spellStart"/>
            <w:r>
              <w:t>Ashurst</w:t>
            </w:r>
            <w:proofErr w:type="spellEnd"/>
          </w:p>
        </w:tc>
      </w:tr>
      <w:bookmarkEnd w:id="12"/>
      <w:bookmarkEnd w:id="13"/>
    </w:tbl>
    <w:p w14:paraId="6B7FAE46" w14:textId="77777777" w:rsidR="007470BD" w:rsidRDefault="007470BD">
      <w:pPr>
        <w:pStyle w:val="Normal1linespace"/>
      </w:pPr>
    </w:p>
    <w:p w14:paraId="1C4DA39A" w14:textId="77777777" w:rsidR="00E94CBF" w:rsidRDefault="00E94CBF">
      <w:pPr>
        <w:pStyle w:val="Normal1linespace"/>
      </w:pPr>
    </w:p>
    <w:p w14:paraId="6989FB46"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6D798C5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FDE1EC1" w14:textId="77777777" w:rsidTr="00E81DA6">
        <w:tc>
          <w:tcPr>
            <w:tcW w:w="6912" w:type="dxa"/>
            <w:gridSpan w:val="2"/>
          </w:tcPr>
          <w:p w14:paraId="6B09AC43" w14:textId="77777777" w:rsidR="00A46CCC" w:rsidRPr="001765E0" w:rsidRDefault="00A46CCC" w:rsidP="00525A49">
            <w:pPr>
              <w:pStyle w:val="NormalHeadings"/>
            </w:pPr>
          </w:p>
        </w:tc>
        <w:tc>
          <w:tcPr>
            <w:tcW w:w="2330" w:type="dxa"/>
          </w:tcPr>
          <w:p w14:paraId="6D226B44" w14:textId="77777777" w:rsidR="00B61C28" w:rsidRDefault="00B61C28" w:rsidP="00F92355">
            <w:pPr>
              <w:pStyle w:val="NormalHeadings"/>
              <w:jc w:val="right"/>
            </w:pPr>
            <w:bookmarkStart w:id="15" w:name="FileNo"/>
            <w:r>
              <w:t>VID 737 of 2021</w:t>
            </w:r>
          </w:p>
          <w:p w14:paraId="5C7A0351" w14:textId="77777777" w:rsidR="00A46CCC" w:rsidRDefault="00B61C28" w:rsidP="00F92355">
            <w:pPr>
              <w:pStyle w:val="NormalHeadings"/>
              <w:jc w:val="right"/>
            </w:pPr>
            <w:r>
              <w:t>VID 164 of 2022</w:t>
            </w:r>
            <w:bookmarkEnd w:id="15"/>
          </w:p>
        </w:tc>
      </w:tr>
      <w:tr w:rsidR="00A76C13" w14:paraId="416692F5" w14:textId="77777777" w:rsidTr="00356CDB">
        <w:tc>
          <w:tcPr>
            <w:tcW w:w="9242" w:type="dxa"/>
            <w:gridSpan w:val="3"/>
          </w:tcPr>
          <w:p w14:paraId="174EB446" w14:textId="77777777" w:rsidR="00A76C13" w:rsidRPr="00A76C13" w:rsidRDefault="00B61C28" w:rsidP="00B61C28">
            <w:pPr>
              <w:pStyle w:val="NormalHeadings"/>
              <w:jc w:val="left"/>
            </w:pPr>
            <w:bookmarkStart w:id="16" w:name="InTheMatterOf"/>
            <w:r>
              <w:t xml:space="preserve"> </w:t>
            </w:r>
            <w:bookmarkEnd w:id="16"/>
          </w:p>
        </w:tc>
      </w:tr>
      <w:tr w:rsidR="00A46CCC" w14:paraId="006AEA98" w14:textId="77777777" w:rsidTr="00356CDB">
        <w:trPr>
          <w:trHeight w:val="386"/>
        </w:trPr>
        <w:tc>
          <w:tcPr>
            <w:tcW w:w="2376" w:type="dxa"/>
          </w:tcPr>
          <w:p w14:paraId="17209D52" w14:textId="77777777" w:rsidR="00A46CCC" w:rsidRDefault="00A46CCC" w:rsidP="00356CDB">
            <w:pPr>
              <w:pStyle w:val="NormalHeadings"/>
              <w:jc w:val="left"/>
              <w:rPr>
                <w:caps/>
                <w:szCs w:val="24"/>
              </w:rPr>
            </w:pPr>
            <w:bookmarkStart w:id="17" w:name="Parties"/>
            <w:r>
              <w:rPr>
                <w:caps/>
                <w:szCs w:val="24"/>
              </w:rPr>
              <w:t>BETWEEN:</w:t>
            </w:r>
          </w:p>
        </w:tc>
        <w:tc>
          <w:tcPr>
            <w:tcW w:w="6866" w:type="dxa"/>
            <w:gridSpan w:val="2"/>
          </w:tcPr>
          <w:p w14:paraId="593FFDDF" w14:textId="77777777" w:rsidR="00B61C28" w:rsidRDefault="00B61C28" w:rsidP="00B61C28">
            <w:pPr>
              <w:pStyle w:val="NormalHeadings"/>
              <w:jc w:val="left"/>
            </w:pPr>
            <w:bookmarkStart w:id="18" w:name="Applicant"/>
            <w:r>
              <w:t>HENLEY CONSTRUCTIONS PTY LTD ACN 123 122 038</w:t>
            </w:r>
          </w:p>
          <w:p w14:paraId="06FB3EDD" w14:textId="77777777" w:rsidR="00B61C28" w:rsidRDefault="00B61C28" w:rsidP="00B61C28">
            <w:pPr>
              <w:pStyle w:val="PartyType"/>
            </w:pPr>
            <w:r>
              <w:t>First Appellant</w:t>
            </w:r>
          </w:p>
          <w:p w14:paraId="6FA75882" w14:textId="77777777" w:rsidR="00B61C28" w:rsidRDefault="00B61C28" w:rsidP="00356CDB">
            <w:pPr>
              <w:pStyle w:val="NormalHeadings"/>
              <w:jc w:val="left"/>
              <w:rPr>
                <w:szCs w:val="24"/>
              </w:rPr>
            </w:pPr>
          </w:p>
          <w:p w14:paraId="01FB6439" w14:textId="77777777" w:rsidR="00B61C28" w:rsidRDefault="00B61C28" w:rsidP="00B61C28">
            <w:pPr>
              <w:pStyle w:val="NormalHeadings"/>
              <w:jc w:val="left"/>
            </w:pPr>
            <w:r>
              <w:t>PATRICK SARKIS</w:t>
            </w:r>
          </w:p>
          <w:p w14:paraId="24408EE3" w14:textId="77777777" w:rsidR="00B61C28" w:rsidRDefault="00B61C28" w:rsidP="00B61C28">
            <w:pPr>
              <w:pStyle w:val="PartyType"/>
            </w:pPr>
            <w:r>
              <w:t>Second Appellant</w:t>
            </w:r>
          </w:p>
          <w:bookmarkEnd w:id="18"/>
          <w:p w14:paraId="5BB66C70" w14:textId="77777777" w:rsidR="00A46CCC" w:rsidRPr="006555B4" w:rsidRDefault="00A46CCC" w:rsidP="00356CDB">
            <w:pPr>
              <w:pStyle w:val="NormalHeadings"/>
              <w:jc w:val="left"/>
            </w:pPr>
          </w:p>
        </w:tc>
      </w:tr>
      <w:tr w:rsidR="00A46CCC" w14:paraId="6A01AE23" w14:textId="77777777" w:rsidTr="00356CDB">
        <w:trPr>
          <w:trHeight w:val="386"/>
        </w:trPr>
        <w:tc>
          <w:tcPr>
            <w:tcW w:w="2376" w:type="dxa"/>
          </w:tcPr>
          <w:p w14:paraId="20B67DE5" w14:textId="77777777" w:rsidR="00A46CCC" w:rsidRDefault="00A46CCC" w:rsidP="00356CDB">
            <w:pPr>
              <w:pStyle w:val="NormalHeadings"/>
              <w:jc w:val="left"/>
              <w:rPr>
                <w:caps/>
                <w:szCs w:val="24"/>
              </w:rPr>
            </w:pPr>
            <w:r>
              <w:rPr>
                <w:caps/>
                <w:szCs w:val="24"/>
              </w:rPr>
              <w:t>AND:</w:t>
            </w:r>
          </w:p>
        </w:tc>
        <w:tc>
          <w:tcPr>
            <w:tcW w:w="6866" w:type="dxa"/>
            <w:gridSpan w:val="2"/>
          </w:tcPr>
          <w:p w14:paraId="14088845" w14:textId="77777777" w:rsidR="00B61C28" w:rsidRDefault="00B61C28" w:rsidP="00B61C28">
            <w:pPr>
              <w:pStyle w:val="NormalHeadings"/>
              <w:jc w:val="left"/>
            </w:pPr>
            <w:bookmarkStart w:id="19" w:name="Respondent"/>
            <w:r>
              <w:t>HENLEY ARCH PTY LTD ACN 007 316 930</w:t>
            </w:r>
          </w:p>
          <w:p w14:paraId="26608863" w14:textId="77777777" w:rsidR="00B61C28" w:rsidRDefault="00B61C28" w:rsidP="00B61C28">
            <w:pPr>
              <w:pStyle w:val="PartyType"/>
            </w:pPr>
            <w:r>
              <w:t>Respondent</w:t>
            </w:r>
          </w:p>
          <w:bookmarkEnd w:id="19"/>
          <w:p w14:paraId="605CFA78" w14:textId="77777777" w:rsidR="00A46CCC" w:rsidRPr="006555B4" w:rsidRDefault="00A46CCC" w:rsidP="00356CDB">
            <w:pPr>
              <w:pStyle w:val="NormalHeadings"/>
              <w:jc w:val="left"/>
            </w:pPr>
          </w:p>
        </w:tc>
      </w:tr>
    </w:tbl>
    <w:p w14:paraId="5D826375" w14:textId="77777777" w:rsidR="00395B24" w:rsidRDefault="00395B24">
      <w:pPr>
        <w:pStyle w:val="NormalHeadings"/>
      </w:pPr>
      <w:bookmarkStart w:id="20" w:name="CrossClaimPosition"/>
      <w:bookmarkEnd w:id="17"/>
      <w:bookmarkEnd w:id="20"/>
    </w:p>
    <w:tbl>
      <w:tblPr>
        <w:tblW w:w="0" w:type="auto"/>
        <w:tblLayout w:type="fixed"/>
        <w:tblLook w:val="0000" w:firstRow="0" w:lastRow="0" w:firstColumn="0" w:lastColumn="0" w:noHBand="0" w:noVBand="0"/>
        <w:tblCaption w:val="Judge"/>
        <w:tblDescription w:val="Judge"/>
      </w:tblPr>
      <w:tblGrid>
        <w:gridCol w:w="2376"/>
        <w:gridCol w:w="6866"/>
      </w:tblGrid>
      <w:tr w:rsidR="00395B24" w14:paraId="764D1CF1" w14:textId="77777777">
        <w:tc>
          <w:tcPr>
            <w:tcW w:w="2376" w:type="dxa"/>
          </w:tcPr>
          <w:p w14:paraId="6E2E6B2C" w14:textId="77777777" w:rsidR="00395B24" w:rsidRDefault="00974709">
            <w:pPr>
              <w:pStyle w:val="NormalHeadings"/>
              <w:spacing w:after="120"/>
              <w:jc w:val="left"/>
              <w:rPr>
                <w:caps/>
                <w:szCs w:val="24"/>
              </w:rPr>
            </w:pPr>
            <w:bookmarkStart w:id="21" w:name="JudgeText"/>
            <w:r>
              <w:rPr>
                <w:caps/>
                <w:szCs w:val="24"/>
              </w:rPr>
              <w:t>order made by</w:t>
            </w:r>
            <w:bookmarkEnd w:id="21"/>
            <w:r w:rsidR="002C7385">
              <w:rPr>
                <w:caps/>
                <w:szCs w:val="24"/>
              </w:rPr>
              <w:t>:</w:t>
            </w:r>
          </w:p>
        </w:tc>
        <w:tc>
          <w:tcPr>
            <w:tcW w:w="6866" w:type="dxa"/>
          </w:tcPr>
          <w:p w14:paraId="05D277DD" w14:textId="77777777" w:rsidR="00395B24" w:rsidRDefault="00986B67" w:rsidP="00986B67">
            <w:pPr>
              <w:pStyle w:val="NormalHeadings"/>
              <w:jc w:val="left"/>
              <w:rPr>
                <w:caps/>
                <w:szCs w:val="24"/>
              </w:rPr>
            </w:pPr>
            <w:bookmarkStart w:id="22" w:name="Judge"/>
            <w:r>
              <w:rPr>
                <w:caps/>
                <w:szCs w:val="24"/>
              </w:rPr>
              <w:t>YATES,</w:t>
            </w:r>
            <w:r w:rsidR="00B61C28">
              <w:rPr>
                <w:caps/>
                <w:szCs w:val="24"/>
              </w:rPr>
              <w:t xml:space="preserve"> ROFE</w:t>
            </w:r>
            <w:r w:rsidR="0083428C">
              <w:rPr>
                <w:caps/>
                <w:szCs w:val="24"/>
              </w:rPr>
              <w:t xml:space="preserve"> and mcel</w:t>
            </w:r>
            <w:r>
              <w:rPr>
                <w:caps/>
                <w:szCs w:val="24"/>
              </w:rPr>
              <w:t>waine jj</w:t>
            </w:r>
            <w:r w:rsidR="00B61C28">
              <w:rPr>
                <w:caps/>
                <w:szCs w:val="24"/>
              </w:rPr>
              <w:t xml:space="preserve"> </w:t>
            </w:r>
            <w:bookmarkEnd w:id="22"/>
            <w:r>
              <w:rPr>
                <w:caps/>
                <w:szCs w:val="24"/>
              </w:rPr>
              <w:t xml:space="preserve"> </w:t>
            </w:r>
          </w:p>
        </w:tc>
      </w:tr>
      <w:tr w:rsidR="00395B24" w14:paraId="48C93EF3" w14:textId="77777777">
        <w:tc>
          <w:tcPr>
            <w:tcW w:w="2376" w:type="dxa"/>
          </w:tcPr>
          <w:p w14:paraId="075C4A95" w14:textId="77777777" w:rsidR="00395B24" w:rsidRDefault="002C7385">
            <w:pPr>
              <w:pStyle w:val="NormalHeadings"/>
              <w:spacing w:after="120"/>
              <w:jc w:val="left"/>
              <w:rPr>
                <w:caps/>
                <w:szCs w:val="24"/>
              </w:rPr>
            </w:pPr>
            <w:r>
              <w:rPr>
                <w:caps/>
                <w:szCs w:val="24"/>
              </w:rPr>
              <w:t>DATE OF ORDER:</w:t>
            </w:r>
          </w:p>
        </w:tc>
        <w:tc>
          <w:tcPr>
            <w:tcW w:w="6866" w:type="dxa"/>
          </w:tcPr>
          <w:p w14:paraId="7AA5E182" w14:textId="13287579" w:rsidR="00395B24" w:rsidRDefault="006747ED" w:rsidP="00B51D63">
            <w:pPr>
              <w:pStyle w:val="NormalHeadings"/>
              <w:jc w:val="left"/>
              <w:rPr>
                <w:caps/>
                <w:szCs w:val="24"/>
              </w:rPr>
            </w:pPr>
            <w:bookmarkStart w:id="23" w:name="Judgment_Dated"/>
            <w:r>
              <w:rPr>
                <w:caps/>
                <w:szCs w:val="24"/>
              </w:rPr>
              <w:t xml:space="preserve">28 APRIL </w:t>
            </w:r>
            <w:r w:rsidR="00B61C28">
              <w:rPr>
                <w:caps/>
                <w:szCs w:val="24"/>
              </w:rPr>
              <w:t>202</w:t>
            </w:r>
            <w:bookmarkEnd w:id="23"/>
            <w:r w:rsidR="00B51D63">
              <w:rPr>
                <w:caps/>
                <w:szCs w:val="24"/>
              </w:rPr>
              <w:t>3</w:t>
            </w:r>
          </w:p>
        </w:tc>
      </w:tr>
    </w:tbl>
    <w:p w14:paraId="6B80BA87" w14:textId="77777777" w:rsidR="00395B24" w:rsidRDefault="00395B24">
      <w:pPr>
        <w:pStyle w:val="NormalHeadings"/>
        <w:rPr>
          <w:b w:val="0"/>
        </w:rPr>
      </w:pPr>
    </w:p>
    <w:p w14:paraId="4480CD78" w14:textId="77777777" w:rsidR="008D1617" w:rsidRDefault="008D1617">
      <w:pPr>
        <w:pStyle w:val="NormalHeadings"/>
        <w:rPr>
          <w:b w:val="0"/>
        </w:rPr>
      </w:pPr>
    </w:p>
    <w:p w14:paraId="1C575B53" w14:textId="77777777" w:rsidR="00395B24" w:rsidRDefault="002C7385">
      <w:pPr>
        <w:pStyle w:val="NormalHeadings"/>
      </w:pPr>
      <w:r>
        <w:t>THE COURT ORDERS THAT:</w:t>
      </w:r>
    </w:p>
    <w:p w14:paraId="5E5733C0" w14:textId="77777777" w:rsidR="007F60DF" w:rsidRDefault="007F60DF" w:rsidP="00243E5E">
      <w:pPr>
        <w:pStyle w:val="NormalHeadings"/>
      </w:pPr>
    </w:p>
    <w:p w14:paraId="52693A38" w14:textId="7BF63476" w:rsidR="001A6C52" w:rsidRDefault="00BC7D85" w:rsidP="00BC7D85">
      <w:pPr>
        <w:pStyle w:val="Order1"/>
        <w:numPr>
          <w:ilvl w:val="0"/>
          <w:numId w:val="0"/>
        </w:numPr>
        <w:tabs>
          <w:tab w:val="left" w:pos="720"/>
        </w:tabs>
        <w:ind w:left="720" w:hanging="720"/>
      </w:pPr>
      <w:r>
        <w:t>1.</w:t>
      </w:r>
      <w:r>
        <w:tab/>
      </w:r>
      <w:r w:rsidR="00644C63">
        <w:t>Subject to Orders 2 to 4, the parties bring in agreed orders giving effect to these reasons for judgment.</w:t>
      </w:r>
    </w:p>
    <w:p w14:paraId="7C7AF9D7" w14:textId="2F6CCCB6" w:rsidR="0007050C" w:rsidRDefault="00BC7D85" w:rsidP="00BC7D85">
      <w:pPr>
        <w:pStyle w:val="Order1"/>
        <w:numPr>
          <w:ilvl w:val="0"/>
          <w:numId w:val="0"/>
        </w:numPr>
        <w:tabs>
          <w:tab w:val="left" w:pos="720"/>
        </w:tabs>
        <w:ind w:left="720" w:hanging="720"/>
      </w:pPr>
      <w:r>
        <w:t>2.</w:t>
      </w:r>
      <w:r>
        <w:tab/>
      </w:r>
      <w:proofErr w:type="gramStart"/>
      <w:r w:rsidR="00644C63">
        <w:t>In</w:t>
      </w:r>
      <w:proofErr w:type="gramEnd"/>
      <w:r w:rsidR="00644C63">
        <w:t xml:space="preserve"> the event that the parties cannot agree on the orders to be made:  </w:t>
      </w:r>
    </w:p>
    <w:p w14:paraId="5E72A3D8" w14:textId="53F66AD2" w:rsidR="0007050C" w:rsidRDefault="00BC7D85" w:rsidP="00BC7D85">
      <w:pPr>
        <w:pStyle w:val="Order2"/>
        <w:numPr>
          <w:ilvl w:val="0"/>
          <w:numId w:val="0"/>
        </w:numPr>
        <w:ind w:left="1440" w:hanging="720"/>
      </w:pPr>
      <w:r>
        <w:t>(a)</w:t>
      </w:r>
      <w:r>
        <w:tab/>
      </w:r>
      <w:r w:rsidR="00644C63">
        <w:t>within 10 days of the date of these orders, each party serve on the other a draft of the orders the party proposes, supported by written submissions not exceeding three pages; and</w:t>
      </w:r>
    </w:p>
    <w:p w14:paraId="7C52B374" w14:textId="46EED88D" w:rsidR="00644C63" w:rsidRDefault="00BC7D85" w:rsidP="00BC7D85">
      <w:pPr>
        <w:pStyle w:val="Order2"/>
        <w:numPr>
          <w:ilvl w:val="0"/>
          <w:numId w:val="0"/>
        </w:numPr>
        <w:ind w:left="1440" w:hanging="720"/>
      </w:pPr>
      <w:r>
        <w:t>(b)</w:t>
      </w:r>
      <w:r>
        <w:tab/>
      </w:r>
      <w:proofErr w:type="gramStart"/>
      <w:r w:rsidR="00644C63">
        <w:t>within</w:t>
      </w:r>
      <w:proofErr w:type="gramEnd"/>
      <w:r w:rsidR="00644C63">
        <w:t xml:space="preserve"> a further seven days, each party serve on the other</w:t>
      </w:r>
      <w:r w:rsidR="00EA52BB">
        <w:t xml:space="preserve"> party</w:t>
      </w:r>
      <w:r w:rsidR="00644C63">
        <w:t xml:space="preserve"> responding submissions not exceeding two pages.</w:t>
      </w:r>
    </w:p>
    <w:p w14:paraId="23688A44" w14:textId="54F7F13F" w:rsidR="00644C63" w:rsidRDefault="00BC7D85" w:rsidP="00BC7D85">
      <w:pPr>
        <w:pStyle w:val="Order1"/>
        <w:numPr>
          <w:ilvl w:val="0"/>
          <w:numId w:val="0"/>
        </w:numPr>
        <w:tabs>
          <w:tab w:val="left" w:pos="720"/>
        </w:tabs>
        <w:ind w:left="720" w:hanging="720"/>
      </w:pPr>
      <w:r>
        <w:t>3.</w:t>
      </w:r>
      <w:r>
        <w:tab/>
      </w:r>
      <w:r w:rsidR="00644C63">
        <w:t>At the time of service referred to in Order 2, the parties provide copies of the served documents to the Chambers of each member of the Full Court.</w:t>
      </w:r>
    </w:p>
    <w:p w14:paraId="67309A9E" w14:textId="27431E8E" w:rsidR="00644C63" w:rsidRDefault="00BC7D85" w:rsidP="00BC7D85">
      <w:pPr>
        <w:pStyle w:val="Order1"/>
        <w:numPr>
          <w:ilvl w:val="0"/>
          <w:numId w:val="0"/>
        </w:numPr>
        <w:tabs>
          <w:tab w:val="left" w:pos="720"/>
        </w:tabs>
        <w:ind w:left="720" w:hanging="720"/>
      </w:pPr>
      <w:r>
        <w:t>4.</w:t>
      </w:r>
      <w:r>
        <w:tab/>
      </w:r>
      <w:r w:rsidR="00644C63">
        <w:t xml:space="preserve">Subject to further order, the question of the orders to </w:t>
      </w:r>
      <w:proofErr w:type="gramStart"/>
      <w:r w:rsidR="00644C63">
        <w:t>be made</w:t>
      </w:r>
      <w:proofErr w:type="gramEnd"/>
      <w:r w:rsidR="00644C63">
        <w:t xml:space="preserve"> </w:t>
      </w:r>
      <w:r w:rsidR="00EA52BB">
        <w:t>i</w:t>
      </w:r>
      <w:r w:rsidR="00644C63">
        <w:t xml:space="preserve">n </w:t>
      </w:r>
      <w:r w:rsidR="00C0196B">
        <w:t xml:space="preserve">this </w:t>
      </w:r>
      <w:r w:rsidR="00644C63">
        <w:t>appeal be determined on the papers.</w:t>
      </w:r>
    </w:p>
    <w:p w14:paraId="29EB5EA5" w14:textId="77777777" w:rsidR="001A6C52" w:rsidRDefault="001A6C52" w:rsidP="001A6C52">
      <w:pPr>
        <w:pStyle w:val="BodyText"/>
      </w:pPr>
    </w:p>
    <w:p w14:paraId="459AB3C9" w14:textId="77777777" w:rsidR="00A431E6" w:rsidRDefault="00A431E6" w:rsidP="001A6C52">
      <w:pPr>
        <w:pStyle w:val="BodyText"/>
      </w:pPr>
    </w:p>
    <w:p w14:paraId="5AF009AC" w14:textId="77777777" w:rsidR="0050309C" w:rsidRDefault="00B61C28" w:rsidP="004D53E5">
      <w:pPr>
        <w:pStyle w:val="SingleSpace"/>
      </w:pPr>
      <w:bookmarkStart w:id="24" w:name="OrdersStatement"/>
      <w:r>
        <w:t>Note:</w:t>
      </w:r>
      <w:r>
        <w:tab/>
        <w:t xml:space="preserve">Entry of orders </w:t>
      </w:r>
      <w:proofErr w:type="gramStart"/>
      <w:r>
        <w:t>is dealt with</w:t>
      </w:r>
      <w:proofErr w:type="gramEnd"/>
      <w:r>
        <w:t xml:space="preserve"> in Rule 39.32 of the </w:t>
      </w:r>
      <w:r>
        <w:rPr>
          <w:i/>
        </w:rPr>
        <w:t>Federal Court Rules 2011</w:t>
      </w:r>
      <w:r>
        <w:t>.</w:t>
      </w:r>
      <w:bookmarkEnd w:id="24"/>
    </w:p>
    <w:p w14:paraId="45AFFBA7" w14:textId="77777777" w:rsidR="00E23577" w:rsidRDefault="00E23577" w:rsidP="002B0E91">
      <w:pPr>
        <w:pStyle w:val="BodyText"/>
      </w:pPr>
    </w:p>
    <w:p w14:paraId="0B560C4A" w14:textId="77777777" w:rsidR="00395B24" w:rsidRDefault="00395B24">
      <w:pPr>
        <w:pStyle w:val="NormalHeadings"/>
        <w:spacing w:before="240" w:after="120"/>
        <w:rPr>
          <w:b w:val="0"/>
        </w:rPr>
      </w:pPr>
    </w:p>
    <w:p w14:paraId="7F222575" w14:textId="77777777" w:rsidR="00B61C28" w:rsidRDefault="00B61C28">
      <w:pPr>
        <w:pStyle w:val="NormalHeadings"/>
        <w:spacing w:before="240" w:after="120"/>
        <w:rPr>
          <w:b w:val="0"/>
        </w:rPr>
        <w:sectPr w:rsidR="00B61C28"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5C03EAA5" w14:textId="3A70E1EB" w:rsidR="00484F6D" w:rsidRDefault="00484F6D" w:rsidP="00045BB7">
      <w:pPr>
        <w:pStyle w:val="NormalHeadings"/>
        <w:spacing w:line="480" w:lineRule="auto"/>
        <w:jc w:val="center"/>
        <w:rPr>
          <w:sz w:val="28"/>
          <w:szCs w:val="28"/>
        </w:rPr>
      </w:pPr>
      <w:bookmarkStart w:id="25" w:name="ReasonsPage"/>
      <w:bookmarkEnd w:id="25"/>
      <w:r w:rsidRPr="00045BB7">
        <w:rPr>
          <w:sz w:val="28"/>
          <w:szCs w:val="28"/>
        </w:rPr>
        <w:lastRenderedPageBreak/>
        <w:t>REASONS FOR JUDGMENT</w:t>
      </w:r>
      <w:r w:rsidR="00F13DA8">
        <w:rPr>
          <w:sz w:val="28"/>
          <w:szCs w:val="28"/>
        </w:rPr>
        <w:t xml:space="preserve"> </w:t>
      </w:r>
    </w:p>
    <w:tbl>
      <w:tblPr>
        <w:tblW w:w="9291" w:type="dxa"/>
        <w:tblLook w:val="01E0" w:firstRow="1" w:lastRow="1" w:firstColumn="1" w:lastColumn="1" w:noHBand="0" w:noVBand="0"/>
      </w:tblPr>
      <w:tblGrid>
        <w:gridCol w:w="8291"/>
        <w:gridCol w:w="1000"/>
      </w:tblGrid>
      <w:tr w:rsidR="00F13DA8" w:rsidRPr="00D326DB" w14:paraId="07D9DA9F" w14:textId="77777777" w:rsidTr="00F13DA8">
        <w:tc>
          <w:tcPr>
            <w:tcW w:w="8291" w:type="dxa"/>
            <w:shd w:val="clear" w:color="auto" w:fill="auto"/>
          </w:tcPr>
          <w:bookmarkStart w:id="26" w:name="PTOC"/>
          <w:p w14:paraId="61EAE7B3" w14:textId="02B7A620"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_Ref133418084 \h </w:instrText>
            </w:r>
            <w:r>
              <w:rPr>
                <w:lang w:eastAsia="en-AU"/>
              </w:rPr>
            </w:r>
            <w:r>
              <w:rPr>
                <w:lang w:eastAsia="en-AU"/>
              </w:rPr>
              <w:fldChar w:fldCharType="separate"/>
            </w:r>
            <w:r w:rsidR="00BC7D85">
              <w:rPr>
                <w:caps w:val="0"/>
              </w:rPr>
              <w:t>INTRODUCTION</w:t>
            </w:r>
            <w:r>
              <w:rPr>
                <w:lang w:eastAsia="en-AU"/>
              </w:rPr>
              <w:fldChar w:fldCharType="end"/>
            </w:r>
          </w:p>
        </w:tc>
        <w:tc>
          <w:tcPr>
            <w:tcW w:w="1000" w:type="dxa"/>
            <w:shd w:val="clear" w:color="auto" w:fill="auto"/>
            <w:vAlign w:val="bottom"/>
          </w:tcPr>
          <w:p w14:paraId="0BC7B791" w14:textId="5313FC7C" w:rsidR="00F13DA8" w:rsidRDefault="00F13DA8" w:rsidP="00F13DA8">
            <w:pPr>
              <w:spacing w:before="120" w:after="60" w:line="240" w:lineRule="auto"/>
              <w:jc w:val="right"/>
              <w:rPr>
                <w:szCs w:val="24"/>
              </w:rPr>
            </w:pPr>
            <w:r>
              <w:rPr>
                <w:szCs w:val="24"/>
              </w:rPr>
              <w:t>[1]</w:t>
            </w:r>
          </w:p>
        </w:tc>
      </w:tr>
      <w:tr w:rsidR="00F13DA8" w:rsidRPr="00D326DB" w14:paraId="35A5D59B" w14:textId="77777777" w:rsidTr="00F13DA8">
        <w:tc>
          <w:tcPr>
            <w:tcW w:w="8291" w:type="dxa"/>
            <w:shd w:val="clear" w:color="auto" w:fill="auto"/>
          </w:tcPr>
          <w:p w14:paraId="43CA77C3" w14:textId="109FC7D3"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_Ref133418085 \h </w:instrText>
            </w:r>
            <w:r>
              <w:rPr>
                <w:lang w:eastAsia="en-AU"/>
              </w:rPr>
            </w:r>
            <w:r>
              <w:rPr>
                <w:lang w:eastAsia="en-AU"/>
              </w:rPr>
              <w:fldChar w:fldCharType="separate"/>
            </w:r>
            <w:r w:rsidR="00BC7D85">
              <w:rPr>
                <w:caps w:val="0"/>
              </w:rPr>
              <w:t>BACKGROUND</w:t>
            </w:r>
            <w:r>
              <w:rPr>
                <w:lang w:eastAsia="en-AU"/>
              </w:rPr>
              <w:fldChar w:fldCharType="end"/>
            </w:r>
          </w:p>
        </w:tc>
        <w:tc>
          <w:tcPr>
            <w:tcW w:w="1000" w:type="dxa"/>
            <w:shd w:val="clear" w:color="auto" w:fill="auto"/>
            <w:vAlign w:val="bottom"/>
          </w:tcPr>
          <w:p w14:paraId="49615279" w14:textId="614E7562" w:rsidR="00F13DA8" w:rsidRDefault="00F13DA8" w:rsidP="00F13DA8">
            <w:pPr>
              <w:spacing w:before="120" w:after="60" w:line="240" w:lineRule="auto"/>
              <w:jc w:val="right"/>
              <w:rPr>
                <w:szCs w:val="24"/>
              </w:rPr>
            </w:pPr>
            <w:r>
              <w:rPr>
                <w:szCs w:val="24"/>
              </w:rPr>
              <w:t>[9]</w:t>
            </w:r>
          </w:p>
        </w:tc>
      </w:tr>
      <w:tr w:rsidR="00F13DA8" w:rsidRPr="00D326DB" w14:paraId="6BB898E6" w14:textId="77777777" w:rsidTr="00F13DA8">
        <w:tc>
          <w:tcPr>
            <w:tcW w:w="8291" w:type="dxa"/>
            <w:shd w:val="clear" w:color="auto" w:fill="auto"/>
          </w:tcPr>
          <w:p w14:paraId="0CCF0863" w14:textId="6E41B9F9"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_Ref133418086 \h </w:instrText>
            </w:r>
            <w:r>
              <w:rPr>
                <w:lang w:eastAsia="en-AU"/>
              </w:rPr>
            </w:r>
            <w:r>
              <w:rPr>
                <w:lang w:eastAsia="en-AU"/>
              </w:rPr>
              <w:fldChar w:fldCharType="separate"/>
            </w:r>
            <w:r w:rsidR="00BC7D85">
              <w:rPr>
                <w:caps w:val="0"/>
              </w:rPr>
              <w:t>THE PRIMARY JUDGE’S REASONS</w:t>
            </w:r>
            <w:r>
              <w:rPr>
                <w:lang w:eastAsia="en-AU"/>
              </w:rPr>
              <w:fldChar w:fldCharType="end"/>
            </w:r>
          </w:p>
        </w:tc>
        <w:tc>
          <w:tcPr>
            <w:tcW w:w="1000" w:type="dxa"/>
            <w:shd w:val="clear" w:color="auto" w:fill="auto"/>
            <w:vAlign w:val="bottom"/>
          </w:tcPr>
          <w:p w14:paraId="7D817D80" w14:textId="04235D30" w:rsidR="00F13DA8" w:rsidRDefault="00F13DA8" w:rsidP="00F13DA8">
            <w:pPr>
              <w:spacing w:before="120" w:after="60" w:line="240" w:lineRule="auto"/>
              <w:jc w:val="right"/>
              <w:rPr>
                <w:szCs w:val="24"/>
              </w:rPr>
            </w:pPr>
            <w:r>
              <w:rPr>
                <w:szCs w:val="24"/>
              </w:rPr>
              <w:t>[20]</w:t>
            </w:r>
          </w:p>
        </w:tc>
      </w:tr>
      <w:tr w:rsidR="00F13DA8" w:rsidRPr="00D326DB" w14:paraId="3E8D2730" w14:textId="77777777" w:rsidTr="00F13DA8">
        <w:tc>
          <w:tcPr>
            <w:tcW w:w="8291" w:type="dxa"/>
            <w:shd w:val="clear" w:color="auto" w:fill="auto"/>
          </w:tcPr>
          <w:p w14:paraId="4686441E" w14:textId="16CACFB0"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_Ref133418087 \h </w:instrText>
            </w:r>
            <w:r>
              <w:rPr>
                <w:lang w:eastAsia="en-AU"/>
              </w:rPr>
            </w:r>
            <w:r>
              <w:rPr>
                <w:lang w:eastAsia="en-AU"/>
              </w:rPr>
              <w:fldChar w:fldCharType="separate"/>
            </w:r>
            <w:r>
              <w:t>The evidence</w:t>
            </w:r>
            <w:r>
              <w:rPr>
                <w:lang w:eastAsia="en-AU"/>
              </w:rPr>
              <w:fldChar w:fldCharType="end"/>
            </w:r>
          </w:p>
        </w:tc>
        <w:tc>
          <w:tcPr>
            <w:tcW w:w="1000" w:type="dxa"/>
            <w:shd w:val="clear" w:color="auto" w:fill="auto"/>
            <w:vAlign w:val="bottom"/>
          </w:tcPr>
          <w:p w14:paraId="27F008C5" w14:textId="734D9216" w:rsidR="00F13DA8" w:rsidRDefault="00F13DA8" w:rsidP="00F13DA8">
            <w:pPr>
              <w:spacing w:before="120" w:after="60" w:line="240" w:lineRule="auto"/>
              <w:jc w:val="right"/>
              <w:rPr>
                <w:szCs w:val="24"/>
              </w:rPr>
            </w:pPr>
            <w:r>
              <w:rPr>
                <w:szCs w:val="24"/>
              </w:rPr>
              <w:t>[21]</w:t>
            </w:r>
          </w:p>
        </w:tc>
      </w:tr>
      <w:tr w:rsidR="00F13DA8" w:rsidRPr="00D326DB" w14:paraId="761D12C6" w14:textId="77777777" w:rsidTr="00F13DA8">
        <w:tc>
          <w:tcPr>
            <w:tcW w:w="8291" w:type="dxa"/>
            <w:shd w:val="clear" w:color="auto" w:fill="auto"/>
          </w:tcPr>
          <w:p w14:paraId="03BCFCE6" w14:textId="00DC5D8A"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_Ref133418088 \h </w:instrText>
            </w:r>
            <w:r>
              <w:rPr>
                <w:lang w:eastAsia="en-AU"/>
              </w:rPr>
            </w:r>
            <w:r>
              <w:rPr>
                <w:lang w:eastAsia="en-AU"/>
              </w:rPr>
              <w:fldChar w:fldCharType="separate"/>
            </w:r>
            <w:r w:rsidRPr="002B1B34">
              <w:t>The c</w:t>
            </w:r>
            <w:r>
              <w:t>ase on trade mark infringement</w:t>
            </w:r>
            <w:r>
              <w:rPr>
                <w:lang w:eastAsia="en-AU"/>
              </w:rPr>
              <w:fldChar w:fldCharType="end"/>
            </w:r>
          </w:p>
        </w:tc>
        <w:tc>
          <w:tcPr>
            <w:tcW w:w="1000" w:type="dxa"/>
            <w:shd w:val="clear" w:color="auto" w:fill="auto"/>
            <w:vAlign w:val="bottom"/>
          </w:tcPr>
          <w:p w14:paraId="043EBE74" w14:textId="1DC84D0A" w:rsidR="00F13DA8" w:rsidRDefault="00F13DA8" w:rsidP="00F13DA8">
            <w:pPr>
              <w:spacing w:before="120" w:after="60" w:line="240" w:lineRule="auto"/>
              <w:jc w:val="right"/>
              <w:rPr>
                <w:szCs w:val="24"/>
              </w:rPr>
            </w:pPr>
            <w:r>
              <w:rPr>
                <w:szCs w:val="24"/>
              </w:rPr>
              <w:t>[37]</w:t>
            </w:r>
          </w:p>
        </w:tc>
      </w:tr>
      <w:tr w:rsidR="00F13DA8" w:rsidRPr="00D326DB" w14:paraId="240D7457" w14:textId="77777777" w:rsidTr="00F13DA8">
        <w:tc>
          <w:tcPr>
            <w:tcW w:w="8291" w:type="dxa"/>
            <w:shd w:val="clear" w:color="auto" w:fill="auto"/>
          </w:tcPr>
          <w:p w14:paraId="1AEBBE96" w14:textId="16F944AB"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_Ref133418089 \h </w:instrText>
            </w:r>
            <w:r>
              <w:rPr>
                <w:lang w:eastAsia="en-AU"/>
              </w:rPr>
            </w:r>
            <w:r>
              <w:rPr>
                <w:lang w:eastAsia="en-AU"/>
              </w:rPr>
              <w:fldChar w:fldCharType="separate"/>
            </w:r>
            <w:r w:rsidRPr="002B1B34">
              <w:t xml:space="preserve">Claims under the ACL and the Trade Practices </w:t>
            </w:r>
            <w:r>
              <w:t>Act</w:t>
            </w:r>
            <w:r>
              <w:rPr>
                <w:lang w:eastAsia="en-AU"/>
              </w:rPr>
              <w:fldChar w:fldCharType="end"/>
            </w:r>
          </w:p>
        </w:tc>
        <w:tc>
          <w:tcPr>
            <w:tcW w:w="1000" w:type="dxa"/>
            <w:shd w:val="clear" w:color="auto" w:fill="auto"/>
            <w:vAlign w:val="bottom"/>
          </w:tcPr>
          <w:p w14:paraId="60FB4EDE" w14:textId="679CCDD2" w:rsidR="00F13DA8" w:rsidRDefault="00F13DA8" w:rsidP="00F13DA8">
            <w:pPr>
              <w:spacing w:before="120" w:after="60" w:line="240" w:lineRule="auto"/>
              <w:jc w:val="right"/>
              <w:rPr>
                <w:szCs w:val="24"/>
              </w:rPr>
            </w:pPr>
            <w:r>
              <w:rPr>
                <w:szCs w:val="24"/>
              </w:rPr>
              <w:t>[46]</w:t>
            </w:r>
          </w:p>
        </w:tc>
      </w:tr>
      <w:tr w:rsidR="00F13DA8" w:rsidRPr="00D326DB" w14:paraId="4F7DF1D0" w14:textId="77777777" w:rsidTr="00F13DA8">
        <w:tc>
          <w:tcPr>
            <w:tcW w:w="8291" w:type="dxa"/>
            <w:shd w:val="clear" w:color="auto" w:fill="auto"/>
          </w:tcPr>
          <w:p w14:paraId="43D33885" w14:textId="504FABD6"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_Ref133418090 \h </w:instrText>
            </w:r>
            <w:r>
              <w:rPr>
                <w:lang w:eastAsia="en-AU"/>
              </w:rPr>
            </w:r>
            <w:r>
              <w:rPr>
                <w:lang w:eastAsia="en-AU"/>
              </w:rPr>
              <w:fldChar w:fldCharType="separate"/>
            </w:r>
            <w:r>
              <w:t>The trade mark defences</w:t>
            </w:r>
            <w:r>
              <w:rPr>
                <w:lang w:eastAsia="en-AU"/>
              </w:rPr>
              <w:fldChar w:fldCharType="end"/>
            </w:r>
          </w:p>
        </w:tc>
        <w:tc>
          <w:tcPr>
            <w:tcW w:w="1000" w:type="dxa"/>
            <w:shd w:val="clear" w:color="auto" w:fill="auto"/>
            <w:vAlign w:val="bottom"/>
          </w:tcPr>
          <w:p w14:paraId="192C31C4" w14:textId="6FAB440D" w:rsidR="00F13DA8" w:rsidRDefault="00F13DA8" w:rsidP="00F13DA8">
            <w:pPr>
              <w:spacing w:before="120" w:after="60" w:line="240" w:lineRule="auto"/>
              <w:jc w:val="right"/>
              <w:rPr>
                <w:szCs w:val="24"/>
              </w:rPr>
            </w:pPr>
            <w:r>
              <w:rPr>
                <w:szCs w:val="24"/>
              </w:rPr>
              <w:t>[60]</w:t>
            </w:r>
          </w:p>
        </w:tc>
      </w:tr>
      <w:tr w:rsidR="00F13DA8" w:rsidRPr="00D326DB" w14:paraId="33347101" w14:textId="77777777" w:rsidTr="00F13DA8">
        <w:tc>
          <w:tcPr>
            <w:tcW w:w="8291" w:type="dxa"/>
            <w:shd w:val="clear" w:color="auto" w:fill="auto"/>
          </w:tcPr>
          <w:p w14:paraId="65431349" w14:textId="269AEBEF"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_Ref133418091 \h </w:instrText>
            </w:r>
            <w:r>
              <w:rPr>
                <w:lang w:eastAsia="en-AU"/>
              </w:rPr>
            </w:r>
            <w:r>
              <w:rPr>
                <w:lang w:eastAsia="en-AU"/>
              </w:rPr>
              <w:fldChar w:fldCharType="separate"/>
            </w:r>
            <w:r w:rsidRPr="002B1B34">
              <w:t>The cross-claim</w:t>
            </w:r>
            <w:r>
              <w:rPr>
                <w:lang w:eastAsia="en-AU"/>
              </w:rPr>
              <w:fldChar w:fldCharType="end"/>
            </w:r>
          </w:p>
        </w:tc>
        <w:tc>
          <w:tcPr>
            <w:tcW w:w="1000" w:type="dxa"/>
            <w:shd w:val="clear" w:color="auto" w:fill="auto"/>
            <w:vAlign w:val="bottom"/>
          </w:tcPr>
          <w:p w14:paraId="5947D147" w14:textId="7FD136C6" w:rsidR="00F13DA8" w:rsidRDefault="00F13DA8" w:rsidP="00F13DA8">
            <w:pPr>
              <w:spacing w:before="120" w:after="60" w:line="240" w:lineRule="auto"/>
              <w:jc w:val="right"/>
              <w:rPr>
                <w:szCs w:val="24"/>
              </w:rPr>
            </w:pPr>
            <w:r>
              <w:rPr>
                <w:szCs w:val="24"/>
              </w:rPr>
              <w:t>[75]</w:t>
            </w:r>
          </w:p>
        </w:tc>
      </w:tr>
      <w:tr w:rsidR="00F13DA8" w:rsidRPr="00D326DB" w14:paraId="56107D81" w14:textId="77777777" w:rsidTr="00F13DA8">
        <w:tc>
          <w:tcPr>
            <w:tcW w:w="8291" w:type="dxa"/>
            <w:shd w:val="clear" w:color="auto" w:fill="auto"/>
          </w:tcPr>
          <w:p w14:paraId="41024645" w14:textId="43676D88" w:rsidR="00F13DA8" w:rsidRPr="00F13DA8" w:rsidRDefault="00F13DA8" w:rsidP="00F13DA8">
            <w:pPr>
              <w:pStyle w:val="FTOC3"/>
              <w:tabs>
                <w:tab w:val="clear" w:pos="9072"/>
              </w:tabs>
              <w:rPr>
                <w:i w:val="0"/>
                <w:lang w:eastAsia="en-AU"/>
              </w:rPr>
            </w:pPr>
            <w:r>
              <w:rPr>
                <w:lang w:eastAsia="en-AU"/>
              </w:rPr>
              <w:fldChar w:fldCharType="begin"/>
            </w:r>
            <w:r>
              <w:rPr>
                <w:lang w:eastAsia="en-AU"/>
              </w:rPr>
              <w:instrText xml:space="preserve"> REF _Ref133418092 \h </w:instrText>
            </w:r>
            <w:r>
              <w:rPr>
                <w:lang w:eastAsia="en-AU"/>
              </w:rPr>
            </w:r>
            <w:r>
              <w:rPr>
                <w:lang w:eastAsia="en-AU"/>
              </w:rPr>
              <w:fldChar w:fldCharType="separate"/>
            </w:r>
            <w:r>
              <w:t>Cancellation</w:t>
            </w:r>
            <w:r>
              <w:rPr>
                <w:lang w:eastAsia="en-AU"/>
              </w:rPr>
              <w:fldChar w:fldCharType="end"/>
            </w:r>
          </w:p>
        </w:tc>
        <w:tc>
          <w:tcPr>
            <w:tcW w:w="1000" w:type="dxa"/>
            <w:shd w:val="clear" w:color="auto" w:fill="auto"/>
            <w:vAlign w:val="bottom"/>
          </w:tcPr>
          <w:p w14:paraId="0F4E9E02" w14:textId="2E87347D" w:rsidR="00F13DA8" w:rsidRDefault="00F13DA8" w:rsidP="00F13DA8">
            <w:pPr>
              <w:spacing w:before="120" w:after="60" w:line="240" w:lineRule="auto"/>
              <w:jc w:val="right"/>
              <w:rPr>
                <w:szCs w:val="24"/>
              </w:rPr>
            </w:pPr>
            <w:r>
              <w:rPr>
                <w:szCs w:val="24"/>
              </w:rPr>
              <w:t>[78]</w:t>
            </w:r>
          </w:p>
        </w:tc>
      </w:tr>
      <w:tr w:rsidR="00F13DA8" w:rsidRPr="00D326DB" w14:paraId="26C0D5BF" w14:textId="77777777" w:rsidTr="00F13DA8">
        <w:tc>
          <w:tcPr>
            <w:tcW w:w="8291" w:type="dxa"/>
            <w:shd w:val="clear" w:color="auto" w:fill="auto"/>
          </w:tcPr>
          <w:p w14:paraId="004A3FBF" w14:textId="62CF9206" w:rsidR="00F13DA8" w:rsidRPr="00F13DA8" w:rsidRDefault="00F13DA8" w:rsidP="00F13DA8">
            <w:pPr>
              <w:pStyle w:val="FTOC3"/>
              <w:tabs>
                <w:tab w:val="clear" w:pos="9072"/>
              </w:tabs>
              <w:rPr>
                <w:i w:val="0"/>
                <w:lang w:eastAsia="en-AU"/>
              </w:rPr>
            </w:pPr>
            <w:r>
              <w:rPr>
                <w:lang w:eastAsia="en-AU"/>
              </w:rPr>
              <w:fldChar w:fldCharType="begin"/>
            </w:r>
            <w:r>
              <w:rPr>
                <w:lang w:eastAsia="en-AU"/>
              </w:rPr>
              <w:instrText xml:space="preserve"> REF _Ref133418093 \h </w:instrText>
            </w:r>
            <w:r>
              <w:rPr>
                <w:lang w:eastAsia="en-AU"/>
              </w:rPr>
            </w:r>
            <w:r>
              <w:rPr>
                <w:lang w:eastAsia="en-AU"/>
              </w:rPr>
              <w:fldChar w:fldCharType="separate"/>
            </w:r>
            <w:r>
              <w:t>Removal for non-use</w:t>
            </w:r>
            <w:r>
              <w:rPr>
                <w:lang w:eastAsia="en-AU"/>
              </w:rPr>
              <w:fldChar w:fldCharType="end"/>
            </w:r>
          </w:p>
        </w:tc>
        <w:tc>
          <w:tcPr>
            <w:tcW w:w="1000" w:type="dxa"/>
            <w:shd w:val="clear" w:color="auto" w:fill="auto"/>
            <w:vAlign w:val="bottom"/>
          </w:tcPr>
          <w:p w14:paraId="3B7C3317" w14:textId="323EBE7A" w:rsidR="00F13DA8" w:rsidRDefault="00F13DA8" w:rsidP="00F13DA8">
            <w:pPr>
              <w:spacing w:before="120" w:after="60" w:line="240" w:lineRule="auto"/>
              <w:jc w:val="right"/>
              <w:rPr>
                <w:szCs w:val="24"/>
              </w:rPr>
            </w:pPr>
            <w:r>
              <w:rPr>
                <w:szCs w:val="24"/>
              </w:rPr>
              <w:t>[85]</w:t>
            </w:r>
          </w:p>
        </w:tc>
      </w:tr>
      <w:tr w:rsidR="00F13DA8" w:rsidRPr="00D326DB" w14:paraId="4ECE8DFB" w14:textId="77777777" w:rsidTr="00F13DA8">
        <w:tc>
          <w:tcPr>
            <w:tcW w:w="8291" w:type="dxa"/>
            <w:shd w:val="clear" w:color="auto" w:fill="auto"/>
          </w:tcPr>
          <w:p w14:paraId="5A50976A" w14:textId="61CED458"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_Ref133418094 \h </w:instrText>
            </w:r>
            <w:r>
              <w:rPr>
                <w:lang w:eastAsia="en-AU"/>
              </w:rPr>
            </w:r>
            <w:r>
              <w:rPr>
                <w:lang w:eastAsia="en-AU"/>
              </w:rPr>
              <w:fldChar w:fldCharType="separate"/>
            </w:r>
            <w:r>
              <w:t>Ancillary liability</w:t>
            </w:r>
            <w:r>
              <w:rPr>
                <w:lang w:eastAsia="en-AU"/>
              </w:rPr>
              <w:fldChar w:fldCharType="end"/>
            </w:r>
          </w:p>
        </w:tc>
        <w:tc>
          <w:tcPr>
            <w:tcW w:w="1000" w:type="dxa"/>
            <w:shd w:val="clear" w:color="auto" w:fill="auto"/>
            <w:vAlign w:val="bottom"/>
          </w:tcPr>
          <w:p w14:paraId="60CDB611" w14:textId="2C650E76" w:rsidR="00F13DA8" w:rsidRDefault="00F13DA8" w:rsidP="00F13DA8">
            <w:pPr>
              <w:spacing w:before="120" w:after="60" w:line="240" w:lineRule="auto"/>
              <w:jc w:val="right"/>
              <w:rPr>
                <w:szCs w:val="24"/>
              </w:rPr>
            </w:pPr>
            <w:r>
              <w:rPr>
                <w:szCs w:val="24"/>
              </w:rPr>
              <w:t>[92]</w:t>
            </w:r>
          </w:p>
        </w:tc>
      </w:tr>
      <w:tr w:rsidR="00F13DA8" w:rsidRPr="00D326DB" w14:paraId="6C344628" w14:textId="77777777" w:rsidTr="00F13DA8">
        <w:tc>
          <w:tcPr>
            <w:tcW w:w="8291" w:type="dxa"/>
            <w:shd w:val="clear" w:color="auto" w:fill="auto"/>
          </w:tcPr>
          <w:p w14:paraId="4FF7F408" w14:textId="7733EF57"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_Ref133418095 \h </w:instrText>
            </w:r>
            <w:r>
              <w:rPr>
                <w:lang w:eastAsia="en-AU"/>
              </w:rPr>
            </w:r>
            <w:r>
              <w:rPr>
                <w:lang w:eastAsia="en-AU"/>
              </w:rPr>
              <w:fldChar w:fldCharType="separate"/>
            </w:r>
            <w:r>
              <w:t>Relief</w:t>
            </w:r>
            <w:r>
              <w:rPr>
                <w:lang w:eastAsia="en-AU"/>
              </w:rPr>
              <w:fldChar w:fldCharType="end"/>
            </w:r>
          </w:p>
        </w:tc>
        <w:tc>
          <w:tcPr>
            <w:tcW w:w="1000" w:type="dxa"/>
            <w:shd w:val="clear" w:color="auto" w:fill="auto"/>
            <w:vAlign w:val="bottom"/>
          </w:tcPr>
          <w:p w14:paraId="7659C054" w14:textId="59544E1D" w:rsidR="00F13DA8" w:rsidRDefault="00F13DA8" w:rsidP="00F13DA8">
            <w:pPr>
              <w:spacing w:before="120" w:after="60" w:line="240" w:lineRule="auto"/>
              <w:jc w:val="right"/>
              <w:rPr>
                <w:szCs w:val="24"/>
              </w:rPr>
            </w:pPr>
            <w:r>
              <w:rPr>
                <w:szCs w:val="24"/>
              </w:rPr>
              <w:t>[93]</w:t>
            </w:r>
          </w:p>
        </w:tc>
      </w:tr>
      <w:tr w:rsidR="00F13DA8" w:rsidRPr="00D326DB" w14:paraId="3AB18266" w14:textId="77777777" w:rsidTr="00F13DA8">
        <w:tc>
          <w:tcPr>
            <w:tcW w:w="8291" w:type="dxa"/>
            <w:shd w:val="clear" w:color="auto" w:fill="auto"/>
          </w:tcPr>
          <w:p w14:paraId="16D55E7E" w14:textId="3FBD4683"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_Ref133418096 \h </w:instrText>
            </w:r>
            <w:r>
              <w:rPr>
                <w:lang w:eastAsia="en-AU"/>
              </w:rPr>
            </w:r>
            <w:r>
              <w:rPr>
                <w:lang w:eastAsia="en-AU"/>
              </w:rPr>
              <w:fldChar w:fldCharType="separate"/>
            </w:r>
            <w:r w:rsidR="00BC7D85">
              <w:rPr>
                <w:caps w:val="0"/>
              </w:rPr>
              <w:t>OVERVIEW OF THE APPEAL AND THE CROSS-APPEAL</w:t>
            </w:r>
            <w:r>
              <w:rPr>
                <w:lang w:eastAsia="en-AU"/>
              </w:rPr>
              <w:fldChar w:fldCharType="end"/>
            </w:r>
          </w:p>
        </w:tc>
        <w:tc>
          <w:tcPr>
            <w:tcW w:w="1000" w:type="dxa"/>
            <w:shd w:val="clear" w:color="auto" w:fill="auto"/>
            <w:vAlign w:val="bottom"/>
          </w:tcPr>
          <w:p w14:paraId="1296B52F" w14:textId="7DE17305" w:rsidR="00F13DA8" w:rsidRDefault="00F13DA8" w:rsidP="00F13DA8">
            <w:pPr>
              <w:spacing w:before="120" w:after="60" w:line="240" w:lineRule="auto"/>
              <w:jc w:val="right"/>
              <w:rPr>
                <w:szCs w:val="24"/>
              </w:rPr>
            </w:pPr>
            <w:r>
              <w:rPr>
                <w:szCs w:val="24"/>
              </w:rPr>
              <w:t>[94]</w:t>
            </w:r>
          </w:p>
        </w:tc>
      </w:tr>
      <w:tr w:rsidR="00F13DA8" w:rsidRPr="00D326DB" w14:paraId="7545FFA6" w14:textId="77777777" w:rsidTr="00F13DA8">
        <w:tc>
          <w:tcPr>
            <w:tcW w:w="8291" w:type="dxa"/>
            <w:shd w:val="clear" w:color="auto" w:fill="auto"/>
          </w:tcPr>
          <w:p w14:paraId="5EA46FA0" w14:textId="778F080F"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_Ref133418097 \h </w:instrText>
            </w:r>
            <w:r>
              <w:rPr>
                <w:lang w:eastAsia="en-AU"/>
              </w:rPr>
            </w:r>
            <w:r>
              <w:rPr>
                <w:lang w:eastAsia="en-AU"/>
              </w:rPr>
              <w:fldChar w:fldCharType="separate"/>
            </w:r>
            <w:r w:rsidR="00BC7D85">
              <w:rPr>
                <w:caps w:val="0"/>
              </w:rPr>
              <w:t>VALIDITY:  THE 820 MARK (HENLEY)</w:t>
            </w:r>
            <w:r>
              <w:rPr>
                <w:lang w:eastAsia="en-AU"/>
              </w:rPr>
              <w:fldChar w:fldCharType="end"/>
            </w:r>
          </w:p>
        </w:tc>
        <w:tc>
          <w:tcPr>
            <w:tcW w:w="1000" w:type="dxa"/>
            <w:shd w:val="clear" w:color="auto" w:fill="auto"/>
            <w:vAlign w:val="bottom"/>
          </w:tcPr>
          <w:p w14:paraId="655B2923" w14:textId="4331B23B" w:rsidR="00F13DA8" w:rsidRDefault="00F13DA8" w:rsidP="00F13DA8">
            <w:pPr>
              <w:spacing w:before="120" w:after="60" w:line="240" w:lineRule="auto"/>
              <w:jc w:val="right"/>
              <w:rPr>
                <w:szCs w:val="24"/>
              </w:rPr>
            </w:pPr>
            <w:r>
              <w:rPr>
                <w:szCs w:val="24"/>
              </w:rPr>
              <w:t>[102]</w:t>
            </w:r>
          </w:p>
        </w:tc>
      </w:tr>
      <w:tr w:rsidR="00F13DA8" w:rsidRPr="00D326DB" w14:paraId="3126F1CC" w14:textId="77777777" w:rsidTr="00F13DA8">
        <w:tc>
          <w:tcPr>
            <w:tcW w:w="8291" w:type="dxa"/>
            <w:shd w:val="clear" w:color="auto" w:fill="auto"/>
          </w:tcPr>
          <w:p w14:paraId="5EE5223A" w14:textId="64BDD39A"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175EF698" w14:textId="48FAE7DF" w:rsidR="00F13DA8" w:rsidRDefault="00F13DA8" w:rsidP="00F13DA8">
            <w:pPr>
              <w:spacing w:before="120" w:after="60" w:line="240" w:lineRule="auto"/>
              <w:jc w:val="right"/>
              <w:rPr>
                <w:szCs w:val="24"/>
              </w:rPr>
            </w:pPr>
            <w:r>
              <w:rPr>
                <w:szCs w:val="24"/>
              </w:rPr>
              <w:t>[102]</w:t>
            </w:r>
          </w:p>
        </w:tc>
      </w:tr>
      <w:tr w:rsidR="00F13DA8" w:rsidRPr="00D326DB" w14:paraId="177D5A68" w14:textId="77777777" w:rsidTr="00F13DA8">
        <w:tc>
          <w:tcPr>
            <w:tcW w:w="8291" w:type="dxa"/>
            <w:shd w:val="clear" w:color="auto" w:fill="auto"/>
          </w:tcPr>
          <w:p w14:paraId="36DA0DB2" w14:textId="4377563A"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664C4845" w14:textId="6C48CA24" w:rsidR="00F13DA8" w:rsidRDefault="00F13DA8" w:rsidP="00F13DA8">
            <w:pPr>
              <w:spacing w:before="120" w:after="60" w:line="240" w:lineRule="auto"/>
              <w:jc w:val="right"/>
              <w:rPr>
                <w:szCs w:val="24"/>
              </w:rPr>
            </w:pPr>
            <w:r>
              <w:rPr>
                <w:szCs w:val="24"/>
              </w:rPr>
              <w:t>[113]</w:t>
            </w:r>
          </w:p>
        </w:tc>
      </w:tr>
      <w:tr w:rsidR="00F13DA8" w:rsidRPr="00D326DB" w14:paraId="0D901AEE" w14:textId="77777777" w:rsidTr="00F13DA8">
        <w:tc>
          <w:tcPr>
            <w:tcW w:w="8291" w:type="dxa"/>
            <w:shd w:val="clear" w:color="auto" w:fill="auto"/>
          </w:tcPr>
          <w:p w14:paraId="0B5D616F" w14:textId="7751FD8E"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_Ref133418100 \h </w:instrText>
            </w:r>
            <w:r>
              <w:rPr>
                <w:lang w:eastAsia="en-AU"/>
              </w:rPr>
            </w:r>
            <w:r>
              <w:rPr>
                <w:lang w:eastAsia="en-AU"/>
              </w:rPr>
              <w:fldChar w:fldCharType="separate"/>
            </w:r>
            <w:r>
              <w:t>The notice of contention</w:t>
            </w:r>
            <w:r>
              <w:rPr>
                <w:lang w:eastAsia="en-AU"/>
              </w:rPr>
              <w:fldChar w:fldCharType="end"/>
            </w:r>
          </w:p>
        </w:tc>
        <w:tc>
          <w:tcPr>
            <w:tcW w:w="1000" w:type="dxa"/>
            <w:shd w:val="clear" w:color="auto" w:fill="auto"/>
            <w:vAlign w:val="bottom"/>
          </w:tcPr>
          <w:p w14:paraId="186FA16A" w14:textId="407B138C" w:rsidR="00F13DA8" w:rsidRDefault="00F13DA8" w:rsidP="00F13DA8">
            <w:pPr>
              <w:spacing w:before="120" w:after="60" w:line="240" w:lineRule="auto"/>
              <w:jc w:val="right"/>
              <w:rPr>
                <w:szCs w:val="24"/>
              </w:rPr>
            </w:pPr>
            <w:r>
              <w:rPr>
                <w:szCs w:val="24"/>
              </w:rPr>
              <w:t>[145]</w:t>
            </w:r>
          </w:p>
        </w:tc>
      </w:tr>
      <w:tr w:rsidR="00F13DA8" w:rsidRPr="00D326DB" w14:paraId="39A768D7" w14:textId="77777777" w:rsidTr="00F13DA8">
        <w:tc>
          <w:tcPr>
            <w:tcW w:w="8291" w:type="dxa"/>
            <w:shd w:val="clear" w:color="auto" w:fill="auto"/>
          </w:tcPr>
          <w:p w14:paraId="4FA4ADFE" w14:textId="22FBC297"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_Ref133418101 \h </w:instrText>
            </w:r>
            <w:r>
              <w:rPr>
                <w:lang w:eastAsia="en-AU"/>
              </w:rPr>
            </w:r>
            <w:r>
              <w:rPr>
                <w:lang w:eastAsia="en-AU"/>
              </w:rPr>
              <w:fldChar w:fldCharType="separate"/>
            </w:r>
            <w:r w:rsidR="00BC7D85">
              <w:rPr>
                <w:caps w:val="0"/>
              </w:rPr>
              <w:t>INFRINGEMENT:  THE 818 MARK (THE “HENLEY PROPERTIES” DEVICE MARK)</w:t>
            </w:r>
            <w:r>
              <w:rPr>
                <w:lang w:eastAsia="en-AU"/>
              </w:rPr>
              <w:fldChar w:fldCharType="end"/>
            </w:r>
          </w:p>
        </w:tc>
        <w:tc>
          <w:tcPr>
            <w:tcW w:w="1000" w:type="dxa"/>
            <w:shd w:val="clear" w:color="auto" w:fill="auto"/>
            <w:vAlign w:val="bottom"/>
          </w:tcPr>
          <w:p w14:paraId="7BB3BEB0" w14:textId="3337F19F" w:rsidR="00F13DA8" w:rsidRDefault="00F13DA8" w:rsidP="00F13DA8">
            <w:pPr>
              <w:spacing w:before="120" w:after="60" w:line="240" w:lineRule="auto"/>
              <w:jc w:val="right"/>
              <w:rPr>
                <w:szCs w:val="24"/>
              </w:rPr>
            </w:pPr>
            <w:r>
              <w:rPr>
                <w:szCs w:val="24"/>
              </w:rPr>
              <w:t>[147]</w:t>
            </w:r>
          </w:p>
        </w:tc>
      </w:tr>
      <w:tr w:rsidR="00F13DA8" w:rsidRPr="00D326DB" w14:paraId="4352BAFB" w14:textId="77777777" w:rsidTr="00F13DA8">
        <w:tc>
          <w:tcPr>
            <w:tcW w:w="8291" w:type="dxa"/>
            <w:shd w:val="clear" w:color="auto" w:fill="auto"/>
          </w:tcPr>
          <w:p w14:paraId="5D5478E9" w14:textId="73A30CAA"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0CAF7CC8" w14:textId="009CA7F6" w:rsidR="00F13DA8" w:rsidRDefault="00F13DA8" w:rsidP="00F13DA8">
            <w:pPr>
              <w:spacing w:before="120" w:after="60" w:line="240" w:lineRule="auto"/>
              <w:jc w:val="right"/>
              <w:rPr>
                <w:szCs w:val="24"/>
              </w:rPr>
            </w:pPr>
            <w:r>
              <w:rPr>
                <w:szCs w:val="24"/>
              </w:rPr>
              <w:t>[147]</w:t>
            </w:r>
          </w:p>
        </w:tc>
      </w:tr>
      <w:tr w:rsidR="00F13DA8" w:rsidRPr="00D326DB" w14:paraId="1F13A25D" w14:textId="77777777" w:rsidTr="00F13DA8">
        <w:tc>
          <w:tcPr>
            <w:tcW w:w="8291" w:type="dxa"/>
            <w:shd w:val="clear" w:color="auto" w:fill="auto"/>
          </w:tcPr>
          <w:p w14:paraId="6144F4B0" w14:textId="3B522B7D"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2D6BE3EC" w14:textId="28B937D5" w:rsidR="00F13DA8" w:rsidRDefault="00F13DA8" w:rsidP="00F13DA8">
            <w:pPr>
              <w:spacing w:before="120" w:after="60" w:line="240" w:lineRule="auto"/>
              <w:jc w:val="right"/>
              <w:rPr>
                <w:szCs w:val="24"/>
              </w:rPr>
            </w:pPr>
            <w:r>
              <w:rPr>
                <w:szCs w:val="24"/>
              </w:rPr>
              <w:t>[150]</w:t>
            </w:r>
          </w:p>
        </w:tc>
      </w:tr>
      <w:tr w:rsidR="00F13DA8" w:rsidRPr="00D326DB" w14:paraId="2B2ECEA5" w14:textId="77777777" w:rsidTr="00F13DA8">
        <w:tc>
          <w:tcPr>
            <w:tcW w:w="8291" w:type="dxa"/>
            <w:shd w:val="clear" w:color="auto" w:fill="auto"/>
          </w:tcPr>
          <w:p w14:paraId="17DBD0A2" w14:textId="4E3FB8D8"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_Ref133418102 \h </w:instrText>
            </w:r>
            <w:r>
              <w:rPr>
                <w:lang w:eastAsia="en-AU"/>
              </w:rPr>
            </w:r>
            <w:r>
              <w:rPr>
                <w:lang w:eastAsia="en-AU"/>
              </w:rPr>
              <w:fldChar w:fldCharType="separate"/>
            </w:r>
            <w:r w:rsidR="00BC7D85">
              <w:rPr>
                <w:caps w:val="0"/>
              </w:rPr>
              <w:t>INFRINGEMENT: VARIOUS MARKS AND THE ISSUE OF DECEPTIVE SIMILARITY</w:t>
            </w:r>
            <w:r>
              <w:rPr>
                <w:lang w:eastAsia="en-AU"/>
              </w:rPr>
              <w:fldChar w:fldCharType="end"/>
            </w:r>
          </w:p>
        </w:tc>
        <w:tc>
          <w:tcPr>
            <w:tcW w:w="1000" w:type="dxa"/>
            <w:shd w:val="clear" w:color="auto" w:fill="auto"/>
            <w:vAlign w:val="bottom"/>
          </w:tcPr>
          <w:p w14:paraId="66DF9A49" w14:textId="08479A1F" w:rsidR="00F13DA8" w:rsidRDefault="00F13DA8" w:rsidP="00F13DA8">
            <w:pPr>
              <w:spacing w:before="120" w:after="60" w:line="240" w:lineRule="auto"/>
              <w:jc w:val="right"/>
              <w:rPr>
                <w:szCs w:val="24"/>
              </w:rPr>
            </w:pPr>
            <w:r>
              <w:rPr>
                <w:szCs w:val="24"/>
              </w:rPr>
              <w:t>[155]</w:t>
            </w:r>
          </w:p>
        </w:tc>
      </w:tr>
      <w:tr w:rsidR="00F13DA8" w:rsidRPr="00D326DB" w14:paraId="203BE300" w14:textId="77777777" w:rsidTr="00F13DA8">
        <w:tc>
          <w:tcPr>
            <w:tcW w:w="8291" w:type="dxa"/>
            <w:shd w:val="clear" w:color="auto" w:fill="auto"/>
          </w:tcPr>
          <w:p w14:paraId="7E294591" w14:textId="78D87D50"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105ECF1A" w14:textId="0143BB2D" w:rsidR="00F13DA8" w:rsidRDefault="00F13DA8" w:rsidP="00F13DA8">
            <w:pPr>
              <w:spacing w:before="120" w:after="60" w:line="240" w:lineRule="auto"/>
              <w:jc w:val="right"/>
              <w:rPr>
                <w:szCs w:val="24"/>
              </w:rPr>
            </w:pPr>
            <w:r>
              <w:rPr>
                <w:szCs w:val="24"/>
              </w:rPr>
              <w:t>[155]</w:t>
            </w:r>
          </w:p>
        </w:tc>
      </w:tr>
      <w:tr w:rsidR="00F13DA8" w:rsidRPr="00D326DB" w14:paraId="6EAB2D96" w14:textId="77777777" w:rsidTr="00F13DA8">
        <w:tc>
          <w:tcPr>
            <w:tcW w:w="8291" w:type="dxa"/>
            <w:shd w:val="clear" w:color="auto" w:fill="auto"/>
          </w:tcPr>
          <w:p w14:paraId="5968F905" w14:textId="3540A44C"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2B2612C7" w14:textId="7460EB9B" w:rsidR="00F13DA8" w:rsidRDefault="00F13DA8" w:rsidP="00F13DA8">
            <w:pPr>
              <w:spacing w:before="120" w:after="60" w:line="240" w:lineRule="auto"/>
              <w:jc w:val="right"/>
              <w:rPr>
                <w:szCs w:val="24"/>
              </w:rPr>
            </w:pPr>
            <w:r>
              <w:rPr>
                <w:szCs w:val="24"/>
              </w:rPr>
              <w:t>[165]</w:t>
            </w:r>
          </w:p>
        </w:tc>
      </w:tr>
      <w:tr w:rsidR="00F13DA8" w:rsidRPr="00D326DB" w14:paraId="18D707A7" w14:textId="77777777" w:rsidTr="00F13DA8">
        <w:tc>
          <w:tcPr>
            <w:tcW w:w="8291" w:type="dxa"/>
            <w:shd w:val="clear" w:color="auto" w:fill="auto"/>
          </w:tcPr>
          <w:p w14:paraId="4F5896FB" w14:textId="64C7FB84"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_Ref133418103 \h </w:instrText>
            </w:r>
            <w:r>
              <w:rPr>
                <w:lang w:eastAsia="en-AU"/>
              </w:rPr>
            </w:r>
            <w:r>
              <w:rPr>
                <w:lang w:eastAsia="en-AU"/>
              </w:rPr>
              <w:fldChar w:fldCharType="separate"/>
            </w:r>
            <w:r w:rsidR="00BC7D85">
              <w:rPr>
                <w:caps w:val="0"/>
              </w:rPr>
              <w:t>INFRINGEMENT:  VARIOUS MARKS AND TRADE MARK USE</w:t>
            </w:r>
            <w:r>
              <w:rPr>
                <w:lang w:eastAsia="en-AU"/>
              </w:rPr>
              <w:fldChar w:fldCharType="end"/>
            </w:r>
          </w:p>
        </w:tc>
        <w:tc>
          <w:tcPr>
            <w:tcW w:w="1000" w:type="dxa"/>
            <w:shd w:val="clear" w:color="auto" w:fill="auto"/>
            <w:vAlign w:val="bottom"/>
          </w:tcPr>
          <w:p w14:paraId="14A4FEFE" w14:textId="46302DB2" w:rsidR="00F13DA8" w:rsidRDefault="00F13DA8" w:rsidP="00F13DA8">
            <w:pPr>
              <w:spacing w:before="120" w:after="60" w:line="240" w:lineRule="auto"/>
              <w:jc w:val="right"/>
              <w:rPr>
                <w:szCs w:val="24"/>
              </w:rPr>
            </w:pPr>
            <w:r>
              <w:rPr>
                <w:szCs w:val="24"/>
              </w:rPr>
              <w:t>[182]</w:t>
            </w:r>
          </w:p>
        </w:tc>
      </w:tr>
      <w:tr w:rsidR="00F13DA8" w:rsidRPr="00D326DB" w14:paraId="597B0ACA" w14:textId="77777777" w:rsidTr="00F13DA8">
        <w:tc>
          <w:tcPr>
            <w:tcW w:w="8291" w:type="dxa"/>
            <w:shd w:val="clear" w:color="auto" w:fill="auto"/>
          </w:tcPr>
          <w:p w14:paraId="4288A50D" w14:textId="25426BD9"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0F30AD75" w14:textId="66BBA9A0" w:rsidR="00F13DA8" w:rsidRDefault="00F13DA8" w:rsidP="00F13DA8">
            <w:pPr>
              <w:spacing w:before="120" w:after="60" w:line="240" w:lineRule="auto"/>
              <w:jc w:val="right"/>
              <w:rPr>
                <w:szCs w:val="24"/>
              </w:rPr>
            </w:pPr>
            <w:r>
              <w:rPr>
                <w:szCs w:val="24"/>
              </w:rPr>
              <w:t>[182]</w:t>
            </w:r>
          </w:p>
        </w:tc>
      </w:tr>
      <w:tr w:rsidR="00F13DA8" w:rsidRPr="00D326DB" w14:paraId="276C7BA6" w14:textId="77777777" w:rsidTr="00F13DA8">
        <w:tc>
          <w:tcPr>
            <w:tcW w:w="8291" w:type="dxa"/>
            <w:shd w:val="clear" w:color="auto" w:fill="auto"/>
          </w:tcPr>
          <w:p w14:paraId="1F7C7FDC" w14:textId="0E10C5B7"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0641DA9D" w14:textId="23B6C3E7" w:rsidR="00F13DA8" w:rsidRDefault="00F13DA8" w:rsidP="00F13DA8">
            <w:pPr>
              <w:spacing w:before="120" w:after="60" w:line="240" w:lineRule="auto"/>
              <w:jc w:val="right"/>
              <w:rPr>
                <w:szCs w:val="24"/>
              </w:rPr>
            </w:pPr>
            <w:r>
              <w:rPr>
                <w:szCs w:val="24"/>
              </w:rPr>
              <w:t>[186]</w:t>
            </w:r>
          </w:p>
        </w:tc>
      </w:tr>
      <w:tr w:rsidR="00F13DA8" w:rsidRPr="00D326DB" w14:paraId="0CC778EA" w14:textId="77777777" w:rsidTr="00F13DA8">
        <w:tc>
          <w:tcPr>
            <w:tcW w:w="8291" w:type="dxa"/>
            <w:shd w:val="clear" w:color="auto" w:fill="auto"/>
          </w:tcPr>
          <w:p w14:paraId="5C9AD4F6" w14:textId="0615D76D"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_Ref133418104 \h </w:instrText>
            </w:r>
            <w:r>
              <w:rPr>
                <w:lang w:eastAsia="en-AU"/>
              </w:rPr>
            </w:r>
            <w:r>
              <w:rPr>
                <w:lang w:eastAsia="en-AU"/>
              </w:rPr>
              <w:fldChar w:fldCharType="separate"/>
            </w:r>
            <w:r w:rsidR="00BC7D85">
              <w:rPr>
                <w:caps w:val="0"/>
              </w:rPr>
              <w:t>INFRINGEMENT:  THE PRIOR USE DEFENCE</w:t>
            </w:r>
            <w:r>
              <w:rPr>
                <w:lang w:eastAsia="en-AU"/>
              </w:rPr>
              <w:fldChar w:fldCharType="end"/>
            </w:r>
          </w:p>
        </w:tc>
        <w:tc>
          <w:tcPr>
            <w:tcW w:w="1000" w:type="dxa"/>
            <w:shd w:val="clear" w:color="auto" w:fill="auto"/>
            <w:vAlign w:val="bottom"/>
          </w:tcPr>
          <w:p w14:paraId="3AE8B729" w14:textId="35D06763" w:rsidR="00F13DA8" w:rsidRDefault="00F13DA8" w:rsidP="00F13DA8">
            <w:pPr>
              <w:spacing w:before="120" w:after="60" w:line="240" w:lineRule="auto"/>
              <w:jc w:val="right"/>
              <w:rPr>
                <w:szCs w:val="24"/>
              </w:rPr>
            </w:pPr>
            <w:r>
              <w:rPr>
                <w:szCs w:val="24"/>
              </w:rPr>
              <w:t>[197]</w:t>
            </w:r>
          </w:p>
        </w:tc>
      </w:tr>
      <w:tr w:rsidR="00F13DA8" w:rsidRPr="00D326DB" w14:paraId="60997B8D" w14:textId="77777777" w:rsidTr="00F13DA8">
        <w:tc>
          <w:tcPr>
            <w:tcW w:w="8291" w:type="dxa"/>
            <w:shd w:val="clear" w:color="auto" w:fill="auto"/>
          </w:tcPr>
          <w:p w14:paraId="26032F0D" w14:textId="429812CA" w:rsidR="00F13DA8" w:rsidRPr="00F13DA8" w:rsidRDefault="00F13DA8" w:rsidP="00F13DA8">
            <w:pPr>
              <w:pStyle w:val="FTOC2"/>
              <w:tabs>
                <w:tab w:val="clear" w:pos="9072"/>
              </w:tabs>
              <w:rPr>
                <w:lang w:eastAsia="en-AU"/>
              </w:rPr>
            </w:pPr>
            <w:r>
              <w:rPr>
                <w:lang w:eastAsia="en-AU"/>
              </w:rPr>
              <w:lastRenderedPageBreak/>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6330C243" w14:textId="3A2C0F3E" w:rsidR="00F13DA8" w:rsidRDefault="00F13DA8" w:rsidP="00F13DA8">
            <w:pPr>
              <w:spacing w:before="120" w:after="60" w:line="240" w:lineRule="auto"/>
              <w:jc w:val="right"/>
              <w:rPr>
                <w:szCs w:val="24"/>
              </w:rPr>
            </w:pPr>
            <w:r>
              <w:rPr>
                <w:szCs w:val="24"/>
              </w:rPr>
              <w:t>[197]</w:t>
            </w:r>
          </w:p>
        </w:tc>
      </w:tr>
      <w:tr w:rsidR="00F13DA8" w:rsidRPr="00D326DB" w14:paraId="6CD29649" w14:textId="77777777" w:rsidTr="00F13DA8">
        <w:tc>
          <w:tcPr>
            <w:tcW w:w="8291" w:type="dxa"/>
            <w:shd w:val="clear" w:color="auto" w:fill="auto"/>
          </w:tcPr>
          <w:p w14:paraId="51209DA3" w14:textId="4B732A5C"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6B4C652E" w14:textId="064386E6" w:rsidR="00F13DA8" w:rsidRDefault="00F13DA8" w:rsidP="00F13DA8">
            <w:pPr>
              <w:spacing w:before="120" w:after="60" w:line="240" w:lineRule="auto"/>
              <w:jc w:val="right"/>
              <w:rPr>
                <w:szCs w:val="24"/>
              </w:rPr>
            </w:pPr>
            <w:r>
              <w:rPr>
                <w:szCs w:val="24"/>
              </w:rPr>
              <w:t>[205]</w:t>
            </w:r>
          </w:p>
        </w:tc>
      </w:tr>
      <w:tr w:rsidR="00F13DA8" w:rsidRPr="00D326DB" w14:paraId="6C17A467" w14:textId="77777777" w:rsidTr="00F13DA8">
        <w:tc>
          <w:tcPr>
            <w:tcW w:w="8291" w:type="dxa"/>
            <w:shd w:val="clear" w:color="auto" w:fill="auto"/>
          </w:tcPr>
          <w:p w14:paraId="481BEE92" w14:textId="5EEE4AA8"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_Ref133418105 \h </w:instrText>
            </w:r>
            <w:r>
              <w:rPr>
                <w:lang w:eastAsia="en-AU"/>
              </w:rPr>
            </w:r>
            <w:r>
              <w:rPr>
                <w:lang w:eastAsia="en-AU"/>
              </w:rPr>
              <w:fldChar w:fldCharType="separate"/>
            </w:r>
            <w:r w:rsidR="00BC7D85">
              <w:rPr>
                <w:caps w:val="0"/>
              </w:rPr>
              <w:t>CONTRAVENTIONS OF THE ACL AND TRADE PRACTICES ACT</w:t>
            </w:r>
            <w:r>
              <w:rPr>
                <w:lang w:eastAsia="en-AU"/>
              </w:rPr>
              <w:fldChar w:fldCharType="end"/>
            </w:r>
          </w:p>
        </w:tc>
        <w:tc>
          <w:tcPr>
            <w:tcW w:w="1000" w:type="dxa"/>
            <w:shd w:val="clear" w:color="auto" w:fill="auto"/>
            <w:vAlign w:val="bottom"/>
          </w:tcPr>
          <w:p w14:paraId="729C2A82" w14:textId="5E84B328" w:rsidR="00F13DA8" w:rsidRDefault="00F13DA8" w:rsidP="00F13DA8">
            <w:pPr>
              <w:spacing w:before="120" w:after="60" w:line="240" w:lineRule="auto"/>
              <w:jc w:val="right"/>
              <w:rPr>
                <w:szCs w:val="24"/>
              </w:rPr>
            </w:pPr>
            <w:r>
              <w:rPr>
                <w:szCs w:val="24"/>
              </w:rPr>
              <w:t>[228]</w:t>
            </w:r>
          </w:p>
        </w:tc>
      </w:tr>
      <w:tr w:rsidR="00F13DA8" w:rsidRPr="00D326DB" w14:paraId="259083A7" w14:textId="77777777" w:rsidTr="00F13DA8">
        <w:tc>
          <w:tcPr>
            <w:tcW w:w="8291" w:type="dxa"/>
            <w:shd w:val="clear" w:color="auto" w:fill="auto"/>
          </w:tcPr>
          <w:p w14:paraId="0C2A2ED6" w14:textId="37556811"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49538E8D" w14:textId="7A9A62CB" w:rsidR="00F13DA8" w:rsidRDefault="00F13DA8" w:rsidP="00F13DA8">
            <w:pPr>
              <w:spacing w:before="120" w:after="60" w:line="240" w:lineRule="auto"/>
              <w:jc w:val="right"/>
              <w:rPr>
                <w:szCs w:val="24"/>
              </w:rPr>
            </w:pPr>
            <w:r>
              <w:rPr>
                <w:szCs w:val="24"/>
              </w:rPr>
              <w:t>[228]</w:t>
            </w:r>
          </w:p>
        </w:tc>
      </w:tr>
      <w:tr w:rsidR="00F13DA8" w:rsidRPr="00D326DB" w14:paraId="44A0B010" w14:textId="77777777" w:rsidTr="00F13DA8">
        <w:tc>
          <w:tcPr>
            <w:tcW w:w="8291" w:type="dxa"/>
            <w:shd w:val="clear" w:color="auto" w:fill="auto"/>
          </w:tcPr>
          <w:p w14:paraId="31D9F146" w14:textId="2ED6C359"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1109EB9D" w14:textId="2ECAACD8" w:rsidR="00F13DA8" w:rsidRDefault="00F13DA8" w:rsidP="00F13DA8">
            <w:pPr>
              <w:spacing w:before="120" w:after="60" w:line="240" w:lineRule="auto"/>
              <w:jc w:val="right"/>
              <w:rPr>
                <w:szCs w:val="24"/>
              </w:rPr>
            </w:pPr>
            <w:r>
              <w:rPr>
                <w:szCs w:val="24"/>
              </w:rPr>
              <w:t>[236]</w:t>
            </w:r>
          </w:p>
        </w:tc>
      </w:tr>
      <w:tr w:rsidR="00F13DA8" w:rsidRPr="00D326DB" w14:paraId="0E48749C" w14:textId="77777777" w:rsidTr="00F13DA8">
        <w:tc>
          <w:tcPr>
            <w:tcW w:w="8291" w:type="dxa"/>
            <w:shd w:val="clear" w:color="auto" w:fill="auto"/>
          </w:tcPr>
          <w:p w14:paraId="69AD8449" w14:textId="001724C1"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_Ref133418100 \h </w:instrText>
            </w:r>
            <w:r>
              <w:rPr>
                <w:lang w:eastAsia="en-AU"/>
              </w:rPr>
            </w:r>
            <w:r>
              <w:rPr>
                <w:lang w:eastAsia="en-AU"/>
              </w:rPr>
              <w:fldChar w:fldCharType="separate"/>
            </w:r>
            <w:r>
              <w:t>The notice of contention</w:t>
            </w:r>
            <w:r>
              <w:rPr>
                <w:lang w:eastAsia="en-AU"/>
              </w:rPr>
              <w:fldChar w:fldCharType="end"/>
            </w:r>
          </w:p>
        </w:tc>
        <w:tc>
          <w:tcPr>
            <w:tcW w:w="1000" w:type="dxa"/>
            <w:shd w:val="clear" w:color="auto" w:fill="auto"/>
            <w:vAlign w:val="bottom"/>
          </w:tcPr>
          <w:p w14:paraId="40B8D822" w14:textId="31488BA1" w:rsidR="00F13DA8" w:rsidRDefault="00F13DA8" w:rsidP="00F13DA8">
            <w:pPr>
              <w:spacing w:before="120" w:after="60" w:line="240" w:lineRule="auto"/>
              <w:jc w:val="right"/>
              <w:rPr>
                <w:szCs w:val="24"/>
              </w:rPr>
            </w:pPr>
            <w:r>
              <w:rPr>
                <w:szCs w:val="24"/>
              </w:rPr>
              <w:t>[273]</w:t>
            </w:r>
          </w:p>
        </w:tc>
      </w:tr>
      <w:tr w:rsidR="00F13DA8" w:rsidRPr="00D326DB" w14:paraId="0A07C902" w14:textId="77777777" w:rsidTr="00F13DA8">
        <w:tc>
          <w:tcPr>
            <w:tcW w:w="8291" w:type="dxa"/>
            <w:shd w:val="clear" w:color="auto" w:fill="auto"/>
          </w:tcPr>
          <w:p w14:paraId="264610B2" w14:textId="47C52B72"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_Ref133418106 \h </w:instrText>
            </w:r>
            <w:r>
              <w:rPr>
                <w:lang w:eastAsia="en-AU"/>
              </w:rPr>
            </w:r>
            <w:r>
              <w:rPr>
                <w:lang w:eastAsia="en-AU"/>
              </w:rPr>
              <w:fldChar w:fldCharType="separate"/>
            </w:r>
            <w:r w:rsidR="00BC7D85">
              <w:rPr>
                <w:caps w:val="0"/>
              </w:rPr>
              <w:t>RELIEF:  ACCOUNT OF PROFITS</w:t>
            </w:r>
            <w:r>
              <w:rPr>
                <w:lang w:eastAsia="en-AU"/>
              </w:rPr>
              <w:fldChar w:fldCharType="end"/>
            </w:r>
          </w:p>
        </w:tc>
        <w:tc>
          <w:tcPr>
            <w:tcW w:w="1000" w:type="dxa"/>
            <w:shd w:val="clear" w:color="auto" w:fill="auto"/>
            <w:vAlign w:val="bottom"/>
          </w:tcPr>
          <w:p w14:paraId="68FB415F" w14:textId="04AACACB" w:rsidR="00F13DA8" w:rsidRDefault="00F13DA8" w:rsidP="00F13DA8">
            <w:pPr>
              <w:spacing w:before="120" w:after="60" w:line="240" w:lineRule="auto"/>
              <w:jc w:val="right"/>
              <w:rPr>
                <w:szCs w:val="24"/>
              </w:rPr>
            </w:pPr>
            <w:r>
              <w:rPr>
                <w:szCs w:val="24"/>
              </w:rPr>
              <w:t>[275]</w:t>
            </w:r>
          </w:p>
        </w:tc>
      </w:tr>
      <w:tr w:rsidR="00F13DA8" w:rsidRPr="00D326DB" w14:paraId="75934FFC" w14:textId="77777777" w:rsidTr="00F13DA8">
        <w:tc>
          <w:tcPr>
            <w:tcW w:w="8291" w:type="dxa"/>
            <w:shd w:val="clear" w:color="auto" w:fill="auto"/>
          </w:tcPr>
          <w:p w14:paraId="4696DE61" w14:textId="09C482CF"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_Ref133418098 \h </w:instrText>
            </w:r>
            <w:r>
              <w:rPr>
                <w:lang w:eastAsia="en-AU"/>
              </w:rPr>
            </w:r>
            <w:r>
              <w:rPr>
                <w:lang w:eastAsia="en-AU"/>
              </w:rPr>
              <w:fldChar w:fldCharType="separate"/>
            </w:r>
            <w:r w:rsidRPr="009F53DE">
              <w:t>The appellants’ submissions</w:t>
            </w:r>
            <w:r>
              <w:rPr>
                <w:lang w:eastAsia="en-AU"/>
              </w:rPr>
              <w:fldChar w:fldCharType="end"/>
            </w:r>
          </w:p>
        </w:tc>
        <w:tc>
          <w:tcPr>
            <w:tcW w:w="1000" w:type="dxa"/>
            <w:shd w:val="clear" w:color="auto" w:fill="auto"/>
            <w:vAlign w:val="bottom"/>
          </w:tcPr>
          <w:p w14:paraId="24DE0C87" w14:textId="35CA5335" w:rsidR="00F13DA8" w:rsidRDefault="00F13DA8" w:rsidP="00F13DA8">
            <w:pPr>
              <w:spacing w:before="120" w:after="60" w:line="240" w:lineRule="auto"/>
              <w:jc w:val="right"/>
              <w:rPr>
                <w:szCs w:val="24"/>
              </w:rPr>
            </w:pPr>
            <w:r>
              <w:rPr>
                <w:szCs w:val="24"/>
              </w:rPr>
              <w:t>[275]</w:t>
            </w:r>
          </w:p>
        </w:tc>
      </w:tr>
      <w:tr w:rsidR="00F13DA8" w:rsidRPr="00D326DB" w14:paraId="2D857731" w14:textId="77777777" w:rsidTr="00F13DA8">
        <w:tc>
          <w:tcPr>
            <w:tcW w:w="8291" w:type="dxa"/>
            <w:shd w:val="clear" w:color="auto" w:fill="auto"/>
          </w:tcPr>
          <w:p w14:paraId="6E929410" w14:textId="10BF83B9"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08472C91" w14:textId="31124FB5" w:rsidR="00F13DA8" w:rsidRDefault="00F13DA8" w:rsidP="00F13DA8">
            <w:pPr>
              <w:spacing w:before="120" w:after="60" w:line="240" w:lineRule="auto"/>
              <w:jc w:val="right"/>
              <w:rPr>
                <w:szCs w:val="24"/>
              </w:rPr>
            </w:pPr>
            <w:r>
              <w:rPr>
                <w:szCs w:val="24"/>
              </w:rPr>
              <w:t>[277]</w:t>
            </w:r>
          </w:p>
        </w:tc>
      </w:tr>
      <w:tr w:rsidR="00F13DA8" w:rsidRPr="00D326DB" w14:paraId="7C9C6525" w14:textId="77777777" w:rsidTr="00F13DA8">
        <w:tc>
          <w:tcPr>
            <w:tcW w:w="8291" w:type="dxa"/>
            <w:shd w:val="clear" w:color="auto" w:fill="auto"/>
          </w:tcPr>
          <w:p w14:paraId="15C6FD54" w14:textId="0FE14FD9"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_Ref133418107 \h </w:instrText>
            </w:r>
            <w:r>
              <w:rPr>
                <w:lang w:eastAsia="en-AU"/>
              </w:rPr>
            </w:r>
            <w:r>
              <w:rPr>
                <w:lang w:eastAsia="en-AU"/>
              </w:rPr>
              <w:fldChar w:fldCharType="separate"/>
            </w:r>
            <w:r w:rsidR="00BC7D85">
              <w:rPr>
                <w:caps w:val="0"/>
              </w:rPr>
              <w:t>RELIEF:  INJUNCTIONS</w:t>
            </w:r>
            <w:r>
              <w:rPr>
                <w:lang w:eastAsia="en-AU"/>
              </w:rPr>
              <w:fldChar w:fldCharType="end"/>
            </w:r>
          </w:p>
        </w:tc>
        <w:tc>
          <w:tcPr>
            <w:tcW w:w="1000" w:type="dxa"/>
            <w:shd w:val="clear" w:color="auto" w:fill="auto"/>
            <w:vAlign w:val="bottom"/>
          </w:tcPr>
          <w:p w14:paraId="0DF14979" w14:textId="4DF5ED65" w:rsidR="00F13DA8" w:rsidRDefault="00F13DA8" w:rsidP="00F13DA8">
            <w:pPr>
              <w:spacing w:before="120" w:after="60" w:line="240" w:lineRule="auto"/>
              <w:jc w:val="right"/>
              <w:rPr>
                <w:szCs w:val="24"/>
              </w:rPr>
            </w:pPr>
            <w:r>
              <w:rPr>
                <w:szCs w:val="24"/>
              </w:rPr>
              <w:t>[284]</w:t>
            </w:r>
          </w:p>
        </w:tc>
      </w:tr>
      <w:tr w:rsidR="00F13DA8" w:rsidRPr="00D326DB" w14:paraId="4ECB36F6" w14:textId="77777777" w:rsidTr="00F13DA8">
        <w:tc>
          <w:tcPr>
            <w:tcW w:w="8291" w:type="dxa"/>
            <w:shd w:val="clear" w:color="auto" w:fill="auto"/>
          </w:tcPr>
          <w:p w14:paraId="66D7089B" w14:textId="37021607"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_Ref133418108 \h </w:instrText>
            </w:r>
            <w:r>
              <w:rPr>
                <w:lang w:eastAsia="en-AU"/>
              </w:rPr>
            </w:r>
            <w:r>
              <w:rPr>
                <w:lang w:eastAsia="en-AU"/>
              </w:rPr>
              <w:fldChar w:fldCharType="separate"/>
            </w:r>
            <w:r w:rsidR="00BC7D85">
              <w:rPr>
                <w:caps w:val="0"/>
              </w:rPr>
              <w:t>CROSS-APPEAL:  1300HENLEY</w:t>
            </w:r>
            <w:r>
              <w:rPr>
                <w:lang w:eastAsia="en-AU"/>
              </w:rPr>
              <w:fldChar w:fldCharType="end"/>
            </w:r>
          </w:p>
        </w:tc>
        <w:tc>
          <w:tcPr>
            <w:tcW w:w="1000" w:type="dxa"/>
            <w:shd w:val="clear" w:color="auto" w:fill="auto"/>
            <w:vAlign w:val="bottom"/>
          </w:tcPr>
          <w:p w14:paraId="62721CE4" w14:textId="5E819632" w:rsidR="00F13DA8" w:rsidRDefault="00F13DA8" w:rsidP="00F13DA8">
            <w:pPr>
              <w:spacing w:before="120" w:after="60" w:line="240" w:lineRule="auto"/>
              <w:jc w:val="right"/>
              <w:rPr>
                <w:szCs w:val="24"/>
              </w:rPr>
            </w:pPr>
            <w:r>
              <w:rPr>
                <w:szCs w:val="24"/>
              </w:rPr>
              <w:t>[288]</w:t>
            </w:r>
          </w:p>
        </w:tc>
      </w:tr>
      <w:tr w:rsidR="00F13DA8" w:rsidRPr="00D326DB" w14:paraId="0D64B317" w14:textId="77777777" w:rsidTr="00F13DA8">
        <w:tc>
          <w:tcPr>
            <w:tcW w:w="8291" w:type="dxa"/>
            <w:shd w:val="clear" w:color="auto" w:fill="auto"/>
          </w:tcPr>
          <w:p w14:paraId="74574D57" w14:textId="03E160DE"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_Ref133418109 \h </w:instrText>
            </w:r>
            <w:r>
              <w:rPr>
                <w:lang w:eastAsia="en-AU"/>
              </w:rPr>
            </w:r>
            <w:r>
              <w:rPr>
                <w:lang w:eastAsia="en-AU"/>
              </w:rPr>
              <w:fldChar w:fldCharType="separate"/>
            </w:r>
            <w:r>
              <w:t>The cross-appellant’s submissions</w:t>
            </w:r>
            <w:r>
              <w:rPr>
                <w:lang w:eastAsia="en-AU"/>
              </w:rPr>
              <w:fldChar w:fldCharType="end"/>
            </w:r>
          </w:p>
        </w:tc>
        <w:tc>
          <w:tcPr>
            <w:tcW w:w="1000" w:type="dxa"/>
            <w:shd w:val="clear" w:color="auto" w:fill="auto"/>
            <w:vAlign w:val="bottom"/>
          </w:tcPr>
          <w:p w14:paraId="543EEF07" w14:textId="1B450B69" w:rsidR="00F13DA8" w:rsidRDefault="00F13DA8" w:rsidP="00F13DA8">
            <w:pPr>
              <w:spacing w:before="120" w:after="60" w:line="240" w:lineRule="auto"/>
              <w:jc w:val="right"/>
              <w:rPr>
                <w:szCs w:val="24"/>
              </w:rPr>
            </w:pPr>
            <w:r>
              <w:rPr>
                <w:szCs w:val="24"/>
              </w:rPr>
              <w:t>[288]</w:t>
            </w:r>
          </w:p>
        </w:tc>
      </w:tr>
      <w:tr w:rsidR="00F13DA8" w:rsidRPr="00D326DB" w14:paraId="32135A2D" w14:textId="77777777" w:rsidTr="00F13DA8">
        <w:tc>
          <w:tcPr>
            <w:tcW w:w="8291" w:type="dxa"/>
            <w:shd w:val="clear" w:color="auto" w:fill="auto"/>
          </w:tcPr>
          <w:p w14:paraId="7B8BDD4B" w14:textId="395E2246" w:rsidR="00F13DA8" w:rsidRPr="00F13DA8" w:rsidRDefault="00F13DA8" w:rsidP="00F13DA8">
            <w:pPr>
              <w:pStyle w:val="FTOC2"/>
              <w:tabs>
                <w:tab w:val="clear" w:pos="9072"/>
              </w:tabs>
              <w:rPr>
                <w:lang w:eastAsia="en-AU"/>
              </w:rPr>
            </w:pPr>
            <w:r>
              <w:rPr>
                <w:lang w:eastAsia="en-AU"/>
              </w:rPr>
              <w:fldChar w:fldCharType="begin"/>
            </w:r>
            <w:r>
              <w:rPr>
                <w:lang w:eastAsia="en-AU"/>
              </w:rPr>
              <w:instrText xml:space="preserve"> REF _Ref133418099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3FB58746" w14:textId="0BF370C3" w:rsidR="00F13DA8" w:rsidRDefault="00F13DA8" w:rsidP="00F13DA8">
            <w:pPr>
              <w:spacing w:before="120" w:after="60" w:line="240" w:lineRule="auto"/>
              <w:jc w:val="right"/>
              <w:rPr>
                <w:szCs w:val="24"/>
              </w:rPr>
            </w:pPr>
            <w:r>
              <w:rPr>
                <w:szCs w:val="24"/>
              </w:rPr>
              <w:t>[296]</w:t>
            </w:r>
          </w:p>
        </w:tc>
      </w:tr>
      <w:tr w:rsidR="00F13DA8" w:rsidRPr="00D326DB" w14:paraId="06D58291" w14:textId="77777777" w:rsidTr="00F13DA8">
        <w:tc>
          <w:tcPr>
            <w:tcW w:w="8291" w:type="dxa"/>
            <w:shd w:val="clear" w:color="auto" w:fill="auto"/>
          </w:tcPr>
          <w:p w14:paraId="464AE4CD" w14:textId="2DD4989D"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_Ref133418110 \h </w:instrText>
            </w:r>
            <w:r>
              <w:rPr>
                <w:lang w:eastAsia="en-AU"/>
              </w:rPr>
            </w:r>
            <w:r>
              <w:rPr>
                <w:lang w:eastAsia="en-AU"/>
              </w:rPr>
              <w:fldChar w:fldCharType="separate"/>
            </w:r>
            <w:r w:rsidR="00BC7D85">
              <w:rPr>
                <w:caps w:val="0"/>
              </w:rPr>
              <w:t>LEAVE TO APPEAL:  COSTS</w:t>
            </w:r>
            <w:r>
              <w:rPr>
                <w:lang w:eastAsia="en-AU"/>
              </w:rPr>
              <w:fldChar w:fldCharType="end"/>
            </w:r>
          </w:p>
        </w:tc>
        <w:tc>
          <w:tcPr>
            <w:tcW w:w="1000" w:type="dxa"/>
            <w:shd w:val="clear" w:color="auto" w:fill="auto"/>
            <w:vAlign w:val="bottom"/>
          </w:tcPr>
          <w:p w14:paraId="423859B0" w14:textId="57B304F9" w:rsidR="00F13DA8" w:rsidRDefault="00F13DA8" w:rsidP="00F13DA8">
            <w:pPr>
              <w:spacing w:before="120" w:after="60" w:line="240" w:lineRule="auto"/>
              <w:jc w:val="right"/>
              <w:rPr>
                <w:szCs w:val="24"/>
              </w:rPr>
            </w:pPr>
            <w:r>
              <w:rPr>
                <w:szCs w:val="24"/>
              </w:rPr>
              <w:t>[307]</w:t>
            </w:r>
          </w:p>
        </w:tc>
      </w:tr>
      <w:tr w:rsidR="00F13DA8" w:rsidRPr="00D326DB" w14:paraId="1207BE5C" w14:textId="77777777" w:rsidTr="00F13DA8">
        <w:tc>
          <w:tcPr>
            <w:tcW w:w="8291" w:type="dxa"/>
            <w:shd w:val="clear" w:color="auto" w:fill="auto"/>
          </w:tcPr>
          <w:p w14:paraId="5BCDB29B" w14:textId="05BC5966"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_Ref133418111 \h </w:instrText>
            </w:r>
            <w:r>
              <w:rPr>
                <w:lang w:eastAsia="en-AU"/>
              </w:rPr>
            </w:r>
            <w:r>
              <w:rPr>
                <w:lang w:eastAsia="en-AU"/>
              </w:rPr>
              <w:fldChar w:fldCharType="separate"/>
            </w:r>
            <w:r w:rsidR="00BC7D85">
              <w:rPr>
                <w:caps w:val="0"/>
              </w:rPr>
              <w:t>CONCLUSION</w:t>
            </w:r>
            <w:r>
              <w:rPr>
                <w:lang w:eastAsia="en-AU"/>
              </w:rPr>
              <w:fldChar w:fldCharType="end"/>
            </w:r>
          </w:p>
        </w:tc>
        <w:tc>
          <w:tcPr>
            <w:tcW w:w="1000" w:type="dxa"/>
            <w:shd w:val="clear" w:color="auto" w:fill="auto"/>
            <w:vAlign w:val="bottom"/>
          </w:tcPr>
          <w:p w14:paraId="7D49C497" w14:textId="2D4FE07B" w:rsidR="00F13DA8" w:rsidRDefault="00F13DA8" w:rsidP="00F13DA8">
            <w:pPr>
              <w:spacing w:before="120" w:after="60" w:line="240" w:lineRule="auto"/>
              <w:jc w:val="right"/>
              <w:rPr>
                <w:szCs w:val="24"/>
              </w:rPr>
            </w:pPr>
            <w:r>
              <w:rPr>
                <w:szCs w:val="24"/>
              </w:rPr>
              <w:t>[315]</w:t>
            </w:r>
          </w:p>
        </w:tc>
      </w:tr>
      <w:tr w:rsidR="00F13DA8" w:rsidRPr="00D326DB" w14:paraId="0BDC9EFB" w14:textId="77777777" w:rsidTr="00F13DA8">
        <w:tc>
          <w:tcPr>
            <w:tcW w:w="8291" w:type="dxa"/>
            <w:shd w:val="clear" w:color="auto" w:fill="auto"/>
          </w:tcPr>
          <w:p w14:paraId="16EA4B0D" w14:textId="64B692AC" w:rsidR="00F13DA8" w:rsidRPr="00F13DA8" w:rsidRDefault="00F13DA8" w:rsidP="00F13DA8">
            <w:pPr>
              <w:pStyle w:val="FTOC1"/>
              <w:tabs>
                <w:tab w:val="clear" w:pos="9072"/>
              </w:tabs>
              <w:rPr>
                <w:lang w:eastAsia="en-AU"/>
              </w:rPr>
            </w:pPr>
            <w:r>
              <w:rPr>
                <w:lang w:eastAsia="en-AU"/>
              </w:rPr>
              <w:fldChar w:fldCharType="begin"/>
            </w:r>
            <w:r>
              <w:rPr>
                <w:lang w:eastAsia="en-AU"/>
              </w:rPr>
              <w:instrText xml:space="preserve"> REF _Ref133418112 \h </w:instrText>
            </w:r>
            <w:r>
              <w:rPr>
                <w:lang w:eastAsia="en-AU"/>
              </w:rPr>
            </w:r>
            <w:r>
              <w:rPr>
                <w:lang w:eastAsia="en-AU"/>
              </w:rPr>
              <w:fldChar w:fldCharType="separate"/>
            </w:r>
            <w:r w:rsidR="00BC7D85">
              <w:rPr>
                <w:caps w:val="0"/>
              </w:rPr>
              <w:t>SCHEDULE</w:t>
            </w:r>
            <w:r>
              <w:rPr>
                <w:lang w:eastAsia="en-AU"/>
              </w:rPr>
              <w:fldChar w:fldCharType="end"/>
            </w:r>
            <w:r w:rsidR="00BC7D85">
              <w:rPr>
                <w:caps w:val="0"/>
                <w:lang w:eastAsia="en-AU"/>
              </w:rPr>
              <w:t xml:space="preserve"> A</w:t>
            </w:r>
          </w:p>
        </w:tc>
        <w:tc>
          <w:tcPr>
            <w:tcW w:w="1000" w:type="dxa"/>
            <w:shd w:val="clear" w:color="auto" w:fill="auto"/>
            <w:vAlign w:val="bottom"/>
          </w:tcPr>
          <w:p w14:paraId="354DFC81" w14:textId="79708E86" w:rsidR="00F13DA8" w:rsidRDefault="00F13DA8" w:rsidP="00F13DA8">
            <w:pPr>
              <w:spacing w:before="120" w:after="60" w:line="240" w:lineRule="auto"/>
              <w:jc w:val="right"/>
              <w:rPr>
                <w:szCs w:val="24"/>
              </w:rPr>
            </w:pPr>
          </w:p>
        </w:tc>
      </w:tr>
      <w:bookmarkEnd w:id="26"/>
    </w:tbl>
    <w:p w14:paraId="1797CE4A" w14:textId="77777777" w:rsidR="00F13DA8" w:rsidRPr="00045BB7" w:rsidRDefault="00F13DA8" w:rsidP="00F13DA8"/>
    <w:p w14:paraId="1D4DA093" w14:textId="77777777" w:rsidR="00694BEB" w:rsidRDefault="00D42819" w:rsidP="005E0510">
      <w:pPr>
        <w:pStyle w:val="NormalHeadings"/>
        <w:spacing w:line="360" w:lineRule="auto"/>
        <w:jc w:val="left"/>
        <w:rPr>
          <w:sz w:val="26"/>
          <w:szCs w:val="26"/>
        </w:rPr>
      </w:pPr>
      <w:r>
        <w:rPr>
          <w:sz w:val="26"/>
          <w:szCs w:val="26"/>
        </w:rPr>
        <w:t>THE COURT</w:t>
      </w:r>
      <w:r w:rsidR="00B61C28">
        <w:rPr>
          <w:sz w:val="26"/>
          <w:szCs w:val="26"/>
        </w:rPr>
        <w:t>:</w:t>
      </w:r>
    </w:p>
    <w:p w14:paraId="4615D8B5" w14:textId="0BABB9CD" w:rsidR="00CD1346" w:rsidRDefault="00BC7D85" w:rsidP="000D6552">
      <w:pPr>
        <w:pStyle w:val="Heading1"/>
      </w:pPr>
      <w:bookmarkStart w:id="27" w:name="_Ref133418084"/>
      <w:r>
        <w:rPr>
          <w:caps w:val="0"/>
        </w:rPr>
        <w:t>INTRODUCTION</w:t>
      </w:r>
      <w:bookmarkEnd w:id="27"/>
    </w:p>
    <w:p w14:paraId="4F275F29" w14:textId="0A66591F" w:rsidR="000D6552" w:rsidRDefault="00BC7D85" w:rsidP="00BC7D85">
      <w:pPr>
        <w:pStyle w:val="ParaNumbering"/>
        <w:numPr>
          <w:ilvl w:val="0"/>
          <w:numId w:val="0"/>
        </w:numPr>
        <w:ind w:hanging="720"/>
      </w:pPr>
      <w:r>
        <w:rPr>
          <w:sz w:val="20"/>
        </w:rPr>
        <w:t>1</w:t>
      </w:r>
      <w:r>
        <w:rPr>
          <w:sz w:val="20"/>
        </w:rPr>
        <w:tab/>
      </w:r>
      <w:r w:rsidR="000D6552">
        <w:t>The appellant</w:t>
      </w:r>
      <w:r w:rsidR="001946F7">
        <w:t>s</w:t>
      </w:r>
      <w:r w:rsidR="000D6552">
        <w:t>, Henley Constructions Pty Ltd</w:t>
      </w:r>
      <w:r w:rsidR="001946F7">
        <w:t xml:space="preserve"> (</w:t>
      </w:r>
      <w:r w:rsidR="001946F7" w:rsidRPr="001946F7">
        <w:rPr>
          <w:b/>
        </w:rPr>
        <w:t>Henley Constructions</w:t>
      </w:r>
      <w:r w:rsidR="001946F7">
        <w:t xml:space="preserve">) and Patrick </w:t>
      </w:r>
      <w:proofErr w:type="spellStart"/>
      <w:r w:rsidR="001946F7">
        <w:t>Sarkis</w:t>
      </w:r>
      <w:proofErr w:type="spellEnd"/>
      <w:r w:rsidR="001946F7">
        <w:t xml:space="preserve">, </w:t>
      </w:r>
      <w:r w:rsidR="00CE31F1">
        <w:t xml:space="preserve">have </w:t>
      </w:r>
      <w:r w:rsidR="001946F7">
        <w:t>appeal</w:t>
      </w:r>
      <w:r w:rsidR="00CE31F1">
        <w:t>ed</w:t>
      </w:r>
      <w:r w:rsidR="000D6552">
        <w:t xml:space="preserve"> from a judgment of a single Judge of the Court.</w:t>
      </w:r>
      <w:r w:rsidR="00DF469E">
        <w:t xml:space="preserve">  </w:t>
      </w:r>
      <w:r w:rsidR="001946F7">
        <w:t xml:space="preserve">Mr </w:t>
      </w:r>
      <w:proofErr w:type="spellStart"/>
      <w:r w:rsidR="001946F7">
        <w:t>Sarkis</w:t>
      </w:r>
      <w:proofErr w:type="spellEnd"/>
      <w:r w:rsidR="001946F7">
        <w:t xml:space="preserve"> is</w:t>
      </w:r>
      <w:r w:rsidR="0054269F">
        <w:t xml:space="preserve"> the sole director of, and shareholder in, Henley Constructions</w:t>
      </w:r>
      <w:r w:rsidR="001946F7">
        <w:t>.</w:t>
      </w:r>
      <w:r w:rsidR="000D6552">
        <w:t xml:space="preserve">  </w:t>
      </w:r>
    </w:p>
    <w:p w14:paraId="347A85B5" w14:textId="5FC7ADE0" w:rsidR="000D6552" w:rsidRDefault="00BC7D85" w:rsidP="00BC7D85">
      <w:pPr>
        <w:pStyle w:val="ParaNumbering"/>
        <w:numPr>
          <w:ilvl w:val="0"/>
          <w:numId w:val="0"/>
        </w:numPr>
        <w:ind w:hanging="720"/>
      </w:pPr>
      <w:proofErr w:type="gramStart"/>
      <w:r>
        <w:rPr>
          <w:sz w:val="20"/>
        </w:rPr>
        <w:t>2</w:t>
      </w:r>
      <w:r>
        <w:rPr>
          <w:sz w:val="20"/>
        </w:rPr>
        <w:tab/>
      </w:r>
      <w:r w:rsidR="000D6552">
        <w:t xml:space="preserve">In the proceeding below, the present respondent, Henley Arch Pty Ltd, alleged that </w:t>
      </w:r>
      <w:r w:rsidR="001946F7">
        <w:t>Henley Constructions</w:t>
      </w:r>
      <w:r w:rsidR="000D6552">
        <w:t xml:space="preserve"> had</w:t>
      </w:r>
      <w:r w:rsidR="00DD4ABF">
        <w:t xml:space="preserve">:  </w:t>
      </w:r>
      <w:r w:rsidR="00390E3B">
        <w:t xml:space="preserve">(a) </w:t>
      </w:r>
      <w:r w:rsidR="000D6552">
        <w:t xml:space="preserve">infringed the respondent’s registered </w:t>
      </w:r>
      <w:proofErr w:type="spellStart"/>
      <w:r w:rsidR="000D6552">
        <w:t>trade marks</w:t>
      </w:r>
      <w:proofErr w:type="spellEnd"/>
      <w:r w:rsidR="00F968B0">
        <w:t xml:space="preserve"> </w:t>
      </w:r>
      <w:r w:rsidR="000B42BD">
        <w:t xml:space="preserve">by dint of </w:t>
      </w:r>
      <w:r w:rsidR="000B42BD" w:rsidRPr="00364BAE">
        <w:t>s 120(1)</w:t>
      </w:r>
      <w:r w:rsidR="000B42BD">
        <w:t xml:space="preserve"> of the </w:t>
      </w:r>
      <w:r w:rsidR="000B42BD" w:rsidRPr="00364BAE">
        <w:rPr>
          <w:i/>
        </w:rPr>
        <w:t>Trade Marks Act 1995</w:t>
      </w:r>
      <w:r w:rsidR="000B42BD" w:rsidRPr="00364BAE">
        <w:t xml:space="preserve"> (</w:t>
      </w:r>
      <w:proofErr w:type="spellStart"/>
      <w:r w:rsidR="000B42BD" w:rsidRPr="00364BAE">
        <w:t>Cth</w:t>
      </w:r>
      <w:proofErr w:type="spellEnd"/>
      <w:r w:rsidR="000B42BD" w:rsidRPr="00364BAE">
        <w:t>)</w:t>
      </w:r>
      <w:r w:rsidR="000B42BD">
        <w:t xml:space="preserve"> (the </w:t>
      </w:r>
      <w:r w:rsidR="000B42BD" w:rsidRPr="000B42BD">
        <w:rPr>
          <w:b/>
        </w:rPr>
        <w:t>Trade Marks Act</w:t>
      </w:r>
      <w:r w:rsidR="000B42BD">
        <w:t>)</w:t>
      </w:r>
      <w:r w:rsidR="00390E3B">
        <w:t>;</w:t>
      </w:r>
      <w:r w:rsidR="000D6552">
        <w:t xml:space="preserve"> and </w:t>
      </w:r>
      <w:r w:rsidR="00390E3B">
        <w:t xml:space="preserve">(b) </w:t>
      </w:r>
      <w:r w:rsidR="000D6552">
        <w:t xml:space="preserve">contravened certain provisions of the </w:t>
      </w:r>
      <w:r w:rsidR="000D6552" w:rsidRPr="00AF6543">
        <w:t>Australian Consumer Law</w:t>
      </w:r>
      <w:r w:rsidR="00AC7D87">
        <w:t xml:space="preserve"> </w:t>
      </w:r>
      <w:r w:rsidR="00986B67">
        <w:t>(</w:t>
      </w:r>
      <w:proofErr w:type="spellStart"/>
      <w:r w:rsidR="00986B67" w:rsidRPr="00364BAE">
        <w:t>Sch</w:t>
      </w:r>
      <w:proofErr w:type="spellEnd"/>
      <w:r w:rsidR="00986B67" w:rsidRPr="00364BAE">
        <w:t xml:space="preserve"> 2 to the </w:t>
      </w:r>
      <w:r w:rsidR="00986B67" w:rsidRPr="00364BAE">
        <w:rPr>
          <w:i/>
        </w:rPr>
        <w:t>Competition and Consumer Act 2010</w:t>
      </w:r>
      <w:r w:rsidR="00986B67" w:rsidRPr="00364BAE">
        <w:t xml:space="preserve"> (</w:t>
      </w:r>
      <w:proofErr w:type="spellStart"/>
      <w:r w:rsidR="00986B67" w:rsidRPr="00364BAE">
        <w:t>Cth</w:t>
      </w:r>
      <w:proofErr w:type="spellEnd"/>
      <w:r w:rsidR="00986B67" w:rsidRPr="00364BAE">
        <w:t>)</w:t>
      </w:r>
      <w:r w:rsidR="00986B67">
        <w:t>)</w:t>
      </w:r>
      <w:r w:rsidR="00AF6543">
        <w:t xml:space="preserve"> (the </w:t>
      </w:r>
      <w:r w:rsidR="00AF6543" w:rsidRPr="00AF6543">
        <w:rPr>
          <w:b/>
        </w:rPr>
        <w:t>ACL</w:t>
      </w:r>
      <w:r w:rsidR="00AF6543">
        <w:t>)</w:t>
      </w:r>
      <w:r w:rsidR="00986B67">
        <w:t xml:space="preserve"> </w:t>
      </w:r>
      <w:r w:rsidR="00AC7D87">
        <w:t xml:space="preserve">and the </w:t>
      </w:r>
      <w:r w:rsidR="00AC7D87" w:rsidRPr="00364BAE">
        <w:rPr>
          <w:i/>
        </w:rPr>
        <w:t>Trade Practices Act 1974</w:t>
      </w:r>
      <w:r w:rsidR="00AC7D87" w:rsidRPr="00364BAE">
        <w:t xml:space="preserve"> (</w:t>
      </w:r>
      <w:proofErr w:type="spellStart"/>
      <w:r w:rsidR="00AC7D87" w:rsidRPr="00364BAE">
        <w:t>Cth</w:t>
      </w:r>
      <w:proofErr w:type="spellEnd"/>
      <w:r w:rsidR="00AC7D87" w:rsidRPr="00364BAE">
        <w:t>)</w:t>
      </w:r>
      <w:r w:rsidR="00AC7D87">
        <w:t xml:space="preserve"> (the </w:t>
      </w:r>
      <w:r w:rsidR="00AC7D87" w:rsidRPr="00AC7D87">
        <w:rPr>
          <w:b/>
        </w:rPr>
        <w:t>Trade Practices Act</w:t>
      </w:r>
      <w:r w:rsidR="00AC7D87">
        <w:t>)</w:t>
      </w:r>
      <w:r w:rsidR="000D6552">
        <w:t>.</w:t>
      </w:r>
      <w:proofErr w:type="gramEnd"/>
      <w:r w:rsidR="001946F7">
        <w:t xml:space="preserve">  </w:t>
      </w:r>
      <w:r w:rsidR="00AC7D87">
        <w:t>The respondent</w:t>
      </w:r>
      <w:r w:rsidR="001946F7">
        <w:t xml:space="preserve"> alleged that</w:t>
      </w:r>
      <w:r w:rsidR="00AC7D87">
        <w:t xml:space="preserve">, in respect of Henley Constructions’ </w:t>
      </w:r>
      <w:proofErr w:type="gramStart"/>
      <w:r w:rsidR="000C1B6A">
        <w:t>trade mark</w:t>
      </w:r>
      <w:proofErr w:type="gramEnd"/>
      <w:r w:rsidR="000C1B6A">
        <w:t xml:space="preserve"> </w:t>
      </w:r>
      <w:r w:rsidR="00AC7D87">
        <w:t>infringements,</w:t>
      </w:r>
      <w:r w:rsidR="000C1B6A">
        <w:t xml:space="preserve"> Mr </w:t>
      </w:r>
      <w:proofErr w:type="spellStart"/>
      <w:r w:rsidR="001946F7">
        <w:t>Sarkis</w:t>
      </w:r>
      <w:proofErr w:type="spellEnd"/>
      <w:r w:rsidR="00AC7D87">
        <w:t xml:space="preserve"> was a joint tortfeasor</w:t>
      </w:r>
      <w:r w:rsidR="001946F7">
        <w:t>.</w:t>
      </w:r>
      <w:r w:rsidR="00AC7D87">
        <w:t xml:space="preserve">  It also alleged that, in respect of Henley Constructions’ contraventions of the Australian Consumer Law and the Trade Practices Act, Mr </w:t>
      </w:r>
      <w:proofErr w:type="spellStart"/>
      <w:r w:rsidR="00AC7D87">
        <w:t>Sarkis</w:t>
      </w:r>
      <w:proofErr w:type="spellEnd"/>
      <w:r w:rsidR="00AC7D87">
        <w:t xml:space="preserve"> was liable as a person involved in those contraventions.</w:t>
      </w:r>
      <w:r w:rsidR="000D6552">
        <w:t xml:space="preserve">  </w:t>
      </w:r>
    </w:p>
    <w:p w14:paraId="5B68341D" w14:textId="2252DBD1" w:rsidR="000D6552" w:rsidRDefault="00BC7D85" w:rsidP="00BC7D85">
      <w:pPr>
        <w:pStyle w:val="ParaNumbering"/>
        <w:numPr>
          <w:ilvl w:val="0"/>
          <w:numId w:val="0"/>
        </w:numPr>
        <w:ind w:hanging="720"/>
      </w:pPr>
      <w:r>
        <w:rPr>
          <w:sz w:val="20"/>
        </w:rPr>
        <w:lastRenderedPageBreak/>
        <w:t>3</w:t>
      </w:r>
      <w:r>
        <w:rPr>
          <w:sz w:val="20"/>
        </w:rPr>
        <w:tab/>
      </w:r>
      <w:r w:rsidR="00AC7D87">
        <w:t xml:space="preserve">In respect of the allegations of </w:t>
      </w:r>
      <w:proofErr w:type="gramStart"/>
      <w:r w:rsidR="00AC7D87">
        <w:t>trade mark</w:t>
      </w:r>
      <w:proofErr w:type="gramEnd"/>
      <w:r w:rsidR="00AC7D87">
        <w:t xml:space="preserve"> infringement, the</w:t>
      </w:r>
      <w:r w:rsidR="000D6552">
        <w:t xml:space="preserve"> appellant</w:t>
      </w:r>
      <w:r w:rsidR="001946F7">
        <w:t>s</w:t>
      </w:r>
      <w:r w:rsidR="00154146">
        <w:t xml:space="preserve"> denied infringement and</w:t>
      </w:r>
      <w:r w:rsidR="000D6552">
        <w:t xml:space="preserve"> raised c</w:t>
      </w:r>
      <w:r w:rsidR="00154146">
        <w:t xml:space="preserve">ertain defences to infringement.  </w:t>
      </w:r>
      <w:r w:rsidR="00AF6543">
        <w:t>Henley Constructions</w:t>
      </w:r>
      <w:r w:rsidR="000D6552">
        <w:t xml:space="preserve"> cross-claimed seeking cancellation</w:t>
      </w:r>
      <w:r w:rsidR="00AC7D87">
        <w:t xml:space="preserve"> </w:t>
      </w:r>
      <w:r w:rsidR="000D6552">
        <w:t>of the registered marks</w:t>
      </w:r>
      <w:r w:rsidR="00AC7D87">
        <w:t xml:space="preserve"> from the Register of Trade Marks or their removal for non-use</w:t>
      </w:r>
      <w:r w:rsidR="00154146">
        <w:t xml:space="preserve"> (or, alternatively, that limitations be placed on the scope of their registrations)</w:t>
      </w:r>
      <w:r w:rsidR="001946F7">
        <w:t>.</w:t>
      </w:r>
      <w:r w:rsidR="00AC7D87">
        <w:t xml:space="preserve">  </w:t>
      </w:r>
      <w:r w:rsidR="00AF6543">
        <w:t>The appellants</w:t>
      </w:r>
      <w:r w:rsidR="00AC7D87">
        <w:t xml:space="preserve"> also denied the alleged contraventions of the </w:t>
      </w:r>
      <w:r w:rsidR="0019135C">
        <w:t>ACL</w:t>
      </w:r>
      <w:r w:rsidR="00AC7D87">
        <w:t xml:space="preserve"> and the Trade Practices Act.</w:t>
      </w:r>
    </w:p>
    <w:p w14:paraId="47A421B0" w14:textId="091C6B73" w:rsidR="001946F7" w:rsidRDefault="00BC7D85" w:rsidP="00BC7D85">
      <w:pPr>
        <w:pStyle w:val="ParaNumbering"/>
        <w:numPr>
          <w:ilvl w:val="0"/>
          <w:numId w:val="0"/>
        </w:numPr>
        <w:ind w:hanging="720"/>
      </w:pPr>
      <w:r>
        <w:rPr>
          <w:sz w:val="20"/>
        </w:rPr>
        <w:t>4</w:t>
      </w:r>
      <w:r>
        <w:rPr>
          <w:sz w:val="20"/>
        </w:rPr>
        <w:tab/>
      </w:r>
      <w:r w:rsidR="001946F7">
        <w:t xml:space="preserve">The primary judge </w:t>
      </w:r>
      <w:r w:rsidR="00154146">
        <w:t xml:space="preserve">largely </w:t>
      </w:r>
      <w:r w:rsidR="000B42BD">
        <w:t>accepted the respondent’s case</w:t>
      </w:r>
      <w:r w:rsidR="004F4A97">
        <w:t xml:space="preserve">: </w:t>
      </w:r>
      <w:r w:rsidR="009523BC" w:rsidRPr="00364BAE">
        <w:rPr>
          <w:i/>
        </w:rPr>
        <w:t>Henley Arch Pty Ltd v Henley Constructions Pty Ltd</w:t>
      </w:r>
      <w:r w:rsidR="009523BC" w:rsidRPr="00364BAE">
        <w:t xml:space="preserve"> [2021] FCA 1369</w:t>
      </w:r>
      <w:proofErr w:type="gramStart"/>
      <w:r w:rsidR="004F4A97" w:rsidRPr="00364BAE">
        <w:t>;</w:t>
      </w:r>
      <w:proofErr w:type="gramEnd"/>
      <w:r w:rsidR="004F4A97" w:rsidRPr="00364BAE">
        <w:t xml:space="preserve"> 163 IPR 1</w:t>
      </w:r>
      <w:r w:rsidR="009523BC">
        <w:t xml:space="preserve"> (</w:t>
      </w:r>
      <w:r w:rsidR="009523BC" w:rsidRPr="009523BC">
        <w:rPr>
          <w:b/>
        </w:rPr>
        <w:t>J</w:t>
      </w:r>
      <w:r w:rsidR="009523BC">
        <w:t>)</w:t>
      </w:r>
      <w:r w:rsidR="000C1B6A">
        <w:t>.  We summarise the primary judge’s findings below at [20]-[9</w:t>
      </w:r>
      <w:r w:rsidR="00D42819">
        <w:t>3</w:t>
      </w:r>
      <w:r w:rsidR="000C1B6A">
        <w:t>]</w:t>
      </w:r>
      <w:r w:rsidR="001946F7">
        <w:t>.</w:t>
      </w:r>
    </w:p>
    <w:p w14:paraId="7EAD3F04" w14:textId="5557170F" w:rsidR="001946F7" w:rsidRDefault="00BC7D85" w:rsidP="00BC7D85">
      <w:pPr>
        <w:pStyle w:val="ParaNumbering"/>
        <w:numPr>
          <w:ilvl w:val="0"/>
          <w:numId w:val="0"/>
        </w:numPr>
        <w:ind w:hanging="720"/>
      </w:pPr>
      <w:r>
        <w:rPr>
          <w:sz w:val="20"/>
        </w:rPr>
        <w:t>5</w:t>
      </w:r>
      <w:r>
        <w:rPr>
          <w:sz w:val="20"/>
        </w:rPr>
        <w:tab/>
      </w:r>
      <w:r w:rsidR="001946F7">
        <w:t>On 25 November 2021, the primary judge granted declarations in respect of</w:t>
      </w:r>
      <w:r w:rsidR="000C1B6A">
        <w:t xml:space="preserve"> Henley Constructions’ </w:t>
      </w:r>
      <w:proofErr w:type="gramStart"/>
      <w:r w:rsidR="000C1B6A">
        <w:t>trade mark</w:t>
      </w:r>
      <w:proofErr w:type="gramEnd"/>
      <w:r w:rsidR="000C1B6A">
        <w:t xml:space="preserve"> infringements and contraventions of the ACL, and Mr </w:t>
      </w:r>
      <w:proofErr w:type="spellStart"/>
      <w:r w:rsidR="000C1B6A">
        <w:t>Sarkis’</w:t>
      </w:r>
      <w:r w:rsidR="00971981">
        <w:t>s</w:t>
      </w:r>
      <w:proofErr w:type="spellEnd"/>
      <w:r w:rsidR="000C1B6A">
        <w:t xml:space="preserve"> involvement in those infringements and contraventions</w:t>
      </w:r>
      <w:r w:rsidR="001946F7">
        <w:t xml:space="preserve">.  </w:t>
      </w:r>
      <w:r w:rsidR="00D42819">
        <w:t>His Honour</w:t>
      </w:r>
      <w:r w:rsidR="001946F7">
        <w:t xml:space="preserve"> also made orders</w:t>
      </w:r>
      <w:r w:rsidR="000C1B6A">
        <w:t xml:space="preserve"> dismissing Henley Constructions’ cross-claim</w:t>
      </w:r>
      <w:r w:rsidR="00F3575C">
        <w:t>,</w:t>
      </w:r>
      <w:r w:rsidR="000C1B6A">
        <w:t xml:space="preserve"> restraining the appellants from engaging in specified conduct</w:t>
      </w:r>
      <w:r w:rsidR="00F3575C">
        <w:t>, and requiring the appellants to take all steps necessary to transfer certain domain names to the respondent</w:t>
      </w:r>
      <w:r w:rsidR="000C1B6A">
        <w:t>.  His Honour made a number of procedural orders</w:t>
      </w:r>
      <w:r w:rsidR="001946F7">
        <w:t>.</w:t>
      </w:r>
      <w:r w:rsidR="000C1B6A">
        <w:t xml:space="preserve"> On 18 February 2022, </w:t>
      </w:r>
      <w:proofErr w:type="spellStart"/>
      <w:r w:rsidR="000C1B6A">
        <w:t>Rofe</w:t>
      </w:r>
      <w:proofErr w:type="spellEnd"/>
      <w:r w:rsidR="000C1B6A">
        <w:t> </w:t>
      </w:r>
      <w:r w:rsidR="00390E3B">
        <w:t>J granted leave to appeal from those orders.</w:t>
      </w:r>
    </w:p>
    <w:p w14:paraId="575773BD" w14:textId="19A47632" w:rsidR="00390E3B" w:rsidRDefault="00BC7D85" w:rsidP="00BC7D85">
      <w:pPr>
        <w:pStyle w:val="ParaNumbering"/>
        <w:numPr>
          <w:ilvl w:val="0"/>
          <w:numId w:val="0"/>
        </w:numPr>
        <w:ind w:hanging="720"/>
      </w:pPr>
      <w:r>
        <w:rPr>
          <w:sz w:val="20"/>
        </w:rPr>
        <w:t>6</w:t>
      </w:r>
      <w:r>
        <w:rPr>
          <w:sz w:val="20"/>
        </w:rPr>
        <w:tab/>
      </w:r>
      <w:r w:rsidR="001946F7">
        <w:t xml:space="preserve">On 17 March 2022, the primary judge made </w:t>
      </w:r>
      <w:r w:rsidR="00B30AB6">
        <w:t xml:space="preserve">costs </w:t>
      </w:r>
      <w:r w:rsidR="001946F7">
        <w:t>orders.</w:t>
      </w:r>
      <w:r w:rsidR="00390E3B">
        <w:t xml:space="preserve">  On </w:t>
      </w:r>
      <w:r w:rsidR="00D42819">
        <w:t>31 March 2022,</w:t>
      </w:r>
      <w:r w:rsidR="00390E3B">
        <w:t xml:space="preserve"> the appellant</w:t>
      </w:r>
      <w:r w:rsidR="00BE368A">
        <w:t>s</w:t>
      </w:r>
      <w:r w:rsidR="00390E3B">
        <w:t xml:space="preserve"> filed an application seeking leave to appeal from those orders.  </w:t>
      </w:r>
      <w:r w:rsidR="00986B67">
        <w:t>This leave</w:t>
      </w:r>
      <w:r w:rsidR="00390E3B">
        <w:t xml:space="preserve"> application </w:t>
      </w:r>
      <w:proofErr w:type="gramStart"/>
      <w:r w:rsidR="00986B67">
        <w:t>has been heard</w:t>
      </w:r>
      <w:proofErr w:type="gramEnd"/>
      <w:r w:rsidR="00986B67">
        <w:t xml:space="preserve"> </w:t>
      </w:r>
      <w:r w:rsidR="00390E3B">
        <w:t>concurrently with the present appeal.</w:t>
      </w:r>
    </w:p>
    <w:p w14:paraId="50FFFA18" w14:textId="3440164E" w:rsidR="00CE31F1" w:rsidRDefault="00BC7D85" w:rsidP="00BC7D85">
      <w:pPr>
        <w:pStyle w:val="ParaNumbering"/>
        <w:numPr>
          <w:ilvl w:val="0"/>
          <w:numId w:val="0"/>
        </w:numPr>
        <w:ind w:hanging="720"/>
      </w:pPr>
      <w:r>
        <w:rPr>
          <w:sz w:val="20"/>
        </w:rPr>
        <w:t>7</w:t>
      </w:r>
      <w:r>
        <w:rPr>
          <w:sz w:val="20"/>
        </w:rPr>
        <w:tab/>
      </w:r>
      <w:r w:rsidR="00CE31F1">
        <w:t xml:space="preserve">The respondent has cross-appealed on the single ground that the primary judge erred in finding that Henley Constructions had not used the </w:t>
      </w:r>
      <w:r w:rsidR="002874D7">
        <w:t>sign 1300</w:t>
      </w:r>
      <w:r w:rsidR="00CE31F1">
        <w:t>HENLEY as a trade mark.  It has also filed a notice of contention seeking to support the primary judge’s findings in relation to the validity of the registration of the respondent’s work mark HENLEY, and the primary judge’</w:t>
      </w:r>
      <w:r w:rsidR="0054269F">
        <w:t xml:space="preserve">s findings of contravention </w:t>
      </w:r>
      <w:r w:rsidR="00CE31F1">
        <w:t>of the ACL.</w:t>
      </w:r>
    </w:p>
    <w:p w14:paraId="072A3BCC" w14:textId="71325DA9" w:rsidR="001946F7" w:rsidRDefault="00BC7D85" w:rsidP="00BC7D85">
      <w:pPr>
        <w:pStyle w:val="ParaNumbering"/>
        <w:numPr>
          <w:ilvl w:val="0"/>
          <w:numId w:val="0"/>
        </w:numPr>
        <w:ind w:hanging="720"/>
      </w:pPr>
      <w:r>
        <w:rPr>
          <w:sz w:val="20"/>
        </w:rPr>
        <w:t>8</w:t>
      </w:r>
      <w:r>
        <w:rPr>
          <w:sz w:val="20"/>
        </w:rPr>
        <w:tab/>
      </w:r>
      <w:r w:rsidR="00390E3B">
        <w:t>We have concluded that</w:t>
      </w:r>
      <w:r w:rsidR="00D17498">
        <w:t xml:space="preserve"> the cross-appeal succeeds, </w:t>
      </w:r>
      <w:r w:rsidR="00364BAE">
        <w:t>and the appeal succeeds in part.</w:t>
      </w:r>
      <w:r w:rsidR="0054269F">
        <w:t xml:space="preserve"> </w:t>
      </w:r>
    </w:p>
    <w:p w14:paraId="7A44A2C0" w14:textId="47F65F08" w:rsidR="00390E3B" w:rsidRDefault="00BC7D85" w:rsidP="00B30AB6">
      <w:pPr>
        <w:pStyle w:val="Heading1"/>
      </w:pPr>
      <w:bookmarkStart w:id="28" w:name="_Ref133418085"/>
      <w:r>
        <w:rPr>
          <w:caps w:val="0"/>
        </w:rPr>
        <w:t>BACKGROUND</w:t>
      </w:r>
      <w:bookmarkEnd w:id="28"/>
    </w:p>
    <w:p w14:paraId="36248EF2" w14:textId="093FD746" w:rsidR="00B30AB6" w:rsidRDefault="00BC7D85" w:rsidP="00BC7D85">
      <w:pPr>
        <w:pStyle w:val="ParaNumbering"/>
        <w:numPr>
          <w:ilvl w:val="0"/>
          <w:numId w:val="0"/>
        </w:numPr>
        <w:ind w:hanging="720"/>
      </w:pPr>
      <w:r>
        <w:rPr>
          <w:sz w:val="20"/>
        </w:rPr>
        <w:t>9</w:t>
      </w:r>
      <w:r>
        <w:rPr>
          <w:sz w:val="20"/>
        </w:rPr>
        <w:tab/>
      </w:r>
      <w:r w:rsidR="00B30AB6">
        <w:t>The respondent is</w:t>
      </w:r>
      <w:r w:rsidR="000C1B6A">
        <w:t xml:space="preserve"> a builder of homes in Victoria, South Australia, Queensland and New South Wales</w:t>
      </w:r>
      <w:r w:rsidR="00B30AB6">
        <w:t>.</w:t>
      </w:r>
      <w:r w:rsidR="00EC4927">
        <w:t xml:space="preserve">  </w:t>
      </w:r>
      <w:r w:rsidR="00B30AB6">
        <w:t xml:space="preserve">Since 1989, it has used a number of </w:t>
      </w:r>
      <w:proofErr w:type="gramStart"/>
      <w:r w:rsidR="00B30AB6">
        <w:t>trade marks</w:t>
      </w:r>
      <w:proofErr w:type="gramEnd"/>
      <w:r w:rsidR="00B30AB6">
        <w:t xml:space="preserve"> in the promotion of its business.</w:t>
      </w:r>
    </w:p>
    <w:p w14:paraId="338CA2AC" w14:textId="69F22344" w:rsidR="00B30AB6" w:rsidRDefault="00BC7D85" w:rsidP="00BC7D85">
      <w:pPr>
        <w:pStyle w:val="ParaNumbering"/>
        <w:numPr>
          <w:ilvl w:val="0"/>
          <w:numId w:val="0"/>
        </w:numPr>
        <w:ind w:hanging="720"/>
      </w:pPr>
      <w:r>
        <w:rPr>
          <w:sz w:val="20"/>
        </w:rPr>
        <w:t>10</w:t>
      </w:r>
      <w:r>
        <w:rPr>
          <w:sz w:val="20"/>
        </w:rPr>
        <w:tab/>
      </w:r>
      <w:r w:rsidR="00B30AB6">
        <w:t>From 1989 until about 2005, it used the following marks (</w:t>
      </w:r>
      <w:r w:rsidR="007D0E67">
        <w:t xml:space="preserve">which the primary judge called </w:t>
      </w:r>
      <w:r w:rsidR="00B30AB6">
        <w:t xml:space="preserve">the </w:t>
      </w:r>
      <w:r w:rsidR="00B30AB6" w:rsidRPr="00B30AB6">
        <w:rPr>
          <w:b/>
        </w:rPr>
        <w:t>Initial Henley Devices</w:t>
      </w:r>
      <w:r w:rsidR="00EC4927">
        <w:t xml:space="preserve">): </w:t>
      </w:r>
    </w:p>
    <w:p w14:paraId="35496246" w14:textId="77777777" w:rsidR="00EA323D" w:rsidRDefault="00EA323D" w:rsidP="00EA323D">
      <w:pPr>
        <w:pStyle w:val="NoNum"/>
      </w:pPr>
      <w:r>
        <w:rPr>
          <w:noProof/>
          <w:lang w:eastAsia="en-AU"/>
        </w:rPr>
        <w:lastRenderedPageBreak/>
        <w:drawing>
          <wp:inline distT="0" distB="0" distL="0" distR="0" wp14:anchorId="5C758532" wp14:editId="2383AEC6">
            <wp:extent cx="1257300" cy="51134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4">
                      <a:extLst>
                        <a:ext uri="{28A0092B-C50C-407E-A947-70E740481C1C}">
                          <a14:useLocalDpi xmlns:a14="http://schemas.microsoft.com/office/drawing/2010/main" val="0"/>
                        </a:ext>
                      </a:extLst>
                    </a:blip>
                    <a:stretch>
                      <a:fillRect/>
                    </a:stretch>
                  </pic:blipFill>
                  <pic:spPr>
                    <a:xfrm>
                      <a:off x="0" y="0"/>
                      <a:ext cx="1257300" cy="511342"/>
                    </a:xfrm>
                    <a:prstGeom prst="rect">
                      <a:avLst/>
                    </a:prstGeom>
                  </pic:spPr>
                </pic:pic>
              </a:graphicData>
            </a:graphic>
          </wp:inline>
        </w:drawing>
      </w:r>
      <w:r>
        <w:rPr>
          <w:noProof/>
          <w:lang w:eastAsia="en-AU"/>
        </w:rPr>
        <w:drawing>
          <wp:inline distT="0" distB="0" distL="0" distR="0" wp14:anchorId="0DD4B315" wp14:editId="33E6D53E">
            <wp:extent cx="1317458" cy="52938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5">
                      <a:extLst>
                        <a:ext uri="{28A0092B-C50C-407E-A947-70E740481C1C}">
                          <a14:useLocalDpi xmlns:a14="http://schemas.microsoft.com/office/drawing/2010/main" val="0"/>
                        </a:ext>
                      </a:extLst>
                    </a:blip>
                    <a:stretch>
                      <a:fillRect/>
                    </a:stretch>
                  </pic:blipFill>
                  <pic:spPr>
                    <a:xfrm>
                      <a:off x="0" y="0"/>
                      <a:ext cx="1317458" cy="529389"/>
                    </a:xfrm>
                    <a:prstGeom prst="rect">
                      <a:avLst/>
                    </a:prstGeom>
                  </pic:spPr>
                </pic:pic>
              </a:graphicData>
            </a:graphic>
          </wp:inline>
        </w:drawing>
      </w:r>
      <w:r>
        <w:rPr>
          <w:noProof/>
          <w:lang w:eastAsia="en-AU"/>
        </w:rPr>
        <w:drawing>
          <wp:inline distT="0" distB="0" distL="0" distR="0" wp14:anchorId="398F703C" wp14:editId="4ED176ED">
            <wp:extent cx="1503947" cy="469232"/>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16">
                      <a:extLst>
                        <a:ext uri="{28A0092B-C50C-407E-A947-70E740481C1C}">
                          <a14:useLocalDpi xmlns:a14="http://schemas.microsoft.com/office/drawing/2010/main" val="0"/>
                        </a:ext>
                      </a:extLst>
                    </a:blip>
                    <a:stretch>
                      <a:fillRect/>
                    </a:stretch>
                  </pic:blipFill>
                  <pic:spPr>
                    <a:xfrm>
                      <a:off x="0" y="0"/>
                      <a:ext cx="1503947" cy="469232"/>
                    </a:xfrm>
                    <a:prstGeom prst="rect">
                      <a:avLst/>
                    </a:prstGeom>
                  </pic:spPr>
                </pic:pic>
              </a:graphicData>
            </a:graphic>
          </wp:inline>
        </w:drawing>
      </w:r>
      <w:r>
        <w:rPr>
          <w:noProof/>
          <w:lang w:eastAsia="en-AU"/>
        </w:rPr>
        <w:drawing>
          <wp:inline distT="0" distB="0" distL="0" distR="0" wp14:anchorId="54CC46BA" wp14:editId="3BC2253D">
            <wp:extent cx="1543050"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17">
                      <a:extLst>
                        <a:ext uri="{28A0092B-C50C-407E-A947-70E740481C1C}">
                          <a14:useLocalDpi xmlns:a14="http://schemas.microsoft.com/office/drawing/2010/main" val="0"/>
                        </a:ext>
                      </a:extLst>
                    </a:blip>
                    <a:stretch>
                      <a:fillRect/>
                    </a:stretch>
                  </pic:blipFill>
                  <pic:spPr>
                    <a:xfrm>
                      <a:off x="0" y="0"/>
                      <a:ext cx="1543050" cy="552450"/>
                    </a:xfrm>
                    <a:prstGeom prst="rect">
                      <a:avLst/>
                    </a:prstGeom>
                  </pic:spPr>
                </pic:pic>
              </a:graphicData>
            </a:graphic>
          </wp:inline>
        </w:drawing>
      </w:r>
    </w:p>
    <w:p w14:paraId="5B4BDD56" w14:textId="7CD3F1DA" w:rsidR="00B30AB6" w:rsidRDefault="00BC7D85" w:rsidP="00BC7D85">
      <w:pPr>
        <w:pStyle w:val="ParaNumbering"/>
        <w:numPr>
          <w:ilvl w:val="0"/>
          <w:numId w:val="0"/>
        </w:numPr>
        <w:ind w:hanging="720"/>
      </w:pPr>
      <w:r>
        <w:rPr>
          <w:sz w:val="20"/>
        </w:rPr>
        <w:t>11</w:t>
      </w:r>
      <w:r>
        <w:rPr>
          <w:sz w:val="20"/>
        </w:rPr>
        <w:tab/>
      </w:r>
      <w:r w:rsidR="00B30AB6">
        <w:t>From about 2005, it used the following marks (</w:t>
      </w:r>
      <w:r w:rsidR="007D0E67">
        <w:t xml:space="preserve">which the primary judge called </w:t>
      </w:r>
      <w:r w:rsidR="00B30AB6">
        <w:t xml:space="preserve">the </w:t>
      </w:r>
      <w:r w:rsidR="00B30AB6" w:rsidRPr="00B30AB6">
        <w:rPr>
          <w:b/>
        </w:rPr>
        <w:t>2005 Henley Devices</w:t>
      </w:r>
      <w:r w:rsidR="00EC4927">
        <w:t>):</w:t>
      </w:r>
      <w:r w:rsidR="00EA323D">
        <w:t xml:space="preserve"> </w:t>
      </w:r>
    </w:p>
    <w:p w14:paraId="08771825" w14:textId="77777777" w:rsidR="00EA323D" w:rsidRDefault="00EA323D" w:rsidP="00EA323D">
      <w:pPr>
        <w:pStyle w:val="NoNum"/>
      </w:pPr>
      <w:r>
        <w:rPr>
          <w:noProof/>
          <w:lang w:eastAsia="en-AU"/>
        </w:rPr>
        <w:drawing>
          <wp:inline distT="0" distB="0" distL="0" distR="0" wp14:anchorId="221B5C92" wp14:editId="0EBB047D">
            <wp:extent cx="1185111" cy="4451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11.jpg"/>
                    <pic:cNvPicPr/>
                  </pic:nvPicPr>
                  <pic:blipFill>
                    <a:blip r:embed="rId18">
                      <a:extLst>
                        <a:ext uri="{28A0092B-C50C-407E-A947-70E740481C1C}">
                          <a14:useLocalDpi xmlns:a14="http://schemas.microsoft.com/office/drawing/2010/main" val="0"/>
                        </a:ext>
                      </a:extLst>
                    </a:blip>
                    <a:stretch>
                      <a:fillRect/>
                    </a:stretch>
                  </pic:blipFill>
                  <pic:spPr>
                    <a:xfrm>
                      <a:off x="0" y="0"/>
                      <a:ext cx="1185111" cy="445168"/>
                    </a:xfrm>
                    <a:prstGeom prst="rect">
                      <a:avLst/>
                    </a:prstGeom>
                  </pic:spPr>
                </pic:pic>
              </a:graphicData>
            </a:graphic>
          </wp:inline>
        </w:drawing>
      </w:r>
      <w:r>
        <w:t xml:space="preserve">  </w:t>
      </w:r>
      <w:r>
        <w:rPr>
          <w:noProof/>
          <w:lang w:eastAsia="en-AU"/>
        </w:rPr>
        <w:drawing>
          <wp:inline distT="0" distB="0" distL="0" distR="0" wp14:anchorId="37A7F2C6" wp14:editId="411954B8">
            <wp:extent cx="1781175" cy="581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11 (2).jpg"/>
                    <pic:cNvPicPr/>
                  </pic:nvPicPr>
                  <pic:blipFill>
                    <a:blip r:embed="rId19">
                      <a:extLst>
                        <a:ext uri="{28A0092B-C50C-407E-A947-70E740481C1C}">
                          <a14:useLocalDpi xmlns:a14="http://schemas.microsoft.com/office/drawing/2010/main" val="0"/>
                        </a:ext>
                      </a:extLst>
                    </a:blip>
                    <a:stretch>
                      <a:fillRect/>
                    </a:stretch>
                  </pic:blipFill>
                  <pic:spPr>
                    <a:xfrm>
                      <a:off x="0" y="0"/>
                      <a:ext cx="1781175" cy="581025"/>
                    </a:xfrm>
                    <a:prstGeom prst="rect">
                      <a:avLst/>
                    </a:prstGeom>
                  </pic:spPr>
                </pic:pic>
              </a:graphicData>
            </a:graphic>
          </wp:inline>
        </w:drawing>
      </w:r>
    </w:p>
    <w:p w14:paraId="5BE5E622" w14:textId="17719E55" w:rsidR="00AB0AAE" w:rsidRDefault="00BC7D85" w:rsidP="00BC7D85">
      <w:pPr>
        <w:pStyle w:val="ParaNumbering"/>
        <w:numPr>
          <w:ilvl w:val="0"/>
          <w:numId w:val="0"/>
        </w:numPr>
        <w:ind w:hanging="720"/>
      </w:pPr>
      <w:r>
        <w:rPr>
          <w:sz w:val="20"/>
        </w:rPr>
        <w:t>12</w:t>
      </w:r>
      <w:r>
        <w:rPr>
          <w:sz w:val="20"/>
        </w:rPr>
        <w:tab/>
      </w:r>
      <w:r w:rsidR="00B30AB6">
        <w:t>From about 2017, it used the following marks (</w:t>
      </w:r>
      <w:r w:rsidR="007D0E67">
        <w:t xml:space="preserve">which the primary judge called </w:t>
      </w:r>
      <w:r w:rsidR="00B30AB6">
        <w:t xml:space="preserve">the </w:t>
      </w:r>
      <w:r w:rsidR="00B30AB6" w:rsidRPr="00AB0AAE">
        <w:rPr>
          <w:b/>
        </w:rPr>
        <w:t>2017 Devices</w:t>
      </w:r>
      <w:r w:rsidR="00EC4927">
        <w:t>):</w:t>
      </w:r>
      <w:r w:rsidR="00EA323D">
        <w:t xml:space="preserve"> </w:t>
      </w:r>
    </w:p>
    <w:p w14:paraId="1DBA8404" w14:textId="77777777" w:rsidR="00EA323D" w:rsidRDefault="00EA323D" w:rsidP="00EA323D">
      <w:pPr>
        <w:pStyle w:val="NoNum"/>
      </w:pPr>
      <w:r>
        <w:rPr>
          <w:noProof/>
          <w:lang w:eastAsia="en-AU"/>
        </w:rPr>
        <w:drawing>
          <wp:inline distT="0" distB="0" distL="0" distR="0" wp14:anchorId="03D3F8EE" wp14:editId="76016D04">
            <wp:extent cx="1209174" cy="54743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12.jpg"/>
                    <pic:cNvPicPr/>
                  </pic:nvPicPr>
                  <pic:blipFill>
                    <a:blip r:embed="rId20">
                      <a:extLst>
                        <a:ext uri="{28A0092B-C50C-407E-A947-70E740481C1C}">
                          <a14:useLocalDpi xmlns:a14="http://schemas.microsoft.com/office/drawing/2010/main" val="0"/>
                        </a:ext>
                      </a:extLst>
                    </a:blip>
                    <a:stretch>
                      <a:fillRect/>
                    </a:stretch>
                  </pic:blipFill>
                  <pic:spPr>
                    <a:xfrm>
                      <a:off x="0" y="0"/>
                      <a:ext cx="1209174" cy="547437"/>
                    </a:xfrm>
                    <a:prstGeom prst="rect">
                      <a:avLst/>
                    </a:prstGeom>
                  </pic:spPr>
                </pic:pic>
              </a:graphicData>
            </a:graphic>
          </wp:inline>
        </w:drawing>
      </w:r>
      <w:r>
        <w:t xml:space="preserve">  </w:t>
      </w:r>
      <w:r>
        <w:rPr>
          <w:noProof/>
          <w:lang w:eastAsia="en-AU"/>
        </w:rPr>
        <w:drawing>
          <wp:inline distT="0" distB="0" distL="0" distR="0" wp14:anchorId="2FC03940" wp14:editId="7C611D65">
            <wp:extent cx="1828800" cy="62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12 (2).jpg"/>
                    <pic:cNvPicPr/>
                  </pic:nvPicPr>
                  <pic:blipFill>
                    <a:blip r:embed="rId21">
                      <a:extLst>
                        <a:ext uri="{28A0092B-C50C-407E-A947-70E740481C1C}">
                          <a14:useLocalDpi xmlns:a14="http://schemas.microsoft.com/office/drawing/2010/main" val="0"/>
                        </a:ext>
                      </a:extLst>
                    </a:blip>
                    <a:stretch>
                      <a:fillRect/>
                    </a:stretch>
                  </pic:blipFill>
                  <pic:spPr>
                    <a:xfrm>
                      <a:off x="0" y="0"/>
                      <a:ext cx="1828800" cy="628650"/>
                    </a:xfrm>
                    <a:prstGeom prst="rect">
                      <a:avLst/>
                    </a:prstGeom>
                  </pic:spPr>
                </pic:pic>
              </a:graphicData>
            </a:graphic>
          </wp:inline>
        </w:drawing>
      </w:r>
    </w:p>
    <w:p w14:paraId="176742E1" w14:textId="24E8F0FB" w:rsidR="00B30AB6" w:rsidRDefault="00BC7D85" w:rsidP="00BC7D85">
      <w:pPr>
        <w:pStyle w:val="ParaNumbering"/>
        <w:numPr>
          <w:ilvl w:val="0"/>
          <w:numId w:val="0"/>
        </w:numPr>
        <w:ind w:hanging="720"/>
      </w:pPr>
      <w:r>
        <w:rPr>
          <w:sz w:val="20"/>
        </w:rPr>
        <w:t>13</w:t>
      </w:r>
      <w:r>
        <w:rPr>
          <w:sz w:val="20"/>
        </w:rPr>
        <w:tab/>
      </w:r>
      <w:r w:rsidR="00AB0AAE">
        <w:t>The respondent</w:t>
      </w:r>
      <w:r w:rsidR="00B30AB6">
        <w:t xml:space="preserve"> is the registered owner of the following </w:t>
      </w:r>
      <w:proofErr w:type="spellStart"/>
      <w:proofErr w:type="gramStart"/>
      <w:r w:rsidR="00B30AB6">
        <w:t>trade marks</w:t>
      </w:r>
      <w:proofErr w:type="spellEnd"/>
      <w:proofErr w:type="gramEnd"/>
      <w:r w:rsidR="0089416A">
        <w:t>,</w:t>
      </w:r>
      <w:r w:rsidR="00AB0AAE">
        <w:t xml:space="preserve"> which compromise or include the word HENLEY (the </w:t>
      </w:r>
      <w:r w:rsidR="00AB0AAE" w:rsidRPr="00AB0AAE">
        <w:rPr>
          <w:b/>
        </w:rPr>
        <w:t>registered marks</w:t>
      </w:r>
      <w:r w:rsidR="00AB0AAE">
        <w:t>):</w:t>
      </w:r>
      <w:r w:rsidR="00EC4927">
        <w:t xml:space="preserve"> </w:t>
      </w:r>
      <w:r w:rsidR="00B30AB6">
        <w:t xml:space="preserve">  </w:t>
      </w:r>
    </w:p>
    <w:tbl>
      <w:tblPr>
        <w:tblStyle w:val="TableGrid"/>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6"/>
        <w:gridCol w:w="1695"/>
        <w:gridCol w:w="2043"/>
        <w:gridCol w:w="2880"/>
      </w:tblGrid>
      <w:tr w:rsidR="00EA323D" w:rsidRPr="00535DA1" w14:paraId="340F0EF3" w14:textId="77777777" w:rsidTr="00233668">
        <w:trPr>
          <w:tblHeader/>
        </w:trPr>
        <w:tc>
          <w:tcPr>
            <w:tcW w:w="2168" w:type="dxa"/>
            <w:shd w:val="clear" w:color="auto" w:fill="auto"/>
          </w:tcPr>
          <w:p w14:paraId="6F7D78C5" w14:textId="77777777" w:rsidR="00EA323D" w:rsidRPr="00535DA1" w:rsidRDefault="00EA323D" w:rsidP="00356CDB">
            <w:pPr>
              <w:pStyle w:val="Small-TableswithinQuotes"/>
            </w:pPr>
            <w:r w:rsidRPr="00535DA1">
              <w:t>Mark</w:t>
            </w:r>
          </w:p>
        </w:tc>
        <w:tc>
          <w:tcPr>
            <w:tcW w:w="1716" w:type="dxa"/>
            <w:shd w:val="clear" w:color="auto" w:fill="auto"/>
          </w:tcPr>
          <w:p w14:paraId="3B8EFEE6" w14:textId="77777777" w:rsidR="00EA323D" w:rsidRPr="00535DA1" w:rsidRDefault="00EA323D" w:rsidP="00356CDB">
            <w:pPr>
              <w:pStyle w:val="Small-TableswithinQuotes"/>
            </w:pPr>
            <w:r w:rsidRPr="00535DA1">
              <w:t>Reg. No</w:t>
            </w:r>
          </w:p>
        </w:tc>
        <w:tc>
          <w:tcPr>
            <w:tcW w:w="2070" w:type="dxa"/>
            <w:shd w:val="clear" w:color="auto" w:fill="auto"/>
          </w:tcPr>
          <w:p w14:paraId="77D59598" w14:textId="77777777" w:rsidR="00EA323D" w:rsidRPr="00535DA1" w:rsidRDefault="00EA323D" w:rsidP="00356CDB">
            <w:pPr>
              <w:pStyle w:val="Small-TableswithinQuotes"/>
            </w:pPr>
            <w:r w:rsidRPr="00535DA1">
              <w:t>Priority Date</w:t>
            </w:r>
          </w:p>
        </w:tc>
        <w:tc>
          <w:tcPr>
            <w:tcW w:w="2926" w:type="dxa"/>
            <w:shd w:val="clear" w:color="auto" w:fill="auto"/>
          </w:tcPr>
          <w:p w14:paraId="57D8D277" w14:textId="77777777" w:rsidR="00EA323D" w:rsidRPr="00535DA1" w:rsidRDefault="00EA323D" w:rsidP="00356CDB">
            <w:pPr>
              <w:pStyle w:val="Small-TableswithinQuotes"/>
            </w:pPr>
            <w:r w:rsidRPr="00535DA1">
              <w:t>Registered Services</w:t>
            </w:r>
          </w:p>
        </w:tc>
      </w:tr>
      <w:tr w:rsidR="00EA323D" w14:paraId="7F02136C" w14:textId="77777777" w:rsidTr="00233668">
        <w:tc>
          <w:tcPr>
            <w:tcW w:w="2168" w:type="dxa"/>
            <w:shd w:val="clear" w:color="auto" w:fill="auto"/>
          </w:tcPr>
          <w:p w14:paraId="40BD5373" w14:textId="77777777" w:rsidR="00EA323D" w:rsidRDefault="00EA323D" w:rsidP="00356CDB">
            <w:pPr>
              <w:pStyle w:val="Small-TableswithinQuotes"/>
            </w:pPr>
            <w:r>
              <w:t>HENLEY</w:t>
            </w:r>
          </w:p>
        </w:tc>
        <w:tc>
          <w:tcPr>
            <w:tcW w:w="1716" w:type="dxa"/>
            <w:shd w:val="clear" w:color="auto" w:fill="auto"/>
          </w:tcPr>
          <w:p w14:paraId="3A372E15" w14:textId="77777777" w:rsidR="00EA323D" w:rsidRDefault="00EA323D" w:rsidP="00356CDB">
            <w:pPr>
              <w:pStyle w:val="Small-TableswithinQuotes"/>
            </w:pPr>
            <w:r>
              <w:t>1152820</w:t>
            </w:r>
          </w:p>
        </w:tc>
        <w:tc>
          <w:tcPr>
            <w:tcW w:w="2070" w:type="dxa"/>
            <w:shd w:val="clear" w:color="auto" w:fill="auto"/>
          </w:tcPr>
          <w:p w14:paraId="71EFA428" w14:textId="77777777" w:rsidR="00EA323D" w:rsidRDefault="00EA323D" w:rsidP="00356CDB">
            <w:pPr>
              <w:pStyle w:val="Small-TableswithinQuotes"/>
            </w:pPr>
            <w:r>
              <w:t>18 December 2006</w:t>
            </w:r>
          </w:p>
        </w:tc>
        <w:tc>
          <w:tcPr>
            <w:tcW w:w="2926" w:type="dxa"/>
            <w:vMerge w:val="restart"/>
            <w:shd w:val="clear" w:color="auto" w:fill="auto"/>
          </w:tcPr>
          <w:p w14:paraId="11798C25" w14:textId="77777777" w:rsidR="00EA323D" w:rsidRDefault="00EA323D" w:rsidP="00356CDB">
            <w:pPr>
              <w:pStyle w:val="Small-TableswithinQuotes"/>
            </w:pPr>
            <w:r>
              <w:t>Building and construction services (class 37); architectural, engineering, design, drafting and interior design services (class 42)</w:t>
            </w:r>
          </w:p>
        </w:tc>
      </w:tr>
      <w:tr w:rsidR="00EA323D" w14:paraId="3373F253" w14:textId="77777777" w:rsidTr="00233668">
        <w:tc>
          <w:tcPr>
            <w:tcW w:w="2168" w:type="dxa"/>
            <w:shd w:val="clear" w:color="auto" w:fill="auto"/>
          </w:tcPr>
          <w:p w14:paraId="0DB007FB" w14:textId="77777777" w:rsidR="00EA323D" w:rsidRDefault="00EA323D" w:rsidP="00356CDB">
            <w:pPr>
              <w:pStyle w:val="Small-TableswithinQuotes"/>
            </w:pPr>
            <w:r>
              <w:rPr>
                <w:noProof/>
                <w:lang w:eastAsia="en-AU"/>
              </w:rPr>
              <w:drawing>
                <wp:inline distT="0" distB="0" distL="0" distR="0" wp14:anchorId="34B1A108" wp14:editId="1D7B74C5">
                  <wp:extent cx="1293340" cy="469265"/>
                  <wp:effectExtent l="0" t="0" r="254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ble pic 14.jpg"/>
                          <pic:cNvPicPr/>
                        </pic:nvPicPr>
                        <pic:blipFill>
                          <a:blip r:embed="rId17">
                            <a:extLst>
                              <a:ext uri="{28A0092B-C50C-407E-A947-70E740481C1C}">
                                <a14:useLocalDpi xmlns:a14="http://schemas.microsoft.com/office/drawing/2010/main" val="0"/>
                              </a:ext>
                            </a:extLst>
                          </a:blip>
                          <a:stretch>
                            <a:fillRect/>
                          </a:stretch>
                        </pic:blipFill>
                        <pic:spPr>
                          <a:xfrm>
                            <a:off x="0" y="0"/>
                            <a:ext cx="1302219" cy="472487"/>
                          </a:xfrm>
                          <a:prstGeom prst="rect">
                            <a:avLst/>
                          </a:prstGeom>
                        </pic:spPr>
                      </pic:pic>
                    </a:graphicData>
                  </a:graphic>
                </wp:inline>
              </w:drawing>
            </w:r>
          </w:p>
        </w:tc>
        <w:tc>
          <w:tcPr>
            <w:tcW w:w="1716" w:type="dxa"/>
            <w:shd w:val="clear" w:color="auto" w:fill="auto"/>
          </w:tcPr>
          <w:p w14:paraId="352ED178" w14:textId="77777777" w:rsidR="00EA323D" w:rsidRDefault="00EA323D" w:rsidP="00356CDB">
            <w:pPr>
              <w:pStyle w:val="Small-TableswithinQuotes"/>
            </w:pPr>
            <w:r>
              <w:t>1152818</w:t>
            </w:r>
          </w:p>
        </w:tc>
        <w:tc>
          <w:tcPr>
            <w:tcW w:w="2070" w:type="dxa"/>
            <w:shd w:val="clear" w:color="auto" w:fill="auto"/>
          </w:tcPr>
          <w:p w14:paraId="6026C5A7" w14:textId="77777777" w:rsidR="00EA323D" w:rsidRDefault="00EA323D" w:rsidP="00356CDB">
            <w:pPr>
              <w:pStyle w:val="Small-TableswithinQuotes"/>
            </w:pPr>
            <w:r w:rsidRPr="00113D99">
              <w:t>18 December 2006</w:t>
            </w:r>
          </w:p>
        </w:tc>
        <w:tc>
          <w:tcPr>
            <w:tcW w:w="2926" w:type="dxa"/>
            <w:vMerge/>
            <w:shd w:val="clear" w:color="auto" w:fill="auto"/>
          </w:tcPr>
          <w:p w14:paraId="4A79886F" w14:textId="77777777" w:rsidR="00EA323D" w:rsidRDefault="00EA323D" w:rsidP="00356CDB">
            <w:pPr>
              <w:pStyle w:val="Small-TableswithinQuotes"/>
            </w:pPr>
          </w:p>
        </w:tc>
      </w:tr>
      <w:tr w:rsidR="00EA323D" w14:paraId="50B2E580" w14:textId="77777777" w:rsidTr="00233668">
        <w:tc>
          <w:tcPr>
            <w:tcW w:w="2168" w:type="dxa"/>
            <w:shd w:val="clear" w:color="auto" w:fill="auto"/>
          </w:tcPr>
          <w:p w14:paraId="0224387E" w14:textId="77777777" w:rsidR="00EA323D" w:rsidRDefault="00EA323D" w:rsidP="00356CDB">
            <w:pPr>
              <w:pStyle w:val="Small-TableswithinQuotes"/>
            </w:pPr>
            <w:r>
              <w:t>HENLEY WORLD OF HOMES</w:t>
            </w:r>
          </w:p>
        </w:tc>
        <w:tc>
          <w:tcPr>
            <w:tcW w:w="1716" w:type="dxa"/>
            <w:shd w:val="clear" w:color="auto" w:fill="auto"/>
          </w:tcPr>
          <w:p w14:paraId="4297E130" w14:textId="77777777" w:rsidR="00EA323D" w:rsidRDefault="00EA323D" w:rsidP="00356CDB">
            <w:pPr>
              <w:pStyle w:val="Small-TableswithinQuotes"/>
            </w:pPr>
            <w:r>
              <w:t>1152819</w:t>
            </w:r>
          </w:p>
        </w:tc>
        <w:tc>
          <w:tcPr>
            <w:tcW w:w="2070" w:type="dxa"/>
            <w:shd w:val="clear" w:color="auto" w:fill="auto"/>
          </w:tcPr>
          <w:p w14:paraId="57A6B6BF" w14:textId="77777777" w:rsidR="00EA323D" w:rsidRDefault="00EA323D" w:rsidP="00356CDB">
            <w:pPr>
              <w:pStyle w:val="Small-TableswithinQuotes"/>
            </w:pPr>
            <w:r w:rsidRPr="00113D99">
              <w:t>18 December 2006</w:t>
            </w:r>
          </w:p>
        </w:tc>
        <w:tc>
          <w:tcPr>
            <w:tcW w:w="2926" w:type="dxa"/>
            <w:vMerge/>
            <w:shd w:val="clear" w:color="auto" w:fill="auto"/>
          </w:tcPr>
          <w:p w14:paraId="31BD92BB" w14:textId="77777777" w:rsidR="00EA323D" w:rsidRDefault="00EA323D" w:rsidP="00356CDB">
            <w:pPr>
              <w:pStyle w:val="Small-TableswithinQuotes"/>
            </w:pPr>
          </w:p>
        </w:tc>
      </w:tr>
      <w:tr w:rsidR="00EA323D" w14:paraId="027AE3A5" w14:textId="77777777" w:rsidTr="00233668">
        <w:tc>
          <w:tcPr>
            <w:tcW w:w="2168" w:type="dxa"/>
            <w:shd w:val="clear" w:color="auto" w:fill="auto"/>
          </w:tcPr>
          <w:p w14:paraId="7A1B49F8" w14:textId="77777777" w:rsidR="00EA323D" w:rsidRDefault="00EA323D" w:rsidP="00356CDB">
            <w:pPr>
              <w:pStyle w:val="Small-TableswithinQuotes"/>
            </w:pPr>
            <w:r>
              <w:t>HENLEY ESSENCE</w:t>
            </w:r>
          </w:p>
        </w:tc>
        <w:tc>
          <w:tcPr>
            <w:tcW w:w="1716" w:type="dxa"/>
            <w:shd w:val="clear" w:color="auto" w:fill="auto"/>
          </w:tcPr>
          <w:p w14:paraId="03F1B392" w14:textId="77777777" w:rsidR="00EA323D" w:rsidRDefault="00EA323D" w:rsidP="00356CDB">
            <w:pPr>
              <w:pStyle w:val="Small-TableswithinQuotes"/>
            </w:pPr>
            <w:r>
              <w:t>1806558</w:t>
            </w:r>
          </w:p>
        </w:tc>
        <w:tc>
          <w:tcPr>
            <w:tcW w:w="2070" w:type="dxa"/>
            <w:shd w:val="clear" w:color="auto" w:fill="auto"/>
          </w:tcPr>
          <w:p w14:paraId="6A82A0E8" w14:textId="77777777" w:rsidR="00EA323D" w:rsidRDefault="00EA323D" w:rsidP="00356CDB">
            <w:pPr>
              <w:pStyle w:val="Small-TableswithinQuotes"/>
            </w:pPr>
            <w:r>
              <w:t>2 November 2016</w:t>
            </w:r>
          </w:p>
        </w:tc>
        <w:tc>
          <w:tcPr>
            <w:tcW w:w="2926" w:type="dxa"/>
            <w:vMerge w:val="restart"/>
            <w:shd w:val="clear" w:color="auto" w:fill="auto"/>
          </w:tcPr>
          <w:p w14:paraId="3063DF51" w14:textId="77777777" w:rsidR="00EA323D" w:rsidRDefault="00EA323D" w:rsidP="00356CDB">
            <w:pPr>
              <w:pStyle w:val="Small-TableswithinQuotes"/>
            </w:pPr>
            <w:r>
              <w:t>Building and construction services (class 37); architectural, engineers, design, drafting and interior design services including construction design and construction drafting (class 42)</w:t>
            </w:r>
          </w:p>
        </w:tc>
      </w:tr>
      <w:tr w:rsidR="00EA323D" w14:paraId="257E4A22" w14:textId="77777777" w:rsidTr="00233668">
        <w:tc>
          <w:tcPr>
            <w:tcW w:w="2168" w:type="dxa"/>
            <w:shd w:val="clear" w:color="auto" w:fill="auto"/>
          </w:tcPr>
          <w:p w14:paraId="3F7BF3C7" w14:textId="77777777" w:rsidR="00EA323D" w:rsidRDefault="00EA323D" w:rsidP="00356CDB">
            <w:pPr>
              <w:pStyle w:val="Small-TableswithinQuotes"/>
            </w:pPr>
            <w:r>
              <w:t>HENLEY RESERVE</w:t>
            </w:r>
          </w:p>
        </w:tc>
        <w:tc>
          <w:tcPr>
            <w:tcW w:w="1716" w:type="dxa"/>
            <w:shd w:val="clear" w:color="auto" w:fill="auto"/>
          </w:tcPr>
          <w:p w14:paraId="1143F409" w14:textId="77777777" w:rsidR="00EA323D" w:rsidRDefault="00EA323D" w:rsidP="00356CDB">
            <w:pPr>
              <w:pStyle w:val="Small-TableswithinQuotes"/>
            </w:pPr>
            <w:r>
              <w:t>1806561</w:t>
            </w:r>
          </w:p>
        </w:tc>
        <w:tc>
          <w:tcPr>
            <w:tcW w:w="2070" w:type="dxa"/>
            <w:shd w:val="clear" w:color="auto" w:fill="auto"/>
          </w:tcPr>
          <w:p w14:paraId="76F5C679" w14:textId="77777777" w:rsidR="00EA323D" w:rsidRDefault="00EA323D" w:rsidP="00356CDB">
            <w:pPr>
              <w:pStyle w:val="Small-TableswithinQuotes"/>
            </w:pPr>
            <w:r w:rsidRPr="00B71463">
              <w:t>2 November 2016</w:t>
            </w:r>
          </w:p>
        </w:tc>
        <w:tc>
          <w:tcPr>
            <w:tcW w:w="2926" w:type="dxa"/>
            <w:vMerge/>
            <w:shd w:val="clear" w:color="auto" w:fill="auto"/>
          </w:tcPr>
          <w:p w14:paraId="4DCBFB8E" w14:textId="77777777" w:rsidR="00EA323D" w:rsidRDefault="00EA323D" w:rsidP="00356CDB">
            <w:pPr>
              <w:pStyle w:val="Small-TableswithinQuotes"/>
            </w:pPr>
          </w:p>
        </w:tc>
      </w:tr>
      <w:tr w:rsidR="00EA323D" w14:paraId="5A2DCB89" w14:textId="77777777" w:rsidTr="00233668">
        <w:tc>
          <w:tcPr>
            <w:tcW w:w="2168" w:type="dxa"/>
            <w:shd w:val="clear" w:color="auto" w:fill="auto"/>
          </w:tcPr>
          <w:p w14:paraId="78EEC221" w14:textId="77777777" w:rsidR="00EA323D" w:rsidRDefault="00EA323D" w:rsidP="00356CDB">
            <w:pPr>
              <w:pStyle w:val="Small-TableswithinQuotes"/>
            </w:pPr>
            <w:r>
              <w:t>HENLEY COLLECTION</w:t>
            </w:r>
          </w:p>
        </w:tc>
        <w:tc>
          <w:tcPr>
            <w:tcW w:w="1716" w:type="dxa"/>
            <w:shd w:val="clear" w:color="auto" w:fill="auto"/>
          </w:tcPr>
          <w:p w14:paraId="7A9A6CA3" w14:textId="77777777" w:rsidR="00EA323D" w:rsidRDefault="00EA323D" w:rsidP="00356CDB">
            <w:pPr>
              <w:pStyle w:val="Small-TableswithinQuotes"/>
            </w:pPr>
            <w:r>
              <w:t>1806570</w:t>
            </w:r>
          </w:p>
        </w:tc>
        <w:tc>
          <w:tcPr>
            <w:tcW w:w="2070" w:type="dxa"/>
            <w:shd w:val="clear" w:color="auto" w:fill="auto"/>
          </w:tcPr>
          <w:p w14:paraId="1146A4C6" w14:textId="77777777" w:rsidR="00EA323D" w:rsidRDefault="00EA323D" w:rsidP="00356CDB">
            <w:pPr>
              <w:pStyle w:val="Small-TableswithinQuotes"/>
            </w:pPr>
            <w:r w:rsidRPr="00B71463">
              <w:t>2 November 2016</w:t>
            </w:r>
          </w:p>
        </w:tc>
        <w:tc>
          <w:tcPr>
            <w:tcW w:w="2926" w:type="dxa"/>
            <w:vMerge/>
            <w:shd w:val="clear" w:color="auto" w:fill="auto"/>
          </w:tcPr>
          <w:p w14:paraId="5E2C07A2" w14:textId="77777777" w:rsidR="00EA323D" w:rsidRDefault="00EA323D" w:rsidP="00356CDB">
            <w:pPr>
              <w:pStyle w:val="Small-TableswithinQuotes"/>
            </w:pPr>
          </w:p>
        </w:tc>
      </w:tr>
    </w:tbl>
    <w:p w14:paraId="29E62003" w14:textId="7C1AA2EA" w:rsidR="007D0E67" w:rsidRDefault="00BC7D85" w:rsidP="00BC7D85">
      <w:pPr>
        <w:pStyle w:val="ParaNumbering"/>
        <w:numPr>
          <w:ilvl w:val="0"/>
          <w:numId w:val="0"/>
        </w:numPr>
        <w:ind w:hanging="720"/>
      </w:pPr>
      <w:r>
        <w:rPr>
          <w:sz w:val="20"/>
        </w:rPr>
        <w:t>14</w:t>
      </w:r>
      <w:r>
        <w:rPr>
          <w:sz w:val="20"/>
        </w:rPr>
        <w:tab/>
      </w:r>
      <w:r w:rsidR="007D0E67">
        <w:t xml:space="preserve">It </w:t>
      </w:r>
      <w:proofErr w:type="gramStart"/>
      <w:r w:rsidR="007D0E67">
        <w:t>will be observed</w:t>
      </w:r>
      <w:proofErr w:type="gramEnd"/>
      <w:r w:rsidR="007D0E67">
        <w:t xml:space="preserve"> that the registered marks can be classified according to their registration dates.  </w:t>
      </w:r>
      <w:proofErr w:type="gramStart"/>
      <w:r w:rsidR="007D0E67">
        <w:t>Trade mark</w:t>
      </w:r>
      <w:proofErr w:type="gramEnd"/>
      <w:r w:rsidR="007D0E67">
        <w:t xml:space="preserve"> 1152818, trade mark 1152819, and trade mark 115</w:t>
      </w:r>
      <w:r w:rsidR="00396569">
        <w:t xml:space="preserve">2820 (respectively, the </w:t>
      </w:r>
      <w:r w:rsidR="00396569" w:rsidRPr="00396569">
        <w:rPr>
          <w:b/>
        </w:rPr>
        <w:t>818 mark</w:t>
      </w:r>
      <w:r w:rsidR="00396569">
        <w:t xml:space="preserve">, the </w:t>
      </w:r>
      <w:r w:rsidR="00396569" w:rsidRPr="00396569">
        <w:rPr>
          <w:b/>
        </w:rPr>
        <w:t>819 mark</w:t>
      </w:r>
      <w:r w:rsidR="00396569">
        <w:t xml:space="preserve">, and the </w:t>
      </w:r>
      <w:r w:rsidR="00396569" w:rsidRPr="00396569">
        <w:rPr>
          <w:b/>
        </w:rPr>
        <w:t>820 mark</w:t>
      </w:r>
      <w:r w:rsidR="00396569">
        <w:t xml:space="preserve">) were registered with effect from 18 December 2006.  </w:t>
      </w:r>
      <w:proofErr w:type="gramStart"/>
      <w:r w:rsidR="00396569">
        <w:t>Trade mark</w:t>
      </w:r>
      <w:proofErr w:type="gramEnd"/>
      <w:r w:rsidR="00396569">
        <w:t xml:space="preserve"> 1806558, trade mark 1806561, and trade mark 1806570 (respectively, the </w:t>
      </w:r>
      <w:r w:rsidR="00396569" w:rsidRPr="00396569">
        <w:rPr>
          <w:b/>
        </w:rPr>
        <w:t>558 mark</w:t>
      </w:r>
      <w:r w:rsidR="00396569">
        <w:t xml:space="preserve">, the </w:t>
      </w:r>
      <w:r w:rsidR="00396569" w:rsidRPr="00396569">
        <w:rPr>
          <w:b/>
        </w:rPr>
        <w:t>561 mark</w:t>
      </w:r>
      <w:r w:rsidR="00396569">
        <w:t xml:space="preserve">, and the </w:t>
      </w:r>
      <w:r w:rsidR="00396569" w:rsidRPr="00396569">
        <w:rPr>
          <w:b/>
        </w:rPr>
        <w:t>570 mark</w:t>
      </w:r>
      <w:r w:rsidR="00396569">
        <w:t>) were registered with effect from 2 November 2016</w:t>
      </w:r>
      <w:r w:rsidR="00394933">
        <w:t xml:space="preserve"> (together, </w:t>
      </w:r>
      <w:r w:rsidR="00394933" w:rsidRPr="00394933">
        <w:rPr>
          <w:b/>
        </w:rPr>
        <w:t>the 2016 registered marks</w:t>
      </w:r>
      <w:r w:rsidR="00394933">
        <w:t>)</w:t>
      </w:r>
      <w:r w:rsidR="00396569">
        <w:t xml:space="preserve">.  The significance of this classification </w:t>
      </w:r>
      <w:r w:rsidR="007D46B1">
        <w:t>is relevant to</w:t>
      </w:r>
      <w:r w:rsidR="00396569">
        <w:t xml:space="preserve"> the application of the appellants’ defence under s 124 of the </w:t>
      </w:r>
      <w:r w:rsidR="00DE7D43">
        <w:t xml:space="preserve">Trade Marks </w:t>
      </w:r>
      <w:r w:rsidR="00EC4927">
        <w:t xml:space="preserve">Act. </w:t>
      </w:r>
    </w:p>
    <w:p w14:paraId="7C66D360" w14:textId="0BD4C1C7" w:rsidR="00396569" w:rsidRDefault="00BC7D85" w:rsidP="00BC7D85">
      <w:pPr>
        <w:pStyle w:val="ParaNumbering"/>
        <w:numPr>
          <w:ilvl w:val="0"/>
          <w:numId w:val="0"/>
        </w:numPr>
        <w:ind w:hanging="720"/>
      </w:pPr>
      <w:r>
        <w:rPr>
          <w:sz w:val="20"/>
        </w:rPr>
        <w:lastRenderedPageBreak/>
        <w:t>15</w:t>
      </w:r>
      <w:r>
        <w:rPr>
          <w:sz w:val="20"/>
        </w:rPr>
        <w:tab/>
      </w:r>
      <w:r w:rsidR="00396569">
        <w:t xml:space="preserve">It </w:t>
      </w:r>
      <w:proofErr w:type="gramStart"/>
      <w:r w:rsidR="00396569">
        <w:t>will also be observed</w:t>
      </w:r>
      <w:proofErr w:type="gramEnd"/>
      <w:r w:rsidR="00396569">
        <w:t xml:space="preserve"> that, other than the 818 mark, the registered marks are word marks.  The 818 mark is a composite mark comprising the words HENLEY</w:t>
      </w:r>
      <w:r w:rsidR="00D42819">
        <w:t xml:space="preserve"> and</w:t>
      </w:r>
      <w:r w:rsidR="00396569">
        <w:t xml:space="preserve"> PROPERTIES, represented in a particular stylised form </w:t>
      </w:r>
      <w:r w:rsidR="00F146D5">
        <w:t xml:space="preserve">and arrangement </w:t>
      </w:r>
      <w:r w:rsidR="00396569">
        <w:t xml:space="preserve">with device elements (which the primary judge called the </w:t>
      </w:r>
      <w:r w:rsidR="004E6C5D" w:rsidRPr="004E6C5D">
        <w:rPr>
          <w:b/>
        </w:rPr>
        <w:t>“</w:t>
      </w:r>
      <w:r w:rsidR="00396569" w:rsidRPr="00396569">
        <w:rPr>
          <w:b/>
        </w:rPr>
        <w:t>HENLEY PROPERTIES</w:t>
      </w:r>
      <w:r w:rsidR="004E6C5D">
        <w:rPr>
          <w:b/>
        </w:rPr>
        <w:t>”</w:t>
      </w:r>
      <w:r w:rsidR="00396569" w:rsidRPr="00396569">
        <w:rPr>
          <w:b/>
        </w:rPr>
        <w:t xml:space="preserve"> Device Mark</w:t>
      </w:r>
      <w:r w:rsidR="00396569">
        <w:t>).</w:t>
      </w:r>
    </w:p>
    <w:p w14:paraId="0FC8043C" w14:textId="17C8C25A" w:rsidR="00B30AB6" w:rsidRDefault="00BC7D85" w:rsidP="00BC7D85">
      <w:pPr>
        <w:pStyle w:val="ParaNumbering"/>
        <w:numPr>
          <w:ilvl w:val="0"/>
          <w:numId w:val="0"/>
        </w:numPr>
        <w:ind w:hanging="720"/>
      </w:pPr>
      <w:r>
        <w:rPr>
          <w:sz w:val="20"/>
        </w:rPr>
        <w:t>16</w:t>
      </w:r>
      <w:r>
        <w:rPr>
          <w:sz w:val="20"/>
        </w:rPr>
        <w:tab/>
      </w:r>
      <w:r w:rsidR="00B30AB6">
        <w:t>Henley Constructions is</w:t>
      </w:r>
      <w:r w:rsidR="000C1B6A">
        <w:t xml:space="preserve"> a property developer focussing on the construction of residential unit blocks in and around suburban Sydney.  It is also involved in the construction of commercial units and private homes (including home renovations</w:t>
      </w:r>
      <w:r w:rsidR="00EC4927">
        <w:t>).</w:t>
      </w:r>
      <w:r w:rsidR="00B30AB6">
        <w:t xml:space="preserve">  </w:t>
      </w:r>
    </w:p>
    <w:p w14:paraId="07573D1B" w14:textId="5546CA39" w:rsidR="00EA2142" w:rsidRDefault="00BC7D85" w:rsidP="00BC7D85">
      <w:pPr>
        <w:pStyle w:val="ParaNumbering"/>
        <w:numPr>
          <w:ilvl w:val="0"/>
          <w:numId w:val="0"/>
        </w:numPr>
        <w:ind w:hanging="720"/>
      </w:pPr>
      <w:r>
        <w:rPr>
          <w:sz w:val="20"/>
        </w:rPr>
        <w:t>17</w:t>
      </w:r>
      <w:r>
        <w:rPr>
          <w:sz w:val="20"/>
        </w:rPr>
        <w:tab/>
      </w:r>
      <w:r w:rsidR="00AB0AAE">
        <w:t>In conducting its business, Henley Constructions used a number of signs and devices.</w:t>
      </w:r>
      <w:r w:rsidR="00E90981">
        <w:t xml:space="preserve">  These include the </w:t>
      </w:r>
      <w:r w:rsidR="0089416A">
        <w:t xml:space="preserve">words </w:t>
      </w:r>
      <w:r w:rsidR="00E90981">
        <w:t>HENLEY and HENLEY CONSTRUCTIONS</w:t>
      </w:r>
      <w:r w:rsidR="0089416A">
        <w:t>,</w:t>
      </w:r>
      <w:r w:rsidR="00E90981">
        <w:t xml:space="preserve"> and the following logos (the </w:t>
      </w:r>
      <w:r w:rsidR="00E90981" w:rsidRPr="00E90981">
        <w:rPr>
          <w:b/>
        </w:rPr>
        <w:t>Henley Constructions logos</w:t>
      </w:r>
      <w:r w:rsidR="00EC4927">
        <w:t xml:space="preserve">): </w:t>
      </w:r>
    </w:p>
    <w:p w14:paraId="38CFD6FA" w14:textId="11C88945" w:rsidR="00356CDB" w:rsidRPr="00356CDB" w:rsidRDefault="00BC7D85" w:rsidP="00BC7D85">
      <w:pPr>
        <w:pStyle w:val="ListNo2"/>
        <w:numPr>
          <w:ilvl w:val="0"/>
          <w:numId w:val="0"/>
        </w:numPr>
        <w:tabs>
          <w:tab w:val="left" w:pos="1440"/>
        </w:tabs>
        <w:ind w:left="1440" w:hanging="720"/>
      </w:pPr>
      <w:r w:rsidRPr="00356CDB">
        <w:t>(a)</w:t>
      </w:r>
      <w:r w:rsidRPr="00356CDB">
        <w:tab/>
      </w:r>
      <w:proofErr w:type="gramStart"/>
      <w:r w:rsidR="00356CDB" w:rsidRPr="00356CDB">
        <w:t>the</w:t>
      </w:r>
      <w:proofErr w:type="gramEnd"/>
      <w:r w:rsidR="00356CDB" w:rsidRPr="00356CDB">
        <w:t xml:space="preserve"> </w:t>
      </w:r>
      <w:r w:rsidR="00356CDB" w:rsidRPr="00BA0BC2">
        <w:rPr>
          <w:b/>
        </w:rPr>
        <w:t>first Henley Constructions logo</w:t>
      </w:r>
      <w:r w:rsidR="00356CDB">
        <w:t>:</w:t>
      </w:r>
    </w:p>
    <w:p w14:paraId="18770812" w14:textId="77777777" w:rsidR="00356CDB" w:rsidRDefault="00356CDB" w:rsidP="00356CDB">
      <w:pPr>
        <w:pStyle w:val="NoNum"/>
        <w:ind w:left="1440"/>
      </w:pPr>
      <w:r>
        <w:rPr>
          <w:noProof/>
          <w:lang w:eastAsia="en-AU"/>
        </w:rPr>
        <w:drawing>
          <wp:inline distT="0" distB="0" distL="0" distR="0" wp14:anchorId="243B5A46" wp14:editId="1402E575">
            <wp:extent cx="4324350" cy="962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rst logo.jpg"/>
                    <pic:cNvPicPr/>
                  </pic:nvPicPr>
                  <pic:blipFill>
                    <a:blip r:embed="rId22">
                      <a:extLst>
                        <a:ext uri="{28A0092B-C50C-407E-A947-70E740481C1C}">
                          <a14:useLocalDpi xmlns:a14="http://schemas.microsoft.com/office/drawing/2010/main" val="0"/>
                        </a:ext>
                      </a:extLst>
                    </a:blip>
                    <a:stretch>
                      <a:fillRect/>
                    </a:stretch>
                  </pic:blipFill>
                  <pic:spPr>
                    <a:xfrm>
                      <a:off x="0" y="0"/>
                      <a:ext cx="4324350" cy="962025"/>
                    </a:xfrm>
                    <a:prstGeom prst="rect">
                      <a:avLst/>
                    </a:prstGeom>
                  </pic:spPr>
                </pic:pic>
              </a:graphicData>
            </a:graphic>
          </wp:inline>
        </w:drawing>
      </w:r>
    </w:p>
    <w:p w14:paraId="297D4673" w14:textId="6616BFCA" w:rsidR="00356CDB" w:rsidRPr="00356CDB" w:rsidRDefault="00BC7D85" w:rsidP="00BC7D85">
      <w:pPr>
        <w:pStyle w:val="ListNo2"/>
        <w:numPr>
          <w:ilvl w:val="0"/>
          <w:numId w:val="0"/>
        </w:numPr>
        <w:tabs>
          <w:tab w:val="left" w:pos="1440"/>
        </w:tabs>
        <w:ind w:left="1440" w:hanging="720"/>
      </w:pPr>
      <w:r w:rsidRPr="00356CDB">
        <w:t>(b)</w:t>
      </w:r>
      <w:r w:rsidRPr="00356CDB">
        <w:tab/>
      </w:r>
      <w:proofErr w:type="gramStart"/>
      <w:r w:rsidR="00356CDB" w:rsidRPr="00356CDB">
        <w:t>the</w:t>
      </w:r>
      <w:proofErr w:type="gramEnd"/>
      <w:r w:rsidR="00356CDB" w:rsidRPr="00356CDB">
        <w:t xml:space="preserve"> </w:t>
      </w:r>
      <w:r w:rsidR="00356CDB" w:rsidRPr="00BA0BC2">
        <w:rPr>
          <w:b/>
        </w:rPr>
        <w:t>second Henley Constructions logo</w:t>
      </w:r>
      <w:r w:rsidR="00356CDB">
        <w:t>:</w:t>
      </w:r>
    </w:p>
    <w:p w14:paraId="46046E30" w14:textId="77777777" w:rsidR="00356CDB" w:rsidRDefault="00356CDB" w:rsidP="00356CDB">
      <w:pPr>
        <w:pStyle w:val="ListNo2"/>
        <w:numPr>
          <w:ilvl w:val="0"/>
          <w:numId w:val="0"/>
        </w:numPr>
        <w:ind w:left="1440"/>
      </w:pPr>
      <w:r>
        <w:rPr>
          <w:noProof/>
          <w:lang w:eastAsia="en-AU"/>
        </w:rPr>
        <w:drawing>
          <wp:inline distT="0" distB="0" distL="0" distR="0" wp14:anchorId="4E296B8E" wp14:editId="26100D51">
            <wp:extent cx="2343150" cy="657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cond logo.jpg"/>
                    <pic:cNvPicPr/>
                  </pic:nvPicPr>
                  <pic:blipFill>
                    <a:blip r:embed="rId23">
                      <a:extLst>
                        <a:ext uri="{28A0092B-C50C-407E-A947-70E740481C1C}">
                          <a14:useLocalDpi xmlns:a14="http://schemas.microsoft.com/office/drawing/2010/main" val="0"/>
                        </a:ext>
                      </a:extLst>
                    </a:blip>
                    <a:stretch>
                      <a:fillRect/>
                    </a:stretch>
                  </pic:blipFill>
                  <pic:spPr>
                    <a:xfrm>
                      <a:off x="0" y="0"/>
                      <a:ext cx="2343150" cy="657225"/>
                    </a:xfrm>
                    <a:prstGeom prst="rect">
                      <a:avLst/>
                    </a:prstGeom>
                  </pic:spPr>
                </pic:pic>
              </a:graphicData>
            </a:graphic>
          </wp:inline>
        </w:drawing>
      </w:r>
    </w:p>
    <w:p w14:paraId="3303FB0F" w14:textId="7EA6F520" w:rsidR="00356CDB" w:rsidRPr="00356CDB" w:rsidRDefault="00BC7D85" w:rsidP="00BC7D85">
      <w:pPr>
        <w:pStyle w:val="ListNo2"/>
        <w:numPr>
          <w:ilvl w:val="0"/>
          <w:numId w:val="0"/>
        </w:numPr>
        <w:tabs>
          <w:tab w:val="left" w:pos="1440"/>
        </w:tabs>
        <w:ind w:left="1440" w:hanging="720"/>
      </w:pPr>
      <w:r w:rsidRPr="00356CDB">
        <w:t>(c)</w:t>
      </w:r>
      <w:r w:rsidRPr="00356CDB">
        <w:tab/>
      </w:r>
      <w:proofErr w:type="gramStart"/>
      <w:r w:rsidR="00356CDB" w:rsidRPr="00356CDB">
        <w:t>the</w:t>
      </w:r>
      <w:proofErr w:type="gramEnd"/>
      <w:r w:rsidR="00356CDB" w:rsidRPr="00356CDB">
        <w:t xml:space="preserve"> </w:t>
      </w:r>
      <w:r w:rsidR="00356CDB" w:rsidRPr="00BA0BC2">
        <w:rPr>
          <w:b/>
        </w:rPr>
        <w:t>third Henley Constructions logo</w:t>
      </w:r>
      <w:r w:rsidR="00356CDB">
        <w:t>:</w:t>
      </w:r>
    </w:p>
    <w:p w14:paraId="3AC33D33" w14:textId="77777777" w:rsidR="00356CDB" w:rsidRDefault="00356CDB" w:rsidP="00356CDB">
      <w:pPr>
        <w:pStyle w:val="NoNum"/>
        <w:ind w:left="1440"/>
      </w:pPr>
      <w:r>
        <w:rPr>
          <w:noProof/>
          <w:lang w:eastAsia="en-AU"/>
        </w:rPr>
        <w:drawing>
          <wp:inline distT="0" distB="0" distL="0" distR="0" wp14:anchorId="50DB9106" wp14:editId="125780A7">
            <wp:extent cx="2066925" cy="647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ird logo.jpg"/>
                    <pic:cNvPicPr/>
                  </pic:nvPicPr>
                  <pic:blipFill>
                    <a:blip r:embed="rId24">
                      <a:extLst>
                        <a:ext uri="{28A0092B-C50C-407E-A947-70E740481C1C}">
                          <a14:useLocalDpi xmlns:a14="http://schemas.microsoft.com/office/drawing/2010/main" val="0"/>
                        </a:ext>
                      </a:extLst>
                    </a:blip>
                    <a:stretch>
                      <a:fillRect/>
                    </a:stretch>
                  </pic:blipFill>
                  <pic:spPr>
                    <a:xfrm>
                      <a:off x="0" y="0"/>
                      <a:ext cx="2066925" cy="647700"/>
                    </a:xfrm>
                    <a:prstGeom prst="rect">
                      <a:avLst/>
                    </a:prstGeom>
                  </pic:spPr>
                </pic:pic>
              </a:graphicData>
            </a:graphic>
          </wp:inline>
        </w:drawing>
      </w:r>
    </w:p>
    <w:p w14:paraId="6F0FA3B1" w14:textId="686ED324" w:rsidR="00EA2142" w:rsidRDefault="00BC7D85" w:rsidP="00BC7D85">
      <w:pPr>
        <w:pStyle w:val="ParaNumbering"/>
        <w:numPr>
          <w:ilvl w:val="0"/>
          <w:numId w:val="0"/>
        </w:numPr>
        <w:ind w:hanging="720"/>
      </w:pPr>
      <w:r>
        <w:rPr>
          <w:sz w:val="20"/>
        </w:rPr>
        <w:t>18</w:t>
      </w:r>
      <w:r>
        <w:rPr>
          <w:sz w:val="20"/>
        </w:rPr>
        <w:tab/>
      </w:r>
      <w:r w:rsidR="0089416A">
        <w:t>Henley Constructions has used other</w:t>
      </w:r>
      <w:r w:rsidR="00EA2142">
        <w:t xml:space="preserve"> signs and devices</w:t>
      </w:r>
      <w:r w:rsidR="0089416A">
        <w:t>, such as</w:t>
      </w:r>
      <w:r w:rsidR="00EA2142">
        <w:t>:</w:t>
      </w:r>
      <w:r w:rsidR="00B540AD">
        <w:t xml:space="preserve"> </w:t>
      </w:r>
    </w:p>
    <w:p w14:paraId="4607B928" w14:textId="11C5B2F3" w:rsidR="00B540AD" w:rsidRDefault="00BC7D85" w:rsidP="00BC7D85">
      <w:pPr>
        <w:pStyle w:val="ListNo2"/>
        <w:numPr>
          <w:ilvl w:val="0"/>
          <w:numId w:val="0"/>
        </w:numPr>
        <w:tabs>
          <w:tab w:val="left" w:pos="1440"/>
        </w:tabs>
        <w:ind w:left="1440" w:hanging="720"/>
      </w:pPr>
      <w:r>
        <w:t>(a)</w:t>
      </w:r>
      <w:r>
        <w:tab/>
      </w:r>
      <w:proofErr w:type="gramStart"/>
      <w:r w:rsidR="00EA2142">
        <w:t>the</w:t>
      </w:r>
      <w:proofErr w:type="gramEnd"/>
      <w:r w:rsidR="00EA2142">
        <w:t xml:space="preserve"> domain name henleyconstructions.com.au</w:t>
      </w:r>
      <w:r w:rsidR="00B540AD">
        <w:t>;</w:t>
      </w:r>
    </w:p>
    <w:p w14:paraId="3157171D" w14:textId="1DD1B97D" w:rsidR="00EA2142" w:rsidRDefault="00BC7D85" w:rsidP="00BC7D85">
      <w:pPr>
        <w:pStyle w:val="ListNo2"/>
        <w:numPr>
          <w:ilvl w:val="0"/>
          <w:numId w:val="0"/>
        </w:numPr>
        <w:tabs>
          <w:tab w:val="left" w:pos="1440"/>
        </w:tabs>
        <w:ind w:left="1440" w:hanging="720"/>
      </w:pPr>
      <w:r>
        <w:t>(b)</w:t>
      </w:r>
      <w:r>
        <w:tab/>
      </w:r>
      <w:proofErr w:type="gramStart"/>
      <w:r w:rsidR="00B540AD">
        <w:t>the</w:t>
      </w:r>
      <w:proofErr w:type="gramEnd"/>
      <w:r w:rsidR="00B540AD">
        <w:t xml:space="preserve"> domain name Henleygallery.com.au</w:t>
      </w:r>
      <w:r w:rsidR="00EA2142">
        <w:t>;</w:t>
      </w:r>
    </w:p>
    <w:p w14:paraId="751E765E" w14:textId="3F4A3B4C" w:rsidR="00EA2142" w:rsidRDefault="00BC7D85" w:rsidP="00BC7D85">
      <w:pPr>
        <w:pStyle w:val="ListNo2"/>
        <w:numPr>
          <w:ilvl w:val="0"/>
          <w:numId w:val="0"/>
        </w:numPr>
        <w:tabs>
          <w:tab w:val="left" w:pos="1440"/>
        </w:tabs>
        <w:ind w:left="1440" w:hanging="720"/>
      </w:pPr>
      <w:r>
        <w:t>(c)</w:t>
      </w:r>
      <w:r>
        <w:tab/>
      </w:r>
      <w:proofErr w:type="gramStart"/>
      <w:r w:rsidR="00EA2142">
        <w:t>the</w:t>
      </w:r>
      <w:proofErr w:type="gramEnd"/>
      <w:r w:rsidR="00EA2142">
        <w:t xml:space="preserve"> name THE HENLEY DISPLAY GALLERY;</w:t>
      </w:r>
    </w:p>
    <w:p w14:paraId="2CAFF540" w14:textId="7EE8AD38" w:rsidR="00B540AD" w:rsidRDefault="00BC7D85" w:rsidP="00BC7D85">
      <w:pPr>
        <w:pStyle w:val="ListNo2"/>
        <w:numPr>
          <w:ilvl w:val="0"/>
          <w:numId w:val="0"/>
        </w:numPr>
        <w:tabs>
          <w:tab w:val="left" w:pos="1440"/>
        </w:tabs>
        <w:ind w:left="1440" w:hanging="720"/>
      </w:pPr>
      <w:r>
        <w:t>(d)</w:t>
      </w:r>
      <w:r>
        <w:tab/>
      </w:r>
      <w:proofErr w:type="gramStart"/>
      <w:r w:rsidR="00B540AD">
        <w:t>the</w:t>
      </w:r>
      <w:proofErr w:type="gramEnd"/>
      <w:r w:rsidR="00B540AD">
        <w:t xml:space="preserve"> name HENLEY BUILT;</w:t>
      </w:r>
    </w:p>
    <w:p w14:paraId="756070E3" w14:textId="3FF04089" w:rsidR="00EA2142" w:rsidRDefault="00BC7D85" w:rsidP="00BC7D85">
      <w:pPr>
        <w:pStyle w:val="ListNo2"/>
        <w:numPr>
          <w:ilvl w:val="0"/>
          <w:numId w:val="0"/>
        </w:numPr>
        <w:tabs>
          <w:tab w:val="left" w:pos="1440"/>
        </w:tabs>
        <w:ind w:left="1440" w:hanging="720"/>
      </w:pPr>
      <w:r>
        <w:t>(e)</w:t>
      </w:r>
      <w:r>
        <w:tab/>
      </w:r>
      <w:proofErr w:type="gramStart"/>
      <w:r w:rsidR="00EA2142">
        <w:t>crane</w:t>
      </w:r>
      <w:proofErr w:type="gramEnd"/>
      <w:r w:rsidR="00EA2142">
        <w:t xml:space="preserve"> signage using the word HENLEY;</w:t>
      </w:r>
      <w:r w:rsidR="00B540AD">
        <w:t xml:space="preserve"> and</w:t>
      </w:r>
    </w:p>
    <w:p w14:paraId="0FD7B01A" w14:textId="58FB68CC" w:rsidR="00E90981" w:rsidRDefault="00BC7D85" w:rsidP="00BC7D85">
      <w:pPr>
        <w:pStyle w:val="ListNo2"/>
        <w:numPr>
          <w:ilvl w:val="0"/>
          <w:numId w:val="0"/>
        </w:numPr>
        <w:tabs>
          <w:tab w:val="left" w:pos="1440"/>
        </w:tabs>
        <w:ind w:left="1440" w:hanging="720"/>
      </w:pPr>
      <w:r>
        <w:lastRenderedPageBreak/>
        <w:t>(f)</w:t>
      </w:r>
      <w:r>
        <w:tab/>
      </w:r>
      <w:proofErr w:type="gramStart"/>
      <w:r w:rsidR="00EA2142">
        <w:t>various</w:t>
      </w:r>
      <w:proofErr w:type="gramEnd"/>
      <w:r w:rsidR="00EA2142">
        <w:t xml:space="preserve"> hashtags in social media, specifically #</w:t>
      </w:r>
      <w:proofErr w:type="spellStart"/>
      <w:r w:rsidR="00EA2142">
        <w:t>henleyconstructions</w:t>
      </w:r>
      <w:proofErr w:type="spellEnd"/>
      <w:r w:rsidR="00EA2142">
        <w:t>, #</w:t>
      </w:r>
      <w:proofErr w:type="spellStart"/>
      <w:r w:rsidR="00EA2142">
        <w:t>henleygallery</w:t>
      </w:r>
      <w:proofErr w:type="spellEnd"/>
      <w:r w:rsidR="00EA2142">
        <w:t>, and #</w:t>
      </w:r>
      <w:proofErr w:type="spellStart"/>
      <w:r w:rsidR="00EA2142">
        <w:t>henl</w:t>
      </w:r>
      <w:r w:rsidR="00807EE5">
        <w:t>e</w:t>
      </w:r>
      <w:r w:rsidR="00EA2142">
        <w:t>y</w:t>
      </w:r>
      <w:proofErr w:type="spellEnd"/>
      <w:r w:rsidR="00B540AD">
        <w:t>.</w:t>
      </w:r>
    </w:p>
    <w:p w14:paraId="608B7DD4" w14:textId="576F040E" w:rsidR="00396569" w:rsidRDefault="00BC7D85" w:rsidP="00BC7D85">
      <w:pPr>
        <w:pStyle w:val="ParaNumbering"/>
        <w:numPr>
          <w:ilvl w:val="0"/>
          <w:numId w:val="0"/>
        </w:numPr>
        <w:ind w:hanging="720"/>
      </w:pPr>
      <w:r>
        <w:rPr>
          <w:sz w:val="20"/>
        </w:rPr>
        <w:t>19</w:t>
      </w:r>
      <w:r>
        <w:rPr>
          <w:sz w:val="20"/>
        </w:rPr>
        <w:tab/>
      </w:r>
      <w:r w:rsidR="00AB0AAE">
        <w:t xml:space="preserve">The primary judge found that </w:t>
      </w:r>
      <w:r w:rsidR="00B540AD">
        <w:t>Henley Constructions’</w:t>
      </w:r>
      <w:r w:rsidR="00AB0AAE">
        <w:t xml:space="preserve"> use of </w:t>
      </w:r>
      <w:r w:rsidR="00B540AD">
        <w:t xml:space="preserve">each of </w:t>
      </w:r>
      <w:r w:rsidR="00AB0AAE">
        <w:t>the signs and devices</w:t>
      </w:r>
      <w:r w:rsidR="00B540AD">
        <w:t xml:space="preserve"> noted in [</w:t>
      </w:r>
      <w:r w:rsidR="00154146">
        <w:t>17</w:t>
      </w:r>
      <w:r w:rsidR="00B540AD">
        <w:t>] and [</w:t>
      </w:r>
      <w:r w:rsidR="00154146">
        <w:t>18</w:t>
      </w:r>
      <w:r w:rsidR="00B540AD">
        <w:t>] above</w:t>
      </w:r>
      <w:r w:rsidR="00AB0AAE">
        <w:t xml:space="preserve"> infringed </w:t>
      </w:r>
      <w:r w:rsidR="00D45753">
        <w:t>each</w:t>
      </w:r>
      <w:r w:rsidR="00E90981">
        <w:t xml:space="preserve"> of the</w:t>
      </w:r>
      <w:r w:rsidR="00AB0AAE">
        <w:t xml:space="preserve"> registered mark</w:t>
      </w:r>
      <w:r w:rsidR="00EC4927">
        <w:t xml:space="preserve">s.  </w:t>
      </w:r>
      <w:r w:rsidR="00396569">
        <w:t xml:space="preserve">In doing so, he rejected the appellants’ defences to infringement, including those raised by their cross-claim.  </w:t>
      </w:r>
      <w:r w:rsidR="00621B8F">
        <w:t>However, the</w:t>
      </w:r>
      <w:r w:rsidR="001D0450">
        <w:t xml:space="preserve"> primary judge was not persuaded that Henley Constructions’ use of the telephone number 1300HENLEY, or its use of number plates incorporating the element</w:t>
      </w:r>
      <w:r w:rsidR="008077DC">
        <w:t xml:space="preserve"> HENL</w:t>
      </w:r>
      <w:r w:rsidR="00D17498">
        <w:t>Y or</w:t>
      </w:r>
      <w:r w:rsidR="00EC4927">
        <w:t xml:space="preserve"> HNLY, involved </w:t>
      </w:r>
      <w:proofErr w:type="gramStart"/>
      <w:r w:rsidR="00EC4927">
        <w:t xml:space="preserve">trade </w:t>
      </w:r>
      <w:r w:rsidR="001D0450">
        <w:t>mark</w:t>
      </w:r>
      <w:proofErr w:type="gramEnd"/>
      <w:r w:rsidR="001D0450">
        <w:t xml:space="preserve"> use.</w:t>
      </w:r>
    </w:p>
    <w:p w14:paraId="62672A8B" w14:textId="76EE82E8" w:rsidR="00396569" w:rsidRDefault="00BC7D85" w:rsidP="00396569">
      <w:pPr>
        <w:pStyle w:val="Heading1"/>
      </w:pPr>
      <w:bookmarkStart w:id="29" w:name="_Ref133418086"/>
      <w:r>
        <w:rPr>
          <w:caps w:val="0"/>
        </w:rPr>
        <w:t>THE PRIMARY JUDGE’S REASONS</w:t>
      </w:r>
      <w:bookmarkEnd w:id="29"/>
    </w:p>
    <w:p w14:paraId="2AD8125B" w14:textId="5FAEFEBA" w:rsidR="002B1B34" w:rsidRPr="002B1B34" w:rsidRDefault="00BC7D85" w:rsidP="00BC7D85">
      <w:pPr>
        <w:pStyle w:val="ParaNumbering"/>
        <w:numPr>
          <w:ilvl w:val="0"/>
          <w:numId w:val="0"/>
        </w:numPr>
        <w:ind w:hanging="720"/>
      </w:pPr>
      <w:r w:rsidRPr="002B1B34">
        <w:rPr>
          <w:sz w:val="20"/>
        </w:rPr>
        <w:t>20</w:t>
      </w:r>
      <w:r w:rsidRPr="002B1B34">
        <w:rPr>
          <w:sz w:val="20"/>
        </w:rPr>
        <w:tab/>
      </w:r>
      <w:r w:rsidR="002B1B34" w:rsidRPr="002B1B34">
        <w:t>The primary judge published comprehensive reasons for judgment (1005 paragraphs comprising 289 pages).  The following is a summary of those reasons</w:t>
      </w:r>
      <w:r w:rsidR="001A035D">
        <w:t xml:space="preserve">, which provides the necessary context in which to understand the issues </w:t>
      </w:r>
      <w:r w:rsidR="00D42819">
        <w:t>raised</w:t>
      </w:r>
      <w:r w:rsidR="001A035D">
        <w:t xml:space="preserve"> in this appeal</w:t>
      </w:r>
      <w:r w:rsidR="002B1B34" w:rsidRPr="002B1B34">
        <w:t>.</w:t>
      </w:r>
    </w:p>
    <w:p w14:paraId="3E44EA33" w14:textId="77777777" w:rsidR="002B1B34" w:rsidRPr="002B1B34" w:rsidRDefault="00C32226" w:rsidP="002B1B34">
      <w:pPr>
        <w:pStyle w:val="Heading2"/>
      </w:pPr>
      <w:bookmarkStart w:id="30" w:name="_Ref133418087"/>
      <w:r>
        <w:t>The e</w:t>
      </w:r>
      <w:r w:rsidR="002B1B34">
        <w:t>vidence</w:t>
      </w:r>
      <w:bookmarkEnd w:id="30"/>
    </w:p>
    <w:p w14:paraId="74D988C1" w14:textId="2A8C33E1" w:rsidR="002B1B34" w:rsidRPr="002B1B34" w:rsidRDefault="00BC7D85" w:rsidP="00BC7D85">
      <w:pPr>
        <w:pStyle w:val="ParaNumbering"/>
        <w:numPr>
          <w:ilvl w:val="0"/>
          <w:numId w:val="0"/>
        </w:numPr>
        <w:ind w:hanging="720"/>
      </w:pPr>
      <w:r w:rsidRPr="002B1B34">
        <w:rPr>
          <w:sz w:val="20"/>
        </w:rPr>
        <w:t>21</w:t>
      </w:r>
      <w:r w:rsidRPr="002B1B34">
        <w:rPr>
          <w:sz w:val="20"/>
        </w:rPr>
        <w:tab/>
      </w:r>
      <w:r w:rsidR="002B1B34" w:rsidRPr="002B1B34">
        <w:t xml:space="preserve">After making some introductory remarks (including identifying the registered marks and other marks used by the respondent), </w:t>
      </w:r>
      <w:r w:rsidR="00154146">
        <w:t>the primary judge</w:t>
      </w:r>
      <w:r w:rsidR="002B1B34" w:rsidRPr="002B1B34">
        <w:t xml:space="preserve"> surveyed the evidence adduced by the respondent (at </w:t>
      </w:r>
      <w:proofErr w:type="gramStart"/>
      <w:r w:rsidR="002B1B34" w:rsidRPr="002B1B34">
        <w:t>J[</w:t>
      </w:r>
      <w:proofErr w:type="gramEnd"/>
      <w:r w:rsidR="002B1B34" w:rsidRPr="002B1B34">
        <w:t>17] – [176]) and the evidence adduced by the appellants (at J[177] – [351]).  His Honour made a number of important findings in respect of the adoption of the name HENLEY CONSTRUCTIONS.</w:t>
      </w:r>
    </w:p>
    <w:p w14:paraId="58605956" w14:textId="3BBBB143" w:rsidR="002B1B34" w:rsidRPr="002B1B34" w:rsidRDefault="00BC7D85" w:rsidP="00BC7D85">
      <w:pPr>
        <w:pStyle w:val="ParaNumbering"/>
        <w:numPr>
          <w:ilvl w:val="0"/>
          <w:numId w:val="0"/>
        </w:numPr>
        <w:ind w:hanging="720"/>
      </w:pPr>
      <w:proofErr w:type="gramStart"/>
      <w:r w:rsidRPr="002B1B34">
        <w:rPr>
          <w:sz w:val="20"/>
        </w:rPr>
        <w:t>22</w:t>
      </w:r>
      <w:r w:rsidRPr="002B1B34">
        <w:rPr>
          <w:sz w:val="20"/>
        </w:rPr>
        <w:tab/>
      </w:r>
      <w:r w:rsidR="002B1B34" w:rsidRPr="002B1B34">
        <w:t xml:space="preserve">The thrust of the evidence given by Mr </w:t>
      </w:r>
      <w:proofErr w:type="spellStart"/>
      <w:r w:rsidR="002B1B34" w:rsidRPr="002B1B34">
        <w:t>Sarkis</w:t>
      </w:r>
      <w:proofErr w:type="spellEnd"/>
      <w:r w:rsidR="002B1B34" w:rsidRPr="002B1B34">
        <w:t xml:space="preserve"> and his wife, Vanessa </w:t>
      </w:r>
      <w:proofErr w:type="spellStart"/>
      <w:r w:rsidR="002B1B34" w:rsidRPr="002B1B34">
        <w:t>Sarkis</w:t>
      </w:r>
      <w:proofErr w:type="spellEnd"/>
      <w:r w:rsidR="002B1B34" w:rsidRPr="002B1B34">
        <w:t>, was that “in or around June or July 2006</w:t>
      </w:r>
      <w:r w:rsidR="00C32226">
        <w:t>”</w:t>
      </w:r>
      <w:r w:rsidR="002B1B34" w:rsidRPr="002B1B34">
        <w:t xml:space="preserve"> or “on or around 10 September 2006” </w:t>
      </w:r>
      <w:r w:rsidR="002B1B34">
        <w:t>(the evidence given by Mr </w:t>
      </w:r>
      <w:proofErr w:type="spellStart"/>
      <w:r w:rsidR="002B1B34" w:rsidRPr="002B1B34">
        <w:t>Sarkis</w:t>
      </w:r>
      <w:proofErr w:type="spellEnd"/>
      <w:r w:rsidR="002B1B34" w:rsidRPr="002B1B34">
        <w:t xml:space="preserve"> and Mrs </w:t>
      </w:r>
      <w:proofErr w:type="spellStart"/>
      <w:r w:rsidR="002B1B34" w:rsidRPr="002B1B34">
        <w:t>Sarkis</w:t>
      </w:r>
      <w:proofErr w:type="spellEnd"/>
      <w:r w:rsidR="002B1B34" w:rsidRPr="002B1B34">
        <w:t xml:space="preserve"> varied in this detail), Mr </w:t>
      </w:r>
      <w:proofErr w:type="spellStart"/>
      <w:r w:rsidR="002B1B34" w:rsidRPr="002B1B34">
        <w:t>Sarkis</w:t>
      </w:r>
      <w:proofErr w:type="spellEnd"/>
      <w:r w:rsidR="002B1B34" w:rsidRPr="002B1B34">
        <w:t xml:space="preserve"> and Mrs </w:t>
      </w:r>
      <w:proofErr w:type="spellStart"/>
      <w:r w:rsidR="002B1B34" w:rsidRPr="002B1B34">
        <w:t>Sarkis</w:t>
      </w:r>
      <w:proofErr w:type="spellEnd"/>
      <w:r w:rsidR="002B1B34" w:rsidRPr="002B1B34">
        <w:t xml:space="preserve"> discussed Mr </w:t>
      </w:r>
      <w:proofErr w:type="spellStart"/>
      <w:r w:rsidR="002B1B34" w:rsidRPr="002B1B34">
        <w:t>Sarkis’s</w:t>
      </w:r>
      <w:proofErr w:type="spellEnd"/>
      <w:r w:rsidR="002B1B34" w:rsidRPr="002B1B34">
        <w:t xml:space="preserve"> ambition to own a construction company that would become Australia’s biggest builder and developer.</w:t>
      </w:r>
      <w:proofErr w:type="gramEnd"/>
      <w:r w:rsidR="002B1B34" w:rsidRPr="002B1B34">
        <w:t xml:space="preserve">  Mrs </w:t>
      </w:r>
      <w:proofErr w:type="spellStart"/>
      <w:r w:rsidR="002B1B34" w:rsidRPr="002B1B34">
        <w:t>Sarkis</w:t>
      </w:r>
      <w:proofErr w:type="spellEnd"/>
      <w:r w:rsidR="002B1B34" w:rsidRPr="002B1B34">
        <w:t xml:space="preserve"> offered to come up with some company names for the soon-to-be established company that</w:t>
      </w:r>
      <w:r w:rsidR="00EC4927">
        <w:t xml:space="preserve"> was to fulfil this ambition. </w:t>
      </w:r>
    </w:p>
    <w:p w14:paraId="03501096" w14:textId="7BF9DDB7" w:rsidR="002B1B34" w:rsidRDefault="00BC7D85" w:rsidP="00BC7D85">
      <w:pPr>
        <w:pStyle w:val="ParaNumbering"/>
        <w:numPr>
          <w:ilvl w:val="0"/>
          <w:numId w:val="0"/>
        </w:numPr>
        <w:ind w:hanging="720"/>
      </w:pPr>
      <w:r>
        <w:rPr>
          <w:sz w:val="20"/>
        </w:rPr>
        <w:t>23</w:t>
      </w:r>
      <w:r>
        <w:rPr>
          <w:sz w:val="20"/>
        </w:rPr>
        <w:tab/>
      </w:r>
      <w:r w:rsidR="002B1B34" w:rsidRPr="002B1B34">
        <w:t xml:space="preserve">After initially coming up with a large list of names, Mrs </w:t>
      </w:r>
      <w:proofErr w:type="spellStart"/>
      <w:r w:rsidR="002B1B34" w:rsidRPr="002B1B34">
        <w:t>Sarkis</w:t>
      </w:r>
      <w:proofErr w:type="spellEnd"/>
      <w:r w:rsidR="002B1B34" w:rsidRPr="002B1B34">
        <w:t xml:space="preserve"> arrived at a shortened, handwritten list comprising</w:t>
      </w:r>
      <w:r w:rsidR="002B1B34">
        <w:t xml:space="preserve">: </w:t>
      </w:r>
      <w:r w:rsidR="002B1B34" w:rsidRPr="002B1B34">
        <w:t xml:space="preserve"> </w:t>
      </w:r>
      <w:r w:rsidR="002B1B34">
        <w:t xml:space="preserve"> </w:t>
      </w:r>
    </w:p>
    <w:p w14:paraId="319903E3" w14:textId="19200203" w:rsidR="002B1B34" w:rsidRDefault="00BC7D85" w:rsidP="00BC7D85">
      <w:pPr>
        <w:pStyle w:val="ListNo2"/>
        <w:numPr>
          <w:ilvl w:val="0"/>
          <w:numId w:val="0"/>
        </w:numPr>
        <w:tabs>
          <w:tab w:val="left" w:pos="1440"/>
        </w:tabs>
        <w:ind w:left="1440" w:hanging="720"/>
      </w:pPr>
      <w:r>
        <w:t>(a)</w:t>
      </w:r>
      <w:r>
        <w:tab/>
      </w:r>
      <w:r w:rsidR="002B1B34" w:rsidRPr="002B1B34">
        <w:t>“</w:t>
      </w:r>
      <w:proofErr w:type="spellStart"/>
      <w:r w:rsidR="002B1B34" w:rsidRPr="002B1B34">
        <w:t>Belcorp</w:t>
      </w:r>
      <w:proofErr w:type="spellEnd"/>
      <w:r w:rsidR="002B1B34" w:rsidRPr="002B1B34">
        <w:t xml:space="preserve"> D’s</w:t>
      </w:r>
      <w:r w:rsidR="002B1B34">
        <w:t xml:space="preserve">/C’s”; </w:t>
      </w:r>
    </w:p>
    <w:p w14:paraId="5636FA8D" w14:textId="316F626F" w:rsidR="002B1B34" w:rsidRDefault="00BC7D85" w:rsidP="00BC7D85">
      <w:pPr>
        <w:pStyle w:val="ListNo2"/>
        <w:numPr>
          <w:ilvl w:val="0"/>
          <w:numId w:val="0"/>
        </w:numPr>
        <w:tabs>
          <w:tab w:val="left" w:pos="1440"/>
        </w:tabs>
        <w:ind w:left="1440" w:hanging="720"/>
      </w:pPr>
      <w:r>
        <w:t>(b)</w:t>
      </w:r>
      <w:r>
        <w:tab/>
      </w:r>
      <w:r w:rsidR="002B1B34">
        <w:t xml:space="preserve">“Henley D’s/C’s”; </w:t>
      </w:r>
    </w:p>
    <w:p w14:paraId="1636D0F6" w14:textId="57995C1B" w:rsidR="002B1B34" w:rsidRDefault="00BC7D85" w:rsidP="00BC7D85">
      <w:pPr>
        <w:pStyle w:val="ListNo2"/>
        <w:numPr>
          <w:ilvl w:val="0"/>
          <w:numId w:val="0"/>
        </w:numPr>
        <w:tabs>
          <w:tab w:val="left" w:pos="1440"/>
        </w:tabs>
        <w:ind w:left="1440" w:hanging="720"/>
      </w:pPr>
      <w:r>
        <w:t>(c)</w:t>
      </w:r>
      <w:r>
        <w:tab/>
      </w:r>
      <w:r w:rsidR="002B1B34">
        <w:t xml:space="preserve">“Cordell D’s/C’s”; </w:t>
      </w:r>
    </w:p>
    <w:p w14:paraId="4FFB29C2" w14:textId="063FC5F1" w:rsidR="002B1B34" w:rsidRDefault="00BC7D85" w:rsidP="00BC7D85">
      <w:pPr>
        <w:pStyle w:val="ListNo2"/>
        <w:numPr>
          <w:ilvl w:val="0"/>
          <w:numId w:val="0"/>
        </w:numPr>
        <w:tabs>
          <w:tab w:val="left" w:pos="1440"/>
        </w:tabs>
        <w:ind w:left="1440" w:hanging="720"/>
      </w:pPr>
      <w:r>
        <w:t>(d)</w:t>
      </w:r>
      <w:r>
        <w:tab/>
      </w:r>
      <w:r w:rsidR="002B1B34">
        <w:t xml:space="preserve">“Meridian C’s”;  </w:t>
      </w:r>
    </w:p>
    <w:p w14:paraId="717DE0C0" w14:textId="4970C4EE" w:rsidR="002B1B34" w:rsidRDefault="00BC7D85" w:rsidP="00BC7D85">
      <w:pPr>
        <w:pStyle w:val="ListNo2"/>
        <w:numPr>
          <w:ilvl w:val="0"/>
          <w:numId w:val="0"/>
        </w:numPr>
        <w:tabs>
          <w:tab w:val="left" w:pos="1440"/>
        </w:tabs>
        <w:ind w:left="1440" w:hanging="720"/>
      </w:pPr>
      <w:r>
        <w:lastRenderedPageBreak/>
        <w:t>(e)</w:t>
      </w:r>
      <w:r>
        <w:tab/>
      </w:r>
      <w:r w:rsidR="002B1B34">
        <w:t>“</w:t>
      </w:r>
      <w:proofErr w:type="spellStart"/>
      <w:r w:rsidR="002B1B34">
        <w:t>Walford</w:t>
      </w:r>
      <w:proofErr w:type="spellEnd"/>
      <w:r w:rsidR="002B1B34">
        <w:t xml:space="preserve"> C’s/D’s”; </w:t>
      </w:r>
    </w:p>
    <w:p w14:paraId="05240776" w14:textId="3476B7AA" w:rsidR="002B1B34" w:rsidRDefault="00BC7D85" w:rsidP="00BC7D85">
      <w:pPr>
        <w:pStyle w:val="ListNo2"/>
        <w:numPr>
          <w:ilvl w:val="0"/>
          <w:numId w:val="0"/>
        </w:numPr>
        <w:tabs>
          <w:tab w:val="left" w:pos="1440"/>
        </w:tabs>
        <w:ind w:left="1440" w:hanging="720"/>
      </w:pPr>
      <w:r>
        <w:t>(f)</w:t>
      </w:r>
      <w:r>
        <w:tab/>
      </w:r>
      <w:r w:rsidR="002B1B34">
        <w:t>“Bel C’s”</w:t>
      </w:r>
      <w:proofErr w:type="gramStart"/>
      <w:r w:rsidR="002B1B34">
        <w:t>;  and</w:t>
      </w:r>
      <w:proofErr w:type="gramEnd"/>
      <w:r w:rsidR="002B1B34">
        <w:t xml:space="preserve"> </w:t>
      </w:r>
    </w:p>
    <w:p w14:paraId="523EE7F3" w14:textId="56FC9F43" w:rsidR="002B1B34" w:rsidRPr="002B1B34" w:rsidRDefault="00BC7D85" w:rsidP="00BC7D85">
      <w:pPr>
        <w:pStyle w:val="ListNo2"/>
        <w:numPr>
          <w:ilvl w:val="0"/>
          <w:numId w:val="0"/>
        </w:numPr>
        <w:tabs>
          <w:tab w:val="left" w:pos="1440"/>
        </w:tabs>
        <w:ind w:left="1440" w:hanging="720"/>
      </w:pPr>
      <w:r w:rsidRPr="002B1B34">
        <w:t>(g)</w:t>
      </w:r>
      <w:r w:rsidRPr="002B1B34">
        <w:tab/>
      </w:r>
      <w:r w:rsidR="00EC4927">
        <w:t>“</w:t>
      </w:r>
      <w:proofErr w:type="spellStart"/>
      <w:r w:rsidR="00EC4927">
        <w:t>Denoble</w:t>
      </w:r>
      <w:proofErr w:type="spellEnd"/>
      <w:r w:rsidR="00EC4927">
        <w:t xml:space="preserve"> D’s/C’s”. </w:t>
      </w:r>
    </w:p>
    <w:p w14:paraId="525523F4" w14:textId="12B8CF7D" w:rsidR="002B1B34" w:rsidRPr="002B1B34" w:rsidRDefault="00BC7D85" w:rsidP="00BC7D85">
      <w:pPr>
        <w:pStyle w:val="ParaNumbering"/>
        <w:numPr>
          <w:ilvl w:val="0"/>
          <w:numId w:val="0"/>
        </w:numPr>
        <w:ind w:hanging="720"/>
      </w:pPr>
      <w:r w:rsidRPr="002B1B34">
        <w:rPr>
          <w:sz w:val="20"/>
        </w:rPr>
        <w:t>24</w:t>
      </w:r>
      <w:r w:rsidRPr="002B1B34">
        <w:rPr>
          <w:sz w:val="20"/>
        </w:rPr>
        <w:tab/>
      </w:r>
      <w:r w:rsidR="002B1B34" w:rsidRPr="002B1B34">
        <w:t>It is not in dispute that the reference to “D’s” in the list was to “Developments” and the reference to “C’s” was to “Constructions”.</w:t>
      </w:r>
    </w:p>
    <w:p w14:paraId="275116D7" w14:textId="09C62CFE" w:rsidR="002B1B34" w:rsidRPr="002B1B34" w:rsidRDefault="00BC7D85" w:rsidP="00BC7D85">
      <w:pPr>
        <w:pStyle w:val="ParaNumbering"/>
        <w:numPr>
          <w:ilvl w:val="0"/>
          <w:numId w:val="0"/>
        </w:numPr>
        <w:ind w:hanging="720"/>
      </w:pPr>
      <w:r w:rsidRPr="002B1B34">
        <w:rPr>
          <w:sz w:val="20"/>
        </w:rPr>
        <w:t>25</w:t>
      </w:r>
      <w:r w:rsidRPr="002B1B34">
        <w:rPr>
          <w:sz w:val="20"/>
        </w:rPr>
        <w:tab/>
      </w:r>
      <w:r w:rsidR="002B1B34" w:rsidRPr="002B1B34">
        <w:t xml:space="preserve">Mrs </w:t>
      </w:r>
      <w:proofErr w:type="spellStart"/>
      <w:r w:rsidR="002B1B34" w:rsidRPr="002B1B34">
        <w:t>Sarkis</w:t>
      </w:r>
      <w:proofErr w:type="spellEnd"/>
      <w:r w:rsidR="002B1B34" w:rsidRPr="002B1B34">
        <w:t xml:space="preserve"> gave evidence as to how she arrived at these names.  The primary judge did not accept the t</w:t>
      </w:r>
      <w:r w:rsidR="00EC4927">
        <w:t xml:space="preserve">ruthfulness of that evidence.  </w:t>
      </w:r>
      <w:r w:rsidR="002B1B34" w:rsidRPr="002B1B34">
        <w:t xml:space="preserve">It is not necessary to descend to the detail of the primary judge’s findings with respect to Mrs </w:t>
      </w:r>
      <w:proofErr w:type="spellStart"/>
      <w:r w:rsidR="002B1B34" w:rsidRPr="002B1B34">
        <w:t>Sarkis’s</w:t>
      </w:r>
      <w:proofErr w:type="spellEnd"/>
      <w:r w:rsidR="002B1B34" w:rsidRPr="002B1B34">
        <w:t xml:space="preserve"> choice of names other than for “Henley D’s/C’s”.  It is sufficient to </w:t>
      </w:r>
      <w:r w:rsidR="00154146">
        <w:t>record</w:t>
      </w:r>
      <w:r w:rsidR="002B1B34" w:rsidRPr="002B1B34">
        <w:t xml:space="preserve"> that, on all the evidence, the primary judge was satisfied that, in 2006, Mrs </w:t>
      </w:r>
      <w:proofErr w:type="spellStart"/>
      <w:r w:rsidR="002B1B34" w:rsidRPr="002B1B34">
        <w:t>Sarkis</w:t>
      </w:r>
      <w:proofErr w:type="spellEnd"/>
      <w:r w:rsidR="002B1B34" w:rsidRPr="002B1B34">
        <w:t xml:space="preserve"> conducted Google searches of names already use</w:t>
      </w:r>
      <w:r w:rsidR="00B119E3">
        <w:t>d</w:t>
      </w:r>
      <w:r w:rsidR="002B1B34" w:rsidRPr="002B1B34">
        <w:t xml:space="preserve"> in the construction industry and then assessed if adding the words “Developments” or “Constructions” meant that they were available names to register as company names with the Australian Securities and Investments Commission (</w:t>
      </w:r>
      <w:r w:rsidR="002B1B34" w:rsidRPr="002B1B34">
        <w:rPr>
          <w:b/>
        </w:rPr>
        <w:t>ASIC</w:t>
      </w:r>
      <w:r w:rsidR="00EC4927">
        <w:t xml:space="preserve">). </w:t>
      </w:r>
    </w:p>
    <w:p w14:paraId="6CE60FB8" w14:textId="2BCD9B29" w:rsidR="002B1B34" w:rsidRPr="002B1B34" w:rsidRDefault="00BC7D85" w:rsidP="00BC7D85">
      <w:pPr>
        <w:pStyle w:val="ParaNumbering"/>
        <w:numPr>
          <w:ilvl w:val="0"/>
          <w:numId w:val="0"/>
        </w:numPr>
        <w:ind w:hanging="720"/>
      </w:pPr>
      <w:r w:rsidRPr="002B1B34">
        <w:rPr>
          <w:sz w:val="20"/>
        </w:rPr>
        <w:t>26</w:t>
      </w:r>
      <w:r w:rsidRPr="002B1B34">
        <w:rPr>
          <w:sz w:val="20"/>
        </w:rPr>
        <w:tab/>
      </w:r>
      <w:r w:rsidR="002B1B34" w:rsidRPr="002B1B34">
        <w:t xml:space="preserve">Mr </w:t>
      </w:r>
      <w:proofErr w:type="spellStart"/>
      <w:r w:rsidR="002B1B34" w:rsidRPr="002B1B34">
        <w:t>Sarkis</w:t>
      </w:r>
      <w:proofErr w:type="spellEnd"/>
      <w:r w:rsidR="002B1B34" w:rsidRPr="002B1B34">
        <w:t xml:space="preserve"> gave evidence that he did no</w:t>
      </w:r>
      <w:r w:rsidR="00154146">
        <w:t>t undertake any research of who</w:t>
      </w:r>
      <w:r w:rsidR="002B1B34" w:rsidRPr="002B1B34">
        <w:t xml:space="preserve"> his competition was likely t</w:t>
      </w:r>
      <w:r w:rsidR="00EC4927">
        <w:t xml:space="preserve">o be in the building industry.  </w:t>
      </w:r>
      <w:r w:rsidR="002B1B34" w:rsidRPr="002B1B34">
        <w:t xml:space="preserve">However, after canvassing and considering the views of others, he decided to select </w:t>
      </w:r>
      <w:r w:rsidR="00B119E3">
        <w:t>“Henley Constructions”</w:t>
      </w:r>
      <w:r w:rsidR="00EC4927">
        <w:t xml:space="preserve"> as the name for his company. </w:t>
      </w:r>
    </w:p>
    <w:p w14:paraId="50F5E8F9" w14:textId="60B21B49" w:rsidR="000B0FA9" w:rsidRDefault="00BC7D85" w:rsidP="00BC7D85">
      <w:pPr>
        <w:pStyle w:val="ParaNumbering"/>
        <w:numPr>
          <w:ilvl w:val="0"/>
          <w:numId w:val="0"/>
        </w:numPr>
        <w:ind w:hanging="720"/>
      </w:pPr>
      <w:r>
        <w:rPr>
          <w:sz w:val="20"/>
        </w:rPr>
        <w:t>27</w:t>
      </w:r>
      <w:r>
        <w:rPr>
          <w:sz w:val="20"/>
        </w:rPr>
        <w:tab/>
      </w:r>
      <w:r w:rsidR="002B1B34" w:rsidRPr="002B1B34">
        <w:t xml:space="preserve">Paragraph 30 of </w:t>
      </w:r>
      <w:r w:rsidR="00D17498">
        <w:t xml:space="preserve">Henley Constructions’ </w:t>
      </w:r>
      <w:r w:rsidR="002B1B34" w:rsidRPr="002B1B34">
        <w:t xml:space="preserve">Amended Defence alleged that Mr </w:t>
      </w:r>
      <w:proofErr w:type="spellStart"/>
      <w:r w:rsidR="002B1B34" w:rsidRPr="002B1B34">
        <w:t>Sarkis’s</w:t>
      </w:r>
      <w:proofErr w:type="spellEnd"/>
      <w:r w:rsidR="002B1B34" w:rsidRPr="002B1B34">
        <w:t xml:space="preserve"> chose the corporate name “Henley Construc</w:t>
      </w:r>
      <w:r w:rsidR="00EC4927">
        <w:t xml:space="preserve">tions Pty Ltd” in good faith.  </w:t>
      </w:r>
      <w:r w:rsidR="002B1B34" w:rsidRPr="002B1B34">
        <w:t xml:space="preserve">The particulars to that paragraph stated: </w:t>
      </w:r>
    </w:p>
    <w:p w14:paraId="04F77E4A" w14:textId="77777777" w:rsidR="002B1B34" w:rsidRPr="002B1B34" w:rsidRDefault="002B1B34" w:rsidP="000B0FA9">
      <w:pPr>
        <w:pStyle w:val="Quote1"/>
      </w:pPr>
      <w:r w:rsidRPr="002B1B34">
        <w:t xml:space="preserve">Mr </w:t>
      </w:r>
      <w:proofErr w:type="spellStart"/>
      <w:r w:rsidRPr="002B1B34">
        <w:t>Sarkis</w:t>
      </w:r>
      <w:proofErr w:type="spellEnd"/>
      <w:r w:rsidRPr="002B1B34">
        <w:t xml:space="preserve"> chose the name “Henley Constructions” due to his pre-existing fondness of the male name “Henley”.  This fondness includes the fact that Mr </w:t>
      </w:r>
      <w:proofErr w:type="spellStart"/>
      <w:r w:rsidRPr="002B1B34">
        <w:t>Sarkis</w:t>
      </w:r>
      <w:proofErr w:type="spellEnd"/>
      <w:r w:rsidRPr="002B1B34">
        <w:t xml:space="preserve"> has mentioned to his wife prior to the Selection Date that if they had a son he would like to call him “Henley Joseph </w:t>
      </w:r>
      <w:proofErr w:type="spellStart"/>
      <w:r w:rsidRPr="002B1B34">
        <w:t>Sarkis</w:t>
      </w:r>
      <w:proofErr w:type="spellEnd"/>
      <w:r w:rsidRPr="002B1B34">
        <w:t>”.</w:t>
      </w:r>
    </w:p>
    <w:p w14:paraId="25B48A97" w14:textId="6D794753" w:rsidR="002B1B34" w:rsidRPr="002B1B34" w:rsidRDefault="00BC7D85" w:rsidP="00BC7D85">
      <w:pPr>
        <w:pStyle w:val="ParaNumbering"/>
        <w:numPr>
          <w:ilvl w:val="0"/>
          <w:numId w:val="0"/>
        </w:numPr>
        <w:ind w:hanging="720"/>
      </w:pPr>
      <w:r w:rsidRPr="002B1B34">
        <w:rPr>
          <w:sz w:val="20"/>
        </w:rPr>
        <w:t>28</w:t>
      </w:r>
      <w:r w:rsidRPr="002B1B34">
        <w:rPr>
          <w:sz w:val="20"/>
        </w:rPr>
        <w:tab/>
      </w:r>
      <w:r w:rsidR="002B1B34" w:rsidRPr="002B1B34">
        <w:t xml:space="preserve">In cross-examination, Mr </w:t>
      </w:r>
      <w:proofErr w:type="spellStart"/>
      <w:r w:rsidR="002B1B34" w:rsidRPr="002B1B34">
        <w:t>Sarkis</w:t>
      </w:r>
      <w:proofErr w:type="spellEnd"/>
      <w:r w:rsidR="002B1B34" w:rsidRPr="002B1B34">
        <w:t xml:space="preserve"> said that he did not provide those instructions to his solicitors.  The primary judge noted, however, that Mr </w:t>
      </w:r>
      <w:proofErr w:type="spellStart"/>
      <w:r w:rsidR="002B1B34" w:rsidRPr="002B1B34">
        <w:t>Sarkis’s</w:t>
      </w:r>
      <w:proofErr w:type="spellEnd"/>
      <w:r w:rsidR="002B1B34" w:rsidRPr="002B1B34">
        <w:t xml:space="preserve"> solicitor, Lance Scott, gave evidence that Mr </w:t>
      </w:r>
      <w:proofErr w:type="spellStart"/>
      <w:r w:rsidR="002B1B34" w:rsidRPr="002B1B34">
        <w:t>Sarkis</w:t>
      </w:r>
      <w:proofErr w:type="spellEnd"/>
      <w:r w:rsidR="002B1B34" w:rsidRPr="002B1B34">
        <w:t xml:space="preserve"> did provide those instructions.  The primary judge commented that the discrepancy between Mr </w:t>
      </w:r>
      <w:proofErr w:type="spellStart"/>
      <w:r w:rsidR="002B1B34" w:rsidRPr="002B1B34">
        <w:t>Sarkis’s</w:t>
      </w:r>
      <w:proofErr w:type="spellEnd"/>
      <w:r w:rsidR="002B1B34" w:rsidRPr="002B1B34">
        <w:t xml:space="preserve"> evidence and Mr Scott’s evidence, in this regard, </w:t>
      </w:r>
      <w:proofErr w:type="gramStart"/>
      <w:r w:rsidR="002B1B34" w:rsidRPr="002B1B34">
        <w:t>was not explained</w:t>
      </w:r>
      <w:proofErr w:type="gramEnd"/>
      <w:r w:rsidR="002B1B34" w:rsidRPr="002B1B34">
        <w:t xml:space="preserve"> and that the particulars to paragraph 30 of </w:t>
      </w:r>
      <w:r w:rsidR="00D36BE8">
        <w:t>Henley Constructions’</w:t>
      </w:r>
      <w:r w:rsidR="00D36BE8" w:rsidRPr="002B1B34">
        <w:t xml:space="preserve"> </w:t>
      </w:r>
      <w:r w:rsidR="002B1B34" w:rsidRPr="002B1B34">
        <w:t>Ame</w:t>
      </w:r>
      <w:r w:rsidR="00EC4927">
        <w:t xml:space="preserve">nded Defence were unreliable. </w:t>
      </w:r>
    </w:p>
    <w:p w14:paraId="1A35950E" w14:textId="6CE377D6" w:rsidR="002B1B34" w:rsidRPr="002B1B34" w:rsidRDefault="00BC7D85" w:rsidP="00BC7D85">
      <w:pPr>
        <w:pStyle w:val="ParaNumbering"/>
        <w:numPr>
          <w:ilvl w:val="0"/>
          <w:numId w:val="0"/>
        </w:numPr>
        <w:ind w:hanging="720"/>
      </w:pPr>
      <w:r w:rsidRPr="002B1B34">
        <w:rPr>
          <w:sz w:val="20"/>
        </w:rPr>
        <w:t>29</w:t>
      </w:r>
      <w:r w:rsidRPr="002B1B34">
        <w:rPr>
          <w:sz w:val="20"/>
        </w:rPr>
        <w:tab/>
      </w:r>
      <w:r w:rsidR="002B1B34" w:rsidRPr="002B1B34">
        <w:t xml:space="preserve">Mrs </w:t>
      </w:r>
      <w:proofErr w:type="spellStart"/>
      <w:r w:rsidR="002B1B34" w:rsidRPr="002B1B34">
        <w:t>Sarkis’s</w:t>
      </w:r>
      <w:proofErr w:type="spellEnd"/>
      <w:r w:rsidR="002B1B34" w:rsidRPr="002B1B34">
        <w:t xml:space="preserve"> evidence was that she had first hear</w:t>
      </w:r>
      <w:r w:rsidR="00154146">
        <w:t>d of the name “Henley” in mid-</w:t>
      </w:r>
      <w:r w:rsidR="002B1B34" w:rsidRPr="002B1B34">
        <w:t xml:space="preserve">2006 when watching an American reality television show in which one of the participant’s sisters </w:t>
      </w:r>
      <w:proofErr w:type="gramStart"/>
      <w:r w:rsidR="002B1B34" w:rsidRPr="002B1B34">
        <w:t xml:space="preserve">was </w:t>
      </w:r>
      <w:r w:rsidR="002B1B34" w:rsidRPr="002B1B34">
        <w:lastRenderedPageBreak/>
        <w:t>named</w:t>
      </w:r>
      <w:proofErr w:type="gramEnd"/>
      <w:r w:rsidR="002B1B34" w:rsidRPr="002B1B34">
        <w:t xml:space="preserve"> “Henley”.  She said that she subsequently conducted a Google search of the name and found that it was of English o</w:t>
      </w:r>
      <w:r w:rsidR="00EC4927">
        <w:t xml:space="preserve">rigin, meaning “high meadow”. </w:t>
      </w:r>
    </w:p>
    <w:p w14:paraId="14A3F788" w14:textId="225D35BE" w:rsidR="002B1B34" w:rsidRDefault="00BC7D85" w:rsidP="00BC7D85">
      <w:pPr>
        <w:pStyle w:val="ParaNumbering"/>
        <w:numPr>
          <w:ilvl w:val="0"/>
          <w:numId w:val="0"/>
        </w:numPr>
        <w:ind w:hanging="720"/>
      </w:pPr>
      <w:r>
        <w:rPr>
          <w:sz w:val="20"/>
        </w:rPr>
        <w:t>30</w:t>
      </w:r>
      <w:r>
        <w:rPr>
          <w:sz w:val="20"/>
        </w:rPr>
        <w:tab/>
      </w:r>
      <w:r w:rsidR="002B1B34" w:rsidRPr="002B1B34">
        <w:t xml:space="preserve">At </w:t>
      </w:r>
      <w:proofErr w:type="gramStart"/>
      <w:r w:rsidR="002B1B34" w:rsidRPr="002B1B34">
        <w:t>J</w:t>
      </w:r>
      <w:r w:rsidR="00AB49D1">
        <w:t>[</w:t>
      </w:r>
      <w:proofErr w:type="gramEnd"/>
      <w:r w:rsidR="00AB49D1">
        <w:t>265], the primary judge found:</w:t>
      </w:r>
    </w:p>
    <w:p w14:paraId="715BCDC8" w14:textId="77777777" w:rsidR="000B0FA9" w:rsidRPr="002B1B34" w:rsidRDefault="000B0FA9" w:rsidP="000B0FA9">
      <w:pPr>
        <w:pStyle w:val="Quote1"/>
        <w:tabs>
          <w:tab w:val="left" w:pos="1418"/>
        </w:tabs>
        <w:ind w:left="1418" w:hanging="681"/>
      </w:pPr>
      <w:r w:rsidRPr="000B0FA9">
        <w:t>265</w:t>
      </w:r>
      <w:r w:rsidRPr="000B0FA9">
        <w:tab/>
        <w:t xml:space="preserve">Mrs </w:t>
      </w:r>
      <w:proofErr w:type="spellStart"/>
      <w:r w:rsidRPr="000B0FA9">
        <w:t>Sarkis</w:t>
      </w:r>
      <w:proofErr w:type="spellEnd"/>
      <w:r w:rsidRPr="000B0FA9">
        <w:t xml:space="preserve">, under cross-examination, denied making an internet search of the name “Henley Properties” in 2006.  Mrs </w:t>
      </w:r>
      <w:proofErr w:type="spellStart"/>
      <w:r w:rsidRPr="000B0FA9">
        <w:t>Sarkis</w:t>
      </w:r>
      <w:proofErr w:type="spellEnd"/>
      <w:r w:rsidRPr="000B0FA9">
        <w:t xml:space="preserve"> denied that, in her searches to find a building company name, she came across the name “Henley Properties” and the website www.henley.com.au.  Mrs </w:t>
      </w:r>
      <w:proofErr w:type="spellStart"/>
      <w:r w:rsidRPr="000B0FA9">
        <w:t>Sarkis</w:t>
      </w:r>
      <w:proofErr w:type="spellEnd"/>
      <w:r w:rsidRPr="000B0FA9">
        <w:t xml:space="preserve"> denied ever undertaking a Google search of the name “Henley” alone.  Mrs </w:t>
      </w:r>
      <w:proofErr w:type="spellStart"/>
      <w:r w:rsidRPr="000B0FA9">
        <w:t>Sarkis</w:t>
      </w:r>
      <w:proofErr w:type="spellEnd"/>
      <w:r w:rsidRPr="000B0FA9">
        <w:t xml:space="preserve"> agreed that she would have searched on Google for “Henley Constructions”.</w:t>
      </w:r>
    </w:p>
    <w:p w14:paraId="69F26664" w14:textId="23DAF7B2" w:rsidR="002B1B34" w:rsidRPr="002B1B34" w:rsidRDefault="00BC7D85" w:rsidP="00BC7D85">
      <w:pPr>
        <w:pStyle w:val="ParaNumbering"/>
        <w:numPr>
          <w:ilvl w:val="0"/>
          <w:numId w:val="0"/>
        </w:numPr>
        <w:ind w:hanging="720"/>
      </w:pPr>
      <w:r w:rsidRPr="002B1B34">
        <w:rPr>
          <w:sz w:val="20"/>
        </w:rPr>
        <w:t>31</w:t>
      </w:r>
      <w:r w:rsidRPr="002B1B34">
        <w:rPr>
          <w:sz w:val="20"/>
        </w:rPr>
        <w:tab/>
      </w:r>
      <w:r w:rsidR="002B1B34" w:rsidRPr="002B1B34">
        <w:t xml:space="preserve">In cross-examination, Mrs </w:t>
      </w:r>
      <w:proofErr w:type="spellStart"/>
      <w:r w:rsidR="002B1B34" w:rsidRPr="002B1B34">
        <w:t>Sarkis</w:t>
      </w:r>
      <w:proofErr w:type="spellEnd"/>
      <w:r w:rsidR="002B1B34" w:rsidRPr="002B1B34">
        <w:t xml:space="preserve"> denied that, in her searches to find a company name, she came across the name “Henley Properties” </w:t>
      </w:r>
      <w:r w:rsidR="00EC4927">
        <w:t xml:space="preserve">and the henley.com.au website. </w:t>
      </w:r>
    </w:p>
    <w:p w14:paraId="134F0A89" w14:textId="03A674C9" w:rsidR="002B1B34" w:rsidRDefault="00BC7D85" w:rsidP="00BC7D85">
      <w:pPr>
        <w:pStyle w:val="ParaNumbering"/>
        <w:numPr>
          <w:ilvl w:val="0"/>
          <w:numId w:val="0"/>
        </w:numPr>
        <w:ind w:hanging="720"/>
      </w:pPr>
      <w:r>
        <w:rPr>
          <w:sz w:val="20"/>
        </w:rPr>
        <w:t>32</w:t>
      </w:r>
      <w:r>
        <w:rPr>
          <w:sz w:val="20"/>
        </w:rPr>
        <w:tab/>
      </w:r>
      <w:r w:rsidR="002B1B34" w:rsidRPr="002B1B34">
        <w:t xml:space="preserve">At </w:t>
      </w:r>
      <w:proofErr w:type="gramStart"/>
      <w:r w:rsidR="002B1B34" w:rsidRPr="002B1B34">
        <w:t>J</w:t>
      </w:r>
      <w:r w:rsidR="00AB49D1">
        <w:t>[</w:t>
      </w:r>
      <w:proofErr w:type="gramEnd"/>
      <w:r w:rsidR="00AB49D1">
        <w:t>319], the primary judge found:</w:t>
      </w:r>
    </w:p>
    <w:p w14:paraId="5A53D514" w14:textId="77777777" w:rsidR="000B0FA9" w:rsidRDefault="000B0FA9" w:rsidP="000B0FA9">
      <w:pPr>
        <w:pStyle w:val="Quote1"/>
        <w:tabs>
          <w:tab w:val="left" w:pos="1418"/>
        </w:tabs>
        <w:ind w:left="1418" w:hanging="681"/>
      </w:pPr>
      <w:r>
        <w:t>319</w:t>
      </w:r>
      <w:r>
        <w:tab/>
        <w:t xml:space="preserve">I do not accept Mrs </w:t>
      </w:r>
      <w:proofErr w:type="spellStart"/>
      <w:r>
        <w:t>Sarkis’s</w:t>
      </w:r>
      <w:proofErr w:type="spellEnd"/>
      <w:r>
        <w:t xml:space="preserve"> denial that she did not come across the name Henley Properties and the henley.com.au website when searching the internet to find a building company name.  Mrs </w:t>
      </w:r>
      <w:proofErr w:type="spellStart"/>
      <w:r>
        <w:t>Sarkis</w:t>
      </w:r>
      <w:proofErr w:type="spellEnd"/>
      <w:r>
        <w:t xml:space="preserve"> gave evidence that she conducted Google searches of the name “Henley Constructions”.  Mrs </w:t>
      </w:r>
      <w:proofErr w:type="spellStart"/>
      <w:r>
        <w:t>Sarkis</w:t>
      </w:r>
      <w:proofErr w:type="spellEnd"/>
      <w:r>
        <w:t xml:space="preserve"> said that she did not remember conducting a Google search for the word “Henley” on its own.  Mrs </w:t>
      </w:r>
      <w:proofErr w:type="spellStart"/>
      <w:r>
        <w:t>Sarkis</w:t>
      </w:r>
      <w:proofErr w:type="spellEnd"/>
      <w:r>
        <w:t xml:space="preserve"> said that she would have searched on Google for “Henley Constructions”.  That critical fact </w:t>
      </w:r>
      <w:proofErr w:type="gramStart"/>
      <w:r>
        <w:t>was not deposed</w:t>
      </w:r>
      <w:proofErr w:type="gramEnd"/>
      <w:r>
        <w:t xml:space="preserve"> to in her affidavit nor </w:t>
      </w:r>
      <w:r w:rsidRPr="000B0FA9">
        <w:rPr>
          <w:i/>
        </w:rPr>
        <w:t>viva voce</w:t>
      </w:r>
      <w:r>
        <w:t xml:space="preserve"> evidence in chief.  Mrs </w:t>
      </w:r>
      <w:proofErr w:type="spellStart"/>
      <w:r>
        <w:t>Sarkis</w:t>
      </w:r>
      <w:proofErr w:type="spellEnd"/>
      <w:r>
        <w:t xml:space="preserve"> said that she searched on Google for “Henley name meaning” and “Henley Constructions” but she did not recall typing the word “Henley” into Google by itself.  Mrs </w:t>
      </w:r>
      <w:proofErr w:type="spellStart"/>
      <w:r>
        <w:t>Sarkis</w:t>
      </w:r>
      <w:proofErr w:type="spellEnd"/>
      <w:r>
        <w:t xml:space="preserve"> also denied seeing the henley.com.au website.  I do not accept this evidence of Mrs </w:t>
      </w:r>
      <w:proofErr w:type="spellStart"/>
      <w:r>
        <w:t>Sarkis</w:t>
      </w:r>
      <w:proofErr w:type="spellEnd"/>
      <w:r>
        <w:t>.  The cross-examination below is instructive:</w:t>
      </w:r>
    </w:p>
    <w:p w14:paraId="5D2239A7" w14:textId="77777777" w:rsidR="000B0FA9" w:rsidRDefault="000B0FA9" w:rsidP="000B4AA4">
      <w:pPr>
        <w:pStyle w:val="Quote2"/>
        <w:tabs>
          <w:tab w:val="left" w:pos="1985"/>
        </w:tabs>
        <w:ind w:left="1985"/>
      </w:pPr>
      <w:proofErr w:type="gramStart"/>
      <w:r>
        <w:t>So if you go to page 2498 [of the Court Book, being part of annexure “LNS-6” to the affidavit of Lance Newman Scott affirmed 9 May 2019], this is a search here, a particular search, but it’s a search for any website which has the word Henley in it, [and] any website which has the word homes or building or marketing.</w:t>
      </w:r>
      <w:proofErr w:type="gramEnd"/>
      <w:r>
        <w:t xml:space="preserve">  Do you see that</w:t>
      </w:r>
      <w:proofErr w:type="gramStart"/>
      <w:r>
        <w:t>?---</w:t>
      </w:r>
      <w:proofErr w:type="gramEnd"/>
      <w:r>
        <w:t>I do.  Yes.</w:t>
      </w:r>
    </w:p>
    <w:p w14:paraId="050AB043" w14:textId="77777777" w:rsidR="000B0FA9" w:rsidRDefault="000B0FA9" w:rsidP="000B4AA4">
      <w:pPr>
        <w:pStyle w:val="Quote2"/>
        <w:ind w:left="1985"/>
      </w:pPr>
      <w:r>
        <w:t>Yes. And obviously, homes and marketing are not very aligned to the word constructions, but you agree that building is aligned to the word constructions</w:t>
      </w:r>
      <w:proofErr w:type="gramStart"/>
      <w:r>
        <w:t>?---</w:t>
      </w:r>
      <w:proofErr w:type="gramEnd"/>
      <w:r>
        <w:t xml:space="preserve">Yes.  I agree.  </w:t>
      </w:r>
      <w:proofErr w:type="gramStart"/>
      <w:r>
        <w:t>It’s</w:t>
      </w:r>
      <w:proofErr w:type="gramEnd"/>
      <w:r>
        <w:t xml:space="preserve"> similar.  Yes.</w:t>
      </w:r>
    </w:p>
    <w:p w14:paraId="06189FBC" w14:textId="77777777" w:rsidR="000B0FA9" w:rsidRDefault="000B0FA9" w:rsidP="000B4AA4">
      <w:pPr>
        <w:pStyle w:val="Quote2"/>
        <w:ind w:left="1985"/>
      </w:pPr>
      <w:r>
        <w:t>Yes.  And I put to you that if you have put in a search for Henley Constructions, you would have got a result very similar to what we see at [page] 2499 [of the Court Book], which is at the second position.  This is a worldwide search:</w:t>
      </w:r>
    </w:p>
    <w:p w14:paraId="79B494E8" w14:textId="77777777" w:rsidR="000B0FA9" w:rsidRPr="00D36BE8" w:rsidRDefault="000B0FA9" w:rsidP="00D36BE8">
      <w:pPr>
        <w:pStyle w:val="Quote3"/>
        <w:rPr>
          <w:i/>
        </w:rPr>
      </w:pPr>
      <w:r w:rsidRPr="00D36BE8">
        <w:rPr>
          <w:i/>
        </w:rPr>
        <w:t>Display home Victoria Henley home Henley Properties Group.</w:t>
      </w:r>
    </w:p>
    <w:p w14:paraId="1FC18F87" w14:textId="77777777" w:rsidR="000B0FA9" w:rsidRDefault="000B0FA9" w:rsidP="000B4AA4">
      <w:pPr>
        <w:pStyle w:val="Quote2"/>
        <w:ind w:left="1985"/>
      </w:pPr>
      <w:proofErr w:type="gramStart"/>
      <w:r>
        <w:t>And</w:t>
      </w:r>
      <w:proofErr w:type="gramEnd"/>
      <w:r>
        <w:t xml:space="preserve"> I put it to you that’s exactly what happened in November 2006.  Do you agree with that</w:t>
      </w:r>
      <w:proofErr w:type="gramStart"/>
      <w:r>
        <w:t>?---</w:t>
      </w:r>
      <w:proofErr w:type="gramEnd"/>
      <w:r>
        <w:t>Sorry.  Can you repeat that question?</w:t>
      </w:r>
    </w:p>
    <w:p w14:paraId="5FAC02A3" w14:textId="77777777" w:rsidR="000B0FA9" w:rsidRDefault="000B0FA9" w:rsidP="000B4AA4">
      <w:pPr>
        <w:pStyle w:val="Quote2"/>
        <w:ind w:left="1985"/>
      </w:pPr>
      <w:r>
        <w:t xml:space="preserve">I put it to you that in November 2006, you would have seen a search result like this when searching for Henley Constructions.  I put it to you </w:t>
      </w:r>
      <w:proofErr w:type="spellStart"/>
      <w:r>
        <w:t>you</w:t>
      </w:r>
      <w:proofErr w:type="spellEnd"/>
      <w:r>
        <w:t xml:space="preserve"> did get a search result similar to this when you searched for Henley Constructions on Google, which came up with the second link, which is </w:t>
      </w:r>
      <w:r>
        <w:lastRenderedPageBreak/>
        <w:t>– there’s a yellow highlight on part of it:</w:t>
      </w:r>
    </w:p>
    <w:p w14:paraId="64EE03D3" w14:textId="77777777" w:rsidR="000B0FA9" w:rsidRPr="00D36BE8" w:rsidRDefault="000B0FA9" w:rsidP="00D36BE8">
      <w:pPr>
        <w:pStyle w:val="Quote3"/>
        <w:rPr>
          <w:i/>
        </w:rPr>
      </w:pPr>
      <w:r w:rsidRPr="00D36BE8">
        <w:rPr>
          <w:i/>
        </w:rPr>
        <w:t>Display home Victoria Henley home Henley Properties Group Victoria.</w:t>
      </w:r>
    </w:p>
    <w:p w14:paraId="1A15A2FA" w14:textId="77777777" w:rsidR="000B0FA9" w:rsidRDefault="000B0FA9" w:rsidP="000B4AA4">
      <w:pPr>
        <w:pStyle w:val="Quote2"/>
        <w:ind w:left="1985"/>
      </w:pPr>
      <w:r>
        <w:t>You see that</w:t>
      </w:r>
      <w:proofErr w:type="gramStart"/>
      <w:r>
        <w:t>?---</w:t>
      </w:r>
      <w:proofErr w:type="gramEnd"/>
      <w:r>
        <w:t>Yes.  I can see that.  Yes.</w:t>
      </w:r>
    </w:p>
    <w:p w14:paraId="4B1A04D2" w14:textId="77777777" w:rsidR="000B0FA9" w:rsidRDefault="000B0FA9" w:rsidP="000B4AA4">
      <w:pPr>
        <w:pStyle w:val="Quote2"/>
        <w:ind w:left="1985"/>
      </w:pPr>
      <w:r>
        <w:t>And I put it to you when you put together this list, you saw that on Google searching</w:t>
      </w:r>
      <w:proofErr w:type="gramStart"/>
      <w:r>
        <w:t>?---</w:t>
      </w:r>
      <w:proofErr w:type="gramEnd"/>
      <w:r>
        <w:t xml:space="preserve">  No, because I don’t remember ever seeing that.</w:t>
      </w:r>
    </w:p>
    <w:p w14:paraId="4037C860" w14:textId="77777777" w:rsidR="000B0FA9" w:rsidRDefault="000B0FA9" w:rsidP="000B4AA4">
      <w:pPr>
        <w:pStyle w:val="Quote2"/>
        <w:ind w:left="1985"/>
      </w:pPr>
      <w:r>
        <w:t>And I put to you that you clicked on that link and you went to a website which looks very much like the website at page 2506 [of the Court Book]?---I’m just going there now.</w:t>
      </w:r>
    </w:p>
    <w:p w14:paraId="370EEDC8" w14:textId="77777777" w:rsidR="000B0FA9" w:rsidRDefault="000B0FA9" w:rsidP="000B4AA4">
      <w:pPr>
        <w:pStyle w:val="Quote2"/>
        <w:ind w:left="1985"/>
      </w:pPr>
      <w:r>
        <w:t>Yes</w:t>
      </w:r>
      <w:proofErr w:type="gramStart"/>
      <w:r>
        <w:t>?---</w:t>
      </w:r>
      <w:proofErr w:type="gramEnd"/>
      <w:r>
        <w:t xml:space="preserve"> I’ve never seen that.</w:t>
      </w:r>
    </w:p>
    <w:p w14:paraId="52C4E281" w14:textId="77777777" w:rsidR="000B0FA9" w:rsidRPr="00A86B9B" w:rsidRDefault="000B0FA9" w:rsidP="000B4AA4">
      <w:pPr>
        <w:pStyle w:val="Quote2"/>
        <w:ind w:left="1985"/>
        <w:rPr>
          <w:b/>
        </w:rPr>
      </w:pPr>
      <w:r>
        <w:t xml:space="preserve">I put to you that you thought that Henley was a good name, but you knew that Henley </w:t>
      </w:r>
      <w:proofErr w:type="gramStart"/>
      <w:r>
        <w:t>was being used</w:t>
      </w:r>
      <w:proofErr w:type="gramEnd"/>
      <w:r>
        <w:t xml:space="preserve">, for example, as Henley Properties Group on this website.  So you did an ASIC search, saw that Henley Developments and Henley Constructions Proprietary Limited were not in use, and so you put in on your list; you agree with that?---No.  </w:t>
      </w:r>
    </w:p>
    <w:p w14:paraId="66324853" w14:textId="6BBB1877" w:rsidR="002B1B34" w:rsidRDefault="00BC7D85" w:rsidP="00BC7D85">
      <w:pPr>
        <w:pStyle w:val="ParaNumbering"/>
        <w:numPr>
          <w:ilvl w:val="0"/>
          <w:numId w:val="0"/>
        </w:numPr>
        <w:ind w:hanging="720"/>
      </w:pPr>
      <w:r>
        <w:rPr>
          <w:sz w:val="20"/>
        </w:rPr>
        <w:t>33</w:t>
      </w:r>
      <w:r>
        <w:rPr>
          <w:sz w:val="20"/>
        </w:rPr>
        <w:tab/>
      </w:r>
      <w:r w:rsidR="000C27DF">
        <w:t>Having</w:t>
      </w:r>
      <w:r w:rsidR="000C27DF" w:rsidRPr="002B1B34">
        <w:t xml:space="preserve"> </w:t>
      </w:r>
      <w:r w:rsidR="002B1B34" w:rsidRPr="002B1B34">
        <w:t>consider</w:t>
      </w:r>
      <w:r w:rsidR="000C27DF">
        <w:t>ed</w:t>
      </w:r>
      <w:r w:rsidR="002B1B34" w:rsidRPr="002B1B34">
        <w:t xml:space="preserve"> other aspects of Mrs </w:t>
      </w:r>
      <w:proofErr w:type="spellStart"/>
      <w:r w:rsidR="002B1B34" w:rsidRPr="002B1B34">
        <w:t>Sarkis’s</w:t>
      </w:r>
      <w:proofErr w:type="spellEnd"/>
      <w:r w:rsidR="002B1B34" w:rsidRPr="002B1B34">
        <w:t xml:space="preserve"> evidence in cross-examin</w:t>
      </w:r>
      <w:r w:rsidR="00AB49D1">
        <w:t>ation, the primary judge found:</w:t>
      </w:r>
    </w:p>
    <w:p w14:paraId="320D93B6" w14:textId="77777777" w:rsidR="000B4AA4" w:rsidRPr="002B1B34" w:rsidRDefault="000B4AA4" w:rsidP="000B4AA4">
      <w:pPr>
        <w:pStyle w:val="Quote1"/>
        <w:tabs>
          <w:tab w:val="left" w:pos="1418"/>
        </w:tabs>
        <w:ind w:left="1418" w:hanging="681"/>
      </w:pPr>
      <w:r w:rsidRPr="000B4AA4">
        <w:t>320</w:t>
      </w:r>
      <w:r w:rsidRPr="000B4AA4">
        <w:tab/>
        <w:t xml:space="preserve">I find on the evidence that Mrs </w:t>
      </w:r>
      <w:proofErr w:type="spellStart"/>
      <w:r w:rsidRPr="000B4AA4">
        <w:t>Sarkis</w:t>
      </w:r>
      <w:proofErr w:type="spellEnd"/>
      <w:r w:rsidRPr="000B4AA4">
        <w:t xml:space="preserve">, when she conducted a Google search in 2006 for the name “Henley Constructions”, would have seen the second position listing of the Henley Properties Group’s website.  I find that, at the relevant time in 2006, Mrs </w:t>
      </w:r>
      <w:proofErr w:type="spellStart"/>
      <w:r w:rsidRPr="000B4AA4">
        <w:t>Sarkis</w:t>
      </w:r>
      <w:proofErr w:type="spellEnd"/>
      <w:r w:rsidRPr="000B4AA4">
        <w:t xml:space="preserve"> found the website www.henley.com.au and knew that </w:t>
      </w:r>
      <w:proofErr w:type="gramStart"/>
      <w:r w:rsidRPr="000B4AA4">
        <w:t>the name “Henley” was being used by Henley Properties Group who operated a business in Victoria, South Australia and Queensland in respect of building and constructing homes</w:t>
      </w:r>
      <w:proofErr w:type="gramEnd"/>
      <w:r w:rsidRPr="000B4AA4">
        <w:t xml:space="preserve">.  I find that Mrs </w:t>
      </w:r>
      <w:proofErr w:type="spellStart"/>
      <w:r w:rsidRPr="000B4AA4">
        <w:t>Sarkis</w:t>
      </w:r>
      <w:proofErr w:type="spellEnd"/>
      <w:r w:rsidRPr="000B4AA4">
        <w:t xml:space="preserve"> then conducted an ASIC search and saw that the names “Henley Developments” and “Henley Constructions” were available to be registered.  Mrs </w:t>
      </w:r>
      <w:proofErr w:type="spellStart"/>
      <w:r w:rsidRPr="000B4AA4">
        <w:t>Sarkis</w:t>
      </w:r>
      <w:proofErr w:type="spellEnd"/>
      <w:r w:rsidRPr="000B4AA4">
        <w:t xml:space="preserve"> then put the name “Henley D’s/C’s” on the shortlist.</w:t>
      </w:r>
    </w:p>
    <w:p w14:paraId="4DE874C0" w14:textId="2948DFB6" w:rsidR="002B1B34" w:rsidRDefault="00BC7D85" w:rsidP="00BC7D85">
      <w:pPr>
        <w:pStyle w:val="ParaNumbering"/>
        <w:numPr>
          <w:ilvl w:val="0"/>
          <w:numId w:val="0"/>
        </w:numPr>
        <w:ind w:hanging="720"/>
      </w:pPr>
      <w:r>
        <w:rPr>
          <w:sz w:val="20"/>
        </w:rPr>
        <w:t>34</w:t>
      </w:r>
      <w:r>
        <w:rPr>
          <w:sz w:val="20"/>
        </w:rPr>
        <w:tab/>
      </w:r>
      <w:r w:rsidR="002B1B34" w:rsidRPr="002B1B34">
        <w:t xml:space="preserve">At </w:t>
      </w:r>
      <w:proofErr w:type="gramStart"/>
      <w:r w:rsidR="002B1B34" w:rsidRPr="002B1B34">
        <w:t>J[</w:t>
      </w:r>
      <w:proofErr w:type="gramEnd"/>
      <w:r w:rsidR="002B1B34" w:rsidRPr="002B1B34">
        <w:t>323]</w:t>
      </w:r>
      <w:r w:rsidR="00AB49D1">
        <w:t>, the primary judge also found:</w:t>
      </w:r>
    </w:p>
    <w:p w14:paraId="69D3B61A" w14:textId="77777777" w:rsidR="000B4AA4" w:rsidRPr="002B1B34" w:rsidRDefault="000B4AA4" w:rsidP="000B4AA4">
      <w:pPr>
        <w:pStyle w:val="Quote1"/>
        <w:tabs>
          <w:tab w:val="left" w:pos="1418"/>
        </w:tabs>
        <w:ind w:left="1418" w:hanging="681"/>
      </w:pPr>
      <w:r w:rsidRPr="000B4AA4">
        <w:t>323</w:t>
      </w:r>
      <w:r w:rsidRPr="000B4AA4">
        <w:tab/>
        <w:t xml:space="preserve">I find that Mrs </w:t>
      </w:r>
      <w:proofErr w:type="spellStart"/>
      <w:r w:rsidRPr="000B4AA4">
        <w:t>Sarkis</w:t>
      </w:r>
      <w:proofErr w:type="spellEnd"/>
      <w:r w:rsidRPr="000B4AA4">
        <w:t xml:space="preserve"> conducted a Google search in 2006 and found the Henley Properties Group website, www.henley.com.au, and told Mr </w:t>
      </w:r>
      <w:proofErr w:type="spellStart"/>
      <w:r w:rsidRPr="000B4AA4">
        <w:t>Sarkis</w:t>
      </w:r>
      <w:proofErr w:type="spellEnd"/>
      <w:r w:rsidRPr="000B4AA4">
        <w:t xml:space="preserve"> about the Henley Properties Group website.  Mrs </w:t>
      </w:r>
      <w:proofErr w:type="spellStart"/>
      <w:r w:rsidRPr="000B4AA4">
        <w:t>Sarkis</w:t>
      </w:r>
      <w:proofErr w:type="spellEnd"/>
      <w:r w:rsidRPr="000B4AA4">
        <w:t xml:space="preserve"> conceded in cross-examination that she did search Henley Constructions in Google, and Google searches conducted in 2006 show that a Google search of “Henley” with any of “homes”, “building” or “marketing” retrieved the www.henley.com.au website as the second listed search result.  In these circumstances, it should be inferred that, when Mrs </w:t>
      </w:r>
      <w:proofErr w:type="spellStart"/>
      <w:r w:rsidRPr="000B4AA4">
        <w:t>Sarkis</w:t>
      </w:r>
      <w:proofErr w:type="spellEnd"/>
      <w:r w:rsidRPr="000B4AA4">
        <w:t xml:space="preserve"> searched “Henley Constructions” in 2006 (which Mrs </w:t>
      </w:r>
      <w:proofErr w:type="spellStart"/>
      <w:r w:rsidRPr="000B4AA4">
        <w:t>Sarkis</w:t>
      </w:r>
      <w:proofErr w:type="spellEnd"/>
      <w:r w:rsidRPr="000B4AA4">
        <w:t xml:space="preserve"> has conceded she did in fact do), Mrs </w:t>
      </w:r>
      <w:proofErr w:type="spellStart"/>
      <w:r w:rsidRPr="000B4AA4">
        <w:t>Sarkis</w:t>
      </w:r>
      <w:proofErr w:type="spellEnd"/>
      <w:r w:rsidRPr="000B4AA4">
        <w:t xml:space="preserve"> came across the Henley Properties Group website.   </w:t>
      </w:r>
    </w:p>
    <w:p w14:paraId="79FDE0CE" w14:textId="246DF47B" w:rsidR="002B1B34" w:rsidRDefault="00BC7D85" w:rsidP="00BC7D85">
      <w:pPr>
        <w:pStyle w:val="ParaNumbering"/>
        <w:numPr>
          <w:ilvl w:val="0"/>
          <w:numId w:val="0"/>
        </w:numPr>
        <w:ind w:hanging="720"/>
      </w:pPr>
      <w:r>
        <w:rPr>
          <w:sz w:val="20"/>
        </w:rPr>
        <w:t>35</w:t>
      </w:r>
      <w:r>
        <w:rPr>
          <w:sz w:val="20"/>
        </w:rPr>
        <w:tab/>
      </w:r>
      <w:r w:rsidR="002B1B34" w:rsidRPr="002B1B34">
        <w:t xml:space="preserve">With respect to Mr </w:t>
      </w:r>
      <w:proofErr w:type="spellStart"/>
      <w:r w:rsidR="002B1B34" w:rsidRPr="002B1B34">
        <w:t>Sarkis’s</w:t>
      </w:r>
      <w:proofErr w:type="spellEnd"/>
      <w:r w:rsidR="002B1B34" w:rsidRPr="002B1B34">
        <w:t xml:space="preserve"> evidence, the primary judge found</w:t>
      </w:r>
      <w:r w:rsidR="00AB49D1">
        <w:t>:</w:t>
      </w:r>
    </w:p>
    <w:p w14:paraId="1BA6251E" w14:textId="77777777" w:rsidR="000B4AA4" w:rsidRPr="002B1B34" w:rsidRDefault="000B4AA4" w:rsidP="000B4AA4">
      <w:pPr>
        <w:pStyle w:val="Quote1"/>
        <w:tabs>
          <w:tab w:val="left" w:pos="1418"/>
        </w:tabs>
        <w:ind w:left="1418" w:hanging="681"/>
      </w:pPr>
      <w:r w:rsidRPr="000B4AA4">
        <w:t>339</w:t>
      </w:r>
      <w:r w:rsidRPr="000B4AA4">
        <w:tab/>
        <w:t xml:space="preserve">In light of the findings made above, I find that, by December 2006, Mr </w:t>
      </w:r>
      <w:proofErr w:type="spellStart"/>
      <w:r w:rsidRPr="000B4AA4">
        <w:t>Sarkis</w:t>
      </w:r>
      <w:proofErr w:type="spellEnd"/>
      <w:r w:rsidRPr="000B4AA4">
        <w:t xml:space="preserve"> had knowledge of the business of Henley Arch and its use of the names “Henley Properties Group” and “Henley”.  Mr </w:t>
      </w:r>
      <w:proofErr w:type="spellStart"/>
      <w:r w:rsidRPr="000B4AA4">
        <w:t>Sarkis</w:t>
      </w:r>
      <w:proofErr w:type="spellEnd"/>
      <w:r w:rsidRPr="000B4AA4">
        <w:t xml:space="preserve"> had that knowledge because Mrs </w:t>
      </w:r>
      <w:proofErr w:type="spellStart"/>
      <w:r w:rsidRPr="000B4AA4">
        <w:t>Sarkis</w:t>
      </w:r>
      <w:proofErr w:type="spellEnd"/>
      <w:r w:rsidRPr="000B4AA4">
        <w:t xml:space="preserve"> had informed him that she had conducted Google searches and ascertained the existence of Henley Arch’s website www.henley.com.au </w:t>
      </w:r>
      <w:r w:rsidRPr="000B4AA4">
        <w:lastRenderedPageBreak/>
        <w:t xml:space="preserve">and the use of the names “Henley Properties Group” and “Henley”.  I find that Mr </w:t>
      </w:r>
      <w:proofErr w:type="spellStart"/>
      <w:r w:rsidRPr="000B4AA4">
        <w:t>Sarkis</w:t>
      </w:r>
      <w:proofErr w:type="spellEnd"/>
      <w:r w:rsidRPr="000B4AA4">
        <w:t xml:space="preserve"> had knowledge of Henley Arch’s use of “Henley Properties Group” and “Henley” prior to the incorporation of Henley Constructions Pty Ltd on 13 December 2006 and </w:t>
      </w:r>
      <w:proofErr w:type="gramStart"/>
      <w:r w:rsidRPr="000B4AA4">
        <w:t>had been informed</w:t>
      </w:r>
      <w:proofErr w:type="gramEnd"/>
      <w:r w:rsidRPr="000B4AA4">
        <w:t xml:space="preserve"> by Mrs </w:t>
      </w:r>
      <w:proofErr w:type="spellStart"/>
      <w:r w:rsidRPr="000B4AA4">
        <w:t>Sarkis</w:t>
      </w:r>
      <w:proofErr w:type="spellEnd"/>
      <w:r w:rsidRPr="000B4AA4">
        <w:t xml:space="preserve"> that the names “Henley Constructions” and “Henley Developments” were available to be registered on the ASIC register.  I find Mr </w:t>
      </w:r>
      <w:proofErr w:type="spellStart"/>
      <w:r w:rsidRPr="000B4AA4">
        <w:t>Sarkis</w:t>
      </w:r>
      <w:proofErr w:type="spellEnd"/>
      <w:r w:rsidRPr="000B4AA4">
        <w:t xml:space="preserve">, with that knowledge, had Mr </w:t>
      </w:r>
      <w:proofErr w:type="spellStart"/>
      <w:r w:rsidRPr="000B4AA4">
        <w:t>Murabak</w:t>
      </w:r>
      <w:proofErr w:type="spellEnd"/>
      <w:r w:rsidRPr="000B4AA4">
        <w:t xml:space="preserve"> obtain registration of both those names for the benefit of the first respondent.</w:t>
      </w:r>
    </w:p>
    <w:p w14:paraId="4FEAA120" w14:textId="5FE9B913" w:rsidR="002B1B34" w:rsidRPr="002B1B34" w:rsidRDefault="00BC7D85" w:rsidP="00BC7D85">
      <w:pPr>
        <w:pStyle w:val="ParaNumbering"/>
        <w:numPr>
          <w:ilvl w:val="0"/>
          <w:numId w:val="0"/>
        </w:numPr>
        <w:ind w:hanging="720"/>
      </w:pPr>
      <w:r w:rsidRPr="002B1B34">
        <w:rPr>
          <w:sz w:val="20"/>
        </w:rPr>
        <w:t>36</w:t>
      </w:r>
      <w:r w:rsidRPr="002B1B34">
        <w:rPr>
          <w:sz w:val="20"/>
        </w:rPr>
        <w:tab/>
      </w:r>
      <w:r w:rsidR="002B1B34" w:rsidRPr="002B1B34">
        <w:t xml:space="preserve">Having surveyed the evidence, the primary judge turned to consider the respondent’s case on </w:t>
      </w:r>
      <w:proofErr w:type="gramStart"/>
      <w:r w:rsidR="002B1B34" w:rsidRPr="002B1B34">
        <w:t>trade mark</w:t>
      </w:r>
      <w:proofErr w:type="gramEnd"/>
      <w:r w:rsidR="002B1B34" w:rsidRPr="002B1B34">
        <w:t xml:space="preserve"> infringement.</w:t>
      </w:r>
    </w:p>
    <w:p w14:paraId="77342F6C" w14:textId="77777777" w:rsidR="002B1B34" w:rsidRPr="002B1B34" w:rsidRDefault="002B1B34" w:rsidP="000B4AA4">
      <w:pPr>
        <w:pStyle w:val="Heading2"/>
      </w:pPr>
      <w:bookmarkStart w:id="31" w:name="_Ref133418088"/>
      <w:r w:rsidRPr="002B1B34">
        <w:t>The c</w:t>
      </w:r>
      <w:r w:rsidR="000B4AA4">
        <w:t>ase on trade mark infringement</w:t>
      </w:r>
      <w:bookmarkEnd w:id="31"/>
      <w:r w:rsidR="000B4AA4">
        <w:t xml:space="preserve"> </w:t>
      </w:r>
    </w:p>
    <w:p w14:paraId="280C4A88" w14:textId="0E8A04E0" w:rsidR="002B1B34" w:rsidRPr="002B1B34" w:rsidRDefault="00BC7D85" w:rsidP="00BC7D85">
      <w:pPr>
        <w:pStyle w:val="ParaNumbering"/>
        <w:numPr>
          <w:ilvl w:val="0"/>
          <w:numId w:val="0"/>
        </w:numPr>
        <w:ind w:hanging="720"/>
      </w:pPr>
      <w:r w:rsidRPr="002B1B34">
        <w:rPr>
          <w:sz w:val="20"/>
        </w:rPr>
        <w:t>37</w:t>
      </w:r>
      <w:r w:rsidRPr="002B1B34">
        <w:rPr>
          <w:sz w:val="20"/>
        </w:rPr>
        <w:tab/>
      </w:r>
      <w:r w:rsidR="00154146">
        <w:t>The</w:t>
      </w:r>
      <w:r w:rsidR="002B1B34" w:rsidRPr="002B1B34">
        <w:t xml:space="preserve"> respondent produced a </w:t>
      </w:r>
      <w:r w:rsidR="002B1B34" w:rsidRPr="008077DC">
        <w:rPr>
          <w:b/>
        </w:rPr>
        <w:t>Particulars Table</w:t>
      </w:r>
      <w:r w:rsidR="002B1B34" w:rsidRPr="002B1B34">
        <w:t xml:space="preserve"> which identified the signs which Henley Constructions allegedly used and which, according to the respondent, infringed its registered </w:t>
      </w:r>
      <w:proofErr w:type="spellStart"/>
      <w:r w:rsidR="002B1B34" w:rsidRPr="002B1B34">
        <w:t>trade marks</w:t>
      </w:r>
      <w:proofErr w:type="spellEnd"/>
      <w:r w:rsidR="002B1B34" w:rsidRPr="002B1B34">
        <w:t xml:space="preserve">: see </w:t>
      </w:r>
      <w:proofErr w:type="gramStart"/>
      <w:r w:rsidR="002B1B34" w:rsidRPr="002B1B34">
        <w:t>J[</w:t>
      </w:r>
      <w:proofErr w:type="gramEnd"/>
      <w:r w:rsidR="002B1B34" w:rsidRPr="002B1B34">
        <w:t xml:space="preserve">354].  Conspicuously, the Particulars Table did not identify, in respect of each sign, the registered mark alleged to </w:t>
      </w:r>
      <w:proofErr w:type="gramStart"/>
      <w:r w:rsidR="002B1B34" w:rsidRPr="002B1B34">
        <w:t>have been infringed</w:t>
      </w:r>
      <w:proofErr w:type="gramEnd"/>
      <w:r w:rsidR="002B1B34" w:rsidRPr="002B1B34">
        <w:t xml:space="preserve">.  </w:t>
      </w:r>
      <w:r w:rsidR="00D42819">
        <w:t xml:space="preserve">It appears, however, that the respondent’s case was that each of the registered marks (listed in [13] above) was infringed by each particularised act.  </w:t>
      </w:r>
      <w:r w:rsidR="002B1B34" w:rsidRPr="002B1B34">
        <w:t xml:space="preserve">The Particulars Table </w:t>
      </w:r>
      <w:proofErr w:type="gramStart"/>
      <w:r w:rsidR="002B1B34" w:rsidRPr="002B1B34">
        <w:t>is reproduced</w:t>
      </w:r>
      <w:proofErr w:type="gramEnd"/>
      <w:r w:rsidR="002B1B34" w:rsidRPr="002B1B34">
        <w:t xml:space="preserve"> </w:t>
      </w:r>
      <w:r w:rsidR="00D42819">
        <w:t>in</w:t>
      </w:r>
      <w:r w:rsidR="002B1B34" w:rsidRPr="002B1B34">
        <w:t xml:space="preserve"> Schedule A to these reasons.  </w:t>
      </w:r>
    </w:p>
    <w:p w14:paraId="7A940677" w14:textId="61517F35" w:rsidR="002B1B34" w:rsidRPr="002B1B34" w:rsidRDefault="00BC7D85" w:rsidP="00BC7D85">
      <w:pPr>
        <w:pStyle w:val="ParaNumbering"/>
        <w:numPr>
          <w:ilvl w:val="0"/>
          <w:numId w:val="0"/>
        </w:numPr>
        <w:ind w:hanging="720"/>
      </w:pPr>
      <w:r w:rsidRPr="002B1B34">
        <w:rPr>
          <w:sz w:val="20"/>
        </w:rPr>
        <w:t>38</w:t>
      </w:r>
      <w:r w:rsidRPr="002B1B34">
        <w:rPr>
          <w:sz w:val="20"/>
        </w:rPr>
        <w:tab/>
      </w:r>
      <w:r w:rsidR="002B1B34" w:rsidRPr="002B1B34">
        <w:t>Although admitting that Henley C</w:t>
      </w:r>
      <w:r w:rsidR="00B119E3">
        <w:t>onstructions had used the sign HENLEY CONSTRUCTIONS</w:t>
      </w:r>
      <w:r w:rsidR="002B1B34" w:rsidRPr="002B1B34">
        <w:t xml:space="preserve"> as a </w:t>
      </w:r>
      <w:proofErr w:type="gramStart"/>
      <w:r w:rsidR="002B1B34" w:rsidRPr="002B1B34">
        <w:t>trade mark</w:t>
      </w:r>
      <w:proofErr w:type="gramEnd"/>
      <w:r w:rsidR="002B1B34" w:rsidRPr="002B1B34">
        <w:t xml:space="preserve">, the appellants </w:t>
      </w:r>
      <w:r w:rsidR="00154146">
        <w:t>disputed</w:t>
      </w:r>
      <w:r w:rsidR="002B1B34" w:rsidRPr="002B1B34">
        <w:t xml:space="preserve"> that </w:t>
      </w:r>
      <w:r w:rsidR="00154146">
        <w:t>Henley Constructions</w:t>
      </w:r>
      <w:r w:rsidR="002B1B34" w:rsidRPr="002B1B34">
        <w:t xml:space="preserve"> had used the other signs as trade marks for building and construction services.</w:t>
      </w:r>
    </w:p>
    <w:p w14:paraId="1BC8F2E0" w14:textId="0EBC1A81" w:rsidR="002B1B34" w:rsidRDefault="00BC7D85" w:rsidP="00BC7D85">
      <w:pPr>
        <w:pStyle w:val="ParaNumbering"/>
        <w:numPr>
          <w:ilvl w:val="0"/>
          <w:numId w:val="0"/>
        </w:numPr>
        <w:ind w:hanging="720"/>
      </w:pPr>
      <w:r>
        <w:rPr>
          <w:sz w:val="20"/>
        </w:rPr>
        <w:t>39</w:t>
      </w:r>
      <w:r>
        <w:rPr>
          <w:sz w:val="20"/>
        </w:rPr>
        <w:tab/>
      </w:r>
      <w:r w:rsidR="002B1B34" w:rsidRPr="002B1B34">
        <w:t xml:space="preserve">One of the </w:t>
      </w:r>
      <w:r w:rsidR="00B119E3">
        <w:t>allegedly infringing signs was 1300HENLEY</w:t>
      </w:r>
      <w:r w:rsidR="002B1B34" w:rsidRPr="002B1B34">
        <w:t xml:space="preserve">.  The primary judge was not persuaded that </w:t>
      </w:r>
      <w:proofErr w:type="gramStart"/>
      <w:r w:rsidR="002B1B34" w:rsidRPr="002B1B34">
        <w:t>this sign was used by Henley Constructions</w:t>
      </w:r>
      <w:proofErr w:type="gramEnd"/>
      <w:r w:rsidR="002B1B34" w:rsidRPr="002B1B34">
        <w:t xml:space="preserve"> as </w:t>
      </w:r>
      <w:r w:rsidR="00AB49D1">
        <w:t>a trade mark.  His Honour held:</w:t>
      </w:r>
    </w:p>
    <w:p w14:paraId="071A47BB" w14:textId="77777777" w:rsidR="000B4AA4" w:rsidRPr="002B1B34" w:rsidRDefault="000B4AA4" w:rsidP="000B4AA4">
      <w:pPr>
        <w:pStyle w:val="Quote1"/>
        <w:tabs>
          <w:tab w:val="left" w:pos="1418"/>
        </w:tabs>
        <w:ind w:left="1418" w:hanging="681"/>
      </w:pPr>
      <w:r w:rsidRPr="000B4AA4">
        <w:t>455</w:t>
      </w:r>
      <w:r w:rsidRPr="000B4AA4">
        <w:tab/>
        <w:t>The display of the phone word “1300HENLEY” is a contact number, rather than a brand.  This is because it provides a method by which persons can contact Henley Constructions.  In the context in which it is used, I do not accept that consumers would view this as a brand or a badge of origin.</w:t>
      </w:r>
    </w:p>
    <w:p w14:paraId="163E87EF" w14:textId="0795892C" w:rsidR="002B1B34" w:rsidRDefault="00BC7D85" w:rsidP="00BC7D85">
      <w:pPr>
        <w:pStyle w:val="ParaNumbering"/>
        <w:numPr>
          <w:ilvl w:val="0"/>
          <w:numId w:val="0"/>
        </w:numPr>
        <w:ind w:hanging="720"/>
      </w:pPr>
      <w:r>
        <w:rPr>
          <w:sz w:val="20"/>
        </w:rPr>
        <w:t>40</w:t>
      </w:r>
      <w:r>
        <w:rPr>
          <w:sz w:val="20"/>
        </w:rPr>
        <w:tab/>
      </w:r>
      <w:r w:rsidR="002B1B34" w:rsidRPr="002B1B34">
        <w:t>The respondent also alleged that various number-plates used b</w:t>
      </w:r>
      <w:r w:rsidR="00B119E3">
        <w:t>y Henley Constructions—such as 01-HNLY, 05-HNLY, and 12-HNLY</w:t>
      </w:r>
      <w:r w:rsidR="002B1B34" w:rsidRPr="002B1B34">
        <w:t xml:space="preserve"> —infringed the registered marks.  Once again, the primary judge was not persuaded that these signs were used by Henley Constructions as</w:t>
      </w:r>
      <w:r w:rsidR="00AB49D1">
        <w:t xml:space="preserve"> </w:t>
      </w:r>
      <w:proofErr w:type="spellStart"/>
      <w:proofErr w:type="gramStart"/>
      <w:r w:rsidR="00AB49D1">
        <w:t>trade marks</w:t>
      </w:r>
      <w:proofErr w:type="spellEnd"/>
      <w:proofErr w:type="gramEnd"/>
      <w:r w:rsidR="00AB49D1">
        <w:t>.  His Honour held:</w:t>
      </w:r>
    </w:p>
    <w:p w14:paraId="77F19BBC" w14:textId="77777777" w:rsidR="00C67BDF" w:rsidRPr="002B1B34" w:rsidRDefault="00C67BDF" w:rsidP="00C67BDF">
      <w:pPr>
        <w:pStyle w:val="Quote1"/>
        <w:tabs>
          <w:tab w:val="left" w:pos="1418"/>
        </w:tabs>
        <w:ind w:left="1418" w:hanging="681"/>
      </w:pPr>
      <w:r w:rsidRPr="00C67BDF">
        <w:t>456</w:t>
      </w:r>
      <w:r w:rsidRPr="00C67BDF">
        <w:tab/>
        <w:t xml:space="preserve">With respect to the licence plates, in my view, a consumer would not view a number plate as projecting a brand or a badge of origin.  If anything, a consumer would view a number plate as a way of identifying a vehicle.  I am not persuaded that the use of “HENLY” or “HNLY” on a number plate entailed </w:t>
      </w:r>
      <w:proofErr w:type="gramStart"/>
      <w:r w:rsidRPr="00C67BDF">
        <w:t>trade mark</w:t>
      </w:r>
      <w:proofErr w:type="gramEnd"/>
      <w:r w:rsidRPr="00C67BDF">
        <w:t xml:space="preserve"> use.</w:t>
      </w:r>
    </w:p>
    <w:p w14:paraId="0AF0792E" w14:textId="13CF023D" w:rsidR="002B1B34" w:rsidRPr="002B1B34" w:rsidRDefault="00BC7D85" w:rsidP="00BC7D85">
      <w:pPr>
        <w:pStyle w:val="ParaNumbering"/>
        <w:numPr>
          <w:ilvl w:val="0"/>
          <w:numId w:val="0"/>
        </w:numPr>
        <w:ind w:hanging="720"/>
      </w:pPr>
      <w:r w:rsidRPr="002B1B34">
        <w:rPr>
          <w:sz w:val="20"/>
        </w:rPr>
        <w:t>41</w:t>
      </w:r>
      <w:r w:rsidRPr="002B1B34">
        <w:rPr>
          <w:sz w:val="20"/>
        </w:rPr>
        <w:tab/>
      </w:r>
      <w:r w:rsidR="002B1B34" w:rsidRPr="002B1B34">
        <w:t xml:space="preserve">However, subject to these exceptions, the primary judge was persuaded that Henley Constructions had used the other signs (referenced in the Particulars Table) as trade marks for </w:t>
      </w:r>
      <w:r w:rsidR="002B1B34" w:rsidRPr="002B1B34">
        <w:lastRenderedPageBreak/>
        <w:t xml:space="preserve">its building and construction services in a manner that infringed each of the respondent’s “relevant registered </w:t>
      </w:r>
      <w:proofErr w:type="spellStart"/>
      <w:r w:rsidR="002B1B34" w:rsidRPr="002B1B34">
        <w:t>trade marks</w:t>
      </w:r>
      <w:proofErr w:type="spellEnd"/>
      <w:r w:rsidR="002B1B34" w:rsidRPr="002B1B34">
        <w:t>” under s</w:t>
      </w:r>
      <w:r w:rsidR="00C67BDF">
        <w:t xml:space="preserve"> 120</w:t>
      </w:r>
      <w:r w:rsidR="002B1B34" w:rsidRPr="002B1B34">
        <w:t xml:space="preserve">(1) of the Trade Marks Act.  The primary judge referred to these as </w:t>
      </w:r>
      <w:r w:rsidR="002B1B34" w:rsidRPr="002B1B34">
        <w:rPr>
          <w:b/>
        </w:rPr>
        <w:t>Infringing Signs</w:t>
      </w:r>
      <w:r w:rsidR="002B1B34" w:rsidRPr="002B1B34">
        <w:t xml:space="preserve">.   </w:t>
      </w:r>
    </w:p>
    <w:p w14:paraId="4665932E" w14:textId="61CD15ED" w:rsidR="002B1B34" w:rsidRPr="002B1B34" w:rsidRDefault="00BC7D85" w:rsidP="00BC7D85">
      <w:pPr>
        <w:pStyle w:val="ParaNumbering"/>
        <w:numPr>
          <w:ilvl w:val="0"/>
          <w:numId w:val="0"/>
        </w:numPr>
        <w:ind w:hanging="720"/>
      </w:pPr>
      <w:r w:rsidRPr="002B1B34">
        <w:rPr>
          <w:sz w:val="20"/>
        </w:rPr>
        <w:t>42</w:t>
      </w:r>
      <w:r w:rsidRPr="002B1B34">
        <w:rPr>
          <w:sz w:val="20"/>
        </w:rPr>
        <w:tab/>
      </w:r>
      <w:r w:rsidR="002B1B34" w:rsidRPr="002B1B34">
        <w:t xml:space="preserve">On the question of </w:t>
      </w:r>
      <w:proofErr w:type="gramStart"/>
      <w:r w:rsidR="002B1B34" w:rsidRPr="002B1B34">
        <w:t>trade mark</w:t>
      </w:r>
      <w:proofErr w:type="gramEnd"/>
      <w:r w:rsidR="002B1B34" w:rsidRPr="002B1B34">
        <w:t xml:space="preserve"> comparison, the appellants admitted that the </w:t>
      </w:r>
      <w:r w:rsidR="00B119E3">
        <w:t>sign HENLEY</w:t>
      </w:r>
      <w:r w:rsidR="002B1B34" w:rsidRPr="002B1B34">
        <w:t xml:space="preserve"> was substantially identic</w:t>
      </w:r>
      <w:r w:rsidR="00EC4927">
        <w:t xml:space="preserve">al with the 820 mark (HENLEY).  </w:t>
      </w:r>
      <w:r w:rsidR="002B1B34" w:rsidRPr="002B1B34">
        <w:t xml:space="preserve">They denied, however, that the </w:t>
      </w:r>
      <w:r w:rsidR="00B119E3">
        <w:t>sign HENLEY CONSTRUCTIONS</w:t>
      </w:r>
      <w:r w:rsidR="002B1B34" w:rsidRPr="002B1B34">
        <w:t xml:space="preserve"> was </w:t>
      </w:r>
      <w:proofErr w:type="gramStart"/>
      <w:r w:rsidR="002B1B34" w:rsidRPr="002B1B34">
        <w:t>substantially identical</w:t>
      </w:r>
      <w:proofErr w:type="gramEnd"/>
      <w:r w:rsidR="002B1B34" w:rsidRPr="002B1B34">
        <w:rPr>
          <w:i/>
        </w:rPr>
        <w:t xml:space="preserve"> </w:t>
      </w:r>
      <w:r w:rsidR="002B1B34" w:rsidRPr="002B1B34">
        <w:t xml:space="preserve">with the 820 mark (HENLEY) or the 818 mark (the </w:t>
      </w:r>
      <w:r w:rsidR="00B119E3">
        <w:t>“</w:t>
      </w:r>
      <w:r w:rsidR="002B1B34" w:rsidRPr="002B1B34">
        <w:t>HENLEY PROPERTIES</w:t>
      </w:r>
      <w:r w:rsidR="00B119E3">
        <w:t>”</w:t>
      </w:r>
      <w:r w:rsidR="002B1B34" w:rsidRPr="002B1B34">
        <w:t xml:space="preserve"> Device Mark).  The primary judge found to the contrary: </w:t>
      </w:r>
      <w:proofErr w:type="gramStart"/>
      <w:r w:rsidR="002B1B34" w:rsidRPr="002B1B34">
        <w:t>J[</w:t>
      </w:r>
      <w:proofErr w:type="gramEnd"/>
      <w:r w:rsidR="002B1B34" w:rsidRPr="002B1B34">
        <w:t xml:space="preserve">470]. </w:t>
      </w:r>
    </w:p>
    <w:p w14:paraId="41CC31C3" w14:textId="1F3F7DE2" w:rsidR="002B1B34" w:rsidRPr="002B1B34" w:rsidRDefault="00BC7D85" w:rsidP="00BC7D85">
      <w:pPr>
        <w:pStyle w:val="ParaNumbering"/>
        <w:numPr>
          <w:ilvl w:val="0"/>
          <w:numId w:val="0"/>
        </w:numPr>
        <w:ind w:hanging="720"/>
      </w:pPr>
      <w:r w:rsidRPr="002B1B34">
        <w:rPr>
          <w:sz w:val="20"/>
        </w:rPr>
        <w:t>43</w:t>
      </w:r>
      <w:r w:rsidRPr="002B1B34">
        <w:rPr>
          <w:sz w:val="20"/>
        </w:rPr>
        <w:tab/>
      </w:r>
      <w:r w:rsidR="002B1B34" w:rsidRPr="002B1B34">
        <w:t>Th</w:t>
      </w:r>
      <w:r w:rsidR="007E7A90">
        <w:t xml:space="preserve">e primary judge found </w:t>
      </w:r>
      <w:r w:rsidR="008077DC">
        <w:t xml:space="preserve">that </w:t>
      </w:r>
      <w:r w:rsidR="007E7A90">
        <w:t>the sign HENLEY CONSTRUCTIONS</w:t>
      </w:r>
      <w:r w:rsidR="002B1B34" w:rsidRPr="002B1B34">
        <w:t xml:space="preserve"> was also deceptively similar to the 818 mark (the </w:t>
      </w:r>
      <w:r w:rsidR="007E7A90">
        <w:t>“</w:t>
      </w:r>
      <w:r w:rsidR="002B1B34" w:rsidRPr="002B1B34">
        <w:t>HENLEY PROPERTIES</w:t>
      </w:r>
      <w:r w:rsidR="007E7A90">
        <w:t>”</w:t>
      </w:r>
      <w:r w:rsidR="002B1B34" w:rsidRPr="002B1B34">
        <w:t xml:space="preserve"> Device Mark): </w:t>
      </w:r>
      <w:proofErr w:type="gramStart"/>
      <w:r w:rsidR="002B1B34" w:rsidRPr="002B1B34">
        <w:t>J[</w:t>
      </w:r>
      <w:proofErr w:type="gramEnd"/>
      <w:r w:rsidR="002B1B34" w:rsidRPr="002B1B34">
        <w:t xml:space="preserve">479].  His Honour said that the same </w:t>
      </w:r>
      <w:r w:rsidR="008077DC">
        <w:t>reasoning</w:t>
      </w:r>
      <w:r w:rsidR="008077DC" w:rsidRPr="002B1B34">
        <w:t xml:space="preserve"> </w:t>
      </w:r>
      <w:r w:rsidR="002B1B34" w:rsidRPr="002B1B34">
        <w:t>applied to the comparison between each of the signs “#</w:t>
      </w:r>
      <w:proofErr w:type="spellStart"/>
      <w:r w:rsidR="002B1B34" w:rsidRPr="002B1B34">
        <w:t>henley</w:t>
      </w:r>
      <w:proofErr w:type="spellEnd"/>
      <w:r w:rsidR="002B1B34" w:rsidRPr="002B1B34">
        <w:t xml:space="preserve"> constructions” and “henleyconstructions.com.au”:  </w:t>
      </w:r>
      <w:proofErr w:type="gramStart"/>
      <w:r w:rsidR="002B1B34" w:rsidRPr="002B1B34">
        <w:t>J[</w:t>
      </w:r>
      <w:proofErr w:type="gramEnd"/>
      <w:r w:rsidR="002B1B34" w:rsidRPr="002B1B34">
        <w:t>479]</w:t>
      </w:r>
    </w:p>
    <w:p w14:paraId="519DEED0" w14:textId="3E74BB3A" w:rsidR="002B1B34" w:rsidRPr="002B1B34" w:rsidRDefault="00BC7D85" w:rsidP="00BC7D85">
      <w:pPr>
        <w:pStyle w:val="ParaNumbering"/>
        <w:numPr>
          <w:ilvl w:val="0"/>
          <w:numId w:val="0"/>
        </w:numPr>
        <w:ind w:hanging="720"/>
      </w:pPr>
      <w:r w:rsidRPr="002B1B34">
        <w:rPr>
          <w:sz w:val="20"/>
        </w:rPr>
        <w:t>44</w:t>
      </w:r>
      <w:r w:rsidRPr="002B1B34">
        <w:rPr>
          <w:sz w:val="20"/>
        </w:rPr>
        <w:tab/>
      </w:r>
      <w:r w:rsidR="002B1B34" w:rsidRPr="002B1B34">
        <w:t xml:space="preserve">The primary judge found that each of the other Infringing Signs was deceptively similar to the 818 mark (the HENLEY PROPERTIES Device Mark): </w:t>
      </w:r>
      <w:proofErr w:type="gramStart"/>
      <w:r w:rsidR="002B1B34" w:rsidRPr="002B1B34">
        <w:t>J[</w:t>
      </w:r>
      <w:proofErr w:type="gramEnd"/>
      <w:r w:rsidR="002B1B34" w:rsidRPr="002B1B34">
        <w:t>480].</w:t>
      </w:r>
    </w:p>
    <w:p w14:paraId="32DF8DC3" w14:textId="018AA1FB" w:rsidR="002B1B34" w:rsidRPr="002B1B34" w:rsidRDefault="00BC7D85" w:rsidP="00BC7D85">
      <w:pPr>
        <w:pStyle w:val="ParaNumbering"/>
        <w:numPr>
          <w:ilvl w:val="0"/>
          <w:numId w:val="0"/>
        </w:numPr>
        <w:ind w:hanging="720"/>
      </w:pPr>
      <w:r w:rsidRPr="002B1B34">
        <w:rPr>
          <w:sz w:val="20"/>
        </w:rPr>
        <w:t>45</w:t>
      </w:r>
      <w:r w:rsidRPr="002B1B34">
        <w:rPr>
          <w:sz w:val="20"/>
        </w:rPr>
        <w:tab/>
      </w:r>
      <w:r w:rsidR="002B1B34" w:rsidRPr="002B1B34">
        <w:t>The primary judge found, further, that each of the other Infringing Signs was deceptively similar to each of the other registered marks—namely, the 819 mark (HENLEY WORLD OF HOMES) (J[482] – [485])</w:t>
      </w:r>
      <w:r w:rsidR="00154146">
        <w:t>,</w:t>
      </w:r>
      <w:r w:rsidR="002B1B34" w:rsidRPr="002B1B34">
        <w:t xml:space="preserve"> the 558 mark (HENLEY ESSENCE), the 561 mark (HENLEY RESERVE), and the 570 mark (HENLEY COLLECTION) (J[486] – 489]).</w:t>
      </w:r>
    </w:p>
    <w:p w14:paraId="454E3068" w14:textId="77777777" w:rsidR="002B1B34" w:rsidRPr="002B1B34" w:rsidRDefault="002B1B34" w:rsidP="00C67BDF">
      <w:pPr>
        <w:pStyle w:val="Heading2"/>
      </w:pPr>
      <w:bookmarkStart w:id="32" w:name="_Ref133418089"/>
      <w:r w:rsidRPr="002B1B34">
        <w:t xml:space="preserve">Claims under the ACL and the Trade Practices </w:t>
      </w:r>
      <w:r w:rsidR="00C67BDF">
        <w:t>Act</w:t>
      </w:r>
      <w:bookmarkEnd w:id="32"/>
    </w:p>
    <w:p w14:paraId="63A3D2F5" w14:textId="774DDFAB" w:rsidR="002B1B34" w:rsidRPr="002B1B34" w:rsidRDefault="00BC7D85" w:rsidP="00BC7D85">
      <w:pPr>
        <w:pStyle w:val="ParaNumbering"/>
        <w:numPr>
          <w:ilvl w:val="0"/>
          <w:numId w:val="0"/>
        </w:numPr>
        <w:ind w:hanging="720"/>
        <w:rPr>
          <w:b/>
        </w:rPr>
      </w:pPr>
      <w:r w:rsidRPr="002B1B34">
        <w:rPr>
          <w:sz w:val="20"/>
        </w:rPr>
        <w:t>46</w:t>
      </w:r>
      <w:r w:rsidRPr="002B1B34">
        <w:rPr>
          <w:sz w:val="20"/>
        </w:rPr>
        <w:tab/>
      </w:r>
      <w:r w:rsidR="002B1B34" w:rsidRPr="002B1B34">
        <w:t>The primary judge then turn</w:t>
      </w:r>
      <w:r w:rsidR="00C67BDF">
        <w:t>ed</w:t>
      </w:r>
      <w:r w:rsidR="002B1B34" w:rsidRPr="002B1B34">
        <w:t xml:space="preserve"> to consider the respondent’s case on misleading or deceptive conduct and false or misleading representations.  The respondent’s case was that Henley Constructions’ conduct in promoting itself using the </w:t>
      </w:r>
      <w:r w:rsidR="007E7A90">
        <w:t>signs HENLEY CONSTRUCTIONS</w:t>
      </w:r>
      <w:r w:rsidR="002528D2">
        <w:t xml:space="preserve"> and HENLEY</w:t>
      </w:r>
      <w:r w:rsidR="002B1B34" w:rsidRPr="002B1B34">
        <w:t xml:space="preserve"> (including as part of signs that incorporate one or both of those names) was misleading or deceptive in contravention of </w:t>
      </w:r>
      <w:r w:rsidR="002B1B34" w:rsidRPr="00586452">
        <w:t>s 18 of the ACL</w:t>
      </w:r>
      <w:r w:rsidR="002B1B34" w:rsidRPr="002B1B34">
        <w:t xml:space="preserve"> and constituted the making of representations in contravention of </w:t>
      </w:r>
      <w:proofErr w:type="spellStart"/>
      <w:r w:rsidR="002B1B34" w:rsidRPr="00586452">
        <w:t>ss</w:t>
      </w:r>
      <w:proofErr w:type="spellEnd"/>
      <w:r w:rsidR="002B1B34" w:rsidRPr="00586452">
        <w:t xml:space="preserve"> 29(1)(g) and 29(1)(h)</w:t>
      </w:r>
      <w:r w:rsidR="002B1B34" w:rsidRPr="002B1B34">
        <w:t xml:space="preserve">.  The respondent also relied on the corresponding provisions of the </w:t>
      </w:r>
      <w:r w:rsidR="002B1B34" w:rsidRPr="00586452">
        <w:t>Trade Practices Act (</w:t>
      </w:r>
      <w:proofErr w:type="spellStart"/>
      <w:r w:rsidR="002B1B34" w:rsidRPr="00586452">
        <w:t>ss</w:t>
      </w:r>
      <w:proofErr w:type="spellEnd"/>
      <w:r w:rsidR="002B1B34" w:rsidRPr="00586452">
        <w:t xml:space="preserve"> 52, 53(c) and 53(d))</w:t>
      </w:r>
      <w:r w:rsidR="002B1B34" w:rsidRPr="002B1B34">
        <w:t xml:space="preserve"> in relation to Henley Constructions’ conduct up to </w:t>
      </w:r>
      <w:r w:rsidR="004D3B6A">
        <w:t>the commencement of the ACL.  It is convenient to refer to the claims under the ACL and th</w:t>
      </w:r>
      <w:r w:rsidR="00971981">
        <w:t>e Trade Practices Act as, simply</w:t>
      </w:r>
      <w:r w:rsidR="004D3B6A">
        <w:t xml:space="preserve">, the </w:t>
      </w:r>
      <w:r w:rsidR="004D3B6A">
        <w:rPr>
          <w:b/>
        </w:rPr>
        <w:t>ACL claim</w:t>
      </w:r>
      <w:r w:rsidR="002B1B34" w:rsidRPr="002B1B34">
        <w:t xml:space="preserve">.  </w:t>
      </w:r>
    </w:p>
    <w:p w14:paraId="1EE0DE4B" w14:textId="1B611ACD" w:rsidR="002B1B34" w:rsidRPr="002B1B34" w:rsidRDefault="00BC7D85" w:rsidP="00BC7D85">
      <w:pPr>
        <w:pStyle w:val="ParaNumbering"/>
        <w:numPr>
          <w:ilvl w:val="0"/>
          <w:numId w:val="0"/>
        </w:numPr>
        <w:ind w:hanging="720"/>
      </w:pPr>
      <w:r w:rsidRPr="002B1B34">
        <w:rPr>
          <w:sz w:val="20"/>
        </w:rPr>
        <w:t>47</w:t>
      </w:r>
      <w:r w:rsidRPr="002B1B34">
        <w:rPr>
          <w:sz w:val="20"/>
        </w:rPr>
        <w:tab/>
      </w:r>
      <w:r w:rsidR="002B1B34" w:rsidRPr="002B1B34">
        <w:t>The respondent contended that the date for assessing its reputation</w:t>
      </w:r>
      <w:proofErr w:type="gramStart"/>
      <w:r w:rsidR="002B1B34" w:rsidRPr="002B1B34">
        <w:t>—which</w:t>
      </w:r>
      <w:proofErr w:type="gramEnd"/>
      <w:r w:rsidR="002B1B34" w:rsidRPr="002B1B34">
        <w:t xml:space="preserve"> was central to its case in this regard—was February 2007, when Henley Constructions commenced using its </w:t>
      </w:r>
      <w:r w:rsidR="002B1B34" w:rsidRPr="002B1B34">
        <w:lastRenderedPageBreak/>
        <w:t>name on invoices.  The respondent contended, alternatively, that the rel</w:t>
      </w:r>
      <w:r w:rsidR="008077DC">
        <w:t xml:space="preserve">evant date was February 2017. </w:t>
      </w:r>
    </w:p>
    <w:p w14:paraId="33BC9C31" w14:textId="34AAE6B2" w:rsidR="002B1B34" w:rsidRPr="002B1B34" w:rsidRDefault="00BC7D85" w:rsidP="00BC7D85">
      <w:pPr>
        <w:pStyle w:val="ParaNumbering"/>
        <w:numPr>
          <w:ilvl w:val="0"/>
          <w:numId w:val="0"/>
        </w:numPr>
        <w:ind w:hanging="720"/>
      </w:pPr>
      <w:r w:rsidRPr="002B1B34">
        <w:rPr>
          <w:sz w:val="20"/>
        </w:rPr>
        <w:t>48</w:t>
      </w:r>
      <w:r w:rsidRPr="002B1B34">
        <w:rPr>
          <w:sz w:val="20"/>
        </w:rPr>
        <w:tab/>
      </w:r>
      <w:r w:rsidR="002B1B34" w:rsidRPr="002B1B34">
        <w:t xml:space="preserve">The respondent’s case was that, at both dates, it had a significant reputation throughout Australia in the </w:t>
      </w:r>
      <w:r w:rsidR="002528D2">
        <w:t>HENLEY</w:t>
      </w:r>
      <w:r w:rsidR="002B1B34" w:rsidRPr="002B1B34">
        <w:t xml:space="preserve"> brand in respect of buildi</w:t>
      </w:r>
      <w:r w:rsidR="00EC4927">
        <w:t xml:space="preserve">ng and construction services. </w:t>
      </w:r>
    </w:p>
    <w:p w14:paraId="65C0DF70" w14:textId="457500C2" w:rsidR="002B1B34" w:rsidRPr="002B1B34" w:rsidRDefault="00BC7D85" w:rsidP="00BC7D85">
      <w:pPr>
        <w:pStyle w:val="ParaNumbering"/>
        <w:numPr>
          <w:ilvl w:val="0"/>
          <w:numId w:val="0"/>
        </w:numPr>
        <w:ind w:hanging="720"/>
      </w:pPr>
      <w:r w:rsidRPr="002B1B34">
        <w:rPr>
          <w:sz w:val="20"/>
        </w:rPr>
        <w:t>49</w:t>
      </w:r>
      <w:r w:rsidRPr="002B1B34">
        <w:rPr>
          <w:sz w:val="20"/>
        </w:rPr>
        <w:tab/>
      </w:r>
      <w:r w:rsidR="002B1B34" w:rsidRPr="002B1B34">
        <w:t>The appellan</w:t>
      </w:r>
      <w:r w:rsidR="00C67BDF">
        <w:t>ts accepted that a</w:t>
      </w:r>
      <w:r w:rsidR="002B1B34" w:rsidRPr="002B1B34">
        <w:t xml:space="preserve">t relevant times the respondent had a significant reputation in the </w:t>
      </w:r>
      <w:r w:rsidR="002528D2">
        <w:t>HENLEY</w:t>
      </w:r>
      <w:r w:rsidR="002B1B34" w:rsidRPr="002B1B34">
        <w:t xml:space="preserve"> brand in at least Victoria in respect of the building and construction of single detached houses and townhouses.  They contended, however, that this reputation did not extend to building homes in New South Wales and did not extend to the construction of multi-dwe</w:t>
      </w:r>
      <w:r w:rsidR="00EC4927">
        <w:t xml:space="preserve">lling residential apartments. </w:t>
      </w:r>
    </w:p>
    <w:p w14:paraId="3348AB26" w14:textId="10631DA5" w:rsidR="002B1B34" w:rsidRPr="002B1B34" w:rsidRDefault="00BC7D85" w:rsidP="00BC7D85">
      <w:pPr>
        <w:pStyle w:val="ParaNumbering"/>
        <w:numPr>
          <w:ilvl w:val="0"/>
          <w:numId w:val="0"/>
        </w:numPr>
        <w:ind w:hanging="720"/>
      </w:pPr>
      <w:r w:rsidRPr="002B1B34">
        <w:rPr>
          <w:sz w:val="20"/>
        </w:rPr>
        <w:t>50</w:t>
      </w:r>
      <w:r w:rsidRPr="002B1B34">
        <w:rPr>
          <w:sz w:val="20"/>
        </w:rPr>
        <w:tab/>
      </w:r>
      <w:r w:rsidR="002B1B34" w:rsidRPr="002B1B34">
        <w:t>Moreover, the appellants contended that the relevant date for assessing Henley Constructions’ conduct was December 2006, when Henley Constructions entered into a contract with a development company to build a multi-dwelling apartment bl</w:t>
      </w:r>
      <w:r w:rsidR="00C67BDF">
        <w:t xml:space="preserve">ock in Camperdown located </w:t>
      </w:r>
      <w:proofErr w:type="gramStart"/>
      <w:r w:rsidR="00C67BDF">
        <w:t xml:space="preserve">in </w:t>
      </w:r>
      <w:r w:rsidR="00EC4927">
        <w:t xml:space="preserve"> inner</w:t>
      </w:r>
      <w:proofErr w:type="gramEnd"/>
      <w:r w:rsidR="00EC4927">
        <w:t xml:space="preserve">-Western Sydney. </w:t>
      </w:r>
    </w:p>
    <w:p w14:paraId="05DA9405" w14:textId="3FBB52C5" w:rsidR="002B1B34" w:rsidRPr="002B1B34" w:rsidRDefault="00BC7D85" w:rsidP="00BC7D85">
      <w:pPr>
        <w:pStyle w:val="ParaNumbering"/>
        <w:numPr>
          <w:ilvl w:val="0"/>
          <w:numId w:val="0"/>
        </w:numPr>
        <w:ind w:hanging="720"/>
      </w:pPr>
      <w:r w:rsidRPr="002B1B34">
        <w:rPr>
          <w:sz w:val="20"/>
        </w:rPr>
        <w:t>51</w:t>
      </w:r>
      <w:r w:rsidRPr="002B1B34">
        <w:rPr>
          <w:sz w:val="20"/>
        </w:rPr>
        <w:tab/>
      </w:r>
      <w:r w:rsidR="002B1B34" w:rsidRPr="002B1B34">
        <w:t>The primary judge was satisfied that Henley Constructions commenced using its name in February 2007, as the respondent had contended.  His Honour was satisfied that there was no earlier use by He</w:t>
      </w:r>
      <w:r w:rsidR="00464E73">
        <w:t>nley Constructions of the sign HENLEY CONSTRUCTIONS</w:t>
      </w:r>
      <w:r w:rsidR="002B1B34" w:rsidRPr="002B1B34">
        <w:t xml:space="preserve"> as a </w:t>
      </w:r>
      <w:proofErr w:type="gramStart"/>
      <w:r w:rsidR="002B1B34" w:rsidRPr="002B1B34">
        <w:t>trade mark</w:t>
      </w:r>
      <w:proofErr w:type="gramEnd"/>
      <w:r w:rsidR="002B1B34" w:rsidRPr="002B1B34">
        <w:t xml:space="preserve"> in respect of buildi</w:t>
      </w:r>
      <w:r w:rsidR="00EC4927">
        <w:t xml:space="preserve">ng and construction services. </w:t>
      </w:r>
    </w:p>
    <w:p w14:paraId="2D6D34AC" w14:textId="14B004F8" w:rsidR="002B1B34" w:rsidRPr="002B1B34" w:rsidRDefault="00BC7D85" w:rsidP="00BC7D85">
      <w:pPr>
        <w:pStyle w:val="ParaNumbering"/>
        <w:numPr>
          <w:ilvl w:val="0"/>
          <w:numId w:val="0"/>
        </w:numPr>
        <w:ind w:hanging="720"/>
      </w:pPr>
      <w:r w:rsidRPr="002B1B34">
        <w:rPr>
          <w:sz w:val="20"/>
        </w:rPr>
        <w:t>52</w:t>
      </w:r>
      <w:r w:rsidRPr="002B1B34">
        <w:rPr>
          <w:sz w:val="20"/>
        </w:rPr>
        <w:tab/>
      </w:r>
      <w:r w:rsidR="002B1B34" w:rsidRPr="002B1B34">
        <w:t>The primary judge was also satisfied th</w:t>
      </w:r>
      <w:r w:rsidR="00C67BDF">
        <w:t>at, after Henley Constructions</w:t>
      </w:r>
      <w:r w:rsidR="002B1B34" w:rsidRPr="002B1B34">
        <w:t xml:space="preserve"> was put on notice of the respondent’s claims by a letter dated 13 April 2017 (see J[59]), Henley Constructions “ramped up” its marketin</w:t>
      </w:r>
      <w:r w:rsidR="00464E73">
        <w:t>g and promotion using the sign HENLEY CONSTRUCTIONS</w:t>
      </w:r>
      <w:r w:rsidR="002B1B34" w:rsidRPr="002B1B34">
        <w:t xml:space="preserve"> i</w:t>
      </w:r>
      <w:r w:rsidR="00464E73">
        <w:t>ncluding by enlarging the word HENLEY</w:t>
      </w:r>
      <w:r w:rsidR="002B1B34" w:rsidRPr="002B1B34">
        <w:t xml:space="preserve"> and by reducing th</w:t>
      </w:r>
      <w:r w:rsidR="00464E73">
        <w:t xml:space="preserve">e size of the descriptive word </w:t>
      </w:r>
      <w:r w:rsidR="002B1B34" w:rsidRPr="002B1B34">
        <w:t>CONST</w:t>
      </w:r>
      <w:r w:rsidR="00464E73">
        <w:t>RUCTIONS</w:t>
      </w:r>
      <w:r w:rsidR="00EC4927">
        <w:t xml:space="preserve">. </w:t>
      </w:r>
    </w:p>
    <w:p w14:paraId="518A6E72" w14:textId="71A9A872" w:rsidR="002B1B34" w:rsidRPr="002B1B34" w:rsidRDefault="00BC7D85" w:rsidP="00BC7D85">
      <w:pPr>
        <w:pStyle w:val="ParaNumbering"/>
        <w:numPr>
          <w:ilvl w:val="0"/>
          <w:numId w:val="0"/>
        </w:numPr>
        <w:ind w:hanging="720"/>
      </w:pPr>
      <w:r w:rsidRPr="002B1B34">
        <w:rPr>
          <w:sz w:val="20"/>
        </w:rPr>
        <w:t>53</w:t>
      </w:r>
      <w:r w:rsidRPr="002B1B34">
        <w:rPr>
          <w:sz w:val="20"/>
        </w:rPr>
        <w:tab/>
      </w:r>
      <w:r w:rsidR="002B1B34" w:rsidRPr="002B1B34">
        <w:t>The primary judge rejected the appellants’ submission that the respondent’s reputation did not extend to building homes in New South Wales and did not extend to the construction of multi-dwe</w:t>
      </w:r>
      <w:r w:rsidR="00EC4927">
        <w:t xml:space="preserve">lling residential apartments.  </w:t>
      </w:r>
      <w:r w:rsidR="002B1B34" w:rsidRPr="002B1B34">
        <w:t xml:space="preserve">The primary judge found that the respondent had a significant reputation throughout Victoria, Queensland and South Australia, which extended into New South Wales.  His Honour also found that this reputation was not limited to single dwelling detached homes but extended to multi-dwelling residential townhouses or, more generally, </w:t>
      </w:r>
      <w:r w:rsidR="00154146">
        <w:t xml:space="preserve">to the respondent </w:t>
      </w:r>
      <w:r w:rsidR="002B1B34" w:rsidRPr="002B1B34">
        <w:t>as a builder o</w:t>
      </w:r>
      <w:r w:rsidR="00EC4927">
        <w:t>f homes.</w:t>
      </w:r>
    </w:p>
    <w:p w14:paraId="46BBDB96" w14:textId="357F59ED" w:rsidR="002B1B34" w:rsidRPr="002B1B34" w:rsidRDefault="00BC7D85" w:rsidP="00BC7D85">
      <w:pPr>
        <w:pStyle w:val="ParaNumbering"/>
        <w:numPr>
          <w:ilvl w:val="0"/>
          <w:numId w:val="0"/>
        </w:numPr>
        <w:ind w:hanging="720"/>
      </w:pPr>
      <w:r w:rsidRPr="002B1B34">
        <w:rPr>
          <w:sz w:val="20"/>
        </w:rPr>
        <w:t>54</w:t>
      </w:r>
      <w:r w:rsidRPr="002B1B34">
        <w:rPr>
          <w:sz w:val="20"/>
        </w:rPr>
        <w:tab/>
      </w:r>
      <w:r w:rsidR="002B1B34" w:rsidRPr="002B1B34">
        <w:t>The primary judge also rejected the appellants’ submission that the Australian building industry is State and Terri</w:t>
      </w:r>
      <w:r w:rsidR="00EC4927">
        <w:t xml:space="preserve">tory based, and not national. </w:t>
      </w:r>
    </w:p>
    <w:p w14:paraId="2FE3F0F8" w14:textId="783F752E" w:rsidR="002B1B34" w:rsidRPr="002B1B34" w:rsidRDefault="00BC7D85" w:rsidP="00BC7D85">
      <w:pPr>
        <w:pStyle w:val="ParaNumbering"/>
        <w:numPr>
          <w:ilvl w:val="0"/>
          <w:numId w:val="0"/>
        </w:numPr>
        <w:ind w:hanging="720"/>
      </w:pPr>
      <w:r w:rsidRPr="002B1B34">
        <w:rPr>
          <w:sz w:val="20"/>
        </w:rPr>
        <w:lastRenderedPageBreak/>
        <w:t>55</w:t>
      </w:r>
      <w:r w:rsidRPr="002B1B34">
        <w:rPr>
          <w:sz w:val="20"/>
        </w:rPr>
        <w:tab/>
      </w:r>
      <w:r w:rsidR="002B1B34" w:rsidRPr="002B1B34">
        <w:t xml:space="preserve">Further, the primary judge did not accept the appellants’ submission that the respondent’s reputation was limited such that Henley </w:t>
      </w:r>
      <w:r w:rsidR="00464E73">
        <w:t>Constructions’ use of the sign HENLEY CONSTRUCTIONS</w:t>
      </w:r>
      <w:r w:rsidR="002B1B34" w:rsidRPr="002B1B34">
        <w:t xml:space="preserve"> in relation to the construction of multi-dwelling residential apartment buildin</w:t>
      </w:r>
      <w:r w:rsidR="00EC4927">
        <w:t xml:space="preserve">g would not lead to confusion.  </w:t>
      </w:r>
      <w:r w:rsidR="002B1B34" w:rsidRPr="002B1B34">
        <w:t xml:space="preserve">In this connection, the primary judge </w:t>
      </w:r>
      <w:proofErr w:type="gramStart"/>
      <w:r w:rsidR="002B1B34" w:rsidRPr="002B1B34">
        <w:t>was not persuaded</w:t>
      </w:r>
      <w:proofErr w:type="gramEnd"/>
      <w:r w:rsidR="002B1B34" w:rsidRPr="002B1B34">
        <w:t xml:space="preserve">, on the evidence, that the relevant class of the public would understand and appreciate the differences in construction between detached single dwelling homes, townhouses and multi-dwelling residential apartment buildings.  </w:t>
      </w:r>
    </w:p>
    <w:p w14:paraId="56A02E03" w14:textId="7086A39B" w:rsidR="002B1B34" w:rsidRPr="002B1B34" w:rsidRDefault="00BC7D85" w:rsidP="00BC7D85">
      <w:pPr>
        <w:pStyle w:val="ParaNumbering"/>
        <w:numPr>
          <w:ilvl w:val="0"/>
          <w:numId w:val="0"/>
        </w:numPr>
        <w:ind w:hanging="720"/>
      </w:pPr>
      <w:r w:rsidRPr="002B1B34">
        <w:rPr>
          <w:sz w:val="20"/>
        </w:rPr>
        <w:t>56</w:t>
      </w:r>
      <w:r w:rsidRPr="002B1B34">
        <w:rPr>
          <w:sz w:val="20"/>
        </w:rPr>
        <w:tab/>
      </w:r>
      <w:r w:rsidR="002B1B34" w:rsidRPr="002B1B34">
        <w:t>As to Henley Constructions’ conduct, the primary judge found that, between February 2007 and February 2</w:t>
      </w:r>
      <w:r w:rsidR="00464E73">
        <w:t>017, Henley Constructions used HENLEY CONSTRUCTIONS and HENLEY</w:t>
      </w:r>
      <w:r w:rsidR="002B1B34" w:rsidRPr="002B1B34">
        <w:t>, including as part of signage, in a “s</w:t>
      </w:r>
      <w:r w:rsidR="009B7FD4">
        <w:t xml:space="preserve">poradic and limited fashion”.  </w:t>
      </w:r>
      <w:r w:rsidR="002B1B34" w:rsidRPr="002B1B34">
        <w:t>From around February 2</w:t>
      </w:r>
      <w:r w:rsidR="00464E73">
        <w:t>017, Henley Constructions used HENLEY CONSTRUCTIONS and HENLEY</w:t>
      </w:r>
      <w:r w:rsidR="002B1B34" w:rsidRPr="002B1B34">
        <w:t xml:space="preserve"> in “an increasing manner”.  The primary judge accepted that, from February 2017, Henley Constructions sought to promote itself to a broader section of the public by escalating its marketing activity and by expanding the channels through which it advertised, including by w</w:t>
      </w:r>
      <w:r w:rsidR="00EC4927">
        <w:t xml:space="preserve">ay of social media platforms. </w:t>
      </w:r>
    </w:p>
    <w:p w14:paraId="5A1213B6" w14:textId="59C4DE07" w:rsidR="00230E06" w:rsidRDefault="00BC7D85" w:rsidP="00BC7D85">
      <w:pPr>
        <w:pStyle w:val="ParaNumbering"/>
        <w:numPr>
          <w:ilvl w:val="0"/>
          <w:numId w:val="0"/>
        </w:numPr>
        <w:ind w:hanging="720"/>
      </w:pPr>
      <w:r>
        <w:rPr>
          <w:sz w:val="20"/>
        </w:rPr>
        <w:t>57</w:t>
      </w:r>
      <w:r>
        <w:rPr>
          <w:sz w:val="20"/>
        </w:rPr>
        <w:tab/>
      </w:r>
      <w:r w:rsidR="002B1B34" w:rsidRPr="002B1B34">
        <w:t>In making those findings, the primary judge accepted that Henley Constructions had used the trade indicia particularised in the Particulars Table, on a number of the occa</w:t>
      </w:r>
      <w:r w:rsidR="009B7FD4">
        <w:t xml:space="preserve">sions identified in the table.  </w:t>
      </w:r>
      <w:r w:rsidR="002B1B34" w:rsidRPr="002B1B34">
        <w:t>The primary judge was satisfied that Henley Const</w:t>
      </w:r>
      <w:r w:rsidR="00230E06">
        <w:t xml:space="preserve">ructions had represented that:  </w:t>
      </w:r>
    </w:p>
    <w:p w14:paraId="028B192B" w14:textId="2D8EC914" w:rsidR="00230E06" w:rsidRDefault="00BC7D85" w:rsidP="00BC7D85">
      <w:pPr>
        <w:pStyle w:val="ListNo2"/>
        <w:numPr>
          <w:ilvl w:val="0"/>
          <w:numId w:val="0"/>
        </w:numPr>
        <w:tabs>
          <w:tab w:val="left" w:pos="1440"/>
        </w:tabs>
        <w:ind w:left="1440" w:hanging="720"/>
      </w:pPr>
      <w:r>
        <w:t>(a)</w:t>
      </w:r>
      <w:r>
        <w:tab/>
      </w:r>
      <w:proofErr w:type="gramStart"/>
      <w:r w:rsidR="00230E06">
        <w:t>it</w:t>
      </w:r>
      <w:proofErr w:type="gramEnd"/>
      <w:r w:rsidR="00230E06">
        <w:t xml:space="preserve"> was the respondent; </w:t>
      </w:r>
    </w:p>
    <w:p w14:paraId="2D513740" w14:textId="43304333" w:rsidR="00230E06" w:rsidRDefault="00BC7D85" w:rsidP="00BC7D85">
      <w:pPr>
        <w:pStyle w:val="ListNo2"/>
        <w:numPr>
          <w:ilvl w:val="0"/>
          <w:numId w:val="0"/>
        </w:numPr>
        <w:tabs>
          <w:tab w:val="left" w:pos="1440"/>
        </w:tabs>
        <w:ind w:left="1440" w:hanging="720"/>
      </w:pPr>
      <w:r>
        <w:t>(b)</w:t>
      </w:r>
      <w:r>
        <w:tab/>
      </w:r>
      <w:proofErr w:type="gramStart"/>
      <w:r w:rsidR="002B1B34" w:rsidRPr="002B1B34">
        <w:t>it</w:t>
      </w:r>
      <w:proofErr w:type="gramEnd"/>
      <w:r w:rsidR="002B1B34" w:rsidRPr="002B1B34">
        <w:t xml:space="preserve"> was affi</w:t>
      </w:r>
      <w:r w:rsidR="00230E06">
        <w:t xml:space="preserve">liated with the respondent; </w:t>
      </w:r>
    </w:p>
    <w:p w14:paraId="1FC167AC" w14:textId="5BB17DB4" w:rsidR="00230E06" w:rsidRDefault="00BC7D85" w:rsidP="00BC7D85">
      <w:pPr>
        <w:pStyle w:val="ListNo2"/>
        <w:numPr>
          <w:ilvl w:val="0"/>
          <w:numId w:val="0"/>
        </w:numPr>
        <w:tabs>
          <w:tab w:val="left" w:pos="1440"/>
        </w:tabs>
        <w:ind w:left="1440" w:hanging="720"/>
      </w:pPr>
      <w:r>
        <w:t>(c)</w:t>
      </w:r>
      <w:r>
        <w:tab/>
      </w:r>
      <w:proofErr w:type="gramStart"/>
      <w:r w:rsidR="002B1B34" w:rsidRPr="002B1B34">
        <w:t>it</w:t>
      </w:r>
      <w:proofErr w:type="gramEnd"/>
      <w:r w:rsidR="002B1B34" w:rsidRPr="002B1B34">
        <w:t xml:space="preserve"> was sponsored or </w:t>
      </w:r>
      <w:r w:rsidR="00230E06">
        <w:t xml:space="preserve">approved by the respondent; </w:t>
      </w:r>
    </w:p>
    <w:p w14:paraId="59B2FEA9" w14:textId="6A5BB812" w:rsidR="00230E06" w:rsidRDefault="00BC7D85" w:rsidP="00BC7D85">
      <w:pPr>
        <w:pStyle w:val="ListNo2"/>
        <w:numPr>
          <w:ilvl w:val="0"/>
          <w:numId w:val="0"/>
        </w:numPr>
        <w:tabs>
          <w:tab w:val="left" w:pos="1440"/>
        </w:tabs>
        <w:ind w:left="1440" w:hanging="720"/>
      </w:pPr>
      <w:r>
        <w:t>(d)</w:t>
      </w:r>
      <w:r>
        <w:tab/>
      </w:r>
      <w:proofErr w:type="gramStart"/>
      <w:r w:rsidR="002B1B34" w:rsidRPr="002B1B34">
        <w:t>it</w:t>
      </w:r>
      <w:r w:rsidR="00230E06">
        <w:t>s</w:t>
      </w:r>
      <w:proofErr w:type="gramEnd"/>
      <w:r w:rsidR="002B1B34" w:rsidRPr="002B1B34">
        <w:t xml:space="preserve"> services were provided by, or with the licence or au</w:t>
      </w:r>
      <w:r w:rsidR="00230E06">
        <w:t xml:space="preserve">thority of, the respondent; </w:t>
      </w:r>
    </w:p>
    <w:p w14:paraId="42E076AE" w14:textId="556A4EBE" w:rsidR="00230E06" w:rsidRDefault="00BC7D85" w:rsidP="00BC7D85">
      <w:pPr>
        <w:pStyle w:val="ListNo2"/>
        <w:numPr>
          <w:ilvl w:val="0"/>
          <w:numId w:val="0"/>
        </w:numPr>
        <w:tabs>
          <w:tab w:val="left" w:pos="1440"/>
        </w:tabs>
        <w:ind w:left="1440" w:hanging="720"/>
      </w:pPr>
      <w:r>
        <w:t>(e)</w:t>
      </w:r>
      <w:r>
        <w:tab/>
      </w:r>
      <w:proofErr w:type="gramStart"/>
      <w:r w:rsidR="002B1B34" w:rsidRPr="002B1B34">
        <w:t>its</w:t>
      </w:r>
      <w:proofErr w:type="gramEnd"/>
      <w:r w:rsidR="002B1B34" w:rsidRPr="002B1B34">
        <w:t xml:space="preserve"> services were affiliated </w:t>
      </w:r>
      <w:r w:rsidR="00230E06">
        <w:t xml:space="preserve">with the respondent; and/or </w:t>
      </w:r>
    </w:p>
    <w:p w14:paraId="3835D085" w14:textId="0880EF55" w:rsidR="002B1B34" w:rsidRPr="002B1B34" w:rsidRDefault="00BC7D85" w:rsidP="00BC7D85">
      <w:pPr>
        <w:pStyle w:val="ListNo2"/>
        <w:numPr>
          <w:ilvl w:val="0"/>
          <w:numId w:val="0"/>
        </w:numPr>
        <w:tabs>
          <w:tab w:val="left" w:pos="1440"/>
        </w:tabs>
        <w:ind w:left="1440" w:hanging="720"/>
      </w:pPr>
      <w:r w:rsidRPr="002B1B34">
        <w:t>(f)</w:t>
      </w:r>
      <w:r w:rsidRPr="002B1B34">
        <w:tab/>
      </w:r>
      <w:proofErr w:type="gramStart"/>
      <w:r w:rsidR="002B1B34" w:rsidRPr="002B1B34">
        <w:t>its</w:t>
      </w:r>
      <w:proofErr w:type="gramEnd"/>
      <w:r w:rsidR="002B1B34" w:rsidRPr="002B1B34">
        <w:t xml:space="preserve"> services were sponsored or approved by the respondent.  </w:t>
      </w:r>
    </w:p>
    <w:p w14:paraId="038D59F5" w14:textId="3A451D47" w:rsidR="002B1B34" w:rsidRPr="002B1B34" w:rsidRDefault="00BC7D85" w:rsidP="00BC7D85">
      <w:pPr>
        <w:pStyle w:val="ParaNumbering"/>
        <w:numPr>
          <w:ilvl w:val="0"/>
          <w:numId w:val="0"/>
        </w:numPr>
        <w:ind w:hanging="720"/>
      </w:pPr>
      <w:r w:rsidRPr="002B1B34">
        <w:rPr>
          <w:sz w:val="20"/>
        </w:rPr>
        <w:t>58</w:t>
      </w:r>
      <w:r w:rsidRPr="002B1B34">
        <w:rPr>
          <w:sz w:val="20"/>
        </w:rPr>
        <w:tab/>
      </w:r>
      <w:r w:rsidR="002B1B34" w:rsidRPr="002B1B34">
        <w:t>The primary judge noted his understanding that there was no dispute that, if made, these representations were false.  His Honour observed that, in any event, it was obvious that those representations, i</w:t>
      </w:r>
      <w:r w:rsidR="00EC4927">
        <w:t xml:space="preserve">f made, were false.  </w:t>
      </w:r>
    </w:p>
    <w:p w14:paraId="60C0C519" w14:textId="49681D9E" w:rsidR="002B1B34" w:rsidRPr="002B1B34" w:rsidRDefault="00BC7D85" w:rsidP="00BC7D85">
      <w:pPr>
        <w:pStyle w:val="ParaNumbering"/>
        <w:numPr>
          <w:ilvl w:val="0"/>
          <w:numId w:val="0"/>
        </w:numPr>
        <w:ind w:hanging="720"/>
      </w:pPr>
      <w:r w:rsidRPr="002B1B34">
        <w:rPr>
          <w:sz w:val="20"/>
        </w:rPr>
        <w:t>59</w:t>
      </w:r>
      <w:r w:rsidRPr="002B1B34">
        <w:rPr>
          <w:sz w:val="20"/>
        </w:rPr>
        <w:tab/>
      </w:r>
      <w:r w:rsidR="002B1B34" w:rsidRPr="002B1B34">
        <w:t>In light of his findings, the primary judge found that Henley Constructions had</w:t>
      </w:r>
      <w:r w:rsidR="00230E06">
        <w:t xml:space="preserve"> contravened </w:t>
      </w:r>
      <w:proofErr w:type="spellStart"/>
      <w:r w:rsidR="00230E06">
        <w:t>ss</w:t>
      </w:r>
      <w:proofErr w:type="spellEnd"/>
      <w:r w:rsidR="00230E06">
        <w:t> </w:t>
      </w:r>
      <w:r w:rsidR="002B1B34" w:rsidRPr="002B1B34">
        <w:t xml:space="preserve">18, 29(g), and 29(h) of the ACL and, at relevant times before </w:t>
      </w:r>
      <w:r w:rsidR="00230E06">
        <w:t xml:space="preserve">the </w:t>
      </w:r>
      <w:r w:rsidR="00154146">
        <w:t>commencement</w:t>
      </w:r>
      <w:r w:rsidR="00230E06">
        <w:t xml:space="preserve"> of the ACL, </w:t>
      </w:r>
      <w:proofErr w:type="spellStart"/>
      <w:r w:rsidR="00230E06">
        <w:t>ss</w:t>
      </w:r>
      <w:proofErr w:type="spellEnd"/>
      <w:r w:rsidR="00230E06">
        <w:t> </w:t>
      </w:r>
      <w:r w:rsidR="002B1B34" w:rsidRPr="002B1B34">
        <w:t>52, 53(c), and 53(d) of the Trade Practices Act.</w:t>
      </w:r>
    </w:p>
    <w:p w14:paraId="5E5639A8" w14:textId="77777777" w:rsidR="002B1B34" w:rsidRPr="002B1B34" w:rsidRDefault="00230E06" w:rsidP="00230E06">
      <w:pPr>
        <w:pStyle w:val="Heading2"/>
      </w:pPr>
      <w:bookmarkStart w:id="33" w:name="_Ref133418090"/>
      <w:r>
        <w:lastRenderedPageBreak/>
        <w:t>The trade mark defences</w:t>
      </w:r>
      <w:bookmarkEnd w:id="33"/>
      <w:r>
        <w:t xml:space="preserve"> </w:t>
      </w:r>
    </w:p>
    <w:p w14:paraId="2CEEB940" w14:textId="79F50FB2" w:rsidR="002B1B34" w:rsidRPr="002B1B34" w:rsidRDefault="00BC7D85" w:rsidP="00BC7D85">
      <w:pPr>
        <w:pStyle w:val="ParaNumbering"/>
        <w:numPr>
          <w:ilvl w:val="0"/>
          <w:numId w:val="0"/>
        </w:numPr>
        <w:ind w:hanging="720"/>
      </w:pPr>
      <w:r w:rsidRPr="002B1B34">
        <w:rPr>
          <w:sz w:val="20"/>
        </w:rPr>
        <w:t>60</w:t>
      </w:r>
      <w:r w:rsidRPr="002B1B34">
        <w:rPr>
          <w:sz w:val="20"/>
        </w:rPr>
        <w:tab/>
      </w:r>
      <w:r w:rsidR="002B1B34" w:rsidRPr="002B1B34">
        <w:t>The appellants contended that Henley Constructions had a defence under s 122(1</w:t>
      </w:r>
      <w:proofErr w:type="gramStart"/>
      <w:r w:rsidR="002B1B34" w:rsidRPr="002B1B34">
        <w:t>)(</w:t>
      </w:r>
      <w:proofErr w:type="gramEnd"/>
      <w:r w:rsidR="002B1B34" w:rsidRPr="002B1B34">
        <w:t>fa) of the Trade Marks Act to the respondent’s claims of infringement.</w:t>
      </w:r>
    </w:p>
    <w:p w14:paraId="5D459035" w14:textId="4F07D14B" w:rsidR="002B1B34" w:rsidRDefault="00BC7D85" w:rsidP="00BC7D85">
      <w:pPr>
        <w:pStyle w:val="ParaNumbering"/>
        <w:numPr>
          <w:ilvl w:val="0"/>
          <w:numId w:val="0"/>
        </w:numPr>
        <w:ind w:hanging="720"/>
      </w:pPr>
      <w:r>
        <w:rPr>
          <w:sz w:val="20"/>
        </w:rPr>
        <w:t>61</w:t>
      </w:r>
      <w:r>
        <w:rPr>
          <w:sz w:val="20"/>
        </w:rPr>
        <w:tab/>
      </w:r>
      <w:r w:rsidR="00AB49D1">
        <w:t>Section 122(1</w:t>
      </w:r>
      <w:proofErr w:type="gramStart"/>
      <w:r w:rsidR="00AB49D1">
        <w:t>)(</w:t>
      </w:r>
      <w:proofErr w:type="gramEnd"/>
      <w:r w:rsidR="00AB49D1">
        <w:t>fa) provides:</w:t>
      </w:r>
    </w:p>
    <w:p w14:paraId="50BA37CA" w14:textId="77777777" w:rsidR="00230E06" w:rsidRDefault="00230E06" w:rsidP="00230E06">
      <w:pPr>
        <w:pStyle w:val="Quote1"/>
        <w:tabs>
          <w:tab w:val="left" w:pos="1418"/>
        </w:tabs>
      </w:pPr>
      <w:r>
        <w:t xml:space="preserve">      (1)  </w:t>
      </w:r>
      <w:r>
        <w:tab/>
        <w:t xml:space="preserve">In spite of section 120, a person does not infringe a registered </w:t>
      </w:r>
      <w:proofErr w:type="gramStart"/>
      <w:r>
        <w:t>trade mark</w:t>
      </w:r>
      <w:proofErr w:type="gramEnd"/>
      <w:r>
        <w:t xml:space="preserve"> when:</w:t>
      </w:r>
    </w:p>
    <w:p w14:paraId="12FB27DD" w14:textId="77777777" w:rsidR="00230E06" w:rsidRDefault="003B2C85" w:rsidP="003B2C85">
      <w:pPr>
        <w:pStyle w:val="Quote2"/>
        <w:tabs>
          <w:tab w:val="left" w:pos="1985"/>
        </w:tabs>
        <w:ind w:left="1985" w:hanging="545"/>
      </w:pPr>
      <w:r>
        <w:t>…</w:t>
      </w:r>
    </w:p>
    <w:p w14:paraId="4834F6D7" w14:textId="77777777" w:rsidR="00230E06" w:rsidRDefault="00230E06" w:rsidP="00230E06">
      <w:pPr>
        <w:pStyle w:val="Quote2"/>
        <w:tabs>
          <w:tab w:val="left" w:pos="1985"/>
        </w:tabs>
      </w:pPr>
      <w:r>
        <w:t>(</w:t>
      </w:r>
      <w:proofErr w:type="gramStart"/>
      <w:r>
        <w:t>fa</w:t>
      </w:r>
      <w:proofErr w:type="gramEnd"/>
      <w:r>
        <w:t xml:space="preserve">)  </w:t>
      </w:r>
      <w:r>
        <w:tab/>
        <w:t>both:</w:t>
      </w:r>
    </w:p>
    <w:p w14:paraId="32EE80BB" w14:textId="77777777" w:rsidR="00230E06" w:rsidRDefault="00230E06" w:rsidP="00387D02">
      <w:pPr>
        <w:pStyle w:val="Quote3"/>
        <w:ind w:left="2880" w:hanging="720"/>
      </w:pPr>
      <w:r>
        <w:t>(</w:t>
      </w:r>
      <w:proofErr w:type="spellStart"/>
      <w:r>
        <w:t>i</w:t>
      </w:r>
      <w:proofErr w:type="spellEnd"/>
      <w:r>
        <w:t xml:space="preserve">)  </w:t>
      </w:r>
      <w:r w:rsidR="003B2C85">
        <w:tab/>
      </w:r>
      <w:proofErr w:type="gramStart"/>
      <w:r>
        <w:t>the</w:t>
      </w:r>
      <w:proofErr w:type="gramEnd"/>
      <w:r>
        <w:t xml:space="preserve"> person uses a trade mark that is substantially identical with, or deceptively similar to, the first-mentioned trade mark; and</w:t>
      </w:r>
    </w:p>
    <w:p w14:paraId="02CD4B9F" w14:textId="77777777" w:rsidR="00230E06" w:rsidRPr="002B1B34" w:rsidRDefault="00230E06" w:rsidP="00387D02">
      <w:pPr>
        <w:pStyle w:val="Quote3"/>
        <w:ind w:left="2880" w:hanging="720"/>
      </w:pPr>
      <w:r>
        <w:t xml:space="preserve">(ii)  </w:t>
      </w:r>
      <w:r w:rsidR="003B2C85">
        <w:tab/>
      </w:r>
      <w:proofErr w:type="gramStart"/>
      <w:r>
        <w:t>the</w:t>
      </w:r>
      <w:proofErr w:type="gramEnd"/>
      <w:r>
        <w:t xml:space="preserve"> court is of the opinion that the person would obtain registration of the substantially identical or deceptively similar trade mark in his or her name if the person were to apply for it; </w:t>
      </w:r>
      <w:r w:rsidR="003B2C85">
        <w:t>…</w:t>
      </w:r>
    </w:p>
    <w:p w14:paraId="18DAC365" w14:textId="43026C76" w:rsidR="002B1B34" w:rsidRPr="002B1B34" w:rsidRDefault="00BC7D85" w:rsidP="00BC7D85">
      <w:pPr>
        <w:pStyle w:val="ParaNumbering"/>
        <w:numPr>
          <w:ilvl w:val="0"/>
          <w:numId w:val="0"/>
        </w:numPr>
        <w:ind w:hanging="720"/>
      </w:pPr>
      <w:r w:rsidRPr="002B1B34">
        <w:rPr>
          <w:sz w:val="20"/>
        </w:rPr>
        <w:t>62</w:t>
      </w:r>
      <w:r w:rsidRPr="002B1B34">
        <w:rPr>
          <w:sz w:val="20"/>
        </w:rPr>
        <w:tab/>
      </w:r>
      <w:r w:rsidR="002B1B34" w:rsidRPr="002B1B34">
        <w:t>In essence, the appellants contended that Henley Constructions was entitled to registr</w:t>
      </w:r>
      <w:r w:rsidR="00464E73">
        <w:t>ation of the sign HENLEY CONSTRUCTIONS</w:t>
      </w:r>
      <w:r w:rsidR="002B1B34" w:rsidRPr="002B1B34">
        <w:t xml:space="preserve"> as a trade mark </w:t>
      </w:r>
      <w:r w:rsidR="000C6529">
        <w:t xml:space="preserve">in respect of </w:t>
      </w:r>
      <w:r w:rsidR="002B1B34" w:rsidRPr="002B1B34">
        <w:t xml:space="preserve">building and construction services or, alternatively, </w:t>
      </w:r>
      <w:r w:rsidR="000C6529">
        <w:t xml:space="preserve">in respect of </w:t>
      </w:r>
      <w:r w:rsidR="002B1B34" w:rsidRPr="002B1B34">
        <w:t xml:space="preserve">building and construction services </w:t>
      </w:r>
      <w:r w:rsidR="000C6529">
        <w:t xml:space="preserve">relating to </w:t>
      </w:r>
      <w:r w:rsidR="002B1B34" w:rsidRPr="002B1B34">
        <w:t>multi-dwelling residential apartments in New South Wales, if i</w:t>
      </w:r>
      <w:r w:rsidR="00EC4927">
        <w:t xml:space="preserve">t were to apply for that mark.  </w:t>
      </w:r>
      <w:r w:rsidR="002B1B34" w:rsidRPr="002B1B34">
        <w:t>The respondent disputed that enti</w:t>
      </w:r>
      <w:r w:rsidR="00EC4927">
        <w:t xml:space="preserve">tlement on a number of bases.  </w:t>
      </w:r>
    </w:p>
    <w:p w14:paraId="1B86A8C0" w14:textId="6E6565E1" w:rsidR="002B1B34" w:rsidRPr="002B1B34" w:rsidRDefault="00BC7D85" w:rsidP="00BC7D85">
      <w:pPr>
        <w:pStyle w:val="ParaNumbering"/>
        <w:numPr>
          <w:ilvl w:val="0"/>
          <w:numId w:val="0"/>
        </w:numPr>
        <w:ind w:hanging="720"/>
      </w:pPr>
      <w:r w:rsidRPr="002B1B34">
        <w:rPr>
          <w:sz w:val="20"/>
        </w:rPr>
        <w:t>63</w:t>
      </w:r>
      <w:r w:rsidRPr="002B1B34">
        <w:rPr>
          <w:sz w:val="20"/>
        </w:rPr>
        <w:tab/>
      </w:r>
      <w:r w:rsidR="002B1B34" w:rsidRPr="002B1B34">
        <w:t>The primary judge rejected that defence.  He did not accept that the appellants had established that Henley Construct</w:t>
      </w:r>
      <w:r w:rsidR="00464E73">
        <w:t>ions had the right to register HENLEY CONSTRUCTIONS</w:t>
      </w:r>
      <w:r w:rsidR="002B1B34" w:rsidRPr="002B1B34">
        <w:t xml:space="preserve"> as a trade mark, for the reasons given at </w:t>
      </w:r>
      <w:proofErr w:type="gramStart"/>
      <w:r w:rsidR="002B1B34" w:rsidRPr="002B1B34">
        <w:t>J[</w:t>
      </w:r>
      <w:proofErr w:type="gramEnd"/>
      <w:r w:rsidR="002B1B34" w:rsidRPr="002B1B34">
        <w:t>670] – [716].  There is no appeal against t</w:t>
      </w:r>
      <w:r w:rsidR="00EA3EB7">
        <w:t>he rejection of that defence.</w:t>
      </w:r>
    </w:p>
    <w:p w14:paraId="18049AEE" w14:textId="48DD5728" w:rsidR="002B1B34" w:rsidRDefault="00BC7D85" w:rsidP="00BC7D85">
      <w:pPr>
        <w:pStyle w:val="ParaNumbering"/>
        <w:numPr>
          <w:ilvl w:val="0"/>
          <w:numId w:val="0"/>
        </w:numPr>
        <w:ind w:hanging="720"/>
      </w:pPr>
      <w:r>
        <w:rPr>
          <w:sz w:val="20"/>
        </w:rPr>
        <w:t>64</w:t>
      </w:r>
      <w:r>
        <w:rPr>
          <w:sz w:val="20"/>
        </w:rPr>
        <w:tab/>
      </w:r>
      <w:r w:rsidR="002B1B34" w:rsidRPr="002B1B34">
        <w:t xml:space="preserve">The appellants contended that Henley Constructions also had a defence under </w:t>
      </w:r>
      <w:r w:rsidR="002B1B34" w:rsidRPr="00586452">
        <w:t>s 122</w:t>
      </w:r>
      <w:r w:rsidR="002B1B34" w:rsidRPr="002B1B34">
        <w:t>(1</w:t>
      </w:r>
      <w:proofErr w:type="gramStart"/>
      <w:r w:rsidR="002B1B34" w:rsidRPr="002B1B34">
        <w:t>)(</w:t>
      </w:r>
      <w:proofErr w:type="gramEnd"/>
      <w:r w:rsidR="002B1B34" w:rsidRPr="002B1B34">
        <w:t>a)(</w:t>
      </w:r>
      <w:proofErr w:type="spellStart"/>
      <w:r w:rsidR="002B1B34" w:rsidRPr="002B1B34">
        <w:t>i</w:t>
      </w:r>
      <w:proofErr w:type="spellEnd"/>
      <w:r w:rsidR="002B1B34" w:rsidRPr="002B1B34">
        <w:t>) of the Tra</w:t>
      </w:r>
      <w:r w:rsidR="00AB49D1">
        <w:t>de Marks Act, which provides:</w:t>
      </w:r>
    </w:p>
    <w:p w14:paraId="03B85363" w14:textId="77777777" w:rsidR="003B2C85" w:rsidRDefault="003B2C85" w:rsidP="003B2C85">
      <w:pPr>
        <w:pStyle w:val="Quote1"/>
        <w:tabs>
          <w:tab w:val="left" w:pos="1418"/>
        </w:tabs>
      </w:pPr>
      <w:r>
        <w:t xml:space="preserve">(1)  </w:t>
      </w:r>
      <w:r>
        <w:tab/>
        <w:t xml:space="preserve">In spite of section 120, a person does not infringe a registered </w:t>
      </w:r>
      <w:proofErr w:type="gramStart"/>
      <w:r>
        <w:t>trade mark</w:t>
      </w:r>
      <w:proofErr w:type="gramEnd"/>
      <w:r>
        <w:t xml:space="preserve"> when:</w:t>
      </w:r>
    </w:p>
    <w:p w14:paraId="5163B5E9" w14:textId="77777777" w:rsidR="003B2C85" w:rsidRDefault="003B2C85" w:rsidP="003B2C85">
      <w:pPr>
        <w:pStyle w:val="Quote2"/>
        <w:tabs>
          <w:tab w:val="left" w:pos="1985"/>
        </w:tabs>
      </w:pPr>
      <w:r>
        <w:t xml:space="preserve">(a)  </w:t>
      </w:r>
      <w:r>
        <w:tab/>
      </w:r>
      <w:proofErr w:type="gramStart"/>
      <w:r>
        <w:t>the</w:t>
      </w:r>
      <w:proofErr w:type="gramEnd"/>
      <w:r>
        <w:t xml:space="preserve"> person uses in good faith:</w:t>
      </w:r>
    </w:p>
    <w:p w14:paraId="79468747" w14:textId="77777777" w:rsidR="003B2C85" w:rsidRPr="002B1B34" w:rsidRDefault="003B2C85" w:rsidP="003B2C85">
      <w:pPr>
        <w:pStyle w:val="Quote3"/>
        <w:tabs>
          <w:tab w:val="left" w:pos="1985"/>
          <w:tab w:val="left" w:pos="2552"/>
        </w:tabs>
        <w:ind w:left="2552" w:hanging="567"/>
      </w:pPr>
      <w:r>
        <w:t>(</w:t>
      </w:r>
      <w:proofErr w:type="spellStart"/>
      <w:r>
        <w:t>i</w:t>
      </w:r>
      <w:proofErr w:type="spellEnd"/>
      <w:r>
        <w:t xml:space="preserve">)  </w:t>
      </w:r>
      <w:r>
        <w:tab/>
      </w:r>
      <w:proofErr w:type="gramStart"/>
      <w:r>
        <w:t>the</w:t>
      </w:r>
      <w:proofErr w:type="gramEnd"/>
      <w:r>
        <w:t xml:space="preserve"> person’s name or the name of the person’s place of business; …</w:t>
      </w:r>
    </w:p>
    <w:p w14:paraId="21C0B49E" w14:textId="7B46093D" w:rsidR="002B1B34" w:rsidRDefault="00BC7D85" w:rsidP="00BC7D85">
      <w:pPr>
        <w:pStyle w:val="ParaNumbering"/>
        <w:numPr>
          <w:ilvl w:val="0"/>
          <w:numId w:val="0"/>
        </w:numPr>
        <w:ind w:hanging="720"/>
      </w:pPr>
      <w:r>
        <w:rPr>
          <w:sz w:val="20"/>
        </w:rPr>
        <w:t>65</w:t>
      </w:r>
      <w:r>
        <w:rPr>
          <w:sz w:val="20"/>
        </w:rPr>
        <w:tab/>
      </w:r>
      <w:r w:rsidR="002B1B34" w:rsidRPr="002B1B34">
        <w:t>The primary judge rejected that defence, for the reasons given at J [747] – [757].  At J [747] –</w:t>
      </w:r>
      <w:r w:rsidR="00AB49D1">
        <w:t xml:space="preserve"> [748], the primary judge said:</w:t>
      </w:r>
    </w:p>
    <w:p w14:paraId="78DDD4C1" w14:textId="77777777" w:rsidR="003B2C85" w:rsidRDefault="003B2C85" w:rsidP="003B2C85">
      <w:pPr>
        <w:pStyle w:val="Quote1"/>
        <w:tabs>
          <w:tab w:val="left" w:pos="1418"/>
        </w:tabs>
        <w:ind w:left="1418" w:hanging="681"/>
      </w:pPr>
      <w:r w:rsidRPr="003B2C85">
        <w:t>747</w:t>
      </w:r>
      <w:r w:rsidRPr="003B2C85">
        <w:tab/>
        <w:t xml:space="preserve">Henley Constructions cannot succeed in establishing that it, at all times, </w:t>
      </w:r>
      <w:proofErr w:type="gramStart"/>
      <w:r w:rsidRPr="003B2C85">
        <w:t>used</w:t>
      </w:r>
      <w:proofErr w:type="gramEnd"/>
      <w:r w:rsidRPr="003B2C85">
        <w:t xml:space="preserve"> the name “Henley Constructions” and occasionally the name “Henley” in good faith as the name of its business: see Amended Defence, particulars to [19] and </w:t>
      </w:r>
      <w:r w:rsidRPr="003B2C85">
        <w:lastRenderedPageBreak/>
        <w:t xml:space="preserve">[34].  This is because, from its very first use on 10 February 2007, Mrs </w:t>
      </w:r>
      <w:proofErr w:type="spellStart"/>
      <w:r w:rsidRPr="003B2C85">
        <w:t>Sarkis</w:t>
      </w:r>
      <w:proofErr w:type="spellEnd"/>
      <w:r w:rsidRPr="003B2C85">
        <w:t xml:space="preserve">, Mr </w:t>
      </w:r>
      <w:proofErr w:type="spellStart"/>
      <w:r w:rsidRPr="003B2C85">
        <w:t>Sarkis</w:t>
      </w:r>
      <w:proofErr w:type="spellEnd"/>
      <w:r w:rsidRPr="003B2C85">
        <w:t xml:space="preserve"> and Henley Constructions knew of the existence of Henley Arch’s </w:t>
      </w:r>
      <w:proofErr w:type="gramStart"/>
      <w:r w:rsidRPr="003B2C85">
        <w:t>business which</w:t>
      </w:r>
      <w:proofErr w:type="gramEnd"/>
      <w:r w:rsidRPr="003B2C85">
        <w:t xml:space="preserve"> was promoted by use of the website www.henley.com.au and the “HENLEY PROPERTIES” Device Mark in connection with building and construction services.  I reject Mr and Mr </w:t>
      </w:r>
      <w:proofErr w:type="spellStart"/>
      <w:r w:rsidRPr="003B2C85">
        <w:t>Sarkis’s</w:t>
      </w:r>
      <w:proofErr w:type="spellEnd"/>
      <w:r w:rsidRPr="003B2C85">
        <w:t xml:space="preserve"> and Henley Constructions’ evidence that they did not know of the existence of Henley Arch’s business, its use of the website www.henley.com.au and its use of the “HENLEY PROPERTIES” Device Mark and the “HENLEY” trade mark in connection with the promotion of Henley Arch’s building and construction services.</w:t>
      </w:r>
      <w:r>
        <w:t xml:space="preserve"> </w:t>
      </w:r>
    </w:p>
    <w:p w14:paraId="7137FBA1" w14:textId="77777777" w:rsidR="003B2C85" w:rsidRPr="002B1B34" w:rsidRDefault="003B2C85" w:rsidP="003B2C85">
      <w:pPr>
        <w:pStyle w:val="Quote1"/>
        <w:tabs>
          <w:tab w:val="left" w:pos="1418"/>
        </w:tabs>
        <w:ind w:left="1418" w:hanging="681"/>
      </w:pPr>
      <w:proofErr w:type="gramStart"/>
      <w:r w:rsidRPr="003B2C85">
        <w:t>748</w:t>
      </w:r>
      <w:r w:rsidRPr="003B2C85">
        <w:tab/>
        <w:t>Furthermore, I find, on the evidence, that after being put on notice by Henley Arch’s cease and desist letter on 13 April 2017, Henley Constructions “ramped up” its promotional activity of the mark “HENLEY CONSTRUCTIONS” and, in a new logo, increased the size of the dominant word “Henley” and reduced the size of the descriptive word “Constructions” such that it became more likely that consumers would be confused in this regard.</w:t>
      </w:r>
      <w:proofErr w:type="gramEnd"/>
      <w:r w:rsidRPr="003B2C85">
        <w:t xml:space="preserve">  </w:t>
      </w:r>
    </w:p>
    <w:p w14:paraId="0BBD31B9" w14:textId="1B392B7D" w:rsidR="002B1B34" w:rsidRPr="002B1B34" w:rsidRDefault="00BC7D85" w:rsidP="00BC7D85">
      <w:pPr>
        <w:pStyle w:val="ParaNumbering"/>
        <w:numPr>
          <w:ilvl w:val="0"/>
          <w:numId w:val="0"/>
        </w:numPr>
        <w:ind w:hanging="720"/>
      </w:pPr>
      <w:r w:rsidRPr="002B1B34">
        <w:rPr>
          <w:sz w:val="20"/>
        </w:rPr>
        <w:t>66</w:t>
      </w:r>
      <w:r w:rsidRPr="002B1B34">
        <w:rPr>
          <w:sz w:val="20"/>
        </w:rPr>
        <w:tab/>
      </w:r>
      <w:r w:rsidR="002B1B34" w:rsidRPr="002B1B34">
        <w:t xml:space="preserve">There is no appeal against </w:t>
      </w:r>
      <w:r w:rsidR="00305755">
        <w:t>the rejection of that defence.</w:t>
      </w:r>
    </w:p>
    <w:p w14:paraId="74293EC6" w14:textId="43291C8D" w:rsidR="002B1B34" w:rsidRDefault="00BC7D85" w:rsidP="00BC7D85">
      <w:pPr>
        <w:pStyle w:val="ParaNumbering"/>
        <w:numPr>
          <w:ilvl w:val="0"/>
          <w:numId w:val="0"/>
        </w:numPr>
        <w:ind w:hanging="720"/>
      </w:pPr>
      <w:r>
        <w:rPr>
          <w:sz w:val="20"/>
        </w:rPr>
        <w:t>67</w:t>
      </w:r>
      <w:r>
        <w:rPr>
          <w:sz w:val="20"/>
        </w:rPr>
        <w:tab/>
      </w:r>
      <w:r w:rsidR="002B1B34" w:rsidRPr="002B1B34">
        <w:t>The appellants also relied on the “prior use” defence provided b</w:t>
      </w:r>
      <w:r w:rsidR="00AB49D1">
        <w:t xml:space="preserve">y </w:t>
      </w:r>
      <w:r w:rsidR="00AB49D1" w:rsidRPr="00586452">
        <w:t>s 124</w:t>
      </w:r>
      <w:r w:rsidR="00AB49D1">
        <w:t xml:space="preserve"> of the Trade Marks Act:</w:t>
      </w:r>
    </w:p>
    <w:p w14:paraId="6D5A3773" w14:textId="77777777" w:rsidR="001A51A1" w:rsidRPr="001A51A1" w:rsidRDefault="001A51A1" w:rsidP="00240C61">
      <w:pPr>
        <w:pStyle w:val="Quote1"/>
        <w:tabs>
          <w:tab w:val="left" w:pos="1418"/>
        </w:tabs>
        <w:ind w:left="1418" w:hanging="681"/>
        <w:rPr>
          <w:b/>
        </w:rPr>
      </w:pPr>
      <w:r>
        <w:rPr>
          <w:b/>
        </w:rPr>
        <w:t>124</w:t>
      </w:r>
      <w:r>
        <w:rPr>
          <w:b/>
        </w:rPr>
        <w:tab/>
        <w:t xml:space="preserve">Prior use of identical </w:t>
      </w:r>
      <w:proofErr w:type="gramStart"/>
      <w:r>
        <w:rPr>
          <w:b/>
        </w:rPr>
        <w:t>trade mark</w:t>
      </w:r>
      <w:proofErr w:type="gramEnd"/>
      <w:r>
        <w:rPr>
          <w:b/>
        </w:rPr>
        <w:t xml:space="preserve"> etc.</w:t>
      </w:r>
    </w:p>
    <w:p w14:paraId="390E2AFE" w14:textId="77777777" w:rsidR="00240C61" w:rsidRDefault="00240C61" w:rsidP="00240C61">
      <w:pPr>
        <w:pStyle w:val="Quote1"/>
        <w:tabs>
          <w:tab w:val="left" w:pos="1418"/>
        </w:tabs>
        <w:ind w:left="1418" w:hanging="681"/>
      </w:pPr>
      <w:r>
        <w:t xml:space="preserve">    (1)  </w:t>
      </w:r>
      <w:r>
        <w:tab/>
        <w:t xml:space="preserve">A person does not infringe a registered </w:t>
      </w:r>
      <w:proofErr w:type="gramStart"/>
      <w:r>
        <w:t>trade mark</w:t>
      </w:r>
      <w:proofErr w:type="gramEnd"/>
      <w:r>
        <w:t xml:space="preserve"> by using an unregistered trade mark that is substantially identical with, or deceptively similar to, the registered trade mark in relation to:</w:t>
      </w:r>
    </w:p>
    <w:p w14:paraId="6F94219F" w14:textId="77777777" w:rsidR="00240C61" w:rsidRDefault="00240C61" w:rsidP="00387D02">
      <w:pPr>
        <w:pStyle w:val="Quote2"/>
        <w:ind w:left="2160" w:hanging="720"/>
      </w:pPr>
      <w:r>
        <w:t xml:space="preserve">(a)  </w:t>
      </w:r>
      <w:r>
        <w:tab/>
      </w:r>
      <w:proofErr w:type="gramStart"/>
      <w:r w:rsidR="00C32226">
        <w:t>goods</w:t>
      </w:r>
      <w:proofErr w:type="gramEnd"/>
      <w:r w:rsidR="00C32226">
        <w:t xml:space="preserve"> similar to goods (</w:t>
      </w:r>
      <w:r w:rsidRPr="001A51A1">
        <w:rPr>
          <w:b/>
          <w:i/>
        </w:rPr>
        <w:t>registered</w:t>
      </w:r>
      <w:r w:rsidR="00C32226" w:rsidRPr="001A51A1">
        <w:rPr>
          <w:i/>
        </w:rPr>
        <w:t xml:space="preserve"> </w:t>
      </w:r>
      <w:r w:rsidR="00C32226" w:rsidRPr="001A51A1">
        <w:rPr>
          <w:b/>
          <w:i/>
        </w:rPr>
        <w:t>goods</w:t>
      </w:r>
      <w:r>
        <w:t>) in respect of which the trade mark is registered; or</w:t>
      </w:r>
    </w:p>
    <w:p w14:paraId="20DAB851" w14:textId="77777777" w:rsidR="00240C61" w:rsidRDefault="00240C61" w:rsidP="00387D02">
      <w:pPr>
        <w:pStyle w:val="Quote2"/>
        <w:ind w:left="2160" w:hanging="720"/>
      </w:pPr>
      <w:r>
        <w:t xml:space="preserve">(b)  </w:t>
      </w:r>
      <w:r>
        <w:tab/>
      </w:r>
      <w:proofErr w:type="gramStart"/>
      <w:r>
        <w:t>services</w:t>
      </w:r>
      <w:proofErr w:type="gramEnd"/>
      <w:r>
        <w:t xml:space="preserve"> closely related to registered goods; or</w:t>
      </w:r>
    </w:p>
    <w:p w14:paraId="01DDB01B" w14:textId="77777777" w:rsidR="00240C61" w:rsidRDefault="00240C61" w:rsidP="00387D02">
      <w:pPr>
        <w:pStyle w:val="Quote2"/>
        <w:ind w:left="2160" w:hanging="720"/>
      </w:pPr>
      <w:r>
        <w:t xml:space="preserve">(c)  </w:t>
      </w:r>
      <w:r>
        <w:tab/>
      </w:r>
      <w:proofErr w:type="gramStart"/>
      <w:r w:rsidR="00C32226">
        <w:t>services</w:t>
      </w:r>
      <w:proofErr w:type="gramEnd"/>
      <w:r w:rsidR="00C32226">
        <w:t xml:space="preserve"> similar to services (</w:t>
      </w:r>
      <w:r w:rsidRPr="001A51A1">
        <w:rPr>
          <w:b/>
          <w:i/>
        </w:rPr>
        <w:t>registered</w:t>
      </w:r>
      <w:r w:rsidR="00C32226" w:rsidRPr="001A51A1">
        <w:rPr>
          <w:i/>
        </w:rPr>
        <w:t xml:space="preserve"> </w:t>
      </w:r>
      <w:r w:rsidR="00C32226" w:rsidRPr="001A51A1">
        <w:rPr>
          <w:b/>
          <w:i/>
        </w:rPr>
        <w:t>services</w:t>
      </w:r>
      <w:r>
        <w:t>) in respect of which the trade mark is registered; or</w:t>
      </w:r>
    </w:p>
    <w:p w14:paraId="30B9A386" w14:textId="77777777" w:rsidR="00240C61" w:rsidRDefault="00240C61" w:rsidP="00387D02">
      <w:pPr>
        <w:pStyle w:val="Quote2"/>
      </w:pPr>
      <w:r>
        <w:t xml:space="preserve">(d)  </w:t>
      </w:r>
      <w:r>
        <w:tab/>
      </w:r>
      <w:proofErr w:type="gramStart"/>
      <w:r>
        <w:t>goods</w:t>
      </w:r>
      <w:proofErr w:type="gramEnd"/>
      <w:r>
        <w:t xml:space="preserve"> closely related to registered services;</w:t>
      </w:r>
    </w:p>
    <w:p w14:paraId="5CC3097F" w14:textId="77777777" w:rsidR="00240C61" w:rsidRDefault="00240C61" w:rsidP="00387D02">
      <w:pPr>
        <w:pStyle w:val="Quote2"/>
      </w:pPr>
      <w:proofErr w:type="gramStart"/>
      <w:r>
        <w:t>if</w:t>
      </w:r>
      <w:proofErr w:type="gramEnd"/>
      <w:r>
        <w:t xml:space="preserve"> the person, or the person and the person's predecessor in title, have continuously used in the course of trade the unregistered trade mark in relation to those goods or services from a time before:</w:t>
      </w:r>
    </w:p>
    <w:p w14:paraId="4150385C" w14:textId="77777777" w:rsidR="00240C61" w:rsidRDefault="00240C61" w:rsidP="00387D02">
      <w:pPr>
        <w:pStyle w:val="Quote2"/>
      </w:pPr>
      <w:r>
        <w:t xml:space="preserve">(e) </w:t>
      </w:r>
      <w:r>
        <w:tab/>
        <w:t xml:space="preserve"> </w:t>
      </w:r>
      <w:proofErr w:type="gramStart"/>
      <w:r>
        <w:t>the</w:t>
      </w:r>
      <w:proofErr w:type="gramEnd"/>
      <w:r>
        <w:t xml:space="preserve"> date of registration of the registered trade mark; or</w:t>
      </w:r>
    </w:p>
    <w:p w14:paraId="3D8EF87D" w14:textId="77777777" w:rsidR="00240C61" w:rsidRDefault="00240C61" w:rsidP="00387D02">
      <w:pPr>
        <w:pStyle w:val="Quote2"/>
        <w:ind w:left="2160" w:hanging="720"/>
      </w:pPr>
      <w:r>
        <w:t xml:space="preserve">(f)  </w:t>
      </w:r>
      <w:r>
        <w:tab/>
      </w:r>
      <w:proofErr w:type="gramStart"/>
      <w:r>
        <w:t>the</w:t>
      </w:r>
      <w:proofErr w:type="gramEnd"/>
      <w:r>
        <w:t xml:space="preserve"> registered owner of the registered trade mark, or a predecessor in title, or a person who was a registered user of the trade mark under the repealed Act, first used the trade mark;</w:t>
      </w:r>
    </w:p>
    <w:p w14:paraId="30DFAFCC" w14:textId="77777777" w:rsidR="00240C61" w:rsidRDefault="00240C61" w:rsidP="00240C61">
      <w:pPr>
        <w:pStyle w:val="Quote2"/>
      </w:pPr>
      <w:proofErr w:type="gramStart"/>
      <w:r>
        <w:t>whichever</w:t>
      </w:r>
      <w:proofErr w:type="gramEnd"/>
      <w:r>
        <w:t xml:space="preserve"> is earlier.</w:t>
      </w:r>
    </w:p>
    <w:p w14:paraId="1067FD87" w14:textId="77777777" w:rsidR="00240C61" w:rsidRPr="00B737BF" w:rsidRDefault="00240C61" w:rsidP="00240C61">
      <w:pPr>
        <w:pStyle w:val="Quote2"/>
        <w:rPr>
          <w:sz w:val="20"/>
        </w:rPr>
      </w:pPr>
      <w:r w:rsidRPr="00B737BF">
        <w:rPr>
          <w:sz w:val="20"/>
        </w:rPr>
        <w:t xml:space="preserve">Note 1:       For </w:t>
      </w:r>
      <w:r w:rsidRPr="001A51A1">
        <w:rPr>
          <w:b/>
          <w:i/>
          <w:sz w:val="20"/>
        </w:rPr>
        <w:t>deceptively similar</w:t>
      </w:r>
      <w:r w:rsidRPr="00B737BF">
        <w:rPr>
          <w:sz w:val="20"/>
        </w:rPr>
        <w:t xml:space="preserve"> see section 10.</w:t>
      </w:r>
    </w:p>
    <w:p w14:paraId="0075E469" w14:textId="77777777" w:rsidR="00240C61" w:rsidRPr="00B737BF" w:rsidRDefault="00240C61" w:rsidP="00240C61">
      <w:pPr>
        <w:pStyle w:val="Quote2"/>
        <w:rPr>
          <w:sz w:val="20"/>
        </w:rPr>
      </w:pPr>
      <w:r w:rsidRPr="00B737BF">
        <w:rPr>
          <w:sz w:val="20"/>
        </w:rPr>
        <w:t xml:space="preserve">Note 2:       For </w:t>
      </w:r>
      <w:r w:rsidRPr="001A51A1">
        <w:rPr>
          <w:b/>
          <w:i/>
          <w:sz w:val="20"/>
        </w:rPr>
        <w:t>predecessor in title</w:t>
      </w:r>
      <w:r w:rsidRPr="00B737BF">
        <w:rPr>
          <w:sz w:val="20"/>
        </w:rPr>
        <w:t xml:space="preserve"> and </w:t>
      </w:r>
      <w:r w:rsidRPr="001A51A1">
        <w:rPr>
          <w:b/>
          <w:i/>
          <w:sz w:val="20"/>
        </w:rPr>
        <w:t>date of registration</w:t>
      </w:r>
      <w:r w:rsidRPr="00B737BF">
        <w:rPr>
          <w:sz w:val="20"/>
        </w:rPr>
        <w:t xml:space="preserve"> see section 6.</w:t>
      </w:r>
    </w:p>
    <w:p w14:paraId="45C844BF" w14:textId="77777777" w:rsidR="00240C61" w:rsidRPr="002B1B34" w:rsidRDefault="00240C61" w:rsidP="00240C61">
      <w:pPr>
        <w:pStyle w:val="Quote1"/>
        <w:tabs>
          <w:tab w:val="left" w:pos="1418"/>
        </w:tabs>
        <w:ind w:left="1418" w:hanging="681"/>
      </w:pPr>
      <w:r>
        <w:t xml:space="preserve">(2)  </w:t>
      </w:r>
      <w:r>
        <w:tab/>
        <w:t xml:space="preserve">If the unregistered </w:t>
      </w:r>
      <w:proofErr w:type="gramStart"/>
      <w:r>
        <w:t>trade mark</w:t>
      </w:r>
      <w:proofErr w:type="gramEnd"/>
      <w:r>
        <w:t xml:space="preserve"> has continuously been used only in a particular area of Australia, subsection (1) applies only to the use of the trade mark by the person in that area.</w:t>
      </w:r>
    </w:p>
    <w:p w14:paraId="2F021A7F" w14:textId="001F1303" w:rsidR="002B1B34" w:rsidRPr="002B1B34" w:rsidRDefault="00BC7D85" w:rsidP="00BC7D85">
      <w:pPr>
        <w:pStyle w:val="ParaNumbering"/>
        <w:numPr>
          <w:ilvl w:val="0"/>
          <w:numId w:val="0"/>
        </w:numPr>
        <w:ind w:hanging="720"/>
      </w:pPr>
      <w:r w:rsidRPr="002B1B34">
        <w:rPr>
          <w:sz w:val="20"/>
        </w:rPr>
        <w:lastRenderedPageBreak/>
        <w:t>68</w:t>
      </w:r>
      <w:r w:rsidRPr="002B1B34">
        <w:rPr>
          <w:sz w:val="20"/>
        </w:rPr>
        <w:tab/>
      </w:r>
      <w:r w:rsidR="002B1B34" w:rsidRPr="002B1B34">
        <w:t xml:space="preserve">This defence was limited to the claims of infringement of the 558 mark (HENLEY ESSENCE), the 561 mark (HENLEY RESERVE), and the 570 mark (HENLEY COLLECTION), being the marks registered with effect from 2 November 2016.  The primary judge noted that the appellants made no claim of prior </w:t>
      </w:r>
      <w:r w:rsidR="00464E73">
        <w:t>use by Henley Constructions of HENLEY</w:t>
      </w:r>
      <w:r w:rsidR="002B1B34" w:rsidRPr="002B1B34">
        <w:t>, alone, as a trade mark given that the appellants had denied that Henley Co</w:t>
      </w:r>
      <w:r w:rsidR="00464E73">
        <w:t>nstructions had, in fact, used HENLEY</w:t>
      </w:r>
      <w:r w:rsidR="00EC4927">
        <w:t xml:space="preserve"> as a </w:t>
      </w:r>
      <w:proofErr w:type="gramStart"/>
      <w:r w:rsidR="00EC4927">
        <w:t>trade mark</w:t>
      </w:r>
      <w:proofErr w:type="gramEnd"/>
      <w:r w:rsidR="00EC4927">
        <w:t xml:space="preserve">.  </w:t>
      </w:r>
    </w:p>
    <w:p w14:paraId="7EBF4789" w14:textId="740BB4AC" w:rsidR="002B1B34" w:rsidRPr="002B1B34" w:rsidRDefault="00BC7D85" w:rsidP="00BC7D85">
      <w:pPr>
        <w:pStyle w:val="ParaNumbering"/>
        <w:numPr>
          <w:ilvl w:val="0"/>
          <w:numId w:val="0"/>
        </w:numPr>
        <w:ind w:hanging="720"/>
      </w:pPr>
      <w:r w:rsidRPr="002B1B34">
        <w:rPr>
          <w:sz w:val="20"/>
        </w:rPr>
        <w:t>69</w:t>
      </w:r>
      <w:r w:rsidRPr="002B1B34">
        <w:rPr>
          <w:sz w:val="20"/>
        </w:rPr>
        <w:tab/>
      </w:r>
      <w:r w:rsidR="002B1B34" w:rsidRPr="002B1B34">
        <w:t>The primary judge was satisfied that</w:t>
      </w:r>
      <w:r w:rsidR="00370530">
        <w:t xml:space="preserve"> Henley Constructions had used HENLEY CONSTRUCTIONS</w:t>
      </w:r>
      <w:r w:rsidR="002B1B34" w:rsidRPr="002B1B34">
        <w:t xml:space="preserve"> in relation to services that were similar to, or the same as, the services in respect of which the 2016 registered marks were reg</w:t>
      </w:r>
      <w:r w:rsidR="00154146">
        <w:t>istered.  He was also satisfied</w:t>
      </w:r>
      <w:r w:rsidR="002B1B34" w:rsidRPr="002B1B34">
        <w:t xml:space="preserve"> that Henley Constructions had continuously used the mark</w:t>
      </w:r>
      <w:r w:rsidR="007D46B1">
        <w:t xml:space="preserve"> HENLEY</w:t>
      </w:r>
      <w:r w:rsidR="00523674">
        <w:t xml:space="preserve"> CONSTRUCTIONS</w:t>
      </w:r>
      <w:r w:rsidR="002B1B34" w:rsidRPr="002B1B34">
        <w:t xml:space="preserve"> in rela</w:t>
      </w:r>
      <w:r w:rsidR="00370530">
        <w:t>tion to those services before 2 </w:t>
      </w:r>
      <w:r w:rsidR="00EC4927">
        <w:t xml:space="preserve">November 2016.  </w:t>
      </w:r>
      <w:r w:rsidR="002B1B34" w:rsidRPr="002B1B34">
        <w:t>However, the primary judge was not satisfied that Henley Constr</w:t>
      </w:r>
      <w:r w:rsidR="00370530">
        <w:t>uctions had used HENLEY CONSTRUCTIONS</w:t>
      </w:r>
      <w:r w:rsidR="002B1B34" w:rsidRPr="002B1B34">
        <w:t xml:space="preserve"> before the respondent “</w:t>
      </w:r>
      <w:r w:rsidR="00523674">
        <w:t>first used</w:t>
      </w:r>
      <w:r w:rsidR="00C32226">
        <w:t xml:space="preserve"> </w:t>
      </w:r>
      <w:r w:rsidR="00523674">
        <w:t>the</w:t>
      </w:r>
      <w:r w:rsidR="00B737BF">
        <w:t xml:space="preserve"> trade mark</w:t>
      </w:r>
      <w:r w:rsidR="00523674">
        <w:t>”</w:t>
      </w:r>
      <w:r w:rsidR="00B737BF">
        <w:t>: s </w:t>
      </w:r>
      <w:r w:rsidR="002B1B34" w:rsidRPr="002B1B34">
        <w:t>124(1</w:t>
      </w:r>
      <w:proofErr w:type="gramStart"/>
      <w:r w:rsidR="002B1B34" w:rsidRPr="002B1B34">
        <w:t>)(</w:t>
      </w:r>
      <w:proofErr w:type="gramEnd"/>
      <w:r w:rsidR="002B1B34" w:rsidRPr="002B1B34">
        <w:t>f).</w:t>
      </w:r>
      <w:r w:rsidR="00523674">
        <w:t xml:space="preserve">  It is clear that, here, the primary judge considered the “trade mark” for the purposes of s 124(1</w:t>
      </w:r>
      <w:proofErr w:type="gramStart"/>
      <w:r w:rsidR="00523674">
        <w:t>)(</w:t>
      </w:r>
      <w:proofErr w:type="gramEnd"/>
      <w:r w:rsidR="00523674">
        <w:t>f) of the Trade Marks Act to be HENLEY, not HENLEY ESSENCE, HENLEY RESERVE, or HENLEY COLLECTION.</w:t>
      </w:r>
    </w:p>
    <w:p w14:paraId="0B2844F7" w14:textId="77FE5B91" w:rsidR="002B1B34" w:rsidRDefault="00BC7D85" w:rsidP="00BC7D85">
      <w:pPr>
        <w:pStyle w:val="ParaNumbering"/>
        <w:numPr>
          <w:ilvl w:val="0"/>
          <w:numId w:val="0"/>
        </w:numPr>
        <w:ind w:hanging="720"/>
      </w:pPr>
      <w:r>
        <w:rPr>
          <w:sz w:val="20"/>
        </w:rPr>
        <w:t>70</w:t>
      </w:r>
      <w:r>
        <w:rPr>
          <w:sz w:val="20"/>
        </w:rPr>
        <w:tab/>
      </w:r>
      <w:r w:rsidR="002B1B34" w:rsidRPr="002B1B34">
        <w:t xml:space="preserve">In reaching a conclusion, the primary judge called in aid </w:t>
      </w:r>
      <w:r w:rsidR="002B1B34" w:rsidRPr="00586452">
        <w:t>s 7</w:t>
      </w:r>
      <w:r w:rsidR="002B1B34" w:rsidRPr="002B1B34">
        <w:t>(1) of the T</w:t>
      </w:r>
      <w:r w:rsidR="00AB49D1">
        <w:t>rade Marks Act, which provides:</w:t>
      </w:r>
    </w:p>
    <w:p w14:paraId="22EA6451" w14:textId="77777777" w:rsidR="00C32226" w:rsidRDefault="00C32226" w:rsidP="00C32226">
      <w:pPr>
        <w:pStyle w:val="Quote1"/>
        <w:tabs>
          <w:tab w:val="left" w:pos="1418"/>
        </w:tabs>
        <w:ind w:left="1418" w:hanging="681"/>
      </w:pPr>
      <w:r>
        <w:t xml:space="preserve"> </w:t>
      </w:r>
      <w:proofErr w:type="gramStart"/>
      <w:r>
        <w:t xml:space="preserve">(1)  </w:t>
      </w:r>
      <w:r>
        <w:tab/>
        <w:t>If the Registrar or a prescribed court, having regard to the circumstances of a particular case, thinks fit, the Registrar or the court may decide that a person has used a trade mark if it is established that the person has used the trade mark with additions or alterations that do not substantially affect the identity of the trade mark.</w:t>
      </w:r>
      <w:proofErr w:type="gramEnd"/>
    </w:p>
    <w:p w14:paraId="15172DD4" w14:textId="77777777" w:rsidR="00C32226" w:rsidRPr="00C32226" w:rsidRDefault="00C32226" w:rsidP="001A51A1">
      <w:pPr>
        <w:pStyle w:val="Quote2"/>
      </w:pPr>
      <w:r w:rsidRPr="00C32226">
        <w:t xml:space="preserve">Note:  </w:t>
      </w:r>
      <w:r w:rsidRPr="00C32226">
        <w:tab/>
        <w:t xml:space="preserve">For </w:t>
      </w:r>
      <w:r w:rsidRPr="001A51A1">
        <w:rPr>
          <w:b/>
          <w:i/>
        </w:rPr>
        <w:t xml:space="preserve">prescribed </w:t>
      </w:r>
      <w:proofErr w:type="gramStart"/>
      <w:r w:rsidRPr="001A51A1">
        <w:rPr>
          <w:b/>
          <w:i/>
        </w:rPr>
        <w:t>court</w:t>
      </w:r>
      <w:proofErr w:type="gramEnd"/>
      <w:r w:rsidRPr="00C32226">
        <w:t xml:space="preserve"> see section 190.</w:t>
      </w:r>
    </w:p>
    <w:p w14:paraId="3545CC8C" w14:textId="2FF8D489" w:rsidR="002B1B34" w:rsidRDefault="00BC7D85" w:rsidP="00BC7D85">
      <w:pPr>
        <w:pStyle w:val="ParaNumbering"/>
        <w:numPr>
          <w:ilvl w:val="0"/>
          <w:numId w:val="0"/>
        </w:numPr>
        <w:ind w:hanging="720"/>
      </w:pPr>
      <w:r>
        <w:rPr>
          <w:sz w:val="20"/>
        </w:rPr>
        <w:t>71</w:t>
      </w:r>
      <w:r>
        <w:rPr>
          <w:sz w:val="20"/>
        </w:rPr>
        <w:tab/>
      </w:r>
      <w:r w:rsidR="002B1B34" w:rsidRPr="002B1B34">
        <w:t xml:space="preserve">At </w:t>
      </w:r>
      <w:proofErr w:type="gramStart"/>
      <w:r w:rsidR="002B1B34" w:rsidRPr="002B1B34">
        <w:t>J[</w:t>
      </w:r>
      <w:proofErr w:type="gramEnd"/>
      <w:r w:rsidR="002B1B34" w:rsidRPr="002B1B34">
        <w:t>768] – [77</w:t>
      </w:r>
      <w:r w:rsidR="00AB49D1">
        <w:t>0], the primary judge reasoned:</w:t>
      </w:r>
    </w:p>
    <w:p w14:paraId="51C4E8FB" w14:textId="77777777" w:rsidR="00087F66" w:rsidRDefault="00087F66" w:rsidP="00087F66">
      <w:pPr>
        <w:pStyle w:val="Quote1"/>
        <w:tabs>
          <w:tab w:val="left" w:pos="1418"/>
        </w:tabs>
        <w:ind w:left="1418" w:hanging="681"/>
      </w:pPr>
      <w:r>
        <w:t>768</w:t>
      </w:r>
      <w:r>
        <w:tab/>
        <w:t xml:space="preserve">In this respect, the priority date for the “HENLEY” registered mark is 18 December 2006.  Henley Arch has continuously used the “HENLEY” registered mark at least since that date.  As I have already stated above, in my view, each of the 2016 registered marks </w:t>
      </w:r>
      <w:proofErr w:type="gramStart"/>
      <w:r>
        <w:t>is dominated</w:t>
      </w:r>
      <w:proofErr w:type="gramEnd"/>
      <w:r>
        <w:t xml:space="preserve"> visually by the word “Henley”, it being the first and distinctive word in the mark followed by a descriptive term such as “Collection” being descriptive of building and construction services such as a collection of homes.  Henley with the descriptive term “Reserve” refers to building and construction </w:t>
      </w:r>
      <w:proofErr w:type="gramStart"/>
      <w:r>
        <w:t>services which</w:t>
      </w:r>
      <w:proofErr w:type="gramEnd"/>
      <w:r>
        <w:t xml:space="preserve"> are special.  Henley with the descriptive term “Essence” refers to the essence or essential building and construction services.  In other words, each of the 2016 registered marks predominantly uses the dominant memorable feature, being the word “Henley” alone, with the addition of a formal, descriptive word.  The use of the 2016 registered marks, in my view, constitutes use of “HENLEY” with an addition or alteration that does not substantially affect the identity of the </w:t>
      </w:r>
      <w:proofErr w:type="gramStart"/>
      <w:r>
        <w:t>trade mark</w:t>
      </w:r>
      <w:proofErr w:type="gramEnd"/>
      <w:r>
        <w:t xml:space="preserve"> “HENLEY”.  In my view, “HENLEY </w:t>
      </w:r>
      <w:r>
        <w:lastRenderedPageBreak/>
        <w:t xml:space="preserve">COLLECTION”, “HENLEY RESERVE” and “HENLEY ESSENCE” are use of the </w:t>
      </w:r>
      <w:proofErr w:type="gramStart"/>
      <w:r>
        <w:t>trade mark</w:t>
      </w:r>
      <w:proofErr w:type="gramEnd"/>
      <w:r>
        <w:t xml:space="preserve">, “HENLEY”.  </w:t>
      </w:r>
    </w:p>
    <w:p w14:paraId="0A2AC206" w14:textId="77777777" w:rsidR="00087F66" w:rsidRDefault="00087F66" w:rsidP="00087F66">
      <w:pPr>
        <w:pStyle w:val="Quote1"/>
        <w:tabs>
          <w:tab w:val="left" w:pos="1418"/>
        </w:tabs>
        <w:ind w:left="1418" w:hanging="681"/>
      </w:pPr>
      <w:r>
        <w:t>769</w:t>
      </w:r>
      <w:r>
        <w:tab/>
        <w:t>In these circumstances, I do not accept that Henley Constructions has used the “HENLEY CONSTRUCTIONS” mark before “the registered owner of the registered trade mark … first used the trade mark”: TMA, s 124(1</w:t>
      </w:r>
      <w:proofErr w:type="gramStart"/>
      <w:r>
        <w:t>)(</w:t>
      </w:r>
      <w:proofErr w:type="gramEnd"/>
      <w:r>
        <w:t xml:space="preserve">e).  This is because Henley Constructions did not use the “HENLEY CONSTRUCTIONS” mark before the priority date for Henley Arch’s “HENLEY” mark and, for the reasons stated above, pursuant to s 7(1) of the TMA, Henley Arch’s use of the 2016 registered marks is use of the “HENLEY” registered mark.   </w:t>
      </w:r>
    </w:p>
    <w:p w14:paraId="256215AE" w14:textId="77777777" w:rsidR="00087F66" w:rsidRPr="002B1B34" w:rsidRDefault="00087F66" w:rsidP="00087F66">
      <w:pPr>
        <w:pStyle w:val="Quote1"/>
        <w:tabs>
          <w:tab w:val="left" w:pos="1418"/>
        </w:tabs>
        <w:ind w:left="1418" w:hanging="681"/>
      </w:pPr>
      <w:r w:rsidRPr="00087F66">
        <w:t>770</w:t>
      </w:r>
      <w:r w:rsidRPr="00087F66">
        <w:tab/>
        <w:t>As a consequence, I am not satisfied that Henley Constructions has established a defence under s 124 of the TMA.</w:t>
      </w:r>
    </w:p>
    <w:p w14:paraId="3EE68236" w14:textId="5A9C0F03" w:rsidR="00087F66" w:rsidRDefault="00BC7D85" w:rsidP="00BC7D85">
      <w:pPr>
        <w:pStyle w:val="ParaNumbering"/>
        <w:numPr>
          <w:ilvl w:val="0"/>
          <w:numId w:val="0"/>
        </w:numPr>
        <w:ind w:hanging="720"/>
      </w:pPr>
      <w:proofErr w:type="gramStart"/>
      <w:r>
        <w:rPr>
          <w:sz w:val="20"/>
        </w:rPr>
        <w:t>72</w:t>
      </w:r>
      <w:r>
        <w:rPr>
          <w:sz w:val="20"/>
        </w:rPr>
        <w:tab/>
      </w:r>
      <w:r w:rsidR="002B1B34" w:rsidRPr="002B1B34">
        <w:t>In relation to this defence</w:t>
      </w:r>
      <w:proofErr w:type="gramEnd"/>
      <w:r w:rsidR="002B1B34" w:rsidRPr="002B1B34">
        <w:t xml:space="preserve"> the respondent contended that,</w:t>
      </w:r>
      <w:r w:rsidR="00535C0E">
        <w:t xml:space="preserve"> in any event,</w:t>
      </w:r>
      <w:r w:rsidR="002B1B34" w:rsidRPr="002B1B34">
        <w:t xml:space="preserve"> as at 2 November 2016, Henley Constructions had not used a number of the signs referenced in the Part</w:t>
      </w:r>
      <w:r w:rsidR="00087F66">
        <w:t xml:space="preserve">iculars Table—specifically: </w:t>
      </w:r>
    </w:p>
    <w:p w14:paraId="2C1E2ED4" w14:textId="338A4594" w:rsidR="00087F66" w:rsidRDefault="00BC7D85" w:rsidP="00BC7D85">
      <w:pPr>
        <w:pStyle w:val="ListNo2"/>
        <w:numPr>
          <w:ilvl w:val="0"/>
          <w:numId w:val="0"/>
        </w:numPr>
        <w:tabs>
          <w:tab w:val="left" w:pos="1440"/>
        </w:tabs>
        <w:ind w:left="1440" w:hanging="720"/>
      </w:pPr>
      <w:r>
        <w:t>(a)</w:t>
      </w:r>
      <w:r>
        <w:tab/>
      </w:r>
      <w:proofErr w:type="gramStart"/>
      <w:r w:rsidR="002B1B34" w:rsidRPr="002B1B34">
        <w:t>the</w:t>
      </w:r>
      <w:proofErr w:type="gramEnd"/>
      <w:r w:rsidR="002B1B34" w:rsidRPr="002B1B34">
        <w:t xml:space="preserve"> second</w:t>
      </w:r>
      <w:r w:rsidR="00087F66">
        <w:t xml:space="preserve"> Henley Constructions logo; </w:t>
      </w:r>
    </w:p>
    <w:p w14:paraId="1CF7535C" w14:textId="6EE07235" w:rsidR="00087F66" w:rsidRDefault="00BC7D85" w:rsidP="00BC7D85">
      <w:pPr>
        <w:pStyle w:val="ListNo2"/>
        <w:numPr>
          <w:ilvl w:val="0"/>
          <w:numId w:val="0"/>
        </w:numPr>
        <w:tabs>
          <w:tab w:val="left" w:pos="1440"/>
        </w:tabs>
        <w:ind w:left="1440" w:hanging="720"/>
      </w:pPr>
      <w:r>
        <w:t>(b)</w:t>
      </w:r>
      <w:r>
        <w:tab/>
      </w:r>
      <w:r w:rsidR="00370530">
        <w:t>1300HENLEY</w:t>
      </w:r>
      <w:r w:rsidR="00087F66">
        <w:t xml:space="preserve">; </w:t>
      </w:r>
    </w:p>
    <w:p w14:paraId="5745A9D1" w14:textId="798E9B15" w:rsidR="00087F66" w:rsidRDefault="00BC7D85" w:rsidP="00BC7D85">
      <w:pPr>
        <w:pStyle w:val="ListNo2"/>
        <w:numPr>
          <w:ilvl w:val="0"/>
          <w:numId w:val="0"/>
        </w:numPr>
        <w:tabs>
          <w:tab w:val="left" w:pos="1440"/>
        </w:tabs>
        <w:ind w:left="1440" w:hanging="720"/>
      </w:pPr>
      <w:r>
        <w:t>(c)</w:t>
      </w:r>
      <w:r>
        <w:tab/>
      </w:r>
      <w:proofErr w:type="gramStart"/>
      <w:r w:rsidR="002B1B34" w:rsidRPr="002B1B34">
        <w:t>the</w:t>
      </w:r>
      <w:proofErr w:type="gramEnd"/>
      <w:r w:rsidR="002B1B34" w:rsidRPr="002B1B34">
        <w:t xml:space="preserve"> third Henley Constructions logo;</w:t>
      </w:r>
      <w:r w:rsidR="00087F66">
        <w:t xml:space="preserve"> </w:t>
      </w:r>
    </w:p>
    <w:p w14:paraId="26909603" w14:textId="3A340AC9" w:rsidR="00087F66" w:rsidRDefault="00BC7D85" w:rsidP="00BC7D85">
      <w:pPr>
        <w:pStyle w:val="ListNo2"/>
        <w:numPr>
          <w:ilvl w:val="0"/>
          <w:numId w:val="0"/>
        </w:numPr>
        <w:tabs>
          <w:tab w:val="left" w:pos="1440"/>
        </w:tabs>
        <w:ind w:left="1440" w:hanging="720"/>
      </w:pPr>
      <w:r>
        <w:t>(d)</w:t>
      </w:r>
      <w:r>
        <w:tab/>
      </w:r>
      <w:r w:rsidR="00370530">
        <w:t>THE HENLEY DISPLAY GALLERY</w:t>
      </w:r>
      <w:r w:rsidR="00087F66">
        <w:t xml:space="preserve">; </w:t>
      </w:r>
    </w:p>
    <w:p w14:paraId="13D7B7D3" w14:textId="02CE2A29" w:rsidR="00087F66" w:rsidRDefault="00BC7D85" w:rsidP="00BC7D85">
      <w:pPr>
        <w:pStyle w:val="ListNo2"/>
        <w:numPr>
          <w:ilvl w:val="0"/>
          <w:numId w:val="0"/>
        </w:numPr>
        <w:tabs>
          <w:tab w:val="left" w:pos="1440"/>
        </w:tabs>
        <w:ind w:left="1440" w:hanging="720"/>
      </w:pPr>
      <w:r>
        <w:t>(e)</w:t>
      </w:r>
      <w:r>
        <w:tab/>
      </w:r>
      <w:proofErr w:type="gramStart"/>
      <w:r w:rsidR="00370530">
        <w:t>henleygallery.com.au</w:t>
      </w:r>
      <w:proofErr w:type="gramEnd"/>
      <w:r w:rsidR="00087F66">
        <w:t xml:space="preserve">; </w:t>
      </w:r>
    </w:p>
    <w:p w14:paraId="55B3DF1C" w14:textId="6F509E19" w:rsidR="00087F66" w:rsidRDefault="00BC7D85" w:rsidP="00BC7D85">
      <w:pPr>
        <w:pStyle w:val="ListNo2"/>
        <w:numPr>
          <w:ilvl w:val="0"/>
          <w:numId w:val="0"/>
        </w:numPr>
        <w:tabs>
          <w:tab w:val="left" w:pos="1440"/>
        </w:tabs>
        <w:ind w:left="1440" w:hanging="720"/>
      </w:pPr>
      <w:r>
        <w:t>(f)</w:t>
      </w:r>
      <w:r>
        <w:tab/>
      </w:r>
      <w:r w:rsidR="00087F66">
        <w:t>H</w:t>
      </w:r>
      <w:r w:rsidR="00370530">
        <w:t>NLY</w:t>
      </w:r>
      <w:r w:rsidR="00087F66">
        <w:t xml:space="preserve">; or </w:t>
      </w:r>
    </w:p>
    <w:p w14:paraId="70831D9F" w14:textId="43AD6D8D" w:rsidR="00087F66" w:rsidRDefault="00BC7D85" w:rsidP="00BC7D85">
      <w:pPr>
        <w:pStyle w:val="ListNo2"/>
        <w:numPr>
          <w:ilvl w:val="0"/>
          <w:numId w:val="0"/>
        </w:numPr>
        <w:tabs>
          <w:tab w:val="left" w:pos="1440"/>
        </w:tabs>
        <w:ind w:left="1440" w:hanging="720"/>
      </w:pPr>
      <w:r>
        <w:t>(g)</w:t>
      </w:r>
      <w:r>
        <w:tab/>
      </w:r>
      <w:proofErr w:type="gramStart"/>
      <w:r w:rsidR="002B1B34" w:rsidRPr="002B1B34">
        <w:t>the</w:t>
      </w:r>
      <w:proofErr w:type="gramEnd"/>
      <w:r w:rsidR="002B1B34" w:rsidRPr="002B1B34">
        <w:t xml:space="preserve"> crane signage particularised as reference I in the </w:t>
      </w:r>
      <w:r w:rsidR="007F1158">
        <w:t>Particulars Table</w:t>
      </w:r>
      <w:r w:rsidR="002B1B34" w:rsidRPr="002B1B34">
        <w:t xml:space="preserve">.  </w:t>
      </w:r>
    </w:p>
    <w:p w14:paraId="71143E8A" w14:textId="36F72E06" w:rsidR="002B1B34" w:rsidRPr="002B1B34" w:rsidRDefault="00BC7D85" w:rsidP="00BC7D85">
      <w:pPr>
        <w:pStyle w:val="ParaNumbering"/>
        <w:numPr>
          <w:ilvl w:val="0"/>
          <w:numId w:val="0"/>
        </w:numPr>
        <w:ind w:hanging="720"/>
      </w:pPr>
      <w:r w:rsidRPr="002B1B34">
        <w:rPr>
          <w:sz w:val="20"/>
        </w:rPr>
        <w:t>73</w:t>
      </w:r>
      <w:r w:rsidRPr="002B1B34">
        <w:rPr>
          <w:sz w:val="20"/>
        </w:rPr>
        <w:tab/>
      </w:r>
      <w:r w:rsidR="002B1B34" w:rsidRPr="002B1B34">
        <w:t xml:space="preserve">The primary </w:t>
      </w:r>
      <w:r w:rsidR="00370530">
        <w:t>judge referred to these</w:t>
      </w:r>
      <w:r w:rsidR="007F1158">
        <w:t xml:space="preserve"> signs</w:t>
      </w:r>
      <w:r w:rsidR="00370530">
        <w:t xml:space="preserve"> as the </w:t>
      </w:r>
      <w:r w:rsidR="002B1B34" w:rsidRPr="00087F66">
        <w:rPr>
          <w:b/>
        </w:rPr>
        <w:t>Post-November 2016 Signs</w:t>
      </w:r>
      <w:r w:rsidR="002B1B34" w:rsidRPr="002B1B34">
        <w:t>.</w:t>
      </w:r>
    </w:p>
    <w:p w14:paraId="30B035FC" w14:textId="2F96603F" w:rsidR="002B1B34" w:rsidRPr="002B1B34" w:rsidRDefault="00BC7D85" w:rsidP="00BC7D85">
      <w:pPr>
        <w:pStyle w:val="ParaNumbering"/>
        <w:numPr>
          <w:ilvl w:val="0"/>
          <w:numId w:val="0"/>
        </w:numPr>
        <w:ind w:hanging="720"/>
      </w:pPr>
      <w:r w:rsidRPr="002B1B34">
        <w:rPr>
          <w:sz w:val="20"/>
        </w:rPr>
        <w:t>74</w:t>
      </w:r>
      <w:r w:rsidRPr="002B1B34">
        <w:rPr>
          <w:sz w:val="20"/>
        </w:rPr>
        <w:tab/>
      </w:r>
      <w:r w:rsidR="002B1B34" w:rsidRPr="002B1B34">
        <w:t xml:space="preserve">The primary judge concluded that, as at 2 November 2016, Henley Constructions </w:t>
      </w:r>
      <w:r w:rsidR="00154146">
        <w:t>had</w:t>
      </w:r>
      <w:r w:rsidR="002B1B34" w:rsidRPr="002B1B34">
        <w:t xml:space="preserve"> not used the Post-November 2016 Signs and that the “prior use</w:t>
      </w:r>
      <w:r w:rsidR="00EC050D">
        <w:t>”</w:t>
      </w:r>
      <w:r w:rsidR="002B1B34" w:rsidRPr="002B1B34">
        <w:t xml:space="preserve"> defence in s 124 of the Trade Marks Act was not available to Henley Constructio</w:t>
      </w:r>
      <w:r w:rsidR="00EC4927">
        <w:t xml:space="preserve">ns in respect of those signs. </w:t>
      </w:r>
    </w:p>
    <w:p w14:paraId="7313D624" w14:textId="77777777" w:rsidR="002B1B34" w:rsidRPr="002B1B34" w:rsidRDefault="002B1B34" w:rsidP="00087F66">
      <w:pPr>
        <w:pStyle w:val="Heading2"/>
      </w:pPr>
      <w:bookmarkStart w:id="34" w:name="_Ref133418091"/>
      <w:r w:rsidRPr="002B1B34">
        <w:t>The cross-claim</w:t>
      </w:r>
      <w:bookmarkEnd w:id="34"/>
    </w:p>
    <w:p w14:paraId="5B0B1BDC" w14:textId="77CA867D" w:rsidR="002B1B34" w:rsidRPr="002B1B34" w:rsidRDefault="00BC7D85" w:rsidP="00BC7D85">
      <w:pPr>
        <w:pStyle w:val="ParaNumbering"/>
        <w:numPr>
          <w:ilvl w:val="0"/>
          <w:numId w:val="0"/>
        </w:numPr>
        <w:ind w:hanging="720"/>
      </w:pPr>
      <w:r w:rsidRPr="002B1B34">
        <w:rPr>
          <w:sz w:val="20"/>
        </w:rPr>
        <w:t>75</w:t>
      </w:r>
      <w:r w:rsidRPr="002B1B34">
        <w:rPr>
          <w:sz w:val="20"/>
        </w:rPr>
        <w:tab/>
      </w:r>
      <w:r w:rsidR="00AF6543">
        <w:t>Henley Constructions</w:t>
      </w:r>
      <w:r w:rsidR="002B1B34" w:rsidRPr="002B1B34">
        <w:t xml:space="preserve"> claimed that the registration of the 820 mark (HENLEY) should be cancelled under s </w:t>
      </w:r>
      <w:r w:rsidR="002B1B34" w:rsidRPr="00586452">
        <w:t>88</w:t>
      </w:r>
      <w:r w:rsidR="002B1B34" w:rsidRPr="002B1B34">
        <w:t>(1</w:t>
      </w:r>
      <w:proofErr w:type="gramStart"/>
      <w:r w:rsidR="002B1B34" w:rsidRPr="002B1B34">
        <w:t>)(</w:t>
      </w:r>
      <w:proofErr w:type="gramEnd"/>
      <w:r w:rsidR="002B1B34" w:rsidRPr="002B1B34">
        <w:t xml:space="preserve">a) of the Trade Marks Act.  </w:t>
      </w:r>
      <w:proofErr w:type="gramStart"/>
      <w:r w:rsidR="002B1B34" w:rsidRPr="002B1B34">
        <w:t xml:space="preserve">The claim was based </w:t>
      </w:r>
      <w:r w:rsidR="00087F66">
        <w:t>on two grounds: first, as at 18 </w:t>
      </w:r>
      <w:r w:rsidR="002B1B34" w:rsidRPr="002B1B34">
        <w:t xml:space="preserve">December 2006, the 820 mark was not capable of distinguishing the respondent’s services in respect of which the mark was registered (see </w:t>
      </w:r>
      <w:r w:rsidR="002B1B34" w:rsidRPr="00CD4A2B">
        <w:t xml:space="preserve">s </w:t>
      </w:r>
      <w:r w:rsidR="002B1B34" w:rsidRPr="00586452">
        <w:t>41</w:t>
      </w:r>
      <w:r w:rsidR="002B1B34" w:rsidRPr="002B1B34">
        <w:t xml:space="preserve">); and </w:t>
      </w:r>
      <w:r w:rsidR="00EC050D">
        <w:t>second</w:t>
      </w:r>
      <w:r w:rsidR="00F73618">
        <w:t>,</w:t>
      </w:r>
      <w:r w:rsidR="002B1B34" w:rsidRPr="002B1B34">
        <w:t xml:space="preserve"> the Registrar had accepted the application for registration of the mark on the basis of a representation that was false in material particulars (see s </w:t>
      </w:r>
      <w:r w:rsidR="002B1B34" w:rsidRPr="00586452">
        <w:t>62</w:t>
      </w:r>
      <w:r w:rsidR="00EC4927">
        <w:t>(b)).</w:t>
      </w:r>
      <w:proofErr w:type="gramEnd"/>
      <w:r w:rsidR="00EC4927">
        <w:t xml:space="preserve">  </w:t>
      </w:r>
    </w:p>
    <w:p w14:paraId="5438BFA1" w14:textId="30BA57E4" w:rsidR="002B1B34" w:rsidRPr="002B1B34" w:rsidRDefault="00BC7D85" w:rsidP="00BC7D85">
      <w:pPr>
        <w:pStyle w:val="ParaNumbering"/>
        <w:numPr>
          <w:ilvl w:val="0"/>
          <w:numId w:val="0"/>
        </w:numPr>
        <w:ind w:hanging="720"/>
      </w:pPr>
      <w:proofErr w:type="gramStart"/>
      <w:r w:rsidRPr="002B1B34">
        <w:rPr>
          <w:sz w:val="20"/>
        </w:rPr>
        <w:lastRenderedPageBreak/>
        <w:t>76</w:t>
      </w:r>
      <w:r w:rsidRPr="002B1B34">
        <w:rPr>
          <w:sz w:val="20"/>
        </w:rPr>
        <w:tab/>
      </w:r>
      <w:r w:rsidR="004F6BEF">
        <w:t>Henley C</w:t>
      </w:r>
      <w:r w:rsidR="00AF6543">
        <w:t>onstructions</w:t>
      </w:r>
      <w:r w:rsidR="002B1B34" w:rsidRPr="002B1B34">
        <w:t xml:space="preserve"> also claimed that the 820 mark had not been used in New South Wales in the period 7 October 2015 to 7 October 2018 and that its registration should be made subject to two limitations, expressed as: (a) “Registration does not cover the State of New South Wales”; and (b) in respect of the class 37 services in respect of which the mark was registered, “none of the above being in relation to multi-dwelling res</w:t>
      </w:r>
      <w:r w:rsidR="00805E59">
        <w:t>idential apartment buildings”.</w:t>
      </w:r>
      <w:proofErr w:type="gramEnd"/>
    </w:p>
    <w:p w14:paraId="201C753B" w14:textId="57173789" w:rsidR="002B1B34" w:rsidRPr="002B1B34" w:rsidRDefault="00BC7D85" w:rsidP="00BC7D85">
      <w:pPr>
        <w:pStyle w:val="ParaNumbering"/>
        <w:numPr>
          <w:ilvl w:val="0"/>
          <w:numId w:val="0"/>
        </w:numPr>
        <w:ind w:hanging="720"/>
      </w:pPr>
      <w:r w:rsidRPr="002B1B34">
        <w:rPr>
          <w:sz w:val="20"/>
        </w:rPr>
        <w:t>77</w:t>
      </w:r>
      <w:r w:rsidRPr="002B1B34">
        <w:rPr>
          <w:sz w:val="20"/>
        </w:rPr>
        <w:tab/>
      </w:r>
      <w:r w:rsidR="00AF6543">
        <w:t>Henley Constructions</w:t>
      </w:r>
      <w:r w:rsidR="002B1B34" w:rsidRPr="002B1B34">
        <w:t xml:space="preserve"> claimed, further, that the 818 mark (the “HENLEY PROPERTIES” Device Mark) had not been used in Australia, or alternatively New South Wales, and should be removed from the Register or, if not removed, the registration should be made subject to the two limitations </w:t>
      </w:r>
      <w:r w:rsidR="00F73618">
        <w:t>sought for the 820 mark</w:t>
      </w:r>
      <w:r w:rsidR="00EC4927">
        <w:t xml:space="preserve">.  </w:t>
      </w:r>
    </w:p>
    <w:p w14:paraId="7ECA27EE" w14:textId="77777777" w:rsidR="002B1B34" w:rsidRPr="002B1B34" w:rsidRDefault="00743F50" w:rsidP="00743F50">
      <w:pPr>
        <w:pStyle w:val="Heading3"/>
      </w:pPr>
      <w:bookmarkStart w:id="35" w:name="_Ref133418092"/>
      <w:r>
        <w:t>Cancellation</w:t>
      </w:r>
      <w:bookmarkEnd w:id="35"/>
    </w:p>
    <w:p w14:paraId="2C6ACAF3" w14:textId="49C9A04B" w:rsidR="002B1B34" w:rsidRDefault="00BC7D85" w:rsidP="00BC7D85">
      <w:pPr>
        <w:pStyle w:val="ParaNumbering"/>
        <w:numPr>
          <w:ilvl w:val="0"/>
          <w:numId w:val="0"/>
        </w:numPr>
        <w:ind w:hanging="720"/>
      </w:pPr>
      <w:r>
        <w:rPr>
          <w:sz w:val="20"/>
        </w:rPr>
        <w:t>78</w:t>
      </w:r>
      <w:r>
        <w:rPr>
          <w:sz w:val="20"/>
        </w:rPr>
        <w:tab/>
      </w:r>
      <w:r w:rsidR="002B1B34" w:rsidRPr="002B1B34">
        <w:t>Section 41 of the Trade Marks Act, as in force as at the date of registrat</w:t>
      </w:r>
      <w:r w:rsidR="00CD4A2B">
        <w:t>ion of the 820 mark, provided:</w:t>
      </w:r>
    </w:p>
    <w:p w14:paraId="17F89EED" w14:textId="77777777" w:rsidR="00454FDC" w:rsidRPr="00454FDC" w:rsidRDefault="00454FDC" w:rsidP="00454FDC">
      <w:pPr>
        <w:pStyle w:val="Quote1"/>
        <w:rPr>
          <w:b/>
        </w:rPr>
      </w:pPr>
      <w:proofErr w:type="gramStart"/>
      <w:r w:rsidRPr="00454FDC">
        <w:rPr>
          <w:b/>
        </w:rPr>
        <w:t>41  Trade</w:t>
      </w:r>
      <w:proofErr w:type="gramEnd"/>
      <w:r w:rsidRPr="00454FDC">
        <w:rPr>
          <w:b/>
        </w:rPr>
        <w:t xml:space="preserve"> mark not distinguishing applicant’s goods or services</w:t>
      </w:r>
    </w:p>
    <w:p w14:paraId="37F5AAFD" w14:textId="77777777" w:rsidR="00454FDC" w:rsidRDefault="00454FDC" w:rsidP="00454FDC">
      <w:pPr>
        <w:pStyle w:val="Quote1"/>
        <w:tabs>
          <w:tab w:val="left" w:pos="1418"/>
        </w:tabs>
        <w:ind w:left="1418" w:hanging="681"/>
      </w:pPr>
      <w:r>
        <w:t xml:space="preserve">(1)  </w:t>
      </w:r>
      <w:r>
        <w:tab/>
        <w:t xml:space="preserve">For the purposes of this section, the use of a </w:t>
      </w:r>
      <w:proofErr w:type="gramStart"/>
      <w:r>
        <w:t>trade mark</w:t>
      </w:r>
      <w:proofErr w:type="gramEnd"/>
      <w:r>
        <w:t xml:space="preserve"> by a predecessor in title of an applicant for the registration of the trade mark is taken to be a use of the trade mark by the applicant.</w:t>
      </w:r>
    </w:p>
    <w:p w14:paraId="66AD6AEC" w14:textId="77777777" w:rsidR="00454FDC" w:rsidRPr="00CD1A5A" w:rsidRDefault="00CD1A5A" w:rsidP="00CD1A5A">
      <w:pPr>
        <w:pStyle w:val="Quote2"/>
        <w:tabs>
          <w:tab w:val="left" w:pos="2268"/>
        </w:tabs>
        <w:rPr>
          <w:sz w:val="20"/>
        </w:rPr>
      </w:pPr>
      <w:r w:rsidRPr="00CD1A5A">
        <w:rPr>
          <w:sz w:val="20"/>
        </w:rPr>
        <w:t>Note 1:</w:t>
      </w:r>
      <w:r w:rsidRPr="00CD1A5A">
        <w:rPr>
          <w:sz w:val="20"/>
        </w:rPr>
        <w:tab/>
      </w:r>
      <w:r w:rsidR="00454FDC" w:rsidRPr="00CD1A5A">
        <w:rPr>
          <w:sz w:val="20"/>
        </w:rPr>
        <w:t xml:space="preserve">For </w:t>
      </w:r>
      <w:r w:rsidR="00454FDC" w:rsidRPr="00DB5244">
        <w:rPr>
          <w:b/>
          <w:i/>
          <w:sz w:val="20"/>
        </w:rPr>
        <w:t>applicant</w:t>
      </w:r>
      <w:r w:rsidR="00454FDC" w:rsidRPr="00CD1A5A">
        <w:rPr>
          <w:sz w:val="20"/>
        </w:rPr>
        <w:t xml:space="preserve"> and </w:t>
      </w:r>
      <w:r w:rsidR="00454FDC" w:rsidRPr="00DB5244">
        <w:rPr>
          <w:b/>
          <w:i/>
          <w:sz w:val="20"/>
        </w:rPr>
        <w:t>predecessor in title</w:t>
      </w:r>
      <w:r w:rsidR="00454FDC" w:rsidRPr="00CD1A5A">
        <w:rPr>
          <w:sz w:val="20"/>
        </w:rPr>
        <w:t xml:space="preserve"> see section 6.</w:t>
      </w:r>
    </w:p>
    <w:p w14:paraId="25EBD6B9" w14:textId="77777777" w:rsidR="00454FDC" w:rsidRPr="00CD1A5A" w:rsidRDefault="00454FDC" w:rsidP="00CD1A5A">
      <w:pPr>
        <w:pStyle w:val="Quote2"/>
        <w:tabs>
          <w:tab w:val="left" w:pos="2268"/>
        </w:tabs>
        <w:ind w:left="2268" w:hanging="828"/>
        <w:rPr>
          <w:sz w:val="20"/>
        </w:rPr>
      </w:pPr>
      <w:r w:rsidRPr="00CD1A5A">
        <w:rPr>
          <w:sz w:val="20"/>
        </w:rPr>
        <w:t xml:space="preserve">Note 2: </w:t>
      </w:r>
      <w:r w:rsidR="00CD1A5A" w:rsidRPr="00CD1A5A">
        <w:rPr>
          <w:sz w:val="20"/>
        </w:rPr>
        <w:tab/>
      </w:r>
      <w:r w:rsidRPr="00CD1A5A">
        <w:rPr>
          <w:sz w:val="20"/>
        </w:rPr>
        <w:t>If a predecessor in title had authorised another person to use the trade mark, any authorised use of the trade mark by the other person is taken to be a use of the trade mark by the predecessor in title (see subsection 7(3) and section 8).</w:t>
      </w:r>
    </w:p>
    <w:p w14:paraId="63993BC4" w14:textId="77777777" w:rsidR="00454FDC" w:rsidRDefault="00454FDC" w:rsidP="00454FDC">
      <w:pPr>
        <w:pStyle w:val="Quote1"/>
        <w:tabs>
          <w:tab w:val="left" w:pos="1418"/>
        </w:tabs>
        <w:ind w:left="1418" w:hanging="681"/>
      </w:pPr>
      <w:r>
        <w:t xml:space="preserve">(2)  </w:t>
      </w:r>
      <w:r>
        <w:tab/>
        <w:t>An application for the registration of a trade mark must be rejected if the trade mark is not capable of distinguishing the applicant’s goods or services in respect of which the trade mark is sought to be registered (</w:t>
      </w:r>
      <w:r w:rsidRPr="00CD165B">
        <w:rPr>
          <w:b/>
          <w:i/>
        </w:rPr>
        <w:t>designated goods or services</w:t>
      </w:r>
      <w:r>
        <w:t>) from the goods or services of other persons.</w:t>
      </w:r>
    </w:p>
    <w:p w14:paraId="0896AFC3" w14:textId="77777777" w:rsidR="00454FDC" w:rsidRPr="00CD1A5A" w:rsidRDefault="00454FDC" w:rsidP="00CD1A5A">
      <w:pPr>
        <w:pStyle w:val="Quote2"/>
        <w:tabs>
          <w:tab w:val="left" w:pos="2268"/>
        </w:tabs>
        <w:rPr>
          <w:sz w:val="20"/>
        </w:rPr>
      </w:pPr>
      <w:r w:rsidRPr="00CD1A5A">
        <w:rPr>
          <w:sz w:val="20"/>
        </w:rPr>
        <w:t xml:space="preserve">Note: </w:t>
      </w:r>
      <w:r w:rsidRPr="00CD1A5A">
        <w:rPr>
          <w:sz w:val="20"/>
        </w:rPr>
        <w:tab/>
        <w:t xml:space="preserve">For </w:t>
      </w:r>
      <w:r w:rsidRPr="00CD165B">
        <w:rPr>
          <w:b/>
          <w:i/>
          <w:sz w:val="20"/>
        </w:rPr>
        <w:t>goods of a person</w:t>
      </w:r>
      <w:r w:rsidRPr="00CD1A5A">
        <w:rPr>
          <w:sz w:val="20"/>
        </w:rPr>
        <w:t xml:space="preserve"> and </w:t>
      </w:r>
      <w:r w:rsidRPr="00CD165B">
        <w:rPr>
          <w:b/>
          <w:i/>
          <w:sz w:val="20"/>
        </w:rPr>
        <w:t xml:space="preserve">services of a </w:t>
      </w:r>
      <w:proofErr w:type="gramStart"/>
      <w:r w:rsidRPr="00CD165B">
        <w:rPr>
          <w:b/>
          <w:i/>
          <w:sz w:val="20"/>
        </w:rPr>
        <w:t>person</w:t>
      </w:r>
      <w:proofErr w:type="gramEnd"/>
      <w:r w:rsidRPr="00CD1A5A">
        <w:rPr>
          <w:sz w:val="20"/>
        </w:rPr>
        <w:t xml:space="preserve"> see section 6.</w:t>
      </w:r>
    </w:p>
    <w:p w14:paraId="17E1925A" w14:textId="77777777" w:rsidR="00454FDC" w:rsidRDefault="00454FDC" w:rsidP="00454FDC">
      <w:pPr>
        <w:pStyle w:val="Quote1"/>
        <w:tabs>
          <w:tab w:val="left" w:pos="1418"/>
        </w:tabs>
        <w:ind w:left="1418" w:hanging="681"/>
      </w:pPr>
      <w:r>
        <w:t xml:space="preserve">(3)  </w:t>
      </w:r>
      <w:r>
        <w:tab/>
        <w:t xml:space="preserve">In deciding the question whether or not a </w:t>
      </w:r>
      <w:proofErr w:type="gramStart"/>
      <w:r>
        <w:t>trade mark</w:t>
      </w:r>
      <w:proofErr w:type="gramEnd"/>
      <w:r>
        <w:t xml:space="preserve"> is capable of distinguishing the designated goods or services from the goods or services of other persons, the Registrar must first take into account the extent to which the trade mark is inherently adapted to distinguish the designated goods or services from the goods or services of other persons.</w:t>
      </w:r>
    </w:p>
    <w:p w14:paraId="43B83740" w14:textId="77777777" w:rsidR="00454FDC" w:rsidRDefault="00454FDC" w:rsidP="00454FDC">
      <w:pPr>
        <w:pStyle w:val="Quote1"/>
        <w:tabs>
          <w:tab w:val="left" w:pos="1418"/>
        </w:tabs>
        <w:ind w:left="1418" w:hanging="681"/>
      </w:pPr>
      <w:r>
        <w:t xml:space="preserve">(4)  </w:t>
      </w:r>
      <w:r>
        <w:tab/>
        <w:t>Then, if the Registrar is still unable to decide the question, the following provisions apply.</w:t>
      </w:r>
    </w:p>
    <w:p w14:paraId="0D2C60B4" w14:textId="77777777" w:rsidR="00454FDC" w:rsidRDefault="00454FDC" w:rsidP="00454FDC">
      <w:pPr>
        <w:pStyle w:val="Quote1"/>
        <w:tabs>
          <w:tab w:val="left" w:pos="1418"/>
        </w:tabs>
        <w:ind w:left="1418" w:hanging="681"/>
      </w:pPr>
      <w:r>
        <w:t xml:space="preserve">(5)  </w:t>
      </w:r>
      <w:r>
        <w:tab/>
        <w:t xml:space="preserve">If the Registrar finds that the </w:t>
      </w:r>
      <w:proofErr w:type="gramStart"/>
      <w:r>
        <w:t>trade mark</w:t>
      </w:r>
      <w:proofErr w:type="gramEnd"/>
      <w:r>
        <w:t xml:space="preserve"> is to some extent inherently adapted to distinguish the designated goods or services from the goods or services of other persons but is unable to decide, on that basis alone, that the trade mark is capable of so distinguishing the designated goods or services:</w:t>
      </w:r>
    </w:p>
    <w:p w14:paraId="7A8693AE" w14:textId="77777777" w:rsidR="00454FDC" w:rsidRDefault="00454FDC" w:rsidP="00454FDC">
      <w:pPr>
        <w:pStyle w:val="Quote2"/>
        <w:tabs>
          <w:tab w:val="left" w:pos="1985"/>
        </w:tabs>
        <w:ind w:left="1985" w:hanging="545"/>
      </w:pPr>
      <w:r>
        <w:t xml:space="preserve">(a)  </w:t>
      </w:r>
      <w:r>
        <w:tab/>
      </w:r>
      <w:proofErr w:type="gramStart"/>
      <w:r>
        <w:t>the</w:t>
      </w:r>
      <w:proofErr w:type="gramEnd"/>
      <w:r>
        <w:t xml:space="preserve"> Registrar is to consider whether, because of the combined effect of the following:</w:t>
      </w:r>
    </w:p>
    <w:p w14:paraId="17DC868E" w14:textId="77777777" w:rsidR="00454FDC" w:rsidRDefault="00454FDC" w:rsidP="00387D02">
      <w:pPr>
        <w:pStyle w:val="Quote3"/>
        <w:ind w:left="2880" w:hanging="720"/>
      </w:pPr>
      <w:r>
        <w:lastRenderedPageBreak/>
        <w:t>(</w:t>
      </w:r>
      <w:proofErr w:type="spellStart"/>
      <w:r>
        <w:t>i</w:t>
      </w:r>
      <w:proofErr w:type="spellEnd"/>
      <w:r>
        <w:t xml:space="preserve">)  </w:t>
      </w:r>
      <w:r>
        <w:tab/>
      </w:r>
      <w:proofErr w:type="gramStart"/>
      <w:r>
        <w:t>the</w:t>
      </w:r>
      <w:proofErr w:type="gramEnd"/>
      <w:r>
        <w:t xml:space="preserve"> extent to which the trade mark is inherently adapted to distinguish the designated goods or services;</w:t>
      </w:r>
    </w:p>
    <w:p w14:paraId="0222B14F" w14:textId="77777777" w:rsidR="00454FDC" w:rsidRDefault="00454FDC" w:rsidP="00387D02">
      <w:pPr>
        <w:pStyle w:val="Quote3"/>
        <w:ind w:left="2880" w:hanging="720"/>
      </w:pPr>
      <w:r>
        <w:t xml:space="preserve">(ii)  </w:t>
      </w:r>
      <w:r>
        <w:tab/>
      </w:r>
      <w:proofErr w:type="gramStart"/>
      <w:r>
        <w:t>the</w:t>
      </w:r>
      <w:proofErr w:type="gramEnd"/>
      <w:r>
        <w:t xml:space="preserve"> use, or intended use, of the trade mark by the applicant;</w:t>
      </w:r>
    </w:p>
    <w:p w14:paraId="07F8CE43" w14:textId="77777777" w:rsidR="00454FDC" w:rsidRDefault="00454FDC" w:rsidP="00387D02">
      <w:pPr>
        <w:pStyle w:val="Quote3"/>
        <w:ind w:left="2880" w:hanging="720"/>
      </w:pPr>
      <w:r>
        <w:t xml:space="preserve">(iii)  </w:t>
      </w:r>
      <w:r>
        <w:tab/>
      </w:r>
      <w:proofErr w:type="gramStart"/>
      <w:r>
        <w:t>any</w:t>
      </w:r>
      <w:proofErr w:type="gramEnd"/>
      <w:r>
        <w:t xml:space="preserve"> other circumstances;</w:t>
      </w:r>
    </w:p>
    <w:p w14:paraId="6F0D9A69" w14:textId="028D98A6" w:rsidR="00454FDC" w:rsidRDefault="00454FDC" w:rsidP="00387D02">
      <w:pPr>
        <w:pStyle w:val="Quote2"/>
      </w:pPr>
      <w:proofErr w:type="gramStart"/>
      <w:r>
        <w:t>the</w:t>
      </w:r>
      <w:proofErr w:type="gramEnd"/>
      <w:r>
        <w:t xml:space="preserve"> trade mark does or will distinguish the designated goods or services as being those of the applicant; and</w:t>
      </w:r>
    </w:p>
    <w:p w14:paraId="77E99635" w14:textId="77777777" w:rsidR="00454FDC" w:rsidRDefault="00454FDC" w:rsidP="00454FDC">
      <w:pPr>
        <w:pStyle w:val="Quote2"/>
        <w:tabs>
          <w:tab w:val="left" w:pos="1985"/>
        </w:tabs>
        <w:ind w:left="1985" w:hanging="545"/>
      </w:pPr>
      <w:r>
        <w:t xml:space="preserve">(b)  </w:t>
      </w:r>
      <w:r>
        <w:tab/>
        <w:t>if the Registrar is then satisfied that the trade mark does or will so distinguish the designated goods or services—the trade mark is taken to be capable of distinguishing the applicant’s goods or services from the goods or services of other persons; and</w:t>
      </w:r>
    </w:p>
    <w:p w14:paraId="57346BB5" w14:textId="77777777" w:rsidR="00454FDC" w:rsidRDefault="00454FDC" w:rsidP="00454FDC">
      <w:pPr>
        <w:pStyle w:val="Quote2"/>
        <w:tabs>
          <w:tab w:val="left" w:pos="1985"/>
        </w:tabs>
        <w:ind w:left="1985" w:hanging="545"/>
      </w:pPr>
      <w:r>
        <w:t xml:space="preserve">(c)  </w:t>
      </w:r>
      <w:r>
        <w:tab/>
        <w:t>if the Registrar is not satisfied that the trade mark does or will so distinguish the designated goods or services—the trade mark is taken not to be capable of distinguishing the applicant’s goods or services from the goods or services of other persons.</w:t>
      </w:r>
    </w:p>
    <w:p w14:paraId="1114F3B8" w14:textId="77777777" w:rsidR="00454FDC" w:rsidRPr="00CD1A5A" w:rsidRDefault="00CD1A5A" w:rsidP="00CD1A5A">
      <w:pPr>
        <w:pStyle w:val="Quote2"/>
        <w:tabs>
          <w:tab w:val="left" w:pos="2268"/>
        </w:tabs>
        <w:rPr>
          <w:sz w:val="20"/>
        </w:rPr>
      </w:pPr>
      <w:r>
        <w:rPr>
          <w:sz w:val="20"/>
        </w:rPr>
        <w:t xml:space="preserve">Note 1:     </w:t>
      </w:r>
      <w:r w:rsidR="00454FDC" w:rsidRPr="00CD1A5A">
        <w:rPr>
          <w:sz w:val="20"/>
        </w:rPr>
        <w:t xml:space="preserve">For </w:t>
      </w:r>
      <w:r w:rsidR="00454FDC" w:rsidRPr="001B4934">
        <w:rPr>
          <w:b/>
          <w:i/>
          <w:sz w:val="20"/>
        </w:rPr>
        <w:t>goods of a person</w:t>
      </w:r>
      <w:r w:rsidR="00454FDC" w:rsidRPr="00CD1A5A">
        <w:rPr>
          <w:sz w:val="20"/>
        </w:rPr>
        <w:t xml:space="preserve"> and </w:t>
      </w:r>
      <w:r w:rsidR="00454FDC" w:rsidRPr="001B4934">
        <w:rPr>
          <w:b/>
          <w:i/>
          <w:sz w:val="20"/>
        </w:rPr>
        <w:t xml:space="preserve">services of a </w:t>
      </w:r>
      <w:proofErr w:type="gramStart"/>
      <w:r w:rsidR="00454FDC" w:rsidRPr="001B4934">
        <w:rPr>
          <w:b/>
          <w:i/>
          <w:sz w:val="20"/>
        </w:rPr>
        <w:t>person</w:t>
      </w:r>
      <w:proofErr w:type="gramEnd"/>
      <w:r w:rsidR="00454FDC" w:rsidRPr="001B4934">
        <w:rPr>
          <w:b/>
          <w:i/>
          <w:sz w:val="20"/>
        </w:rPr>
        <w:t xml:space="preserve"> </w:t>
      </w:r>
      <w:r w:rsidR="00454FDC" w:rsidRPr="00CD1A5A">
        <w:rPr>
          <w:sz w:val="20"/>
        </w:rPr>
        <w:t>see section 6.</w:t>
      </w:r>
    </w:p>
    <w:p w14:paraId="6BD6A213" w14:textId="77777777" w:rsidR="00454FDC" w:rsidRPr="00CD1A5A" w:rsidRDefault="00454FDC" w:rsidP="00CD1A5A">
      <w:pPr>
        <w:pStyle w:val="Quote2"/>
        <w:tabs>
          <w:tab w:val="left" w:pos="2268"/>
        </w:tabs>
        <w:ind w:left="2268" w:hanging="828"/>
        <w:rPr>
          <w:sz w:val="20"/>
        </w:rPr>
      </w:pPr>
      <w:r w:rsidRPr="00CD1A5A">
        <w:rPr>
          <w:sz w:val="20"/>
        </w:rPr>
        <w:t xml:space="preserve">Note </w:t>
      </w:r>
      <w:r w:rsidR="00CD1A5A">
        <w:rPr>
          <w:sz w:val="20"/>
        </w:rPr>
        <w:t xml:space="preserve">2:      </w:t>
      </w:r>
      <w:r w:rsidRPr="00CD1A5A">
        <w:rPr>
          <w:sz w:val="20"/>
        </w:rPr>
        <w:t xml:space="preserve">Use of a </w:t>
      </w:r>
      <w:proofErr w:type="gramStart"/>
      <w:r w:rsidRPr="00CD1A5A">
        <w:rPr>
          <w:sz w:val="20"/>
        </w:rPr>
        <w:t>trade mark</w:t>
      </w:r>
      <w:proofErr w:type="gramEnd"/>
      <w:r w:rsidRPr="00CD1A5A">
        <w:rPr>
          <w:sz w:val="20"/>
        </w:rPr>
        <w:t xml:space="preserve"> by a predecessor in title of an applicant and an authorised use of a trade mark by another person are each taken to be use of the trade mark by the applicant (see subsections (1) and 7(3) and section 8).</w:t>
      </w:r>
    </w:p>
    <w:p w14:paraId="241490A4" w14:textId="77777777" w:rsidR="00454FDC" w:rsidRDefault="00454FDC" w:rsidP="00454FDC">
      <w:pPr>
        <w:pStyle w:val="Quote1"/>
        <w:tabs>
          <w:tab w:val="left" w:pos="1418"/>
        </w:tabs>
        <w:ind w:left="1418" w:hanging="681"/>
      </w:pPr>
      <w:r>
        <w:t xml:space="preserve">(6)  </w:t>
      </w:r>
      <w:r>
        <w:tab/>
        <w:t xml:space="preserve">If the Registrar finds that the </w:t>
      </w:r>
      <w:proofErr w:type="gramStart"/>
      <w:r>
        <w:t>trade mark</w:t>
      </w:r>
      <w:proofErr w:type="gramEnd"/>
      <w:r>
        <w:t xml:space="preserve"> is not to any extent inherently adapted to distinguish the designated goods or services from the goods or services of other persons, the following provisions apply:</w:t>
      </w:r>
    </w:p>
    <w:p w14:paraId="43FDA00C" w14:textId="77777777" w:rsidR="00454FDC" w:rsidRDefault="00454FDC" w:rsidP="00454FDC">
      <w:pPr>
        <w:pStyle w:val="Quote2"/>
        <w:tabs>
          <w:tab w:val="left" w:pos="1985"/>
        </w:tabs>
        <w:ind w:left="1985" w:hanging="545"/>
      </w:pPr>
      <w:proofErr w:type="gramStart"/>
      <w:r>
        <w:t xml:space="preserve">(a)  </w:t>
      </w:r>
      <w:r>
        <w:tab/>
        <w:t>if the applicant establishes that, because of the extent to which the applicant has used the trade mark before the filing date in respect of the application, it does distinguish the designated goods or services as being those of the applicant—the trade mark is taken to be capable of distinguishing the designated goods or services from the goods or services of other persons;</w:t>
      </w:r>
      <w:proofErr w:type="gramEnd"/>
    </w:p>
    <w:p w14:paraId="73F1B63C" w14:textId="77777777" w:rsidR="00454FDC" w:rsidRDefault="00454FDC" w:rsidP="00454FDC">
      <w:pPr>
        <w:pStyle w:val="Quote2"/>
        <w:tabs>
          <w:tab w:val="left" w:pos="1985"/>
        </w:tabs>
        <w:ind w:left="1985" w:hanging="545"/>
      </w:pPr>
      <w:r>
        <w:t xml:space="preserve">(b)  </w:t>
      </w:r>
      <w:r>
        <w:tab/>
      </w:r>
      <w:proofErr w:type="gramStart"/>
      <w:r>
        <w:t>in</w:t>
      </w:r>
      <w:proofErr w:type="gramEnd"/>
      <w:r>
        <w:t xml:space="preserve"> any other case—the trade mark is taken not to be capable of distinguishing the designated goods or services from the goods or services of other persons.</w:t>
      </w:r>
    </w:p>
    <w:p w14:paraId="1AE91FC0" w14:textId="77777777" w:rsidR="00454FDC" w:rsidRPr="00CD1A5A" w:rsidRDefault="00454FDC" w:rsidP="00CD1A5A">
      <w:pPr>
        <w:pStyle w:val="Quote2"/>
        <w:tabs>
          <w:tab w:val="left" w:pos="2268"/>
        </w:tabs>
        <w:ind w:left="2268" w:hanging="828"/>
        <w:rPr>
          <w:sz w:val="20"/>
        </w:rPr>
      </w:pPr>
      <w:r w:rsidRPr="00CD1A5A">
        <w:rPr>
          <w:sz w:val="20"/>
        </w:rPr>
        <w:t xml:space="preserve">Note 1:       </w:t>
      </w:r>
      <w:proofErr w:type="spellStart"/>
      <w:proofErr w:type="gramStart"/>
      <w:r w:rsidRPr="00CD1A5A">
        <w:rPr>
          <w:sz w:val="20"/>
        </w:rPr>
        <w:t>Trade marks</w:t>
      </w:r>
      <w:proofErr w:type="spellEnd"/>
      <w:proofErr w:type="gramEnd"/>
      <w:r w:rsidRPr="00CD1A5A">
        <w:rPr>
          <w:sz w:val="20"/>
        </w:rPr>
        <w:t xml:space="preserve"> that are not inherently adapted to distinguish goods or services are mostly </w:t>
      </w:r>
      <w:proofErr w:type="spellStart"/>
      <w:r w:rsidRPr="00CD1A5A">
        <w:rPr>
          <w:sz w:val="20"/>
        </w:rPr>
        <w:t>trade marks</w:t>
      </w:r>
      <w:proofErr w:type="spellEnd"/>
      <w:r w:rsidRPr="00CD1A5A">
        <w:rPr>
          <w:sz w:val="20"/>
        </w:rPr>
        <w:t xml:space="preserve"> that consist wholly of a sign that is ordinarily used to indicate:</w:t>
      </w:r>
    </w:p>
    <w:p w14:paraId="7C73B747" w14:textId="77777777" w:rsidR="00454FDC" w:rsidRPr="00CD1A5A" w:rsidRDefault="00454FDC" w:rsidP="00CD1A5A">
      <w:pPr>
        <w:pStyle w:val="Quote3"/>
        <w:tabs>
          <w:tab w:val="left" w:pos="2835"/>
        </w:tabs>
        <w:ind w:left="2835" w:hanging="567"/>
        <w:rPr>
          <w:sz w:val="20"/>
        </w:rPr>
      </w:pPr>
      <w:r w:rsidRPr="00CD1A5A">
        <w:rPr>
          <w:sz w:val="20"/>
        </w:rPr>
        <w:t xml:space="preserve">(a)  </w:t>
      </w:r>
      <w:r w:rsidR="00F2664A" w:rsidRPr="00CD1A5A">
        <w:rPr>
          <w:sz w:val="20"/>
        </w:rPr>
        <w:tab/>
      </w:r>
      <w:proofErr w:type="gramStart"/>
      <w:r w:rsidRPr="00CD1A5A">
        <w:rPr>
          <w:sz w:val="20"/>
        </w:rPr>
        <w:t>the</w:t>
      </w:r>
      <w:proofErr w:type="gramEnd"/>
      <w:r w:rsidRPr="00CD1A5A">
        <w:rPr>
          <w:sz w:val="20"/>
        </w:rPr>
        <w:t xml:space="preserve"> kind, quality, quantity, intended purpose, value, geographical origin, or some other characteristic, of goods or services; or</w:t>
      </w:r>
    </w:p>
    <w:p w14:paraId="7E4B1746" w14:textId="77777777" w:rsidR="00454FDC" w:rsidRPr="00CD1A5A" w:rsidRDefault="00454FDC" w:rsidP="00CD1A5A">
      <w:pPr>
        <w:pStyle w:val="Quote3"/>
        <w:tabs>
          <w:tab w:val="left" w:pos="2835"/>
        </w:tabs>
        <w:ind w:left="2268"/>
        <w:rPr>
          <w:sz w:val="20"/>
        </w:rPr>
      </w:pPr>
      <w:r w:rsidRPr="00CD1A5A">
        <w:rPr>
          <w:sz w:val="20"/>
        </w:rPr>
        <w:t xml:space="preserve">(b)  </w:t>
      </w:r>
      <w:r w:rsidR="00F2664A" w:rsidRPr="00CD1A5A">
        <w:rPr>
          <w:sz w:val="20"/>
        </w:rPr>
        <w:tab/>
      </w:r>
      <w:proofErr w:type="gramStart"/>
      <w:r w:rsidRPr="00CD1A5A">
        <w:rPr>
          <w:sz w:val="20"/>
        </w:rPr>
        <w:t>the</w:t>
      </w:r>
      <w:proofErr w:type="gramEnd"/>
      <w:r w:rsidRPr="00CD1A5A">
        <w:rPr>
          <w:sz w:val="20"/>
        </w:rPr>
        <w:t xml:space="preserve"> time of production of goods or of the rendering of services.</w:t>
      </w:r>
    </w:p>
    <w:p w14:paraId="21C8DBA2" w14:textId="77777777" w:rsidR="00454FDC" w:rsidRPr="00CD1A5A" w:rsidRDefault="00CD1A5A" w:rsidP="00CD1A5A">
      <w:pPr>
        <w:pStyle w:val="Quote2"/>
        <w:tabs>
          <w:tab w:val="left" w:pos="2268"/>
        </w:tabs>
        <w:ind w:left="2268" w:hanging="828"/>
        <w:rPr>
          <w:sz w:val="20"/>
        </w:rPr>
      </w:pPr>
      <w:r>
        <w:rPr>
          <w:sz w:val="20"/>
        </w:rPr>
        <w:t>Note 2:</w:t>
      </w:r>
      <w:r>
        <w:rPr>
          <w:sz w:val="20"/>
        </w:rPr>
        <w:tab/>
      </w:r>
      <w:r w:rsidR="00767359">
        <w:rPr>
          <w:sz w:val="20"/>
        </w:rPr>
        <w:t xml:space="preserve">Use of a </w:t>
      </w:r>
      <w:proofErr w:type="gramStart"/>
      <w:r w:rsidR="00767359">
        <w:rPr>
          <w:sz w:val="20"/>
        </w:rPr>
        <w:t xml:space="preserve">trade </w:t>
      </w:r>
      <w:r w:rsidR="00454FDC" w:rsidRPr="00CD1A5A">
        <w:rPr>
          <w:sz w:val="20"/>
        </w:rPr>
        <w:t>mark</w:t>
      </w:r>
      <w:proofErr w:type="gramEnd"/>
      <w:r w:rsidR="00454FDC" w:rsidRPr="00CD1A5A">
        <w:rPr>
          <w:sz w:val="20"/>
        </w:rPr>
        <w:t xml:space="preserve"> by a predecessor in title of an applicant and an authorised use of a trade mark by another person are each taken to be use of the trade mark by the applicant (see subsections (1) and 7(3) and section 8).</w:t>
      </w:r>
    </w:p>
    <w:p w14:paraId="319E8B6D" w14:textId="05C74C60" w:rsidR="002B1B34" w:rsidRPr="002B1B34" w:rsidRDefault="00BC7D85" w:rsidP="00BC7D85">
      <w:pPr>
        <w:pStyle w:val="ParaNumbering"/>
        <w:numPr>
          <w:ilvl w:val="0"/>
          <w:numId w:val="0"/>
        </w:numPr>
        <w:ind w:hanging="720"/>
      </w:pPr>
      <w:r w:rsidRPr="002B1B34">
        <w:rPr>
          <w:sz w:val="20"/>
        </w:rPr>
        <w:t>79</w:t>
      </w:r>
      <w:r w:rsidRPr="002B1B34">
        <w:rPr>
          <w:sz w:val="20"/>
        </w:rPr>
        <w:tab/>
      </w:r>
      <w:r w:rsidR="002B1B34" w:rsidRPr="002B1B34">
        <w:t xml:space="preserve">The primary judge </w:t>
      </w:r>
      <w:r w:rsidR="00611DE4">
        <w:t>found</w:t>
      </w:r>
      <w:r w:rsidR="002B1B34" w:rsidRPr="002B1B34">
        <w:t xml:space="preserve"> that there was nothing inherently distinctive about the </w:t>
      </w:r>
      <w:r w:rsidR="00370530">
        <w:t>sign HENLEY</w:t>
      </w:r>
      <w:r w:rsidR="002B1B34" w:rsidRPr="002B1B34">
        <w:t xml:space="preserve"> in relation to buildi</w:t>
      </w:r>
      <w:r w:rsidR="00EC4927">
        <w:t xml:space="preserve">ng and construction services.  </w:t>
      </w:r>
      <w:r w:rsidR="00AF6543">
        <w:t xml:space="preserve">Indeed, at </w:t>
      </w:r>
      <w:proofErr w:type="gramStart"/>
      <w:r w:rsidR="00AF6543">
        <w:t>J[</w:t>
      </w:r>
      <w:proofErr w:type="gramEnd"/>
      <w:r w:rsidR="00AF6543">
        <w:t xml:space="preserve">824] he found that </w:t>
      </w:r>
      <w:r w:rsidR="00370530">
        <w:t>HENLEY</w:t>
      </w:r>
      <w:r w:rsidR="00AF6543">
        <w:t xml:space="preserve"> was, without mo</w:t>
      </w:r>
      <w:r w:rsidR="00EC4927">
        <w:t xml:space="preserve">re, a “non-distinctive mark”.  </w:t>
      </w:r>
      <w:r w:rsidR="002B1B34" w:rsidRPr="002B1B34">
        <w:t xml:space="preserve">Nevertheless, the primary judge was satisfied that, as at 18 December 2006, the mark had the capacity to distinguish the building and </w:t>
      </w:r>
      <w:r w:rsidR="002B1B34" w:rsidRPr="002B1B34">
        <w:lastRenderedPageBreak/>
        <w:t>construction services provided by the respondent and was registrable on the basis provided by s 41(5) of the Tra</w:t>
      </w:r>
      <w:r w:rsidR="00EC4927">
        <w:t xml:space="preserve">de Marks Act in its then form.  </w:t>
      </w:r>
      <w:proofErr w:type="gramStart"/>
      <w:r w:rsidR="00AF6543">
        <w:t>The</w:t>
      </w:r>
      <w:r w:rsidR="002B1B34" w:rsidRPr="002B1B34">
        <w:t xml:space="preserve"> primary judge went further and, on the basis of the evidence</w:t>
      </w:r>
      <w:r w:rsidR="00370530">
        <w:t xml:space="preserve"> as to the respondent’s use of HENLEY</w:t>
      </w:r>
      <w:r w:rsidR="002B1B34" w:rsidRPr="002B1B34">
        <w:t xml:space="preserve"> in various form</w:t>
      </w:r>
      <w:r w:rsidR="00305755">
        <w:t>s</w:t>
      </w:r>
      <w:r w:rsidR="002B1B34" w:rsidRPr="002B1B34">
        <w:t>, found that, as at</w:t>
      </w:r>
      <w:r w:rsidR="000A50AB">
        <w:t xml:space="preserve"> 18 December 2006, HENLEY</w:t>
      </w:r>
      <w:r w:rsidR="002B1B34" w:rsidRPr="002B1B34">
        <w:t xml:space="preserve"> had, in fact, become distinctive of the building and construction services provided by the respondent such that the requirement of s 41(6) of the Trade Marks Act, in</w:t>
      </w:r>
      <w:r w:rsidR="00EC4927">
        <w:t xml:space="preserve"> its then form, was satisfied.</w:t>
      </w:r>
      <w:proofErr w:type="gramEnd"/>
      <w:r w:rsidR="00EC4927">
        <w:t xml:space="preserve">  </w:t>
      </w:r>
      <w:r w:rsidR="002B1B34" w:rsidRPr="002B1B34">
        <w:t xml:space="preserve">Therefore, this aspect of </w:t>
      </w:r>
      <w:r w:rsidR="00305755">
        <w:t>Henley Constructions’</w:t>
      </w:r>
      <w:r w:rsidR="002B1B34" w:rsidRPr="002B1B34">
        <w:t xml:space="preserve"> challenge failed.  </w:t>
      </w:r>
    </w:p>
    <w:p w14:paraId="2A57A991" w14:textId="3936C8EF" w:rsidR="002B1B34" w:rsidRDefault="00BC7D85" w:rsidP="00BC7D85">
      <w:pPr>
        <w:pStyle w:val="ParaNumbering"/>
        <w:numPr>
          <w:ilvl w:val="0"/>
          <w:numId w:val="0"/>
        </w:numPr>
        <w:ind w:hanging="720"/>
      </w:pPr>
      <w:proofErr w:type="gramStart"/>
      <w:r>
        <w:rPr>
          <w:sz w:val="20"/>
        </w:rPr>
        <w:t>80</w:t>
      </w:r>
      <w:proofErr w:type="gramEnd"/>
      <w:r>
        <w:rPr>
          <w:sz w:val="20"/>
        </w:rPr>
        <w:tab/>
      </w:r>
      <w:r w:rsidR="002B1B34" w:rsidRPr="002B1B34">
        <w:t>Section 62(b) of</w:t>
      </w:r>
      <w:r w:rsidR="00AB49D1">
        <w:t xml:space="preserve"> the Trade Marks Act provides:</w:t>
      </w:r>
    </w:p>
    <w:p w14:paraId="0010F8C5" w14:textId="77777777" w:rsidR="00767359" w:rsidRDefault="00767359" w:rsidP="00767359">
      <w:pPr>
        <w:pStyle w:val="Quote1"/>
        <w:ind w:left="1418"/>
      </w:pPr>
      <w:r>
        <w:t xml:space="preserve">The registration of a </w:t>
      </w:r>
      <w:proofErr w:type="gramStart"/>
      <w:r>
        <w:t>trade mark</w:t>
      </w:r>
      <w:proofErr w:type="gramEnd"/>
      <w:r>
        <w:t xml:space="preserve"> may be opposed on any of the following grounds:</w:t>
      </w:r>
    </w:p>
    <w:p w14:paraId="26244FEC" w14:textId="77777777" w:rsidR="00767359" w:rsidRDefault="00767359" w:rsidP="00767359">
      <w:pPr>
        <w:pStyle w:val="Quote2"/>
        <w:tabs>
          <w:tab w:val="left" w:pos="1985"/>
        </w:tabs>
      </w:pPr>
      <w:r>
        <w:t>…</w:t>
      </w:r>
    </w:p>
    <w:p w14:paraId="5A1AC69C" w14:textId="77777777" w:rsidR="00767359" w:rsidRDefault="00767359" w:rsidP="00767359">
      <w:pPr>
        <w:pStyle w:val="Quote2"/>
        <w:tabs>
          <w:tab w:val="left" w:pos="1985"/>
        </w:tabs>
        <w:ind w:left="1985" w:hanging="545"/>
      </w:pPr>
      <w:r>
        <w:t xml:space="preserve">(b)  </w:t>
      </w:r>
      <w:r>
        <w:tab/>
      </w:r>
      <w:proofErr w:type="gramStart"/>
      <w:r>
        <w:t>that</w:t>
      </w:r>
      <w:proofErr w:type="gramEnd"/>
      <w:r>
        <w:t xml:space="preserve"> the Registrar accepted the application for registration on the basis of evidence or representations that were false in material particulars.</w:t>
      </w:r>
    </w:p>
    <w:p w14:paraId="504226C9" w14:textId="6CBA114E" w:rsidR="002B1B34" w:rsidRPr="002B1B34" w:rsidRDefault="00BC7D85" w:rsidP="00BC7D85">
      <w:pPr>
        <w:pStyle w:val="ParaNumbering"/>
        <w:numPr>
          <w:ilvl w:val="0"/>
          <w:numId w:val="0"/>
        </w:numPr>
        <w:ind w:hanging="720"/>
      </w:pPr>
      <w:r w:rsidRPr="002B1B34">
        <w:rPr>
          <w:sz w:val="20"/>
        </w:rPr>
        <w:t>81</w:t>
      </w:r>
      <w:r w:rsidRPr="002B1B34">
        <w:rPr>
          <w:sz w:val="20"/>
        </w:rPr>
        <w:tab/>
      </w:r>
      <w:r w:rsidR="00AF6543">
        <w:t>Henley Constructions</w:t>
      </w:r>
      <w:r w:rsidR="002B1B34" w:rsidRPr="002B1B34">
        <w:t xml:space="preserve"> submitted that, in order to overcome an objection that the 820 mark was not registrable because of s 41 of the Trade Marks Act in its then </w:t>
      </w:r>
      <w:proofErr w:type="gramStart"/>
      <w:r w:rsidR="002B1B34" w:rsidRPr="002B1B34">
        <w:t>form,</w:t>
      </w:r>
      <w:proofErr w:type="gramEnd"/>
      <w:r w:rsidR="002B1B34" w:rsidRPr="002B1B34">
        <w:t xml:space="preserve"> the respondent filed written submission</w:t>
      </w:r>
      <w:r w:rsidR="00767359">
        <w:t>s</w:t>
      </w:r>
      <w:r w:rsidR="002B1B34" w:rsidRPr="002B1B34">
        <w:t xml:space="preserve"> and a declaration from one of its officers, Janine Armstrong.  </w:t>
      </w:r>
      <w:r w:rsidR="00AF6543">
        <w:t>Henley Constructions</w:t>
      </w:r>
      <w:r w:rsidR="002B1B34" w:rsidRPr="002B1B34">
        <w:t xml:space="preserve"> submitted that these documents falsely represented that the respondent had </w:t>
      </w:r>
      <w:r w:rsidR="000A50AB">
        <w:t>engaged in national use of the HENLEY</w:t>
      </w:r>
      <w:r w:rsidR="002B1B34" w:rsidRPr="002B1B34">
        <w:t xml:space="preserve"> mark and that it intended to expand that use, at a time when, in fact, the respondent had a branding strategy for each State market.  For New South Wales, that str</w:t>
      </w:r>
      <w:r w:rsidR="000A50AB">
        <w:t>ategy was to operate under the EDGEWATER brand.</w:t>
      </w:r>
      <w:r w:rsidR="00EC4927">
        <w:t xml:space="preserve">  </w:t>
      </w:r>
      <w:r w:rsidR="00AF6543">
        <w:t>Henley Constructions</w:t>
      </w:r>
      <w:r w:rsidR="002B1B34" w:rsidRPr="002B1B34">
        <w:t xml:space="preserve"> contended that these allegedly false representations were material to the Registrar’s decision to accept the application for registration, an</w:t>
      </w:r>
      <w:r w:rsidR="00EC4927">
        <w:t xml:space="preserve">d caused acceptance to occur.  </w:t>
      </w:r>
    </w:p>
    <w:p w14:paraId="14D6DE3D" w14:textId="0EEE72E2" w:rsidR="002B1B34" w:rsidRPr="002B1B34" w:rsidRDefault="00BC7D85" w:rsidP="00BC7D85">
      <w:pPr>
        <w:pStyle w:val="ParaNumbering"/>
        <w:numPr>
          <w:ilvl w:val="0"/>
          <w:numId w:val="0"/>
        </w:numPr>
        <w:ind w:hanging="720"/>
      </w:pPr>
      <w:r w:rsidRPr="002B1B34">
        <w:rPr>
          <w:sz w:val="20"/>
        </w:rPr>
        <w:t>82</w:t>
      </w:r>
      <w:r w:rsidRPr="002B1B34">
        <w:rPr>
          <w:sz w:val="20"/>
        </w:rPr>
        <w:tab/>
      </w:r>
      <w:r w:rsidR="002B1B34" w:rsidRPr="002B1B34">
        <w:t>The primary judge was not satisfied, on the evidence, that the statements made in the written submissions and the declaration conveyed the alleged representations.  The primary judge said that the evidence on this issue was “simply inad</w:t>
      </w:r>
      <w:r w:rsidR="00EC4927">
        <w:t xml:space="preserve">equate to make any findings”.  </w:t>
      </w:r>
      <w:r w:rsidR="002B1B34" w:rsidRPr="002B1B34">
        <w:t xml:space="preserve">  </w:t>
      </w:r>
    </w:p>
    <w:p w14:paraId="12188F3F" w14:textId="362D9D0B" w:rsidR="002B1B34" w:rsidRPr="002B1B34" w:rsidRDefault="00BC7D85" w:rsidP="00BC7D85">
      <w:pPr>
        <w:pStyle w:val="ParaNumbering"/>
        <w:numPr>
          <w:ilvl w:val="0"/>
          <w:numId w:val="0"/>
        </w:numPr>
        <w:ind w:hanging="720"/>
      </w:pPr>
      <w:r w:rsidRPr="002B1B34">
        <w:rPr>
          <w:sz w:val="20"/>
        </w:rPr>
        <w:t>83</w:t>
      </w:r>
      <w:r w:rsidRPr="002B1B34">
        <w:rPr>
          <w:sz w:val="20"/>
        </w:rPr>
        <w:tab/>
      </w:r>
      <w:r w:rsidR="002B1B34" w:rsidRPr="002B1B34">
        <w:t xml:space="preserve">The primary judge also found that the objection failed on the question of causation.  There was no evidence upon which a finding </w:t>
      </w:r>
      <w:proofErr w:type="gramStart"/>
      <w:r w:rsidR="002B1B34" w:rsidRPr="002B1B34">
        <w:t>could be made</w:t>
      </w:r>
      <w:proofErr w:type="gramEnd"/>
      <w:r w:rsidR="002B1B34" w:rsidRPr="002B1B34">
        <w:t xml:space="preserve"> as to what information the Registrar relied upon in accepting the application for registration.  </w:t>
      </w:r>
    </w:p>
    <w:p w14:paraId="533C297F" w14:textId="656D88FF" w:rsidR="002B1B34" w:rsidRPr="002B1B34" w:rsidRDefault="00BC7D85" w:rsidP="00BC7D85">
      <w:pPr>
        <w:pStyle w:val="ParaNumbering"/>
        <w:numPr>
          <w:ilvl w:val="0"/>
          <w:numId w:val="0"/>
        </w:numPr>
        <w:ind w:hanging="720"/>
      </w:pPr>
      <w:r w:rsidRPr="002B1B34">
        <w:rPr>
          <w:sz w:val="20"/>
        </w:rPr>
        <w:t>84</w:t>
      </w:r>
      <w:r w:rsidRPr="002B1B34">
        <w:rPr>
          <w:sz w:val="20"/>
        </w:rPr>
        <w:tab/>
      </w:r>
      <w:r w:rsidR="002B1B34" w:rsidRPr="002B1B34">
        <w:t xml:space="preserve">Therefore, this aspect of </w:t>
      </w:r>
      <w:r w:rsidR="00AF6543">
        <w:t>Henley Constructions’</w:t>
      </w:r>
      <w:r w:rsidR="00EC4927">
        <w:t xml:space="preserve"> challenge also failed.  </w:t>
      </w:r>
    </w:p>
    <w:p w14:paraId="4610BD29" w14:textId="77777777" w:rsidR="002B1B34" w:rsidRPr="002B1B34" w:rsidRDefault="00767359" w:rsidP="00767359">
      <w:pPr>
        <w:pStyle w:val="Heading3"/>
      </w:pPr>
      <w:bookmarkStart w:id="36" w:name="_Ref133418093"/>
      <w:r>
        <w:t>Removal for non-use</w:t>
      </w:r>
      <w:bookmarkEnd w:id="36"/>
      <w:r>
        <w:t xml:space="preserve"> </w:t>
      </w:r>
    </w:p>
    <w:p w14:paraId="0B35A770" w14:textId="6D8A15A7" w:rsidR="002B1B34" w:rsidRDefault="00BC7D85" w:rsidP="00BC7D85">
      <w:pPr>
        <w:pStyle w:val="ParaNumbering"/>
        <w:numPr>
          <w:ilvl w:val="0"/>
          <w:numId w:val="0"/>
        </w:numPr>
        <w:ind w:hanging="720"/>
      </w:pPr>
      <w:r>
        <w:rPr>
          <w:sz w:val="20"/>
        </w:rPr>
        <w:t>85</w:t>
      </w:r>
      <w:r>
        <w:rPr>
          <w:sz w:val="20"/>
        </w:rPr>
        <w:tab/>
      </w:r>
      <w:r w:rsidR="00FF2076">
        <w:t xml:space="preserve">Relevantly, s </w:t>
      </w:r>
      <w:r w:rsidR="002B1B34" w:rsidRPr="002B1B34">
        <w:t xml:space="preserve">92 of the Trade </w:t>
      </w:r>
      <w:r w:rsidR="00AB49D1">
        <w:t>Mark</w:t>
      </w:r>
      <w:r w:rsidR="00B12E51">
        <w:t>s</w:t>
      </w:r>
      <w:r w:rsidR="00AB49D1">
        <w:t xml:space="preserve"> Act provides:</w:t>
      </w:r>
    </w:p>
    <w:p w14:paraId="2465297D" w14:textId="77777777" w:rsidR="00767359" w:rsidRDefault="00767359" w:rsidP="004A3847">
      <w:pPr>
        <w:pStyle w:val="Quote1"/>
        <w:tabs>
          <w:tab w:val="left" w:pos="1418"/>
        </w:tabs>
        <w:ind w:left="1418" w:hanging="681"/>
      </w:pPr>
      <w:r>
        <w:lastRenderedPageBreak/>
        <w:t xml:space="preserve">(1)  </w:t>
      </w:r>
      <w:r w:rsidR="004A3847">
        <w:tab/>
      </w:r>
      <w:r>
        <w:t xml:space="preserve">Subject to subsection (3), a person may apply to the Registrar to have a trade mark that is or </w:t>
      </w:r>
      <w:proofErr w:type="gramStart"/>
      <w:r>
        <w:t>may be registered</w:t>
      </w:r>
      <w:proofErr w:type="gramEnd"/>
      <w:r>
        <w:t xml:space="preserve"> removed from the Register.</w:t>
      </w:r>
    </w:p>
    <w:p w14:paraId="57F563EB" w14:textId="77777777" w:rsidR="00767359" w:rsidRDefault="00767359" w:rsidP="004A3847">
      <w:pPr>
        <w:pStyle w:val="Quote1"/>
        <w:tabs>
          <w:tab w:val="left" w:pos="1418"/>
          <w:tab w:val="left" w:pos="2552"/>
        </w:tabs>
      </w:pPr>
      <w:r>
        <w:t xml:space="preserve">(2)  </w:t>
      </w:r>
      <w:r w:rsidR="004A3847">
        <w:tab/>
      </w:r>
      <w:r>
        <w:t>The application:</w:t>
      </w:r>
    </w:p>
    <w:p w14:paraId="7C072175" w14:textId="77777777" w:rsidR="00767359" w:rsidRDefault="00767359" w:rsidP="00387D02">
      <w:pPr>
        <w:pStyle w:val="Quote2"/>
        <w:ind w:left="2160" w:hanging="720"/>
      </w:pPr>
      <w:r>
        <w:t xml:space="preserve">(a)  </w:t>
      </w:r>
      <w:r w:rsidR="004A3847">
        <w:tab/>
      </w:r>
      <w:proofErr w:type="gramStart"/>
      <w:r>
        <w:t>must</w:t>
      </w:r>
      <w:proofErr w:type="gramEnd"/>
      <w:r>
        <w:t xml:space="preserve"> be in accordance with the regulations; and</w:t>
      </w:r>
    </w:p>
    <w:p w14:paraId="389B85B5" w14:textId="77777777" w:rsidR="00767359" w:rsidRDefault="00767359" w:rsidP="00387D02">
      <w:pPr>
        <w:pStyle w:val="Quote2"/>
        <w:ind w:left="2160" w:hanging="720"/>
      </w:pPr>
      <w:r>
        <w:t xml:space="preserve">(b)  </w:t>
      </w:r>
      <w:r w:rsidR="004A3847">
        <w:tab/>
      </w:r>
      <w:proofErr w:type="gramStart"/>
      <w:r>
        <w:t>may</w:t>
      </w:r>
      <w:proofErr w:type="gramEnd"/>
      <w:r>
        <w:t xml:space="preserve"> be made in respect of any or all of the goods and/or services in respect of which the trade mark may be, or is, registered.</w:t>
      </w:r>
    </w:p>
    <w:p w14:paraId="41654280" w14:textId="77777777" w:rsidR="00767359" w:rsidRDefault="00767359" w:rsidP="004A3847">
      <w:pPr>
        <w:pStyle w:val="Quote1"/>
        <w:tabs>
          <w:tab w:val="left" w:pos="1418"/>
        </w:tabs>
        <w:ind w:left="1418" w:hanging="681"/>
      </w:pPr>
      <w:r>
        <w:t xml:space="preserve">(3)  </w:t>
      </w:r>
      <w:r w:rsidR="004A3847">
        <w:tab/>
      </w:r>
      <w:r>
        <w:t xml:space="preserve">An application may not be made to the Registrar under subsection (1) if an action concerning the </w:t>
      </w:r>
      <w:proofErr w:type="gramStart"/>
      <w:r>
        <w:t>trade mark</w:t>
      </w:r>
      <w:proofErr w:type="gramEnd"/>
      <w:r>
        <w:t xml:space="preserve"> is pending in a prescribed court, but the person may apply to the court for an order directing the Registrar to remove the trade mark from the Register.</w:t>
      </w:r>
    </w:p>
    <w:p w14:paraId="64B508DB" w14:textId="77777777" w:rsidR="00767359" w:rsidRPr="004A3847" w:rsidRDefault="004A3847" w:rsidP="004A3847">
      <w:pPr>
        <w:pStyle w:val="Quote2"/>
        <w:rPr>
          <w:sz w:val="20"/>
        </w:rPr>
      </w:pPr>
      <w:r w:rsidRPr="004A3847">
        <w:rPr>
          <w:sz w:val="20"/>
        </w:rPr>
        <w:t>Note:</w:t>
      </w:r>
      <w:r w:rsidRPr="004A3847">
        <w:rPr>
          <w:sz w:val="20"/>
        </w:rPr>
        <w:tab/>
      </w:r>
      <w:r w:rsidR="00767359" w:rsidRPr="004A3847">
        <w:rPr>
          <w:sz w:val="20"/>
        </w:rPr>
        <w:t xml:space="preserve">For </w:t>
      </w:r>
      <w:r w:rsidR="00767359" w:rsidRPr="00B12E51">
        <w:rPr>
          <w:b/>
          <w:i/>
          <w:sz w:val="20"/>
        </w:rPr>
        <w:t xml:space="preserve">prescribed </w:t>
      </w:r>
      <w:proofErr w:type="gramStart"/>
      <w:r w:rsidR="00767359" w:rsidRPr="00B12E51">
        <w:rPr>
          <w:b/>
          <w:i/>
          <w:sz w:val="20"/>
        </w:rPr>
        <w:t>court</w:t>
      </w:r>
      <w:proofErr w:type="gramEnd"/>
      <w:r w:rsidR="00767359" w:rsidRPr="004A3847">
        <w:rPr>
          <w:sz w:val="20"/>
        </w:rPr>
        <w:t xml:space="preserve"> see section 190.</w:t>
      </w:r>
    </w:p>
    <w:p w14:paraId="1021AA07" w14:textId="77777777" w:rsidR="00767359" w:rsidRDefault="00767359" w:rsidP="004A3847">
      <w:pPr>
        <w:pStyle w:val="Quote1"/>
        <w:tabs>
          <w:tab w:val="left" w:pos="1418"/>
        </w:tabs>
        <w:ind w:left="1418" w:hanging="681"/>
      </w:pPr>
      <w:r>
        <w:t xml:space="preserve">(4)  </w:t>
      </w:r>
      <w:r w:rsidR="004A3847">
        <w:tab/>
      </w:r>
      <w:r>
        <w:t>An applicatio</w:t>
      </w:r>
      <w:r w:rsidR="004A3847">
        <w:t>n under subsection (1) or (3) (</w:t>
      </w:r>
      <w:r w:rsidRPr="00B12E51">
        <w:rPr>
          <w:b/>
          <w:i/>
        </w:rPr>
        <w:t xml:space="preserve">non-use </w:t>
      </w:r>
      <w:proofErr w:type="gramStart"/>
      <w:r w:rsidRPr="00B12E51">
        <w:rPr>
          <w:b/>
          <w:i/>
        </w:rPr>
        <w:t>application</w:t>
      </w:r>
      <w:r>
        <w:t xml:space="preserve"> )</w:t>
      </w:r>
      <w:proofErr w:type="gramEnd"/>
      <w:r>
        <w:t xml:space="preserve"> may be made on either or both of the following grounds, and on no other grounds:</w:t>
      </w:r>
    </w:p>
    <w:p w14:paraId="76849AAB" w14:textId="77777777" w:rsidR="00767359" w:rsidRDefault="00767359" w:rsidP="004A3847">
      <w:pPr>
        <w:pStyle w:val="Quote2"/>
        <w:tabs>
          <w:tab w:val="left" w:pos="1985"/>
        </w:tabs>
        <w:ind w:left="1985" w:hanging="545"/>
      </w:pPr>
      <w:r>
        <w:t xml:space="preserve">(a)  </w:t>
      </w:r>
      <w:r w:rsidR="004A3847">
        <w:tab/>
      </w:r>
      <w:proofErr w:type="gramStart"/>
      <w:r>
        <w:t>that</w:t>
      </w:r>
      <w:proofErr w:type="gramEnd"/>
      <w:r>
        <w:t>, on the day on which the application for the registration of the trade mark was filed, the applicant for registration had no intention in good faith:</w:t>
      </w:r>
    </w:p>
    <w:p w14:paraId="582E80F0" w14:textId="77777777" w:rsidR="00767359" w:rsidRDefault="00767359" w:rsidP="00387D02">
      <w:pPr>
        <w:pStyle w:val="Quote3"/>
        <w:ind w:left="2880" w:hanging="720"/>
      </w:pPr>
      <w:r>
        <w:t>(</w:t>
      </w:r>
      <w:proofErr w:type="spellStart"/>
      <w:r>
        <w:t>i</w:t>
      </w:r>
      <w:proofErr w:type="spellEnd"/>
      <w:r>
        <w:t xml:space="preserve">)  </w:t>
      </w:r>
      <w:r w:rsidR="004A3847">
        <w:tab/>
      </w:r>
      <w:proofErr w:type="gramStart"/>
      <w:r>
        <w:t>to</w:t>
      </w:r>
      <w:proofErr w:type="gramEnd"/>
      <w:r>
        <w:t xml:space="preserve"> use the trade mark in Australia; or</w:t>
      </w:r>
    </w:p>
    <w:p w14:paraId="0B1569E8" w14:textId="77777777" w:rsidR="00767359" w:rsidRDefault="00767359" w:rsidP="00387D02">
      <w:pPr>
        <w:pStyle w:val="Quote3"/>
        <w:ind w:left="2880" w:hanging="720"/>
      </w:pPr>
      <w:r>
        <w:t xml:space="preserve">(ii)  </w:t>
      </w:r>
      <w:r w:rsidR="004A3847">
        <w:tab/>
      </w:r>
      <w:proofErr w:type="gramStart"/>
      <w:r>
        <w:t>to</w:t>
      </w:r>
      <w:proofErr w:type="gramEnd"/>
      <w:r>
        <w:t xml:space="preserve"> authorise the use of the trade mark in Australia; or</w:t>
      </w:r>
    </w:p>
    <w:p w14:paraId="4F8CA047" w14:textId="77777777" w:rsidR="00767359" w:rsidRDefault="00767359" w:rsidP="00387D02">
      <w:pPr>
        <w:pStyle w:val="Quote3"/>
        <w:ind w:left="2880" w:hanging="720"/>
      </w:pPr>
      <w:r>
        <w:t xml:space="preserve">(iii)  </w:t>
      </w:r>
      <w:r w:rsidR="004A3847">
        <w:tab/>
      </w:r>
      <w:proofErr w:type="gramStart"/>
      <w:r>
        <w:t>to</w:t>
      </w:r>
      <w:proofErr w:type="gramEnd"/>
      <w:r>
        <w:t xml:space="preserve"> assign the trade mark to a body corporate for use by the body corporate in Australia;</w:t>
      </w:r>
    </w:p>
    <w:p w14:paraId="60EDAA12" w14:textId="5F261A60" w:rsidR="00767359" w:rsidRDefault="00767359" w:rsidP="00387D02">
      <w:pPr>
        <w:pStyle w:val="Quote3"/>
      </w:pPr>
      <w:proofErr w:type="gramStart"/>
      <w:r>
        <w:t>in</w:t>
      </w:r>
      <w:proofErr w:type="gramEnd"/>
      <w:r>
        <w:t xml:space="preserve"> relation to the goods and/or services to which the non-use application relates and that the registered owner:</w:t>
      </w:r>
    </w:p>
    <w:p w14:paraId="18A24C0F" w14:textId="77777777" w:rsidR="00767359" w:rsidRDefault="00767359" w:rsidP="00387D02">
      <w:pPr>
        <w:pStyle w:val="Quote3"/>
      </w:pPr>
      <w:r>
        <w:t xml:space="preserve">(iv)  </w:t>
      </w:r>
      <w:proofErr w:type="gramStart"/>
      <w:r>
        <w:t>has</w:t>
      </w:r>
      <w:proofErr w:type="gramEnd"/>
      <w:r>
        <w:t xml:space="preserve"> not used the trade mark in Australia; or</w:t>
      </w:r>
    </w:p>
    <w:p w14:paraId="254C94EC" w14:textId="77777777" w:rsidR="00767359" w:rsidRDefault="00767359" w:rsidP="00387D02">
      <w:pPr>
        <w:pStyle w:val="Quote3"/>
      </w:pPr>
      <w:r>
        <w:t xml:space="preserve">(v)  </w:t>
      </w:r>
      <w:proofErr w:type="gramStart"/>
      <w:r>
        <w:t>has</w:t>
      </w:r>
      <w:proofErr w:type="gramEnd"/>
      <w:r>
        <w:t xml:space="preserve"> not used the trade mark in good faith in Australia;</w:t>
      </w:r>
    </w:p>
    <w:p w14:paraId="05F9E16D" w14:textId="77777777" w:rsidR="00767359" w:rsidRDefault="00767359" w:rsidP="00387D02">
      <w:pPr>
        <w:pStyle w:val="Quote3"/>
      </w:pPr>
      <w:r>
        <w:t>in relation to those goods and/or services at any time before the period of one month ending on the day on which the non-use application is filed;</w:t>
      </w:r>
    </w:p>
    <w:p w14:paraId="5E49D535" w14:textId="77777777" w:rsidR="00767359" w:rsidRDefault="00767359" w:rsidP="004A3847">
      <w:pPr>
        <w:pStyle w:val="Quote2"/>
        <w:tabs>
          <w:tab w:val="left" w:pos="1985"/>
        </w:tabs>
        <w:ind w:left="1985" w:hanging="545"/>
      </w:pPr>
      <w:r>
        <w:t xml:space="preserve">(b)  </w:t>
      </w:r>
      <w:r w:rsidR="004A3847">
        <w:tab/>
      </w:r>
      <w:proofErr w:type="gramStart"/>
      <w:r>
        <w:t>that</w:t>
      </w:r>
      <w:proofErr w:type="gramEnd"/>
      <w:r>
        <w:t xml:space="preserve"> the trade mark has remained registered for a continuous period of 3 years ending one month before the day on which the non-use application is filed, and, at no time during that period, the person who was then the registered owner:</w:t>
      </w:r>
    </w:p>
    <w:p w14:paraId="51853E73" w14:textId="77777777" w:rsidR="00767359" w:rsidRDefault="00767359" w:rsidP="00387D02">
      <w:pPr>
        <w:pStyle w:val="Quote3"/>
      </w:pPr>
      <w:r>
        <w:t>(</w:t>
      </w:r>
      <w:proofErr w:type="spellStart"/>
      <w:r>
        <w:t>i</w:t>
      </w:r>
      <w:proofErr w:type="spellEnd"/>
      <w:r>
        <w:t xml:space="preserve">)  </w:t>
      </w:r>
      <w:r w:rsidR="004A3847">
        <w:tab/>
      </w:r>
      <w:proofErr w:type="gramStart"/>
      <w:r>
        <w:t>used</w:t>
      </w:r>
      <w:proofErr w:type="gramEnd"/>
      <w:r>
        <w:t xml:space="preserve"> the trade mark in Australia; or</w:t>
      </w:r>
    </w:p>
    <w:p w14:paraId="7FB9A6B4" w14:textId="77777777" w:rsidR="00767359" w:rsidRDefault="00767359" w:rsidP="00387D02">
      <w:pPr>
        <w:pStyle w:val="Quote3"/>
      </w:pPr>
      <w:r>
        <w:t xml:space="preserve">(ii)  </w:t>
      </w:r>
      <w:r w:rsidR="004A3847">
        <w:tab/>
      </w:r>
      <w:proofErr w:type="gramStart"/>
      <w:r>
        <w:t>used</w:t>
      </w:r>
      <w:proofErr w:type="gramEnd"/>
      <w:r>
        <w:t xml:space="preserve"> the trade mark in good faith in Australia;</w:t>
      </w:r>
    </w:p>
    <w:p w14:paraId="103D3AEF" w14:textId="77777777" w:rsidR="00767359" w:rsidRDefault="00767359" w:rsidP="00387D02">
      <w:pPr>
        <w:pStyle w:val="Quote3"/>
      </w:pPr>
      <w:proofErr w:type="gramStart"/>
      <w:r>
        <w:t>in</w:t>
      </w:r>
      <w:proofErr w:type="gramEnd"/>
      <w:r>
        <w:t xml:space="preserve"> relation to the goods and/or services to which the application relates.</w:t>
      </w:r>
    </w:p>
    <w:p w14:paraId="180A99E6" w14:textId="77777777" w:rsidR="00767359" w:rsidRPr="004A3847" w:rsidRDefault="00767359" w:rsidP="004A3847">
      <w:pPr>
        <w:pStyle w:val="Quote2"/>
        <w:tabs>
          <w:tab w:val="left" w:pos="2268"/>
        </w:tabs>
        <w:rPr>
          <w:sz w:val="20"/>
        </w:rPr>
      </w:pPr>
      <w:r w:rsidRPr="004A3847">
        <w:rPr>
          <w:sz w:val="20"/>
        </w:rPr>
        <w:t>Note 1:</w:t>
      </w:r>
      <w:r w:rsidR="004A3847">
        <w:rPr>
          <w:sz w:val="20"/>
        </w:rPr>
        <w:tab/>
      </w:r>
      <w:r w:rsidRPr="004A3847">
        <w:rPr>
          <w:sz w:val="20"/>
        </w:rPr>
        <w:t xml:space="preserve">For </w:t>
      </w:r>
      <w:r w:rsidRPr="001F37FE">
        <w:rPr>
          <w:b/>
          <w:i/>
          <w:sz w:val="20"/>
        </w:rPr>
        <w:t>file</w:t>
      </w:r>
      <w:r w:rsidRPr="004A3847">
        <w:rPr>
          <w:sz w:val="20"/>
        </w:rPr>
        <w:t xml:space="preserve"> and </w:t>
      </w:r>
      <w:proofErr w:type="gramStart"/>
      <w:r w:rsidRPr="001F37FE">
        <w:rPr>
          <w:b/>
          <w:i/>
          <w:sz w:val="20"/>
        </w:rPr>
        <w:t>month</w:t>
      </w:r>
      <w:proofErr w:type="gramEnd"/>
      <w:r w:rsidRPr="004A3847">
        <w:rPr>
          <w:sz w:val="20"/>
        </w:rPr>
        <w:t xml:space="preserve"> see section 6.</w:t>
      </w:r>
    </w:p>
    <w:p w14:paraId="69BED36F" w14:textId="77777777" w:rsidR="00767359" w:rsidRPr="004A3847" w:rsidRDefault="004A3847" w:rsidP="004A3847">
      <w:pPr>
        <w:pStyle w:val="Quote2"/>
        <w:tabs>
          <w:tab w:val="left" w:pos="2268"/>
        </w:tabs>
        <w:ind w:left="2268" w:hanging="828"/>
        <w:rPr>
          <w:sz w:val="20"/>
        </w:rPr>
      </w:pPr>
      <w:r>
        <w:rPr>
          <w:sz w:val="20"/>
        </w:rPr>
        <w:t>Note 2:</w:t>
      </w:r>
      <w:r>
        <w:rPr>
          <w:sz w:val="20"/>
        </w:rPr>
        <w:tab/>
      </w:r>
      <w:r w:rsidR="00767359" w:rsidRPr="004A3847">
        <w:rPr>
          <w:sz w:val="20"/>
        </w:rPr>
        <w:t>If non-use of a trade mark has been established in a particular place or export market, then instead of the trade mark being removed from the Register, conditions or limitations may be imposed under section 102 on the registration of the trade mark so that its registration does not extend to that place or export market.</w:t>
      </w:r>
    </w:p>
    <w:p w14:paraId="58C24315" w14:textId="2BAA6927" w:rsidR="00767359" w:rsidRDefault="004A3847" w:rsidP="004A3847">
      <w:pPr>
        <w:pStyle w:val="Quote2"/>
        <w:tabs>
          <w:tab w:val="left" w:pos="2268"/>
        </w:tabs>
        <w:ind w:left="2268" w:hanging="828"/>
        <w:rPr>
          <w:sz w:val="20"/>
        </w:rPr>
      </w:pPr>
      <w:r>
        <w:rPr>
          <w:sz w:val="20"/>
        </w:rPr>
        <w:lastRenderedPageBreak/>
        <w:t>Note 3:</w:t>
      </w:r>
      <w:r>
        <w:rPr>
          <w:sz w:val="20"/>
        </w:rPr>
        <w:tab/>
      </w:r>
      <w:r w:rsidR="00767359" w:rsidRPr="004A3847">
        <w:rPr>
          <w:sz w:val="20"/>
        </w:rPr>
        <w:t xml:space="preserve">For when the registration of a </w:t>
      </w:r>
      <w:proofErr w:type="gramStart"/>
      <w:r w:rsidR="00767359" w:rsidRPr="004A3847">
        <w:rPr>
          <w:sz w:val="20"/>
        </w:rPr>
        <w:t>trade mark</w:t>
      </w:r>
      <w:proofErr w:type="gramEnd"/>
      <w:r w:rsidR="00767359" w:rsidRPr="004A3847">
        <w:rPr>
          <w:sz w:val="20"/>
        </w:rPr>
        <w:t xml:space="preserve"> is taken to have effect, see sections 72 and 239A.</w:t>
      </w:r>
    </w:p>
    <w:p w14:paraId="4390D80E" w14:textId="59D1F658" w:rsidR="00720B62" w:rsidRPr="004A3847" w:rsidRDefault="00720B62" w:rsidP="004A3847">
      <w:pPr>
        <w:pStyle w:val="Quote2"/>
        <w:tabs>
          <w:tab w:val="left" w:pos="2268"/>
        </w:tabs>
        <w:ind w:left="2268" w:hanging="828"/>
        <w:rPr>
          <w:sz w:val="20"/>
        </w:rPr>
      </w:pPr>
      <w:r>
        <w:rPr>
          <w:sz w:val="20"/>
        </w:rPr>
        <w:t>…</w:t>
      </w:r>
    </w:p>
    <w:p w14:paraId="69BA6045" w14:textId="458A812B" w:rsidR="002B1B34" w:rsidRPr="002B1B34" w:rsidRDefault="00BC7D85" w:rsidP="00BC7D85">
      <w:pPr>
        <w:pStyle w:val="ParaNumbering"/>
        <w:numPr>
          <w:ilvl w:val="0"/>
          <w:numId w:val="0"/>
        </w:numPr>
        <w:ind w:hanging="720"/>
      </w:pPr>
      <w:r w:rsidRPr="002B1B34">
        <w:rPr>
          <w:sz w:val="20"/>
        </w:rPr>
        <w:t>86</w:t>
      </w:r>
      <w:r w:rsidRPr="002B1B34">
        <w:rPr>
          <w:sz w:val="20"/>
        </w:rPr>
        <w:tab/>
      </w:r>
      <w:r w:rsidR="002B1B34" w:rsidRPr="002B1B34">
        <w:t xml:space="preserve">The primary judge found that the respondent had established, on the balance of probabilities, that it had used the </w:t>
      </w:r>
      <w:r w:rsidR="00154146">
        <w:t>820</w:t>
      </w:r>
      <w:r w:rsidR="002B1B34" w:rsidRPr="002B1B34">
        <w:t xml:space="preserve"> mark in good faith, including in New South Wales, in respect of the registered services i</w:t>
      </w:r>
      <w:r w:rsidR="00EC4927">
        <w:t xml:space="preserve">n the claimed non-use period. </w:t>
      </w:r>
      <w:r w:rsidR="002B1B34" w:rsidRPr="002B1B34">
        <w:t xml:space="preserve">  </w:t>
      </w:r>
    </w:p>
    <w:p w14:paraId="2E0C31CD" w14:textId="5DB00A5D" w:rsidR="002B1B34" w:rsidRPr="002B1B34" w:rsidRDefault="00BC7D85" w:rsidP="00BC7D85">
      <w:pPr>
        <w:pStyle w:val="ParaNumbering"/>
        <w:numPr>
          <w:ilvl w:val="0"/>
          <w:numId w:val="0"/>
        </w:numPr>
        <w:ind w:hanging="720"/>
      </w:pPr>
      <w:r w:rsidRPr="002B1B34">
        <w:rPr>
          <w:sz w:val="20"/>
        </w:rPr>
        <w:t>87</w:t>
      </w:r>
      <w:r w:rsidRPr="002B1B34">
        <w:rPr>
          <w:sz w:val="20"/>
        </w:rPr>
        <w:tab/>
      </w:r>
      <w:r w:rsidR="002B1B34" w:rsidRPr="002B1B34">
        <w:t xml:space="preserve">Further, the primary judge </w:t>
      </w:r>
      <w:proofErr w:type="gramStart"/>
      <w:r w:rsidR="002B1B34" w:rsidRPr="002B1B34">
        <w:t>was not persuaded</w:t>
      </w:r>
      <w:proofErr w:type="gramEnd"/>
      <w:r w:rsidR="002B1B34" w:rsidRPr="002B1B34">
        <w:t xml:space="preserve"> that a limitation should be imposed on the specification of the class 37 services, as sought by the appellants.  In this regard, the primary judge was persuaded that there was not a meaningful distinction between, on the one hand, building and construction services and, on the other hand, building and construction services in respect of multi-dwelling residential apartments.    </w:t>
      </w:r>
    </w:p>
    <w:p w14:paraId="24DF4D2E" w14:textId="1FA6D116" w:rsidR="002B1B34" w:rsidRPr="002B1B34" w:rsidRDefault="00BC7D85" w:rsidP="00BC7D85">
      <w:pPr>
        <w:pStyle w:val="ParaNumbering"/>
        <w:numPr>
          <w:ilvl w:val="0"/>
          <w:numId w:val="0"/>
        </w:numPr>
        <w:ind w:hanging="720"/>
      </w:pPr>
      <w:proofErr w:type="gramStart"/>
      <w:r w:rsidRPr="002B1B34">
        <w:rPr>
          <w:sz w:val="20"/>
        </w:rPr>
        <w:t>88</w:t>
      </w:r>
      <w:proofErr w:type="gramEnd"/>
      <w:r w:rsidRPr="002B1B34">
        <w:rPr>
          <w:sz w:val="20"/>
        </w:rPr>
        <w:tab/>
      </w:r>
      <w:r w:rsidR="002B1B34" w:rsidRPr="002B1B34">
        <w:t xml:space="preserve">In any event, the primary judge was satisfied that the respondent had, in fact, used the </w:t>
      </w:r>
      <w:r w:rsidR="00154146">
        <w:t>820</w:t>
      </w:r>
      <w:r w:rsidR="002B1B34" w:rsidRPr="002B1B34">
        <w:t xml:space="preserve"> mark in respect of multi-dwe</w:t>
      </w:r>
      <w:r w:rsidR="00EC4927">
        <w:t xml:space="preserve">lling residential apartments.  </w:t>
      </w:r>
      <w:r w:rsidR="002B1B34" w:rsidRPr="002B1B34">
        <w:t xml:space="preserve">His Honour also said that, even if he </w:t>
      </w:r>
      <w:proofErr w:type="gramStart"/>
      <w:r w:rsidR="002B1B34" w:rsidRPr="002B1B34">
        <w:t>had not been persuaded</w:t>
      </w:r>
      <w:proofErr w:type="gramEnd"/>
      <w:r w:rsidR="002B1B34" w:rsidRPr="002B1B34">
        <w:t xml:space="preserve"> of that fact, he would have been persuaded to exercise the discretion under s 101(3) of the Trade Marks Act </w:t>
      </w:r>
      <w:r w:rsidR="00154146">
        <w:t xml:space="preserve">not </w:t>
      </w:r>
      <w:r w:rsidR="002B1B34" w:rsidRPr="002B1B34">
        <w:t>to remov</w:t>
      </w:r>
      <w:r w:rsidR="00EC4927">
        <w:t xml:space="preserve">e the mark from the Register. </w:t>
      </w:r>
    </w:p>
    <w:p w14:paraId="25A0B108" w14:textId="00823E90" w:rsidR="002B1B34" w:rsidRPr="002B1B34" w:rsidRDefault="00BC7D85" w:rsidP="00BC7D85">
      <w:pPr>
        <w:pStyle w:val="ParaNumbering"/>
        <w:numPr>
          <w:ilvl w:val="0"/>
          <w:numId w:val="0"/>
        </w:numPr>
        <w:ind w:hanging="720"/>
      </w:pPr>
      <w:r w:rsidRPr="002B1B34">
        <w:rPr>
          <w:sz w:val="20"/>
        </w:rPr>
        <w:t>89</w:t>
      </w:r>
      <w:r w:rsidRPr="002B1B34">
        <w:rPr>
          <w:sz w:val="20"/>
        </w:rPr>
        <w:tab/>
      </w:r>
      <w:r w:rsidR="002B1B34" w:rsidRPr="002B1B34">
        <w:t xml:space="preserve">As to the 818 mark (the “HENLEY PROPERTIES” Device Mark), the primary judge reasoned (at </w:t>
      </w:r>
      <w:proofErr w:type="gramStart"/>
      <w:r w:rsidR="002B1B34" w:rsidRPr="002B1B34">
        <w:t>J[</w:t>
      </w:r>
      <w:proofErr w:type="gramEnd"/>
      <w:r w:rsidR="002B1B34" w:rsidRPr="002B1B34">
        <w:t xml:space="preserve">954]) that “a total impression of similarity emerges” from a comparison between the 818 mark and the 2005 Henley Devices.  He reasoned, further, that the only relevant difference between the 818 mark and the 2005 Henley Devices was that </w:t>
      </w:r>
      <w:r w:rsidR="000A50AB">
        <w:t>the 818 mark included the word PROPERTIES</w:t>
      </w:r>
      <w:r w:rsidR="002B1B34" w:rsidRPr="002B1B34">
        <w:t xml:space="preserve"> in smaller font encased by a rectangular bar.    </w:t>
      </w:r>
    </w:p>
    <w:p w14:paraId="20B45926" w14:textId="7FEB49FC" w:rsidR="002B1B34" w:rsidRPr="002B1B34" w:rsidRDefault="00BC7D85" w:rsidP="00BC7D85">
      <w:pPr>
        <w:pStyle w:val="ParaNumbering"/>
        <w:numPr>
          <w:ilvl w:val="0"/>
          <w:numId w:val="0"/>
        </w:numPr>
        <w:ind w:hanging="720"/>
      </w:pPr>
      <w:r w:rsidRPr="002B1B34">
        <w:rPr>
          <w:sz w:val="20"/>
        </w:rPr>
        <w:t>90</w:t>
      </w:r>
      <w:r w:rsidRPr="002B1B34">
        <w:rPr>
          <w:sz w:val="20"/>
        </w:rPr>
        <w:tab/>
      </w:r>
      <w:r w:rsidR="002B1B34" w:rsidRPr="002B1B34">
        <w:t>The primary judge then considered whether the respondent’s use of the 2005 Henley Devices was use of the 818 mark with additions or alterations that did not affect the identity of the 818 mark:  see s 7(1) of the Trade Marks Act.  He answered that question in the respondent’s favour and found that the respondent’s use of the 2005 Henley De</w:t>
      </w:r>
      <w:r w:rsidR="00EC4927">
        <w:t xml:space="preserve">vices was use of the 818 mark.  </w:t>
      </w:r>
      <w:r w:rsidR="002B1B34" w:rsidRPr="002B1B34">
        <w:t>This led the primary judge to conclude that the respondent had used the 818 mark i</w:t>
      </w:r>
      <w:r w:rsidR="00EC4927">
        <w:t xml:space="preserve">n the claimed non-use period.  </w:t>
      </w:r>
    </w:p>
    <w:p w14:paraId="41CCC718" w14:textId="7757D74B" w:rsidR="002B1B34" w:rsidRPr="002B1B34" w:rsidRDefault="00BC7D85" w:rsidP="00BC7D85">
      <w:pPr>
        <w:pStyle w:val="ParaNumbering"/>
        <w:numPr>
          <w:ilvl w:val="0"/>
          <w:numId w:val="0"/>
        </w:numPr>
        <w:ind w:hanging="720"/>
      </w:pPr>
      <w:r w:rsidRPr="002B1B34">
        <w:rPr>
          <w:sz w:val="20"/>
        </w:rPr>
        <w:t>91</w:t>
      </w:r>
      <w:r w:rsidRPr="002B1B34">
        <w:rPr>
          <w:sz w:val="20"/>
        </w:rPr>
        <w:tab/>
      </w:r>
      <w:r w:rsidR="002B1B34" w:rsidRPr="002B1B34">
        <w:t xml:space="preserve">However, the primary judge also stated that “if that position be doubted”, he would exercise the discretion under s 101(3) of the Trade Marks Act not </w:t>
      </w:r>
      <w:r w:rsidR="00154146" w:rsidRPr="002B1B34">
        <w:t xml:space="preserve">to </w:t>
      </w:r>
      <w:r w:rsidR="002B1B34" w:rsidRPr="002B1B34">
        <w:t>remove or partially remove the 818 mark from the Register.</w:t>
      </w:r>
      <w:r w:rsidR="00EC4927">
        <w:t xml:space="preserve">  </w:t>
      </w:r>
    </w:p>
    <w:p w14:paraId="67FEB7B6" w14:textId="77777777" w:rsidR="002B1B34" w:rsidRPr="002B1B34" w:rsidRDefault="004A3847" w:rsidP="00364BAE">
      <w:pPr>
        <w:pStyle w:val="Heading2"/>
      </w:pPr>
      <w:bookmarkStart w:id="37" w:name="_Ref133418094"/>
      <w:r>
        <w:lastRenderedPageBreak/>
        <w:t>Ancillary liability</w:t>
      </w:r>
      <w:bookmarkEnd w:id="37"/>
      <w:r>
        <w:t xml:space="preserve"> </w:t>
      </w:r>
    </w:p>
    <w:p w14:paraId="31DAB2B6" w14:textId="39A4838F" w:rsidR="002B1B34" w:rsidRPr="002B1B34" w:rsidRDefault="00BC7D85" w:rsidP="00BC7D85">
      <w:pPr>
        <w:pStyle w:val="ParaNumbering"/>
        <w:numPr>
          <w:ilvl w:val="0"/>
          <w:numId w:val="0"/>
        </w:numPr>
        <w:ind w:hanging="720"/>
      </w:pPr>
      <w:r w:rsidRPr="002B1B34">
        <w:rPr>
          <w:sz w:val="20"/>
        </w:rPr>
        <w:t>92</w:t>
      </w:r>
      <w:r w:rsidRPr="002B1B34">
        <w:rPr>
          <w:sz w:val="20"/>
        </w:rPr>
        <w:tab/>
      </w:r>
      <w:r w:rsidR="002B1B34" w:rsidRPr="002B1B34">
        <w:t xml:space="preserve">The primary judge found that Mr </w:t>
      </w:r>
      <w:proofErr w:type="spellStart"/>
      <w:r w:rsidR="002B1B34" w:rsidRPr="002B1B34">
        <w:t>Sarkis</w:t>
      </w:r>
      <w:proofErr w:type="spellEnd"/>
      <w:r w:rsidR="002B1B34" w:rsidRPr="002B1B34">
        <w:t xml:space="preserve"> was liable as a joint tortfeasor for Henley Constructions’ </w:t>
      </w:r>
      <w:proofErr w:type="gramStart"/>
      <w:r w:rsidR="002B1B34" w:rsidRPr="002B1B34">
        <w:t>trade mark</w:t>
      </w:r>
      <w:proofErr w:type="gramEnd"/>
      <w:r w:rsidR="002B1B34" w:rsidRPr="002B1B34">
        <w:t xml:space="preserve"> infringements and for aiding and abetting, or being knowingly concerned, directly or indirectly, in Henley Construction</w:t>
      </w:r>
      <w:r w:rsidR="00EC4927">
        <w:t xml:space="preserve">s’ contraventions of the ACL. </w:t>
      </w:r>
    </w:p>
    <w:p w14:paraId="2E06B1AE" w14:textId="77777777" w:rsidR="002B1B34" w:rsidRPr="002B1B34" w:rsidRDefault="00246B59" w:rsidP="00364BAE">
      <w:pPr>
        <w:pStyle w:val="Heading2"/>
      </w:pPr>
      <w:bookmarkStart w:id="38" w:name="_Ref133418095"/>
      <w:r>
        <w:t>Relief</w:t>
      </w:r>
      <w:bookmarkEnd w:id="38"/>
      <w:r>
        <w:t xml:space="preserve"> </w:t>
      </w:r>
    </w:p>
    <w:p w14:paraId="51DB3794" w14:textId="43DABD7F" w:rsidR="00AB0AAE" w:rsidRDefault="00BC7D85" w:rsidP="00BC7D85">
      <w:pPr>
        <w:pStyle w:val="ParaNumbering"/>
        <w:numPr>
          <w:ilvl w:val="0"/>
          <w:numId w:val="0"/>
        </w:numPr>
        <w:ind w:hanging="720"/>
      </w:pPr>
      <w:r>
        <w:rPr>
          <w:sz w:val="20"/>
        </w:rPr>
        <w:t>93</w:t>
      </w:r>
      <w:r>
        <w:rPr>
          <w:sz w:val="20"/>
        </w:rPr>
        <w:tab/>
      </w:r>
      <w:r w:rsidR="002B1B34" w:rsidRPr="002B1B34">
        <w:t xml:space="preserve">It is only necessary to refer to one aspect of the primary judge’s consideration of the appropriate relief.  In the course of final submissions, the primary judge ordered that the question of whether there should be an account of profits </w:t>
      </w:r>
      <w:proofErr w:type="gramStart"/>
      <w:r w:rsidR="002B1B34" w:rsidRPr="002B1B34">
        <w:t>be dealt with</w:t>
      </w:r>
      <w:proofErr w:type="gramEnd"/>
      <w:r w:rsidR="002B1B34" w:rsidRPr="002B1B34">
        <w:t xml:space="preserve"> separately and after all other relief in the proceeding had been determined.  </w:t>
      </w:r>
      <w:r w:rsidR="004D3B6A" w:rsidRPr="004D3B6A">
        <w:t xml:space="preserve">Accordingly, the primary judge did not consider that question further in his reasons for judgment.  We observe, however, that, on 5 November 2021, the primary judge ordered the parties to provide proposed minutes of orders to give effect to his reasons for judgment, including a timetable for the steps required for a hearing on the relief sought by the respondent for an account of profits.  On 25 November 2021, his Honour ordered that there be an account of profits made by the appellants </w:t>
      </w:r>
      <w:proofErr w:type="gramStart"/>
      <w:r w:rsidR="004D3B6A" w:rsidRPr="004D3B6A">
        <w:t>by reason of</w:t>
      </w:r>
      <w:proofErr w:type="gramEnd"/>
      <w:r w:rsidR="004D3B6A" w:rsidRPr="004D3B6A">
        <w:t xml:space="preserve"> their infringement of the respondent’s registered marks</w:t>
      </w:r>
      <w:r w:rsidR="002B1B34" w:rsidRPr="002B1B34">
        <w:t>.</w:t>
      </w:r>
      <w:r w:rsidR="00AB0AAE">
        <w:t xml:space="preserve"> </w:t>
      </w:r>
    </w:p>
    <w:p w14:paraId="61EFFAA9" w14:textId="6D941D28" w:rsidR="00AB0AAE" w:rsidRDefault="00BC7D85" w:rsidP="00AB0AAE">
      <w:pPr>
        <w:pStyle w:val="Heading1"/>
      </w:pPr>
      <w:bookmarkStart w:id="39" w:name="_Ref133418096"/>
      <w:r>
        <w:rPr>
          <w:caps w:val="0"/>
        </w:rPr>
        <w:t>OVERVIEW OF THE APPEAL AND THE CROSS-APPEAL</w:t>
      </w:r>
      <w:bookmarkEnd w:id="39"/>
    </w:p>
    <w:p w14:paraId="4E7013B0" w14:textId="38DE511E" w:rsidR="00AB0AAE" w:rsidRDefault="00BC7D85" w:rsidP="00BC7D85">
      <w:pPr>
        <w:pStyle w:val="ParaNumbering"/>
        <w:numPr>
          <w:ilvl w:val="0"/>
          <w:numId w:val="0"/>
        </w:numPr>
        <w:ind w:hanging="720"/>
      </w:pPr>
      <w:r>
        <w:rPr>
          <w:sz w:val="20"/>
        </w:rPr>
        <w:t>94</w:t>
      </w:r>
      <w:r>
        <w:rPr>
          <w:sz w:val="20"/>
        </w:rPr>
        <w:tab/>
      </w:r>
      <w:r w:rsidR="00AB0AAE">
        <w:t>The appellant</w:t>
      </w:r>
      <w:r w:rsidR="004953E7">
        <w:t>s</w:t>
      </w:r>
      <w:r w:rsidR="00AB0AAE">
        <w:t xml:space="preserve"> </w:t>
      </w:r>
      <w:r w:rsidR="004953E7">
        <w:t>do</w:t>
      </w:r>
      <w:r w:rsidR="00AB0AAE">
        <w:t xml:space="preserve"> not seek to challenge a number of the primary judge’s findings and conclusions.  </w:t>
      </w:r>
      <w:r w:rsidR="004953E7">
        <w:t>They</w:t>
      </w:r>
      <w:r w:rsidR="00AB0AAE">
        <w:t xml:space="preserve"> nevertheless contend that the primary judge erred in finding that </w:t>
      </w:r>
      <w:r w:rsidR="004953E7">
        <w:t xml:space="preserve">Henley Constructions </w:t>
      </w:r>
      <w:r w:rsidR="00AB0AAE">
        <w:t>infringed the registered marks</w:t>
      </w:r>
      <w:r w:rsidR="001F7C4B">
        <w:t xml:space="preserve"> (</w:t>
      </w:r>
      <w:r w:rsidR="001F7C4B" w:rsidRPr="00305755">
        <w:rPr>
          <w:b/>
        </w:rPr>
        <w:t>Grounds 1 and 2</w:t>
      </w:r>
      <w:r w:rsidR="001F7C4B">
        <w:t>)</w:t>
      </w:r>
      <w:r w:rsidR="004953E7">
        <w:t>.</w:t>
      </w:r>
    </w:p>
    <w:p w14:paraId="3CB02F2A" w14:textId="71829014" w:rsidR="001946F7" w:rsidRDefault="00BC7D85" w:rsidP="00BC7D85">
      <w:pPr>
        <w:pStyle w:val="ParaNumbering"/>
        <w:numPr>
          <w:ilvl w:val="0"/>
          <w:numId w:val="0"/>
        </w:numPr>
        <w:ind w:hanging="720"/>
      </w:pPr>
      <w:r>
        <w:rPr>
          <w:sz w:val="20"/>
        </w:rPr>
        <w:t>95</w:t>
      </w:r>
      <w:r>
        <w:rPr>
          <w:sz w:val="20"/>
        </w:rPr>
        <w:tab/>
      </w:r>
      <w:r w:rsidR="004953E7">
        <w:t>Specifically</w:t>
      </w:r>
      <w:r w:rsidR="001946F7">
        <w:t xml:space="preserve">, </w:t>
      </w:r>
      <w:r w:rsidR="004953E7">
        <w:t>the appellants contend</w:t>
      </w:r>
      <w:r w:rsidR="001946F7">
        <w:t xml:space="preserve"> that the primary judge erred</w:t>
      </w:r>
      <w:r w:rsidR="00B51D86">
        <w:t xml:space="preserve"> in</w:t>
      </w:r>
      <w:r w:rsidR="001946F7">
        <w:t>:</w:t>
      </w:r>
    </w:p>
    <w:p w14:paraId="4E0E2B22" w14:textId="7EC548B0" w:rsidR="001946F7" w:rsidRDefault="00BC7D85" w:rsidP="00BC7D85">
      <w:pPr>
        <w:pStyle w:val="ListNo2"/>
        <w:numPr>
          <w:ilvl w:val="0"/>
          <w:numId w:val="0"/>
        </w:numPr>
        <w:tabs>
          <w:tab w:val="left" w:pos="1440"/>
        </w:tabs>
        <w:ind w:left="1440" w:hanging="720"/>
      </w:pPr>
      <w:r>
        <w:t>(a)</w:t>
      </w:r>
      <w:r>
        <w:tab/>
      </w:r>
      <w:r w:rsidR="00B51D86">
        <w:t>failing to find</w:t>
      </w:r>
      <w:r w:rsidR="001946F7">
        <w:t xml:space="preserve"> that</w:t>
      </w:r>
      <w:r w:rsidR="00B51D86">
        <w:t xml:space="preserve"> the registration of the </w:t>
      </w:r>
      <w:r w:rsidR="003838CB">
        <w:t>820 mark (</w:t>
      </w:r>
      <w:r w:rsidR="00B51D86">
        <w:t>HENLEY) is invalid on the ground that the mark is not capable of distinguishing the respondent’s services</w:t>
      </w:r>
      <w:r w:rsidR="001F7C4B">
        <w:t>, and</w:t>
      </w:r>
      <w:r w:rsidR="00B540AD">
        <w:t>, consequently,</w:t>
      </w:r>
      <w:r w:rsidR="001F7C4B">
        <w:t xml:space="preserve"> in failing to cancel that registration (</w:t>
      </w:r>
      <w:r w:rsidR="001F7C4B" w:rsidRPr="00305755">
        <w:rPr>
          <w:b/>
        </w:rPr>
        <w:t>Grounds 1, 3, 4 and 5</w:t>
      </w:r>
      <w:r w:rsidR="001F7C4B">
        <w:t>)</w:t>
      </w:r>
      <w:r w:rsidR="00B51D86">
        <w:t>;</w:t>
      </w:r>
    </w:p>
    <w:p w14:paraId="10999F21" w14:textId="4B07A156" w:rsidR="00B51D86" w:rsidRDefault="00BC7D85" w:rsidP="00BC7D85">
      <w:pPr>
        <w:pStyle w:val="ListNo2"/>
        <w:numPr>
          <w:ilvl w:val="0"/>
          <w:numId w:val="0"/>
        </w:numPr>
        <w:tabs>
          <w:tab w:val="left" w:pos="1440"/>
        </w:tabs>
        <w:ind w:left="1440" w:hanging="720"/>
      </w:pPr>
      <w:r>
        <w:t>(b)</w:t>
      </w:r>
      <w:r>
        <w:tab/>
      </w:r>
      <w:proofErr w:type="gramStart"/>
      <w:r w:rsidR="00B51D86">
        <w:t>finding</w:t>
      </w:r>
      <w:proofErr w:type="gramEnd"/>
      <w:r w:rsidR="00B51D86">
        <w:t xml:space="preserve"> that Henley Constructions’ </w:t>
      </w:r>
      <w:r w:rsidR="00F10C56">
        <w:t xml:space="preserve">unregistered </w:t>
      </w:r>
      <w:r w:rsidR="00B51D86">
        <w:t>word mark HENLEY CONSTRUCTIONS is substantially identical to the</w:t>
      </w:r>
      <w:r w:rsidR="003838CB">
        <w:t xml:space="preserve"> 818 mark</w:t>
      </w:r>
      <w:r w:rsidR="00B51D86">
        <w:t xml:space="preserve"> </w:t>
      </w:r>
      <w:r w:rsidR="003838CB">
        <w:t>(the “</w:t>
      </w:r>
      <w:r w:rsidR="00B51D86">
        <w:t>HENLEY PROPERTIES</w:t>
      </w:r>
      <w:r w:rsidR="003838CB">
        <w:t>” Device M</w:t>
      </w:r>
      <w:r w:rsidR="00B51D86">
        <w:t xml:space="preserve">ark </w:t>
      </w:r>
      <w:r w:rsidR="001F7C4B">
        <w:t>(</w:t>
      </w:r>
      <w:r w:rsidR="001F7C4B" w:rsidRPr="00305755">
        <w:rPr>
          <w:b/>
        </w:rPr>
        <w:t>Ground 7</w:t>
      </w:r>
      <w:r w:rsidR="001F7C4B">
        <w:t>)</w:t>
      </w:r>
      <w:r w:rsidR="00B51D86">
        <w:t>;</w:t>
      </w:r>
    </w:p>
    <w:p w14:paraId="707A7E6A" w14:textId="2EA6AB55" w:rsidR="00B51D86" w:rsidRDefault="00BC7D85" w:rsidP="00BC7D85">
      <w:pPr>
        <w:pStyle w:val="ListNo2"/>
        <w:numPr>
          <w:ilvl w:val="0"/>
          <w:numId w:val="0"/>
        </w:numPr>
        <w:tabs>
          <w:tab w:val="left" w:pos="1440"/>
        </w:tabs>
        <w:ind w:left="1440" w:hanging="720"/>
      </w:pPr>
      <w:r>
        <w:t>(c)</w:t>
      </w:r>
      <w:r>
        <w:tab/>
      </w:r>
      <w:r w:rsidR="00B51D86">
        <w:t xml:space="preserve">finding that </w:t>
      </w:r>
      <w:r w:rsidR="001F7C4B">
        <w:t xml:space="preserve">each of </w:t>
      </w:r>
      <w:r w:rsidR="00B51D86">
        <w:t xml:space="preserve">certain signs and devices used by Henley Constructions—namely, HENLEY CONSTRUCTIONS; the Henley Constructions logos; henleyconstructions.com.au; THE HENLEY DISPLAY GALLERY; </w:t>
      </w:r>
      <w:r w:rsidR="00B540AD">
        <w:t>the</w:t>
      </w:r>
      <w:r w:rsidR="001F7C4B">
        <w:t xml:space="preserve"> </w:t>
      </w:r>
      <w:r w:rsidR="00B51D86">
        <w:t>crane signage; various has</w:t>
      </w:r>
      <w:r w:rsidR="00B02B9F">
        <w:t>h</w:t>
      </w:r>
      <w:r w:rsidR="00B51D86">
        <w:t>tags (not #</w:t>
      </w:r>
      <w:proofErr w:type="spellStart"/>
      <w:r w:rsidR="00B51D86">
        <w:t>henley</w:t>
      </w:r>
      <w:proofErr w:type="spellEnd"/>
      <w:r w:rsidR="00B51D86">
        <w:t>); Henleygallery.com.au; and HEN</w:t>
      </w:r>
      <w:r w:rsidR="00971981">
        <w:t>LE</w:t>
      </w:r>
      <w:r w:rsidR="00B51D86">
        <w:t xml:space="preserve">Y </w:t>
      </w:r>
      <w:r w:rsidR="00B51D86">
        <w:lastRenderedPageBreak/>
        <w:t>BUILT—are deceptively similar to each</w:t>
      </w:r>
      <w:r w:rsidR="001F7C4B">
        <w:t xml:space="preserve"> of the registered marks (leaving aside the HENLEY word mark) (</w:t>
      </w:r>
      <w:r w:rsidR="001F7C4B" w:rsidRPr="00305755">
        <w:rPr>
          <w:b/>
        </w:rPr>
        <w:t>Ground 8</w:t>
      </w:r>
      <w:r w:rsidR="001F7C4B">
        <w:t>);</w:t>
      </w:r>
    </w:p>
    <w:p w14:paraId="2650A903" w14:textId="2218DB6D" w:rsidR="001F7C4B" w:rsidRDefault="00BC7D85" w:rsidP="00BC7D85">
      <w:pPr>
        <w:pStyle w:val="ListNo2"/>
        <w:numPr>
          <w:ilvl w:val="0"/>
          <w:numId w:val="0"/>
        </w:numPr>
        <w:tabs>
          <w:tab w:val="left" w:pos="1440"/>
        </w:tabs>
        <w:ind w:left="1440" w:hanging="720"/>
      </w:pPr>
      <w:r>
        <w:t>(d)</w:t>
      </w:r>
      <w:r>
        <w:tab/>
      </w:r>
      <w:proofErr w:type="gramStart"/>
      <w:r w:rsidR="001F7C4B">
        <w:t>finding</w:t>
      </w:r>
      <w:proofErr w:type="gramEnd"/>
      <w:r w:rsidR="001F7C4B">
        <w:t xml:space="preserve"> that Henley Constructions had used certain signs and devices—namely, the hashtags; henleyconstructions.com.au, HENLEY; THE HENLEY DISPLAY GALLERY; Henleygallery.com.au; and HENLEY BUILT—as trade marks in respect of the designated services (</w:t>
      </w:r>
      <w:r w:rsidR="001F7C4B" w:rsidRPr="00305755">
        <w:rPr>
          <w:b/>
        </w:rPr>
        <w:t>Ground 9</w:t>
      </w:r>
      <w:r w:rsidR="001F7C4B">
        <w:t>);</w:t>
      </w:r>
    </w:p>
    <w:p w14:paraId="7F709F58" w14:textId="14C69A44" w:rsidR="001F7C4B" w:rsidRDefault="00BC7D85" w:rsidP="00BC7D85">
      <w:pPr>
        <w:pStyle w:val="ListNo2"/>
        <w:numPr>
          <w:ilvl w:val="0"/>
          <w:numId w:val="0"/>
        </w:numPr>
        <w:tabs>
          <w:tab w:val="left" w:pos="1440"/>
        </w:tabs>
        <w:ind w:left="1440" w:hanging="720"/>
      </w:pPr>
      <w:r>
        <w:t>(e)</w:t>
      </w:r>
      <w:r>
        <w:tab/>
      </w:r>
      <w:r w:rsidR="001F7C4B">
        <w:t>finding, in relation to the defence under s 124 of the</w:t>
      </w:r>
      <w:r w:rsidR="00DE7D43">
        <w:t xml:space="preserve"> Trade Marks</w:t>
      </w:r>
      <w:r w:rsidR="001F7C4B">
        <w:t xml:space="preserve"> Act, that</w:t>
      </w:r>
      <w:r w:rsidR="004953E7">
        <w:t xml:space="preserve"> Henley Constructions’ word mark HENLEY CONSTRUCTIONS and the first Henley Constructions logo were not used prior to the </w:t>
      </w:r>
      <w:r w:rsidR="003838CB">
        <w:t>respondent’s use of the 558 mark</w:t>
      </w:r>
      <w:r w:rsidR="004953E7">
        <w:t xml:space="preserve"> </w:t>
      </w:r>
      <w:r w:rsidR="003838CB">
        <w:t>(</w:t>
      </w:r>
      <w:r w:rsidR="004953E7">
        <w:t>HENLEY ESSENCE</w:t>
      </w:r>
      <w:r w:rsidR="003838CB">
        <w:t>)</w:t>
      </w:r>
      <w:r w:rsidR="004953E7">
        <w:t xml:space="preserve">, </w:t>
      </w:r>
      <w:r w:rsidR="003838CB">
        <w:t>the 561 mark (</w:t>
      </w:r>
      <w:r w:rsidR="004953E7">
        <w:t>HENLEY RESERVE</w:t>
      </w:r>
      <w:r w:rsidR="003838CB">
        <w:t>)</w:t>
      </w:r>
      <w:r w:rsidR="004953E7">
        <w:t>, and</w:t>
      </w:r>
      <w:r w:rsidR="003838CB">
        <w:t xml:space="preserve"> the 570 mark </w:t>
      </w:r>
      <w:r w:rsidR="004953E7">
        <w:t xml:space="preserve"> </w:t>
      </w:r>
      <w:r w:rsidR="003838CB">
        <w:t>(</w:t>
      </w:r>
      <w:r w:rsidR="004953E7">
        <w:t>HENLEY COLLECTION</w:t>
      </w:r>
      <w:r w:rsidR="003838CB">
        <w:t>)</w:t>
      </w:r>
      <w:r w:rsidR="004953E7">
        <w:t xml:space="preserve"> (</w:t>
      </w:r>
      <w:r w:rsidR="004953E7" w:rsidRPr="00305755">
        <w:rPr>
          <w:b/>
        </w:rPr>
        <w:t>Ground 10</w:t>
      </w:r>
      <w:r w:rsidR="004953E7">
        <w:t>); and</w:t>
      </w:r>
    </w:p>
    <w:p w14:paraId="1E9DE935" w14:textId="1321DA76" w:rsidR="004953E7" w:rsidRDefault="00BC7D85" w:rsidP="00BC7D85">
      <w:pPr>
        <w:pStyle w:val="ListNo2"/>
        <w:numPr>
          <w:ilvl w:val="0"/>
          <w:numId w:val="0"/>
        </w:numPr>
        <w:tabs>
          <w:tab w:val="left" w:pos="1440"/>
        </w:tabs>
        <w:ind w:left="1440" w:hanging="720"/>
      </w:pPr>
      <w:r>
        <w:t>(f)</w:t>
      </w:r>
      <w:r>
        <w:tab/>
      </w:r>
      <w:proofErr w:type="gramStart"/>
      <w:r w:rsidR="004953E7">
        <w:t>finding</w:t>
      </w:r>
      <w:proofErr w:type="gramEnd"/>
      <w:r w:rsidR="004953E7">
        <w:t xml:space="preserve">, in relation to the defence under s 124 of the </w:t>
      </w:r>
      <w:r w:rsidR="00DE7D43">
        <w:t xml:space="preserve">Trade Marks </w:t>
      </w:r>
      <w:r w:rsidR="004953E7">
        <w:t>Act, that the second Henley Constructions logo, the third Henley Constructions logo, and certain crane signage, were not used prior</w:t>
      </w:r>
      <w:r w:rsidR="004953E7" w:rsidRPr="004953E7">
        <w:t xml:space="preserve"> </w:t>
      </w:r>
      <w:r w:rsidR="004953E7">
        <w:t xml:space="preserve">to the </w:t>
      </w:r>
      <w:r w:rsidR="003838CB">
        <w:t>respondent’s use of the 558 mark</w:t>
      </w:r>
      <w:r w:rsidR="004953E7">
        <w:t xml:space="preserve"> </w:t>
      </w:r>
      <w:r w:rsidR="003838CB">
        <w:t>(</w:t>
      </w:r>
      <w:r w:rsidR="004953E7">
        <w:t>HENLEY ESSENCE</w:t>
      </w:r>
      <w:r w:rsidR="003838CB">
        <w:t>)</w:t>
      </w:r>
      <w:r w:rsidR="004953E7">
        <w:t xml:space="preserve">, </w:t>
      </w:r>
      <w:r w:rsidR="003838CB">
        <w:t>the 561 mark (</w:t>
      </w:r>
      <w:r w:rsidR="004953E7">
        <w:t>HENLEY RESERVE</w:t>
      </w:r>
      <w:r w:rsidR="003838CB">
        <w:t>)</w:t>
      </w:r>
      <w:r w:rsidR="004953E7">
        <w:t xml:space="preserve">, and </w:t>
      </w:r>
      <w:r w:rsidR="003838CB">
        <w:t>the 570 mark (</w:t>
      </w:r>
      <w:r w:rsidR="004953E7">
        <w:t>HENLEY COLLECTION</w:t>
      </w:r>
      <w:r w:rsidR="003838CB">
        <w:t>)</w:t>
      </w:r>
      <w:r w:rsidR="004953E7">
        <w:t xml:space="preserve"> (</w:t>
      </w:r>
      <w:r w:rsidR="004953E7" w:rsidRPr="00305755">
        <w:rPr>
          <w:b/>
        </w:rPr>
        <w:t>Ground 11</w:t>
      </w:r>
      <w:r w:rsidR="004953E7">
        <w:t xml:space="preserve">). </w:t>
      </w:r>
    </w:p>
    <w:p w14:paraId="2B086202" w14:textId="254CECB6" w:rsidR="002874D7" w:rsidRDefault="00BC7D85" w:rsidP="00BC7D85">
      <w:pPr>
        <w:pStyle w:val="ParaNumbering"/>
        <w:numPr>
          <w:ilvl w:val="0"/>
          <w:numId w:val="0"/>
        </w:numPr>
        <w:ind w:hanging="720"/>
      </w:pPr>
      <w:proofErr w:type="gramStart"/>
      <w:r>
        <w:rPr>
          <w:sz w:val="20"/>
        </w:rPr>
        <w:t>96</w:t>
      </w:r>
      <w:r>
        <w:rPr>
          <w:sz w:val="20"/>
        </w:rPr>
        <w:tab/>
      </w:r>
      <w:r w:rsidR="00F10C56">
        <w:t>The appellants also contend that the primary judge erred in finding that a consum</w:t>
      </w:r>
      <w:r w:rsidR="00971981">
        <w:t>er of building and construction</w:t>
      </w:r>
      <w:r w:rsidR="00F10C56">
        <w:t xml:space="preserve"> services is likely to be led into error, and be misled into the belief, that Henley Constructions is affiliated, sponsored, approved, or licensed by the respondent, such as to constitute a contravention of </w:t>
      </w:r>
      <w:proofErr w:type="spellStart"/>
      <w:r w:rsidR="00F10C56">
        <w:t>ss</w:t>
      </w:r>
      <w:proofErr w:type="spellEnd"/>
      <w:r w:rsidR="00F10C56">
        <w:t xml:space="preserve"> 18, 29(g), and 29(h) of the </w:t>
      </w:r>
      <w:r w:rsidR="003838CB">
        <w:t>ACL</w:t>
      </w:r>
      <w:r w:rsidR="0069340D">
        <w:t>,</w:t>
      </w:r>
      <w:r w:rsidR="00F10C56">
        <w:t xml:space="preserve"> and at relevant times before the </w:t>
      </w:r>
      <w:r w:rsidR="003838CB">
        <w:t>commencement</w:t>
      </w:r>
      <w:r w:rsidR="00F10C56">
        <w:t xml:space="preserve"> of the </w:t>
      </w:r>
      <w:r w:rsidR="003838CB">
        <w:t>ACL</w:t>
      </w:r>
      <w:r w:rsidR="00F10C56">
        <w:t xml:space="preserve">, </w:t>
      </w:r>
      <w:proofErr w:type="spellStart"/>
      <w:r w:rsidR="00F10C56">
        <w:t>ss</w:t>
      </w:r>
      <w:proofErr w:type="spellEnd"/>
      <w:r w:rsidR="00F10C56">
        <w:t xml:space="preserve"> 52, 53(c), and 53(d) of the Trade Practices Act (</w:t>
      </w:r>
      <w:r w:rsidR="00F10C56" w:rsidRPr="00305755">
        <w:rPr>
          <w:b/>
        </w:rPr>
        <w:t>Ground 12</w:t>
      </w:r>
      <w:r w:rsidR="00F10C56">
        <w:t>).</w:t>
      </w:r>
      <w:proofErr w:type="gramEnd"/>
    </w:p>
    <w:p w14:paraId="7BA4B2B3" w14:textId="75DC73A1" w:rsidR="00F10C56" w:rsidRDefault="00BC7D85" w:rsidP="00BC7D85">
      <w:pPr>
        <w:pStyle w:val="ParaNumbering"/>
        <w:numPr>
          <w:ilvl w:val="0"/>
          <w:numId w:val="0"/>
        </w:numPr>
        <w:ind w:hanging="720"/>
      </w:pPr>
      <w:r>
        <w:rPr>
          <w:sz w:val="20"/>
        </w:rPr>
        <w:t>97</w:t>
      </w:r>
      <w:r>
        <w:rPr>
          <w:sz w:val="20"/>
        </w:rPr>
        <w:tab/>
      </w:r>
      <w:r w:rsidR="00F10C56">
        <w:t>The appellants also contend</w:t>
      </w:r>
      <w:r w:rsidR="00D45753">
        <w:t xml:space="preserve"> that the primary judge erred in directing that the question of an account of profits be dealt with separately, and after all other relief in the proceeding has been determined (</w:t>
      </w:r>
      <w:r w:rsidR="00D45753" w:rsidRPr="00305755">
        <w:rPr>
          <w:b/>
        </w:rPr>
        <w:t>Ground 13</w:t>
      </w:r>
      <w:r w:rsidR="00D45753">
        <w:t>), and in granting injunctive relief</w:t>
      </w:r>
      <w:r w:rsidR="00621B8F">
        <w:t xml:space="preserve"> in the form his Honour did</w:t>
      </w:r>
      <w:r w:rsidR="00D45753">
        <w:t xml:space="preserve"> (</w:t>
      </w:r>
      <w:r w:rsidR="00D45753" w:rsidRPr="00305755">
        <w:rPr>
          <w:b/>
        </w:rPr>
        <w:t>Grounds 14 and 15</w:t>
      </w:r>
      <w:r w:rsidR="00D45753">
        <w:t>).</w:t>
      </w:r>
    </w:p>
    <w:p w14:paraId="78688445" w14:textId="49B31293" w:rsidR="00305755" w:rsidRDefault="00BC7D85" w:rsidP="00BC7D85">
      <w:pPr>
        <w:pStyle w:val="ParaNumbering"/>
        <w:numPr>
          <w:ilvl w:val="0"/>
          <w:numId w:val="0"/>
        </w:numPr>
        <w:ind w:hanging="720"/>
      </w:pPr>
      <w:r>
        <w:rPr>
          <w:sz w:val="20"/>
        </w:rPr>
        <w:t>98</w:t>
      </w:r>
      <w:r>
        <w:rPr>
          <w:sz w:val="20"/>
        </w:rPr>
        <w:tab/>
      </w:r>
      <w:r w:rsidR="00305755">
        <w:t>For completeness, we record that the appellants do not press Ground 6 of the notice of appeal.</w:t>
      </w:r>
    </w:p>
    <w:p w14:paraId="5CA74606" w14:textId="507F963A" w:rsidR="00D45753" w:rsidRDefault="00BC7D85" w:rsidP="00BC7D85">
      <w:pPr>
        <w:pStyle w:val="ParaNumbering"/>
        <w:numPr>
          <w:ilvl w:val="0"/>
          <w:numId w:val="0"/>
        </w:numPr>
        <w:ind w:hanging="720"/>
      </w:pPr>
      <w:r>
        <w:rPr>
          <w:sz w:val="20"/>
        </w:rPr>
        <w:t>99</w:t>
      </w:r>
      <w:r>
        <w:rPr>
          <w:sz w:val="20"/>
        </w:rPr>
        <w:tab/>
      </w:r>
      <w:r w:rsidR="001D0450">
        <w:t xml:space="preserve">As noted, the respondent cross-appeals on the single ground that the primary judge erred in finding that Henley Constructions’ use of 1300HENLEY </w:t>
      </w:r>
      <w:r w:rsidR="0092708A">
        <w:t>was</w:t>
      </w:r>
      <w:r w:rsidR="001D0450">
        <w:t xml:space="preserve"> not trade mark use.  The respondent contends that the primary judge should have found that Henley Constructions’ use</w:t>
      </w:r>
      <w:r w:rsidR="00621B8F">
        <w:t xml:space="preserve"> of 1300HENLEY infringe</w:t>
      </w:r>
      <w:r w:rsidR="0092708A">
        <w:t>d</w:t>
      </w:r>
      <w:r w:rsidR="001D0450">
        <w:t xml:space="preserve"> each of the registered </w:t>
      </w:r>
      <w:proofErr w:type="spellStart"/>
      <w:proofErr w:type="gramStart"/>
      <w:r w:rsidR="001D0450">
        <w:t>trade mark</w:t>
      </w:r>
      <w:r w:rsidR="00562794">
        <w:t>s</w:t>
      </w:r>
      <w:proofErr w:type="spellEnd"/>
      <w:proofErr w:type="gramEnd"/>
      <w:r w:rsidR="001D0450">
        <w:t>, and t</w:t>
      </w:r>
      <w:r w:rsidR="00621B8F">
        <w:t xml:space="preserve">hat this use also </w:t>
      </w:r>
      <w:r w:rsidR="00621B8F">
        <w:lastRenderedPageBreak/>
        <w:t>contravene</w:t>
      </w:r>
      <w:r w:rsidR="0092708A">
        <w:t>d</w:t>
      </w:r>
      <w:r w:rsidR="001D0450">
        <w:t xml:space="preserve"> </w:t>
      </w:r>
      <w:r w:rsidR="00104941">
        <w:t>the Trade Practices Act and</w:t>
      </w:r>
      <w:r w:rsidR="001D0450">
        <w:t xml:space="preserve"> the </w:t>
      </w:r>
      <w:r w:rsidR="003838CB">
        <w:t>ACL</w:t>
      </w:r>
      <w:r w:rsidR="001D0450">
        <w:t>.  The respondent contends, further, that the primary judge should have found that</w:t>
      </w:r>
      <w:r w:rsidR="005F1961">
        <w:t xml:space="preserve"> Mr </w:t>
      </w:r>
      <w:proofErr w:type="spellStart"/>
      <w:r w:rsidR="005F1961">
        <w:t>Sarkis</w:t>
      </w:r>
      <w:proofErr w:type="spellEnd"/>
      <w:r w:rsidR="005F1961">
        <w:t xml:space="preserve"> </w:t>
      </w:r>
      <w:r w:rsidR="00621B8F">
        <w:t>is</w:t>
      </w:r>
      <w:r w:rsidR="005F1961">
        <w:t xml:space="preserve"> jointly liable with Henley Constructions for these infringements</w:t>
      </w:r>
      <w:r w:rsidR="00621B8F">
        <w:t>,</w:t>
      </w:r>
      <w:r w:rsidR="005F1961">
        <w:t xml:space="preserve"> and as an accessory in relation to the contraventions.</w:t>
      </w:r>
    </w:p>
    <w:p w14:paraId="183630DE" w14:textId="1070BFED" w:rsidR="005F1961" w:rsidRDefault="00BC7D85" w:rsidP="00BC7D85">
      <w:pPr>
        <w:pStyle w:val="ParaNumbering"/>
        <w:numPr>
          <w:ilvl w:val="0"/>
          <w:numId w:val="0"/>
        </w:numPr>
        <w:ind w:hanging="720"/>
      </w:pPr>
      <w:r>
        <w:rPr>
          <w:sz w:val="20"/>
        </w:rPr>
        <w:t>100</w:t>
      </w:r>
      <w:r>
        <w:rPr>
          <w:sz w:val="20"/>
        </w:rPr>
        <w:tab/>
      </w:r>
      <w:r w:rsidR="005F1961">
        <w:t>As also noted, by its notice of contention, the respondent seeks to support the primary judge’s finding concerning the validity of the registration of the</w:t>
      </w:r>
      <w:r w:rsidR="003838CB">
        <w:t xml:space="preserve"> 820 mark</w:t>
      </w:r>
      <w:r w:rsidR="005F1961">
        <w:t xml:space="preserve"> </w:t>
      </w:r>
      <w:r w:rsidR="003838CB">
        <w:t>(</w:t>
      </w:r>
      <w:r w:rsidR="005F1961">
        <w:t>HENLEY</w:t>
      </w:r>
      <w:r w:rsidR="00A8765D">
        <w:t>)</w:t>
      </w:r>
      <w:r w:rsidR="005F1961">
        <w:t xml:space="preserve">.  The respondent contends that the primary judge was correct to conclude that s 41(5) of the </w:t>
      </w:r>
      <w:r w:rsidR="00DE7D43">
        <w:t xml:space="preserve">Trade Marks </w:t>
      </w:r>
      <w:r w:rsidR="005F1961">
        <w:t xml:space="preserve">Act (as in force at 18 December 2006) applies to that registration, although not for the reason that his Honour advanced.  </w:t>
      </w:r>
      <w:r w:rsidR="00621B8F">
        <w:t>Further, the</w:t>
      </w:r>
      <w:r w:rsidR="005F1961">
        <w:t xml:space="preserve"> respondent contends that, even if the HENLEY word mark is not capable of distinguishing its designated services, the mark </w:t>
      </w:r>
      <w:proofErr w:type="gramStart"/>
      <w:r w:rsidR="005F1961">
        <w:t>should not be removed</w:t>
      </w:r>
      <w:proofErr w:type="gramEnd"/>
      <w:r w:rsidR="005F1961">
        <w:t xml:space="preserve"> from the Register on discretionary grounds.</w:t>
      </w:r>
    </w:p>
    <w:p w14:paraId="71FD8292" w14:textId="7BE161C5" w:rsidR="0089416A" w:rsidRDefault="00BC7D85" w:rsidP="00BC7D85">
      <w:pPr>
        <w:pStyle w:val="ParaNumbering"/>
        <w:numPr>
          <w:ilvl w:val="0"/>
          <w:numId w:val="0"/>
        </w:numPr>
        <w:ind w:hanging="720"/>
      </w:pPr>
      <w:r>
        <w:rPr>
          <w:sz w:val="20"/>
        </w:rPr>
        <w:t>101</w:t>
      </w:r>
      <w:r>
        <w:rPr>
          <w:sz w:val="20"/>
        </w:rPr>
        <w:tab/>
      </w:r>
      <w:r w:rsidR="005F1961">
        <w:t xml:space="preserve">The respondent also seeks to support the primary judge’s findings of contravention of the </w:t>
      </w:r>
      <w:r w:rsidR="003838CB">
        <w:t>ACL</w:t>
      </w:r>
      <w:r w:rsidR="005F1961">
        <w:t xml:space="preserve"> and the Trade Practices Act by contending</w:t>
      </w:r>
      <w:r w:rsidR="0089416A">
        <w:t>, in the alternative,</w:t>
      </w:r>
      <w:r w:rsidR="005F1961">
        <w:t xml:space="preserve"> </w:t>
      </w:r>
      <w:r w:rsidR="0089416A">
        <w:t>that the relevant date for considering Henley Constructions’ conduct is February 2017.</w:t>
      </w:r>
    </w:p>
    <w:p w14:paraId="258717A6" w14:textId="75F27F9F" w:rsidR="005F1961" w:rsidRDefault="00BC7D85" w:rsidP="00621B8F">
      <w:pPr>
        <w:pStyle w:val="Heading1"/>
      </w:pPr>
      <w:bookmarkStart w:id="40" w:name="_Ref133418097"/>
      <w:r>
        <w:rPr>
          <w:caps w:val="0"/>
        </w:rPr>
        <w:t>VALIDITY:  THE 820 MARK (HENLEY)</w:t>
      </w:r>
      <w:bookmarkEnd w:id="40"/>
    </w:p>
    <w:p w14:paraId="4AA2F17A" w14:textId="77777777" w:rsidR="009F53DE" w:rsidRPr="009F53DE" w:rsidRDefault="009F53DE" w:rsidP="009F53DE">
      <w:pPr>
        <w:pStyle w:val="Heading2"/>
      </w:pPr>
      <w:bookmarkStart w:id="41" w:name="_Ref133418098"/>
      <w:r w:rsidRPr="009F53DE">
        <w:t>The appellants’ submissions</w:t>
      </w:r>
      <w:bookmarkEnd w:id="41"/>
    </w:p>
    <w:p w14:paraId="6816BBAC" w14:textId="5B703D02" w:rsidR="00F1358C" w:rsidRDefault="00BC7D85" w:rsidP="00BC7D85">
      <w:pPr>
        <w:pStyle w:val="ParaNumbering"/>
        <w:numPr>
          <w:ilvl w:val="0"/>
          <w:numId w:val="0"/>
        </w:numPr>
        <w:ind w:hanging="720"/>
      </w:pPr>
      <w:r>
        <w:rPr>
          <w:sz w:val="20"/>
        </w:rPr>
        <w:t>102</w:t>
      </w:r>
      <w:r>
        <w:rPr>
          <w:sz w:val="20"/>
        </w:rPr>
        <w:tab/>
      </w:r>
      <w:r w:rsidR="00F1358C">
        <w:t xml:space="preserve">Grounds 1, 3, 4 and 5 of the notice of appeal are directed to the validity of the 820 mark (HENLEY) gauged by reference to s 41 of the Trade Marks Act as in force at the priority date </w:t>
      </w:r>
      <w:r w:rsidR="00C02C79">
        <w:t>of 18 December 2006</w:t>
      </w:r>
      <w:r w:rsidR="00F1358C">
        <w:t xml:space="preserve">.  It is to </w:t>
      </w:r>
      <w:proofErr w:type="gramStart"/>
      <w:r w:rsidR="00F1358C">
        <w:t>be remembered</w:t>
      </w:r>
      <w:proofErr w:type="gramEnd"/>
      <w:r w:rsidR="00F1358C">
        <w:t xml:space="preserve"> that the primary judge found that, at that date, HENLEY had the capacity to distinguish the respondent’s building and construction services, and thus satisfied the requirement of s 41(5) of the Trade Marks Act.  However, the primary judge als</w:t>
      </w:r>
      <w:r w:rsidR="00892CB8">
        <w:t>o found that, at that date, HEN</w:t>
      </w:r>
      <w:r w:rsidR="00F1358C">
        <w:t>L</w:t>
      </w:r>
      <w:r w:rsidR="00892CB8">
        <w:t>E</w:t>
      </w:r>
      <w:r w:rsidR="00F1358C">
        <w:t>Y had, in fact, become distinctive of those services, and thus satisfied the requirement of s 41(6) of the</w:t>
      </w:r>
      <w:r w:rsidR="00DE7D43">
        <w:t xml:space="preserve"> Trade Marks</w:t>
      </w:r>
      <w:r w:rsidR="00F1358C">
        <w:t xml:space="preserve"> Act.  By grounds 1, 3, 4 and 5 of the notice of appeal, the appellants challenge each of those findings.</w:t>
      </w:r>
    </w:p>
    <w:p w14:paraId="4B2A93F8" w14:textId="5F304FBF" w:rsidR="009F53DE" w:rsidRPr="009F53DE" w:rsidRDefault="00BC7D85" w:rsidP="00BC7D85">
      <w:pPr>
        <w:pStyle w:val="ParaNumbering"/>
        <w:numPr>
          <w:ilvl w:val="0"/>
          <w:numId w:val="0"/>
        </w:numPr>
        <w:ind w:hanging="720"/>
      </w:pPr>
      <w:r w:rsidRPr="009F53DE">
        <w:rPr>
          <w:sz w:val="20"/>
        </w:rPr>
        <w:t>103</w:t>
      </w:r>
      <w:r w:rsidRPr="009F53DE">
        <w:rPr>
          <w:sz w:val="20"/>
        </w:rPr>
        <w:tab/>
      </w:r>
      <w:r w:rsidR="00F1358C">
        <w:t>As to the finding in respect of s 41(5), the</w:t>
      </w:r>
      <w:r w:rsidR="009F53DE" w:rsidRPr="009F53DE">
        <w:t xml:space="preserve"> appellants </w:t>
      </w:r>
      <w:r w:rsidR="00B97A45">
        <w:t>rely on</w:t>
      </w:r>
      <w:r w:rsidR="009F53DE" w:rsidRPr="009F53DE">
        <w:t xml:space="preserve"> the primary judge’s finding (at J[810]) that there is nothin</w:t>
      </w:r>
      <w:r w:rsidR="00A8765D">
        <w:t>g inherently distinctive about HENLEY</w:t>
      </w:r>
      <w:r w:rsidR="009F53DE" w:rsidRPr="009F53DE">
        <w:t xml:space="preserve"> as a trade mark in relation to common services, like building and construction services, and his Honour’s find</w:t>
      </w:r>
      <w:r w:rsidR="00A8765D">
        <w:t>ing (at J[824]) that HENLEY</w:t>
      </w:r>
      <w:r w:rsidR="009F53DE" w:rsidRPr="009F53DE">
        <w:t xml:space="preserve">, without more, is a “non-distinctive mark”.  These findings </w:t>
      </w:r>
      <w:proofErr w:type="gramStart"/>
      <w:r w:rsidR="009F53DE" w:rsidRPr="009F53DE">
        <w:t>were informed</w:t>
      </w:r>
      <w:proofErr w:type="gramEnd"/>
      <w:r w:rsidR="009F53DE" w:rsidRPr="009F53DE">
        <w:t xml:space="preserve"> by other findings made by the </w:t>
      </w:r>
      <w:r w:rsidR="00A8765D">
        <w:t>primary judge about the use of HENLEY</w:t>
      </w:r>
      <w:r w:rsidR="009F53DE" w:rsidRPr="009F53DE">
        <w:t xml:space="preserve"> as a surname and as a geographical name.  </w:t>
      </w:r>
    </w:p>
    <w:p w14:paraId="3B7B6CCE" w14:textId="692F85E3" w:rsidR="00F1358C" w:rsidRPr="009F53DE" w:rsidRDefault="00BC7D85" w:rsidP="00BC7D85">
      <w:pPr>
        <w:pStyle w:val="ParaNumbering"/>
        <w:numPr>
          <w:ilvl w:val="0"/>
          <w:numId w:val="0"/>
        </w:numPr>
        <w:ind w:hanging="720"/>
      </w:pPr>
      <w:r w:rsidRPr="009F53DE">
        <w:rPr>
          <w:sz w:val="20"/>
        </w:rPr>
        <w:t>104</w:t>
      </w:r>
      <w:r w:rsidRPr="009F53DE">
        <w:rPr>
          <w:sz w:val="20"/>
        </w:rPr>
        <w:tab/>
      </w:r>
      <w:r w:rsidR="00F1358C" w:rsidRPr="009F53DE">
        <w:t xml:space="preserve">The appellants </w:t>
      </w:r>
      <w:r w:rsidR="00C02C79">
        <w:t>submit</w:t>
      </w:r>
      <w:r w:rsidR="00F1358C" w:rsidRPr="009F53DE">
        <w:t xml:space="preserve"> that</w:t>
      </w:r>
      <w:r w:rsidR="00F1358C">
        <w:t>, having made these findings,</w:t>
      </w:r>
      <w:r w:rsidR="00F1358C" w:rsidRPr="009F53DE">
        <w:t xml:space="preserve"> the primary judge erred at </w:t>
      </w:r>
      <w:proofErr w:type="gramStart"/>
      <w:r w:rsidR="00F1358C" w:rsidRPr="009F53DE">
        <w:t>J[</w:t>
      </w:r>
      <w:proofErr w:type="gramEnd"/>
      <w:r w:rsidR="00F1358C" w:rsidRPr="009F53DE">
        <w:t>828] in finding that the requirement of s</w:t>
      </w:r>
      <w:r w:rsidR="00F1358C">
        <w:t> 41</w:t>
      </w:r>
      <w:r w:rsidR="00F1358C" w:rsidRPr="009F53DE">
        <w:t xml:space="preserve">(5) of the </w:t>
      </w:r>
      <w:r w:rsidR="00DE7D43">
        <w:t xml:space="preserve">Trade Marks </w:t>
      </w:r>
      <w:r w:rsidR="00F1358C" w:rsidRPr="009F53DE">
        <w:t xml:space="preserve">Act was satisfied in respect of </w:t>
      </w:r>
      <w:r w:rsidR="005C25AA">
        <w:t xml:space="preserve">the </w:t>
      </w:r>
      <w:r w:rsidR="005C25AA">
        <w:lastRenderedPageBreak/>
        <w:t xml:space="preserve">respondent’s </w:t>
      </w:r>
      <w:r w:rsidR="00F1358C" w:rsidRPr="009F53DE">
        <w:t>buildi</w:t>
      </w:r>
      <w:r w:rsidR="00EC4927">
        <w:t xml:space="preserve">ng and construction services.  </w:t>
      </w:r>
      <w:r w:rsidR="005C25AA">
        <w:t xml:space="preserve">The appellants submit that </w:t>
      </w:r>
      <w:r w:rsidR="002A5BB0">
        <w:t>the</w:t>
      </w:r>
      <w:r w:rsidR="005C25AA">
        <w:t xml:space="preserve"> requirement </w:t>
      </w:r>
      <w:r w:rsidR="002A5BB0">
        <w:t xml:space="preserve">of s 41(5) </w:t>
      </w:r>
      <w:r w:rsidR="005C25AA">
        <w:t xml:space="preserve">could only have been </w:t>
      </w:r>
      <w:r w:rsidR="00C02C79">
        <w:t>met</w:t>
      </w:r>
      <w:r w:rsidR="005C25AA">
        <w:t xml:space="preserve"> if</w:t>
      </w:r>
      <w:r w:rsidR="002A5BB0">
        <w:t xml:space="preserve"> the primary judge had been satisfied that, at the relevant date,</w:t>
      </w:r>
      <w:r w:rsidR="005C25AA">
        <w:t xml:space="preserve"> the mark was “to </w:t>
      </w:r>
      <w:r w:rsidR="005C25AA" w:rsidRPr="002A5BB0">
        <w:rPr>
          <w:i/>
        </w:rPr>
        <w:t>some extent</w:t>
      </w:r>
      <w:r w:rsidR="005C25AA">
        <w:t xml:space="preserve"> inherently adapted to distinguish” the respondent’</w:t>
      </w:r>
      <w:r w:rsidR="002A5BB0">
        <w:t>s services.</w:t>
      </w:r>
      <w:r w:rsidR="00C02C79">
        <w:t xml:space="preserve">  On his Honour’s findings, this requirement </w:t>
      </w:r>
      <w:proofErr w:type="gramStart"/>
      <w:r w:rsidR="00C02C79">
        <w:t>could not be met</w:t>
      </w:r>
      <w:proofErr w:type="gramEnd"/>
      <w:r w:rsidR="00C02C79">
        <w:t xml:space="preserve">.  They submit that his Honour’s finding to the contrary at </w:t>
      </w:r>
      <w:proofErr w:type="gramStart"/>
      <w:r w:rsidR="00C02C79">
        <w:t>J[</w:t>
      </w:r>
      <w:proofErr w:type="gramEnd"/>
      <w:r w:rsidR="00C02C79">
        <w:t>828] was an “obvious” error.  In oral submissions, the appellants</w:t>
      </w:r>
      <w:r w:rsidR="00EC4927">
        <w:t xml:space="preserve"> referred to this as “a slip”. </w:t>
      </w:r>
    </w:p>
    <w:p w14:paraId="090A0144" w14:textId="430D1D72" w:rsidR="009F53DE" w:rsidRPr="009F53DE" w:rsidRDefault="00BC7D85" w:rsidP="00BC7D85">
      <w:pPr>
        <w:pStyle w:val="ParaNumbering"/>
        <w:numPr>
          <w:ilvl w:val="0"/>
          <w:numId w:val="0"/>
        </w:numPr>
        <w:ind w:hanging="720"/>
      </w:pPr>
      <w:r w:rsidRPr="009F53DE">
        <w:rPr>
          <w:sz w:val="20"/>
        </w:rPr>
        <w:t>105</w:t>
      </w:r>
      <w:r w:rsidRPr="009F53DE">
        <w:rPr>
          <w:sz w:val="20"/>
        </w:rPr>
        <w:tab/>
      </w:r>
      <w:r w:rsidR="00C02C79">
        <w:t xml:space="preserve">As to s 41(6), the appellants submit that the primary judge was required to </w:t>
      </w:r>
      <w:proofErr w:type="gramStart"/>
      <w:r w:rsidR="00C02C79">
        <w:t>give specific consideration to</w:t>
      </w:r>
      <w:proofErr w:type="gramEnd"/>
      <w:r w:rsidR="00C02C79">
        <w:t xml:space="preserve"> the extent to which the mark </w:t>
      </w:r>
      <w:r w:rsidR="007A692B">
        <w:t xml:space="preserve">itself (i.e., </w:t>
      </w:r>
      <w:r w:rsidR="00C02C79">
        <w:t>HENLEY</w:t>
      </w:r>
      <w:r w:rsidR="007A692B">
        <w:t>)</w:t>
      </w:r>
      <w:r w:rsidR="00C02C79">
        <w:t xml:space="preserve"> had</w:t>
      </w:r>
      <w:r w:rsidR="007A692B">
        <w:t xml:space="preserve"> </w:t>
      </w:r>
      <w:r w:rsidR="00C02C79">
        <w:t xml:space="preserve">been used.  </w:t>
      </w:r>
      <w:r w:rsidR="009F53DE" w:rsidRPr="009F53DE">
        <w:t>The appellant</w:t>
      </w:r>
      <w:r w:rsidR="00BE368A">
        <w:t>s submit</w:t>
      </w:r>
      <w:r w:rsidR="009F53DE" w:rsidRPr="009F53DE">
        <w:t xml:space="preserve"> that the primary </w:t>
      </w:r>
      <w:proofErr w:type="gramStart"/>
      <w:r w:rsidR="009F53DE" w:rsidRPr="009F53DE">
        <w:t>judge’s</w:t>
      </w:r>
      <w:proofErr w:type="gramEnd"/>
      <w:r w:rsidR="009F53DE" w:rsidRPr="009F53DE">
        <w:t xml:space="preserve"> findi</w:t>
      </w:r>
      <w:r w:rsidR="00A8765D">
        <w:t>ng that, at the priority date, HENLEY</w:t>
      </w:r>
      <w:r w:rsidR="009F53DE" w:rsidRPr="009F53DE">
        <w:t xml:space="preserve"> had become distinctive of the respondent’s building and construction services involved a n</w:t>
      </w:r>
      <w:r w:rsidR="00EC4927">
        <w:t xml:space="preserve">umber of errors. </w:t>
      </w:r>
    </w:p>
    <w:p w14:paraId="5FDF4CCB" w14:textId="278561FE" w:rsidR="005C25AA" w:rsidRPr="009F53DE" w:rsidRDefault="00BC7D85" w:rsidP="00BC7D85">
      <w:pPr>
        <w:pStyle w:val="ParaNumbering"/>
        <w:numPr>
          <w:ilvl w:val="0"/>
          <w:numId w:val="0"/>
        </w:numPr>
        <w:ind w:hanging="720"/>
      </w:pPr>
      <w:r w:rsidRPr="009F53DE">
        <w:rPr>
          <w:sz w:val="20"/>
        </w:rPr>
        <w:t>106</w:t>
      </w:r>
      <w:r w:rsidRPr="009F53DE">
        <w:rPr>
          <w:sz w:val="20"/>
        </w:rPr>
        <w:tab/>
      </w:r>
      <w:r w:rsidR="005C25AA">
        <w:t>First, the</w:t>
      </w:r>
      <w:r w:rsidR="005C25AA" w:rsidRPr="009F53DE">
        <w:t xml:space="preserve"> appellants </w:t>
      </w:r>
      <w:r w:rsidR="005C25AA">
        <w:t>rely on</w:t>
      </w:r>
      <w:r w:rsidR="005C25AA" w:rsidRPr="009F53DE">
        <w:t xml:space="preserve"> a number of authorities which discuss the cogency of the evidence that is normally required to establish that a descriptive word, such as a geographical name, has become distinctive of the particular sourc</w:t>
      </w:r>
      <w:r w:rsidR="00EC4927">
        <w:t xml:space="preserve">e of given goods or services.  </w:t>
      </w:r>
    </w:p>
    <w:p w14:paraId="1491DF57" w14:textId="0CE425A8" w:rsidR="007A692B" w:rsidRDefault="00BC7D85" w:rsidP="00BC7D85">
      <w:pPr>
        <w:pStyle w:val="ParaNumbering"/>
        <w:numPr>
          <w:ilvl w:val="0"/>
          <w:numId w:val="0"/>
        </w:numPr>
        <w:ind w:hanging="720"/>
      </w:pPr>
      <w:r>
        <w:rPr>
          <w:sz w:val="20"/>
        </w:rPr>
        <w:t>107</w:t>
      </w:r>
      <w:r>
        <w:rPr>
          <w:sz w:val="20"/>
        </w:rPr>
        <w:tab/>
      </w:r>
      <w:r w:rsidR="005C25AA">
        <w:t>Secondly</w:t>
      </w:r>
      <w:r w:rsidR="007A692B">
        <w:t>, and relatedly, they submit that use of a mark in association with a logo (whether or not as part of a composite mark) will “substantially dilute” the significance of the use of the mark, in contrast to us</w:t>
      </w:r>
      <w:r w:rsidR="00EC4927">
        <w:t xml:space="preserve">e of the mark without a logo.  </w:t>
      </w:r>
    </w:p>
    <w:p w14:paraId="3B31CD0B" w14:textId="1234C131" w:rsidR="002A3FE3" w:rsidRDefault="00BC7D85" w:rsidP="00BC7D85">
      <w:pPr>
        <w:pStyle w:val="ParaNumbering"/>
        <w:numPr>
          <w:ilvl w:val="0"/>
          <w:numId w:val="0"/>
        </w:numPr>
        <w:ind w:hanging="720"/>
      </w:pPr>
      <w:r>
        <w:rPr>
          <w:sz w:val="20"/>
        </w:rPr>
        <w:t>108</w:t>
      </w:r>
      <w:r>
        <w:rPr>
          <w:sz w:val="20"/>
        </w:rPr>
        <w:tab/>
      </w:r>
      <w:r w:rsidR="007A692B">
        <w:t>Thirdly, the</w:t>
      </w:r>
      <w:r w:rsidR="009F53DE" w:rsidRPr="009F53DE">
        <w:t xml:space="preserve"> appellant</w:t>
      </w:r>
      <w:r w:rsidR="00BE368A">
        <w:t>s</w:t>
      </w:r>
      <w:r w:rsidR="007A692B">
        <w:t xml:space="preserve"> refer to </w:t>
      </w:r>
      <w:r w:rsidR="002A3FE3">
        <w:t xml:space="preserve">that part of </w:t>
      </w:r>
      <w:proofErr w:type="gramStart"/>
      <w:r w:rsidR="002A3FE3">
        <w:t>J[</w:t>
      </w:r>
      <w:proofErr w:type="gramEnd"/>
      <w:r w:rsidR="002A3FE3">
        <w:t>828] where, after finding that HENLEY had the capacity to distinguish the respondent’s building and construction services, the primary judge said:</w:t>
      </w:r>
    </w:p>
    <w:p w14:paraId="009400EE" w14:textId="456C4DE7" w:rsidR="002A3FE3" w:rsidRDefault="002A3FE3" w:rsidP="002A3FE3">
      <w:pPr>
        <w:pStyle w:val="Quote1"/>
        <w:ind w:left="1440" w:hanging="703"/>
      </w:pPr>
      <w:r>
        <w:t>828</w:t>
      </w:r>
      <w:r>
        <w:tab/>
        <w:t>… It follows that I am satisfied on the evidence that the requirements of s 41(5) of the TMA as at 18 December 2006 have b</w:t>
      </w:r>
      <w:r w:rsidR="001B77CF">
        <w:t>een satisfied and that the “HEN</w:t>
      </w:r>
      <w:r>
        <w:t>L</w:t>
      </w:r>
      <w:r w:rsidR="001B77CF">
        <w:t>E</w:t>
      </w:r>
      <w:r>
        <w:t>Y” mark has acquired distinctiveness as at the priority date of the building and construction services provided by Henley Arch.</w:t>
      </w:r>
    </w:p>
    <w:p w14:paraId="48F46D72" w14:textId="5640E241" w:rsidR="009F53DE" w:rsidRPr="009F53DE" w:rsidRDefault="00BC7D85" w:rsidP="00BC7D85">
      <w:pPr>
        <w:pStyle w:val="ParaNumbering"/>
        <w:numPr>
          <w:ilvl w:val="0"/>
          <w:numId w:val="0"/>
        </w:numPr>
        <w:ind w:hanging="720"/>
      </w:pPr>
      <w:r w:rsidRPr="009F53DE">
        <w:rPr>
          <w:sz w:val="20"/>
        </w:rPr>
        <w:t>109</w:t>
      </w:r>
      <w:r w:rsidRPr="009F53DE">
        <w:rPr>
          <w:sz w:val="20"/>
        </w:rPr>
        <w:tab/>
      </w:r>
      <w:r w:rsidR="002A3FE3">
        <w:t>The appellants</w:t>
      </w:r>
      <w:r w:rsidR="007A692B">
        <w:t xml:space="preserve"> </w:t>
      </w:r>
      <w:r w:rsidR="00BE368A">
        <w:t>submit</w:t>
      </w:r>
      <w:r w:rsidR="009F53DE" w:rsidRPr="009F53DE">
        <w:t xml:space="preserve"> that the primary </w:t>
      </w:r>
      <w:proofErr w:type="gramStart"/>
      <w:r w:rsidR="009F53DE" w:rsidRPr="009F53DE">
        <w:t>judge’s</w:t>
      </w:r>
      <w:proofErr w:type="gramEnd"/>
      <w:r w:rsidR="009F53DE" w:rsidRPr="009F53DE">
        <w:t xml:space="preserve"> finding that s 41(5) of the </w:t>
      </w:r>
      <w:r w:rsidR="00DE7D43">
        <w:t xml:space="preserve">Trade Marks </w:t>
      </w:r>
      <w:r w:rsidR="009F53DE" w:rsidRPr="009F53DE">
        <w:t>Act was satisfied could not support a findin</w:t>
      </w:r>
      <w:r w:rsidR="00EC4927">
        <w:t xml:space="preserve">g that s 41(6) was satisfied.  </w:t>
      </w:r>
    </w:p>
    <w:p w14:paraId="64179717" w14:textId="287CC93D" w:rsidR="00BE365E" w:rsidRDefault="00BC7D85" w:rsidP="00BC7D85">
      <w:pPr>
        <w:pStyle w:val="ParaNumbering"/>
        <w:numPr>
          <w:ilvl w:val="0"/>
          <w:numId w:val="0"/>
        </w:numPr>
        <w:ind w:hanging="720"/>
      </w:pPr>
      <w:proofErr w:type="gramStart"/>
      <w:r>
        <w:rPr>
          <w:sz w:val="20"/>
        </w:rPr>
        <w:t>110</w:t>
      </w:r>
      <w:r>
        <w:rPr>
          <w:sz w:val="20"/>
        </w:rPr>
        <w:tab/>
      </w:r>
      <w:r w:rsidR="002A3FE3">
        <w:t>Fourthly</w:t>
      </w:r>
      <w:r w:rsidR="009F53DE" w:rsidRPr="009F53DE">
        <w:t>, the appellant</w:t>
      </w:r>
      <w:r w:rsidR="00BE368A">
        <w:t>s submit</w:t>
      </w:r>
      <w:r w:rsidR="009F53DE" w:rsidRPr="009F53DE">
        <w:t xml:space="preserve"> that the primary judge’s findings at J[826] – [827] conc</w:t>
      </w:r>
      <w:r w:rsidR="00A8765D">
        <w:t>erning the respondent’s use of HENLEY</w:t>
      </w:r>
      <w:r w:rsidR="009F53DE" w:rsidRPr="009F53DE">
        <w:t xml:space="preserve"> alone or with additions, and his Honour’s reliance on the findings he made as to the respondent’s use o</w:t>
      </w:r>
      <w:r w:rsidR="00A8765D">
        <w:t>f, and reputation in, the word HENLEY</w:t>
      </w:r>
      <w:r w:rsidR="009F53DE" w:rsidRPr="009F53DE">
        <w:t xml:space="preserve"> when dealing with the respondent’s ACL claims, reflect error because aspects of these findings were</w:t>
      </w:r>
      <w:r w:rsidR="00A8765D">
        <w:t xml:space="preserve"> not concerned with the use of HENLEY simpliciter but HENLEY</w:t>
      </w:r>
      <w:r w:rsidR="009F53DE" w:rsidRPr="009F53DE">
        <w:t xml:space="preserve"> in association wi</w:t>
      </w:r>
      <w:r w:rsidR="00EC4927">
        <w:t>th other trade mark elements.</w:t>
      </w:r>
      <w:proofErr w:type="gramEnd"/>
      <w:r w:rsidR="00EC4927">
        <w:t xml:space="preserve">  </w:t>
      </w:r>
      <w:r w:rsidR="001A79D2">
        <w:t xml:space="preserve">  </w:t>
      </w:r>
    </w:p>
    <w:p w14:paraId="780C2924" w14:textId="6AB4786C" w:rsidR="009F53DE" w:rsidRPr="009F53DE" w:rsidRDefault="00BC7D85" w:rsidP="00BC7D85">
      <w:pPr>
        <w:pStyle w:val="ParaNumbering"/>
        <w:numPr>
          <w:ilvl w:val="0"/>
          <w:numId w:val="0"/>
        </w:numPr>
        <w:ind w:hanging="720"/>
      </w:pPr>
      <w:r w:rsidRPr="009F53DE">
        <w:rPr>
          <w:sz w:val="20"/>
        </w:rPr>
        <w:lastRenderedPageBreak/>
        <w:t>111</w:t>
      </w:r>
      <w:r w:rsidRPr="009F53DE">
        <w:rPr>
          <w:sz w:val="20"/>
        </w:rPr>
        <w:tab/>
      </w:r>
      <w:r w:rsidR="00BE365E">
        <w:t>In this connection, the appellants submit that the primary judge’s reasons</w:t>
      </w:r>
      <w:r w:rsidR="004E518C">
        <w:t xml:space="preserve"> do not “expose” for analysis the uses of HENLEY simpliciter before the priority date.  The</w:t>
      </w:r>
      <w:r w:rsidR="001A79D2">
        <w:t xml:space="preserve"> appellants submit that the Initial Henley Devices and the 2005 Henley Devices contain </w:t>
      </w:r>
      <w:r w:rsidR="00BE365E">
        <w:t>a</w:t>
      </w:r>
      <w:r w:rsidR="001A79D2">
        <w:t xml:space="preserve"> device element (in the appellants’ words, “a distinctive triangular logo”)</w:t>
      </w:r>
      <w:r w:rsidR="00BE365E">
        <w:t xml:space="preserve"> and, in the case of the Initial Henley Devices, additional words (“properties group”, “properties” or “properties group of companies”), which preclude a finding of substantial identity with HENLEY.  They submit that the website to which the domain name henley.com.au resolves (when used as part of a URL) features the composite use of logos and words (as described above) which “could not suffice to eclipse the ordinary signification of HENLEY”.</w:t>
      </w:r>
      <w:r w:rsidR="004E518C">
        <w:t xml:space="preserve">  The appellants submit, further, that the primary judge’s findings in relation to the ACL clai</w:t>
      </w:r>
      <w:r w:rsidR="00EC4927">
        <w:t xml:space="preserve">ms “provide no illumination”.  </w:t>
      </w:r>
    </w:p>
    <w:p w14:paraId="0593377A" w14:textId="719E8DD7" w:rsidR="009F53DE" w:rsidRPr="009F53DE" w:rsidRDefault="00BC7D85" w:rsidP="00BC7D85">
      <w:pPr>
        <w:pStyle w:val="ParaNumbering"/>
        <w:numPr>
          <w:ilvl w:val="0"/>
          <w:numId w:val="0"/>
        </w:numPr>
        <w:tabs>
          <w:tab w:val="left" w:pos="4417"/>
        </w:tabs>
        <w:ind w:hanging="720"/>
      </w:pPr>
      <w:r w:rsidRPr="009F53DE">
        <w:rPr>
          <w:sz w:val="20"/>
        </w:rPr>
        <w:t>112</w:t>
      </w:r>
      <w:r w:rsidRPr="009F53DE">
        <w:rPr>
          <w:sz w:val="20"/>
        </w:rPr>
        <w:tab/>
      </w:r>
      <w:r w:rsidR="002A3FE3">
        <w:t>Fifthly</w:t>
      </w:r>
      <w:r w:rsidR="009F53DE" w:rsidRPr="009F53DE">
        <w:t xml:space="preserve">, the appellants submit that mere use of, or reputation in, a descriptive word is not enough to establish acquired distinctiveness for the purposes of s 41(6) of the </w:t>
      </w:r>
      <w:r w:rsidR="00DE7D43">
        <w:t xml:space="preserve">Trade Marks </w:t>
      </w:r>
      <w:r w:rsidR="00EC4927">
        <w:t xml:space="preserve">Act.  </w:t>
      </w:r>
    </w:p>
    <w:p w14:paraId="7BC3FE49" w14:textId="77777777" w:rsidR="009F53DE" w:rsidRPr="009F53DE" w:rsidRDefault="009F53DE" w:rsidP="009F53DE">
      <w:pPr>
        <w:pStyle w:val="Heading2"/>
      </w:pPr>
      <w:bookmarkStart w:id="42" w:name="_Ref133418099"/>
      <w:r>
        <w:t>Analysis</w:t>
      </w:r>
      <w:bookmarkEnd w:id="42"/>
      <w:r>
        <w:t xml:space="preserve"> </w:t>
      </w:r>
    </w:p>
    <w:p w14:paraId="28FF34DA" w14:textId="2F232065" w:rsidR="009F53DE" w:rsidRPr="009F53DE" w:rsidRDefault="00BC7D85" w:rsidP="00BC7D85">
      <w:pPr>
        <w:pStyle w:val="ParaNumbering"/>
        <w:numPr>
          <w:ilvl w:val="0"/>
          <w:numId w:val="0"/>
        </w:numPr>
        <w:ind w:hanging="720"/>
      </w:pPr>
      <w:r w:rsidRPr="009F53DE">
        <w:rPr>
          <w:sz w:val="20"/>
        </w:rPr>
        <w:t>113</w:t>
      </w:r>
      <w:r w:rsidRPr="009F53DE">
        <w:rPr>
          <w:sz w:val="20"/>
        </w:rPr>
        <w:tab/>
      </w:r>
      <w:r w:rsidR="009F53DE" w:rsidRPr="009F53DE">
        <w:t xml:space="preserve">The primary </w:t>
      </w:r>
      <w:r w:rsidR="005D3C2B">
        <w:t>judge found</w:t>
      </w:r>
      <w:r w:rsidR="009F53DE" w:rsidRPr="009F53DE">
        <w:t xml:space="preserve"> that, at the priority date, the respondent had extensively use</w:t>
      </w:r>
      <w:r w:rsidR="009F53DE">
        <w:t>d</w:t>
      </w:r>
      <w:r w:rsidR="00A8765D">
        <w:t xml:space="preserve"> the word HENLEY</w:t>
      </w:r>
      <w:r w:rsidR="009F53DE" w:rsidRPr="009F53DE">
        <w:t xml:space="preserve"> by itself</w:t>
      </w:r>
      <w:r w:rsidR="005D3C2B">
        <w:t>, in</w:t>
      </w:r>
      <w:r w:rsidR="009F53DE" w:rsidRPr="009F53DE">
        <w:t xml:space="preserve"> </w:t>
      </w:r>
      <w:r w:rsidR="005D3C2B">
        <w:t>the domain name henley.com.au,</w:t>
      </w:r>
      <w:r w:rsidR="005D3C2B" w:rsidRPr="009F53DE">
        <w:t xml:space="preserve"> </w:t>
      </w:r>
      <w:r w:rsidR="009F53DE" w:rsidRPr="009F53DE">
        <w:t xml:space="preserve">and </w:t>
      </w:r>
      <w:r w:rsidR="005D3C2B">
        <w:t>as part</w:t>
      </w:r>
      <w:r w:rsidR="00A677EC">
        <w:t xml:space="preserve"> of the Initial Hen</w:t>
      </w:r>
      <w:r w:rsidR="005D3C2B">
        <w:t>ley Devices and</w:t>
      </w:r>
      <w:r w:rsidR="00A677EC">
        <w:t xml:space="preserve"> </w:t>
      </w:r>
      <w:r w:rsidR="009F53DE" w:rsidRPr="009F53DE">
        <w:t>the 2005 Henley Devices.  Hi</w:t>
      </w:r>
      <w:r w:rsidR="00A8765D">
        <w:t>s Honour found that the use of HENLEY</w:t>
      </w:r>
      <w:r w:rsidR="009F53DE" w:rsidRPr="009F53DE">
        <w:t xml:space="preserve"> in conjunction with the device </w:t>
      </w:r>
      <w:r w:rsidR="00A677EC">
        <w:t xml:space="preserve">and other word </w:t>
      </w:r>
      <w:r w:rsidR="009F53DE" w:rsidRPr="009F53DE">
        <w:t xml:space="preserve">elements of the Initial Henley Devices and the 2005 Henley Devices </w:t>
      </w:r>
      <w:r w:rsidR="00A8765D">
        <w:t>did not affect the identity of HENLEY</w:t>
      </w:r>
      <w:r w:rsidR="009F53DE" w:rsidRPr="009F53DE">
        <w:t xml:space="preserve"> in that context and that consumers would identify services sold u</w:t>
      </w:r>
      <w:r w:rsidR="00A8765D">
        <w:t xml:space="preserve">nder those </w:t>
      </w:r>
      <w:r w:rsidR="00A677EC">
        <w:t>signs</w:t>
      </w:r>
      <w:r w:rsidR="00A8765D">
        <w:t xml:space="preserve"> by the word HENLEY</w:t>
      </w:r>
      <w:r w:rsidR="00EC4927">
        <w:t xml:space="preserve">.  </w:t>
      </w:r>
    </w:p>
    <w:p w14:paraId="619B4C43" w14:textId="0DC73AB0" w:rsidR="00C55F24" w:rsidRDefault="00BC7D85" w:rsidP="00BC7D85">
      <w:pPr>
        <w:pStyle w:val="ParaNumbering"/>
        <w:numPr>
          <w:ilvl w:val="0"/>
          <w:numId w:val="0"/>
        </w:numPr>
        <w:ind w:hanging="720"/>
      </w:pPr>
      <w:r>
        <w:rPr>
          <w:sz w:val="20"/>
        </w:rPr>
        <w:t>114</w:t>
      </w:r>
      <w:r>
        <w:rPr>
          <w:sz w:val="20"/>
        </w:rPr>
        <w:tab/>
      </w:r>
      <w:r w:rsidR="009F53DE" w:rsidRPr="009F53DE">
        <w:t xml:space="preserve">In reaching </w:t>
      </w:r>
      <w:r w:rsidR="005D3C2B">
        <w:t>these</w:t>
      </w:r>
      <w:r w:rsidR="009F53DE" w:rsidRPr="009F53DE">
        <w:t xml:space="preserve"> finding</w:t>
      </w:r>
      <w:r w:rsidR="005D3C2B">
        <w:t>s</w:t>
      </w:r>
      <w:r w:rsidR="009F53DE" w:rsidRPr="009F53DE">
        <w:t xml:space="preserve">, the primary judge referred to the evidence of the respondent’s </w:t>
      </w:r>
      <w:proofErr w:type="gramStart"/>
      <w:r w:rsidR="009F53DE" w:rsidRPr="009F53DE">
        <w:t>reputation which</w:t>
      </w:r>
      <w:proofErr w:type="gramEnd"/>
      <w:r w:rsidR="009F53DE" w:rsidRPr="009F53DE">
        <w:t xml:space="preserve"> he had discussed when dealing with the claims made against the appellants under the ACL.  The respondent’s case in that regard was that, as at February 2007 (</w:t>
      </w:r>
      <w:r w:rsidR="00A677EC">
        <w:t>the date of first use by Henley Constructions of HENLEY), and also at February 2017</w:t>
      </w:r>
      <w:r w:rsidR="009F53DE" w:rsidRPr="009F53DE">
        <w:t>, it had a significant reputati</w:t>
      </w:r>
      <w:r w:rsidR="00A8765D">
        <w:t>on throughout Australia in the HENLEY</w:t>
      </w:r>
      <w:r w:rsidR="009F53DE" w:rsidRPr="009F53DE">
        <w:t xml:space="preserve"> </w:t>
      </w:r>
      <w:r w:rsidR="00C971E2">
        <w:t>“</w:t>
      </w:r>
      <w:r w:rsidR="009F53DE" w:rsidRPr="009F53DE">
        <w:t>brand</w:t>
      </w:r>
      <w:r w:rsidR="00C971E2">
        <w:t>”</w:t>
      </w:r>
      <w:r w:rsidR="009F53DE" w:rsidRPr="009F53DE">
        <w:t xml:space="preserve"> through its extensive promotion and use of the </w:t>
      </w:r>
      <w:r w:rsidR="00A8765D">
        <w:t>names HENLEY and HENLEY PROPERTIES</w:t>
      </w:r>
      <w:r w:rsidR="009F53DE" w:rsidRPr="009F53DE">
        <w:t xml:space="preserve"> in respect of building and construction services.   </w:t>
      </w:r>
    </w:p>
    <w:p w14:paraId="1DC9819B" w14:textId="1CB2ADEE" w:rsidR="00C55F24" w:rsidRDefault="00BC7D85" w:rsidP="00BC7D85">
      <w:pPr>
        <w:pStyle w:val="ParaNumbering"/>
        <w:numPr>
          <w:ilvl w:val="0"/>
          <w:numId w:val="0"/>
        </w:numPr>
        <w:ind w:hanging="720"/>
      </w:pPr>
      <w:proofErr w:type="gramStart"/>
      <w:r>
        <w:rPr>
          <w:sz w:val="20"/>
        </w:rPr>
        <w:t>115</w:t>
      </w:r>
      <w:r>
        <w:rPr>
          <w:sz w:val="20"/>
        </w:rPr>
        <w:tab/>
      </w:r>
      <w:r w:rsidR="001024CE">
        <w:t>The primary judge</w:t>
      </w:r>
      <w:r w:rsidR="009F53DE" w:rsidRPr="009F53DE">
        <w:t xml:space="preserve"> also recorded that it was not in dispute that, at all relevant times (meaning, in </w:t>
      </w:r>
      <w:r w:rsidR="001024CE">
        <w:t xml:space="preserve">the </w:t>
      </w:r>
      <w:r w:rsidR="009F53DE" w:rsidRPr="009F53DE">
        <w:t>context</w:t>
      </w:r>
      <w:r w:rsidR="001024CE">
        <w:t xml:space="preserve"> of the ACL claim</w:t>
      </w:r>
      <w:r w:rsidR="009F53DE" w:rsidRPr="009F53DE">
        <w:t xml:space="preserve">, as </w:t>
      </w:r>
      <w:r w:rsidR="001024CE">
        <w:t xml:space="preserve">and from </w:t>
      </w:r>
      <w:r w:rsidR="009F53DE" w:rsidRPr="009F53DE">
        <w:t>February 2007</w:t>
      </w:r>
      <w:r w:rsidR="001024CE">
        <w:t xml:space="preserve"> when Henley Constructions commenced to use HENLEY</w:t>
      </w:r>
      <w:r w:rsidR="009F53DE" w:rsidRPr="009F53DE">
        <w:t>)</w:t>
      </w:r>
      <w:r w:rsidR="001024CE">
        <w:t>,</w:t>
      </w:r>
      <w:r w:rsidR="009F53DE" w:rsidRPr="009F53DE">
        <w:t xml:space="preserve"> the respondent </w:t>
      </w:r>
      <w:r w:rsidR="009F53DE" w:rsidRPr="00B3455A">
        <w:t>had</w:t>
      </w:r>
      <w:r w:rsidR="009F53DE" w:rsidRPr="009F53DE">
        <w:t xml:space="preserve"> a sign</w:t>
      </w:r>
      <w:r w:rsidR="001A79D2">
        <w:t>ificant reputation in HENLEY</w:t>
      </w:r>
      <w:r w:rsidR="009F53DE" w:rsidRPr="009F53DE">
        <w:t>, at least in Victoria in respect of the building and construction of semi-de</w:t>
      </w:r>
      <w:r w:rsidR="00EC4927">
        <w:t>tached houses and townhouses.</w:t>
      </w:r>
      <w:proofErr w:type="gramEnd"/>
      <w:r w:rsidR="00EC4927">
        <w:t xml:space="preserve">  </w:t>
      </w:r>
      <w:r w:rsidR="009F53DE" w:rsidRPr="009F53DE">
        <w:t xml:space="preserve"> </w:t>
      </w:r>
    </w:p>
    <w:p w14:paraId="567DD3ED" w14:textId="7903AA8C" w:rsidR="00654C2F" w:rsidRDefault="00BC7D85" w:rsidP="00BC7D85">
      <w:pPr>
        <w:pStyle w:val="ParaNumbering"/>
        <w:numPr>
          <w:ilvl w:val="0"/>
          <w:numId w:val="0"/>
        </w:numPr>
        <w:ind w:hanging="720"/>
      </w:pPr>
      <w:r>
        <w:rPr>
          <w:sz w:val="20"/>
        </w:rPr>
        <w:lastRenderedPageBreak/>
        <w:t>116</w:t>
      </w:r>
      <w:r>
        <w:rPr>
          <w:sz w:val="20"/>
        </w:rPr>
        <w:tab/>
      </w:r>
      <w:r w:rsidR="009F53DE" w:rsidRPr="009F53DE">
        <w:t xml:space="preserve">The primary judge’s </w:t>
      </w:r>
      <w:r w:rsidR="005D4A09">
        <w:t xml:space="preserve">reference to this fact not being in dispute </w:t>
      </w:r>
      <w:r w:rsidR="005F2C4A">
        <w:t>appears to derive</w:t>
      </w:r>
      <w:r w:rsidR="005D4A09">
        <w:t xml:space="preserve"> from </w:t>
      </w:r>
      <w:r w:rsidR="00E346D4">
        <w:t xml:space="preserve">a number of sources.  </w:t>
      </w:r>
    </w:p>
    <w:p w14:paraId="343802EA" w14:textId="2B1C555D" w:rsidR="00B3455A" w:rsidRDefault="00BC7D85" w:rsidP="00BC7D85">
      <w:pPr>
        <w:pStyle w:val="ParaNumbering"/>
        <w:numPr>
          <w:ilvl w:val="0"/>
          <w:numId w:val="0"/>
        </w:numPr>
        <w:ind w:hanging="720"/>
      </w:pPr>
      <w:proofErr w:type="gramStart"/>
      <w:r>
        <w:rPr>
          <w:sz w:val="20"/>
        </w:rPr>
        <w:t>117</w:t>
      </w:r>
      <w:r>
        <w:rPr>
          <w:sz w:val="20"/>
        </w:rPr>
        <w:tab/>
      </w:r>
      <w:r w:rsidR="00E346D4">
        <w:t xml:space="preserve">First, </w:t>
      </w:r>
      <w:r w:rsidR="005D4A09">
        <w:t>in its opening submissions on its cross-claim</w:t>
      </w:r>
      <w:r w:rsidR="001A79D2">
        <w:t xml:space="preserve"> (</w:t>
      </w:r>
      <w:r w:rsidR="00E346D4">
        <w:t>by</w:t>
      </w:r>
      <w:r w:rsidR="001A79D2">
        <w:t xml:space="preserve"> which</w:t>
      </w:r>
      <w:r w:rsidR="004E518C">
        <w:t>, amongst other things,</w:t>
      </w:r>
      <w:r w:rsidR="001A79D2">
        <w:t xml:space="preserve"> it attacked the validity of the 820 mark under s 41 of the Trade Marks Act)</w:t>
      </w:r>
      <w:r w:rsidR="005D4A09">
        <w:t xml:space="preserve">, </w:t>
      </w:r>
      <w:r w:rsidR="00E346D4">
        <w:t xml:space="preserve">Henley Constructions conceded </w:t>
      </w:r>
      <w:r w:rsidR="005D4A09">
        <w:t xml:space="preserve">that, due </w:t>
      </w:r>
      <w:r w:rsidR="00A8765D">
        <w:t xml:space="preserve">to </w:t>
      </w:r>
      <w:r w:rsidR="00E346D4">
        <w:t>the respondent’s</w:t>
      </w:r>
      <w:r w:rsidR="00A8765D">
        <w:t xml:space="preserve"> activities in Victoria, HENLEY</w:t>
      </w:r>
      <w:r w:rsidR="005D4A09">
        <w:t xml:space="preserve"> was “a known brand in the project home market in Victoria” at the pr</w:t>
      </w:r>
      <w:r w:rsidR="00EC4927">
        <w:t>iority date for the 820 mark.</w:t>
      </w:r>
      <w:proofErr w:type="gramEnd"/>
      <w:r w:rsidR="00EC4927">
        <w:t xml:space="preserve">  </w:t>
      </w:r>
      <w:r w:rsidR="005D4A09">
        <w:t xml:space="preserve">  </w:t>
      </w:r>
    </w:p>
    <w:p w14:paraId="63D4A059" w14:textId="14EB8A10" w:rsidR="00E346D4" w:rsidRDefault="00BC7D85" w:rsidP="00BC7D85">
      <w:pPr>
        <w:pStyle w:val="ParaNumbering"/>
        <w:numPr>
          <w:ilvl w:val="0"/>
          <w:numId w:val="0"/>
        </w:numPr>
        <w:ind w:hanging="720"/>
      </w:pPr>
      <w:r>
        <w:rPr>
          <w:sz w:val="20"/>
        </w:rPr>
        <w:t>118</w:t>
      </w:r>
      <w:r>
        <w:rPr>
          <w:sz w:val="20"/>
        </w:rPr>
        <w:tab/>
      </w:r>
      <w:r w:rsidR="00654C2F">
        <w:t>Secondly, this</w:t>
      </w:r>
      <w:r w:rsidR="005D4A09">
        <w:t xml:space="preserve"> </w:t>
      </w:r>
      <w:r w:rsidR="00B3455A">
        <w:t>concession</w:t>
      </w:r>
      <w:r w:rsidR="005D4A09">
        <w:t xml:space="preserve"> was confirmed </w:t>
      </w:r>
      <w:r w:rsidR="001024CE">
        <w:t xml:space="preserve">in oral argument </w:t>
      </w:r>
      <w:r w:rsidR="005D4A09">
        <w:t>during the course of the hearing</w:t>
      </w:r>
      <w:r w:rsidR="001024CE">
        <w:t xml:space="preserve"> below</w:t>
      </w:r>
      <w:r w:rsidR="00E346D4">
        <w:t>, when clarification was sought by the respondent</w:t>
      </w:r>
      <w:r w:rsidR="00015D9F">
        <w:t xml:space="preserve"> </w:t>
      </w:r>
      <w:r w:rsidR="00E346D4">
        <w:t xml:space="preserve">as to what was in issue in the proceeding </w:t>
      </w:r>
      <w:proofErr w:type="gramStart"/>
      <w:r w:rsidR="00E346D4">
        <w:t>so</w:t>
      </w:r>
      <w:proofErr w:type="gramEnd"/>
      <w:r w:rsidR="00E346D4">
        <w:t xml:space="preserve"> far as the respondent’s reputation in HENLEY was concerned.  The following exchange took place between the primary judge and counsel for the parties:  </w:t>
      </w:r>
      <w:r w:rsidR="005D4A09">
        <w:t xml:space="preserve"> </w:t>
      </w:r>
    </w:p>
    <w:p w14:paraId="6F187243" w14:textId="77777777" w:rsidR="00732F30" w:rsidRDefault="00732F30" w:rsidP="00732F30">
      <w:pPr>
        <w:pStyle w:val="Quote1"/>
      </w:pPr>
      <w:r>
        <w:t>MR CORDINER:  Your Honour, I raise this other just final matter. Your Honour will recall in my opening that I stressed that we were relying in the main on the reputation within Victoria, that is, the build-up of the reputation in Henley, Henley properties, and etcetera, in Victoria.</w:t>
      </w:r>
    </w:p>
    <w:p w14:paraId="17E45ED1" w14:textId="77777777" w:rsidR="00732F30" w:rsidRDefault="00732F30" w:rsidP="00732F30">
      <w:pPr>
        <w:pStyle w:val="Quote1"/>
      </w:pPr>
      <w:r>
        <w:t>HIS HONOUR:  Yes.</w:t>
      </w:r>
    </w:p>
    <w:p w14:paraId="2F162FC0" w14:textId="77777777" w:rsidR="00732F30" w:rsidRDefault="00732F30" w:rsidP="00732F30">
      <w:pPr>
        <w:pStyle w:val="Quote1"/>
      </w:pPr>
      <w:r>
        <w:t xml:space="preserve">MR CORDINER:   And we took it from last week’s objections hearing that there </w:t>
      </w:r>
      <w:proofErr w:type="gramStart"/>
      <w:r>
        <w:t>wasn’t</w:t>
      </w:r>
      <w:proofErr w:type="gramEnd"/>
      <w:r>
        <w:t xml:space="preserve"> really much debate about the reputation in Victoria. </w:t>
      </w:r>
      <w:proofErr w:type="gramStart"/>
      <w:r>
        <w:t>We’ve</w:t>
      </w:r>
      <w:proofErr w:type="gramEnd"/>
      <w:r>
        <w:t xml:space="preserve"> sought to clarify that with our friends.</w:t>
      </w:r>
    </w:p>
    <w:p w14:paraId="01329898" w14:textId="77777777" w:rsidR="00732F30" w:rsidRDefault="00732F30" w:rsidP="00732F30">
      <w:pPr>
        <w:pStyle w:val="Quote1"/>
      </w:pPr>
      <w:r>
        <w:t>HIS HONOUR:  Yes.</w:t>
      </w:r>
    </w:p>
    <w:p w14:paraId="0D14A968" w14:textId="77777777" w:rsidR="00732F30" w:rsidRDefault="00732F30" w:rsidP="00732F30">
      <w:pPr>
        <w:pStyle w:val="Quote1"/>
      </w:pPr>
      <w:r>
        <w:t xml:space="preserve">MR CORDINER:  Unfortunately, I </w:t>
      </w:r>
      <w:proofErr w:type="gramStart"/>
      <w:r>
        <w:t>don’t</w:t>
      </w:r>
      <w:proofErr w:type="gramEnd"/>
      <w:r>
        <w:t xml:space="preserve"> think it’s in a satisfactory state in the sense that maybe it’s about adjectives, or was it a significant reputation or not significant reputation, etcetera. Our position is we </w:t>
      </w:r>
      <w:proofErr w:type="gramStart"/>
      <w:r>
        <w:t>don’t</w:t>
      </w:r>
      <w:proofErr w:type="gramEnd"/>
      <w:r>
        <w:t xml:space="preserve"> want to have to tender all the material which supports the existence of a reputation in Victoria which was significant, but if our friends – unfortunately, if they take the position there was not one, then we might have to go through that process. So I will still keep engaging with our friends, but I put your Honour on notice - - -</w:t>
      </w:r>
    </w:p>
    <w:p w14:paraId="6CB3B85F" w14:textId="77777777" w:rsidR="00732F30" w:rsidRDefault="00732F30" w:rsidP="00732F30">
      <w:pPr>
        <w:pStyle w:val="Quote1"/>
      </w:pPr>
      <w:r>
        <w:t>HIS HONOUR: Yes.</w:t>
      </w:r>
    </w:p>
    <w:p w14:paraId="45B505B1" w14:textId="77777777" w:rsidR="00732F30" w:rsidRDefault="00732F30" w:rsidP="00732F30">
      <w:pPr>
        <w:pStyle w:val="Quote1"/>
      </w:pPr>
      <w:r>
        <w:t xml:space="preserve">MR CORDINER: - - - that we </w:t>
      </w:r>
      <w:proofErr w:type="gramStart"/>
      <w:r>
        <w:t>don’t</w:t>
      </w:r>
      <w:proofErr w:type="gramEnd"/>
      <w:r>
        <w:t xml:space="preserve"> want to be blamed for having to rely on material to support a reputation when, unfortunately, our friends have put us to that point.</w:t>
      </w:r>
    </w:p>
    <w:p w14:paraId="4CA82C32" w14:textId="77777777" w:rsidR="00732F30" w:rsidRDefault="00732F30" w:rsidP="00732F30">
      <w:pPr>
        <w:pStyle w:val="Quote1"/>
      </w:pPr>
      <w:r>
        <w:t xml:space="preserve">HIS HONOUR: Yes. Let me hear from Mr Hennessy. </w:t>
      </w:r>
      <w:proofErr w:type="gramStart"/>
      <w:r>
        <w:t xml:space="preserve">Mr Hennessy, I must say, last week at least when I was dealing with objections as to evidence, I must say that what I took out of what had transpired between the bench and the bar table was that it was accepted that </w:t>
      </w:r>
      <w:r w:rsidR="00654C2F">
        <w:t>Henley</w:t>
      </w:r>
      <w:r>
        <w:t xml:space="preserve"> had a reputation in Victoria for residential homes, and a significant reputation, and what’s really at issue here is what, if any, reputation do they have elsewhere.</w:t>
      </w:r>
      <w:proofErr w:type="gramEnd"/>
    </w:p>
    <w:p w14:paraId="6AB44C48" w14:textId="77777777" w:rsidR="00732F30" w:rsidRDefault="00732F30" w:rsidP="00732F30">
      <w:pPr>
        <w:pStyle w:val="Quote1"/>
      </w:pPr>
      <w:r>
        <w:t>MR HENNESSY:  Well - - -</w:t>
      </w:r>
    </w:p>
    <w:p w14:paraId="21DF695C" w14:textId="77777777" w:rsidR="00732F30" w:rsidRDefault="00732F30" w:rsidP="00732F30">
      <w:pPr>
        <w:pStyle w:val="Quote1"/>
      </w:pPr>
      <w:r>
        <w:t>HIS HONOUR:  Am I right in that?</w:t>
      </w:r>
    </w:p>
    <w:p w14:paraId="12D9A3EC" w14:textId="77777777" w:rsidR="00732F30" w:rsidRDefault="00732F30" w:rsidP="00732F30">
      <w:pPr>
        <w:pStyle w:val="Quote1"/>
      </w:pPr>
      <w:r>
        <w:t xml:space="preserve">MR HENNESSY:  </w:t>
      </w:r>
      <w:proofErr w:type="gramStart"/>
      <w:r>
        <w:t>That’s</w:t>
      </w:r>
      <w:proofErr w:type="gramEnd"/>
      <w:r>
        <w:t xml:space="preserve"> correct. </w:t>
      </w:r>
      <w:proofErr w:type="gramStart"/>
      <w:r>
        <w:t>That’s</w:t>
      </w:r>
      <w:proofErr w:type="gramEnd"/>
      <w:r>
        <w:t xml:space="preserve"> what I’ve taken out of it.</w:t>
      </w:r>
    </w:p>
    <w:p w14:paraId="427262BC" w14:textId="77777777" w:rsidR="00732F30" w:rsidRDefault="00732F30" w:rsidP="00732F30">
      <w:pPr>
        <w:pStyle w:val="Quote1"/>
      </w:pPr>
      <w:r>
        <w:lastRenderedPageBreak/>
        <w:t xml:space="preserve">HIS HONOUR:  Good. </w:t>
      </w:r>
    </w:p>
    <w:p w14:paraId="3942A382" w14:textId="77777777" w:rsidR="00732F30" w:rsidRDefault="00732F30" w:rsidP="00732F30">
      <w:pPr>
        <w:pStyle w:val="Quote1"/>
      </w:pPr>
      <w:r>
        <w:t xml:space="preserve">MR HENNESSY:  So </w:t>
      </w:r>
      <w:proofErr w:type="gramStart"/>
      <w:r>
        <w:t>I’ve got</w:t>
      </w:r>
      <w:proofErr w:type="gramEnd"/>
      <w:r>
        <w:t xml:space="preserve"> – I must plead ignorance about what dispute there is that’s going on.</w:t>
      </w:r>
    </w:p>
    <w:p w14:paraId="4C878A91" w14:textId="77777777" w:rsidR="00732F30" w:rsidRDefault="00732F30" w:rsidP="00732F30">
      <w:pPr>
        <w:pStyle w:val="Quote1"/>
      </w:pPr>
      <w:r>
        <w:t xml:space="preserve">HIS HONOUR: Well, it </w:t>
      </w:r>
      <w:proofErr w:type="gramStart"/>
      <w:r>
        <w:t>doesn’t</w:t>
      </w:r>
      <w:proofErr w:type="gramEnd"/>
      <w:r>
        <w:t xml:space="preserve"> sound like there is a dispute anymore, Mr Hennessy.</w:t>
      </w:r>
    </w:p>
    <w:p w14:paraId="06DBBC70" w14:textId="77777777" w:rsidR="00732F30" w:rsidRDefault="00732F30" w:rsidP="00732F30">
      <w:pPr>
        <w:pStyle w:val="Quote1"/>
      </w:pPr>
      <w:r>
        <w:t xml:space="preserve">MR HENNESSY:  From our – </w:t>
      </w:r>
      <w:proofErr w:type="gramStart"/>
      <w:r>
        <w:t>it’s</w:t>
      </w:r>
      <w:proofErr w:type="gramEnd"/>
      <w:r>
        <w:t xml:space="preserve"> news to me. </w:t>
      </w:r>
      <w:proofErr w:type="gramStart"/>
      <w:r>
        <w:t>And</w:t>
      </w:r>
      <w:proofErr w:type="gramEnd"/>
      <w:r>
        <w:t xml:space="preserve"> it may be that there’s some adjective in correspondence that has been the subject of a dispute, but you would have seen – your Honour would have seen, including from our written submissions, references to it’s not in – I think to this effect. </w:t>
      </w:r>
      <w:proofErr w:type="gramStart"/>
      <w:r>
        <w:t>It’s</w:t>
      </w:r>
      <w:proofErr w:type="gramEnd"/>
      <w:r>
        <w:t xml:space="preserve"> not in dispute that it’s a known brand. </w:t>
      </w:r>
    </w:p>
    <w:p w14:paraId="36D8CD69" w14:textId="77777777" w:rsidR="00732F30" w:rsidRDefault="00732F30" w:rsidP="00732F30">
      <w:pPr>
        <w:pStyle w:val="Quote1"/>
      </w:pPr>
      <w:r>
        <w:t xml:space="preserve">HIS HONOUR: Well, I thought </w:t>
      </w:r>
      <w:proofErr w:type="gramStart"/>
      <w:r>
        <w:t>a lot</w:t>
      </w:r>
      <w:proofErr w:type="gramEnd"/>
      <w:r>
        <w:t xml:space="preserve"> of what your cross-examination was directed to this morning was to that very point.</w:t>
      </w:r>
    </w:p>
    <w:p w14:paraId="364CFBE1" w14:textId="77777777" w:rsidR="00732F30" w:rsidRDefault="00732F30" w:rsidP="00732F30">
      <w:pPr>
        <w:pStyle w:val="Quote1"/>
      </w:pPr>
      <w:r>
        <w:t>MR HENNESSY: Exactly.</w:t>
      </w:r>
    </w:p>
    <w:p w14:paraId="4267AC32" w14:textId="2F561836" w:rsidR="009F53DE" w:rsidRDefault="00BC7D85" w:rsidP="00BC7D85">
      <w:pPr>
        <w:pStyle w:val="ParaNumbering"/>
        <w:numPr>
          <w:ilvl w:val="0"/>
          <w:numId w:val="0"/>
        </w:numPr>
        <w:ind w:hanging="720"/>
      </w:pPr>
      <w:r>
        <w:rPr>
          <w:sz w:val="20"/>
        </w:rPr>
        <w:t>119</w:t>
      </w:r>
      <w:r>
        <w:rPr>
          <w:sz w:val="20"/>
        </w:rPr>
        <w:tab/>
      </w:r>
      <w:r w:rsidR="00654C2F">
        <w:t>Thirdly, in</w:t>
      </w:r>
      <w:r w:rsidR="005D4A09">
        <w:t xml:space="preserve"> </w:t>
      </w:r>
      <w:r w:rsidR="00E346D4">
        <w:t>its</w:t>
      </w:r>
      <w:r w:rsidR="005D4A09">
        <w:t xml:space="preserve"> written closing submissions</w:t>
      </w:r>
      <w:r w:rsidR="00E346D4">
        <w:t>,</w:t>
      </w:r>
      <w:r w:rsidR="005D4A09">
        <w:t xml:space="preserve"> </w:t>
      </w:r>
      <w:r w:rsidR="00E346D4">
        <w:t>Henley Constructions</w:t>
      </w:r>
      <w:r w:rsidR="005D4A09">
        <w:t xml:space="preserve"> said (with reference to its opening submissions</w:t>
      </w:r>
      <w:r w:rsidR="005F2C4A">
        <w:t xml:space="preserve"> on its cross-claim</w:t>
      </w:r>
      <w:r w:rsidR="00EC4927">
        <w:t xml:space="preserve">):  </w:t>
      </w:r>
    </w:p>
    <w:p w14:paraId="1E45E29E" w14:textId="77777777" w:rsidR="005D4A09" w:rsidRPr="009F53DE" w:rsidRDefault="005D4A09" w:rsidP="005D4A09">
      <w:pPr>
        <w:pStyle w:val="Quote1"/>
      </w:pPr>
      <w:r>
        <w:t>As Henley Constructions has repeatedly made plain there is no issue about the fact that Henley Arch has acquired a reputation in the brand “Henley” in Victoria.  At issue is whether it has a reputation in that brand in other [S]</w:t>
      </w:r>
      <w:proofErr w:type="spellStart"/>
      <w:proofErr w:type="gramStart"/>
      <w:r>
        <w:t>tates</w:t>
      </w:r>
      <w:proofErr w:type="spellEnd"/>
      <w:proofErr w:type="gramEnd"/>
      <w:r>
        <w:t>, most relevantly NSW.</w:t>
      </w:r>
    </w:p>
    <w:p w14:paraId="7A1382D0" w14:textId="2EA5F288" w:rsidR="001024CE" w:rsidRDefault="00BC7D85" w:rsidP="00BC7D85">
      <w:pPr>
        <w:pStyle w:val="ParaNumbering"/>
        <w:numPr>
          <w:ilvl w:val="0"/>
          <w:numId w:val="0"/>
        </w:numPr>
        <w:ind w:hanging="720"/>
      </w:pPr>
      <w:proofErr w:type="gramStart"/>
      <w:r>
        <w:rPr>
          <w:sz w:val="20"/>
        </w:rPr>
        <w:t>120</w:t>
      </w:r>
      <w:r>
        <w:rPr>
          <w:sz w:val="20"/>
        </w:rPr>
        <w:tab/>
      </w:r>
      <w:r w:rsidR="001024CE">
        <w:t>Notwithstanding its acceptance that the respondent had acquired a reputation in the HENLEY “brand” at the priority date of the 820 mark</w:t>
      </w:r>
      <w:r w:rsidR="009F53DE" w:rsidRPr="009F53DE">
        <w:t xml:space="preserve">, Henley Constructions </w:t>
      </w:r>
      <w:r w:rsidR="001024CE">
        <w:t>argued before the primary judge</w:t>
      </w:r>
      <w:r w:rsidR="009F53DE" w:rsidRPr="009F53DE">
        <w:t xml:space="preserve"> that the respondent’s reputation </w:t>
      </w:r>
      <w:r w:rsidR="001024CE">
        <w:t xml:space="preserve">in the “brand” </w:t>
      </w:r>
      <w:r w:rsidR="009F53DE" w:rsidRPr="009F53DE">
        <w:t xml:space="preserve">was limited in that </w:t>
      </w:r>
      <w:r w:rsidR="001024CE">
        <w:t>the reputation</w:t>
      </w:r>
      <w:r w:rsidR="009F53DE" w:rsidRPr="009F53DE">
        <w:t xml:space="preserve"> did not extend to building homes in New South Wales</w:t>
      </w:r>
      <w:r w:rsidR="00B3455A">
        <w:t xml:space="preserve"> (as indicated by the above quotation)</w:t>
      </w:r>
      <w:r w:rsidR="009F53DE" w:rsidRPr="009F53DE">
        <w:t>, and it did not extend to the construction of multi-dwelling residential apartment buildings.</w:t>
      </w:r>
      <w:proofErr w:type="gramEnd"/>
      <w:r w:rsidR="001B5406">
        <w:t xml:space="preserve">  This was the true area of contest, not whether the respondent had a reputation</w:t>
      </w:r>
      <w:r w:rsidR="00E346D4">
        <w:t xml:space="preserve"> (which</w:t>
      </w:r>
      <w:r w:rsidR="00654C2F">
        <w:t>, in oral argument</w:t>
      </w:r>
      <w:r w:rsidR="00C971E2">
        <w:t xml:space="preserve"> before the primary judge</w:t>
      </w:r>
      <w:r w:rsidR="00654C2F">
        <w:t>, the appellants</w:t>
      </w:r>
      <w:r w:rsidR="00E346D4">
        <w:t xml:space="preserve"> accepted was a significant reputation)</w:t>
      </w:r>
      <w:r w:rsidR="001B5406">
        <w:t xml:space="preserve"> in the HENLEY “brand” in respect of building and construction services</w:t>
      </w:r>
      <w:r w:rsidR="00B3455A">
        <w:t xml:space="preserve"> at the relevant time</w:t>
      </w:r>
      <w:r w:rsidR="001B5406">
        <w:t>.</w:t>
      </w:r>
      <w:r w:rsidR="009F53DE" w:rsidRPr="009F53DE">
        <w:t xml:space="preserve">  </w:t>
      </w:r>
    </w:p>
    <w:p w14:paraId="598E6756" w14:textId="719650C8" w:rsidR="00064601" w:rsidRDefault="00BC7D85" w:rsidP="00BC7D85">
      <w:pPr>
        <w:pStyle w:val="ParaNumbering"/>
        <w:numPr>
          <w:ilvl w:val="0"/>
          <w:numId w:val="0"/>
        </w:numPr>
        <w:ind w:hanging="720"/>
      </w:pPr>
      <w:r>
        <w:rPr>
          <w:sz w:val="20"/>
        </w:rPr>
        <w:t>121</w:t>
      </w:r>
      <w:r>
        <w:rPr>
          <w:sz w:val="20"/>
        </w:rPr>
        <w:tab/>
      </w:r>
      <w:r w:rsidR="009F53DE" w:rsidRPr="009F53DE">
        <w:t xml:space="preserve">The primary judge rejected </w:t>
      </w:r>
      <w:r w:rsidR="00654C2F">
        <w:t>the</w:t>
      </w:r>
      <w:r w:rsidR="009F53DE" w:rsidRPr="009F53DE">
        <w:t xml:space="preserve"> submission</w:t>
      </w:r>
      <w:r w:rsidR="00654C2F">
        <w:t xml:space="preserve"> that the respondent’s reputation in HENLEY in respect of building and construction services was geographically limited (as Henley Constructions had contended)</w:t>
      </w:r>
      <w:r w:rsidR="009F53DE" w:rsidRPr="009F53DE">
        <w:t xml:space="preserve"> and found that the respondent had a significant reputation throughout Victoria, Queensland and South Australia</w:t>
      </w:r>
      <w:r w:rsidR="008C7377">
        <w:t>,</w:t>
      </w:r>
      <w:r w:rsidR="009F53DE" w:rsidRPr="009F53DE">
        <w:t xml:space="preserve"> which extended into New South Wales.  </w:t>
      </w:r>
    </w:p>
    <w:p w14:paraId="471F3F29" w14:textId="07F8DF2C" w:rsidR="00C72407" w:rsidRDefault="00BC7D85" w:rsidP="00BC7D85">
      <w:pPr>
        <w:pStyle w:val="ParaNumbering"/>
        <w:numPr>
          <w:ilvl w:val="0"/>
          <w:numId w:val="0"/>
        </w:numPr>
        <w:ind w:hanging="720"/>
      </w:pPr>
      <w:r>
        <w:rPr>
          <w:sz w:val="20"/>
        </w:rPr>
        <w:t>122</w:t>
      </w:r>
      <w:r>
        <w:rPr>
          <w:sz w:val="20"/>
        </w:rPr>
        <w:tab/>
      </w:r>
      <w:r w:rsidR="009F53DE" w:rsidRPr="009F53DE">
        <w:t>The primary judge also found that the respondent’s reputation was not limited to single dwelling detached homes but extended to multi-dwelling residential townhouses and, more generally, to the resp</w:t>
      </w:r>
      <w:r w:rsidR="00EC4927">
        <w:t xml:space="preserve">ondent as a builder of homes.  </w:t>
      </w:r>
      <w:r w:rsidR="009F53DE" w:rsidRPr="009F53DE">
        <w:t xml:space="preserve"> </w:t>
      </w:r>
    </w:p>
    <w:p w14:paraId="14C6D779" w14:textId="243E6016" w:rsidR="009F53DE" w:rsidRDefault="00BC7D85" w:rsidP="00BC7D85">
      <w:pPr>
        <w:pStyle w:val="ParaNumbering"/>
        <w:numPr>
          <w:ilvl w:val="0"/>
          <w:numId w:val="0"/>
        </w:numPr>
        <w:ind w:hanging="720"/>
      </w:pPr>
      <w:r>
        <w:rPr>
          <w:sz w:val="20"/>
        </w:rPr>
        <w:t>123</w:t>
      </w:r>
      <w:r>
        <w:rPr>
          <w:sz w:val="20"/>
        </w:rPr>
        <w:tab/>
      </w:r>
      <w:r w:rsidR="009F53DE" w:rsidRPr="009F53DE">
        <w:t xml:space="preserve">Further, the primary judge </w:t>
      </w:r>
      <w:proofErr w:type="gramStart"/>
      <w:r w:rsidR="009F53DE" w:rsidRPr="009F53DE">
        <w:t>was not persuaded</w:t>
      </w:r>
      <w:proofErr w:type="gramEnd"/>
      <w:r w:rsidR="009F53DE" w:rsidRPr="009F53DE">
        <w:t xml:space="preserve">, on the evidence, that the relevant class of the public would understand and appreciate, in any event, the difference between </w:t>
      </w:r>
      <w:r w:rsidR="00C971E2">
        <w:t xml:space="preserve">the construction </w:t>
      </w:r>
      <w:r w:rsidR="00C971E2">
        <w:lastRenderedPageBreak/>
        <w:t xml:space="preserve">of </w:t>
      </w:r>
      <w:r w:rsidR="009F53DE" w:rsidRPr="009F53DE">
        <w:t>detached single dwelling homes, townhouses and multi-dwelling res</w:t>
      </w:r>
      <w:r w:rsidR="00EC4927">
        <w:t xml:space="preserve">idential apartment buildings.  </w:t>
      </w:r>
    </w:p>
    <w:p w14:paraId="2B44ECB0" w14:textId="0FFAD15C" w:rsidR="00C72407" w:rsidRDefault="00BC7D85" w:rsidP="00BC7D85">
      <w:pPr>
        <w:pStyle w:val="ParaNumbering"/>
        <w:numPr>
          <w:ilvl w:val="0"/>
          <w:numId w:val="0"/>
        </w:numPr>
        <w:ind w:hanging="720"/>
      </w:pPr>
      <w:r>
        <w:rPr>
          <w:sz w:val="20"/>
        </w:rPr>
        <w:t>124</w:t>
      </w:r>
      <w:r>
        <w:rPr>
          <w:sz w:val="20"/>
        </w:rPr>
        <w:tab/>
      </w:r>
      <w:r w:rsidR="00F55CEB">
        <w:t>Although the</w:t>
      </w:r>
      <w:r w:rsidR="00B3455A">
        <w:t xml:space="preserve"> concession</w:t>
      </w:r>
      <w:r w:rsidR="00654C2F">
        <w:t xml:space="preserve"> to which we have referred</w:t>
      </w:r>
      <w:r w:rsidR="00B3455A">
        <w:t xml:space="preserve"> was</w:t>
      </w:r>
      <w:r w:rsidR="00F55CEB">
        <w:t xml:space="preserve"> not specifically mentioned in J[826], [827] and [829] of the primary judge’s reasons, his Honour’s findings in respect of the ACL aspect of the respondent’s claim, particularly as to its reputation, were referred to.  We are in no doubt that those findings were of </w:t>
      </w:r>
      <w:r w:rsidR="00B3455A">
        <w:t xml:space="preserve">considerable importance to </w:t>
      </w:r>
      <w:r w:rsidR="00F55CEB">
        <w:t xml:space="preserve">his Honour’s consideration of </w:t>
      </w:r>
      <w:r w:rsidR="00B3455A">
        <w:t>the question</w:t>
      </w:r>
      <w:r w:rsidR="00232391">
        <w:t xml:space="preserve"> of</w:t>
      </w:r>
      <w:r w:rsidR="00B3455A">
        <w:t xml:space="preserve"> whether, at the priority date of the 820 mark, HENLEY did</w:t>
      </w:r>
      <w:r w:rsidR="00232391">
        <w:t>, in fact,</w:t>
      </w:r>
      <w:r w:rsidR="00B3455A">
        <w:t xml:space="preserve"> distinguish the respondent’s building and construction services from the building and construction services of other traders.</w:t>
      </w:r>
      <w:r w:rsidR="00C72407" w:rsidRPr="00C72407">
        <w:t xml:space="preserve"> </w:t>
      </w:r>
      <w:proofErr w:type="gramStart"/>
      <w:r w:rsidR="00F55CEB">
        <w:t>But</w:t>
      </w:r>
      <w:proofErr w:type="gramEnd"/>
      <w:r w:rsidR="00C72407">
        <w:t xml:space="preserve">, his Honour’s findings on the respondent’s reputation in HENLEY in relation to building and construction services were not based simply on </w:t>
      </w:r>
      <w:r w:rsidR="00AF427F">
        <w:t>the</w:t>
      </w:r>
      <w:r w:rsidR="00C72407">
        <w:t xml:space="preserve"> concession.  </w:t>
      </w:r>
      <w:r w:rsidR="00AF427F">
        <w:t>The primary judge’s findings</w:t>
      </w:r>
      <w:r w:rsidR="00C72407">
        <w:t xml:space="preserve"> </w:t>
      </w:r>
      <w:proofErr w:type="gramStart"/>
      <w:r w:rsidR="00C72407">
        <w:t>were based</w:t>
      </w:r>
      <w:proofErr w:type="gramEnd"/>
      <w:r w:rsidR="00C72407">
        <w:t xml:space="preserve"> on his Honour’s consideration of the totality of the evidence on this subject.</w:t>
      </w:r>
    </w:p>
    <w:p w14:paraId="0E38EA77" w14:textId="27D420CB" w:rsidR="009F53DE" w:rsidRPr="009F53DE" w:rsidRDefault="00BC7D85" w:rsidP="00BC7D85">
      <w:pPr>
        <w:pStyle w:val="ParaNumbering"/>
        <w:numPr>
          <w:ilvl w:val="0"/>
          <w:numId w:val="0"/>
        </w:numPr>
        <w:tabs>
          <w:tab w:val="left" w:pos="1724"/>
        </w:tabs>
        <w:ind w:hanging="720"/>
      </w:pPr>
      <w:r w:rsidRPr="009F53DE">
        <w:rPr>
          <w:sz w:val="20"/>
        </w:rPr>
        <w:t>125</w:t>
      </w:r>
      <w:r w:rsidRPr="009F53DE">
        <w:rPr>
          <w:sz w:val="20"/>
        </w:rPr>
        <w:tab/>
      </w:r>
      <w:r w:rsidR="009F53DE" w:rsidRPr="009F53DE">
        <w:t xml:space="preserve">A fair reading of the primary judge’s reasons shows, clearly, that his Honour </w:t>
      </w:r>
      <w:r w:rsidR="00652EFD">
        <w:t>firmly had in mind</w:t>
      </w:r>
      <w:r w:rsidR="009F53DE" w:rsidRPr="009F53DE">
        <w:t xml:space="preserve"> the principles by which a sign is adjudged to be capable of distinguishing goods and services for the purposes of s 41 of the</w:t>
      </w:r>
      <w:r w:rsidR="00DE7D43">
        <w:t xml:space="preserve"> Trade Marks</w:t>
      </w:r>
      <w:r w:rsidR="009F53DE" w:rsidRPr="009F53DE">
        <w:t xml:space="preserve"> Act, particularly where the sign comprises a</w:t>
      </w:r>
      <w:r w:rsidR="005F2C4A">
        <w:t>n arguably</w:t>
      </w:r>
      <w:r w:rsidR="009F53DE" w:rsidRPr="009F53DE">
        <w:t xml:space="preserve"> descriptive word, including a geographical name.  </w:t>
      </w:r>
      <w:proofErr w:type="gramStart"/>
      <w:r w:rsidR="009F53DE" w:rsidRPr="009F53DE">
        <w:t xml:space="preserve">This is manifest from his Honour’s extensive quotations from </w:t>
      </w:r>
      <w:r w:rsidR="009F53DE" w:rsidRPr="00586452">
        <w:rPr>
          <w:i/>
        </w:rPr>
        <w:t>Accor Australia &amp; New Zealand Hospitality Pty Ltd v Liv Pty Ltd</w:t>
      </w:r>
      <w:r w:rsidR="009F53DE" w:rsidRPr="005605B1">
        <w:t xml:space="preserve"> [2017] FCAFC 56</w:t>
      </w:r>
      <w:r w:rsidR="009F53DE" w:rsidRPr="009F53DE">
        <w:t xml:space="preserve"> at [236]; </w:t>
      </w:r>
      <w:r w:rsidR="009F53DE" w:rsidRPr="00586452">
        <w:rPr>
          <w:i/>
        </w:rPr>
        <w:t>Colorado Group</w:t>
      </w:r>
      <w:r w:rsidR="009F53DE" w:rsidRPr="005605B1">
        <w:rPr>
          <w:i/>
        </w:rPr>
        <w:t xml:space="preserve"> Ltd v </w:t>
      </w:r>
      <w:proofErr w:type="spellStart"/>
      <w:r w:rsidR="009F53DE" w:rsidRPr="005605B1">
        <w:rPr>
          <w:i/>
        </w:rPr>
        <w:t>Strandbags</w:t>
      </w:r>
      <w:proofErr w:type="spellEnd"/>
      <w:r w:rsidR="009F53DE" w:rsidRPr="005605B1">
        <w:rPr>
          <w:i/>
        </w:rPr>
        <w:t xml:space="preserve"> Group Pty Ltd</w:t>
      </w:r>
      <w:r w:rsidR="009F53DE" w:rsidRPr="0069340D">
        <w:t xml:space="preserve"> [2007] FCAFC 184; 164 FCR 506</w:t>
      </w:r>
      <w:r w:rsidR="001024CE">
        <w:t xml:space="preserve"> (</w:t>
      </w:r>
      <w:r w:rsidR="001024CE" w:rsidRPr="00C72407">
        <w:rPr>
          <w:b/>
          <w:i/>
        </w:rPr>
        <w:t>Colorado</w:t>
      </w:r>
      <w:r w:rsidR="001024CE">
        <w:t>)</w:t>
      </w:r>
      <w:r w:rsidR="009F53DE" w:rsidRPr="009F53DE">
        <w:t xml:space="preserve"> at [128]; and </w:t>
      </w:r>
      <w:r w:rsidR="009F53DE" w:rsidRPr="00586452">
        <w:rPr>
          <w:i/>
        </w:rPr>
        <w:t>Bohemia Crystal Pty Ltd v Host Corporation Pty Ltd</w:t>
      </w:r>
      <w:r w:rsidR="009F53DE" w:rsidRPr="005605B1">
        <w:t xml:space="preserve"> [2018] FCA 235; 129 IPR 482</w:t>
      </w:r>
      <w:r w:rsidR="009F53DE" w:rsidRPr="009F53DE">
        <w:t xml:space="preserve"> at [92] – [93], and, his recourse to illustrative examples from </w:t>
      </w:r>
      <w:r w:rsidR="009F53DE" w:rsidRPr="00C72407">
        <w:rPr>
          <w:i/>
        </w:rPr>
        <w:t>Colorado</w:t>
      </w:r>
      <w:r w:rsidR="009F53DE" w:rsidRPr="00364BAE">
        <w:t>,</w:t>
      </w:r>
      <w:r w:rsidR="009F53DE" w:rsidRPr="00C72407">
        <w:rPr>
          <w:i/>
        </w:rPr>
        <w:t xml:space="preserve"> </w:t>
      </w:r>
      <w:r w:rsidR="009F53DE" w:rsidRPr="00586452">
        <w:rPr>
          <w:i/>
        </w:rPr>
        <w:t xml:space="preserve">Blount </w:t>
      </w:r>
      <w:proofErr w:type="spellStart"/>
      <w:r w:rsidR="009F53DE" w:rsidRPr="00586452">
        <w:rPr>
          <w:i/>
        </w:rPr>
        <w:t>Inc</w:t>
      </w:r>
      <w:proofErr w:type="spellEnd"/>
      <w:r w:rsidR="009F53DE" w:rsidRPr="00586452">
        <w:rPr>
          <w:i/>
        </w:rPr>
        <w:t xml:space="preserve"> v Reg</w:t>
      </w:r>
      <w:r w:rsidR="009F53DE" w:rsidRPr="005605B1">
        <w:rPr>
          <w:i/>
        </w:rPr>
        <w:t>istrar of Trade Marks</w:t>
      </w:r>
      <w:r w:rsidR="009F53DE" w:rsidRPr="0069340D">
        <w:t xml:space="preserve"> [1998] FCA 440; 83 FCR 50</w:t>
      </w:r>
      <w:r w:rsidR="009F53DE" w:rsidRPr="009F53DE">
        <w:t xml:space="preserve">; </w:t>
      </w:r>
      <w:r w:rsidR="009F53DE" w:rsidRPr="00586452">
        <w:rPr>
          <w:i/>
        </w:rPr>
        <w:t>Yarra Valley Dairy Pty Ltd v Lemnos Foods Pty Ltd</w:t>
      </w:r>
      <w:r w:rsidR="009F53DE" w:rsidRPr="005605B1">
        <w:t xml:space="preserve"> [2010] FCA 1367; 191 FCR 297</w:t>
      </w:r>
      <w:r w:rsidR="009F53DE" w:rsidRPr="009F53DE">
        <w:t xml:space="preserve">; </w:t>
      </w:r>
      <w:r w:rsidR="009F53DE" w:rsidRPr="00586452">
        <w:rPr>
          <w:i/>
        </w:rPr>
        <w:t>Clark Equipment Company v Registrar of Trade Marks</w:t>
      </w:r>
      <w:r w:rsidR="009F53DE" w:rsidRPr="005605B1">
        <w:t xml:space="preserve"> (1964) 111 CLR 511</w:t>
      </w:r>
      <w:r w:rsidR="009F53DE" w:rsidRPr="009F53DE">
        <w:t xml:space="preserve">; and </w:t>
      </w:r>
      <w:r w:rsidR="009F53DE" w:rsidRPr="00586452">
        <w:rPr>
          <w:i/>
        </w:rPr>
        <w:t>Oxford University Press v Registrar of Tr</w:t>
      </w:r>
      <w:r w:rsidR="009F53DE" w:rsidRPr="005605B1">
        <w:rPr>
          <w:i/>
        </w:rPr>
        <w:t>ade Marks</w:t>
      </w:r>
      <w:r w:rsidR="009F53DE" w:rsidRPr="0069340D">
        <w:t xml:space="preserve"> (1990) FCR 1</w:t>
      </w:r>
      <w:r w:rsidR="009F53DE" w:rsidRPr="009F53DE">
        <w:t>.</w:t>
      </w:r>
      <w:proofErr w:type="gramEnd"/>
    </w:p>
    <w:p w14:paraId="3887987E" w14:textId="1E0B0539" w:rsidR="009B11F8" w:rsidRDefault="00BC7D85" w:rsidP="00BC7D85">
      <w:pPr>
        <w:pStyle w:val="ParaNumbering"/>
        <w:numPr>
          <w:ilvl w:val="0"/>
          <w:numId w:val="0"/>
        </w:numPr>
        <w:ind w:hanging="720"/>
      </w:pPr>
      <w:r>
        <w:rPr>
          <w:sz w:val="20"/>
        </w:rPr>
        <w:t>126</w:t>
      </w:r>
      <w:r>
        <w:rPr>
          <w:sz w:val="20"/>
        </w:rPr>
        <w:tab/>
      </w:r>
      <w:r w:rsidR="009F53DE" w:rsidRPr="009F53DE">
        <w:t xml:space="preserve">A fair reading of the primary judge’s reasons also shows, clearly, that the primary judge </w:t>
      </w:r>
      <w:r w:rsidR="00652EFD">
        <w:t xml:space="preserve">firmly had in mind </w:t>
      </w:r>
      <w:r w:rsidR="009F53DE" w:rsidRPr="009F53DE">
        <w:t>Henley Construction</w:t>
      </w:r>
      <w:r w:rsidR="00232391">
        <w:t xml:space="preserve">s’ submissions on this question.  </w:t>
      </w:r>
      <w:proofErr w:type="gramStart"/>
      <w:r w:rsidR="00232391">
        <w:t>The primary judge</w:t>
      </w:r>
      <w:r w:rsidR="009F53DE" w:rsidRPr="009F53DE">
        <w:t xml:space="preserve"> recorded </w:t>
      </w:r>
      <w:r w:rsidR="00232391">
        <w:t xml:space="preserve">these submissions </w:t>
      </w:r>
      <w:r w:rsidR="009F53DE" w:rsidRPr="009F53DE">
        <w:t xml:space="preserve">at length, noting in </w:t>
      </w:r>
      <w:r w:rsidR="00A8765D">
        <w:t xml:space="preserve">particular </w:t>
      </w:r>
      <w:r w:rsidR="00232391">
        <w:t>Henley Constructions’</w:t>
      </w:r>
      <w:r w:rsidR="00A8765D">
        <w:t xml:space="preserve"> submission that HENLEY</w:t>
      </w:r>
      <w:r w:rsidR="009F53DE" w:rsidRPr="009F53DE">
        <w:t xml:space="preserve"> lacked inherent distinctiveness in relation to common services, like building and cons</w:t>
      </w:r>
      <w:r w:rsidR="00A8765D">
        <w:t>truction services, because (a) HENLEY (and its variant HENLY</w:t>
      </w:r>
      <w:r w:rsidR="009F53DE" w:rsidRPr="009F53DE">
        <w:t>) was a surname or a component of a surname used by sub</w:t>
      </w:r>
      <w:r w:rsidR="00A8765D">
        <w:t xml:space="preserve">stantial number of people; </w:t>
      </w:r>
      <w:r w:rsidR="00EE2250">
        <w:t>(b)</w:t>
      </w:r>
      <w:r w:rsidR="00A677EC">
        <w:t xml:space="preserve"> </w:t>
      </w:r>
      <w:r w:rsidR="00A8765D">
        <w:t>HENLEY</w:t>
      </w:r>
      <w:r w:rsidR="009F53DE" w:rsidRPr="009F53DE">
        <w:t xml:space="preserve"> was also a geographical location; and (c) people with surnam</w:t>
      </w:r>
      <w:r w:rsidR="00A8765D">
        <w:t>es containing or consisting of HENLEY or HENLY</w:t>
      </w:r>
      <w:r w:rsidR="009F53DE" w:rsidRPr="009F53DE">
        <w:t xml:space="preserve"> may reasonably want to use those names to describe their services, and traders from </w:t>
      </w:r>
      <w:r w:rsidR="00A8765D">
        <w:lastRenderedPageBreak/>
        <w:t>a geographical location called HENLEY</w:t>
      </w:r>
      <w:r w:rsidR="009F53DE" w:rsidRPr="009F53DE">
        <w:t xml:space="preserve"> may want to refer to that location as the place from which their services emanate or the location at which those services are provided.</w:t>
      </w:r>
      <w:proofErr w:type="gramEnd"/>
      <w:r w:rsidR="009F53DE" w:rsidRPr="009F53DE">
        <w:t xml:space="preserve">  </w:t>
      </w:r>
      <w:r w:rsidR="00EE2250">
        <w:t xml:space="preserve">  </w:t>
      </w:r>
    </w:p>
    <w:p w14:paraId="44F1FBA1" w14:textId="1C4F01F6" w:rsidR="009F53DE" w:rsidRPr="009F53DE" w:rsidRDefault="00BC7D85" w:rsidP="00BC7D85">
      <w:pPr>
        <w:pStyle w:val="ParaNumbering"/>
        <w:numPr>
          <w:ilvl w:val="0"/>
          <w:numId w:val="0"/>
        </w:numPr>
        <w:ind w:hanging="720"/>
      </w:pPr>
      <w:r w:rsidRPr="009F53DE">
        <w:rPr>
          <w:sz w:val="20"/>
        </w:rPr>
        <w:t>127</w:t>
      </w:r>
      <w:r w:rsidRPr="009F53DE">
        <w:rPr>
          <w:sz w:val="20"/>
        </w:rPr>
        <w:tab/>
      </w:r>
      <w:r w:rsidR="00EE2250">
        <w:t>We note, however, that, in relation to</w:t>
      </w:r>
      <w:r w:rsidR="00232391">
        <w:t xml:space="preserve"> the name</w:t>
      </w:r>
      <w:r w:rsidR="00EE2250">
        <w:t xml:space="preserve"> HENLEY as a geographical location, the primary judge was not satisfied</w:t>
      </w:r>
      <w:r w:rsidR="009B11F8">
        <w:t xml:space="preserve"> that the evidence supported Henley Constructions’ contention that consumers associated, or would associate,</w:t>
      </w:r>
      <w:r w:rsidR="006679ED">
        <w:t xml:space="preserve"> the name</w:t>
      </w:r>
      <w:r w:rsidR="009B11F8">
        <w:t xml:space="preserve"> HENLEY with particular l</w:t>
      </w:r>
      <w:r w:rsidR="006679ED">
        <w:t>ocalities</w:t>
      </w:r>
      <w:r w:rsidR="00CC0ED0">
        <w:t xml:space="preserve">.  </w:t>
      </w:r>
      <w:r w:rsidR="009B11F8">
        <w:t xml:space="preserve">As the primary judge correctly observed at </w:t>
      </w:r>
      <w:proofErr w:type="gramStart"/>
      <w:r w:rsidR="009B11F8">
        <w:t>J[</w:t>
      </w:r>
      <w:proofErr w:type="gramEnd"/>
      <w:r w:rsidR="009B11F8">
        <w:t xml:space="preserve">805], </w:t>
      </w:r>
      <w:r w:rsidR="00A677EC">
        <w:t>when considering</w:t>
      </w:r>
      <w:r w:rsidR="008175A1">
        <w:t xml:space="preserve"> </w:t>
      </w:r>
      <w:r w:rsidR="006679ED">
        <w:t>whether a geographical name has</w:t>
      </w:r>
      <w:r w:rsidR="005F2C4A">
        <w:t>, for trade mark purposes,</w:t>
      </w:r>
      <w:r w:rsidR="006679ED">
        <w:t xml:space="preserve"> the capacity to distinguish a trader’s goods or services</w:t>
      </w:r>
      <w:r w:rsidR="00A677EC">
        <w:t>, the focus</w:t>
      </w:r>
      <w:r w:rsidR="006679ED">
        <w:t xml:space="preserve"> is the ordinary signification of the name</w:t>
      </w:r>
      <w:r w:rsidR="005F2C4A">
        <w:t xml:space="preserve"> in question</w:t>
      </w:r>
      <w:r w:rsidR="00312527">
        <w:t xml:space="preserve">.  In other words, </w:t>
      </w:r>
      <w:proofErr w:type="gramStart"/>
      <w:r w:rsidR="00312527">
        <w:t xml:space="preserve">is the </w:t>
      </w:r>
      <w:r w:rsidR="00A677EC">
        <w:t>name, according to its ordinary meaning,</w:t>
      </w:r>
      <w:r w:rsidR="00312527">
        <w:t xml:space="preserve"> understood</w:t>
      </w:r>
      <w:proofErr w:type="gramEnd"/>
      <w:r w:rsidR="00312527">
        <w:t xml:space="preserve"> </w:t>
      </w:r>
      <w:r w:rsidR="005F2C4A">
        <w:t>as</w:t>
      </w:r>
      <w:r w:rsidR="00312527">
        <w:t xml:space="preserve"> a geographical name</w:t>
      </w:r>
      <w:r w:rsidR="00A677EC">
        <w:t>?</w:t>
      </w:r>
      <w:r w:rsidR="006679ED">
        <w:t xml:space="preserve">  </w:t>
      </w:r>
      <w:r w:rsidR="00A677EC">
        <w:t>See</w:t>
      </w:r>
      <w:r w:rsidR="006679ED">
        <w:t>, for example,</w:t>
      </w:r>
      <w:r w:rsidR="00A677EC">
        <w:t xml:space="preserve"> the treatment of the name COLORADO in</w:t>
      </w:r>
      <w:r w:rsidR="006679ED">
        <w:t xml:space="preserve"> </w:t>
      </w:r>
      <w:r w:rsidR="006679ED" w:rsidRPr="006679ED">
        <w:rPr>
          <w:i/>
        </w:rPr>
        <w:t xml:space="preserve">Colorado </w:t>
      </w:r>
      <w:r w:rsidR="006679ED">
        <w:t xml:space="preserve">at [128].  A geographical name does not assume significance for </w:t>
      </w:r>
      <w:proofErr w:type="gramStart"/>
      <w:r w:rsidR="006679ED">
        <w:t>trade mark</w:t>
      </w:r>
      <w:proofErr w:type="gramEnd"/>
      <w:r w:rsidR="006679ED">
        <w:t xml:space="preserve"> purposes “simply because some place upon the earth’s surface has been called by it”:  </w:t>
      </w:r>
      <w:r w:rsidR="006679ED" w:rsidRPr="00007F66">
        <w:rPr>
          <w:i/>
        </w:rPr>
        <w:t xml:space="preserve">In </w:t>
      </w:r>
      <w:r w:rsidR="00BE29D9" w:rsidRPr="00007F66">
        <w:rPr>
          <w:i/>
        </w:rPr>
        <w:t xml:space="preserve">Re </w:t>
      </w:r>
      <w:r w:rsidR="006679ED" w:rsidRPr="00007F66">
        <w:rPr>
          <w:i/>
        </w:rPr>
        <w:t>The Magnolia Metal Company’s Trade Marks</w:t>
      </w:r>
      <w:r w:rsidR="006679ED" w:rsidRPr="00007F66">
        <w:t xml:space="preserve"> </w:t>
      </w:r>
      <w:r w:rsidR="00BE29D9" w:rsidRPr="00007F66">
        <w:t xml:space="preserve">[1897] 2 </w:t>
      </w:r>
      <w:proofErr w:type="spellStart"/>
      <w:r w:rsidR="00BE29D9" w:rsidRPr="00007F66">
        <w:t>Ch</w:t>
      </w:r>
      <w:proofErr w:type="spellEnd"/>
      <w:r w:rsidR="00BE29D9" w:rsidRPr="00007F66">
        <w:t xml:space="preserve"> 371 </w:t>
      </w:r>
      <w:r w:rsidR="00BE29D9">
        <w:t>at 393</w:t>
      </w:r>
      <w:r w:rsidR="008175A1">
        <w:t>.</w:t>
      </w:r>
      <w:r w:rsidR="009B11F8">
        <w:t xml:space="preserve">  </w:t>
      </w:r>
    </w:p>
    <w:p w14:paraId="124F31DF" w14:textId="214983B9" w:rsidR="009F53DE" w:rsidRPr="009F53DE" w:rsidRDefault="00BC7D85" w:rsidP="00BC7D85">
      <w:pPr>
        <w:pStyle w:val="ParaNumbering"/>
        <w:numPr>
          <w:ilvl w:val="0"/>
          <w:numId w:val="0"/>
        </w:numPr>
        <w:ind w:hanging="720"/>
      </w:pPr>
      <w:r w:rsidRPr="009F53DE">
        <w:rPr>
          <w:sz w:val="20"/>
        </w:rPr>
        <w:t>128</w:t>
      </w:r>
      <w:r w:rsidRPr="009F53DE">
        <w:rPr>
          <w:sz w:val="20"/>
        </w:rPr>
        <w:tab/>
      </w:r>
      <w:r w:rsidR="009F53DE" w:rsidRPr="009F53DE">
        <w:t xml:space="preserve">Further, a fair reading of the primary judge’s reasons shows, clearly, that the primary judge </w:t>
      </w:r>
      <w:r w:rsidR="00652EFD">
        <w:t>firmly had in mind</w:t>
      </w:r>
      <w:r w:rsidR="009F53DE" w:rsidRPr="009F53DE">
        <w:t xml:space="preserve"> Henley Constructions’ submission that, at the priority date</w:t>
      </w:r>
      <w:r w:rsidR="00C55F24">
        <w:t xml:space="preserve"> of the 820 mark</w:t>
      </w:r>
      <w:r w:rsidR="001A79D2">
        <w:t>, HENLEY</w:t>
      </w:r>
      <w:r w:rsidR="009F53DE" w:rsidRPr="009F53DE">
        <w:t xml:space="preserve"> had not </w:t>
      </w:r>
      <w:r w:rsidR="009F53DE" w:rsidRPr="00E753E0">
        <w:rPr>
          <w:i/>
        </w:rPr>
        <w:t>acquired</w:t>
      </w:r>
      <w:r w:rsidR="009F53DE" w:rsidRPr="009F53DE">
        <w:t xml:space="preserve"> distinctiveness, in the sense of distinguishing the respondent’s services from t</w:t>
      </w:r>
      <w:r w:rsidR="00CC0ED0">
        <w:t xml:space="preserve">he services of other traders.  </w:t>
      </w:r>
    </w:p>
    <w:p w14:paraId="0338FE73" w14:textId="688DC19D" w:rsidR="00181F54" w:rsidRDefault="00BC7D85" w:rsidP="00BC7D85">
      <w:pPr>
        <w:pStyle w:val="ParaNumbering"/>
        <w:numPr>
          <w:ilvl w:val="0"/>
          <w:numId w:val="0"/>
        </w:numPr>
        <w:ind w:hanging="720"/>
      </w:pPr>
      <w:r>
        <w:rPr>
          <w:sz w:val="20"/>
        </w:rPr>
        <w:t>129</w:t>
      </w:r>
      <w:r>
        <w:rPr>
          <w:sz w:val="20"/>
        </w:rPr>
        <w:tab/>
      </w:r>
      <w:r w:rsidR="009F53DE" w:rsidRPr="009F53DE">
        <w:t>We accept that the primary judge’s reliance on s</w:t>
      </w:r>
      <w:r w:rsidR="002F2592">
        <w:t xml:space="preserve"> 41</w:t>
      </w:r>
      <w:r w:rsidR="009F53DE" w:rsidRPr="009F53DE">
        <w:t xml:space="preserve">(5) of the </w:t>
      </w:r>
      <w:r w:rsidR="00DE7D43">
        <w:t xml:space="preserve">Trade Marks </w:t>
      </w:r>
      <w:r w:rsidR="009F53DE" w:rsidRPr="009F53DE">
        <w:t>Act</w:t>
      </w:r>
      <w:r w:rsidR="00C971E2">
        <w:t>—</w:t>
      </w:r>
      <w:r w:rsidR="00A8765D">
        <w:t xml:space="preserve">to find that the </w:t>
      </w:r>
      <w:r w:rsidR="00A32730">
        <w:t>H</w:t>
      </w:r>
      <w:r w:rsidR="00A8765D">
        <w:t>ENLEY</w:t>
      </w:r>
      <w:r w:rsidR="00A32730">
        <w:t xml:space="preserve"> mark had the capacity to distinguish the respondent’s bui</w:t>
      </w:r>
      <w:r w:rsidR="00C971E2">
        <w:t>lding and construction services—</w:t>
      </w:r>
      <w:r w:rsidR="009F53DE" w:rsidRPr="009F53DE">
        <w:t xml:space="preserve">was </w:t>
      </w:r>
      <w:r w:rsidR="00C55F24">
        <w:t>an</w:t>
      </w:r>
      <w:r w:rsidR="009F53DE" w:rsidRPr="009F53DE">
        <w:t xml:space="preserve"> error</w:t>
      </w:r>
      <w:r w:rsidR="00C55F24">
        <w:t>,</w:t>
      </w:r>
      <w:r w:rsidR="009F53DE" w:rsidRPr="009F53DE">
        <w:t xml:space="preserve"> having regard to hi</w:t>
      </w:r>
      <w:r w:rsidR="00652EFD">
        <w:t xml:space="preserve">s Honour’s earlier finding at </w:t>
      </w:r>
      <w:proofErr w:type="gramStart"/>
      <w:r w:rsidR="00652EFD">
        <w:t>J</w:t>
      </w:r>
      <w:r w:rsidR="00A8765D">
        <w:t>[</w:t>
      </w:r>
      <w:proofErr w:type="gramEnd"/>
      <w:r w:rsidR="00A8765D">
        <w:t>810] that HENLEY</w:t>
      </w:r>
      <w:r w:rsidR="009F53DE" w:rsidRPr="009F53DE">
        <w:t xml:space="preserve"> </w:t>
      </w:r>
      <w:r w:rsidR="002B178A">
        <w:t>is</w:t>
      </w:r>
      <w:r w:rsidR="009F53DE" w:rsidRPr="009F53DE">
        <w:t xml:space="preserve"> not inherently distinctive.</w:t>
      </w:r>
      <w:r w:rsidR="004D6313">
        <w:t xml:space="preserve">  </w:t>
      </w:r>
      <w:r w:rsidR="004A1722">
        <w:t xml:space="preserve">Given the primary judge’s finding at </w:t>
      </w:r>
      <w:proofErr w:type="gramStart"/>
      <w:r w:rsidR="004A1722">
        <w:t>J[</w:t>
      </w:r>
      <w:proofErr w:type="gramEnd"/>
      <w:r w:rsidR="004A1722">
        <w:t>810], it</w:t>
      </w:r>
      <w:r w:rsidR="004D6313">
        <w:t xml:space="preserve"> is, with respect, also difficult</w:t>
      </w:r>
      <w:r w:rsidR="001B5406">
        <w:t xml:space="preserve"> to follow</w:t>
      </w:r>
      <w:r w:rsidR="0031019C">
        <w:t xml:space="preserve"> </w:t>
      </w:r>
      <w:r w:rsidR="004A1722">
        <w:t>his Honour’s</w:t>
      </w:r>
      <w:r w:rsidR="0031019C">
        <w:t xml:space="preserve"> chain of reasoning in J[828] (quoted above) in which</w:t>
      </w:r>
      <w:r w:rsidR="001B5406">
        <w:t>, with reference to s 41(5) of the Trade Marks Act,</w:t>
      </w:r>
      <w:r w:rsidR="0031019C">
        <w:t xml:space="preserve"> </w:t>
      </w:r>
      <w:r w:rsidR="001B5406">
        <w:t xml:space="preserve">he expressed </w:t>
      </w:r>
      <w:r w:rsidR="0031019C">
        <w:t xml:space="preserve">his satisfaction that HENLEY </w:t>
      </w:r>
      <w:r w:rsidR="0031019C" w:rsidRPr="00E753E0">
        <w:rPr>
          <w:i/>
        </w:rPr>
        <w:t>had</w:t>
      </w:r>
      <w:r w:rsidR="0031019C">
        <w:t xml:space="preserve"> acquired distinctiveness at the priority date.</w:t>
      </w:r>
      <w:r w:rsidR="009F53DE" w:rsidRPr="009F53DE">
        <w:t xml:space="preserve">  </w:t>
      </w:r>
    </w:p>
    <w:p w14:paraId="3C862B5D" w14:textId="0B1CBD10" w:rsidR="009F53DE" w:rsidRPr="009F53DE" w:rsidRDefault="00BC7D85" w:rsidP="00BC7D85">
      <w:pPr>
        <w:pStyle w:val="ParaNumbering"/>
        <w:numPr>
          <w:ilvl w:val="0"/>
          <w:numId w:val="0"/>
        </w:numPr>
        <w:ind w:hanging="720"/>
      </w:pPr>
      <w:r w:rsidRPr="009F53DE">
        <w:rPr>
          <w:sz w:val="20"/>
        </w:rPr>
        <w:t>130</w:t>
      </w:r>
      <w:r w:rsidRPr="009F53DE">
        <w:rPr>
          <w:sz w:val="20"/>
        </w:rPr>
        <w:tab/>
      </w:r>
      <w:r w:rsidR="0031019C">
        <w:t>However</w:t>
      </w:r>
      <w:r w:rsidR="009F53DE" w:rsidRPr="009F53DE">
        <w:t>,</w:t>
      </w:r>
      <w:r w:rsidR="0031019C">
        <w:t xml:space="preserve"> when regard is had to J[829], we are satisfied</w:t>
      </w:r>
      <w:r w:rsidR="009F53DE" w:rsidRPr="009F53DE">
        <w:t xml:space="preserve"> that the primary judge gave separate attention</w:t>
      </w:r>
      <w:r w:rsidR="00A32730">
        <w:t xml:space="preserve"> and consideration</w:t>
      </w:r>
      <w:r w:rsidR="009F53DE" w:rsidRPr="009F53DE">
        <w:t xml:space="preserve"> to s</w:t>
      </w:r>
      <w:r w:rsidR="002F2592">
        <w:t xml:space="preserve"> 41</w:t>
      </w:r>
      <w:r w:rsidR="009F53DE" w:rsidRPr="009F53DE">
        <w:t xml:space="preserve">(6) of the </w:t>
      </w:r>
      <w:r w:rsidR="00DE7D43">
        <w:t xml:space="preserve">Trade Marks </w:t>
      </w:r>
      <w:r w:rsidR="009F53DE" w:rsidRPr="009F53DE">
        <w:t>Act and the question of whether, as at the priority date</w:t>
      </w:r>
      <w:r w:rsidR="00FC0EFD">
        <w:t xml:space="preserve"> of the 820 mark</w:t>
      </w:r>
      <w:r w:rsidR="00A8765D">
        <w:t>, HENLEY</w:t>
      </w:r>
      <w:r w:rsidR="009F53DE" w:rsidRPr="009F53DE">
        <w:t xml:space="preserve"> had in fact become distinctive of the </w:t>
      </w:r>
      <w:r w:rsidR="00232391">
        <w:t xml:space="preserve">respondent’s </w:t>
      </w:r>
      <w:r w:rsidR="009F53DE" w:rsidRPr="009F53DE">
        <w:t xml:space="preserve">building and construction services.  </w:t>
      </w:r>
      <w:r w:rsidR="0031019C">
        <w:t>To be clear, we</w:t>
      </w:r>
      <w:r w:rsidR="009F53DE" w:rsidRPr="009F53DE">
        <w:t xml:space="preserve"> </w:t>
      </w:r>
      <w:proofErr w:type="gramStart"/>
      <w:r w:rsidR="009F53DE" w:rsidRPr="009F53DE">
        <w:t>are not persuaded</w:t>
      </w:r>
      <w:proofErr w:type="gramEnd"/>
      <w:r w:rsidR="009F53DE" w:rsidRPr="009F53DE">
        <w:t xml:space="preserve"> that the primary judge’s finding in relation to s 41(6) was reached on the basis </w:t>
      </w:r>
      <w:r w:rsidR="0031019C">
        <w:t xml:space="preserve">that satisfaction of the requirement </w:t>
      </w:r>
      <w:r w:rsidR="009F53DE" w:rsidRPr="009F53DE">
        <w:t xml:space="preserve">of </w:t>
      </w:r>
      <w:r w:rsidR="0031019C">
        <w:t>s 41(5) meant that the requirement of s 41(6) was also met.</w:t>
      </w:r>
    </w:p>
    <w:p w14:paraId="023A615D" w14:textId="0EF5E9F3" w:rsidR="002F2592" w:rsidRDefault="00BC7D85" w:rsidP="00BC7D85">
      <w:pPr>
        <w:pStyle w:val="ParaNumbering"/>
        <w:numPr>
          <w:ilvl w:val="0"/>
          <w:numId w:val="0"/>
        </w:numPr>
        <w:ind w:hanging="720"/>
      </w:pPr>
      <w:r>
        <w:rPr>
          <w:sz w:val="20"/>
        </w:rPr>
        <w:lastRenderedPageBreak/>
        <w:t>131</w:t>
      </w:r>
      <w:r>
        <w:rPr>
          <w:sz w:val="20"/>
        </w:rPr>
        <w:tab/>
      </w:r>
      <w:r w:rsidR="009F53DE" w:rsidRPr="009F53DE">
        <w:t xml:space="preserve">Further, </w:t>
      </w:r>
      <w:r w:rsidR="0031019C">
        <w:t xml:space="preserve">we are satisfied that </w:t>
      </w:r>
      <w:r w:rsidR="009F53DE" w:rsidRPr="009F53DE">
        <w:t xml:space="preserve">the primary </w:t>
      </w:r>
      <w:proofErr w:type="gramStart"/>
      <w:r w:rsidR="009F53DE" w:rsidRPr="009F53DE">
        <w:t>judge’s</w:t>
      </w:r>
      <w:proofErr w:type="gramEnd"/>
      <w:r w:rsidR="009F53DE" w:rsidRPr="009F53DE">
        <w:t xml:space="preserve"> finding in relation to s 41(6) was directed to the correct question, which was not merely </w:t>
      </w:r>
      <w:r w:rsidR="00A32730">
        <w:t>about</w:t>
      </w:r>
      <w:r w:rsidR="009F53DE" w:rsidRPr="009F53DE">
        <w:t xml:space="preserve"> reputation, but about the designation of trade source.  </w:t>
      </w:r>
      <w:proofErr w:type="gramStart"/>
      <w:r w:rsidR="009F53DE" w:rsidRPr="009F53DE">
        <w:t xml:space="preserve">This is signified by his Honour’s specific reference to the following passage in Lockhart J’s judgment in </w:t>
      </w:r>
      <w:r w:rsidR="009F53DE" w:rsidRPr="00007F66">
        <w:rPr>
          <w:i/>
        </w:rPr>
        <w:t>Johnson &amp; Johnson Australia Pty Ltd v Sterling Pharmaceuticals Pty Ltd</w:t>
      </w:r>
      <w:r w:rsidR="009F53DE" w:rsidRPr="00007F66">
        <w:t xml:space="preserve"> (1991) 30 FCR 326 </w:t>
      </w:r>
      <w:r w:rsidR="009F53DE" w:rsidRPr="009F53DE">
        <w:t xml:space="preserve">at 336, which </w:t>
      </w:r>
      <w:r w:rsidR="00652EFD">
        <w:t>his Honour quoted in part</w:t>
      </w:r>
      <w:r w:rsidR="00FC0EFD">
        <w:t xml:space="preserve"> at J[829] when expressing his ultimate conclusion that, at the priority date</w:t>
      </w:r>
      <w:r w:rsidR="00A32730">
        <w:t xml:space="preserve"> of the 820 mark</w:t>
      </w:r>
      <w:r w:rsidR="00A8765D">
        <w:t>, HENLEY</w:t>
      </w:r>
      <w:r w:rsidR="00FC0EFD">
        <w:t xml:space="preserve"> had in fact become distinctive of the respondent’s building and construction services</w:t>
      </w:r>
      <w:r w:rsidR="00652EFD">
        <w:t>:</w:t>
      </w:r>
      <w:proofErr w:type="gramEnd"/>
    </w:p>
    <w:p w14:paraId="14B5D759" w14:textId="66FA514B" w:rsidR="009F53DE" w:rsidRDefault="009F53DE" w:rsidP="002F2592">
      <w:pPr>
        <w:pStyle w:val="Quote1"/>
      </w:pPr>
      <w:r w:rsidRPr="009F53DE">
        <w:t xml:space="preserve">Distinctive means distinctive in the sense that the mark distinguishes the registered proprietor’s goods from others of the same type in that market, </w:t>
      </w:r>
      <w:r w:rsidR="00BA308E">
        <w:t>though it</w:t>
      </w:r>
      <w:r w:rsidRPr="009F53DE">
        <w:t xml:space="preserve"> does not mean that the goods must specifically identify the plaintiff as the source of those goods.  </w:t>
      </w:r>
      <w:r w:rsidR="00BA308E">
        <w:t>Often the identity of the supplier</w:t>
      </w:r>
      <w:r w:rsidRPr="009F53DE">
        <w:t xml:space="preserve"> will be unknown, but what is important is that a significant number of consumers in the relevant market identify the plaintiff’s goods as coming from </w:t>
      </w:r>
      <w:r w:rsidR="00BE29D9">
        <w:t>one</w:t>
      </w:r>
      <w:r w:rsidRPr="009F53DE">
        <w:t xml:space="preserve"> trade source.</w:t>
      </w:r>
    </w:p>
    <w:p w14:paraId="1F132B68" w14:textId="6EECD6B6" w:rsidR="009F53DE" w:rsidRPr="009F53DE" w:rsidRDefault="00BC7D85" w:rsidP="00BC7D85">
      <w:pPr>
        <w:pStyle w:val="ParaNumbering"/>
        <w:numPr>
          <w:ilvl w:val="0"/>
          <w:numId w:val="0"/>
        </w:numPr>
        <w:ind w:hanging="720"/>
      </w:pPr>
      <w:r w:rsidRPr="009F53DE">
        <w:rPr>
          <w:sz w:val="20"/>
        </w:rPr>
        <w:t>132</w:t>
      </w:r>
      <w:r w:rsidRPr="009F53DE">
        <w:rPr>
          <w:sz w:val="20"/>
        </w:rPr>
        <w:tab/>
      </w:r>
      <w:r w:rsidR="009F53DE" w:rsidRPr="009F53DE">
        <w:t xml:space="preserve">It is </w:t>
      </w:r>
      <w:r w:rsidR="00FC0EFD">
        <w:t>beyond question</w:t>
      </w:r>
      <w:r w:rsidR="009F53DE" w:rsidRPr="009F53DE">
        <w:t xml:space="preserve"> that when, in the context of s 41(6), the primary judge referred to </w:t>
      </w:r>
      <w:r w:rsidR="00A8765D">
        <w:t>the respondent’s reputation in HENLEY</w:t>
      </w:r>
      <w:r w:rsidR="009F53DE" w:rsidRPr="009F53DE">
        <w:t xml:space="preserve">, he was referring to reputation </w:t>
      </w:r>
      <w:r w:rsidR="00652EFD">
        <w:t>in the sense of</w:t>
      </w:r>
      <w:r w:rsidR="009F53DE" w:rsidRPr="009F53DE">
        <w:t xml:space="preserve"> designating the particular trade source of given services—here, the respondent’s building and construction services.</w:t>
      </w:r>
    </w:p>
    <w:p w14:paraId="3D74F67E" w14:textId="22BAAF89" w:rsidR="00B86B4A" w:rsidRDefault="00BC7D85" w:rsidP="00BC7D85">
      <w:pPr>
        <w:pStyle w:val="ParaNumbering"/>
        <w:numPr>
          <w:ilvl w:val="0"/>
          <w:numId w:val="0"/>
        </w:numPr>
        <w:ind w:hanging="720"/>
      </w:pPr>
      <w:r>
        <w:rPr>
          <w:sz w:val="20"/>
        </w:rPr>
        <w:t>133</w:t>
      </w:r>
      <w:r>
        <w:rPr>
          <w:sz w:val="20"/>
        </w:rPr>
        <w:tab/>
      </w:r>
      <w:r w:rsidR="00335DB8">
        <w:t>We</w:t>
      </w:r>
      <w:r w:rsidR="009F53DE" w:rsidRPr="009F53DE">
        <w:t xml:space="preserve"> do not accept that the primary judge’s finding in re</w:t>
      </w:r>
      <w:r w:rsidR="002F2592">
        <w:t>lation to the satisfaction of s </w:t>
      </w:r>
      <w:r w:rsidR="009F53DE" w:rsidRPr="009F53DE">
        <w:t xml:space="preserve">41(6) </w:t>
      </w:r>
      <w:proofErr w:type="gramStart"/>
      <w:r w:rsidR="00652EFD">
        <w:t>was</w:t>
      </w:r>
      <w:r w:rsidR="009F53DE" w:rsidRPr="009F53DE">
        <w:t xml:space="preserve"> </w:t>
      </w:r>
      <w:r w:rsidR="002B02A2">
        <w:t>affected</w:t>
      </w:r>
      <w:proofErr w:type="gramEnd"/>
      <w:r w:rsidR="002B02A2">
        <w:t xml:space="preserve"> by error</w:t>
      </w:r>
      <w:r w:rsidR="009F53DE" w:rsidRPr="009F53DE">
        <w:t xml:space="preserve"> because his Honour took acco</w:t>
      </w:r>
      <w:r w:rsidR="00A8765D">
        <w:t>unt of the respondent’s use of HENLEY</w:t>
      </w:r>
      <w:r w:rsidR="009F53DE" w:rsidRPr="009F53DE">
        <w:t xml:space="preserve"> with device elements</w:t>
      </w:r>
      <w:r w:rsidR="00C971E2">
        <w:t xml:space="preserve"> and other words,</w:t>
      </w:r>
      <w:r w:rsidR="009F53DE" w:rsidRPr="009F53DE">
        <w:t xml:space="preserve"> as w</w:t>
      </w:r>
      <w:r w:rsidR="00A8765D">
        <w:t>ell as the respondent’s use of HENLEY</w:t>
      </w:r>
      <w:r w:rsidR="009F53DE" w:rsidRPr="009F53DE">
        <w:t xml:space="preserve"> alone.  </w:t>
      </w:r>
    </w:p>
    <w:p w14:paraId="4B212513" w14:textId="1CC73EA3" w:rsidR="008175A1" w:rsidRDefault="00BC7D85" w:rsidP="00BC7D85">
      <w:pPr>
        <w:pStyle w:val="ParaNumbering"/>
        <w:numPr>
          <w:ilvl w:val="0"/>
          <w:numId w:val="0"/>
        </w:numPr>
        <w:ind w:hanging="720"/>
      </w:pPr>
      <w:proofErr w:type="gramStart"/>
      <w:r>
        <w:rPr>
          <w:sz w:val="20"/>
        </w:rPr>
        <w:t>134</w:t>
      </w:r>
      <w:r>
        <w:rPr>
          <w:sz w:val="20"/>
        </w:rPr>
        <w:tab/>
      </w:r>
      <w:r w:rsidR="00717CF3">
        <w:t>Here, the primary judge accepted the respondent’s submission, based on s 7(1) of the Trade Marks Act, that its use of the Initial Henley Devices and the Henley 2005 Devices</w:t>
      </w:r>
      <w:r w:rsidR="00614EA5">
        <w:t xml:space="preserve"> in relation to building and construction services</w:t>
      </w:r>
      <w:r w:rsidR="00717CF3">
        <w:t xml:space="preserve"> was </w:t>
      </w:r>
      <w:r w:rsidR="00074333">
        <w:t>also a</w:t>
      </w:r>
      <w:r w:rsidR="00717CF3">
        <w:t xml:space="preserve"> use of </w:t>
      </w:r>
      <w:r w:rsidR="00971981">
        <w:t xml:space="preserve">the </w:t>
      </w:r>
      <w:r w:rsidR="00717CF3">
        <w:t>820 mark—that is, a use that did not substantially affect the identity of HENLEY</w:t>
      </w:r>
      <w:r w:rsidR="00A677EC">
        <w:t>,</w:t>
      </w:r>
      <w:r w:rsidR="00717CF3">
        <w:t xml:space="preserve"> itself</w:t>
      </w:r>
      <w:r w:rsidR="00A677EC">
        <w:t>,</w:t>
      </w:r>
      <w:r w:rsidR="00717CF3">
        <w:t xml:space="preserve"> as a trade mark</w:t>
      </w:r>
      <w:r w:rsidR="00614EA5">
        <w:t xml:space="preserve"> in respect of those services</w:t>
      </w:r>
      <w:r w:rsidR="00717CF3">
        <w:t>.</w:t>
      </w:r>
      <w:proofErr w:type="gramEnd"/>
      <w:r w:rsidR="00717CF3">
        <w:t xml:space="preserve">  </w:t>
      </w:r>
    </w:p>
    <w:p w14:paraId="519839EB" w14:textId="26015930" w:rsidR="00E753E0" w:rsidRDefault="00BC7D85" w:rsidP="00BC7D85">
      <w:pPr>
        <w:pStyle w:val="ParaNumbering"/>
        <w:numPr>
          <w:ilvl w:val="0"/>
          <w:numId w:val="0"/>
        </w:numPr>
        <w:ind w:hanging="720"/>
      </w:pPr>
      <w:r>
        <w:rPr>
          <w:sz w:val="20"/>
        </w:rPr>
        <w:t>135</w:t>
      </w:r>
      <w:r>
        <w:rPr>
          <w:sz w:val="20"/>
        </w:rPr>
        <w:tab/>
      </w:r>
      <w:r w:rsidR="00E753E0">
        <w:t xml:space="preserve">It is to </w:t>
      </w:r>
      <w:proofErr w:type="gramStart"/>
      <w:r w:rsidR="00E753E0">
        <w:t>be noted</w:t>
      </w:r>
      <w:proofErr w:type="gramEnd"/>
      <w:r w:rsidR="00E753E0">
        <w:t xml:space="preserve"> that the 820 mark is, simply, the word HENLEY, unconfined by any particular form of graphical representation or other limitation.  The registration of the 820 mark conferred on the respondent a monopoly in the </w:t>
      </w:r>
      <w:proofErr w:type="gramStart"/>
      <w:r w:rsidR="00E753E0">
        <w:t>trade mark</w:t>
      </w:r>
      <w:proofErr w:type="gramEnd"/>
      <w:r w:rsidR="00E753E0">
        <w:t xml:space="preserve"> use of the name </w:t>
      </w:r>
      <w:r w:rsidR="00C971E2">
        <w:t xml:space="preserve">HENLEY </w:t>
      </w:r>
      <w:r w:rsidR="00E753E0">
        <w:t xml:space="preserve">in relation to the services for which it was registered.  This monopoly extended to the </w:t>
      </w:r>
      <w:proofErr w:type="gramStart"/>
      <w:r w:rsidR="00E753E0">
        <w:t>trade mark</w:t>
      </w:r>
      <w:proofErr w:type="gramEnd"/>
      <w:r w:rsidR="00E753E0">
        <w:t xml:space="preserve"> use of the name in particular stylistic rendering</w:t>
      </w:r>
      <w:r w:rsidR="00297794">
        <w:t>s</w:t>
      </w:r>
      <w:r w:rsidR="00E753E0">
        <w:t xml:space="preserve">, including in association with </w:t>
      </w:r>
      <w:r w:rsidR="00297794">
        <w:t>device elements</w:t>
      </w:r>
      <w:r w:rsidR="00C971E2">
        <w:t xml:space="preserve"> and other words</w:t>
      </w:r>
      <w:r w:rsidR="00297794">
        <w:t>.</w:t>
      </w:r>
    </w:p>
    <w:p w14:paraId="57F2DB6A" w14:textId="2272B7C9" w:rsidR="009B6AA4" w:rsidRDefault="00BC7D85" w:rsidP="00BC7D85">
      <w:pPr>
        <w:pStyle w:val="ParaNumbering"/>
        <w:numPr>
          <w:ilvl w:val="0"/>
          <w:numId w:val="0"/>
        </w:numPr>
        <w:ind w:hanging="720"/>
      </w:pPr>
      <w:r>
        <w:rPr>
          <w:sz w:val="20"/>
        </w:rPr>
        <w:t>136</w:t>
      </w:r>
      <w:r>
        <w:rPr>
          <w:sz w:val="20"/>
        </w:rPr>
        <w:tab/>
      </w:r>
      <w:r w:rsidR="009F53DE" w:rsidRPr="009F53DE">
        <w:t>The primary judge’s point was that, even when used in the context of the Initial Henley Devices and the</w:t>
      </w:r>
      <w:r w:rsidR="00A8765D">
        <w:t xml:space="preserve"> 2005 Henley Devices, the word HENLEY</w:t>
      </w:r>
      <w:r w:rsidR="009F53DE" w:rsidRPr="009F53DE">
        <w:t xml:space="preserve"> was </w:t>
      </w:r>
      <w:r w:rsidR="009F53DE" w:rsidRPr="002B178A">
        <w:rPr>
          <w:i/>
        </w:rPr>
        <w:t>the</w:t>
      </w:r>
      <w:r w:rsidR="009F53DE" w:rsidRPr="009F53DE">
        <w:t xml:space="preserve"> </w:t>
      </w:r>
      <w:r w:rsidR="00297794">
        <w:t>sign</w:t>
      </w:r>
      <w:r w:rsidR="009F53DE" w:rsidRPr="009F53DE">
        <w:t xml:space="preserve"> by which consumers </w:t>
      </w:r>
      <w:r w:rsidR="0046050B">
        <w:t>would identify</w:t>
      </w:r>
      <w:r w:rsidR="009F53DE" w:rsidRPr="009F53DE">
        <w:t xml:space="preserve"> the respondent’s services.  </w:t>
      </w:r>
      <w:r w:rsidR="00E85B55">
        <w:t xml:space="preserve">In other words, </w:t>
      </w:r>
      <w:r w:rsidR="008175A1">
        <w:t xml:space="preserve">as a matter of substance, </w:t>
      </w:r>
      <w:r w:rsidR="00E85B55">
        <w:t>these uses</w:t>
      </w:r>
      <w:r w:rsidR="00074333">
        <w:t xml:space="preserve"> were simply exemplifications of the use of HENLEY </w:t>
      </w:r>
      <w:proofErr w:type="gramStart"/>
      <w:r w:rsidR="00074333">
        <w:t xml:space="preserve">itself </w:t>
      </w:r>
      <w:r w:rsidR="001B5406">
        <w:t>which</w:t>
      </w:r>
      <w:proofErr w:type="gramEnd"/>
      <w:r w:rsidR="00A677EC">
        <w:t>, before the priority date,</w:t>
      </w:r>
      <w:r w:rsidR="00074333">
        <w:t xml:space="preserve"> </w:t>
      </w:r>
      <w:r w:rsidR="009F53DE" w:rsidRPr="009F53DE">
        <w:lastRenderedPageBreak/>
        <w:t>contributed to</w:t>
      </w:r>
      <w:r w:rsidR="00A8765D">
        <w:t xml:space="preserve"> the </w:t>
      </w:r>
      <w:r w:rsidR="00312527">
        <w:t xml:space="preserve">acquisition of </w:t>
      </w:r>
      <w:r w:rsidR="00A8765D">
        <w:t>distinctiveness of</w:t>
      </w:r>
      <w:r w:rsidR="0046050B">
        <w:t xml:space="preserve"> the </w:t>
      </w:r>
      <w:r w:rsidR="002B178A">
        <w:t>name</w:t>
      </w:r>
      <w:r w:rsidR="00A8765D">
        <w:t xml:space="preserve"> HENLEY</w:t>
      </w:r>
      <w:r w:rsidR="002821C8">
        <w:t xml:space="preserve"> as </w:t>
      </w:r>
      <w:r w:rsidR="00074333">
        <w:t>the source of the respondent’s building and construction services</w:t>
      </w:r>
      <w:r w:rsidR="009F53DE" w:rsidRPr="009F53DE">
        <w:t xml:space="preserve"> at the priority date.  </w:t>
      </w:r>
    </w:p>
    <w:p w14:paraId="1AD852B1" w14:textId="1F51DC07" w:rsidR="000466C8" w:rsidRDefault="00BC7D85" w:rsidP="00BC7D85">
      <w:pPr>
        <w:pStyle w:val="ParaNumbering"/>
        <w:numPr>
          <w:ilvl w:val="0"/>
          <w:numId w:val="0"/>
        </w:numPr>
        <w:ind w:hanging="720"/>
      </w:pPr>
      <w:proofErr w:type="gramStart"/>
      <w:r>
        <w:rPr>
          <w:sz w:val="20"/>
        </w:rPr>
        <w:t>137</w:t>
      </w:r>
      <w:r>
        <w:rPr>
          <w:sz w:val="20"/>
        </w:rPr>
        <w:tab/>
      </w:r>
      <w:r w:rsidR="00312527">
        <w:t>In submissions, the appellants argued for a different outcome by seeking to distinguish the Initial Henley Devices and the 2005 Henley Devices by a process of reasoning that (a) relied on the primary judge’s finding that HENLEY was not inherently distinctive, and (b) gave prominence to other aspects of the Initial Henley Devices and the 2005 Henley Devices, such as the triangular device and, in the case of the Initial Henley Devices,</w:t>
      </w:r>
      <w:r w:rsidR="001B5406">
        <w:t xml:space="preserve"> the words</w:t>
      </w:r>
      <w:r w:rsidR="00290E9A">
        <w:t xml:space="preserve"> PROPERTIES</w:t>
      </w:r>
      <w:r w:rsidR="001B5406">
        <w:t xml:space="preserve"> </w:t>
      </w:r>
      <w:r w:rsidR="00290E9A">
        <w:t>GROUP, PROPERTIES GROUP OF BUILDERS, and PROPERTIES</w:t>
      </w:r>
      <w:r w:rsidR="001B5406">
        <w:t>.</w:t>
      </w:r>
      <w:proofErr w:type="gramEnd"/>
      <w:r w:rsidR="00232391">
        <w:t xml:space="preserve">  The </w:t>
      </w:r>
      <w:r w:rsidR="00297794">
        <w:t>endeavour in</w:t>
      </w:r>
      <w:r w:rsidR="00232391">
        <w:t xml:space="preserve"> this argument was to shift attention from the word HENLEY and to place emphasis on these other elements</w:t>
      </w:r>
      <w:r w:rsidR="0037439D">
        <w:t xml:space="preserve"> </w:t>
      </w:r>
      <w:proofErr w:type="gramStart"/>
      <w:r w:rsidR="00297794">
        <w:t>so as to</w:t>
      </w:r>
      <w:proofErr w:type="gramEnd"/>
      <w:r w:rsidR="00297794">
        <w:t xml:space="preserve"> subsume the name</w:t>
      </w:r>
      <w:r w:rsidR="000466C8">
        <w:t xml:space="preserve"> HENLEY within them,</w:t>
      </w:r>
      <w:r w:rsidR="00297794">
        <w:t xml:space="preserve"> and destroy its separate identity</w:t>
      </w:r>
      <w:r w:rsidR="000466C8">
        <w:t xml:space="preserve"> when so used</w:t>
      </w:r>
      <w:r w:rsidR="00232391">
        <w:t xml:space="preserve">.  </w:t>
      </w:r>
    </w:p>
    <w:p w14:paraId="77E91A54" w14:textId="5AD1024B" w:rsidR="00312527" w:rsidRDefault="00BC7D85" w:rsidP="00BC7D85">
      <w:pPr>
        <w:pStyle w:val="ParaNumbering"/>
        <w:numPr>
          <w:ilvl w:val="0"/>
          <w:numId w:val="0"/>
        </w:numPr>
        <w:ind w:hanging="720"/>
      </w:pPr>
      <w:r>
        <w:rPr>
          <w:sz w:val="20"/>
        </w:rPr>
        <w:t>138</w:t>
      </w:r>
      <w:r>
        <w:rPr>
          <w:sz w:val="20"/>
        </w:rPr>
        <w:tab/>
      </w:r>
      <w:r w:rsidR="00232391">
        <w:t>The appellants contended, in particular, that</w:t>
      </w:r>
      <w:r w:rsidR="00312527">
        <w:t xml:space="preserve"> </w:t>
      </w:r>
      <w:r w:rsidR="00290E9A">
        <w:t>the word PROPERTIES</w:t>
      </w:r>
      <w:r w:rsidR="00232391">
        <w:t xml:space="preserve"> was of some significance because, contrary to the primary judge’s finding at </w:t>
      </w:r>
      <w:proofErr w:type="gramStart"/>
      <w:r w:rsidR="00232391">
        <w:t>J[</w:t>
      </w:r>
      <w:proofErr w:type="gramEnd"/>
      <w:r w:rsidR="006E7517">
        <w:t>479</w:t>
      </w:r>
      <w:r w:rsidR="00290E9A">
        <w:t>]</w:t>
      </w:r>
      <w:r w:rsidR="00DB7D5E">
        <w:t>,</w:t>
      </w:r>
      <w:r w:rsidR="00290E9A">
        <w:t xml:space="preserve"> the word PROPERTIES</w:t>
      </w:r>
      <w:r w:rsidR="0037439D">
        <w:t xml:space="preserve"> </w:t>
      </w:r>
      <w:r w:rsidR="00E30B0E">
        <w:t>does</w:t>
      </w:r>
      <w:r w:rsidR="0037439D">
        <w:t xml:space="preserve"> not signify building and construction services</w:t>
      </w:r>
      <w:r w:rsidR="00E30B0E">
        <w:t>.  On the appellants’ argument, th</w:t>
      </w:r>
      <w:r w:rsidR="00290E9A">
        <w:t>e word PROPERTIES</w:t>
      </w:r>
      <w:r w:rsidR="00E30B0E">
        <w:t>, as used in</w:t>
      </w:r>
      <w:r w:rsidR="00297794">
        <w:t xml:space="preserve"> various forms in</w:t>
      </w:r>
      <w:r w:rsidR="00E30B0E">
        <w:t xml:space="preserve"> the Initial Henley Devices, </w:t>
      </w:r>
      <w:r w:rsidR="001C7BDF">
        <w:t>imparts</w:t>
      </w:r>
      <w:r w:rsidR="00E30B0E">
        <w:t xml:space="preserve"> some special quality which set</w:t>
      </w:r>
      <w:r w:rsidR="001C7BDF">
        <w:t>s</w:t>
      </w:r>
      <w:r w:rsidR="00E30B0E">
        <w:t xml:space="preserve"> apart the Initial Henley Devices from </w:t>
      </w:r>
      <w:r w:rsidR="000466C8">
        <w:t xml:space="preserve">use of </w:t>
      </w:r>
      <w:r w:rsidR="00E30B0E">
        <w:t>the word HENLEY</w:t>
      </w:r>
      <w:r w:rsidR="001C7BDF">
        <w:t xml:space="preserve"> itself</w:t>
      </w:r>
      <w:r w:rsidR="00CC0ED0">
        <w:t xml:space="preserve">. </w:t>
      </w:r>
    </w:p>
    <w:p w14:paraId="44A3F40A" w14:textId="0E61D910" w:rsidR="0037439D" w:rsidRDefault="00BC7D85" w:rsidP="00BC7D85">
      <w:pPr>
        <w:pStyle w:val="ParaNumbering"/>
        <w:numPr>
          <w:ilvl w:val="0"/>
          <w:numId w:val="0"/>
        </w:numPr>
        <w:ind w:hanging="720"/>
      </w:pPr>
      <w:r>
        <w:rPr>
          <w:sz w:val="20"/>
        </w:rPr>
        <w:t>139</w:t>
      </w:r>
      <w:r>
        <w:rPr>
          <w:sz w:val="20"/>
        </w:rPr>
        <w:tab/>
      </w:r>
      <w:r w:rsidR="0037439D">
        <w:t xml:space="preserve">We are not persuaded by </w:t>
      </w:r>
      <w:r w:rsidR="000466C8">
        <w:t>this</w:t>
      </w:r>
      <w:r w:rsidR="0037439D">
        <w:t xml:space="preserve"> argument because it ignores the context in which the respondent used the Initial Henley Devices—namely, building and construction services—and, hence, leav</w:t>
      </w:r>
      <w:r w:rsidR="00E30B0E">
        <w:t>es out an important integer of the factual inquiry with respect to the acquisition of distinctiveness for the purposes of s 41(6)</w:t>
      </w:r>
      <w:r w:rsidR="0037439D">
        <w:t>.</w:t>
      </w:r>
      <w:r w:rsidR="00E30B0E">
        <w:t xml:space="preserve">  The word “properties” is a general word </w:t>
      </w:r>
      <w:r w:rsidR="001C7BDF">
        <w:t>whose</w:t>
      </w:r>
      <w:r w:rsidR="00E30B0E">
        <w:t xml:space="preserve"> particular meaning </w:t>
      </w:r>
      <w:proofErr w:type="gramStart"/>
      <w:r w:rsidR="001C7BDF">
        <w:t>will be informed</w:t>
      </w:r>
      <w:proofErr w:type="gramEnd"/>
      <w:r w:rsidR="001C7BDF">
        <w:t xml:space="preserve"> by, and gain colour from,</w:t>
      </w:r>
      <w:r w:rsidR="00E30B0E">
        <w:t xml:space="preserve"> the context in which it is used.  In the present case, </w:t>
      </w:r>
      <w:r w:rsidR="001C7BDF">
        <w:t xml:space="preserve">that context </w:t>
      </w:r>
      <w:r w:rsidR="00297794">
        <w:t>was the respondent’s provision of</w:t>
      </w:r>
      <w:r w:rsidR="001C7BDF">
        <w:t xml:space="preserve"> building and construction services.  Seen in that context, “properties” conforms to an understanding of those services.  Indeed, one iteration of the Initial Henley Devices expressly draws that connection in the collocation </w:t>
      </w:r>
      <w:r w:rsidR="00290E9A">
        <w:t>PROPERTIES GROUP OF BUILDERS</w:t>
      </w:r>
      <w:r w:rsidR="001C7BDF">
        <w:t>.</w:t>
      </w:r>
      <w:r w:rsidR="00E33259">
        <w:t xml:space="preserve">  Thus, rather than setting apart the In</w:t>
      </w:r>
      <w:r w:rsidR="00290E9A">
        <w:t>itial Henley Devices, the word PROPERTIES</w:t>
      </w:r>
      <w:r w:rsidR="00E33259">
        <w:t xml:space="preserve"> </w:t>
      </w:r>
      <w:r w:rsidR="002B178A">
        <w:t>was</w:t>
      </w:r>
      <w:r w:rsidR="00290E9A">
        <w:t>, in use,</w:t>
      </w:r>
      <w:r w:rsidR="00E33259">
        <w:t xml:space="preserve"> simply descriptive of the services in</w:t>
      </w:r>
      <w:r w:rsidR="002B178A">
        <w:t xml:space="preserve"> relation to</w:t>
      </w:r>
      <w:r w:rsidR="00E33259">
        <w:t xml:space="preserve"> which </w:t>
      </w:r>
      <w:r w:rsidR="002B178A">
        <w:t xml:space="preserve">the respondent used </w:t>
      </w:r>
      <w:r w:rsidR="00E33259">
        <w:t>HENLEY</w:t>
      </w:r>
      <w:r w:rsidR="00290E9A">
        <w:t xml:space="preserve"> as a trade mark</w:t>
      </w:r>
      <w:r w:rsidR="000466C8">
        <w:t>, albeit in conjunction with other elements,</w:t>
      </w:r>
      <w:r w:rsidR="00E33259">
        <w:t xml:space="preserve"> to designate the trade source of </w:t>
      </w:r>
      <w:r w:rsidR="002B178A">
        <w:t>those</w:t>
      </w:r>
      <w:r w:rsidR="00E33259">
        <w:t xml:space="preserve"> services.</w:t>
      </w:r>
    </w:p>
    <w:p w14:paraId="60D5F048" w14:textId="5E7D7798" w:rsidR="00614EA5" w:rsidRDefault="00BC7D85" w:rsidP="00BC7D85">
      <w:pPr>
        <w:pStyle w:val="ParaNumbering"/>
        <w:numPr>
          <w:ilvl w:val="0"/>
          <w:numId w:val="0"/>
        </w:numPr>
        <w:ind w:hanging="720"/>
      </w:pPr>
      <w:r>
        <w:rPr>
          <w:sz w:val="20"/>
        </w:rPr>
        <w:t>140</w:t>
      </w:r>
      <w:r>
        <w:rPr>
          <w:sz w:val="20"/>
        </w:rPr>
        <w:tab/>
      </w:r>
      <w:r w:rsidR="00297794">
        <w:t>We</w:t>
      </w:r>
      <w:r w:rsidR="00E30B0E">
        <w:t xml:space="preserve"> </w:t>
      </w:r>
      <w:proofErr w:type="gramStart"/>
      <w:r w:rsidR="00E30B0E">
        <w:t xml:space="preserve">are </w:t>
      </w:r>
      <w:r w:rsidR="00297794">
        <w:t>not persuaded</w:t>
      </w:r>
      <w:proofErr w:type="gramEnd"/>
      <w:r w:rsidR="00E30B0E">
        <w:t xml:space="preserve"> that the primary judge’s reliance on the use of HENLEY in the context of the Initial Henley Devices and the 2005 Henley Devices is affected by erro</w:t>
      </w:r>
      <w:r w:rsidR="001C7BDF">
        <w:t>r.  We are satisfied that</w:t>
      </w:r>
      <w:r w:rsidR="00E33259">
        <w:t xml:space="preserve"> it was open to the primary judge to find that these were instances of the use of HENLEY</w:t>
      </w:r>
      <w:r w:rsidR="00C971E2">
        <w:t xml:space="preserve"> as a trade mark</w:t>
      </w:r>
      <w:r w:rsidR="002823C1">
        <w:t>,</w:t>
      </w:r>
      <w:r w:rsidR="00E33259">
        <w:t xml:space="preserve"> </w:t>
      </w:r>
      <w:r w:rsidR="002823C1">
        <w:t xml:space="preserve">based on s 7(1) of the Trade Marks Act.  </w:t>
      </w:r>
      <w:proofErr w:type="gramStart"/>
      <w:r w:rsidR="00297794">
        <w:t>Specifically, we</w:t>
      </w:r>
      <w:r w:rsidR="002823C1">
        <w:t xml:space="preserve"> are not persuaded </w:t>
      </w:r>
      <w:r w:rsidR="002823C1">
        <w:lastRenderedPageBreak/>
        <w:t xml:space="preserve">that, in the context of the provision of building and construction services before the priority date of the 820 mark, the use of the triangular device and/or the word “properties” in association with HENLEY, as exemplified by the Initial Henley Devices and the 2005 Henley Devices, </w:t>
      </w:r>
      <w:r w:rsidR="00086D6B">
        <w:t xml:space="preserve">substantially </w:t>
      </w:r>
      <w:r w:rsidR="002823C1">
        <w:t>affected the identify of HENLEY</w:t>
      </w:r>
      <w:r w:rsidR="00C971E2">
        <w:t>,</w:t>
      </w:r>
      <w:r w:rsidR="002823C1">
        <w:t xml:space="preserve"> as a trade mark</w:t>
      </w:r>
      <w:r w:rsidR="00C971E2">
        <w:t>,</w:t>
      </w:r>
      <w:r w:rsidR="002823C1">
        <w:t xml:space="preserve"> in respect of those services.</w:t>
      </w:r>
      <w:proofErr w:type="gramEnd"/>
      <w:r w:rsidR="002823C1">
        <w:t xml:space="preserve">  </w:t>
      </w:r>
    </w:p>
    <w:p w14:paraId="0A6FF365" w14:textId="76E5871E" w:rsidR="00E85B55" w:rsidRDefault="00BC7D85" w:rsidP="00BC7D85">
      <w:pPr>
        <w:pStyle w:val="ParaNumbering"/>
        <w:numPr>
          <w:ilvl w:val="0"/>
          <w:numId w:val="0"/>
        </w:numPr>
        <w:ind w:hanging="720"/>
      </w:pPr>
      <w:r>
        <w:rPr>
          <w:sz w:val="20"/>
        </w:rPr>
        <w:t>141</w:t>
      </w:r>
      <w:r>
        <w:rPr>
          <w:sz w:val="20"/>
        </w:rPr>
        <w:tab/>
      </w:r>
      <w:r w:rsidR="00614EA5">
        <w:t xml:space="preserve">Similarly, we are not persuaded that the primary judge erred in his reliance on the respondent’s use of the domain name henley.com.au as </w:t>
      </w:r>
      <w:r w:rsidR="001C1691">
        <w:t xml:space="preserve">also </w:t>
      </w:r>
      <w:r w:rsidR="00614EA5">
        <w:t>a use of the sign HENLEY</w:t>
      </w:r>
      <w:r w:rsidR="00C971E2">
        <w:t xml:space="preserve"> as a </w:t>
      </w:r>
      <w:proofErr w:type="gramStart"/>
      <w:r w:rsidR="00C971E2">
        <w:t>trade mark</w:t>
      </w:r>
      <w:proofErr w:type="gramEnd"/>
      <w:r w:rsidR="001C1691">
        <w:t xml:space="preserve"> before the priority date</w:t>
      </w:r>
      <w:r w:rsidR="008175A1">
        <w:t xml:space="preserve"> with additions or alterations that </w:t>
      </w:r>
      <w:r w:rsidR="00C50B74">
        <w:t>do</w:t>
      </w:r>
      <w:r w:rsidR="008175A1">
        <w:t xml:space="preserve"> not substantially affect </w:t>
      </w:r>
      <w:r w:rsidR="00C8390F">
        <w:t>the</w:t>
      </w:r>
      <w:r w:rsidR="008175A1">
        <w:t xml:space="preserve"> identity</w:t>
      </w:r>
      <w:r w:rsidR="00C8390F">
        <w:t xml:space="preserve"> of </w:t>
      </w:r>
      <w:r w:rsidR="00C971E2">
        <w:t>that</w:t>
      </w:r>
      <w:r w:rsidR="008175A1">
        <w:t xml:space="preserve"> mark.</w:t>
      </w:r>
      <w:r w:rsidR="00614EA5">
        <w:t xml:space="preserve">   </w:t>
      </w:r>
      <w:r w:rsidR="00335DB8">
        <w:t xml:space="preserve">  </w:t>
      </w:r>
    </w:p>
    <w:p w14:paraId="03D91920" w14:textId="5AD6A0D9" w:rsidR="00FC0EFD" w:rsidRPr="009F53DE" w:rsidRDefault="00BC7D85" w:rsidP="00BC7D85">
      <w:pPr>
        <w:pStyle w:val="ParaNumbering"/>
        <w:numPr>
          <w:ilvl w:val="0"/>
          <w:numId w:val="0"/>
        </w:numPr>
        <w:tabs>
          <w:tab w:val="left" w:pos="4417"/>
        </w:tabs>
        <w:ind w:hanging="720"/>
      </w:pPr>
      <w:proofErr w:type="gramStart"/>
      <w:r w:rsidRPr="009F53DE">
        <w:rPr>
          <w:sz w:val="20"/>
        </w:rPr>
        <w:t>142</w:t>
      </w:r>
      <w:r w:rsidRPr="009F53DE">
        <w:rPr>
          <w:sz w:val="20"/>
        </w:rPr>
        <w:tab/>
      </w:r>
      <w:r w:rsidR="002821C8">
        <w:t>We add that, to the extent that the appellants’</w:t>
      </w:r>
      <w:r w:rsidR="00074333">
        <w:t xml:space="preserve"> submissions call</w:t>
      </w:r>
      <w:r w:rsidR="002821C8">
        <w:t xml:space="preserve"> into question the extent of the respondent’s use of HENLEY</w:t>
      </w:r>
      <w:r w:rsidR="00C50B74">
        <w:t>,</w:t>
      </w:r>
      <w:r w:rsidR="002821C8">
        <w:t xml:space="preserve"> </w:t>
      </w:r>
      <w:r w:rsidR="008175A1">
        <w:t>alone</w:t>
      </w:r>
      <w:r w:rsidR="00C50B74">
        <w:t>,</w:t>
      </w:r>
      <w:r w:rsidR="002821C8">
        <w:t xml:space="preserve"> as a trade mark before the priority date of the 820 mark, we were taken, in the course of oral </w:t>
      </w:r>
      <w:r w:rsidR="00C50B74">
        <w:t>argument</w:t>
      </w:r>
      <w:r w:rsidR="002821C8">
        <w:t xml:space="preserve">, to many examples where the respondent had used HENLEY </w:t>
      </w:r>
      <w:r w:rsidR="002B35E8">
        <w:t xml:space="preserve">frequently </w:t>
      </w:r>
      <w:r w:rsidR="002821C8">
        <w:t>(</w:t>
      </w:r>
      <w:r w:rsidR="002B35E8">
        <w:t xml:space="preserve">and, </w:t>
      </w:r>
      <w:r w:rsidR="002821C8">
        <w:t>it would seem</w:t>
      </w:r>
      <w:r w:rsidR="002B35E8">
        <w:t>,</w:t>
      </w:r>
      <w:r w:rsidR="002821C8">
        <w:t xml:space="preserve"> routinely) as a trade mark in relation to its services.</w:t>
      </w:r>
      <w:proofErr w:type="gramEnd"/>
      <w:r w:rsidR="0046050B">
        <w:t xml:space="preserve">  We do not accept </w:t>
      </w:r>
      <w:r w:rsidR="002B35E8">
        <w:t>the</w:t>
      </w:r>
      <w:r w:rsidR="0046050B">
        <w:t xml:space="preserve"> appellants’</w:t>
      </w:r>
      <w:r w:rsidR="002B35E8">
        <w:t xml:space="preserve"> submission </w:t>
      </w:r>
      <w:r w:rsidR="0046050B">
        <w:t>that the</w:t>
      </w:r>
      <w:r w:rsidR="00C8390F">
        <w:t xml:space="preserve"> primary judge’s finding</w:t>
      </w:r>
      <w:r w:rsidR="002B35E8">
        <w:t>—</w:t>
      </w:r>
      <w:r w:rsidR="00C8390F">
        <w:t>that</w:t>
      </w:r>
      <w:r w:rsidR="0046050B">
        <w:t xml:space="preserve"> HENLEY</w:t>
      </w:r>
      <w:r w:rsidR="002B35E8">
        <w:t>,</w:t>
      </w:r>
      <w:r w:rsidR="00C8390F">
        <w:t xml:space="preserve"> </w:t>
      </w:r>
      <w:r w:rsidR="002B35E8">
        <w:t>simpliciter,</w:t>
      </w:r>
      <w:r w:rsidR="00C8390F">
        <w:t xml:space="preserve"> </w:t>
      </w:r>
      <w:proofErr w:type="gramStart"/>
      <w:r w:rsidR="002B35E8">
        <w:t>was used</w:t>
      </w:r>
      <w:proofErr w:type="gramEnd"/>
      <w:r w:rsidR="002B35E8">
        <w:t xml:space="preserve"> extensively by the respondent before the priority date—</w:t>
      </w:r>
      <w:r w:rsidR="00C971E2">
        <w:t>is</w:t>
      </w:r>
      <w:r w:rsidR="00C8390F">
        <w:t xml:space="preserve"> not supported by the evidence</w:t>
      </w:r>
      <w:r w:rsidR="002B35E8">
        <w:t>.</w:t>
      </w:r>
      <w:r w:rsidR="0046050B">
        <w:t xml:space="preserve"> </w:t>
      </w:r>
    </w:p>
    <w:p w14:paraId="3AA59347" w14:textId="0F0C02DD" w:rsidR="00C50B74" w:rsidRDefault="00BC7D85" w:rsidP="00BC7D85">
      <w:pPr>
        <w:pStyle w:val="ParaNumbering"/>
        <w:numPr>
          <w:ilvl w:val="0"/>
          <w:numId w:val="0"/>
        </w:numPr>
        <w:ind w:hanging="720"/>
      </w:pPr>
      <w:r>
        <w:rPr>
          <w:sz w:val="20"/>
        </w:rPr>
        <w:t>143</w:t>
      </w:r>
      <w:r>
        <w:rPr>
          <w:sz w:val="20"/>
        </w:rPr>
        <w:tab/>
      </w:r>
      <w:r w:rsidR="009F53DE" w:rsidRPr="009F53DE">
        <w:t>For these reasons, we are not persuaded that the primary judge erred in finding that the 820 mark (HENLEY) satisfied s 41(6</w:t>
      </w:r>
      <w:proofErr w:type="gramStart"/>
      <w:r w:rsidR="009F53DE" w:rsidRPr="009F53DE">
        <w:t>)(</w:t>
      </w:r>
      <w:proofErr w:type="gramEnd"/>
      <w:r w:rsidR="009F53DE" w:rsidRPr="009F53DE">
        <w:t xml:space="preserve">a) of the </w:t>
      </w:r>
      <w:r w:rsidR="00DE7D43">
        <w:t xml:space="preserve">Trade Marks </w:t>
      </w:r>
      <w:r w:rsidR="009F53DE" w:rsidRPr="009F53DE">
        <w:t xml:space="preserve">Act at </w:t>
      </w:r>
      <w:r w:rsidR="00335DB8">
        <w:t>its</w:t>
      </w:r>
      <w:r w:rsidR="009F53DE" w:rsidRPr="009F53DE">
        <w:t xml:space="preserve"> priority date.  </w:t>
      </w:r>
    </w:p>
    <w:p w14:paraId="7D0FDC89" w14:textId="03D4A008" w:rsidR="00621B8F" w:rsidRDefault="00BC7D85" w:rsidP="00BC7D85">
      <w:pPr>
        <w:pStyle w:val="ParaNumbering"/>
        <w:numPr>
          <w:ilvl w:val="0"/>
          <w:numId w:val="0"/>
        </w:numPr>
        <w:ind w:hanging="720"/>
      </w:pPr>
      <w:r>
        <w:rPr>
          <w:sz w:val="20"/>
        </w:rPr>
        <w:t>144</w:t>
      </w:r>
      <w:r>
        <w:rPr>
          <w:sz w:val="20"/>
        </w:rPr>
        <w:tab/>
      </w:r>
      <w:r w:rsidR="009F53DE" w:rsidRPr="009F53DE">
        <w:t xml:space="preserve">Therefore, </w:t>
      </w:r>
      <w:r w:rsidR="003C2620">
        <w:t>Grounds 1, 3, 4 and 5</w:t>
      </w:r>
      <w:r w:rsidR="009F53DE" w:rsidRPr="009F53DE">
        <w:t xml:space="preserve"> </w:t>
      </w:r>
      <w:r w:rsidR="001A035D">
        <w:t>of the notice</w:t>
      </w:r>
      <w:r w:rsidR="009F53DE" w:rsidRPr="009F53DE">
        <w:t xml:space="preserve"> of appeal </w:t>
      </w:r>
      <w:r w:rsidR="00C971E2">
        <w:t>succeed only to the extent that, based on his earlier findings,</w:t>
      </w:r>
      <w:r w:rsidR="001A035D">
        <w:t xml:space="preserve"> the</w:t>
      </w:r>
      <w:r w:rsidR="00C971E2">
        <w:t xml:space="preserve"> primary judge erred in concluding</w:t>
      </w:r>
      <w:r w:rsidR="001A035D">
        <w:t xml:space="preserve"> that s 41(5) was satisfied</w:t>
      </w:r>
      <w:r w:rsidR="00C50B74">
        <w:t>.</w:t>
      </w:r>
      <w:r w:rsidR="001A035D">
        <w:t xml:space="preserve">  </w:t>
      </w:r>
      <w:r w:rsidR="00C971E2">
        <w:t>Notwithstanding that limited success</w:t>
      </w:r>
      <w:r w:rsidR="001A035D">
        <w:t xml:space="preserve">, the primary judge </w:t>
      </w:r>
      <w:r w:rsidR="00C971E2">
        <w:t>did not err in finding</w:t>
      </w:r>
      <w:r w:rsidR="001A035D">
        <w:t xml:space="preserve"> the 820 mark as </w:t>
      </w:r>
      <w:proofErr w:type="gramStart"/>
      <w:r w:rsidR="001A035D">
        <w:t>having been validly registered</w:t>
      </w:r>
      <w:proofErr w:type="gramEnd"/>
      <w:r w:rsidR="001A035D">
        <w:t>.</w:t>
      </w:r>
      <w:r w:rsidR="00C971E2">
        <w:t xml:space="preserve">  This is because the primary judge did not err in finding that s 41(6</w:t>
      </w:r>
      <w:proofErr w:type="gramStart"/>
      <w:r w:rsidR="00C971E2">
        <w:t>)</w:t>
      </w:r>
      <w:r w:rsidR="00086D6B">
        <w:t>(</w:t>
      </w:r>
      <w:proofErr w:type="gramEnd"/>
      <w:r w:rsidR="00086D6B">
        <w:t>a)</w:t>
      </w:r>
      <w:r w:rsidR="00C971E2">
        <w:t xml:space="preserve"> was satisfied at the priority date.</w:t>
      </w:r>
    </w:p>
    <w:p w14:paraId="648C7A7D" w14:textId="77777777" w:rsidR="00621B8F" w:rsidRDefault="00621B8F" w:rsidP="00621B8F">
      <w:pPr>
        <w:pStyle w:val="Heading2"/>
      </w:pPr>
      <w:bookmarkStart w:id="43" w:name="_Ref133418100"/>
      <w:r>
        <w:t>The notice of contention</w:t>
      </w:r>
      <w:bookmarkEnd w:id="43"/>
    </w:p>
    <w:p w14:paraId="7C43FE06" w14:textId="01A075D2" w:rsidR="00ED33E0" w:rsidRDefault="00BC7D85" w:rsidP="00BC7D85">
      <w:pPr>
        <w:pStyle w:val="ParaNumbering"/>
        <w:numPr>
          <w:ilvl w:val="0"/>
          <w:numId w:val="0"/>
        </w:numPr>
        <w:ind w:hanging="720"/>
      </w:pPr>
      <w:proofErr w:type="gramStart"/>
      <w:r>
        <w:rPr>
          <w:sz w:val="20"/>
        </w:rPr>
        <w:t>145</w:t>
      </w:r>
      <w:proofErr w:type="gramEnd"/>
      <w:r>
        <w:rPr>
          <w:sz w:val="20"/>
        </w:rPr>
        <w:tab/>
      </w:r>
      <w:r w:rsidR="00ED33E0">
        <w:t>By its notice of contention, the</w:t>
      </w:r>
      <w:r w:rsidR="00A32730">
        <w:t xml:space="preserve"> respondent seeks to support the validity of the 820 mark on the basis that </w:t>
      </w:r>
      <w:r w:rsidR="00C50B74">
        <w:t xml:space="preserve">the requirement of </w:t>
      </w:r>
      <w:r w:rsidR="00A32730">
        <w:t>s 41(5) of the</w:t>
      </w:r>
      <w:r w:rsidR="00DE7D43">
        <w:t xml:space="preserve"> Trade Marks</w:t>
      </w:r>
      <w:r w:rsidR="00A32730">
        <w:t xml:space="preserve"> Act</w:t>
      </w:r>
      <w:r w:rsidR="00463B39">
        <w:t xml:space="preserve"> </w:t>
      </w:r>
      <w:r w:rsidR="00A32730">
        <w:t>was satisfied at the priority date</w:t>
      </w:r>
      <w:r w:rsidR="00ED33E0">
        <w:t xml:space="preserve"> (Grounds 1 and 2)</w:t>
      </w:r>
      <w:r w:rsidR="00A32730">
        <w:t xml:space="preserve">.  </w:t>
      </w:r>
      <w:r w:rsidR="00ED33E0">
        <w:t xml:space="preserve">The respondent also seeks to make a contention as to how the discretion in s 88 of the Trade Marks Act </w:t>
      </w:r>
      <w:proofErr w:type="gramStart"/>
      <w:r w:rsidR="00ED33E0">
        <w:t>should be exercised</w:t>
      </w:r>
      <w:proofErr w:type="gramEnd"/>
      <w:r w:rsidR="00ED33E0">
        <w:t xml:space="preserve"> should we come to the view that the requirements of s 41 </w:t>
      </w:r>
      <w:r w:rsidR="00463B39">
        <w:t>were</w:t>
      </w:r>
      <w:r w:rsidR="00ED33E0">
        <w:t xml:space="preserve"> not satisfied</w:t>
      </w:r>
      <w:r w:rsidR="001A035D">
        <w:t xml:space="preserve"> in relation to the registration of that mark</w:t>
      </w:r>
      <w:r w:rsidR="00ED33E0">
        <w:t xml:space="preserve"> (Ground 3).</w:t>
      </w:r>
    </w:p>
    <w:p w14:paraId="57752C9B" w14:textId="5CA6AF50" w:rsidR="00621B8F" w:rsidRDefault="00BC7D85" w:rsidP="00BC7D85">
      <w:pPr>
        <w:pStyle w:val="ParaNumbering"/>
        <w:numPr>
          <w:ilvl w:val="0"/>
          <w:numId w:val="0"/>
        </w:numPr>
        <w:ind w:hanging="720"/>
      </w:pPr>
      <w:r>
        <w:rPr>
          <w:sz w:val="20"/>
        </w:rPr>
        <w:t>146</w:t>
      </w:r>
      <w:r>
        <w:rPr>
          <w:sz w:val="20"/>
        </w:rPr>
        <w:tab/>
      </w:r>
      <w:r w:rsidR="00A32730">
        <w:t xml:space="preserve">Given our conclusion that the primary judge did not err in finding that s 41(6) was satisfied at the </w:t>
      </w:r>
      <w:r w:rsidR="00C971E2">
        <w:t>priority</w:t>
      </w:r>
      <w:r w:rsidR="00A32730">
        <w:t xml:space="preserve"> date,</w:t>
      </w:r>
      <w:r w:rsidR="00AF427F">
        <w:t xml:space="preserve"> and that</w:t>
      </w:r>
      <w:r w:rsidR="00C971E2">
        <w:t xml:space="preserve"> </w:t>
      </w:r>
      <w:r w:rsidR="00AF427F">
        <w:t>Grounds 1, 3, 4 and 5 of the notice of appeal succeed</w:t>
      </w:r>
      <w:r w:rsidR="00C971E2">
        <w:t xml:space="preserve"> only to a limited extent</w:t>
      </w:r>
      <w:r w:rsidR="00AF427F">
        <w:t>,</w:t>
      </w:r>
      <w:r w:rsidR="00A32730">
        <w:t xml:space="preserve"> </w:t>
      </w:r>
      <w:r w:rsidR="00ED33E0">
        <w:t>these</w:t>
      </w:r>
      <w:r w:rsidR="003B0AA6">
        <w:t xml:space="preserve"> contention</w:t>
      </w:r>
      <w:r w:rsidR="00ED33E0">
        <w:t>s do</w:t>
      </w:r>
      <w:r w:rsidR="003B0AA6">
        <w:t xml:space="preserve"> not arise for </w:t>
      </w:r>
      <w:r w:rsidR="00B97A45">
        <w:t>determination</w:t>
      </w:r>
      <w:r w:rsidR="003B0AA6">
        <w:t>.</w:t>
      </w:r>
    </w:p>
    <w:p w14:paraId="453D1D09" w14:textId="5C8AD07C" w:rsidR="00050859" w:rsidRDefault="00BC7D85" w:rsidP="003C2620">
      <w:pPr>
        <w:pStyle w:val="Heading1"/>
      </w:pPr>
      <w:bookmarkStart w:id="44" w:name="_Ref133418101"/>
      <w:r>
        <w:rPr>
          <w:caps w:val="0"/>
        </w:rPr>
        <w:lastRenderedPageBreak/>
        <w:t>INFRINGEMENT:  THE 818 MARK (THE “HENLEY PROPERTIES” DEVICE MARK)</w:t>
      </w:r>
      <w:bookmarkEnd w:id="44"/>
    </w:p>
    <w:p w14:paraId="548FBD3B" w14:textId="77777777" w:rsidR="00050859" w:rsidRDefault="00050859" w:rsidP="00050859">
      <w:pPr>
        <w:pStyle w:val="Heading2"/>
      </w:pPr>
      <w:r>
        <w:t>The appellants’ submissions</w:t>
      </w:r>
    </w:p>
    <w:p w14:paraId="295B6DE8" w14:textId="3FC3FBFB" w:rsidR="00BE368A" w:rsidRPr="00BE368A" w:rsidRDefault="00BC7D85" w:rsidP="00BC7D85">
      <w:pPr>
        <w:pStyle w:val="ParaNumbering"/>
        <w:numPr>
          <w:ilvl w:val="0"/>
          <w:numId w:val="0"/>
        </w:numPr>
        <w:ind w:hanging="720"/>
      </w:pPr>
      <w:r w:rsidRPr="00BE368A">
        <w:rPr>
          <w:sz w:val="20"/>
        </w:rPr>
        <w:t>147</w:t>
      </w:r>
      <w:r w:rsidRPr="00BE368A">
        <w:rPr>
          <w:sz w:val="20"/>
        </w:rPr>
        <w:tab/>
      </w:r>
      <w:r w:rsidR="001E1BB0">
        <w:t xml:space="preserve">The primary judge found (at </w:t>
      </w:r>
      <w:proofErr w:type="gramStart"/>
      <w:r w:rsidR="001E1BB0">
        <w:t>J</w:t>
      </w:r>
      <w:r w:rsidR="00BE368A" w:rsidRPr="00BE368A">
        <w:t>[</w:t>
      </w:r>
      <w:proofErr w:type="gramEnd"/>
      <w:r w:rsidR="00BE368A" w:rsidRPr="00BE368A">
        <w:t xml:space="preserve">473]) that </w:t>
      </w:r>
      <w:r w:rsidR="00EE5093">
        <w:t>HENLEY CONSTRUCTIONS</w:t>
      </w:r>
      <w:r w:rsidR="00BE368A" w:rsidRPr="00BE368A">
        <w:t xml:space="preserve"> and the 818 mark (the “HENLEY PROPERTIES” Device Mark) were substantially identical marks.</w:t>
      </w:r>
      <w:r w:rsidR="00EE5093">
        <w:t xml:space="preserve">  Ground 7 of the notice of appeal challenges this finding.</w:t>
      </w:r>
    </w:p>
    <w:p w14:paraId="33941F38" w14:textId="6A8D09F5" w:rsidR="00BE368A" w:rsidRDefault="00BC7D85" w:rsidP="00BC7D85">
      <w:pPr>
        <w:pStyle w:val="ParaNumbering"/>
        <w:numPr>
          <w:ilvl w:val="0"/>
          <w:numId w:val="0"/>
        </w:numPr>
        <w:ind w:hanging="720"/>
      </w:pPr>
      <w:r>
        <w:rPr>
          <w:sz w:val="20"/>
        </w:rPr>
        <w:t>148</w:t>
      </w:r>
      <w:r>
        <w:rPr>
          <w:sz w:val="20"/>
        </w:rPr>
        <w:tab/>
      </w:r>
      <w:r w:rsidR="00BE368A" w:rsidRPr="00BE368A">
        <w:t>The</w:t>
      </w:r>
      <w:r w:rsidR="00F96AF5">
        <w:t xml:space="preserve"> substance of the</w:t>
      </w:r>
      <w:r w:rsidR="00BE368A" w:rsidRPr="00BE368A">
        <w:t xml:space="preserve"> </w:t>
      </w:r>
      <w:r w:rsidR="00F96AF5">
        <w:t>appellants’ submission is</w:t>
      </w:r>
      <w:r w:rsidR="00BE368A" w:rsidRPr="00BE368A">
        <w:t xml:space="preserve"> that, in reaching </w:t>
      </w:r>
      <w:r w:rsidR="00EE5093">
        <w:t>his</w:t>
      </w:r>
      <w:r w:rsidR="00BE368A" w:rsidRPr="00BE368A">
        <w:t xml:space="preserve"> conclusion, the primary judge misapplied the test stated by Windeyer J in </w:t>
      </w:r>
      <w:r w:rsidR="00BE368A" w:rsidRPr="00586452">
        <w:rPr>
          <w:i/>
        </w:rPr>
        <w:t>Shell Co of Australia Ltd v Esso Standard Oil (Australia) Ltd</w:t>
      </w:r>
      <w:r w:rsidR="00BE368A" w:rsidRPr="005605B1">
        <w:t xml:space="preserve"> (1963) 109 CLR 407</w:t>
      </w:r>
      <w:r w:rsidR="0012603E">
        <w:t xml:space="preserve"> (</w:t>
      </w:r>
      <w:r w:rsidR="0012603E" w:rsidRPr="00007F66">
        <w:rPr>
          <w:b/>
          <w:i/>
        </w:rPr>
        <w:t>Shell</w:t>
      </w:r>
      <w:r w:rsidR="0012603E">
        <w:t>)</w:t>
      </w:r>
      <w:r w:rsidR="00BE368A">
        <w:t xml:space="preserve"> at 414: </w:t>
      </w:r>
      <w:r w:rsidR="00BE368A" w:rsidRPr="00BE368A">
        <w:t xml:space="preserve"> </w:t>
      </w:r>
    </w:p>
    <w:p w14:paraId="547E7B30" w14:textId="2B291A64" w:rsidR="00BE368A" w:rsidRPr="00BE368A" w:rsidRDefault="00BE368A" w:rsidP="00BE368A">
      <w:pPr>
        <w:pStyle w:val="Quote1"/>
      </w:pPr>
      <w:r w:rsidRPr="00BE368A">
        <w:t xml:space="preserve">In considering whether marks are substantially identical they should, I think, be compared side by side, their similarities and differences noted and the importance of these assessed having regard to the essential features of the registered mark and the total </w:t>
      </w:r>
      <w:r w:rsidR="00DA1F71">
        <w:t>impression of resemblance or dis</w:t>
      </w:r>
      <w:r w:rsidRPr="00BE368A">
        <w:t xml:space="preserve">similarity that </w:t>
      </w:r>
      <w:r w:rsidR="000F091B">
        <w:t xml:space="preserve">emerges from the comparison … </w:t>
      </w:r>
      <w:r w:rsidRPr="00BE368A">
        <w:t xml:space="preserve">Whether there is substantial </w:t>
      </w:r>
      <w:r w:rsidR="000F091B">
        <w:t>identity is a question of fact.</w:t>
      </w:r>
    </w:p>
    <w:p w14:paraId="1348C418" w14:textId="26D5939F" w:rsidR="00BE368A" w:rsidRPr="00BE368A" w:rsidRDefault="00BC7D85" w:rsidP="00BC7D85">
      <w:pPr>
        <w:pStyle w:val="ParaNumbering"/>
        <w:numPr>
          <w:ilvl w:val="0"/>
          <w:numId w:val="0"/>
        </w:numPr>
        <w:ind w:hanging="720"/>
      </w:pPr>
      <w:r w:rsidRPr="00BE368A">
        <w:rPr>
          <w:sz w:val="20"/>
        </w:rPr>
        <w:t>149</w:t>
      </w:r>
      <w:r w:rsidRPr="00BE368A">
        <w:rPr>
          <w:sz w:val="20"/>
        </w:rPr>
        <w:tab/>
      </w:r>
      <w:r w:rsidR="00BE368A" w:rsidRPr="00BE368A">
        <w:t>The appellant</w:t>
      </w:r>
      <w:r w:rsidR="00BE368A">
        <w:t>s</w:t>
      </w:r>
      <w:r w:rsidR="00BE368A" w:rsidRPr="00BE368A">
        <w:t xml:space="preserve"> submit that the essential elements of the 818 mark include the triangular </w:t>
      </w:r>
      <w:r w:rsidR="00DB7D5E">
        <w:t>device</w:t>
      </w:r>
      <w:r w:rsidR="00BE368A" w:rsidRPr="00BE368A">
        <w:t xml:space="preserve"> and the inclusion of the </w:t>
      </w:r>
      <w:r w:rsidR="009B1148">
        <w:t>word PROPERTIES</w:t>
      </w:r>
      <w:r w:rsidR="00F96AF5">
        <w:t xml:space="preserve"> rendered in “b</w:t>
      </w:r>
      <w:r w:rsidR="00BE368A" w:rsidRPr="00BE368A">
        <w:t>lock shading”.  The appellant</w:t>
      </w:r>
      <w:r w:rsidR="00BE368A">
        <w:t>s submit</w:t>
      </w:r>
      <w:r w:rsidR="00BE368A" w:rsidRPr="00BE368A">
        <w:t xml:space="preserve"> that these elements are absent from the word </w:t>
      </w:r>
      <w:r w:rsidR="003C7294">
        <w:t>mark</w:t>
      </w:r>
      <w:r w:rsidR="00BE368A" w:rsidRPr="00BE368A">
        <w:t xml:space="preserve"> </w:t>
      </w:r>
      <w:r w:rsidR="00F96AF5">
        <w:t>HENLEY CONSTRUCTIONS</w:t>
      </w:r>
      <w:r w:rsidR="00BE368A" w:rsidRPr="00BE368A">
        <w:t>, with the consequence that the two marks cannot be substantially identical.</w:t>
      </w:r>
    </w:p>
    <w:p w14:paraId="69979685" w14:textId="77777777" w:rsidR="00BE368A" w:rsidRPr="00BE368A" w:rsidRDefault="00BE368A" w:rsidP="00BE368A">
      <w:pPr>
        <w:pStyle w:val="Heading2"/>
      </w:pPr>
      <w:r>
        <w:t xml:space="preserve">Analysis </w:t>
      </w:r>
    </w:p>
    <w:p w14:paraId="7776694B" w14:textId="27DB659A" w:rsidR="00BE368A" w:rsidRPr="00BE368A" w:rsidRDefault="00BC7D85" w:rsidP="00BC7D85">
      <w:pPr>
        <w:pStyle w:val="ParaNumbering"/>
        <w:numPr>
          <w:ilvl w:val="0"/>
          <w:numId w:val="0"/>
        </w:numPr>
        <w:ind w:hanging="720"/>
      </w:pPr>
      <w:r w:rsidRPr="00BE368A">
        <w:rPr>
          <w:sz w:val="20"/>
        </w:rPr>
        <w:t>150</w:t>
      </w:r>
      <w:r w:rsidRPr="00BE368A">
        <w:rPr>
          <w:sz w:val="20"/>
        </w:rPr>
        <w:tab/>
      </w:r>
      <w:r w:rsidR="00BE368A" w:rsidRPr="00BE368A">
        <w:t xml:space="preserve">We are conscious that the </w:t>
      </w:r>
      <w:proofErr w:type="gramStart"/>
      <w:r w:rsidR="00BE368A" w:rsidRPr="00BE368A">
        <w:t>comparison which the primary judge undertook</w:t>
      </w:r>
      <w:proofErr w:type="gramEnd"/>
      <w:r w:rsidR="00BE368A" w:rsidRPr="00BE368A">
        <w:t xml:space="preserve"> was an aural and visual comparison </w:t>
      </w:r>
      <w:r w:rsidR="00F96AF5">
        <w:t>that</w:t>
      </w:r>
      <w:r w:rsidR="00BE368A" w:rsidRPr="00BE368A">
        <w:t xml:space="preserve"> involved judicial estimation.  Minds may well differ on such a comparison and, where they do, this difference does not necessarily mean that the primary judge’s comparison is affected by error.  We accept that</w:t>
      </w:r>
      <w:r w:rsidR="00F96AF5">
        <w:t xml:space="preserve"> </w:t>
      </w:r>
      <w:r w:rsidR="00BE368A" w:rsidRPr="00BE368A">
        <w:t xml:space="preserve">an appellate court should give due weight </w:t>
      </w:r>
      <w:r w:rsidR="00F96AF5">
        <w:t>and</w:t>
      </w:r>
      <w:r w:rsidR="00BE368A" w:rsidRPr="00BE368A">
        <w:t xml:space="preserve"> respect to a </w:t>
      </w:r>
      <w:r w:rsidR="00F96AF5">
        <w:t>primary judge’s evaluative assessment</w:t>
      </w:r>
      <w:r w:rsidR="00BE368A" w:rsidRPr="00BE368A">
        <w:t xml:space="preserve">, and should exercise caution in reversing such </w:t>
      </w:r>
      <w:r w:rsidR="00F96AF5">
        <w:t>an assessment</w:t>
      </w:r>
      <w:r w:rsidR="00AD7139">
        <w:t xml:space="preserve">:  </w:t>
      </w:r>
      <w:r w:rsidR="00393D94" w:rsidRPr="00586452">
        <w:rPr>
          <w:i/>
        </w:rPr>
        <w:t>Optical 88 Ltd v Optical 88 Pty Ltd</w:t>
      </w:r>
      <w:r w:rsidR="00393D94" w:rsidRPr="005605B1">
        <w:t xml:space="preserve"> [2011] FCAFC 130; 197 FCR 67</w:t>
      </w:r>
      <w:r w:rsidR="00393D94">
        <w:t xml:space="preserve"> at [25] – [39]; </w:t>
      </w:r>
      <w:r w:rsidR="00393D94" w:rsidRPr="00586452">
        <w:rPr>
          <w:i/>
        </w:rPr>
        <w:t xml:space="preserve">Energy Beverages LLC v </w:t>
      </w:r>
      <w:proofErr w:type="spellStart"/>
      <w:r w:rsidR="00393D94" w:rsidRPr="00586452">
        <w:rPr>
          <w:i/>
        </w:rPr>
        <w:t>Cantarella</w:t>
      </w:r>
      <w:proofErr w:type="spellEnd"/>
      <w:r w:rsidR="00393D94" w:rsidRPr="00586452">
        <w:rPr>
          <w:i/>
        </w:rPr>
        <w:t xml:space="preserve"> Bros Pty Ltd</w:t>
      </w:r>
      <w:r w:rsidR="00393D94" w:rsidRPr="005605B1">
        <w:t xml:space="preserve"> [2023] FCAFC 44</w:t>
      </w:r>
      <w:r w:rsidR="00393D94">
        <w:t xml:space="preserve"> at [158] – [160]</w:t>
      </w:r>
      <w:r w:rsidR="00BE368A" w:rsidRPr="00BE368A">
        <w:t>.</w:t>
      </w:r>
    </w:p>
    <w:p w14:paraId="14B2618D" w14:textId="21287348" w:rsidR="00D11CDB" w:rsidRDefault="00BC7D85" w:rsidP="00BC7D85">
      <w:pPr>
        <w:pStyle w:val="ParaNumbering"/>
        <w:numPr>
          <w:ilvl w:val="0"/>
          <w:numId w:val="0"/>
        </w:numPr>
        <w:ind w:hanging="720"/>
      </w:pPr>
      <w:r>
        <w:rPr>
          <w:sz w:val="20"/>
        </w:rPr>
        <w:t>151</w:t>
      </w:r>
      <w:r>
        <w:rPr>
          <w:sz w:val="20"/>
        </w:rPr>
        <w:tab/>
      </w:r>
      <w:r w:rsidR="00BE368A" w:rsidRPr="00BE368A">
        <w:t>Nevertheless, we are persuaded that</w:t>
      </w:r>
      <w:r w:rsidR="00D11CDB">
        <w:t xml:space="preserve">, when determining the question of </w:t>
      </w:r>
      <w:proofErr w:type="gramStart"/>
      <w:r w:rsidR="00D11CDB">
        <w:t>trade mark</w:t>
      </w:r>
      <w:proofErr w:type="gramEnd"/>
      <w:r w:rsidR="00D11CDB">
        <w:t xml:space="preserve"> infringement,</w:t>
      </w:r>
      <w:r w:rsidR="00BE368A" w:rsidRPr="00BE368A">
        <w:t xml:space="preserve"> </w:t>
      </w:r>
      <w:r w:rsidR="00F96AF5">
        <w:t xml:space="preserve">it was not reasonably open to the primary judge to find that, on a side by side comparison, </w:t>
      </w:r>
      <w:r w:rsidR="00BE368A" w:rsidRPr="00BE368A">
        <w:t xml:space="preserve">the </w:t>
      </w:r>
      <w:r w:rsidR="00393D94">
        <w:t>sign</w:t>
      </w:r>
      <w:r w:rsidR="00BE368A" w:rsidRPr="00BE368A">
        <w:t xml:space="preserve"> HENLEY CONSTRUCTIONS</w:t>
      </w:r>
      <w:r w:rsidR="003C7294">
        <w:t>, as a word mark,</w:t>
      </w:r>
      <w:r w:rsidR="00BE368A" w:rsidRPr="00BE368A">
        <w:t xml:space="preserve"> is substantially identical to the 818 mark</w:t>
      </w:r>
      <w:r w:rsidR="00F96AF5">
        <w:t xml:space="preserve"> (the “HENLEY PROPERTIES” Device Mark</w:t>
      </w:r>
      <w:r w:rsidR="00393D94">
        <w:t>)</w:t>
      </w:r>
      <w:r w:rsidR="00BE368A" w:rsidRPr="00BE368A">
        <w:t xml:space="preserve">.  </w:t>
      </w:r>
    </w:p>
    <w:p w14:paraId="1A552914" w14:textId="404138AF" w:rsidR="003C7294" w:rsidRDefault="00BC7D85" w:rsidP="00BC7D85">
      <w:pPr>
        <w:pStyle w:val="ParaNumbering"/>
        <w:numPr>
          <w:ilvl w:val="0"/>
          <w:numId w:val="0"/>
        </w:numPr>
        <w:ind w:hanging="720"/>
      </w:pPr>
      <w:r>
        <w:rPr>
          <w:sz w:val="20"/>
        </w:rPr>
        <w:t>152</w:t>
      </w:r>
      <w:r>
        <w:rPr>
          <w:sz w:val="20"/>
        </w:rPr>
        <w:tab/>
      </w:r>
      <w:r w:rsidR="00393D94">
        <w:t>In undertaking this comparison, it is necessary to remember that the 818 mark</w:t>
      </w:r>
      <w:r w:rsidR="00D11CDB">
        <w:t xml:space="preserve"> is not simply the word HENLEY</w:t>
      </w:r>
      <w:r w:rsidR="00952A45">
        <w:t xml:space="preserve">:  </w:t>
      </w:r>
      <w:proofErr w:type="spellStart"/>
      <w:r w:rsidR="00952A45">
        <w:t>cf</w:t>
      </w:r>
      <w:proofErr w:type="spellEnd"/>
      <w:r w:rsidR="00952A45">
        <w:t xml:space="preserve"> the 820 mark</w:t>
      </w:r>
      <w:r w:rsidR="00D11CDB">
        <w:t xml:space="preserve">.  It is a composite mark involving word and device elements </w:t>
      </w:r>
      <w:r w:rsidR="00D11CDB">
        <w:lastRenderedPageBreak/>
        <w:t>in a particular arrangement</w:t>
      </w:r>
      <w:r w:rsidR="003C7294" w:rsidRPr="003C7294">
        <w:t xml:space="preserve"> </w:t>
      </w:r>
      <w:r w:rsidR="003C7294">
        <w:t>and stylistic rendering:  see [13] above</w:t>
      </w:r>
      <w:r w:rsidR="00D11CDB">
        <w:t xml:space="preserve">.  The monopoly conferred by registration is limited accordingly.  </w:t>
      </w:r>
      <w:r w:rsidR="003C7294">
        <w:t xml:space="preserve">This limitation </w:t>
      </w:r>
      <w:proofErr w:type="gramStart"/>
      <w:r w:rsidR="003C7294">
        <w:t>must be recognised</w:t>
      </w:r>
      <w:proofErr w:type="gramEnd"/>
      <w:r w:rsidR="003C7294">
        <w:t xml:space="preserve">.  </w:t>
      </w:r>
    </w:p>
    <w:p w14:paraId="5015A959" w14:textId="19E6A47E" w:rsidR="00F96AF5" w:rsidRDefault="00BC7D85" w:rsidP="00BC7D85">
      <w:pPr>
        <w:pStyle w:val="ParaNumbering"/>
        <w:numPr>
          <w:ilvl w:val="0"/>
          <w:numId w:val="0"/>
        </w:numPr>
        <w:ind w:hanging="720"/>
      </w:pPr>
      <w:r>
        <w:rPr>
          <w:sz w:val="20"/>
        </w:rPr>
        <w:t>153</w:t>
      </w:r>
      <w:r>
        <w:rPr>
          <w:sz w:val="20"/>
        </w:rPr>
        <w:tab/>
      </w:r>
      <w:r w:rsidR="00BE368A" w:rsidRPr="00BE368A">
        <w:t xml:space="preserve">Although the word component HENLEY is present in both </w:t>
      </w:r>
      <w:r w:rsidR="003C7294">
        <w:t>marks</w:t>
      </w:r>
      <w:r w:rsidR="00BE368A" w:rsidRPr="00BE368A">
        <w:t xml:space="preserve">, and is certainly a prominent feature of both, an overall impression of identity between the two does not emerge.  </w:t>
      </w:r>
      <w:r w:rsidR="00D11CDB">
        <w:t xml:space="preserve">Mere resemblance between HENLEY CONSTRUCTIONS and the particular </w:t>
      </w:r>
      <w:r w:rsidR="003C7294">
        <w:t>sign</w:t>
      </w:r>
      <w:r w:rsidR="00D11CDB">
        <w:t xml:space="preserve"> that is the 818 mark</w:t>
      </w:r>
      <w:r w:rsidR="003C7294">
        <w:t>—</w:t>
      </w:r>
      <w:r w:rsidR="00D11CDB">
        <w:t>based on</w:t>
      </w:r>
      <w:r w:rsidR="00F76DF2">
        <w:t>ly on</w:t>
      </w:r>
      <w:r w:rsidR="00D11CDB">
        <w:t xml:space="preserve"> </w:t>
      </w:r>
      <w:r w:rsidR="003C7294">
        <w:t>the presence of the word HENLEY—</w:t>
      </w:r>
      <w:r w:rsidR="00D11CDB">
        <w:t>is not enough to establish substantial identity between the two.</w:t>
      </w:r>
      <w:r w:rsidR="003C7294">
        <w:t xml:space="preserve">  Bearing</w:t>
      </w:r>
      <w:r w:rsidR="00D11CDB">
        <w:t xml:space="preserve"> in mind the limitations of the </w:t>
      </w:r>
      <w:r w:rsidR="003C7294">
        <w:t xml:space="preserve">registration of the </w:t>
      </w:r>
      <w:r w:rsidR="00D11CDB">
        <w:t>818 mark,</w:t>
      </w:r>
      <w:r w:rsidR="00BE368A" w:rsidRPr="00BE368A">
        <w:t xml:space="preserve"> </w:t>
      </w:r>
      <w:r w:rsidR="003C7294">
        <w:t xml:space="preserve">this </w:t>
      </w:r>
      <w:r w:rsidR="00F76DF2">
        <w:t>relative</w:t>
      </w:r>
      <w:r w:rsidR="003C7294">
        <w:t xml:space="preserve"> lack of identity between the two signs </w:t>
      </w:r>
      <w:r w:rsidR="00BE368A" w:rsidRPr="00BE368A">
        <w:t xml:space="preserve">persuades us that the primary judge </w:t>
      </w:r>
      <w:r w:rsidR="003C7294">
        <w:t xml:space="preserve">misapplied </w:t>
      </w:r>
      <w:r w:rsidR="00BE368A" w:rsidRPr="00BE368A">
        <w:t xml:space="preserve">the </w:t>
      </w:r>
      <w:proofErr w:type="gramStart"/>
      <w:r w:rsidR="00F96AF5">
        <w:t>trade mark</w:t>
      </w:r>
      <w:proofErr w:type="gramEnd"/>
      <w:r w:rsidR="00F96AF5">
        <w:t xml:space="preserve"> </w:t>
      </w:r>
      <w:r w:rsidR="00BE368A" w:rsidRPr="00BE368A">
        <w:t>test for</w:t>
      </w:r>
      <w:r w:rsidR="00F96AF5">
        <w:t xml:space="preserve"> determining whether two marks are</w:t>
      </w:r>
      <w:r w:rsidR="00BE368A" w:rsidRPr="00BE368A">
        <w:t xml:space="preserve"> substantial</w:t>
      </w:r>
      <w:r w:rsidR="00F96AF5">
        <w:t>ly</w:t>
      </w:r>
      <w:r w:rsidR="00BE368A" w:rsidRPr="00BE368A">
        <w:t xml:space="preserve"> </w:t>
      </w:r>
      <w:r w:rsidR="00F96AF5">
        <w:t>identical.</w:t>
      </w:r>
      <w:r w:rsidR="00D11CDB">
        <w:t xml:space="preserve">  </w:t>
      </w:r>
    </w:p>
    <w:p w14:paraId="6A0EA74D" w14:textId="79B7C3FC" w:rsidR="00F96AF5" w:rsidRDefault="00BC7D85" w:rsidP="00BC7D85">
      <w:pPr>
        <w:pStyle w:val="ParaNumbering"/>
        <w:numPr>
          <w:ilvl w:val="0"/>
          <w:numId w:val="0"/>
        </w:numPr>
        <w:ind w:hanging="720"/>
      </w:pPr>
      <w:r>
        <w:rPr>
          <w:sz w:val="20"/>
        </w:rPr>
        <w:t>154</w:t>
      </w:r>
      <w:r>
        <w:rPr>
          <w:sz w:val="20"/>
        </w:rPr>
        <w:tab/>
      </w:r>
      <w:r w:rsidR="00F96AF5">
        <w:t xml:space="preserve">Ground 7 of the notice of appeal </w:t>
      </w:r>
      <w:r w:rsidR="00AF427F">
        <w:t>succeeds</w:t>
      </w:r>
      <w:r w:rsidR="00A4280A">
        <w:t xml:space="preserve">.  We note, however, that the primary judge also found that HENLEY CONSTRUCTIONS was deceptively similar to the </w:t>
      </w:r>
      <w:r w:rsidR="00EE5093">
        <w:t>818 mark</w:t>
      </w:r>
      <w:r w:rsidR="00A4280A">
        <w:t xml:space="preserve">.  </w:t>
      </w:r>
      <w:r w:rsidR="00EE5093">
        <w:t xml:space="preserve">Although not expressed as such, we understand this to be an alternative finding by the primary judge in respect of the infringement of that mark.  </w:t>
      </w:r>
      <w:r w:rsidR="00A4280A">
        <w:t xml:space="preserve">The appellants’ challenge to </w:t>
      </w:r>
      <w:r w:rsidR="00EE5093">
        <w:t>the primary judge’s</w:t>
      </w:r>
      <w:r w:rsidR="00A4280A">
        <w:t xml:space="preserve"> finding</w:t>
      </w:r>
      <w:r w:rsidR="00EE5093">
        <w:t xml:space="preserve"> of deceptive similarity</w:t>
      </w:r>
      <w:r w:rsidR="00A4280A">
        <w:t xml:space="preserve"> is part of Ground 8 of the notice of appeal.</w:t>
      </w:r>
    </w:p>
    <w:p w14:paraId="4F352B5C" w14:textId="7C499534" w:rsidR="00BE368A" w:rsidRDefault="00BC7D85" w:rsidP="00F96AF5">
      <w:pPr>
        <w:pStyle w:val="Heading1"/>
      </w:pPr>
      <w:bookmarkStart w:id="45" w:name="_Ref133418102"/>
      <w:r>
        <w:rPr>
          <w:caps w:val="0"/>
        </w:rPr>
        <w:t>INFRINGEMENT: VARIOUS MARKS AND THE ISSUE OF DECEPTIVE SIMILARITY</w:t>
      </w:r>
      <w:bookmarkEnd w:id="45"/>
      <w:r>
        <w:rPr>
          <w:caps w:val="0"/>
        </w:rPr>
        <w:t xml:space="preserve"> </w:t>
      </w:r>
    </w:p>
    <w:p w14:paraId="45CD41F6" w14:textId="77777777" w:rsidR="0052385B" w:rsidRDefault="0052385B" w:rsidP="0052385B">
      <w:pPr>
        <w:pStyle w:val="Heading2"/>
      </w:pPr>
      <w:r>
        <w:t>The appellants’ submissions</w:t>
      </w:r>
    </w:p>
    <w:p w14:paraId="6E685687" w14:textId="7418E28A" w:rsidR="00BE368A" w:rsidRDefault="00BC7D85" w:rsidP="00BC7D85">
      <w:pPr>
        <w:pStyle w:val="ParaNumbering"/>
        <w:numPr>
          <w:ilvl w:val="0"/>
          <w:numId w:val="0"/>
        </w:numPr>
        <w:ind w:hanging="720"/>
      </w:pPr>
      <w:r>
        <w:rPr>
          <w:sz w:val="20"/>
        </w:rPr>
        <w:t>155</w:t>
      </w:r>
      <w:r>
        <w:rPr>
          <w:sz w:val="20"/>
        </w:rPr>
        <w:tab/>
      </w:r>
      <w:r w:rsidR="00BE368A">
        <w:t xml:space="preserve">Ground 8 of the </w:t>
      </w:r>
      <w:r w:rsidR="003C7294">
        <w:t xml:space="preserve">notice of </w:t>
      </w:r>
      <w:r w:rsidR="00BE368A">
        <w:t>appeal challenges the prima</w:t>
      </w:r>
      <w:r w:rsidR="00F96AF5">
        <w:t xml:space="preserve">ry judge’s general finding at </w:t>
      </w:r>
      <w:proofErr w:type="gramStart"/>
      <w:r w:rsidR="00F96AF5">
        <w:t>J</w:t>
      </w:r>
      <w:r w:rsidR="00BE368A">
        <w:t>[</w:t>
      </w:r>
      <w:proofErr w:type="gramEnd"/>
      <w:r w:rsidR="00BE368A">
        <w:t>478] that the Infringing Signs used by Henley Constructions as trade marks were deceptively similar to each of the</w:t>
      </w:r>
      <w:r w:rsidR="00A4280A">
        <w:t xml:space="preserve"> respondent’s</w:t>
      </w:r>
      <w:r w:rsidR="00BE368A">
        <w:t xml:space="preserve"> registered marks.  </w:t>
      </w:r>
    </w:p>
    <w:p w14:paraId="33CC62EB" w14:textId="7C6CC6F0" w:rsidR="00BE368A" w:rsidRDefault="00BC7D85" w:rsidP="00BC7D85">
      <w:pPr>
        <w:pStyle w:val="ParaNumbering"/>
        <w:numPr>
          <w:ilvl w:val="0"/>
          <w:numId w:val="0"/>
        </w:numPr>
        <w:ind w:hanging="720"/>
      </w:pPr>
      <w:r>
        <w:rPr>
          <w:sz w:val="20"/>
        </w:rPr>
        <w:t>156</w:t>
      </w:r>
      <w:r>
        <w:rPr>
          <w:sz w:val="20"/>
        </w:rPr>
        <w:tab/>
      </w:r>
      <w:r w:rsidR="00BE368A">
        <w:t xml:space="preserve">Relevantly to this ground of appeal, the Infringing Signs </w:t>
      </w:r>
      <w:r w:rsidR="006B5755">
        <w:t>are</w:t>
      </w:r>
      <w:r w:rsidR="00BE368A">
        <w:t xml:space="preserve">:  </w:t>
      </w:r>
    </w:p>
    <w:p w14:paraId="42FB9E2C" w14:textId="12F92E2A" w:rsidR="00BE368A" w:rsidRDefault="00BC7D85" w:rsidP="00BC7D85">
      <w:pPr>
        <w:pStyle w:val="ListNo2"/>
        <w:numPr>
          <w:ilvl w:val="0"/>
          <w:numId w:val="0"/>
        </w:numPr>
        <w:tabs>
          <w:tab w:val="left" w:pos="1440"/>
        </w:tabs>
        <w:ind w:left="1440" w:hanging="720"/>
      </w:pPr>
      <w:r>
        <w:t>(a)</w:t>
      </w:r>
      <w:r>
        <w:tab/>
      </w:r>
      <w:r w:rsidR="00BE368A">
        <w:t xml:space="preserve">HENLEY CONSTRUCTIONS and the Henley Constructions logos; </w:t>
      </w:r>
    </w:p>
    <w:p w14:paraId="49EFDECB" w14:textId="55B4C512" w:rsidR="00BE368A" w:rsidRDefault="00BC7D85" w:rsidP="00BC7D85">
      <w:pPr>
        <w:pStyle w:val="ListNo2"/>
        <w:numPr>
          <w:ilvl w:val="0"/>
          <w:numId w:val="0"/>
        </w:numPr>
        <w:tabs>
          <w:tab w:val="left" w:pos="1440"/>
        </w:tabs>
        <w:ind w:left="1440" w:hanging="720"/>
      </w:pPr>
      <w:r>
        <w:t>(b)</w:t>
      </w:r>
      <w:r>
        <w:tab/>
      </w:r>
      <w:proofErr w:type="gramStart"/>
      <w:r w:rsidR="00BE368A">
        <w:t>the</w:t>
      </w:r>
      <w:proofErr w:type="gramEnd"/>
      <w:r w:rsidR="00BE368A">
        <w:t xml:space="preserve"> domain </w:t>
      </w:r>
      <w:r w:rsidR="00DA1F71">
        <w:t>name henley</w:t>
      </w:r>
      <w:r w:rsidR="00BE368A">
        <w:t xml:space="preserve">constructions.com.au; </w:t>
      </w:r>
    </w:p>
    <w:p w14:paraId="1242DF4D" w14:textId="362F7553" w:rsidR="00BE368A" w:rsidRDefault="00BC7D85" w:rsidP="00BC7D85">
      <w:pPr>
        <w:pStyle w:val="ListNo2"/>
        <w:numPr>
          <w:ilvl w:val="0"/>
          <w:numId w:val="0"/>
        </w:numPr>
        <w:tabs>
          <w:tab w:val="left" w:pos="1440"/>
        </w:tabs>
        <w:ind w:left="1440" w:hanging="720"/>
      </w:pPr>
      <w:r>
        <w:t>(c)</w:t>
      </w:r>
      <w:r>
        <w:tab/>
      </w:r>
      <w:proofErr w:type="gramStart"/>
      <w:r w:rsidR="00BE368A">
        <w:t>the</w:t>
      </w:r>
      <w:proofErr w:type="gramEnd"/>
      <w:r w:rsidR="00BE368A">
        <w:t xml:space="preserve"> domain name Henleygallery.com.au; </w:t>
      </w:r>
    </w:p>
    <w:p w14:paraId="2A7D4060" w14:textId="533F15AD" w:rsidR="00BE368A" w:rsidRDefault="00BC7D85" w:rsidP="00BC7D85">
      <w:pPr>
        <w:pStyle w:val="ListNo2"/>
        <w:numPr>
          <w:ilvl w:val="0"/>
          <w:numId w:val="0"/>
        </w:numPr>
        <w:tabs>
          <w:tab w:val="left" w:pos="1440"/>
        </w:tabs>
        <w:ind w:left="1440" w:hanging="720"/>
      </w:pPr>
      <w:r>
        <w:t>(d)</w:t>
      </w:r>
      <w:r>
        <w:tab/>
      </w:r>
      <w:proofErr w:type="gramStart"/>
      <w:r w:rsidR="00BE368A">
        <w:t>the</w:t>
      </w:r>
      <w:proofErr w:type="gramEnd"/>
      <w:r w:rsidR="00BE368A">
        <w:t xml:space="preserve"> name THE HENLEY DISPLAY GALLERY; </w:t>
      </w:r>
    </w:p>
    <w:p w14:paraId="221B6D95" w14:textId="7453F085" w:rsidR="00BE368A" w:rsidRDefault="00BC7D85" w:rsidP="00BC7D85">
      <w:pPr>
        <w:pStyle w:val="ListNo2"/>
        <w:numPr>
          <w:ilvl w:val="0"/>
          <w:numId w:val="0"/>
        </w:numPr>
        <w:tabs>
          <w:tab w:val="left" w:pos="1440"/>
        </w:tabs>
        <w:ind w:left="1440" w:hanging="720"/>
      </w:pPr>
      <w:r>
        <w:t>(e)</w:t>
      </w:r>
      <w:r>
        <w:tab/>
      </w:r>
      <w:proofErr w:type="gramStart"/>
      <w:r w:rsidR="00BE368A">
        <w:t>the</w:t>
      </w:r>
      <w:proofErr w:type="gramEnd"/>
      <w:r w:rsidR="00BE368A">
        <w:t xml:space="preserve"> name HENLEY BUILT; </w:t>
      </w:r>
    </w:p>
    <w:p w14:paraId="1147A448" w14:textId="3FF35014" w:rsidR="00BE368A" w:rsidRDefault="00BC7D85" w:rsidP="00BC7D85">
      <w:pPr>
        <w:pStyle w:val="ListNo2"/>
        <w:numPr>
          <w:ilvl w:val="0"/>
          <w:numId w:val="0"/>
        </w:numPr>
        <w:tabs>
          <w:tab w:val="left" w:pos="1440"/>
        </w:tabs>
        <w:ind w:left="1440" w:hanging="720"/>
      </w:pPr>
      <w:r>
        <w:t>(f)</w:t>
      </w:r>
      <w:r>
        <w:tab/>
      </w:r>
      <w:proofErr w:type="gramStart"/>
      <w:r w:rsidR="00BE368A">
        <w:t>crane</w:t>
      </w:r>
      <w:proofErr w:type="gramEnd"/>
      <w:r w:rsidR="00BE368A">
        <w:t xml:space="preserve"> signage using the word Henley; and </w:t>
      </w:r>
    </w:p>
    <w:p w14:paraId="047605A6" w14:textId="0952938D" w:rsidR="00BE368A" w:rsidRDefault="00BC7D85" w:rsidP="00BC7D85">
      <w:pPr>
        <w:pStyle w:val="ListNo2"/>
        <w:numPr>
          <w:ilvl w:val="0"/>
          <w:numId w:val="0"/>
        </w:numPr>
        <w:tabs>
          <w:tab w:val="left" w:pos="1440"/>
        </w:tabs>
        <w:ind w:left="1440" w:hanging="720"/>
      </w:pPr>
      <w:r>
        <w:t>(g)</w:t>
      </w:r>
      <w:r>
        <w:tab/>
      </w:r>
      <w:proofErr w:type="gramStart"/>
      <w:r w:rsidR="00BE368A">
        <w:t>various</w:t>
      </w:r>
      <w:proofErr w:type="gramEnd"/>
      <w:r w:rsidR="00BE368A">
        <w:t xml:space="preserve"> hashtags in social media, specifically #</w:t>
      </w:r>
      <w:proofErr w:type="spellStart"/>
      <w:r w:rsidR="00BE368A">
        <w:t>henleyconstructions</w:t>
      </w:r>
      <w:proofErr w:type="spellEnd"/>
      <w:r w:rsidR="00B02B9F">
        <w:t xml:space="preserve"> and #</w:t>
      </w:r>
      <w:proofErr w:type="spellStart"/>
      <w:r w:rsidR="00B02B9F">
        <w:t>henleygallery</w:t>
      </w:r>
      <w:proofErr w:type="spellEnd"/>
      <w:r w:rsidR="00BE368A">
        <w:t>.</w:t>
      </w:r>
    </w:p>
    <w:p w14:paraId="3EC35A37" w14:textId="768C8EE3" w:rsidR="00BE368A" w:rsidRDefault="00BC7D85" w:rsidP="00BC7D85">
      <w:pPr>
        <w:pStyle w:val="ParaNumbering"/>
        <w:numPr>
          <w:ilvl w:val="0"/>
          <w:numId w:val="0"/>
        </w:numPr>
        <w:ind w:hanging="720"/>
      </w:pPr>
      <w:r>
        <w:rPr>
          <w:sz w:val="20"/>
        </w:rPr>
        <w:lastRenderedPageBreak/>
        <w:t>157</w:t>
      </w:r>
      <w:r>
        <w:rPr>
          <w:sz w:val="20"/>
        </w:rPr>
        <w:tab/>
      </w:r>
      <w:r w:rsidR="006B5755">
        <w:t>This</w:t>
      </w:r>
      <w:r w:rsidR="00BE368A">
        <w:t xml:space="preserve"> ground involves multiple </w:t>
      </w:r>
      <w:proofErr w:type="gramStart"/>
      <w:r w:rsidR="00BE368A">
        <w:t>trade mark</w:t>
      </w:r>
      <w:proofErr w:type="gramEnd"/>
      <w:r w:rsidR="00BE368A">
        <w:t xml:space="preserve"> comparisons.  However, a number of the appellants’ submissions were </w:t>
      </w:r>
      <w:proofErr w:type="gramStart"/>
      <w:r w:rsidR="00BE368A">
        <w:t>broadly-based</w:t>
      </w:r>
      <w:proofErr w:type="gramEnd"/>
      <w:r w:rsidR="00BE368A">
        <w:t xml:space="preserve"> contentions</w:t>
      </w:r>
      <w:r w:rsidR="006B5755">
        <w:t>, a number of which were</w:t>
      </w:r>
      <w:r w:rsidR="00BE368A">
        <w:t xml:space="preserve"> applicable to all</w:t>
      </w:r>
      <w:r w:rsidR="00A4280A">
        <w:t>, or at least a number, of</w:t>
      </w:r>
      <w:r w:rsidR="00BE368A">
        <w:t xml:space="preserve"> the comparisons under challenge.  The appellants’ submissions may be summarised as follows.</w:t>
      </w:r>
    </w:p>
    <w:p w14:paraId="6768D090" w14:textId="143CAB83" w:rsidR="00BE368A" w:rsidRDefault="00BC7D85" w:rsidP="00BC7D85">
      <w:pPr>
        <w:pStyle w:val="ParaNumbering"/>
        <w:numPr>
          <w:ilvl w:val="0"/>
          <w:numId w:val="0"/>
        </w:numPr>
        <w:ind w:hanging="720"/>
      </w:pPr>
      <w:r>
        <w:rPr>
          <w:sz w:val="20"/>
        </w:rPr>
        <w:t>158</w:t>
      </w:r>
      <w:r>
        <w:rPr>
          <w:sz w:val="20"/>
        </w:rPr>
        <w:tab/>
      </w:r>
      <w:r w:rsidR="00BE368A">
        <w:t>First, the appellants submit that while all the marks possess the common element HENLEY, they also possess other elements.  The In</w:t>
      </w:r>
      <w:r w:rsidR="00DA1F71">
        <w:t xml:space="preserve">fringing Signs possess </w:t>
      </w:r>
      <w:proofErr w:type="gramStart"/>
      <w:r w:rsidR="00DA1F71">
        <w:t xml:space="preserve">elements </w:t>
      </w:r>
      <w:r w:rsidR="00BE368A">
        <w:t>which</w:t>
      </w:r>
      <w:proofErr w:type="gramEnd"/>
      <w:r w:rsidR="00BE368A">
        <w:t xml:space="preserve"> are not posse</w:t>
      </w:r>
      <w:r w:rsidR="00CC0ED0">
        <w:t xml:space="preserve">ssed by the registered marks.  </w:t>
      </w:r>
    </w:p>
    <w:p w14:paraId="3B160352" w14:textId="2091CB9B" w:rsidR="00BE368A" w:rsidRDefault="00BC7D85" w:rsidP="00BC7D85">
      <w:pPr>
        <w:pStyle w:val="ParaNumbering"/>
        <w:numPr>
          <w:ilvl w:val="0"/>
          <w:numId w:val="0"/>
        </w:numPr>
        <w:ind w:hanging="720"/>
      </w:pPr>
      <w:r>
        <w:rPr>
          <w:sz w:val="20"/>
        </w:rPr>
        <w:t>159</w:t>
      </w:r>
      <w:r>
        <w:rPr>
          <w:sz w:val="20"/>
        </w:rPr>
        <w:tab/>
      </w:r>
      <w:r w:rsidR="00BE368A">
        <w:t>Secondly, the appellants submit that</w:t>
      </w:r>
      <w:r w:rsidR="006B5755">
        <w:t xml:space="preserve"> the word</w:t>
      </w:r>
      <w:r w:rsidR="00BE368A">
        <w:t xml:space="preserve"> </w:t>
      </w:r>
      <w:r w:rsidR="00F76DF2">
        <w:t>HENLEY</w:t>
      </w:r>
      <w:r w:rsidR="00BE368A">
        <w:t xml:space="preserve"> </w:t>
      </w:r>
      <w:r w:rsidR="00CC0ED0">
        <w:t xml:space="preserve">is a purely descriptive word.  </w:t>
      </w:r>
    </w:p>
    <w:p w14:paraId="568A46EA" w14:textId="65664C81" w:rsidR="00BE368A" w:rsidRDefault="00BC7D85" w:rsidP="00BC7D85">
      <w:pPr>
        <w:pStyle w:val="ParaNumbering"/>
        <w:numPr>
          <w:ilvl w:val="0"/>
          <w:numId w:val="0"/>
        </w:numPr>
        <w:ind w:hanging="720"/>
      </w:pPr>
      <w:r>
        <w:rPr>
          <w:sz w:val="20"/>
        </w:rPr>
        <w:t>160</w:t>
      </w:r>
      <w:r>
        <w:rPr>
          <w:sz w:val="20"/>
        </w:rPr>
        <w:tab/>
      </w:r>
      <w:r w:rsidR="00BE368A">
        <w:t>Thirdly</w:t>
      </w:r>
      <w:r w:rsidR="00A410A0">
        <w:t>, in relation to the comparison of HENLEY CONSTRUCTIONS</w:t>
      </w:r>
      <w:r w:rsidR="00BE368A">
        <w:t xml:space="preserve"> with the</w:t>
      </w:r>
      <w:r w:rsidR="006B5755">
        <w:t xml:space="preserve"> 818 mark (the</w:t>
      </w:r>
      <w:r w:rsidR="00BE368A">
        <w:t xml:space="preserve"> “HENLEY PROPERTIES” Device Mark</w:t>
      </w:r>
      <w:r w:rsidR="006B5755">
        <w:t>)</w:t>
      </w:r>
      <w:proofErr w:type="gramStart"/>
      <w:r w:rsidR="00BE368A">
        <w:t>,</w:t>
      </w:r>
      <w:proofErr w:type="gramEnd"/>
      <w:r w:rsidR="00BE368A">
        <w:t xml:space="preserve"> the appellants submit that an imperfect recollection of the </w:t>
      </w:r>
      <w:r w:rsidR="006B5755">
        <w:t>818 mark</w:t>
      </w:r>
      <w:r w:rsidR="00BE368A">
        <w:t xml:space="preserve"> “would not attribute primary attention to the descriptive </w:t>
      </w:r>
      <w:r w:rsidR="004635DD">
        <w:t>HENLEY</w:t>
      </w:r>
      <w:r w:rsidR="00BE368A">
        <w:t xml:space="preserve">”.  The appellants submit that the logo in </w:t>
      </w:r>
      <w:r w:rsidR="00A410A0">
        <w:t xml:space="preserve">the </w:t>
      </w:r>
      <w:r w:rsidR="006B5755">
        <w:t>818 mark</w:t>
      </w:r>
      <w:r w:rsidR="00BE368A">
        <w:t xml:space="preserve"> is distinctive and is apt to be </w:t>
      </w:r>
      <w:r w:rsidR="009B1148">
        <w:t>remembered along with the word PROPERTIES</w:t>
      </w:r>
      <w:r w:rsidR="00BE368A">
        <w:t xml:space="preserve">.  The appellants submit that both these elements are missing from the </w:t>
      </w:r>
      <w:r w:rsidR="00F76DF2">
        <w:t>sign</w:t>
      </w:r>
      <w:r w:rsidR="00BE368A">
        <w:t xml:space="preserve"> HENLEY CONSTRUC</w:t>
      </w:r>
      <w:r w:rsidR="00DA1F71">
        <w:t>TIONS</w:t>
      </w:r>
      <w:r w:rsidR="00BE368A">
        <w:t xml:space="preserve">.  The appellants submit, further, that </w:t>
      </w:r>
      <w:r w:rsidR="00A410A0">
        <w:t xml:space="preserve">the </w:t>
      </w:r>
      <w:r w:rsidR="006B5755">
        <w:t>818 mark</w:t>
      </w:r>
      <w:r w:rsidR="00A410A0">
        <w:t xml:space="preserve"> and HENLEY CONSTRUCTIONS</w:t>
      </w:r>
      <w:r w:rsidR="00BE368A">
        <w:t xml:space="preserve"> comprise</w:t>
      </w:r>
      <w:r w:rsidR="000150CC">
        <w:t xml:space="preserve"> or </w:t>
      </w:r>
      <w:r w:rsidR="006B5755">
        <w:t>include</w:t>
      </w:r>
      <w:r w:rsidR="00BE368A">
        <w:t xml:space="preserve"> ordinary English words.  As such, there is no reason to conclude that any single word in the marks is more </w:t>
      </w:r>
      <w:r w:rsidR="00CC0ED0">
        <w:t>prominent than any other word.</w:t>
      </w:r>
    </w:p>
    <w:p w14:paraId="11CF6EF4" w14:textId="63D45FA6" w:rsidR="00BE368A" w:rsidRDefault="00BC7D85" w:rsidP="00BC7D85">
      <w:pPr>
        <w:pStyle w:val="ParaNumbering"/>
        <w:numPr>
          <w:ilvl w:val="0"/>
          <w:numId w:val="0"/>
        </w:numPr>
        <w:ind w:hanging="720"/>
      </w:pPr>
      <w:r>
        <w:rPr>
          <w:sz w:val="20"/>
        </w:rPr>
        <w:t>161</w:t>
      </w:r>
      <w:r>
        <w:rPr>
          <w:sz w:val="20"/>
        </w:rPr>
        <w:tab/>
      </w:r>
      <w:r w:rsidR="00BE368A">
        <w:t>Fourthly, the appellants submit that, in comparing the</w:t>
      </w:r>
      <w:r w:rsidR="00A410A0">
        <w:t xml:space="preserve"> other Infringing Signs with the </w:t>
      </w:r>
      <w:r w:rsidR="006B5755">
        <w:t>818 mark</w:t>
      </w:r>
      <w:r w:rsidR="00BE368A">
        <w:t xml:space="preserve">, the primary judge erred in finding that the HENLEY </w:t>
      </w:r>
      <w:r w:rsidR="001F0D5B">
        <w:t xml:space="preserve">component of those signs </w:t>
      </w:r>
      <w:r w:rsidR="00BE368A">
        <w:t>was</w:t>
      </w:r>
      <w:r w:rsidR="004D43D8">
        <w:t>, alone,</w:t>
      </w:r>
      <w:r w:rsidR="00BE368A">
        <w:t xml:space="preserve"> the</w:t>
      </w:r>
      <w:r w:rsidR="001F0D5B">
        <w:t>ir</w:t>
      </w:r>
      <w:r w:rsidR="00BE368A">
        <w:t xml:space="preserve"> key memorable feature.  The appellants submit, further, that, in undertaking this comparison, the primary </w:t>
      </w:r>
      <w:r w:rsidR="001F0D5B">
        <w:t>judge relied, erroneously,</w:t>
      </w:r>
      <w:r w:rsidR="00BE368A">
        <w:t xml:space="preserve"> on an imperfect recollection of the other Infringing Signs</w:t>
      </w:r>
      <w:r w:rsidR="006B5755">
        <w:t xml:space="preserve">, </w:t>
      </w:r>
      <w:proofErr w:type="gramStart"/>
      <w:r w:rsidR="006B5755">
        <w:t>not</w:t>
      </w:r>
      <w:r w:rsidR="003872AD">
        <w:t xml:space="preserve"> on an imperfect</w:t>
      </w:r>
      <w:proofErr w:type="gramEnd"/>
      <w:r w:rsidR="003872AD">
        <w:t xml:space="preserve"> recollection of</w:t>
      </w:r>
      <w:r w:rsidR="006B5755">
        <w:t xml:space="preserve"> the 818 mark</w:t>
      </w:r>
      <w:r w:rsidR="00CC0ED0">
        <w:t xml:space="preserve">.  </w:t>
      </w:r>
    </w:p>
    <w:p w14:paraId="5DE0485A" w14:textId="3ED7473A" w:rsidR="00BE368A" w:rsidRDefault="00BC7D85" w:rsidP="00BC7D85">
      <w:pPr>
        <w:pStyle w:val="ParaNumbering"/>
        <w:numPr>
          <w:ilvl w:val="0"/>
          <w:numId w:val="0"/>
        </w:numPr>
        <w:ind w:hanging="720"/>
      </w:pPr>
      <w:r>
        <w:rPr>
          <w:sz w:val="20"/>
        </w:rPr>
        <w:t>162</w:t>
      </w:r>
      <w:r>
        <w:rPr>
          <w:sz w:val="20"/>
        </w:rPr>
        <w:tab/>
      </w:r>
      <w:r w:rsidR="00BE368A">
        <w:t xml:space="preserve">Fifthly, </w:t>
      </w:r>
      <w:r w:rsidR="00A410A0">
        <w:t>in relation to these comparisons</w:t>
      </w:r>
      <w:r w:rsidR="00BE368A">
        <w:t xml:space="preserve">, the appellants submit that the primary judge erred in in reasoning </w:t>
      </w:r>
      <w:r w:rsidR="00A410A0">
        <w:t xml:space="preserve">(at </w:t>
      </w:r>
      <w:proofErr w:type="gramStart"/>
      <w:r w:rsidR="00A410A0">
        <w:t>J[</w:t>
      </w:r>
      <w:proofErr w:type="gramEnd"/>
      <w:r w:rsidR="00A410A0">
        <w:t xml:space="preserve">481]) </w:t>
      </w:r>
      <w:r w:rsidR="00BE368A">
        <w:t>that</w:t>
      </w:r>
      <w:r w:rsidR="004D43D8">
        <w:t xml:space="preserve"> the word</w:t>
      </w:r>
      <w:r w:rsidR="00BE368A">
        <w:t xml:space="preserve"> </w:t>
      </w:r>
      <w:r w:rsidR="009B1148">
        <w:t>HENLEY</w:t>
      </w:r>
      <w:r w:rsidR="00BE368A">
        <w:t xml:space="preserve">, as the name of various localities, was not “so prominent” that these localities possessed “commonality in the eyes of consumers”.  </w:t>
      </w:r>
      <w:r w:rsidR="00A410A0">
        <w:t>In this connection, the</w:t>
      </w:r>
      <w:r w:rsidR="00BE368A">
        <w:t xml:space="preserve"> primary judge noted that he was not referred to any evidence to support the contention that consumers associate the word </w:t>
      </w:r>
      <w:r w:rsidR="009B1148">
        <w:t>HENLEY</w:t>
      </w:r>
      <w:r w:rsidR="00BE368A">
        <w:t xml:space="preserve"> with these localities, although his Honour accepted that traders (</w:t>
      </w:r>
      <w:r w:rsidR="006B5755">
        <w:t>as</w:t>
      </w:r>
      <w:r w:rsidR="00BE368A">
        <w:t xml:space="preserve"> distinct from consumers) in these localities may wish to use </w:t>
      </w:r>
      <w:r w:rsidR="009B1148">
        <w:t>HENLEY</w:t>
      </w:r>
      <w:r w:rsidR="00BE368A">
        <w:t xml:space="preserve"> as a name for their services.  The appellants submit that the “descriptiveness of Henley obviated any need” for the evidence to whic</w:t>
      </w:r>
      <w:r w:rsidR="00CC0ED0">
        <w:t xml:space="preserve">h the primary judge referred.  </w:t>
      </w:r>
      <w:r w:rsidR="00BE368A">
        <w:t xml:space="preserve">The appellants also submit that the primary judge erred in regarding as relevant the manner in which the respondent used the </w:t>
      </w:r>
      <w:r w:rsidR="006B5755">
        <w:t>818 mark</w:t>
      </w:r>
      <w:r w:rsidR="00BE368A">
        <w:t xml:space="preserve">.  </w:t>
      </w:r>
    </w:p>
    <w:p w14:paraId="00448A01" w14:textId="6F2A24EB" w:rsidR="00BE368A" w:rsidRDefault="00BC7D85" w:rsidP="00BC7D85">
      <w:pPr>
        <w:pStyle w:val="ParaNumbering"/>
        <w:numPr>
          <w:ilvl w:val="0"/>
          <w:numId w:val="0"/>
        </w:numPr>
        <w:ind w:hanging="720"/>
      </w:pPr>
      <w:r>
        <w:rPr>
          <w:sz w:val="20"/>
        </w:rPr>
        <w:lastRenderedPageBreak/>
        <w:t>163</w:t>
      </w:r>
      <w:r>
        <w:rPr>
          <w:sz w:val="20"/>
        </w:rPr>
        <w:tab/>
      </w:r>
      <w:r w:rsidR="00BE368A">
        <w:t xml:space="preserve">Sixthly, the appellants submit that the primary judge erred in finding that </w:t>
      </w:r>
      <w:r w:rsidR="004D43D8">
        <w:t>HENLEY</w:t>
      </w:r>
      <w:r w:rsidR="00BE368A">
        <w:t xml:space="preserve"> was the distinctive element of the 819 mark (HENLEY WORLD OF HOMES), the 558 mark (HENLEY ESSENCE), the 561 mark (HENLEY RESERVE), and the 570 mark (HENLEY COLLECTION)</w:t>
      </w:r>
      <w:r w:rsidR="004D43D8">
        <w:t>,</w:t>
      </w:r>
      <w:r w:rsidR="00BE368A">
        <w:t xml:space="preserve"> in circumstances where</w:t>
      </w:r>
      <w:r w:rsidR="004D43D8">
        <w:t>, in their submission,</w:t>
      </w:r>
      <w:r w:rsidR="00BE368A">
        <w:t xml:space="preserve"> HENLEY is purely descriptive.  The appellants submit that the other words of these marks are n</w:t>
      </w:r>
      <w:r w:rsidR="00CC0ED0">
        <w:t xml:space="preserve">o less memorable </w:t>
      </w:r>
      <w:proofErr w:type="gramStart"/>
      <w:r w:rsidR="00CC0ED0">
        <w:t>than HENLEY</w:t>
      </w:r>
      <w:proofErr w:type="gramEnd"/>
      <w:r w:rsidR="00CC0ED0">
        <w:t xml:space="preserve">.  </w:t>
      </w:r>
    </w:p>
    <w:p w14:paraId="606EEBA7" w14:textId="17A9FBB6" w:rsidR="00621B8F" w:rsidRDefault="00BC7D85" w:rsidP="00BC7D85">
      <w:pPr>
        <w:pStyle w:val="ParaNumbering"/>
        <w:numPr>
          <w:ilvl w:val="0"/>
          <w:numId w:val="0"/>
        </w:numPr>
        <w:ind w:hanging="720"/>
      </w:pPr>
      <w:r>
        <w:rPr>
          <w:sz w:val="20"/>
        </w:rPr>
        <w:t>164</w:t>
      </w:r>
      <w:r>
        <w:rPr>
          <w:sz w:val="20"/>
        </w:rPr>
        <w:tab/>
      </w:r>
      <w:r w:rsidR="00BE368A">
        <w:t xml:space="preserve">Seventhly, the appellants submit that, in determining whether the Infringing Signs were deceptively similar to the </w:t>
      </w:r>
      <w:r w:rsidR="006B5755">
        <w:t>818 mark</w:t>
      </w:r>
      <w:r w:rsidR="00BE368A">
        <w:t xml:space="preserve">, </w:t>
      </w:r>
      <w:r w:rsidR="006B5755">
        <w:t>the 819 mark</w:t>
      </w:r>
      <w:r w:rsidR="00BE368A">
        <w:t xml:space="preserve">, </w:t>
      </w:r>
      <w:r w:rsidR="006B5755">
        <w:t>the 558 mark</w:t>
      </w:r>
      <w:r w:rsidR="00BE368A">
        <w:t xml:space="preserve">, and </w:t>
      </w:r>
      <w:r w:rsidR="006B5755">
        <w:t>the 561 mark</w:t>
      </w:r>
      <w:r w:rsidR="00BE368A">
        <w:t>, the primary judge erred in failing to consider the</w:t>
      </w:r>
      <w:r w:rsidR="00144488">
        <w:t>se</w:t>
      </w:r>
      <w:r w:rsidR="00BE368A">
        <w:t xml:space="preserve"> marks and the </w:t>
      </w:r>
      <w:r w:rsidR="006B5755">
        <w:t>Infringing Signs</w:t>
      </w:r>
      <w:r w:rsidR="00BE368A">
        <w:t xml:space="preserve"> </w:t>
      </w:r>
      <w:r w:rsidR="004D43D8">
        <w:t>“</w:t>
      </w:r>
      <w:r w:rsidR="00BE368A">
        <w:t>as wholes</w:t>
      </w:r>
      <w:r w:rsidR="004D43D8">
        <w:t>”</w:t>
      </w:r>
      <w:r w:rsidR="00CC0ED0">
        <w:t>.</w:t>
      </w:r>
    </w:p>
    <w:p w14:paraId="1A5354B7" w14:textId="77777777" w:rsidR="006F66A9" w:rsidRPr="006F66A9" w:rsidRDefault="004D43D8" w:rsidP="006F66A9">
      <w:pPr>
        <w:pStyle w:val="Heading2"/>
      </w:pPr>
      <w:r>
        <w:t>Analysis</w:t>
      </w:r>
    </w:p>
    <w:p w14:paraId="09E5B9B0" w14:textId="64908778" w:rsidR="006F66A9" w:rsidRPr="006F66A9" w:rsidRDefault="00BC7D85" w:rsidP="00BC7D85">
      <w:pPr>
        <w:pStyle w:val="ParaNumbering"/>
        <w:numPr>
          <w:ilvl w:val="0"/>
          <w:numId w:val="0"/>
        </w:numPr>
        <w:ind w:hanging="720"/>
      </w:pPr>
      <w:r w:rsidRPr="006F66A9">
        <w:rPr>
          <w:sz w:val="20"/>
        </w:rPr>
        <w:t>165</w:t>
      </w:r>
      <w:r w:rsidRPr="006F66A9">
        <w:rPr>
          <w:sz w:val="20"/>
        </w:rPr>
        <w:tab/>
      </w:r>
      <w:r w:rsidR="006F66A9" w:rsidRPr="006F66A9">
        <w:t>We will deal with each of the appellants’ submissions in the order summarised above.</w:t>
      </w:r>
    </w:p>
    <w:p w14:paraId="4D115A2C" w14:textId="4DE851A2" w:rsidR="006F66A9" w:rsidRPr="006F66A9" w:rsidRDefault="00BC7D85" w:rsidP="00BC7D85">
      <w:pPr>
        <w:pStyle w:val="ParaNumbering"/>
        <w:numPr>
          <w:ilvl w:val="0"/>
          <w:numId w:val="0"/>
        </w:numPr>
        <w:ind w:hanging="720"/>
      </w:pPr>
      <w:r w:rsidRPr="006F66A9">
        <w:rPr>
          <w:sz w:val="20"/>
        </w:rPr>
        <w:t>166</w:t>
      </w:r>
      <w:r w:rsidRPr="006F66A9">
        <w:rPr>
          <w:sz w:val="20"/>
        </w:rPr>
        <w:tab/>
      </w:r>
      <w:r w:rsidR="006F66A9" w:rsidRPr="006F66A9">
        <w:t xml:space="preserve">As to the first submission, it </w:t>
      </w:r>
      <w:proofErr w:type="gramStart"/>
      <w:r w:rsidR="006F66A9" w:rsidRPr="006F66A9">
        <w:t>may be accepted</w:t>
      </w:r>
      <w:proofErr w:type="gramEnd"/>
      <w:r w:rsidR="006F66A9" w:rsidRPr="006F66A9">
        <w:t xml:space="preserve"> that the compared marks display differences in detail.  This does not mean, however, that the primary judge’s findings on deceptive similarity bespeak error for that reason.  The primary judge’s findings</w:t>
      </w:r>
      <w:r w:rsidR="00F76DF2">
        <w:t>, in this part of his reasons,</w:t>
      </w:r>
      <w:r w:rsidR="006B5755">
        <w:t xml:space="preserve"> </w:t>
      </w:r>
      <w:r w:rsidR="006F66A9" w:rsidRPr="006F66A9">
        <w:t xml:space="preserve">were not that the </w:t>
      </w:r>
      <w:r w:rsidR="00AA686E">
        <w:t xml:space="preserve">compared </w:t>
      </w:r>
      <w:r w:rsidR="006F66A9" w:rsidRPr="006F66A9">
        <w:t xml:space="preserve">marks </w:t>
      </w:r>
      <w:r w:rsidR="00AA686E">
        <w:t>are</w:t>
      </w:r>
      <w:r w:rsidR="006F66A9" w:rsidRPr="006F66A9">
        <w:t xml:space="preserve"> </w:t>
      </w:r>
      <w:proofErr w:type="gramStart"/>
      <w:r w:rsidR="006F66A9" w:rsidRPr="006F66A9">
        <w:t>substantially identical</w:t>
      </w:r>
      <w:proofErr w:type="gramEnd"/>
      <w:r w:rsidR="006F66A9" w:rsidRPr="006F66A9">
        <w:t>, let alone that the</w:t>
      </w:r>
      <w:r w:rsidR="00AA686E">
        <w:t>y are the same</w:t>
      </w:r>
      <w:r w:rsidR="006F66A9" w:rsidRPr="006F66A9">
        <w:t xml:space="preserve"> marks.  In a case where the question of infringement is to be determined by recourse to the notion of deceptive similarity, it is to </w:t>
      </w:r>
      <w:proofErr w:type="gramStart"/>
      <w:r w:rsidR="006F66A9" w:rsidRPr="006F66A9">
        <w:t>be expected</w:t>
      </w:r>
      <w:proofErr w:type="gramEnd"/>
      <w:r w:rsidR="006F66A9" w:rsidRPr="006F66A9">
        <w:t xml:space="preserve"> that there will be differences between the compared marks.  The question is whether, notwithstanding these differences, </w:t>
      </w:r>
      <w:r w:rsidR="00AA686E">
        <w:t>an</w:t>
      </w:r>
      <w:r w:rsidR="006F66A9" w:rsidRPr="006F66A9">
        <w:t xml:space="preserve"> impugned mark is deceptively similar to the registered mark, in the sense that the impugned mark so nearly resembles the registered mark that it is likely to deceive or cause confusion: see s</w:t>
      </w:r>
      <w:r w:rsidR="006F66A9">
        <w:t> </w:t>
      </w:r>
      <w:r w:rsidR="006F66A9" w:rsidRPr="006F66A9">
        <w:t xml:space="preserve">10 of the </w:t>
      </w:r>
      <w:r w:rsidR="003F790D">
        <w:t xml:space="preserve">Trade Marks </w:t>
      </w:r>
      <w:r w:rsidR="006F66A9" w:rsidRPr="006F66A9">
        <w:t xml:space="preserve">Act.  </w:t>
      </w:r>
      <w:r w:rsidR="006B5755">
        <w:t>Therefore, we</w:t>
      </w:r>
      <w:r w:rsidR="006F66A9" w:rsidRPr="006F66A9">
        <w:t xml:space="preserve"> do not see </w:t>
      </w:r>
      <w:r w:rsidR="006B5755">
        <w:t>the appellants’ first</w:t>
      </w:r>
      <w:r w:rsidR="006F66A9" w:rsidRPr="006F66A9">
        <w:t xml:space="preserve"> submission as advancing this ground of appeal in any material way.</w:t>
      </w:r>
    </w:p>
    <w:p w14:paraId="2DBD1D88" w14:textId="4F215C8C" w:rsidR="006F66A9" w:rsidRPr="006F66A9" w:rsidRDefault="00BC7D85" w:rsidP="00BC7D85">
      <w:pPr>
        <w:pStyle w:val="ParaNumbering"/>
        <w:numPr>
          <w:ilvl w:val="0"/>
          <w:numId w:val="0"/>
        </w:numPr>
        <w:ind w:hanging="720"/>
      </w:pPr>
      <w:r w:rsidRPr="006F66A9">
        <w:rPr>
          <w:sz w:val="20"/>
        </w:rPr>
        <w:t>167</w:t>
      </w:r>
      <w:r w:rsidRPr="006F66A9">
        <w:rPr>
          <w:sz w:val="20"/>
        </w:rPr>
        <w:tab/>
      </w:r>
      <w:r w:rsidR="006F66A9" w:rsidRPr="006F66A9">
        <w:t>As to the second submission, we proceed on the basis of the primary judge’s finding that, at the priority date of the 820 mark, HENLEY was not inherently distinctive</w:t>
      </w:r>
      <w:r w:rsidR="006B5755">
        <w:t xml:space="preserve"> as a trade mark </w:t>
      </w:r>
      <w:r w:rsidR="00AA686E" w:rsidRPr="006F66A9">
        <w:t>(</w:t>
      </w:r>
      <w:r w:rsidR="00AA686E">
        <w:t>J</w:t>
      </w:r>
      <w:r w:rsidR="00AA686E" w:rsidRPr="006F66A9">
        <w:t xml:space="preserve">[810]) </w:t>
      </w:r>
      <w:r w:rsidR="006B5755">
        <w:t>but was, nevertheless,</w:t>
      </w:r>
      <w:r w:rsidR="006F66A9" w:rsidRPr="006F66A9">
        <w:t xml:space="preserve"> distinctive in fact of the respondent’s building and construction services</w:t>
      </w:r>
      <w:r w:rsidR="00AA686E">
        <w:t xml:space="preserve"> (J[829])</w:t>
      </w:r>
      <w:r w:rsidR="006F66A9" w:rsidRPr="006F66A9">
        <w:t xml:space="preserve">.  These findings were highly relevant to the validity of the 820 mark.  </w:t>
      </w:r>
      <w:r w:rsidR="006B5755">
        <w:t>They are not, however,</w:t>
      </w:r>
      <w:r w:rsidR="006F66A9" w:rsidRPr="006F66A9">
        <w:t xml:space="preserve"> g</w:t>
      </w:r>
      <w:r w:rsidR="006B5755">
        <w:t xml:space="preserve">ermane to the question of </w:t>
      </w:r>
      <w:proofErr w:type="gramStart"/>
      <w:r w:rsidR="006B5755">
        <w:t xml:space="preserve">trade </w:t>
      </w:r>
      <w:r w:rsidR="006F66A9" w:rsidRPr="006F66A9">
        <w:t>mark</w:t>
      </w:r>
      <w:proofErr w:type="gramEnd"/>
      <w:r w:rsidR="006F66A9" w:rsidRPr="006F66A9">
        <w:t xml:space="preserve"> infringement and, in particular, to the assessment of deceptive similarity.</w:t>
      </w:r>
      <w:r w:rsidR="006B5755">
        <w:t xml:space="preserve">  Therefore, we do not see the appellants’ second submission as advancing this ground of appeal in any material way.</w:t>
      </w:r>
    </w:p>
    <w:p w14:paraId="4B22B230" w14:textId="206EA0F3" w:rsidR="006F66A9" w:rsidRPr="006F66A9" w:rsidRDefault="00BC7D85" w:rsidP="00BC7D85">
      <w:pPr>
        <w:pStyle w:val="ParaNumbering"/>
        <w:numPr>
          <w:ilvl w:val="0"/>
          <w:numId w:val="0"/>
        </w:numPr>
        <w:ind w:hanging="720"/>
      </w:pPr>
      <w:r w:rsidRPr="006F66A9">
        <w:rPr>
          <w:sz w:val="20"/>
        </w:rPr>
        <w:t>168</w:t>
      </w:r>
      <w:r w:rsidRPr="006F66A9">
        <w:rPr>
          <w:sz w:val="20"/>
        </w:rPr>
        <w:tab/>
      </w:r>
      <w:r w:rsidR="006F66A9" w:rsidRPr="006F66A9">
        <w:t>The appellants’ third, fourth and fifth submissions concern the primary judge’s comparison of the Infringing Signs with the 818 mark (the “HENLEY PROPERTIES” Device Mark).</w:t>
      </w:r>
    </w:p>
    <w:p w14:paraId="0D1AB5BB" w14:textId="111652AE" w:rsidR="00AA686E" w:rsidRDefault="00BC7D85" w:rsidP="00BC7D85">
      <w:pPr>
        <w:pStyle w:val="ParaNumbering"/>
        <w:numPr>
          <w:ilvl w:val="0"/>
          <w:numId w:val="0"/>
        </w:numPr>
        <w:ind w:hanging="720"/>
      </w:pPr>
      <w:r>
        <w:rPr>
          <w:sz w:val="20"/>
        </w:rPr>
        <w:lastRenderedPageBreak/>
        <w:t>169</w:t>
      </w:r>
      <w:r>
        <w:rPr>
          <w:sz w:val="20"/>
        </w:rPr>
        <w:tab/>
      </w:r>
      <w:r w:rsidR="006F66A9">
        <w:t>The appellant</w:t>
      </w:r>
      <w:r w:rsidR="006F66A9" w:rsidRPr="006F66A9">
        <w:t xml:space="preserve">s’ third submission concerns the primary judge’s particular comparison of the </w:t>
      </w:r>
      <w:r w:rsidR="00AA686E">
        <w:t>sign</w:t>
      </w:r>
      <w:r w:rsidR="006F66A9" w:rsidRPr="006F66A9">
        <w:t xml:space="preserve"> HENLEY CONSTRUCTIONS with the 818 mark</w:t>
      </w:r>
      <w:r w:rsidR="003872AD">
        <w:t xml:space="preserve"> and his </w:t>
      </w:r>
      <w:proofErr w:type="gramStart"/>
      <w:r w:rsidR="003872AD">
        <w:t>Honour’s</w:t>
      </w:r>
      <w:proofErr w:type="gramEnd"/>
      <w:r w:rsidR="003872AD">
        <w:t xml:space="preserve"> finding that HENLEY CONSTRUCTIONS was deceptively similar </w:t>
      </w:r>
      <w:r w:rsidR="005D3000">
        <w:t xml:space="preserve">to </w:t>
      </w:r>
      <w:r w:rsidR="003872AD">
        <w:t>that mark</w:t>
      </w:r>
      <w:r w:rsidR="006F66A9" w:rsidRPr="006F66A9">
        <w:t xml:space="preserve">.  </w:t>
      </w:r>
      <w:r w:rsidR="003872AD">
        <w:t>In substance, this</w:t>
      </w:r>
      <w:r w:rsidR="006F66A9" w:rsidRPr="006F66A9">
        <w:t xml:space="preserve"> submission simply invites the Full Court to </w:t>
      </w:r>
      <w:r w:rsidR="003872AD">
        <w:t xml:space="preserve">undertake its own comparison and to </w:t>
      </w:r>
      <w:r w:rsidR="006F66A9" w:rsidRPr="006F66A9">
        <w:t xml:space="preserve">substitute </w:t>
      </w:r>
      <w:r w:rsidR="003872AD">
        <w:t>a finding of lack</w:t>
      </w:r>
      <w:r w:rsidR="006F66A9" w:rsidRPr="006F66A9">
        <w:t xml:space="preserve"> of deceptive similarity for the primary judge’s </w:t>
      </w:r>
      <w:r w:rsidR="003872AD">
        <w:t xml:space="preserve">own view.  </w:t>
      </w:r>
      <w:r w:rsidR="00AA686E">
        <w:t>As we have noted, the registration of the 818 mark is limited in various respects:  [</w:t>
      </w:r>
      <w:r w:rsidR="00952A45">
        <w:t>152</w:t>
      </w:r>
      <w:r w:rsidR="00AA686E">
        <w:t xml:space="preserve">] above.  </w:t>
      </w:r>
      <w:r w:rsidR="0039112B">
        <w:t>It is also important to bear in mind that</w:t>
      </w:r>
      <w:r w:rsidR="008207E4">
        <w:t xml:space="preserve"> the issue</w:t>
      </w:r>
      <w:r w:rsidR="00AA686E">
        <w:t xml:space="preserve"> is, as we have said, deceptive similarity.  </w:t>
      </w:r>
    </w:p>
    <w:p w14:paraId="54BA75B0" w14:textId="01E03322" w:rsidR="006F66A9" w:rsidRPr="006F66A9" w:rsidRDefault="00BC7D85" w:rsidP="00BC7D85">
      <w:pPr>
        <w:pStyle w:val="ParaNumbering"/>
        <w:numPr>
          <w:ilvl w:val="0"/>
          <w:numId w:val="0"/>
        </w:numPr>
        <w:ind w:hanging="720"/>
      </w:pPr>
      <w:r w:rsidRPr="006F66A9">
        <w:rPr>
          <w:sz w:val="20"/>
        </w:rPr>
        <w:t>170</w:t>
      </w:r>
      <w:r w:rsidRPr="006F66A9">
        <w:rPr>
          <w:sz w:val="20"/>
        </w:rPr>
        <w:tab/>
      </w:r>
      <w:r w:rsidR="008207E4">
        <w:t>In this regard, we</w:t>
      </w:r>
      <w:r w:rsidR="00AA686E">
        <w:t xml:space="preserve"> observe</w:t>
      </w:r>
      <w:r w:rsidR="003872AD">
        <w:t xml:space="preserve"> that the </w:t>
      </w:r>
      <w:r w:rsidR="006F66A9" w:rsidRPr="006F66A9">
        <w:t>primary judge’s comparison</w:t>
      </w:r>
      <w:r w:rsidR="00AA686E">
        <w:t xml:space="preserve"> correctly</w:t>
      </w:r>
      <w:r w:rsidR="006F66A9" w:rsidRPr="006F66A9">
        <w:t xml:space="preserve"> took </w:t>
      </w:r>
      <w:r w:rsidR="003872AD">
        <w:t xml:space="preserve">into account the fact that the </w:t>
      </w:r>
      <w:r w:rsidR="006F66A9" w:rsidRPr="006F66A9">
        <w:t xml:space="preserve">818 </w:t>
      </w:r>
      <w:r w:rsidR="00AA686E">
        <w:t>mark includes</w:t>
      </w:r>
      <w:r w:rsidR="006F66A9" w:rsidRPr="006F66A9">
        <w:t xml:space="preserve"> the </w:t>
      </w:r>
      <w:r w:rsidR="009B1148">
        <w:t>triangular device and the word PROPERTIES</w:t>
      </w:r>
      <w:r w:rsidR="006F66A9" w:rsidRPr="006F66A9">
        <w:t xml:space="preserve">.  </w:t>
      </w:r>
      <w:r w:rsidR="00AA686E">
        <w:t>However,</w:t>
      </w:r>
      <w:r w:rsidR="006F66A9" w:rsidRPr="006F66A9">
        <w:t xml:space="preserve"> </w:t>
      </w:r>
      <w:r w:rsidR="00AA686E">
        <w:t>his Honour reasoned</w:t>
      </w:r>
      <w:r w:rsidR="006F66A9" w:rsidRPr="006F66A9">
        <w:t xml:space="preserve"> that, in the 818 mark, the component HENLEY </w:t>
      </w:r>
      <w:r w:rsidR="003872AD">
        <w:t>is</w:t>
      </w:r>
      <w:r w:rsidR="006F66A9" w:rsidRPr="006F66A9">
        <w:t xml:space="preserve"> “emphasised consid</w:t>
      </w:r>
      <w:r w:rsidR="009B1148">
        <w:t>erably” and that the component PROPERTIES</w:t>
      </w:r>
      <w:r w:rsidR="006F66A9" w:rsidRPr="006F66A9">
        <w:t xml:space="preserve">, which </w:t>
      </w:r>
      <w:r w:rsidR="003872AD">
        <w:t>is</w:t>
      </w:r>
      <w:r w:rsidR="006F66A9" w:rsidRPr="006F66A9">
        <w:t xml:space="preserve"> in smaller font underneath the HENLEY component, </w:t>
      </w:r>
      <w:r w:rsidR="003872AD">
        <w:t>is</w:t>
      </w:r>
      <w:r w:rsidR="006F66A9" w:rsidRPr="006F66A9">
        <w:t xml:space="preserve"> descriptive of building and construction services.</w:t>
      </w:r>
      <w:r w:rsidR="003872AD">
        <w:t xml:space="preserve">  </w:t>
      </w:r>
      <w:r w:rsidR="00AA686E" w:rsidRPr="006F66A9">
        <w:t xml:space="preserve">We see no error in </w:t>
      </w:r>
      <w:r w:rsidR="00AA686E">
        <w:t>this</w:t>
      </w:r>
      <w:r w:rsidR="00AA686E" w:rsidRPr="006F66A9">
        <w:t xml:space="preserve"> </w:t>
      </w:r>
      <w:r w:rsidR="00AA686E">
        <w:t xml:space="preserve">approach to determining the issues of deceptive similarity or his Honour’s </w:t>
      </w:r>
      <w:r w:rsidR="00AA686E" w:rsidRPr="006F66A9">
        <w:t>analysis</w:t>
      </w:r>
      <w:r w:rsidR="00AA686E">
        <w:t xml:space="preserve">.  </w:t>
      </w:r>
      <w:r w:rsidR="00065F94">
        <w:t xml:space="preserve">We </w:t>
      </w:r>
      <w:proofErr w:type="gramStart"/>
      <w:r w:rsidR="00065F94">
        <w:t xml:space="preserve">would </w:t>
      </w:r>
      <w:r w:rsidR="003872AD">
        <w:t>not, therefore, interfere</w:t>
      </w:r>
      <w:proofErr w:type="gramEnd"/>
      <w:r w:rsidR="003872AD">
        <w:t xml:space="preserve"> with the primary judge’s evaluative conclusion.</w:t>
      </w:r>
    </w:p>
    <w:p w14:paraId="1041C7F8" w14:textId="06EB09B6" w:rsidR="006F66A9" w:rsidRPr="006F66A9" w:rsidRDefault="00BC7D85" w:rsidP="00BC7D85">
      <w:pPr>
        <w:pStyle w:val="ParaNumbering"/>
        <w:numPr>
          <w:ilvl w:val="0"/>
          <w:numId w:val="0"/>
        </w:numPr>
        <w:ind w:hanging="720"/>
      </w:pPr>
      <w:r w:rsidRPr="006F66A9">
        <w:rPr>
          <w:sz w:val="20"/>
        </w:rPr>
        <w:t>171</w:t>
      </w:r>
      <w:r w:rsidRPr="006F66A9">
        <w:rPr>
          <w:sz w:val="20"/>
        </w:rPr>
        <w:tab/>
      </w:r>
      <w:r w:rsidR="006F66A9" w:rsidRPr="006F66A9">
        <w:t xml:space="preserve">The appellants’ fourth and fifth submissions concern the primary judge’s comparison of the other Infringing Signs with the 818 mark.  In relation to </w:t>
      </w:r>
      <w:r w:rsidR="003872AD">
        <w:t>these</w:t>
      </w:r>
      <w:r w:rsidR="006F66A9" w:rsidRPr="006F66A9">
        <w:t xml:space="preserve"> comparisons, the primary judge accepted that the word </w:t>
      </w:r>
      <w:r w:rsidR="00065F94">
        <w:t>HENLEY</w:t>
      </w:r>
      <w:r w:rsidR="006F66A9" w:rsidRPr="006F66A9">
        <w:t xml:space="preserve"> was a common surname and a geographic location in Sydney, and part of the name of </w:t>
      </w:r>
      <w:r w:rsidR="003872AD">
        <w:t xml:space="preserve">other </w:t>
      </w:r>
      <w:r w:rsidR="006F66A9" w:rsidRPr="006F66A9">
        <w:t xml:space="preserve">geographic locations in South Australia and Western Australia.  His Honour accepted that traders in those locations </w:t>
      </w:r>
      <w:proofErr w:type="gramStart"/>
      <w:r w:rsidR="006F66A9" w:rsidRPr="006F66A9">
        <w:t>may</w:t>
      </w:r>
      <w:proofErr w:type="gramEnd"/>
      <w:r w:rsidR="006F66A9" w:rsidRPr="006F66A9">
        <w:t xml:space="preserve"> wish to use </w:t>
      </w:r>
      <w:r w:rsidR="009B1148">
        <w:t>HENLEY</w:t>
      </w:r>
      <w:r w:rsidR="006F66A9" w:rsidRPr="006F66A9">
        <w:t xml:space="preserve"> as a name for their services.  However, his Hon</w:t>
      </w:r>
      <w:r w:rsidR="003872AD">
        <w:t>our did not accept that persons</w:t>
      </w:r>
      <w:r w:rsidR="006F66A9" w:rsidRPr="006F66A9">
        <w:t xml:space="preserve"> viewing the 818 mark or the Infringing Signs would associate those signs with the particular localities referred to by the appellants.  </w:t>
      </w:r>
    </w:p>
    <w:p w14:paraId="46A11F34" w14:textId="0BDF0C64" w:rsidR="006F66A9" w:rsidRDefault="00BC7D85" w:rsidP="00BC7D85">
      <w:pPr>
        <w:pStyle w:val="ParaNumbering"/>
        <w:numPr>
          <w:ilvl w:val="0"/>
          <w:numId w:val="0"/>
        </w:numPr>
        <w:ind w:hanging="720"/>
      </w:pPr>
      <w:r>
        <w:rPr>
          <w:sz w:val="20"/>
        </w:rPr>
        <w:t>172</w:t>
      </w:r>
      <w:r>
        <w:rPr>
          <w:sz w:val="20"/>
        </w:rPr>
        <w:tab/>
      </w:r>
      <w:r w:rsidR="006F66A9" w:rsidRPr="006F66A9">
        <w:t xml:space="preserve">We do not accept the appellants’ fourth submission that, in undertaking these comparisons, the primary judge misapplied the test of imperfect recollection.  </w:t>
      </w:r>
      <w:r w:rsidR="00DE3D37">
        <w:t>We take the</w:t>
      </w:r>
      <w:r w:rsidR="006F66A9" w:rsidRPr="006F66A9">
        <w:t xml:space="preserve"> primary judge’s reference at </w:t>
      </w:r>
      <w:proofErr w:type="gramStart"/>
      <w:r w:rsidR="006F66A9" w:rsidRPr="006F66A9">
        <w:t>J[</w:t>
      </w:r>
      <w:proofErr w:type="gramEnd"/>
      <w:r w:rsidR="006F66A9" w:rsidRPr="006F66A9">
        <w:t xml:space="preserve">480] to the word HENLEY being the “key memorable feature” of the </w:t>
      </w:r>
      <w:r w:rsidR="00DF1E23">
        <w:t xml:space="preserve">other Infringing Signs </w:t>
      </w:r>
      <w:r w:rsidR="00DE3D37">
        <w:t>as</w:t>
      </w:r>
      <w:r w:rsidR="006F66A9" w:rsidRPr="006F66A9">
        <w:t xml:space="preserve"> no more than a finding concerning the </w:t>
      </w:r>
      <w:r w:rsidR="00DF1E23">
        <w:t>dominance</w:t>
      </w:r>
      <w:r w:rsidR="006F66A9" w:rsidRPr="006F66A9">
        <w:t xml:space="preserve"> of HENLEY in each of them.</w:t>
      </w:r>
      <w:r w:rsidR="00DE3D37">
        <w:t xml:space="preserve">  </w:t>
      </w:r>
      <w:r w:rsidR="00311BAF">
        <w:t xml:space="preserve">The primary judge’s finding at </w:t>
      </w:r>
      <w:proofErr w:type="gramStart"/>
      <w:r w:rsidR="00311BAF">
        <w:t>J[</w:t>
      </w:r>
      <w:proofErr w:type="gramEnd"/>
      <w:r w:rsidR="00311BAF">
        <w:t>480]</w:t>
      </w:r>
      <w:r w:rsidR="00DE3D37">
        <w:t xml:space="preserve"> must be considered in the context of </w:t>
      </w:r>
      <w:r w:rsidR="00311BAF">
        <w:t>his</w:t>
      </w:r>
      <w:r w:rsidR="00DE3D37">
        <w:t xml:space="preserve"> </w:t>
      </w:r>
      <w:r w:rsidR="00311BAF">
        <w:t xml:space="preserve">Honour’s </w:t>
      </w:r>
      <w:r w:rsidR="00DE3D37">
        <w:t xml:space="preserve">reasons at J[481], where </w:t>
      </w:r>
      <w:r w:rsidR="00311BAF">
        <w:t>he</w:t>
      </w:r>
      <w:r w:rsidR="00DE3D37">
        <w:t xml:space="preserve"> continued</w:t>
      </w:r>
      <w:r w:rsidR="00DF1E23">
        <w:t>, and elaborated on,</w:t>
      </w:r>
      <w:r w:rsidR="00DE3D37">
        <w:t xml:space="preserve"> his comparisons of these marks.  At </w:t>
      </w:r>
      <w:proofErr w:type="gramStart"/>
      <w:r w:rsidR="00DE3D37">
        <w:t>J[</w:t>
      </w:r>
      <w:proofErr w:type="gramEnd"/>
      <w:r w:rsidR="00DE3D37">
        <w:t>481]</w:t>
      </w:r>
      <w:r w:rsidR="00B31FF5">
        <w:t>, the primary judge said:</w:t>
      </w:r>
    </w:p>
    <w:p w14:paraId="2E36EAE1" w14:textId="7EE83B83" w:rsidR="00B31FF5" w:rsidRDefault="00B31FF5" w:rsidP="00B31FF5">
      <w:pPr>
        <w:pStyle w:val="Quote1"/>
        <w:ind w:left="1440" w:hanging="703"/>
      </w:pPr>
      <w:proofErr w:type="gramStart"/>
      <w:r>
        <w:t>481</w:t>
      </w:r>
      <w:proofErr w:type="gramEnd"/>
      <w:r>
        <w:tab/>
        <w:t xml:space="preserve">… in my view, the impression, based on recollection, of the “HENLEY PROPERTIES” Device Mark, that persons of ordinary intelligence and memory would have, is that [the respondent] is a building company.  I believe such persons </w:t>
      </w:r>
      <w:proofErr w:type="gramStart"/>
      <w:r>
        <w:t>would be left</w:t>
      </w:r>
      <w:proofErr w:type="gramEnd"/>
      <w:r>
        <w:t xml:space="preserve"> with the same impression on viewing Henley </w:t>
      </w:r>
      <w:r>
        <w:lastRenderedPageBreak/>
        <w:t xml:space="preserve">Constructions’ signs.  This flows in particular from both entities using the </w:t>
      </w:r>
      <w:r w:rsidR="007614AD">
        <w:t xml:space="preserve">word </w:t>
      </w:r>
      <w:r>
        <w:t>“Henley” and similar words for similar services, being “properties” and “constructions”. …</w:t>
      </w:r>
    </w:p>
    <w:p w14:paraId="0BDD7D2D" w14:textId="601E7799" w:rsidR="00B31FF5" w:rsidRPr="006F66A9" w:rsidRDefault="00BC7D85" w:rsidP="00BC7D85">
      <w:pPr>
        <w:pStyle w:val="ParaNumbering"/>
        <w:numPr>
          <w:ilvl w:val="0"/>
          <w:numId w:val="0"/>
        </w:numPr>
        <w:ind w:hanging="720"/>
      </w:pPr>
      <w:proofErr w:type="gramStart"/>
      <w:r w:rsidRPr="006F66A9">
        <w:rPr>
          <w:sz w:val="20"/>
        </w:rPr>
        <w:t>173</w:t>
      </w:r>
      <w:r w:rsidRPr="006F66A9">
        <w:rPr>
          <w:sz w:val="20"/>
        </w:rPr>
        <w:tab/>
      </w:r>
      <w:r w:rsidR="00B31FF5">
        <w:t xml:space="preserve">This </w:t>
      </w:r>
      <w:r w:rsidR="00311BAF">
        <w:t>quotation</w:t>
      </w:r>
      <w:r w:rsidR="00B31FF5">
        <w:t xml:space="preserve"> shows that his Honour’s comparisons involved the correct application of the doctrine of imperfect recollection—namely, </w:t>
      </w:r>
      <w:r w:rsidR="00DF1E23">
        <w:t xml:space="preserve">an imperfect recollection of the mark in suit </w:t>
      </w:r>
      <w:r w:rsidR="00B31FF5">
        <w:t>(here, the 818 mark)</w:t>
      </w:r>
      <w:r w:rsidR="00DF1E23">
        <w:t xml:space="preserve"> and the impressions of persons on viewing the impugned mark(s):  </w:t>
      </w:r>
      <w:r w:rsidR="00DF1E23" w:rsidRPr="00586452">
        <w:rPr>
          <w:i/>
        </w:rPr>
        <w:t>Optical 88 Ltd v Optical 88 Pty Ltd (No 2)</w:t>
      </w:r>
      <w:r w:rsidR="00DF1E23" w:rsidRPr="005605B1">
        <w:t xml:space="preserve"> [2010] FCA 1380; </w:t>
      </w:r>
      <w:r w:rsidR="007614AD" w:rsidRPr="00F54AA2">
        <w:t>275 ALR 526</w:t>
      </w:r>
      <w:r w:rsidR="007614AD" w:rsidRPr="007614AD">
        <w:t xml:space="preserve"> </w:t>
      </w:r>
      <w:r w:rsidR="00CB01B4">
        <w:t>(</w:t>
      </w:r>
      <w:r w:rsidR="00CB01B4" w:rsidRPr="00CB01B4">
        <w:rPr>
          <w:b/>
          <w:i/>
        </w:rPr>
        <w:t>Optical 88</w:t>
      </w:r>
      <w:r w:rsidR="00CB01B4">
        <w:t>)</w:t>
      </w:r>
      <w:r w:rsidR="00DF1E23">
        <w:t xml:space="preserve"> at [112].</w:t>
      </w:r>
      <w:proofErr w:type="gramEnd"/>
      <w:r w:rsidR="00DD49EC">
        <w:t xml:space="preserve">  Other</w:t>
      </w:r>
      <w:r w:rsidR="00A15DF5">
        <w:t>,</w:t>
      </w:r>
      <w:r w:rsidR="00DD49EC">
        <w:t xml:space="preserve"> </w:t>
      </w:r>
      <w:r w:rsidR="00A15DF5">
        <w:t>related parts</w:t>
      </w:r>
      <w:r w:rsidR="00DD49EC">
        <w:t xml:space="preserve"> of </w:t>
      </w:r>
      <w:r w:rsidR="00A15DF5">
        <w:t>the primary judge’s</w:t>
      </w:r>
      <w:r w:rsidR="00DD49EC">
        <w:t xml:space="preserve"> reasons</w:t>
      </w:r>
      <w:r w:rsidR="00A15DF5">
        <w:t xml:space="preserve"> (see J[482] – [485])</w:t>
      </w:r>
      <w:r w:rsidR="00DD49EC">
        <w:t xml:space="preserve"> show that </w:t>
      </w:r>
      <w:r w:rsidR="00A15DF5">
        <w:t>his Honour</w:t>
      </w:r>
      <w:r w:rsidR="00DD49EC">
        <w:t xml:space="preserve"> was applying the doctrine of imperfect recollection correctly in relation to the recollection of the respondent’s registere</w:t>
      </w:r>
      <w:r w:rsidR="00A15DF5">
        <w:t>d marks.</w:t>
      </w:r>
    </w:p>
    <w:p w14:paraId="4B17ED1B" w14:textId="1A343693" w:rsidR="00DD49EC" w:rsidRDefault="00BC7D85" w:rsidP="00BC7D85">
      <w:pPr>
        <w:pStyle w:val="ParaNumbering"/>
        <w:numPr>
          <w:ilvl w:val="0"/>
          <w:numId w:val="0"/>
        </w:numPr>
        <w:ind w:hanging="720"/>
      </w:pPr>
      <w:r>
        <w:rPr>
          <w:sz w:val="20"/>
        </w:rPr>
        <w:t>174</w:t>
      </w:r>
      <w:r>
        <w:rPr>
          <w:sz w:val="20"/>
        </w:rPr>
        <w:tab/>
      </w:r>
      <w:r w:rsidR="006F66A9" w:rsidRPr="006F66A9">
        <w:t>The appellants’ fifth submission</w:t>
      </w:r>
      <w:r w:rsidR="00B31FF5">
        <w:t xml:space="preserve"> also concerns J[481] of the primary judge’s reasons and</w:t>
      </w:r>
      <w:r w:rsidR="00311BAF">
        <w:t>, again,</w:t>
      </w:r>
      <w:r w:rsidR="006F66A9" w:rsidRPr="006F66A9">
        <w:t xml:space="preserve"> focuses on what </w:t>
      </w:r>
      <w:r w:rsidR="00B31FF5">
        <w:t>the appellants contend</w:t>
      </w:r>
      <w:r w:rsidR="006F66A9" w:rsidRPr="006F66A9">
        <w:t xml:space="preserve"> is the descriptiveness of HENLEY within the context of the 818 mark.  </w:t>
      </w:r>
      <w:r w:rsidR="00311BAF">
        <w:t>Here</w:t>
      </w:r>
      <w:r w:rsidR="006F66A9" w:rsidRPr="006F66A9">
        <w:t xml:space="preserve">, </w:t>
      </w:r>
      <w:r w:rsidR="00311BAF">
        <w:t>the primary judge was not</w:t>
      </w:r>
      <w:r w:rsidR="00311BAF" w:rsidRPr="006F66A9">
        <w:t xml:space="preserve"> dealing with the validity of the 818 mark, but only with the question of whether </w:t>
      </w:r>
      <w:r w:rsidR="00311BAF">
        <w:t>the 818 mark</w:t>
      </w:r>
      <w:r w:rsidR="00311BAF" w:rsidRPr="006F66A9">
        <w:t xml:space="preserve"> </w:t>
      </w:r>
      <w:proofErr w:type="gramStart"/>
      <w:r w:rsidR="00311BAF" w:rsidRPr="006F66A9">
        <w:t>was infringed</w:t>
      </w:r>
      <w:proofErr w:type="gramEnd"/>
      <w:r w:rsidR="00311BAF" w:rsidRPr="006F66A9">
        <w:t xml:space="preserve"> by Henley Constructions’ use of the other Infringing Signs.</w:t>
      </w:r>
      <w:r w:rsidR="00311BAF">
        <w:t xml:space="preserve">  </w:t>
      </w:r>
      <w:r w:rsidR="00065F94">
        <w:t>Once again, the</w:t>
      </w:r>
      <w:r w:rsidR="00311BAF">
        <w:t xml:space="preserve"> issue was deceptive similarity.  The </w:t>
      </w:r>
      <w:r w:rsidR="006F66A9" w:rsidRPr="006F66A9">
        <w:t>primary judge did not accept that consumers would associate the component HENLEY, as it appears in the 818 mark, with the localities to which the appellants referred.  This finding</w:t>
      </w:r>
      <w:r w:rsidR="00CB01B4">
        <w:t xml:space="preserve"> was open to the primary judge.  We </w:t>
      </w:r>
      <w:proofErr w:type="gramStart"/>
      <w:r w:rsidR="00CB01B4">
        <w:t>are not persuaded</w:t>
      </w:r>
      <w:proofErr w:type="gramEnd"/>
      <w:r w:rsidR="00CB01B4">
        <w:t xml:space="preserve"> that his Honour erred in reaching those findings.</w:t>
      </w:r>
      <w:r w:rsidR="006F66A9" w:rsidRPr="006F66A9">
        <w:t xml:space="preserve"> </w:t>
      </w:r>
    </w:p>
    <w:p w14:paraId="6FF002C4" w14:textId="73F1B185" w:rsidR="004D43D8" w:rsidRDefault="00BC7D85" w:rsidP="00BC7D85">
      <w:pPr>
        <w:pStyle w:val="ParaNumbering"/>
        <w:numPr>
          <w:ilvl w:val="0"/>
          <w:numId w:val="0"/>
        </w:numPr>
        <w:ind w:hanging="720"/>
      </w:pPr>
      <w:r>
        <w:rPr>
          <w:sz w:val="20"/>
        </w:rPr>
        <w:t>175</w:t>
      </w:r>
      <w:r>
        <w:rPr>
          <w:sz w:val="20"/>
        </w:rPr>
        <w:tab/>
      </w:r>
      <w:r w:rsidR="00DD49EC">
        <w:t xml:space="preserve">Further, we </w:t>
      </w:r>
      <w:r w:rsidR="006F66A9" w:rsidRPr="006F66A9">
        <w:t>do not accept the appellants’ submission that, in undertaking these comparisons, the primary judge took into account the manner in which the respondent actually used the 818 mark.</w:t>
      </w:r>
      <w:r w:rsidR="00DD49EC">
        <w:t xml:space="preserve">  As shown by the above quotation, the primary judge’s comparisons </w:t>
      </w:r>
      <w:proofErr w:type="gramStart"/>
      <w:r w:rsidR="00DD49EC">
        <w:t>were based</w:t>
      </w:r>
      <w:proofErr w:type="gramEnd"/>
      <w:r w:rsidR="00DD49EC">
        <w:t xml:space="preserve"> on the imperfect recollection of the 818 mark, not the respondent’s actual use of that mark.</w:t>
      </w:r>
    </w:p>
    <w:p w14:paraId="65A710DD" w14:textId="570EF59F" w:rsidR="0090127D" w:rsidRDefault="00BC7D85" w:rsidP="00BC7D85">
      <w:pPr>
        <w:pStyle w:val="ParaNumbering"/>
        <w:numPr>
          <w:ilvl w:val="0"/>
          <w:numId w:val="0"/>
        </w:numPr>
        <w:ind w:hanging="720"/>
      </w:pPr>
      <w:r>
        <w:rPr>
          <w:sz w:val="20"/>
        </w:rPr>
        <w:t>176</w:t>
      </w:r>
      <w:r>
        <w:rPr>
          <w:sz w:val="20"/>
        </w:rPr>
        <w:tab/>
      </w:r>
      <w:r w:rsidR="0090127D">
        <w:t>The appellants’ sixth and seventh submissions concern the primary judge’s comparison of the Infringing Signs with the 819 mark</w:t>
      </w:r>
      <w:r w:rsidR="0052385B">
        <w:t xml:space="preserve"> (HENLEY WORLD OF HOMES)</w:t>
      </w:r>
      <w:r w:rsidR="0090127D">
        <w:t>, the 558 mark</w:t>
      </w:r>
      <w:r w:rsidR="0052385B">
        <w:t xml:space="preserve"> </w:t>
      </w:r>
      <w:r w:rsidR="00EE2A37">
        <w:t>(</w:t>
      </w:r>
      <w:r w:rsidR="0052385B">
        <w:t>HENLEY ESSENCE)</w:t>
      </w:r>
      <w:r w:rsidR="0090127D">
        <w:t>, the 561 mark</w:t>
      </w:r>
      <w:r w:rsidR="0052385B">
        <w:t xml:space="preserve"> (HENLEY RESERVE)</w:t>
      </w:r>
      <w:r w:rsidR="0090127D">
        <w:t>, and the 570 mark</w:t>
      </w:r>
      <w:r w:rsidR="0052385B">
        <w:t xml:space="preserve"> (HENLEY COLLECTION)</w:t>
      </w:r>
      <w:r w:rsidR="0090127D">
        <w:t>.</w:t>
      </w:r>
    </w:p>
    <w:p w14:paraId="553ECB45" w14:textId="57078891" w:rsidR="0090127D" w:rsidRDefault="00BC7D85" w:rsidP="00BC7D85">
      <w:pPr>
        <w:pStyle w:val="ParaNumbering"/>
        <w:numPr>
          <w:ilvl w:val="0"/>
          <w:numId w:val="0"/>
        </w:numPr>
        <w:ind w:hanging="720"/>
      </w:pPr>
      <w:r>
        <w:rPr>
          <w:sz w:val="20"/>
        </w:rPr>
        <w:t>177</w:t>
      </w:r>
      <w:r>
        <w:rPr>
          <w:sz w:val="20"/>
        </w:rPr>
        <w:tab/>
      </w:r>
      <w:r w:rsidR="00A052D9">
        <w:t xml:space="preserve">The appellants’ sixth submission is, in substance, a reiteration of its contention that the word HENLEY, when appearing in the respondent’s registered marks, is simply a descriptive element of no particular significance when undertaking a comparison of the Infringing Signs to the registered marks </w:t>
      </w:r>
      <w:proofErr w:type="gramStart"/>
      <w:r w:rsidR="00A052D9">
        <w:t>for the purpose of</w:t>
      </w:r>
      <w:proofErr w:type="gramEnd"/>
      <w:r w:rsidR="00A052D9">
        <w:t xml:space="preserve"> considering the question of deceptive similarity.  </w:t>
      </w:r>
    </w:p>
    <w:p w14:paraId="6508FFDD" w14:textId="0502C9E2" w:rsidR="00311BAF" w:rsidRDefault="00BC7D85" w:rsidP="00BC7D85">
      <w:pPr>
        <w:pStyle w:val="ParaNumbering"/>
        <w:numPr>
          <w:ilvl w:val="0"/>
          <w:numId w:val="0"/>
        </w:numPr>
        <w:ind w:hanging="720"/>
      </w:pPr>
      <w:r>
        <w:rPr>
          <w:sz w:val="20"/>
        </w:rPr>
        <w:t>178</w:t>
      </w:r>
      <w:r>
        <w:rPr>
          <w:sz w:val="20"/>
        </w:rPr>
        <w:tab/>
      </w:r>
      <w:r w:rsidR="00A052D9">
        <w:t xml:space="preserve">The primary judge considered these comparisons at </w:t>
      </w:r>
      <w:proofErr w:type="gramStart"/>
      <w:r w:rsidR="00A052D9">
        <w:t>J[</w:t>
      </w:r>
      <w:proofErr w:type="gramEnd"/>
      <w:r w:rsidR="00A052D9">
        <w:t xml:space="preserve">482] – [489].  </w:t>
      </w:r>
      <w:proofErr w:type="gramStart"/>
      <w:r w:rsidR="00A052D9">
        <w:t xml:space="preserve">In these paragraphs, </w:t>
      </w:r>
      <w:r w:rsidR="0090127D">
        <w:t>his Honour explained</w:t>
      </w:r>
      <w:r w:rsidR="00A052D9">
        <w:t xml:space="preserve"> his conclusions on the question of deceptive similarity by reference to his </w:t>
      </w:r>
      <w:r w:rsidR="00A052D9">
        <w:lastRenderedPageBreak/>
        <w:t>finding that the “dominant memorable feature” of the 819 mark, the 558 mark, the 561 mark, and the 570 mark</w:t>
      </w:r>
      <w:r w:rsidR="00625E02">
        <w:t>,</w:t>
      </w:r>
      <w:r w:rsidR="00A052D9">
        <w:t xml:space="preserve"> is the word </w:t>
      </w:r>
      <w:r w:rsidR="0090127D">
        <w:t>HENLEY</w:t>
      </w:r>
      <w:r w:rsidR="00A052D9">
        <w:t xml:space="preserve"> and that the Infringing Signs have the same feature either alone or with additions that do not distinguish</w:t>
      </w:r>
      <w:r w:rsidR="00625E02">
        <w:t xml:space="preserve"> them in a way that would remove the likelihood of confusion:  see at J[485] and [487].</w:t>
      </w:r>
      <w:proofErr w:type="gramEnd"/>
      <w:r w:rsidR="00625E02">
        <w:t xml:space="preserve">  These findings were open to the primary judge.  We </w:t>
      </w:r>
      <w:proofErr w:type="gramStart"/>
      <w:r w:rsidR="0090127D">
        <w:t>are not persuaded</w:t>
      </w:r>
      <w:proofErr w:type="gramEnd"/>
      <w:r w:rsidR="0090127D">
        <w:t xml:space="preserve"> that his Honour erred in reaching those findings</w:t>
      </w:r>
      <w:r w:rsidR="00625E02">
        <w:t>.</w:t>
      </w:r>
    </w:p>
    <w:p w14:paraId="254CAD69" w14:textId="3899F2C2" w:rsidR="00625E02" w:rsidRDefault="00BC7D85" w:rsidP="00BC7D85">
      <w:pPr>
        <w:pStyle w:val="ParaNumbering"/>
        <w:numPr>
          <w:ilvl w:val="0"/>
          <w:numId w:val="0"/>
        </w:numPr>
        <w:ind w:hanging="720"/>
      </w:pPr>
      <w:r>
        <w:rPr>
          <w:sz w:val="20"/>
        </w:rPr>
        <w:t>179</w:t>
      </w:r>
      <w:r>
        <w:rPr>
          <w:sz w:val="20"/>
        </w:rPr>
        <w:tab/>
      </w:r>
      <w:r w:rsidR="00625E02">
        <w:t xml:space="preserve">As to the appellants’ seventh submission, we do not accept that, in undertaking </w:t>
      </w:r>
      <w:r w:rsidR="0090127D">
        <w:t>his</w:t>
      </w:r>
      <w:r w:rsidR="00625E02">
        <w:t xml:space="preserve"> comparisons</w:t>
      </w:r>
      <w:r w:rsidR="0090127D">
        <w:t xml:space="preserve"> of these marks</w:t>
      </w:r>
      <w:r w:rsidR="00625E02">
        <w:t xml:space="preserve">, the primary judge failed to compare the </w:t>
      </w:r>
      <w:r w:rsidR="0090127D">
        <w:t>relevant</w:t>
      </w:r>
      <w:r w:rsidR="00625E02">
        <w:t xml:space="preserve"> marks </w:t>
      </w:r>
      <w:r w:rsidR="007840BD">
        <w:t>“</w:t>
      </w:r>
      <w:r w:rsidR="00625E02">
        <w:t>as wholes”.  His Honour’s reasons show, clearly, that he did not err as the appellants contend.</w:t>
      </w:r>
    </w:p>
    <w:p w14:paraId="09A54CBF" w14:textId="59C012B1" w:rsidR="00065F94" w:rsidRDefault="00BC7D85" w:rsidP="00BC7D85">
      <w:pPr>
        <w:pStyle w:val="ParaNumbering"/>
        <w:numPr>
          <w:ilvl w:val="0"/>
          <w:numId w:val="0"/>
        </w:numPr>
        <w:ind w:hanging="720"/>
      </w:pPr>
      <w:r>
        <w:rPr>
          <w:sz w:val="20"/>
        </w:rPr>
        <w:t>180</w:t>
      </w:r>
      <w:r>
        <w:rPr>
          <w:sz w:val="20"/>
        </w:rPr>
        <w:tab/>
      </w:r>
      <w:r w:rsidR="007355AD">
        <w:t>As a general observation, we note that</w:t>
      </w:r>
      <w:r w:rsidR="00985088">
        <w:t>,</w:t>
      </w:r>
      <w:r w:rsidR="007355AD">
        <w:t xml:space="preserve"> </w:t>
      </w:r>
      <w:r w:rsidR="00985088">
        <w:t xml:space="preserve">correctly, </w:t>
      </w:r>
      <w:r w:rsidR="007355AD">
        <w:t>the primary judge undertook his trade mark comparisons by reference to</w:t>
      </w:r>
      <w:r w:rsidR="00DB7D5E">
        <w:t xml:space="preserve"> the</w:t>
      </w:r>
      <w:r w:rsidR="007355AD">
        <w:t xml:space="preserve"> services for which the respondent’s marks were registered and Henley Constructions’ </w:t>
      </w:r>
      <w:r w:rsidR="00532A14">
        <w:t xml:space="preserve">corresponding use of the </w:t>
      </w:r>
      <w:r w:rsidR="007355AD">
        <w:t>impugned signs</w:t>
      </w:r>
      <w:r w:rsidR="00532A14">
        <w:t xml:space="preserve"> </w:t>
      </w:r>
      <w:r w:rsidR="007355AD">
        <w:t>in relation to building and construction services.</w:t>
      </w:r>
    </w:p>
    <w:p w14:paraId="257DE653" w14:textId="23E66BBE" w:rsidR="00AF427F" w:rsidRDefault="00BC7D85" w:rsidP="00BC7D85">
      <w:pPr>
        <w:pStyle w:val="ParaNumbering"/>
        <w:numPr>
          <w:ilvl w:val="0"/>
          <w:numId w:val="0"/>
        </w:numPr>
        <w:ind w:hanging="720"/>
      </w:pPr>
      <w:r>
        <w:rPr>
          <w:sz w:val="20"/>
        </w:rPr>
        <w:t>181</w:t>
      </w:r>
      <w:r>
        <w:rPr>
          <w:sz w:val="20"/>
        </w:rPr>
        <w:tab/>
      </w:r>
      <w:r w:rsidR="00AF427F">
        <w:t>For these reasons, Ground 8 of the notice of appeal does not succeed.</w:t>
      </w:r>
    </w:p>
    <w:p w14:paraId="69F9B4B3" w14:textId="07AB1AD1" w:rsidR="00621B8F" w:rsidRDefault="00BC7D85" w:rsidP="00621B8F">
      <w:pPr>
        <w:pStyle w:val="Heading1"/>
      </w:pPr>
      <w:bookmarkStart w:id="46" w:name="_Ref133418103"/>
      <w:r>
        <w:rPr>
          <w:caps w:val="0"/>
        </w:rPr>
        <w:t>INFRINGEMENT:  VARIOUS MARKS AND TRADE MARK USE</w:t>
      </w:r>
      <w:bookmarkEnd w:id="46"/>
    </w:p>
    <w:p w14:paraId="2B9619DC" w14:textId="77777777" w:rsidR="00621B8F" w:rsidRDefault="0052385B" w:rsidP="0052385B">
      <w:pPr>
        <w:pStyle w:val="Heading2"/>
      </w:pPr>
      <w:r>
        <w:t>The appellants’ submissions</w:t>
      </w:r>
    </w:p>
    <w:p w14:paraId="386AD6CD" w14:textId="40E81E7D" w:rsidR="00B73B56" w:rsidRPr="00B73B56" w:rsidRDefault="00BC7D85" w:rsidP="00BC7D85">
      <w:pPr>
        <w:pStyle w:val="ParaNumbering"/>
        <w:numPr>
          <w:ilvl w:val="0"/>
          <w:numId w:val="0"/>
        </w:numPr>
        <w:ind w:hanging="720"/>
      </w:pPr>
      <w:r w:rsidRPr="00B73B56">
        <w:rPr>
          <w:sz w:val="20"/>
        </w:rPr>
        <w:t>182</w:t>
      </w:r>
      <w:r w:rsidRPr="00B73B56">
        <w:rPr>
          <w:sz w:val="20"/>
        </w:rPr>
        <w:tab/>
      </w:r>
      <w:r w:rsidR="00B73B56" w:rsidRPr="00B73B56">
        <w:t xml:space="preserve">The primary judge’s findings that the Infringing Signs were deceptively similar to the respondent’s registered </w:t>
      </w:r>
      <w:proofErr w:type="spellStart"/>
      <w:r w:rsidR="00B73B56" w:rsidRPr="00B73B56">
        <w:t>trade marks</w:t>
      </w:r>
      <w:proofErr w:type="spellEnd"/>
      <w:r w:rsidR="00B73B56" w:rsidRPr="00B73B56">
        <w:t xml:space="preserve"> were made in the</w:t>
      </w:r>
      <w:r w:rsidR="00E74EAC">
        <w:t xml:space="preserve"> context of his earlier finding</w:t>
      </w:r>
      <w:r w:rsidR="00B73B56" w:rsidRPr="00B73B56">
        <w:t xml:space="preserve"> at </w:t>
      </w:r>
      <w:proofErr w:type="gramStart"/>
      <w:r w:rsidR="00B73B56" w:rsidRPr="00B73B56">
        <w:t>J[</w:t>
      </w:r>
      <w:proofErr w:type="gramEnd"/>
      <w:r w:rsidR="00B73B56" w:rsidRPr="00B73B56">
        <w:t xml:space="preserve">457] that Henley Constructions had used the Infringing Signs as </w:t>
      </w:r>
      <w:proofErr w:type="spellStart"/>
      <w:r w:rsidR="00B73B56" w:rsidRPr="00B73B56">
        <w:t>trade marks</w:t>
      </w:r>
      <w:proofErr w:type="spellEnd"/>
      <w:r w:rsidR="00B73B56" w:rsidRPr="00B73B56">
        <w:t>.  Ground 9 of the notice of appeal challenges this earlier finding.</w:t>
      </w:r>
    </w:p>
    <w:p w14:paraId="75BF540E" w14:textId="36F3C562" w:rsidR="00B73B56" w:rsidRPr="00B73B56" w:rsidRDefault="00BC7D85" w:rsidP="00BC7D85">
      <w:pPr>
        <w:pStyle w:val="ParaNumbering"/>
        <w:numPr>
          <w:ilvl w:val="0"/>
          <w:numId w:val="0"/>
        </w:numPr>
        <w:ind w:hanging="720"/>
      </w:pPr>
      <w:proofErr w:type="gramStart"/>
      <w:r w:rsidRPr="00B73B56">
        <w:rPr>
          <w:sz w:val="20"/>
        </w:rPr>
        <w:t>183</w:t>
      </w:r>
      <w:r w:rsidRPr="00B73B56">
        <w:rPr>
          <w:sz w:val="20"/>
        </w:rPr>
        <w:tab/>
      </w:r>
      <w:r w:rsidR="00B73B56" w:rsidRPr="00B73B56">
        <w:t>The appellants submit that, in determining whether a sign was used as a trade mark, the primary judge should have observed whether the “display” of the sign served the purpose of indicating a connection in the cou</w:t>
      </w:r>
      <w:r w:rsidR="00B73B56">
        <w:t>rse of trade with the appellant</w:t>
      </w:r>
      <w:r w:rsidR="00B73B56" w:rsidRPr="00B73B56">
        <w:t>s’ services from the perspective of a releva</w:t>
      </w:r>
      <w:r w:rsidR="00B73B56">
        <w:t>nt consumer observing the sign</w:t>
      </w:r>
      <w:r w:rsidR="00B73B56" w:rsidRPr="00B73B56">
        <w:t xml:space="preserve"> in the setting in which it is presented: </w:t>
      </w:r>
      <w:r w:rsidR="00B73B56" w:rsidRPr="00B73B56">
        <w:rPr>
          <w:i/>
        </w:rPr>
        <w:t>Shell</w:t>
      </w:r>
      <w:r w:rsidR="00B73B56">
        <w:t xml:space="preserve"> at 425.</w:t>
      </w:r>
      <w:proofErr w:type="gramEnd"/>
      <w:r w:rsidR="00B73B56">
        <w:t xml:space="preserve">  The appellant</w:t>
      </w:r>
      <w:r w:rsidR="00B73B56" w:rsidRPr="00B73B56">
        <w:t>s</w:t>
      </w:r>
      <w:r w:rsidR="00B73B56">
        <w:t>’</w:t>
      </w:r>
      <w:r w:rsidR="00B73B56" w:rsidRPr="00B73B56">
        <w:t xml:space="preserve"> emphasise</w:t>
      </w:r>
      <w:r w:rsidR="00E74EAC">
        <w:t>d</w:t>
      </w:r>
      <w:r w:rsidR="00B73B56" w:rsidRPr="00B73B56">
        <w:t xml:space="preserve"> that this means the </w:t>
      </w:r>
      <w:r w:rsidR="00B73B56" w:rsidRPr="00E74EAC">
        <w:rPr>
          <w:i/>
        </w:rPr>
        <w:t>whole</w:t>
      </w:r>
      <w:r w:rsidR="00B73B56" w:rsidRPr="00B73B56">
        <w:t xml:space="preserve"> setting in which the sign </w:t>
      </w:r>
      <w:proofErr w:type="gramStart"/>
      <w:r w:rsidR="00B73B56" w:rsidRPr="00B73B56">
        <w:t>is presented</w:t>
      </w:r>
      <w:proofErr w:type="gramEnd"/>
      <w:r w:rsidR="00B73B56" w:rsidRPr="00B73B56">
        <w:t>.</w:t>
      </w:r>
    </w:p>
    <w:p w14:paraId="48089845" w14:textId="0735D331" w:rsidR="00B73B56" w:rsidRPr="00B73B56" w:rsidRDefault="00BC7D85" w:rsidP="00BC7D85">
      <w:pPr>
        <w:pStyle w:val="ParaNumbering"/>
        <w:numPr>
          <w:ilvl w:val="0"/>
          <w:numId w:val="0"/>
        </w:numPr>
        <w:ind w:hanging="720"/>
      </w:pPr>
      <w:r w:rsidRPr="00B73B56">
        <w:rPr>
          <w:sz w:val="20"/>
        </w:rPr>
        <w:t>184</w:t>
      </w:r>
      <w:r w:rsidRPr="00B73B56">
        <w:rPr>
          <w:sz w:val="20"/>
        </w:rPr>
        <w:tab/>
      </w:r>
      <w:r w:rsidR="00E74EAC">
        <w:t>The appellants contend</w:t>
      </w:r>
      <w:r w:rsidR="00B73B56" w:rsidRPr="00B73B56">
        <w:t xml:space="preserve"> that the primary judge erred in not considering the whole setting in which each of the Infringing Signs appeared to the re</w:t>
      </w:r>
      <w:r w:rsidR="00E74EAC">
        <w:t>levant consumer.  They contend</w:t>
      </w:r>
      <w:r w:rsidR="00B73B56" w:rsidRPr="00B73B56">
        <w:t xml:space="preserve"> that, rather, the primary judge observed each of the Infringing </w:t>
      </w:r>
      <w:r w:rsidR="00B73B56">
        <w:t>Signs</w:t>
      </w:r>
      <w:r w:rsidR="00E74EAC">
        <w:t xml:space="preserve"> in isolation.  They contend</w:t>
      </w:r>
      <w:r w:rsidR="00B73B56" w:rsidRPr="00B73B56">
        <w:t xml:space="preserve"> that, when the whole setting is considered, it ought to be found that </w:t>
      </w:r>
      <w:proofErr w:type="gramStart"/>
      <w:r w:rsidR="00B73B56" w:rsidRPr="00B73B56">
        <w:t xml:space="preserve">each of the Infringing </w:t>
      </w:r>
      <w:r w:rsidR="00B73B56">
        <w:t>Signs</w:t>
      </w:r>
      <w:r w:rsidR="00B73B56" w:rsidRPr="00B73B56">
        <w:t xml:space="preserve"> has not been used by Henle</w:t>
      </w:r>
      <w:r w:rsidR="00B73B56">
        <w:t>y C</w:t>
      </w:r>
      <w:r w:rsidR="00B73B56" w:rsidRPr="00B73B56">
        <w:t>onstruction</w:t>
      </w:r>
      <w:r w:rsidR="00B73B56">
        <w:t>s</w:t>
      </w:r>
      <w:proofErr w:type="gramEnd"/>
      <w:r w:rsidR="00B73B56" w:rsidRPr="00B73B56">
        <w:t xml:space="preserve"> </w:t>
      </w:r>
      <w:r w:rsidR="00B73B56">
        <w:t>as a trade mark.  The appellant</w:t>
      </w:r>
      <w:r w:rsidR="00B73B56" w:rsidRPr="00B73B56">
        <w:t xml:space="preserve">s’ submissions did not descend to greater particularity </w:t>
      </w:r>
      <w:r w:rsidR="00CC0ED0">
        <w:t xml:space="preserve">on this aspect of the appeal. </w:t>
      </w:r>
    </w:p>
    <w:p w14:paraId="0CC65A39" w14:textId="64540AF9" w:rsidR="0052385B" w:rsidRDefault="00BC7D85" w:rsidP="00BC7D85">
      <w:pPr>
        <w:pStyle w:val="ParaNumbering"/>
        <w:numPr>
          <w:ilvl w:val="0"/>
          <w:numId w:val="0"/>
        </w:numPr>
        <w:ind w:hanging="720"/>
      </w:pPr>
      <w:r>
        <w:rPr>
          <w:sz w:val="20"/>
        </w:rPr>
        <w:lastRenderedPageBreak/>
        <w:t>185</w:t>
      </w:r>
      <w:r>
        <w:rPr>
          <w:sz w:val="20"/>
        </w:rPr>
        <w:tab/>
      </w:r>
      <w:r w:rsidR="00E74EAC">
        <w:t>Under this ground of appeal, the</w:t>
      </w:r>
      <w:r w:rsidR="00B73B56" w:rsidRPr="00B73B56">
        <w:t xml:space="preserve"> appellants </w:t>
      </w:r>
      <w:r w:rsidR="00E74EAC">
        <w:t xml:space="preserve">also </w:t>
      </w:r>
      <w:r w:rsidR="00B73B56" w:rsidRPr="00B73B56">
        <w:t xml:space="preserve">advance a particular challenge to the primary </w:t>
      </w:r>
      <w:proofErr w:type="gramStart"/>
      <w:r w:rsidR="00B73B56" w:rsidRPr="00B73B56">
        <w:t>judge’s</w:t>
      </w:r>
      <w:proofErr w:type="gramEnd"/>
      <w:r w:rsidR="00B73B56" w:rsidRPr="00B73B56">
        <w:t xml:space="preserve"> finding in relation to Henley Constructions’ use of HENLEY o</w:t>
      </w:r>
      <w:r w:rsidR="00E74EAC">
        <w:t>n crane signage.  They contend</w:t>
      </w:r>
      <w:r w:rsidR="00B73B56" w:rsidRPr="00B73B56">
        <w:t xml:space="preserve"> that the primary judge erred in finding that HENLEY </w:t>
      </w:r>
      <w:proofErr w:type="gramStart"/>
      <w:r w:rsidR="00E74EAC">
        <w:t>had been</w:t>
      </w:r>
      <w:r w:rsidR="00B73B56" w:rsidRPr="00B73B56">
        <w:t xml:space="preserve"> used</w:t>
      </w:r>
      <w:proofErr w:type="gramEnd"/>
      <w:r w:rsidR="00B73B56" w:rsidRPr="00B73B56">
        <w:t xml:space="preserve"> on crane signage when (</w:t>
      </w:r>
      <w:r w:rsidR="00E74EAC">
        <w:t>in</w:t>
      </w:r>
      <w:r w:rsidR="00B73B56" w:rsidRPr="00B73B56">
        <w:t xml:space="preserve"> the appellants’ </w:t>
      </w:r>
      <w:r w:rsidR="00E74EAC">
        <w:t>submission</w:t>
      </w:r>
      <w:r w:rsidR="00B73B56" w:rsidRPr="00B73B56">
        <w:t xml:space="preserve">) HENLEY CONSTRUCTIONS </w:t>
      </w:r>
      <w:r w:rsidR="00E74EAC">
        <w:t>was</w:t>
      </w:r>
      <w:r w:rsidR="00CC0ED0">
        <w:t xml:space="preserve"> used.  </w:t>
      </w:r>
    </w:p>
    <w:p w14:paraId="307FF74D" w14:textId="77777777" w:rsidR="00840DD4" w:rsidRDefault="00840DD4" w:rsidP="00840DD4">
      <w:pPr>
        <w:pStyle w:val="Heading2"/>
      </w:pPr>
      <w:r>
        <w:t>Analysis</w:t>
      </w:r>
    </w:p>
    <w:p w14:paraId="383F2076" w14:textId="675C8B2C" w:rsidR="003E0CFA" w:rsidRPr="003E0CFA" w:rsidRDefault="00BC7D85" w:rsidP="00BC7D85">
      <w:pPr>
        <w:pStyle w:val="ParaNumbering"/>
        <w:numPr>
          <w:ilvl w:val="0"/>
          <w:numId w:val="0"/>
        </w:numPr>
        <w:ind w:hanging="720"/>
      </w:pPr>
      <w:r w:rsidRPr="003E0CFA">
        <w:rPr>
          <w:sz w:val="20"/>
        </w:rPr>
        <w:t>186</w:t>
      </w:r>
      <w:r w:rsidRPr="003E0CFA">
        <w:rPr>
          <w:sz w:val="20"/>
        </w:rPr>
        <w:tab/>
      </w:r>
      <w:r w:rsidR="003E0CFA" w:rsidRPr="003E0CFA">
        <w:t xml:space="preserve">The primary judge’s </w:t>
      </w:r>
      <w:r w:rsidR="008D1256">
        <w:t xml:space="preserve">particular </w:t>
      </w:r>
      <w:r w:rsidR="003E0CFA" w:rsidRPr="003E0CFA">
        <w:t>findings on trade mark use with respect to the In</w:t>
      </w:r>
      <w:r w:rsidR="003E0CFA">
        <w:t xml:space="preserve">fringing Signs are found </w:t>
      </w:r>
      <w:r w:rsidR="003E0CFA" w:rsidRPr="003E0CFA">
        <w:t xml:space="preserve">at </w:t>
      </w:r>
      <w:proofErr w:type="gramStart"/>
      <w:r w:rsidR="003E0CFA" w:rsidRPr="003E0CFA">
        <w:t>J[</w:t>
      </w:r>
      <w:proofErr w:type="gramEnd"/>
      <w:r w:rsidR="003E0CFA" w:rsidRPr="003E0CFA">
        <w:t>458] – [465].</w:t>
      </w:r>
      <w:r w:rsidR="008D1256">
        <w:t xml:space="preserve">  We observe that these findings were preceded by a detailed summary of the respondent’s submissions on trade mark use with reference to the Particulars Table (J[356] – [</w:t>
      </w:r>
      <w:r w:rsidR="009854FF">
        <w:t>369]) and a detailed summary of Henley Constructions’ submissions on the same issue</w:t>
      </w:r>
      <w:r w:rsidR="00532A14">
        <w:t>s</w:t>
      </w:r>
      <w:r w:rsidR="009854FF">
        <w:t xml:space="preserve"> (J[391] – [403]).  His Honour’s findings </w:t>
      </w:r>
      <w:r w:rsidR="00D74E30">
        <w:t xml:space="preserve">on trade mark use </w:t>
      </w:r>
      <w:r w:rsidR="009854FF">
        <w:t xml:space="preserve">were also preceded by a consideration of relevant case authorities on what constitutes trade mark use:  </w:t>
      </w:r>
      <w:proofErr w:type="gramStart"/>
      <w:r w:rsidR="009854FF">
        <w:t>J[</w:t>
      </w:r>
      <w:proofErr w:type="gramEnd"/>
      <w:r w:rsidR="009854FF">
        <w:t xml:space="preserve">433] – [438].  It </w:t>
      </w:r>
      <w:proofErr w:type="gramStart"/>
      <w:r w:rsidR="009854FF">
        <w:t>is not suggested</w:t>
      </w:r>
      <w:proofErr w:type="gramEnd"/>
      <w:r w:rsidR="009854FF">
        <w:t xml:space="preserve"> that the primary judge did not </w:t>
      </w:r>
      <w:r w:rsidR="00D74E30">
        <w:t xml:space="preserve">correctly </w:t>
      </w:r>
      <w:r w:rsidR="009854FF">
        <w:t xml:space="preserve">identify the </w:t>
      </w:r>
      <w:r w:rsidR="00D74E30">
        <w:t>relevant</w:t>
      </w:r>
      <w:r w:rsidR="009854FF">
        <w:t xml:space="preserve"> legal principles</w:t>
      </w:r>
      <w:r w:rsidR="00D74E30">
        <w:t xml:space="preserve"> on this question.</w:t>
      </w:r>
      <w:r w:rsidR="009854FF">
        <w:t xml:space="preserve"> </w:t>
      </w:r>
    </w:p>
    <w:p w14:paraId="68CD2063" w14:textId="281922E6" w:rsidR="003E0CFA" w:rsidRPr="003E0CFA" w:rsidRDefault="00BC7D85" w:rsidP="00BC7D85">
      <w:pPr>
        <w:pStyle w:val="ParaNumbering"/>
        <w:numPr>
          <w:ilvl w:val="0"/>
          <w:numId w:val="0"/>
        </w:numPr>
        <w:ind w:hanging="720"/>
      </w:pPr>
      <w:r w:rsidRPr="003E0CFA">
        <w:rPr>
          <w:sz w:val="20"/>
        </w:rPr>
        <w:t>187</w:t>
      </w:r>
      <w:r w:rsidRPr="003E0CFA">
        <w:rPr>
          <w:sz w:val="20"/>
        </w:rPr>
        <w:tab/>
      </w:r>
      <w:r w:rsidR="003E0CFA" w:rsidRPr="003E0CFA">
        <w:t xml:space="preserve">The primary judge considered </w:t>
      </w:r>
      <w:r w:rsidR="003E0CFA">
        <w:t xml:space="preserve">it </w:t>
      </w:r>
      <w:proofErr w:type="gramStart"/>
      <w:r w:rsidR="003E0CFA">
        <w:t xml:space="preserve">to </w:t>
      </w:r>
      <w:r w:rsidR="003E0CFA" w:rsidRPr="003E0CFA">
        <w:t>be uncontroversial</w:t>
      </w:r>
      <w:proofErr w:type="gramEnd"/>
      <w:r w:rsidR="003E0CFA" w:rsidRPr="003E0CFA">
        <w:t xml:space="preserve"> that the Infringing Signs were used as trade marks in the provision of building and construction services.  He noted, however, that Henley Constructions had admitted </w:t>
      </w:r>
      <w:proofErr w:type="gramStart"/>
      <w:r w:rsidR="003E0CFA" w:rsidRPr="003E0CFA">
        <w:t>trade mark</w:t>
      </w:r>
      <w:proofErr w:type="gramEnd"/>
      <w:r w:rsidR="003E0CFA" w:rsidRPr="003E0CFA">
        <w:t xml:space="preserve"> use only in respect of the HENLEY CONSTRUCTIONS </w:t>
      </w:r>
      <w:r w:rsidR="00D74E30">
        <w:t>sign</w:t>
      </w:r>
      <w:r w:rsidR="003E0CFA" w:rsidRPr="003E0CFA">
        <w:t>.</w:t>
      </w:r>
    </w:p>
    <w:p w14:paraId="206067C8" w14:textId="7041D1C3" w:rsidR="003E0CFA" w:rsidRPr="003E0CFA" w:rsidRDefault="00BC7D85" w:rsidP="00BC7D85">
      <w:pPr>
        <w:pStyle w:val="ParaNumbering"/>
        <w:numPr>
          <w:ilvl w:val="0"/>
          <w:numId w:val="0"/>
        </w:numPr>
        <w:ind w:hanging="720"/>
      </w:pPr>
      <w:proofErr w:type="gramStart"/>
      <w:r w:rsidRPr="003E0CFA">
        <w:rPr>
          <w:sz w:val="20"/>
        </w:rPr>
        <w:t>188</w:t>
      </w:r>
      <w:r w:rsidRPr="003E0CFA">
        <w:rPr>
          <w:sz w:val="20"/>
        </w:rPr>
        <w:tab/>
      </w:r>
      <w:r w:rsidR="003E0CFA" w:rsidRPr="003E0CFA">
        <w:t>The primary judge’s findings commenced wit</w:t>
      </w:r>
      <w:r w:rsidR="00872DCE">
        <w:t>h the general observation (at J</w:t>
      </w:r>
      <w:r w:rsidR="003E0CFA" w:rsidRPr="003E0CFA">
        <w:t>[460]) that each of the Infringing Signs had been used in relation to either the provision of Henley Constructions’ building and construction services or the promotion of Henley Constructions’ building and construction services in a manner which would lead a person viewing these signs to identify them as badges of origin of those services.</w:t>
      </w:r>
      <w:proofErr w:type="gramEnd"/>
      <w:r w:rsidR="003E0CFA" w:rsidRPr="003E0CFA">
        <w:t xml:space="preserve">  The primary judge also expressed his agreement with the respondent’s submissions on this </w:t>
      </w:r>
      <w:r w:rsidR="00532A14">
        <w:t>topic</w:t>
      </w:r>
      <w:r w:rsidR="003E0CFA" w:rsidRPr="003E0CFA">
        <w:t>.</w:t>
      </w:r>
    </w:p>
    <w:p w14:paraId="2D7A3A20" w14:textId="652FA7B6" w:rsidR="003E0CFA" w:rsidRPr="003E0CFA" w:rsidRDefault="00BC7D85" w:rsidP="00BC7D85">
      <w:pPr>
        <w:pStyle w:val="ParaNumbering"/>
        <w:numPr>
          <w:ilvl w:val="0"/>
          <w:numId w:val="0"/>
        </w:numPr>
        <w:ind w:hanging="720"/>
      </w:pPr>
      <w:r w:rsidRPr="003E0CFA">
        <w:rPr>
          <w:sz w:val="20"/>
        </w:rPr>
        <w:t>189</w:t>
      </w:r>
      <w:r w:rsidRPr="003E0CFA">
        <w:rPr>
          <w:sz w:val="20"/>
        </w:rPr>
        <w:tab/>
      </w:r>
      <w:r w:rsidR="003E0CFA" w:rsidRPr="003E0CFA">
        <w:t xml:space="preserve">The primary judge then proceeded to make a number of specific findings at </w:t>
      </w:r>
      <w:proofErr w:type="gramStart"/>
      <w:r w:rsidR="003E0CFA" w:rsidRPr="003E0CFA">
        <w:t>J[</w:t>
      </w:r>
      <w:proofErr w:type="gramEnd"/>
      <w:r w:rsidR="003E0CFA" w:rsidRPr="003E0CFA">
        <w:t xml:space="preserve">461].  It is not necessary for us to summarise these findings.  They do show, however, that the primary judge did, in fact, consider the Infringing Signs in the context in which they were used and was satisfied that </w:t>
      </w:r>
      <w:proofErr w:type="gramStart"/>
      <w:r w:rsidR="003E0CFA" w:rsidRPr="003E0CFA">
        <w:t>they were used by Henley Constructions</w:t>
      </w:r>
      <w:proofErr w:type="gramEnd"/>
      <w:r w:rsidR="003E0CFA" w:rsidRPr="003E0CFA">
        <w:t xml:space="preserve"> as branding for its building and construction services.</w:t>
      </w:r>
    </w:p>
    <w:p w14:paraId="4514A8A1" w14:textId="0A7FD589" w:rsidR="007355AD" w:rsidRDefault="00BC7D85" w:rsidP="00BC7D85">
      <w:pPr>
        <w:pStyle w:val="ParaNumbering"/>
        <w:numPr>
          <w:ilvl w:val="0"/>
          <w:numId w:val="0"/>
        </w:numPr>
        <w:ind w:hanging="720"/>
      </w:pPr>
      <w:r>
        <w:rPr>
          <w:sz w:val="20"/>
        </w:rPr>
        <w:t>190</w:t>
      </w:r>
      <w:r>
        <w:rPr>
          <w:sz w:val="20"/>
        </w:rPr>
        <w:tab/>
      </w:r>
      <w:r w:rsidR="003E0CFA" w:rsidRPr="003E0CFA">
        <w:t xml:space="preserve">We are not persuaded, therefore, that, in arriving at his findings and overall conclusion on </w:t>
      </w:r>
      <w:proofErr w:type="gramStart"/>
      <w:r w:rsidR="003E0CFA" w:rsidRPr="003E0CFA">
        <w:t>trade mark</w:t>
      </w:r>
      <w:proofErr w:type="gramEnd"/>
      <w:r w:rsidR="003E0CFA" w:rsidRPr="003E0CFA">
        <w:t xml:space="preserve"> use, the primary judge did not have regard to the context in which each of </w:t>
      </w:r>
      <w:r w:rsidR="00DF469E">
        <w:t xml:space="preserve">the Infringing </w:t>
      </w:r>
      <w:r w:rsidR="00DF469E">
        <w:lastRenderedPageBreak/>
        <w:t xml:space="preserve">Signs was used.  </w:t>
      </w:r>
      <w:r w:rsidR="003E0CFA" w:rsidRPr="003E0CFA">
        <w:t>Indeed, a fair reading of the primary judge’s reasons shows, persuasively, the contrary to be the case.</w:t>
      </w:r>
      <w:r w:rsidR="007355AD" w:rsidRPr="007355AD">
        <w:t xml:space="preserve"> </w:t>
      </w:r>
    </w:p>
    <w:p w14:paraId="4495FB82" w14:textId="02D041FA" w:rsidR="00840DD4" w:rsidRDefault="00BC7D85" w:rsidP="00BC7D85">
      <w:pPr>
        <w:pStyle w:val="ParaNumbering"/>
        <w:numPr>
          <w:ilvl w:val="0"/>
          <w:numId w:val="0"/>
        </w:numPr>
        <w:ind w:hanging="720"/>
      </w:pPr>
      <w:r>
        <w:rPr>
          <w:sz w:val="20"/>
        </w:rPr>
        <w:t>191</w:t>
      </w:r>
      <w:r>
        <w:rPr>
          <w:sz w:val="20"/>
        </w:rPr>
        <w:tab/>
      </w:r>
      <w:r w:rsidR="007355AD">
        <w:t xml:space="preserve">In the course of oral submissions, we were invited to reconsider the primary judge’s findings on </w:t>
      </w:r>
      <w:proofErr w:type="gramStart"/>
      <w:r w:rsidR="007355AD">
        <w:t>trade mark</w:t>
      </w:r>
      <w:proofErr w:type="gramEnd"/>
      <w:r w:rsidR="007355AD">
        <w:t xml:space="preserve"> use by reference to the</w:t>
      </w:r>
      <w:r w:rsidR="009854FF">
        <w:t xml:space="preserve"> uses identified in the</w:t>
      </w:r>
      <w:r w:rsidR="007355AD">
        <w:t xml:space="preserve"> Particular</w:t>
      </w:r>
      <w:r w:rsidR="00035019">
        <w:t>s</w:t>
      </w:r>
      <w:r w:rsidR="007355AD">
        <w:t xml:space="preserve"> Table.  We have done so, bearing in mind </w:t>
      </w:r>
      <w:r w:rsidR="009854FF">
        <w:t>our conclusion</w:t>
      </w:r>
      <w:r w:rsidR="007355AD">
        <w:t xml:space="preserve"> that the primary judge did not err</w:t>
      </w:r>
      <w:r w:rsidR="009854FF">
        <w:t xml:space="preserve"> in his understanding of the legal principles to </w:t>
      </w:r>
      <w:proofErr w:type="gramStart"/>
      <w:r w:rsidR="009854FF">
        <w:t>be applied</w:t>
      </w:r>
      <w:proofErr w:type="gramEnd"/>
      <w:r w:rsidR="009854FF">
        <w:t xml:space="preserve">.  </w:t>
      </w:r>
      <w:r w:rsidR="007355AD">
        <w:t xml:space="preserve">We </w:t>
      </w:r>
      <w:proofErr w:type="gramStart"/>
      <w:r w:rsidR="007355AD">
        <w:t>are not persuaded</w:t>
      </w:r>
      <w:proofErr w:type="gramEnd"/>
      <w:r w:rsidR="007355AD">
        <w:t xml:space="preserve"> that </w:t>
      </w:r>
      <w:r w:rsidR="009854FF">
        <w:t xml:space="preserve">there is any proper basis on which </w:t>
      </w:r>
      <w:r w:rsidR="007355AD">
        <w:t>we should interfere with the primary judge’s findings on</w:t>
      </w:r>
      <w:r w:rsidR="009854FF">
        <w:t xml:space="preserve"> this issue</w:t>
      </w:r>
      <w:r w:rsidR="007355AD">
        <w:t>.</w:t>
      </w:r>
    </w:p>
    <w:p w14:paraId="48DE8DF5" w14:textId="799C78B9" w:rsidR="00DF469E" w:rsidRPr="00DF469E" w:rsidRDefault="00BC7D85" w:rsidP="00BC7D85">
      <w:pPr>
        <w:pStyle w:val="ParaNumbering"/>
        <w:numPr>
          <w:ilvl w:val="0"/>
          <w:numId w:val="0"/>
        </w:numPr>
        <w:ind w:hanging="720"/>
      </w:pPr>
      <w:r w:rsidRPr="00DF469E">
        <w:rPr>
          <w:sz w:val="20"/>
        </w:rPr>
        <w:t>192</w:t>
      </w:r>
      <w:r w:rsidRPr="00DF469E">
        <w:rPr>
          <w:sz w:val="20"/>
        </w:rPr>
        <w:tab/>
      </w:r>
      <w:r w:rsidR="002F37E1">
        <w:t xml:space="preserve">As to the </w:t>
      </w:r>
      <w:r w:rsidR="00DF469E">
        <w:t>crane signage,</w:t>
      </w:r>
      <w:r w:rsidR="00DF469E" w:rsidRPr="00DF469E">
        <w:t xml:space="preserve"> a number of images were tendered which appeared to show the mark HENLEY simpliciter o</w:t>
      </w:r>
      <w:r w:rsidR="00DF469E">
        <w:t xml:space="preserve">n Henley Constructions’ cranes.  </w:t>
      </w:r>
      <w:r w:rsidR="003C4A59">
        <w:t xml:space="preserve">In </w:t>
      </w:r>
      <w:proofErr w:type="gramStart"/>
      <w:r w:rsidR="003C4A59">
        <w:t>cross-examination</w:t>
      </w:r>
      <w:proofErr w:type="gramEnd"/>
      <w:r w:rsidR="003C4A59">
        <w:t xml:space="preserve"> </w:t>
      </w:r>
      <w:r w:rsidR="00DF469E" w:rsidRPr="00DF469E">
        <w:t xml:space="preserve">Mr </w:t>
      </w:r>
      <w:proofErr w:type="spellStart"/>
      <w:r w:rsidR="00DF469E" w:rsidRPr="00DF469E">
        <w:t>Sarkis</w:t>
      </w:r>
      <w:proofErr w:type="spellEnd"/>
      <w:r w:rsidR="00DF469E" w:rsidRPr="00DF469E">
        <w:t xml:space="preserve"> insisted that the word </w:t>
      </w:r>
      <w:r w:rsidR="00872DCE">
        <w:t>CONSTRUCTIONS</w:t>
      </w:r>
      <w:r w:rsidR="00DF469E" w:rsidRPr="00DF469E">
        <w:t xml:space="preserve"> also appeared in the images, presumably to suggest that the signs on the cranes were, in fact, HENLEY CONSTRUCTIONS and not HENLEY. </w:t>
      </w:r>
    </w:p>
    <w:p w14:paraId="1CF8C0C7" w14:textId="673BBBB2" w:rsidR="00DF469E" w:rsidRPr="00DF469E" w:rsidRDefault="00BC7D85" w:rsidP="00BC7D85">
      <w:pPr>
        <w:pStyle w:val="ParaNumbering"/>
        <w:numPr>
          <w:ilvl w:val="0"/>
          <w:numId w:val="0"/>
        </w:numPr>
        <w:ind w:hanging="720"/>
      </w:pPr>
      <w:r w:rsidRPr="00DF469E">
        <w:rPr>
          <w:sz w:val="20"/>
        </w:rPr>
        <w:t>193</w:t>
      </w:r>
      <w:r w:rsidRPr="00DF469E">
        <w:rPr>
          <w:sz w:val="20"/>
        </w:rPr>
        <w:tab/>
      </w:r>
      <w:r w:rsidR="00DF469E" w:rsidRPr="00DF469E">
        <w:t xml:space="preserve">Mr </w:t>
      </w:r>
      <w:proofErr w:type="spellStart"/>
      <w:r w:rsidR="00DF469E" w:rsidRPr="00DF469E">
        <w:t>Sarkis</w:t>
      </w:r>
      <w:proofErr w:type="spellEnd"/>
      <w:r w:rsidR="00DF469E" w:rsidRPr="00DF469E">
        <w:t xml:space="preserve"> </w:t>
      </w:r>
      <w:proofErr w:type="gramStart"/>
      <w:r w:rsidR="00DF469E" w:rsidRPr="00DF469E">
        <w:t>was challenged</w:t>
      </w:r>
      <w:proofErr w:type="gramEnd"/>
      <w:r w:rsidR="00DF469E" w:rsidRPr="00DF469E">
        <w:t xml:space="preserve"> with the proposition that, in fact, the word </w:t>
      </w:r>
      <w:r w:rsidR="00872DCE">
        <w:t>CONSTRUCTIONS</w:t>
      </w:r>
      <w:r w:rsidR="00494F0F">
        <w:t xml:space="preserve"> did not appear with HENLEY.  He</w:t>
      </w:r>
      <w:r w:rsidR="00DF469E" w:rsidRPr="00DF469E">
        <w:t xml:space="preserve"> maintained his position.  At </w:t>
      </w:r>
      <w:proofErr w:type="gramStart"/>
      <w:r w:rsidR="00DF469E" w:rsidRPr="00DF469E">
        <w:t>J[</w:t>
      </w:r>
      <w:proofErr w:type="gramEnd"/>
      <w:r w:rsidR="00DF469E" w:rsidRPr="00DF469E">
        <w:t xml:space="preserve">461(8)], the primary judge found that HENLEY was, in fact, fixed to the cranes and was used as a trade mark. </w:t>
      </w:r>
      <w:r w:rsidR="00DF469E">
        <w:t xml:space="preserve"> </w:t>
      </w:r>
      <w:r w:rsidR="00DF469E" w:rsidRPr="00DF469E">
        <w:t xml:space="preserve">It is tolerably clear that the primary judge rejected Mr </w:t>
      </w:r>
      <w:proofErr w:type="spellStart"/>
      <w:r w:rsidR="00DF469E" w:rsidRPr="00DF469E">
        <w:t>Sarkis’</w:t>
      </w:r>
      <w:r w:rsidR="00971981">
        <w:t>s</w:t>
      </w:r>
      <w:proofErr w:type="spellEnd"/>
      <w:r w:rsidR="00DF469E" w:rsidRPr="00DF469E">
        <w:t xml:space="preserve"> evidence on </w:t>
      </w:r>
      <w:r w:rsidR="00494F0F">
        <w:t xml:space="preserve">the presence of the word </w:t>
      </w:r>
      <w:r w:rsidR="00872DCE">
        <w:t>CONSTRUCTIONS, at least in conjunction with HENLEY.</w:t>
      </w:r>
    </w:p>
    <w:p w14:paraId="0E0864CB" w14:textId="453A437C" w:rsidR="00DF469E" w:rsidRPr="00DF469E" w:rsidRDefault="00BC7D85" w:rsidP="00BC7D85">
      <w:pPr>
        <w:pStyle w:val="ParaNumbering"/>
        <w:numPr>
          <w:ilvl w:val="0"/>
          <w:numId w:val="0"/>
        </w:numPr>
        <w:ind w:hanging="720"/>
      </w:pPr>
      <w:r w:rsidRPr="00DF469E">
        <w:rPr>
          <w:sz w:val="20"/>
        </w:rPr>
        <w:t>194</w:t>
      </w:r>
      <w:r w:rsidRPr="00DF469E">
        <w:rPr>
          <w:sz w:val="20"/>
        </w:rPr>
        <w:tab/>
      </w:r>
      <w:r w:rsidR="00DF469E">
        <w:t xml:space="preserve">We have viewed the images.  </w:t>
      </w:r>
      <w:r w:rsidR="00DF469E" w:rsidRPr="00DF469E">
        <w:t xml:space="preserve">In some of them, it is possible that the word </w:t>
      </w:r>
      <w:r w:rsidR="00290E9A">
        <w:t>CONSTRUCTIONS</w:t>
      </w:r>
      <w:r w:rsidR="00DF469E" w:rsidRPr="00DF469E">
        <w:t xml:space="preserve"> appears faintly in reverse lettering, thereby indicating the possibility that the word </w:t>
      </w:r>
      <w:r w:rsidR="00290E9A">
        <w:t>CONSTRUCTIONS</w:t>
      </w:r>
      <w:r w:rsidR="00DF469E" w:rsidRPr="00DF469E">
        <w:t xml:space="preserve"> was used on</w:t>
      </w:r>
      <w:r w:rsidR="00DF469E">
        <w:t xml:space="preserve"> a different part of the crane.  </w:t>
      </w:r>
      <w:r w:rsidR="00DF469E" w:rsidRPr="00DF469E">
        <w:t>However, even if that be so, the images still show the use of HENLEY not in immediate association</w:t>
      </w:r>
      <w:r w:rsidR="00DF469E">
        <w:t xml:space="preserve"> with the word </w:t>
      </w:r>
      <w:r w:rsidR="00290E9A">
        <w:t>CONSTRUCTIONS</w:t>
      </w:r>
      <w:r w:rsidR="00DF469E">
        <w:t xml:space="preserve">.  </w:t>
      </w:r>
      <w:r w:rsidR="00DF469E" w:rsidRPr="00DF469E">
        <w:t>We are not persuaded, therefore, that the primary judg</w:t>
      </w:r>
      <w:r w:rsidR="00494F0F">
        <w:t>e erred in finding that HENLEY</w:t>
      </w:r>
      <w:r w:rsidR="00DF469E" w:rsidRPr="00DF469E">
        <w:t xml:space="preserve"> was affixed </w:t>
      </w:r>
      <w:r w:rsidR="00494F0F">
        <w:t>to Henley Constructions’ cranes</w:t>
      </w:r>
      <w:r w:rsidR="00290E9A">
        <w:t>,</w:t>
      </w:r>
      <w:r w:rsidR="00494F0F">
        <w:t xml:space="preserve"> and used</w:t>
      </w:r>
      <w:r w:rsidR="00494F0F" w:rsidRPr="00494F0F">
        <w:t xml:space="preserve"> </w:t>
      </w:r>
      <w:r w:rsidR="00494F0F" w:rsidRPr="00DF469E">
        <w:t xml:space="preserve">as a </w:t>
      </w:r>
      <w:proofErr w:type="gramStart"/>
      <w:r w:rsidR="00494F0F" w:rsidRPr="00DF469E">
        <w:t>trade mark</w:t>
      </w:r>
      <w:proofErr w:type="gramEnd"/>
      <w:r w:rsidR="00494F0F">
        <w:t>.</w:t>
      </w:r>
    </w:p>
    <w:p w14:paraId="730F72B2" w14:textId="6EEE40D6" w:rsidR="002F37E1" w:rsidRDefault="00BC7D85" w:rsidP="00BC7D85">
      <w:pPr>
        <w:pStyle w:val="ParaNumbering"/>
        <w:numPr>
          <w:ilvl w:val="0"/>
          <w:numId w:val="0"/>
        </w:numPr>
        <w:ind w:hanging="720"/>
      </w:pPr>
      <w:proofErr w:type="gramStart"/>
      <w:r>
        <w:rPr>
          <w:sz w:val="20"/>
        </w:rPr>
        <w:t>195</w:t>
      </w:r>
      <w:r>
        <w:rPr>
          <w:sz w:val="20"/>
        </w:rPr>
        <w:tab/>
      </w:r>
      <w:r w:rsidR="00DF469E" w:rsidRPr="00DF469E">
        <w:t xml:space="preserve">Even if it be assumed that HENLEY CONSTRUCTIONS was used as part of the crane signage, contrary to the primary judge’s finding, this would not lead to a different outcome on trade mark infringement </w:t>
      </w:r>
      <w:r w:rsidR="0057382C">
        <w:t xml:space="preserve">in relation to the 820 mark </w:t>
      </w:r>
      <w:r w:rsidR="00DF469E" w:rsidRPr="00DF469E">
        <w:t>because the appellants accept that HENLEY CONSTRUCTIONS, as a trade mark, is deceptively similar to HENLEY</w:t>
      </w:r>
      <w:r w:rsidR="005742B4">
        <w:t xml:space="preserve"> and</w:t>
      </w:r>
      <w:r w:rsidR="00290E9A">
        <w:t>, for the reasons given above,</w:t>
      </w:r>
      <w:r w:rsidR="005742B4">
        <w:t xml:space="preserve"> we are not persuaded that the primary judge erred in finding that the 820 mark was validly registered</w:t>
      </w:r>
      <w:r w:rsidR="00DF469E" w:rsidRPr="00DF469E">
        <w:t>.</w:t>
      </w:r>
      <w:proofErr w:type="gramEnd"/>
    </w:p>
    <w:p w14:paraId="32B00449" w14:textId="59DF8495" w:rsidR="00AF427F" w:rsidRDefault="00BC7D85" w:rsidP="00BC7D85">
      <w:pPr>
        <w:pStyle w:val="ParaNumbering"/>
        <w:numPr>
          <w:ilvl w:val="0"/>
          <w:numId w:val="0"/>
        </w:numPr>
        <w:ind w:hanging="720"/>
      </w:pPr>
      <w:r>
        <w:rPr>
          <w:sz w:val="20"/>
        </w:rPr>
        <w:t>196</w:t>
      </w:r>
      <w:r>
        <w:rPr>
          <w:sz w:val="20"/>
        </w:rPr>
        <w:tab/>
      </w:r>
      <w:r w:rsidR="00AF427F">
        <w:t>For these reasons, Ground 9 of the notice of appeal does not succeed.</w:t>
      </w:r>
    </w:p>
    <w:p w14:paraId="25A13478" w14:textId="572B223C" w:rsidR="00621B8F" w:rsidRDefault="00BC7D85" w:rsidP="003A5B38">
      <w:pPr>
        <w:pStyle w:val="Heading1"/>
      </w:pPr>
      <w:bookmarkStart w:id="47" w:name="_Ref133418104"/>
      <w:r>
        <w:rPr>
          <w:caps w:val="0"/>
        </w:rPr>
        <w:lastRenderedPageBreak/>
        <w:t>INFRINGEMENT:  THE PRIOR USE DEFENCE</w:t>
      </w:r>
      <w:bookmarkEnd w:id="47"/>
    </w:p>
    <w:p w14:paraId="3466B22A" w14:textId="77777777" w:rsidR="002F37E1" w:rsidRDefault="002F37E1" w:rsidP="002F37E1">
      <w:pPr>
        <w:pStyle w:val="Heading2"/>
      </w:pPr>
      <w:r>
        <w:t>The appellants’ submissions</w:t>
      </w:r>
    </w:p>
    <w:p w14:paraId="62CDD58A" w14:textId="7208E253" w:rsidR="00ED0230" w:rsidRPr="00ED0230" w:rsidRDefault="00BC7D85" w:rsidP="00BC7D85">
      <w:pPr>
        <w:pStyle w:val="ParaNumbering"/>
        <w:numPr>
          <w:ilvl w:val="0"/>
          <w:numId w:val="0"/>
        </w:numPr>
        <w:ind w:hanging="720"/>
      </w:pPr>
      <w:r w:rsidRPr="00ED0230">
        <w:rPr>
          <w:sz w:val="20"/>
        </w:rPr>
        <w:t>197</w:t>
      </w:r>
      <w:r w:rsidRPr="00ED0230">
        <w:rPr>
          <w:sz w:val="20"/>
        </w:rPr>
        <w:tab/>
      </w:r>
      <w:r w:rsidR="00ED0230" w:rsidRPr="00ED0230">
        <w:t>Grounds 10 and 11 of the notice of appeal concern the appellants’ unsuccessful prior use defence.  This defence relates to the infringement of the 2016 registered marks—specifically, the 558 mark (HENLEY ESSENCE), the 561 mark (HENLEY RESERVE) and the 570 mark (HENLEY COLLECTION), all of which have the priority date of 2 November 2016.</w:t>
      </w:r>
    </w:p>
    <w:p w14:paraId="0D85F8A3" w14:textId="34A32681" w:rsidR="00ED0230" w:rsidRPr="00ED0230" w:rsidRDefault="00BC7D85" w:rsidP="00BC7D85">
      <w:pPr>
        <w:pStyle w:val="ParaNumbering"/>
        <w:numPr>
          <w:ilvl w:val="0"/>
          <w:numId w:val="0"/>
        </w:numPr>
        <w:ind w:hanging="720"/>
      </w:pPr>
      <w:r w:rsidRPr="00ED0230">
        <w:rPr>
          <w:sz w:val="20"/>
        </w:rPr>
        <w:t>198</w:t>
      </w:r>
      <w:r w:rsidRPr="00ED0230">
        <w:rPr>
          <w:sz w:val="20"/>
        </w:rPr>
        <w:tab/>
      </w:r>
      <w:r w:rsidR="00ED0230" w:rsidRPr="00ED0230">
        <w:t>The appellant</w:t>
      </w:r>
      <w:r w:rsidR="00E81B56">
        <w:t>s contend</w:t>
      </w:r>
      <w:r w:rsidR="00ED0230" w:rsidRPr="00ED0230">
        <w:t xml:space="preserve"> that Henley Constructions used the HENLEY CONSTRUCTIONS </w:t>
      </w:r>
      <w:r w:rsidR="00FD0631">
        <w:t>mark</w:t>
      </w:r>
      <w:r w:rsidR="00ED0230" w:rsidRPr="00ED0230">
        <w:t xml:space="preserve"> and the first Henley Constructions logo before </w:t>
      </w:r>
      <w:r w:rsidR="0069169A">
        <w:t>2 November 2016</w:t>
      </w:r>
      <w:r w:rsidR="00ED0230" w:rsidRPr="00ED0230">
        <w:t xml:space="preserve">, and that this “ought to have set the basis of a prior use defence” under </w:t>
      </w:r>
      <w:r w:rsidR="00ED0230" w:rsidRPr="00586452">
        <w:t>s</w:t>
      </w:r>
      <w:r w:rsidR="00ED0230" w:rsidRPr="005605B1">
        <w:t> </w:t>
      </w:r>
      <w:r w:rsidR="00ED0230" w:rsidRPr="00F54AA2">
        <w:t>124</w:t>
      </w:r>
      <w:r w:rsidR="00ED0230" w:rsidRPr="00ED0230">
        <w:t xml:space="preserve"> of the </w:t>
      </w:r>
      <w:r w:rsidR="00E81B56">
        <w:t xml:space="preserve">Trade Marks </w:t>
      </w:r>
      <w:r w:rsidR="00CC0ED0">
        <w:t xml:space="preserve">Act.  </w:t>
      </w:r>
    </w:p>
    <w:p w14:paraId="67A02F19" w14:textId="5BA06DDA" w:rsidR="00ED0230" w:rsidRDefault="00BC7D85" w:rsidP="00BC7D85">
      <w:pPr>
        <w:pStyle w:val="ParaNumbering"/>
        <w:numPr>
          <w:ilvl w:val="0"/>
          <w:numId w:val="0"/>
        </w:numPr>
        <w:ind w:hanging="720"/>
      </w:pPr>
      <w:r>
        <w:rPr>
          <w:sz w:val="20"/>
        </w:rPr>
        <w:t>199</w:t>
      </w:r>
      <w:r>
        <w:rPr>
          <w:sz w:val="20"/>
        </w:rPr>
        <w:tab/>
      </w:r>
      <w:r w:rsidR="00ED0230" w:rsidRPr="00ED0230">
        <w:t>It will be recalled that the primary judge found (at J[767]) that the respondent had</w:t>
      </w:r>
      <w:r w:rsidR="00523674">
        <w:t xml:space="preserve"> </w:t>
      </w:r>
      <w:r w:rsidR="00ED0230" w:rsidRPr="00ED0230">
        <w:t xml:space="preserve">first used HENLEY </w:t>
      </w:r>
      <w:r w:rsidR="00523674">
        <w:t>as a trade</w:t>
      </w:r>
      <w:r w:rsidR="00ED0230" w:rsidRPr="00ED0230">
        <w:t xml:space="preserve"> mark, </w:t>
      </w:r>
      <w:r w:rsidR="00523674">
        <w:t>before</w:t>
      </w:r>
      <w:r w:rsidR="00ED0230" w:rsidRPr="00ED0230">
        <w:t xml:space="preserve"> Henley Constructions</w:t>
      </w:r>
      <w:r w:rsidR="00523674">
        <w:t xml:space="preserve"> </w:t>
      </w:r>
      <w:r w:rsidR="0069169A">
        <w:t xml:space="preserve">had </w:t>
      </w:r>
      <w:r w:rsidR="00523674">
        <w:t>used HENLEY CONSTRUCTIONS as a trade mark</w:t>
      </w:r>
      <w:r w:rsidR="00ED0230" w:rsidRPr="00ED0230">
        <w:t xml:space="preserve">.  </w:t>
      </w:r>
      <w:r w:rsidR="00523674">
        <w:t>The primary judge reasoned as follows</w:t>
      </w:r>
      <w:r w:rsidR="00ED0230">
        <w:t xml:space="preserve">: </w:t>
      </w:r>
    </w:p>
    <w:p w14:paraId="073BC088" w14:textId="42052D1C" w:rsidR="00ED0230" w:rsidRDefault="00BC7D85" w:rsidP="00BC7D85">
      <w:pPr>
        <w:pStyle w:val="ListNo2"/>
        <w:numPr>
          <w:ilvl w:val="0"/>
          <w:numId w:val="0"/>
        </w:numPr>
        <w:tabs>
          <w:tab w:val="left" w:pos="1440"/>
        </w:tabs>
        <w:ind w:left="1440" w:hanging="720"/>
      </w:pPr>
      <w:r>
        <w:t>(a)</w:t>
      </w:r>
      <w:r>
        <w:tab/>
      </w:r>
      <w:r w:rsidR="00E81B56">
        <w:t>The</w:t>
      </w:r>
      <w:r w:rsidR="00ED0230" w:rsidRPr="00ED0230">
        <w:t xml:space="preserve"> respondent had used HENLEY as a </w:t>
      </w:r>
      <w:proofErr w:type="gramStart"/>
      <w:r w:rsidR="00ED0230" w:rsidRPr="00ED0230">
        <w:t>t</w:t>
      </w:r>
      <w:r w:rsidR="00E81B56">
        <w:t xml:space="preserve">rade </w:t>
      </w:r>
      <w:r w:rsidR="00ED0230">
        <w:t>mark</w:t>
      </w:r>
      <w:proofErr w:type="gramEnd"/>
      <w:r w:rsidR="00ED0230">
        <w:t xml:space="preserve"> cont</w:t>
      </w:r>
      <w:r w:rsidR="00E81B56">
        <w:t>inuously since 18 December 2006</w:t>
      </w:r>
      <w:r w:rsidR="003C4A59">
        <w:t xml:space="preserve"> (the date of registration of the 820 mark (HENLEY))</w:t>
      </w:r>
      <w:r w:rsidR="00E81B56">
        <w:t>.</w:t>
      </w:r>
      <w:r w:rsidR="00ED0230">
        <w:t xml:space="preserve"> </w:t>
      </w:r>
    </w:p>
    <w:p w14:paraId="1A55CAD8" w14:textId="685FE5F1" w:rsidR="00ED0230" w:rsidRDefault="00BC7D85" w:rsidP="00BC7D85">
      <w:pPr>
        <w:pStyle w:val="ListNo2"/>
        <w:numPr>
          <w:ilvl w:val="0"/>
          <w:numId w:val="0"/>
        </w:numPr>
        <w:tabs>
          <w:tab w:val="left" w:pos="1440"/>
        </w:tabs>
        <w:ind w:left="1440" w:hanging="720"/>
      </w:pPr>
      <w:r>
        <w:t>(b)</w:t>
      </w:r>
      <w:r>
        <w:tab/>
      </w:r>
      <w:r w:rsidR="00E81B56">
        <w:t>The</w:t>
      </w:r>
      <w:r w:rsidR="00ED0230" w:rsidRPr="00ED0230">
        <w:t xml:space="preserve"> “dominant memorable feature” of the 2016 registered marks is the word HENLEY, with the other words used in the marks (respectively, ESSENCE, RESERVE, and COLLECTION) functioning a</w:t>
      </w:r>
      <w:r w:rsidR="00E81B56">
        <w:t>s merely descriptive terms.</w:t>
      </w:r>
      <w:r w:rsidR="00ED0230">
        <w:t xml:space="preserve"> </w:t>
      </w:r>
    </w:p>
    <w:p w14:paraId="6853851A" w14:textId="62F4E772" w:rsidR="00ED0230" w:rsidRDefault="00BC7D85" w:rsidP="00BC7D85">
      <w:pPr>
        <w:pStyle w:val="ListNo2"/>
        <w:numPr>
          <w:ilvl w:val="0"/>
          <w:numId w:val="0"/>
        </w:numPr>
        <w:tabs>
          <w:tab w:val="left" w:pos="1440"/>
        </w:tabs>
        <w:ind w:left="1440" w:hanging="720"/>
      </w:pPr>
      <w:r>
        <w:t>(c)</w:t>
      </w:r>
      <w:r>
        <w:tab/>
      </w:r>
      <w:r w:rsidR="00E81B56">
        <w:t>The</w:t>
      </w:r>
      <w:r w:rsidR="00ED0230" w:rsidRPr="00ED0230">
        <w:t xml:space="preserve"> use of each of the 2016 </w:t>
      </w:r>
      <w:r w:rsidR="001C1D34">
        <w:t xml:space="preserve">registered </w:t>
      </w:r>
      <w:r w:rsidR="00ED0230" w:rsidRPr="00ED0230">
        <w:t xml:space="preserve">marks </w:t>
      </w:r>
      <w:r w:rsidR="0069169A">
        <w:t>was</w:t>
      </w:r>
      <w:r w:rsidR="00ED0230" w:rsidRPr="00ED0230">
        <w:t xml:space="preserve"> a use of HENLEY with an addition or alteration that does not affect the identity of the marks as HENLEY</w:t>
      </w:r>
      <w:r w:rsidR="00E81B56">
        <w:t>.</w:t>
      </w:r>
      <w:r w:rsidR="00ED0230">
        <w:t xml:space="preserve"> </w:t>
      </w:r>
    </w:p>
    <w:p w14:paraId="67261EF8" w14:textId="41793BB8" w:rsidR="00ED0230" w:rsidRDefault="00BC7D85" w:rsidP="00BC7D85">
      <w:pPr>
        <w:pStyle w:val="ListNo2"/>
        <w:numPr>
          <w:ilvl w:val="0"/>
          <w:numId w:val="0"/>
        </w:numPr>
        <w:tabs>
          <w:tab w:val="left" w:pos="1440"/>
        </w:tabs>
        <w:ind w:left="1440" w:hanging="720"/>
      </w:pPr>
      <w:r>
        <w:t>(d)</w:t>
      </w:r>
      <w:r>
        <w:tab/>
      </w:r>
      <w:r w:rsidR="00E81B56">
        <w:t>In</w:t>
      </w:r>
      <w:r w:rsidR="00ED0230" w:rsidRPr="00ED0230">
        <w:t xml:space="preserve"> other words, the use of HENLEY COLLECTION, HENLEY RESERVE, and HENLEY ESSENCE </w:t>
      </w:r>
      <w:r w:rsidR="0069169A">
        <w:t>was</w:t>
      </w:r>
      <w:r w:rsidR="00ED0230" w:rsidRPr="00ED0230">
        <w:t xml:space="preserve"> use of HENLEY</w:t>
      </w:r>
      <w:r w:rsidR="00FD0631" w:rsidRPr="00FD0631">
        <w:t xml:space="preserve"> </w:t>
      </w:r>
      <w:r w:rsidR="00FD0631">
        <w:t>as a</w:t>
      </w:r>
      <w:r w:rsidR="00FD0631" w:rsidRPr="00ED0230">
        <w:t xml:space="preserve"> </w:t>
      </w:r>
      <w:proofErr w:type="gramStart"/>
      <w:r w:rsidR="00FD0631" w:rsidRPr="00ED0230">
        <w:t>trade mark</w:t>
      </w:r>
      <w:proofErr w:type="gramEnd"/>
      <w:r w:rsidR="00355550">
        <w:t xml:space="preserve"> pursuant to s 7(1)</w:t>
      </w:r>
      <w:r w:rsidR="00E81B56">
        <w:t>.</w:t>
      </w:r>
      <w:r w:rsidR="00ED0230">
        <w:t xml:space="preserve"> </w:t>
      </w:r>
    </w:p>
    <w:p w14:paraId="3C7EF8D8" w14:textId="598E41A5" w:rsidR="00ED0230" w:rsidRDefault="00BC7D85" w:rsidP="00BC7D85">
      <w:pPr>
        <w:pStyle w:val="ListNo2"/>
        <w:numPr>
          <w:ilvl w:val="0"/>
          <w:numId w:val="0"/>
        </w:numPr>
        <w:tabs>
          <w:tab w:val="left" w:pos="1440"/>
        </w:tabs>
        <w:ind w:left="1440" w:hanging="720"/>
      </w:pPr>
      <w:r>
        <w:t>(e)</w:t>
      </w:r>
      <w:r>
        <w:tab/>
      </w:r>
      <w:r w:rsidR="00ED0230" w:rsidRPr="00ED0230">
        <w:t xml:space="preserve">Henley Constructions had not used the HENLEY CONSTRUCTIONS mark before the date </w:t>
      </w:r>
      <w:r w:rsidR="00D71A82">
        <w:t xml:space="preserve">of registration </w:t>
      </w:r>
      <w:r w:rsidR="00ED0230" w:rsidRPr="00ED0230">
        <w:t xml:space="preserve">of the </w:t>
      </w:r>
      <w:r w:rsidR="003C4A59">
        <w:t>820</w:t>
      </w:r>
      <w:r w:rsidR="003C4A59" w:rsidRPr="00ED0230">
        <w:t xml:space="preserve"> </w:t>
      </w:r>
      <w:r w:rsidR="00ED0230" w:rsidRPr="00ED0230">
        <w:t>mark</w:t>
      </w:r>
      <w:r w:rsidR="003C4A59">
        <w:t xml:space="preserve"> (HENLEY)</w:t>
      </w:r>
      <w:r w:rsidR="00ED0230" w:rsidRPr="00ED0230">
        <w:t>.</w:t>
      </w:r>
    </w:p>
    <w:p w14:paraId="6E1D4DC2" w14:textId="154A2C32" w:rsidR="00E81B56" w:rsidRDefault="00BC7D85" w:rsidP="00BC7D85">
      <w:pPr>
        <w:pStyle w:val="ListNo2"/>
        <w:numPr>
          <w:ilvl w:val="0"/>
          <w:numId w:val="0"/>
        </w:numPr>
        <w:tabs>
          <w:tab w:val="left" w:pos="1440"/>
        </w:tabs>
        <w:ind w:left="1440" w:hanging="720"/>
      </w:pPr>
      <w:r>
        <w:t>(f)</w:t>
      </w:r>
      <w:r>
        <w:tab/>
      </w:r>
      <w:r w:rsidR="00E81B56">
        <w:t>Accordingly, the date in s 124(1</w:t>
      </w:r>
      <w:proofErr w:type="gramStart"/>
      <w:r w:rsidR="00E81B56">
        <w:t>)(</w:t>
      </w:r>
      <w:proofErr w:type="gramEnd"/>
      <w:r w:rsidR="00DB4421">
        <w:t>e</w:t>
      </w:r>
      <w:r w:rsidR="00E81B56">
        <w:t>) applies when determining whether the defence is available</w:t>
      </w:r>
      <w:r w:rsidR="00DB4421">
        <w:t>, namely 18 December 2006</w:t>
      </w:r>
      <w:r w:rsidR="00E81B56">
        <w:t>.</w:t>
      </w:r>
    </w:p>
    <w:p w14:paraId="753CFCC4" w14:textId="217B6122" w:rsidR="00E81B56" w:rsidRPr="00ED0230" w:rsidRDefault="00BC7D85" w:rsidP="00BC7D85">
      <w:pPr>
        <w:pStyle w:val="ListNo2"/>
        <w:numPr>
          <w:ilvl w:val="0"/>
          <w:numId w:val="0"/>
        </w:numPr>
        <w:tabs>
          <w:tab w:val="left" w:pos="1440"/>
        </w:tabs>
        <w:ind w:left="1440" w:hanging="720"/>
      </w:pPr>
      <w:r w:rsidRPr="00ED0230">
        <w:t>(g)</w:t>
      </w:r>
      <w:r w:rsidRPr="00ED0230">
        <w:tab/>
      </w:r>
      <w:r w:rsidR="00E81B56">
        <w:t>Henley Constructions had not used the HENLEY CONSTRUCTIONS mark before that date.</w:t>
      </w:r>
    </w:p>
    <w:p w14:paraId="3FB9DD9E" w14:textId="46CC2A30" w:rsidR="009C77C5" w:rsidRDefault="00BC7D85" w:rsidP="00BC7D85">
      <w:pPr>
        <w:pStyle w:val="ParaNumbering"/>
        <w:numPr>
          <w:ilvl w:val="0"/>
          <w:numId w:val="0"/>
        </w:numPr>
        <w:ind w:hanging="720"/>
      </w:pPr>
      <w:r>
        <w:rPr>
          <w:sz w:val="20"/>
        </w:rPr>
        <w:t>200</w:t>
      </w:r>
      <w:r>
        <w:rPr>
          <w:sz w:val="20"/>
        </w:rPr>
        <w:tab/>
      </w:r>
      <w:r w:rsidR="009C77C5">
        <w:t xml:space="preserve">This reasoning led the primary judge to conclude, at </w:t>
      </w:r>
      <w:proofErr w:type="gramStart"/>
      <w:r w:rsidR="009C77C5">
        <w:t>J[</w:t>
      </w:r>
      <w:proofErr w:type="gramEnd"/>
      <w:r w:rsidR="009C77C5">
        <w:t>770], that Henley Constructions had not established a defence under s 124 of the Trade Marks Act.</w:t>
      </w:r>
    </w:p>
    <w:p w14:paraId="5877DE53" w14:textId="5EF3B74F" w:rsidR="00ED0230" w:rsidRPr="00ED0230" w:rsidRDefault="00BC7D85" w:rsidP="00BC7D85">
      <w:pPr>
        <w:pStyle w:val="ParaNumbering"/>
        <w:numPr>
          <w:ilvl w:val="0"/>
          <w:numId w:val="0"/>
        </w:numPr>
        <w:ind w:hanging="720"/>
      </w:pPr>
      <w:r w:rsidRPr="00ED0230">
        <w:rPr>
          <w:sz w:val="20"/>
        </w:rPr>
        <w:lastRenderedPageBreak/>
        <w:t>201</w:t>
      </w:r>
      <w:r w:rsidRPr="00ED0230">
        <w:rPr>
          <w:sz w:val="20"/>
        </w:rPr>
        <w:tab/>
      </w:r>
      <w:r w:rsidR="00ED0230" w:rsidRPr="00ED0230">
        <w:t>The appellants contend that</w:t>
      </w:r>
      <w:r w:rsidR="0069169A">
        <w:t>, in effect, the primary judge made a finding</w:t>
      </w:r>
      <w:r w:rsidR="00ED0230" w:rsidRPr="00ED0230">
        <w:t xml:space="preserve"> that the respondent’s use of HENLEY was a use of each </w:t>
      </w:r>
      <w:r w:rsidR="00CC0ED0">
        <w:t xml:space="preserve">of the 2016 registered marks.  </w:t>
      </w:r>
      <w:r w:rsidR="00ED0230" w:rsidRPr="00ED0230">
        <w:t xml:space="preserve">  </w:t>
      </w:r>
    </w:p>
    <w:p w14:paraId="0998ED86" w14:textId="578330CB" w:rsidR="009C77C5" w:rsidRDefault="00BC7D85" w:rsidP="00BC7D85">
      <w:pPr>
        <w:pStyle w:val="ParaNumbering"/>
        <w:numPr>
          <w:ilvl w:val="0"/>
          <w:numId w:val="0"/>
        </w:numPr>
        <w:ind w:hanging="720"/>
      </w:pPr>
      <w:r>
        <w:rPr>
          <w:sz w:val="20"/>
        </w:rPr>
        <w:t>202</w:t>
      </w:r>
      <w:r>
        <w:rPr>
          <w:sz w:val="20"/>
        </w:rPr>
        <w:tab/>
      </w:r>
      <w:r w:rsidR="00ED0230" w:rsidRPr="00ED0230">
        <w:t xml:space="preserve">The appellants further contend that the primary judge erred in finding that the second Henley Constructions logo, the third Henley Constructions logo and the crane signage (depicted in row I of the Particulars Table) </w:t>
      </w:r>
      <w:proofErr w:type="gramStart"/>
      <w:r w:rsidR="00ED0230" w:rsidRPr="00ED0230">
        <w:t>were not used</w:t>
      </w:r>
      <w:proofErr w:type="gramEnd"/>
      <w:r w:rsidR="00ED0230" w:rsidRPr="00ED0230">
        <w:t xml:space="preserve"> before the priority date of the 2016 </w:t>
      </w:r>
      <w:r w:rsidR="00CE06D3">
        <w:t>registered marks</w:t>
      </w:r>
      <w:r w:rsidR="00ED0230" w:rsidRPr="00ED0230">
        <w:t xml:space="preserve">.  </w:t>
      </w:r>
    </w:p>
    <w:p w14:paraId="4ADCD936" w14:textId="306616BD" w:rsidR="00312B72" w:rsidRDefault="00BC7D85" w:rsidP="00BC7D85">
      <w:pPr>
        <w:pStyle w:val="ParaNumbering"/>
        <w:numPr>
          <w:ilvl w:val="0"/>
          <w:numId w:val="0"/>
        </w:numPr>
        <w:ind w:hanging="720"/>
      </w:pPr>
      <w:r>
        <w:rPr>
          <w:sz w:val="20"/>
        </w:rPr>
        <w:t>203</w:t>
      </w:r>
      <w:r>
        <w:rPr>
          <w:sz w:val="20"/>
        </w:rPr>
        <w:tab/>
      </w:r>
      <w:r w:rsidR="00ED0230" w:rsidRPr="00ED0230">
        <w:t xml:space="preserve">In this connection, the appellants contend that the </w:t>
      </w:r>
      <w:r w:rsidR="000338D7">
        <w:t xml:space="preserve">second </w:t>
      </w:r>
      <w:r w:rsidR="00ED0230" w:rsidRPr="00ED0230">
        <w:t xml:space="preserve">Henley Constructions logo </w:t>
      </w:r>
      <w:r w:rsidR="000338D7">
        <w:t xml:space="preserve">and the third Henley Constructions logo </w:t>
      </w:r>
      <w:r w:rsidR="00ED0230" w:rsidRPr="00ED0230">
        <w:t xml:space="preserve">were </w:t>
      </w:r>
      <w:r w:rsidR="000338D7">
        <w:t>merely</w:t>
      </w:r>
      <w:r w:rsidR="00007F66">
        <w:t xml:space="preserve"> the</w:t>
      </w:r>
      <w:r w:rsidR="000338D7">
        <w:t xml:space="preserve"> first Henley Constructions logo with additions or alterations that do not substantially affect the identity </w:t>
      </w:r>
      <w:r w:rsidR="000338D7" w:rsidRPr="00ED0230">
        <w:t>of the first Henley Constructions logo</w:t>
      </w:r>
      <w:r w:rsidR="000338D7">
        <w:t xml:space="preserve">.  So considered, </w:t>
      </w:r>
      <w:r w:rsidR="00ED0230" w:rsidRPr="00ED0230">
        <w:t>the use of all three logos should be attributed to the earliest use of the fir</w:t>
      </w:r>
      <w:r w:rsidR="00CC0ED0">
        <w:t xml:space="preserve">st Henley Constructions logo.  </w:t>
      </w:r>
      <w:r w:rsidR="00ED0230" w:rsidRPr="00ED0230">
        <w:t xml:space="preserve">The appellants contend, therefore, that the primary judge should have found that the prior use defence applied to the use of the HENLEY CONSTRUCTIONS mark, and </w:t>
      </w:r>
      <w:r w:rsidR="000338D7">
        <w:t xml:space="preserve">all </w:t>
      </w:r>
      <w:r w:rsidR="00ED0230" w:rsidRPr="00ED0230">
        <w:t xml:space="preserve">the Henley Constructions logos.  </w:t>
      </w:r>
    </w:p>
    <w:p w14:paraId="1585DAEA" w14:textId="6F948959" w:rsidR="00312B72" w:rsidRDefault="00BC7D85" w:rsidP="00BC7D85">
      <w:pPr>
        <w:pStyle w:val="ParaNumbering"/>
        <w:numPr>
          <w:ilvl w:val="0"/>
          <w:numId w:val="0"/>
        </w:numPr>
        <w:ind w:hanging="720"/>
      </w:pPr>
      <w:r>
        <w:rPr>
          <w:sz w:val="20"/>
        </w:rPr>
        <w:t>204</w:t>
      </w:r>
      <w:r>
        <w:rPr>
          <w:sz w:val="20"/>
        </w:rPr>
        <w:tab/>
      </w:r>
      <w:r w:rsidR="0069169A">
        <w:t>The appellants made no separate submission in respect of Henley Constructions</w:t>
      </w:r>
      <w:r w:rsidR="00DB4421">
        <w:t>’</w:t>
      </w:r>
      <w:r w:rsidR="0069169A">
        <w:t xml:space="preserve"> use of </w:t>
      </w:r>
      <w:r w:rsidR="00DB4421">
        <w:t xml:space="preserve">the </w:t>
      </w:r>
      <w:r w:rsidR="0069169A">
        <w:t>crane signage, although Groun</w:t>
      </w:r>
      <w:r w:rsidR="00312B72">
        <w:t>d</w:t>
      </w:r>
      <w:r w:rsidR="0069169A">
        <w:t xml:space="preserve"> 11 specifically refers to</w:t>
      </w:r>
      <w:r w:rsidR="00312B72">
        <w:t xml:space="preserve"> such signage.  The particulars to Ground 11 include particular (b):</w:t>
      </w:r>
    </w:p>
    <w:p w14:paraId="4B2C04DF" w14:textId="3BE8FA0C" w:rsidR="00312B72" w:rsidRDefault="00312B72" w:rsidP="00312B72">
      <w:pPr>
        <w:pStyle w:val="Quote1"/>
      </w:pPr>
      <w:r>
        <w:t>The primary judge erred in finding that HENLEY (</w:t>
      </w:r>
      <w:proofErr w:type="spellStart"/>
      <w:r>
        <w:t>solus</w:t>
      </w:r>
      <w:proofErr w:type="spellEnd"/>
      <w:r>
        <w:t>) was affixed to a crane as opposed to signage including the word CONSTRUCTIONS appearing under HENLEY and in doing so made a finding of fact that was not open on the evidence or which was against the evidence or without regard to the whole evidence …</w:t>
      </w:r>
      <w:r w:rsidR="00BE4E0A">
        <w:t>.</w:t>
      </w:r>
    </w:p>
    <w:p w14:paraId="72C3ABE3" w14:textId="77777777" w:rsidR="00D71A82" w:rsidRDefault="00D71A82" w:rsidP="00312B72">
      <w:pPr>
        <w:pStyle w:val="Heading2"/>
      </w:pPr>
      <w:r>
        <w:t>Analysis</w:t>
      </w:r>
    </w:p>
    <w:p w14:paraId="57A60B3D" w14:textId="71E16960" w:rsidR="007E02FF" w:rsidRPr="007E02FF" w:rsidRDefault="00BC7D85" w:rsidP="00BC7D85">
      <w:pPr>
        <w:pStyle w:val="ParaNumbering"/>
        <w:numPr>
          <w:ilvl w:val="0"/>
          <w:numId w:val="0"/>
        </w:numPr>
        <w:ind w:hanging="720"/>
      </w:pPr>
      <w:r w:rsidRPr="007E02FF">
        <w:rPr>
          <w:sz w:val="20"/>
        </w:rPr>
        <w:t>205</w:t>
      </w:r>
      <w:r w:rsidRPr="007E02FF">
        <w:rPr>
          <w:sz w:val="20"/>
        </w:rPr>
        <w:tab/>
      </w:r>
      <w:r w:rsidR="007E02FF" w:rsidRPr="007E02FF">
        <w:t>We are satisfied that the primary judge erred in concluding that the s</w:t>
      </w:r>
      <w:r w:rsidR="007E02FF">
        <w:t> </w:t>
      </w:r>
      <w:r w:rsidR="007E02FF" w:rsidRPr="007E02FF">
        <w:t>124 defence does not apply to the infringements of the 2016 registered marks by Henley Constructions’ use of the HENLEY CONSTRUCTIONS mark.</w:t>
      </w:r>
    </w:p>
    <w:p w14:paraId="180A1308" w14:textId="4E4616B1" w:rsidR="007E02FF" w:rsidRPr="007E02FF" w:rsidRDefault="00BC7D85" w:rsidP="00BC7D85">
      <w:pPr>
        <w:pStyle w:val="ParaNumbering"/>
        <w:numPr>
          <w:ilvl w:val="0"/>
          <w:numId w:val="0"/>
        </w:numPr>
        <w:ind w:hanging="720"/>
      </w:pPr>
      <w:r w:rsidRPr="007E02FF">
        <w:rPr>
          <w:sz w:val="20"/>
        </w:rPr>
        <w:t>206</w:t>
      </w:r>
      <w:r w:rsidRPr="007E02FF">
        <w:rPr>
          <w:sz w:val="20"/>
        </w:rPr>
        <w:tab/>
      </w:r>
      <w:r w:rsidR="007E02FF" w:rsidRPr="007E02FF">
        <w:t xml:space="preserve">The primary judge’s finding at J[768] that the use of the 2016 registered marks constituted use of the HENLEY </w:t>
      </w:r>
      <w:r w:rsidR="00E81B56" w:rsidRPr="007E02FF">
        <w:t xml:space="preserve">mark </w:t>
      </w:r>
      <w:r w:rsidR="007E02FF" w:rsidRPr="007E02FF">
        <w:t xml:space="preserve">(with additions or alterations that do not substantially affect the identity of HENLEY </w:t>
      </w:r>
      <w:r w:rsidR="006F39FF">
        <w:t>a</w:t>
      </w:r>
      <w:r w:rsidR="007E02FF" w:rsidRPr="007E02FF">
        <w:t xml:space="preserve">s a mark), </w:t>
      </w:r>
      <w:r w:rsidR="008A35ED">
        <w:t>was not the inquiry which s 124</w:t>
      </w:r>
      <w:r w:rsidR="00DB4421">
        <w:t xml:space="preserve"> </w:t>
      </w:r>
      <w:r w:rsidR="008A35ED">
        <w:t>demanded</w:t>
      </w:r>
      <w:r w:rsidR="007E02FF" w:rsidRPr="007E02FF">
        <w:t xml:space="preserve">.  </w:t>
      </w:r>
      <w:r w:rsidR="008A35ED">
        <w:t>Section 124</w:t>
      </w:r>
      <w:r w:rsidR="00DB4421">
        <w:t xml:space="preserve"> </w:t>
      </w:r>
      <w:r w:rsidR="008A35ED">
        <w:t xml:space="preserve">directs attention to the registered mark that </w:t>
      </w:r>
      <w:proofErr w:type="gramStart"/>
      <w:r w:rsidR="008A35ED">
        <w:t>is alleged to have been infringed</w:t>
      </w:r>
      <w:proofErr w:type="gramEnd"/>
      <w:r w:rsidR="008A35ED">
        <w:t>.  It asks the question whether</w:t>
      </w:r>
      <w:r w:rsidR="000C7FC3">
        <w:t xml:space="preserve"> the alleged infringer used the alleged infringing mark before the date of registration of the registered mark or the date of first use of </w:t>
      </w:r>
      <w:r w:rsidR="00DB4421">
        <w:t>that</w:t>
      </w:r>
      <w:r w:rsidR="000C7FC3">
        <w:t xml:space="preserve"> mark (whichever is earlier).  </w:t>
      </w:r>
      <w:r w:rsidR="008A35ED">
        <w:t xml:space="preserve">Henley Constructions was not raising the </w:t>
      </w:r>
      <w:r w:rsidR="00DB4421">
        <w:t xml:space="preserve">s 124 </w:t>
      </w:r>
      <w:r w:rsidR="008A35ED">
        <w:t xml:space="preserve">defence in respect of the alleged infringement of the 820 mark </w:t>
      </w:r>
      <w:r w:rsidR="000C7FC3">
        <w:t>(HENLEY)</w:t>
      </w:r>
      <w:r w:rsidR="00DB4421">
        <w:t>,</w:t>
      </w:r>
      <w:r w:rsidR="000C7FC3">
        <w:t xml:space="preserve"> </w:t>
      </w:r>
      <w:r w:rsidR="008A35ED">
        <w:t>but in respect of the alleged infringement</w:t>
      </w:r>
      <w:r w:rsidR="000C7FC3">
        <w:t>s</w:t>
      </w:r>
      <w:r w:rsidR="008A35ED">
        <w:t xml:space="preserve"> of the 558 mark, the 561 mark</w:t>
      </w:r>
      <w:r w:rsidR="000C7FC3">
        <w:t>,</w:t>
      </w:r>
      <w:r w:rsidR="008A35ED">
        <w:t xml:space="preserve"> and the 570 mark</w:t>
      </w:r>
      <w:r w:rsidR="000C7FC3">
        <w:t>, respectively</w:t>
      </w:r>
      <w:r w:rsidR="008A35ED">
        <w:t xml:space="preserve">.   The starting point for the primary judge should have </w:t>
      </w:r>
      <w:r w:rsidR="008A35ED">
        <w:lastRenderedPageBreak/>
        <w:t xml:space="preserve">been </w:t>
      </w:r>
      <w:r w:rsidR="000C7FC3">
        <w:t xml:space="preserve">the date of registration or </w:t>
      </w:r>
      <w:r w:rsidR="008A35ED">
        <w:t xml:space="preserve">first use of each of </w:t>
      </w:r>
      <w:r w:rsidR="000C7FC3">
        <w:t>those</w:t>
      </w:r>
      <w:r w:rsidR="008A35ED">
        <w:t xml:space="preserve"> marks, not the </w:t>
      </w:r>
      <w:r w:rsidR="000C7FC3">
        <w:t xml:space="preserve">date of registration or </w:t>
      </w:r>
      <w:r w:rsidR="008A35ED">
        <w:t xml:space="preserve">first use of </w:t>
      </w:r>
      <w:r w:rsidR="000C7FC3">
        <w:t>the 820 mark</w:t>
      </w:r>
      <w:r w:rsidR="008A35ED">
        <w:t>.</w:t>
      </w:r>
    </w:p>
    <w:p w14:paraId="5588D4A6" w14:textId="2C58306A" w:rsidR="007E02FF" w:rsidRPr="007E02FF" w:rsidRDefault="00BC7D85" w:rsidP="00BC7D85">
      <w:pPr>
        <w:pStyle w:val="ParaNumbering"/>
        <w:numPr>
          <w:ilvl w:val="0"/>
          <w:numId w:val="0"/>
        </w:numPr>
        <w:ind w:hanging="720"/>
      </w:pPr>
      <w:proofErr w:type="gramStart"/>
      <w:r w:rsidRPr="007E02FF">
        <w:rPr>
          <w:sz w:val="20"/>
        </w:rPr>
        <w:t>207</w:t>
      </w:r>
      <w:r w:rsidRPr="007E02FF">
        <w:rPr>
          <w:sz w:val="20"/>
        </w:rPr>
        <w:tab/>
      </w:r>
      <w:r w:rsidR="000C7FC3">
        <w:t>Can it be said</w:t>
      </w:r>
      <w:proofErr w:type="gramEnd"/>
      <w:r w:rsidR="000C7FC3">
        <w:t xml:space="preserve"> that the respondent’s use of HENLEY was a use of the 558 mark (HENLEY ESSENCE), the 561 mark (HENLEY RESERVE), or the 570 mark (HENLEY COLLECTION)? </w:t>
      </w:r>
      <w:r w:rsidR="007E02FF" w:rsidRPr="007E02FF">
        <w:t xml:space="preserve">While each of the 2016 registered marks includes the word HENLEY, each </w:t>
      </w:r>
      <w:r w:rsidR="00A72D3E">
        <w:t xml:space="preserve">registered </w:t>
      </w:r>
      <w:r w:rsidR="007E02FF" w:rsidRPr="007E02FF">
        <w:t>mark is more than simply that word.  Each mark is a compoun</w:t>
      </w:r>
      <w:r w:rsidR="00E81B56">
        <w:t>d mark with a separate identity</w:t>
      </w:r>
      <w:r w:rsidR="007E02FF" w:rsidRPr="007E02FF">
        <w:t xml:space="preserve"> based on the </w:t>
      </w:r>
      <w:r w:rsidR="00A72D3E">
        <w:t>inseparable presence</w:t>
      </w:r>
      <w:r w:rsidR="007E02FF" w:rsidRPr="007E02FF">
        <w:t xml:space="preserve"> of ESSENCE, RESERVE, and COLLECTION</w:t>
      </w:r>
      <w:r w:rsidR="00A72D3E">
        <w:t>, respectively</w:t>
      </w:r>
      <w:r w:rsidR="007E02FF" w:rsidRPr="007E02FF">
        <w:t xml:space="preserve">.  In our view, those additional words </w:t>
      </w:r>
      <w:r w:rsidR="00DB69D7">
        <w:t>are integral to</w:t>
      </w:r>
      <w:r w:rsidR="007E02FF" w:rsidRPr="007E02FF">
        <w:t xml:space="preserve"> the identity of each </w:t>
      </w:r>
      <w:r w:rsidR="00A72D3E">
        <w:t xml:space="preserve">registered </w:t>
      </w:r>
      <w:r w:rsidR="007E02FF" w:rsidRPr="007E02FF">
        <w:t xml:space="preserve">mark.  They are not mere </w:t>
      </w:r>
      <w:proofErr w:type="spellStart"/>
      <w:r w:rsidR="007E02FF" w:rsidRPr="007E02FF">
        <w:t>surplusage</w:t>
      </w:r>
      <w:proofErr w:type="spellEnd"/>
      <w:r w:rsidR="007E02FF" w:rsidRPr="007E02FF">
        <w:t xml:space="preserve"> </w:t>
      </w:r>
      <w:r w:rsidR="00A72D3E">
        <w:t>that</w:t>
      </w:r>
      <w:r w:rsidR="007E02FF" w:rsidRPr="007E02FF">
        <w:t xml:space="preserve"> </w:t>
      </w:r>
      <w:proofErr w:type="gramStart"/>
      <w:r w:rsidR="007E02FF" w:rsidRPr="007E02FF">
        <w:t>can be ignored</w:t>
      </w:r>
      <w:proofErr w:type="gramEnd"/>
      <w:r w:rsidR="007E02FF" w:rsidRPr="007E02FF">
        <w:t xml:space="preserve">.  Accordingly, we are not persuaded that the </w:t>
      </w:r>
      <w:r w:rsidR="00DB4421">
        <w:t xml:space="preserve">respondent’s </w:t>
      </w:r>
      <w:r w:rsidR="007E02FF" w:rsidRPr="007E02FF">
        <w:t xml:space="preserve">use of HENLEY </w:t>
      </w:r>
      <w:r w:rsidR="00DB4421">
        <w:t>was</w:t>
      </w:r>
      <w:r w:rsidR="007E02FF" w:rsidRPr="007E02FF">
        <w:t xml:space="preserve"> a use of HENLEY ESSENCE, HENLEY </w:t>
      </w:r>
      <w:r w:rsidR="00A72D3E">
        <w:t>RESERVE, or HENLEY COLLECTION</w:t>
      </w:r>
      <w:r w:rsidR="00A72D3E" w:rsidRPr="00A72D3E">
        <w:t xml:space="preserve"> </w:t>
      </w:r>
      <w:proofErr w:type="gramStart"/>
      <w:r w:rsidR="00A72D3E">
        <w:t>for the purpose of</w:t>
      </w:r>
      <w:proofErr w:type="gramEnd"/>
      <w:r w:rsidR="00A72D3E">
        <w:t xml:space="preserve"> considering the s 124 defence.</w:t>
      </w:r>
    </w:p>
    <w:p w14:paraId="7D52CDBA" w14:textId="1D8C59A7" w:rsidR="00D71A82" w:rsidRDefault="00BC7D85" w:rsidP="00BC7D85">
      <w:pPr>
        <w:pStyle w:val="ParaNumbering"/>
        <w:numPr>
          <w:ilvl w:val="0"/>
          <w:numId w:val="0"/>
        </w:numPr>
        <w:ind w:hanging="720"/>
      </w:pPr>
      <w:r>
        <w:rPr>
          <w:sz w:val="20"/>
        </w:rPr>
        <w:t>208</w:t>
      </w:r>
      <w:r>
        <w:rPr>
          <w:sz w:val="20"/>
        </w:rPr>
        <w:tab/>
      </w:r>
      <w:r w:rsidR="007E02FF" w:rsidRPr="007E02FF">
        <w:t xml:space="preserve">The primary judge </w:t>
      </w:r>
      <w:r w:rsidR="008B1CCE">
        <w:t xml:space="preserve">noted (at </w:t>
      </w:r>
      <w:proofErr w:type="gramStart"/>
      <w:r w:rsidR="008B1CCE">
        <w:t>J[</w:t>
      </w:r>
      <w:proofErr w:type="gramEnd"/>
      <w:r w:rsidR="008B1CCE">
        <w:t xml:space="preserve">761]) that the respondent </w:t>
      </w:r>
      <w:r w:rsidR="007E02FF" w:rsidRPr="007E02FF">
        <w:t>accepted that</w:t>
      </w:r>
      <w:r w:rsidR="008B1CCE">
        <w:t xml:space="preserve"> the relevant date for considering the s 124 defence is 2 November 2016.  His Honour found that</w:t>
      </w:r>
      <w:r w:rsidR="007E02FF" w:rsidRPr="007E02FF">
        <w:t xml:space="preserve"> Henley Constructions </w:t>
      </w:r>
      <w:r w:rsidR="004A160E">
        <w:t xml:space="preserve">had </w:t>
      </w:r>
      <w:r w:rsidR="007E02FF" w:rsidRPr="007E02FF">
        <w:t>continuously used the HENLEY CONSTRUCTIONS mark in relation to services for which the 2016 registered marks are registered</w:t>
      </w:r>
      <w:r w:rsidR="008B1CCE">
        <w:t>,</w:t>
      </w:r>
      <w:r w:rsidR="007E02FF" w:rsidRPr="007E02FF">
        <w:t xml:space="preserve"> </w:t>
      </w:r>
      <w:r w:rsidR="004A160E">
        <w:t>including</w:t>
      </w:r>
      <w:r w:rsidR="007E02FF" w:rsidRPr="007E02FF">
        <w:t xml:space="preserve"> before 2 November 2016.  </w:t>
      </w:r>
      <w:proofErr w:type="gramStart"/>
      <w:r w:rsidR="007E02FF" w:rsidRPr="007E02FF">
        <w:t>On the basis of</w:t>
      </w:r>
      <w:proofErr w:type="gramEnd"/>
      <w:r w:rsidR="007E02FF" w:rsidRPr="007E02FF">
        <w:t xml:space="preserve"> that finding, we see no reason why the defence under s 124 of the </w:t>
      </w:r>
      <w:r w:rsidR="00DE7D43">
        <w:t xml:space="preserve">Trade Marks </w:t>
      </w:r>
      <w:r w:rsidR="007E02FF" w:rsidRPr="007E02FF">
        <w:t>Act does not apply to Henley Constructions’ use of that mark.  The primary judge e</w:t>
      </w:r>
      <w:r w:rsidR="009C77C5">
        <w:t>rred in finding to the contrary.</w:t>
      </w:r>
    </w:p>
    <w:p w14:paraId="6CAB4836" w14:textId="5CE37856" w:rsidR="001B1DC8" w:rsidRDefault="00BC7D85" w:rsidP="00BC7D85">
      <w:pPr>
        <w:pStyle w:val="ParaNumbering"/>
        <w:numPr>
          <w:ilvl w:val="0"/>
          <w:numId w:val="0"/>
        </w:numPr>
        <w:ind w:hanging="720"/>
      </w:pPr>
      <w:r>
        <w:rPr>
          <w:sz w:val="20"/>
        </w:rPr>
        <w:t>209</w:t>
      </w:r>
      <w:r>
        <w:rPr>
          <w:sz w:val="20"/>
        </w:rPr>
        <w:tab/>
      </w:r>
      <w:r w:rsidR="0038693C">
        <w:t>Ground 10 of the notice of appeal also contends, in substance, that the primary judge</w:t>
      </w:r>
      <w:r w:rsidR="009C77C5">
        <w:t xml:space="preserve"> </w:t>
      </w:r>
      <w:r w:rsidR="0038693C">
        <w:t xml:space="preserve">erred in finding that the first Henley Constructions logo </w:t>
      </w:r>
      <w:proofErr w:type="gramStart"/>
      <w:r w:rsidR="0038693C">
        <w:t>was not used</w:t>
      </w:r>
      <w:proofErr w:type="gramEnd"/>
      <w:r w:rsidR="0038693C">
        <w:t xml:space="preserve"> before the date of registration of the 2016 registered marks.  However, it does not appear to us that the primary judge made any findi</w:t>
      </w:r>
      <w:r w:rsidR="00A55D5D">
        <w:t>ng in that regard in relation to the s 124 defence.</w:t>
      </w:r>
      <w:r w:rsidR="009C77C5">
        <w:t xml:space="preserve">  This may have been because Henley Constructions pleaded no such allegation in its defence:  see paragraphs 35 to 39 of the First </w:t>
      </w:r>
      <w:r w:rsidR="00CC0ED0">
        <w:t xml:space="preserve">Respondent’s Amended Defence.  </w:t>
      </w:r>
      <w:r w:rsidR="00A55D5D">
        <w:t xml:space="preserve"> </w:t>
      </w:r>
    </w:p>
    <w:p w14:paraId="01FE3256" w14:textId="1DB2513E" w:rsidR="00AF427F" w:rsidRDefault="00BC7D85" w:rsidP="00BC7D85">
      <w:pPr>
        <w:pStyle w:val="ParaNumbering"/>
        <w:numPr>
          <w:ilvl w:val="0"/>
          <w:numId w:val="0"/>
        </w:numPr>
        <w:ind w:hanging="720"/>
      </w:pPr>
      <w:r>
        <w:rPr>
          <w:sz w:val="20"/>
        </w:rPr>
        <w:t>210</w:t>
      </w:r>
      <w:r>
        <w:rPr>
          <w:sz w:val="20"/>
        </w:rPr>
        <w:tab/>
      </w:r>
      <w:r w:rsidR="00A55D5D">
        <w:t>That said</w:t>
      </w:r>
      <w:proofErr w:type="gramStart"/>
      <w:r w:rsidR="00A55D5D">
        <w:t>,</w:t>
      </w:r>
      <w:proofErr w:type="gramEnd"/>
      <w:r w:rsidR="00A55D5D">
        <w:t xml:space="preserve"> the primary judge accepted the respondent’s case on infringement with respect to Henley Constructions’ use of the first Henley Constructions logo, with reference to the Particulars Table.  The Particulars Table identifies that the first Henley Constructions logo</w:t>
      </w:r>
      <w:r w:rsidR="0038693C">
        <w:t xml:space="preserve"> </w:t>
      </w:r>
      <w:proofErr w:type="gramStart"/>
      <w:r w:rsidR="00A55D5D">
        <w:t>was used</w:t>
      </w:r>
      <w:proofErr w:type="gramEnd"/>
      <w:r w:rsidR="00A55D5D">
        <w:t xml:space="preserve"> on Henley Constructions’ website from November 2009 to about February 2015 and on signage at various locations from early 2009 to February 2016.</w:t>
      </w:r>
      <w:r w:rsidR="00661C44">
        <w:t xml:space="preserve">  </w:t>
      </w:r>
    </w:p>
    <w:p w14:paraId="0FDDC451" w14:textId="4F196E89" w:rsidR="0038693C" w:rsidRDefault="00BC7D85" w:rsidP="00BC7D85">
      <w:pPr>
        <w:pStyle w:val="ParaNumbering"/>
        <w:numPr>
          <w:ilvl w:val="0"/>
          <w:numId w:val="0"/>
        </w:numPr>
        <w:ind w:hanging="720"/>
      </w:pPr>
      <w:proofErr w:type="gramStart"/>
      <w:r>
        <w:rPr>
          <w:sz w:val="20"/>
        </w:rPr>
        <w:t>211</w:t>
      </w:r>
      <w:r>
        <w:rPr>
          <w:sz w:val="20"/>
        </w:rPr>
        <w:tab/>
      </w:r>
      <w:r w:rsidR="00661C44">
        <w:t xml:space="preserve">While these uses are before the date of registration of the 2016 </w:t>
      </w:r>
      <w:r w:rsidR="008D4300">
        <w:t xml:space="preserve">registered </w:t>
      </w:r>
      <w:r w:rsidR="00661C44">
        <w:t xml:space="preserve">marks, they do not fully address the inquiry mandated by s 124, which is an inquiry as to </w:t>
      </w:r>
      <w:r w:rsidR="004A16FE">
        <w:t xml:space="preserve">the </w:t>
      </w:r>
      <w:r w:rsidR="00661C44">
        <w:t xml:space="preserve">continuous use of the </w:t>
      </w:r>
      <w:r w:rsidR="00661C44">
        <w:lastRenderedPageBreak/>
        <w:t>impugned mark in the course of trade before the earlier of the date of registration of the registered mark or the date of first use of the registered mark</w:t>
      </w:r>
      <w:r w:rsidR="00BA714C">
        <w:t>, up</w:t>
      </w:r>
      <w:r w:rsidR="001B1DC8">
        <w:t xml:space="preserve"> to the </w:t>
      </w:r>
      <w:r w:rsidR="00BA714C">
        <w:t>time</w:t>
      </w:r>
      <w:r w:rsidR="001B1DC8">
        <w:t xml:space="preserve"> of infringement</w:t>
      </w:r>
      <w:r w:rsidR="00661C44">
        <w:t>.</w:t>
      </w:r>
      <w:proofErr w:type="gramEnd"/>
    </w:p>
    <w:p w14:paraId="49C11E4F" w14:textId="5EC88EC1" w:rsidR="00673481" w:rsidRDefault="00BC7D85" w:rsidP="00BC7D85">
      <w:pPr>
        <w:pStyle w:val="ParaNumbering"/>
        <w:numPr>
          <w:ilvl w:val="0"/>
          <w:numId w:val="0"/>
        </w:numPr>
        <w:ind w:hanging="720"/>
      </w:pPr>
      <w:proofErr w:type="gramStart"/>
      <w:r>
        <w:rPr>
          <w:sz w:val="20"/>
        </w:rPr>
        <w:t>212</w:t>
      </w:r>
      <w:r>
        <w:rPr>
          <w:sz w:val="20"/>
        </w:rPr>
        <w:tab/>
      </w:r>
      <w:r w:rsidR="00BA714C">
        <w:t>It is appropriate that we mention, at this point, the respondent’s position that, despite the findings made by the primary judge in relation to the application of the s 124 defence in respect of Henley Constructions</w:t>
      </w:r>
      <w:r w:rsidR="007F1158">
        <w:t>’</w:t>
      </w:r>
      <w:r w:rsidR="00BA714C">
        <w:t xml:space="preserve"> use of HENLEY CONSTRUCTIONS as a trade mark</w:t>
      </w:r>
      <w:r w:rsidR="007F1158">
        <w:t>, the case it advanced at trial in relation to the s 124 defence proceeded on a “narrower basis” and concerned only the Post-November 2016 Signs:  see [72] – [73] above.</w:t>
      </w:r>
      <w:proofErr w:type="gramEnd"/>
      <w:r w:rsidR="007F1158">
        <w:t xml:space="preserve">  These signs included the second Henley Constructions logo, the third Henley Constructions logo</w:t>
      </w:r>
      <w:r w:rsidR="00FA6AC9">
        <w:t>,</w:t>
      </w:r>
      <w:r w:rsidR="007F1158">
        <w:t xml:space="preserve"> and the crane signage.</w:t>
      </w:r>
      <w:r w:rsidR="009C77C5">
        <w:t xml:space="preserve">  </w:t>
      </w:r>
    </w:p>
    <w:p w14:paraId="10B4A71A" w14:textId="46F92335" w:rsidR="00BA714C" w:rsidRDefault="00BC7D85" w:rsidP="00BC7D85">
      <w:pPr>
        <w:pStyle w:val="ParaNumbering"/>
        <w:numPr>
          <w:ilvl w:val="0"/>
          <w:numId w:val="0"/>
        </w:numPr>
        <w:ind w:hanging="720"/>
      </w:pPr>
      <w:r>
        <w:rPr>
          <w:sz w:val="20"/>
        </w:rPr>
        <w:t>213</w:t>
      </w:r>
      <w:r>
        <w:rPr>
          <w:sz w:val="20"/>
        </w:rPr>
        <w:tab/>
      </w:r>
      <w:r w:rsidR="009C77C5">
        <w:t xml:space="preserve">At J[771], the primary judge made an alternative finding that, if he was wrong in his </w:t>
      </w:r>
      <w:r w:rsidR="00673481">
        <w:t>principal finding at J[770]—that Henley Constructions had not established a defence under s 124 of the Trade Marks Act—then he would hold that, as at 2 November 2016, Henley Constructions had not used the Post-November 2016 Signs.</w:t>
      </w:r>
    </w:p>
    <w:p w14:paraId="7D7B4138" w14:textId="29A2007A" w:rsidR="0046434A" w:rsidRDefault="00BC7D85" w:rsidP="00BC7D85">
      <w:pPr>
        <w:pStyle w:val="ParaNumbering"/>
        <w:numPr>
          <w:ilvl w:val="0"/>
          <w:numId w:val="0"/>
        </w:numPr>
        <w:ind w:hanging="720"/>
      </w:pPr>
      <w:proofErr w:type="gramStart"/>
      <w:r>
        <w:rPr>
          <w:sz w:val="20"/>
        </w:rPr>
        <w:t>214</w:t>
      </w:r>
      <w:r>
        <w:rPr>
          <w:sz w:val="20"/>
        </w:rPr>
        <w:tab/>
      </w:r>
      <w:r w:rsidR="00CE261D">
        <w:t xml:space="preserve">As we have noted, the appellants </w:t>
      </w:r>
      <w:r w:rsidR="00673481">
        <w:t xml:space="preserve">challenge this finding by </w:t>
      </w:r>
      <w:r w:rsidR="00CE261D">
        <w:t>contend</w:t>
      </w:r>
      <w:r w:rsidR="00673481">
        <w:t>ing</w:t>
      </w:r>
      <w:r w:rsidR="00CE261D">
        <w:t xml:space="preserve"> that the </w:t>
      </w:r>
      <w:r w:rsidR="00994546">
        <w:t xml:space="preserve">use of the </w:t>
      </w:r>
      <w:r w:rsidR="00CE261D">
        <w:t>s</w:t>
      </w:r>
      <w:r w:rsidR="00673481">
        <w:t>econd Henley Constructions logo and</w:t>
      </w:r>
      <w:r w:rsidR="00CE261D">
        <w:t xml:space="preserve"> the third Henley Constructions logo were, in substance, use of the first Henley Constructions logo with additions or alterations that do not substantially affect the identity of the first Henley Constructions logo as a trade mark</w:t>
      </w:r>
      <w:r w:rsidR="00FA6AC9">
        <w:t>, and that Henley Constructions had used the first Henley Constructions logo before 2 November 2016</w:t>
      </w:r>
      <w:r w:rsidR="00CE261D">
        <w:t>.</w:t>
      </w:r>
      <w:proofErr w:type="gramEnd"/>
    </w:p>
    <w:p w14:paraId="7C820B0F" w14:textId="6A8273D1" w:rsidR="00673481" w:rsidRDefault="00BC7D85" w:rsidP="00BC7D85">
      <w:pPr>
        <w:pStyle w:val="ParaNumbering"/>
        <w:numPr>
          <w:ilvl w:val="0"/>
          <w:numId w:val="0"/>
        </w:numPr>
        <w:ind w:hanging="720"/>
      </w:pPr>
      <w:r>
        <w:rPr>
          <w:sz w:val="20"/>
        </w:rPr>
        <w:t>215</w:t>
      </w:r>
      <w:r>
        <w:rPr>
          <w:sz w:val="20"/>
        </w:rPr>
        <w:tab/>
      </w:r>
      <w:r w:rsidR="00673481">
        <w:t>The respondent does not contend that this was not an issue before the primary judge.  Rather, it contends</w:t>
      </w:r>
      <w:r w:rsidR="0046434A">
        <w:t xml:space="preserve"> tha</w:t>
      </w:r>
      <w:r w:rsidR="00673481">
        <w:t>t s 7(1) of the Trade Marks Act</w:t>
      </w:r>
      <w:r w:rsidR="0046434A">
        <w:t xml:space="preserve"> cannot be invoked when applying the prior use defence under s 124 in respect of the use of an unregistered </w:t>
      </w:r>
      <w:proofErr w:type="gramStart"/>
      <w:r w:rsidR="0046434A">
        <w:t>trade mark</w:t>
      </w:r>
      <w:proofErr w:type="gramEnd"/>
      <w:r w:rsidR="0046434A">
        <w:t xml:space="preserve">.  </w:t>
      </w:r>
    </w:p>
    <w:p w14:paraId="23EF3942" w14:textId="1009FED9" w:rsidR="00BB3E09" w:rsidRDefault="00BC7D85" w:rsidP="00BC7D85">
      <w:pPr>
        <w:pStyle w:val="ParaNumbering"/>
        <w:numPr>
          <w:ilvl w:val="0"/>
          <w:numId w:val="0"/>
        </w:numPr>
        <w:ind w:hanging="720"/>
      </w:pPr>
      <w:r>
        <w:rPr>
          <w:sz w:val="20"/>
        </w:rPr>
        <w:t>216</w:t>
      </w:r>
      <w:r>
        <w:rPr>
          <w:sz w:val="20"/>
        </w:rPr>
        <w:tab/>
      </w:r>
      <w:r w:rsidR="00673481">
        <w:t xml:space="preserve">In this connection, it </w:t>
      </w:r>
      <w:r w:rsidR="0046434A">
        <w:t xml:space="preserve">submits that s 7(1) provides “guidance” </w:t>
      </w:r>
      <w:r w:rsidR="00FA6AC9">
        <w:t xml:space="preserve">only </w:t>
      </w:r>
      <w:r w:rsidR="0046434A">
        <w:t xml:space="preserve">in respect of registered </w:t>
      </w:r>
      <w:proofErr w:type="spellStart"/>
      <w:proofErr w:type="gramStart"/>
      <w:r w:rsidR="0046434A">
        <w:t>trade marks</w:t>
      </w:r>
      <w:proofErr w:type="spellEnd"/>
      <w:proofErr w:type="gramEnd"/>
      <w:r w:rsidR="0046434A">
        <w:t xml:space="preserve">.  It submits that the Court should take a purposive approach to the construction of s 7(1) and that support for its position is provided by </w:t>
      </w:r>
      <w:r w:rsidR="0046434A" w:rsidRPr="0046434A">
        <w:rPr>
          <w:i/>
        </w:rPr>
        <w:t xml:space="preserve">Optical 88 </w:t>
      </w:r>
      <w:r w:rsidR="0046434A">
        <w:t xml:space="preserve">at [177] and </w:t>
      </w:r>
      <w:r w:rsidR="0046434A" w:rsidRPr="00586452">
        <w:rPr>
          <w:i/>
        </w:rPr>
        <w:t xml:space="preserve">Urban Alley Brewery Pty Ltd v La </w:t>
      </w:r>
      <w:proofErr w:type="spellStart"/>
      <w:r w:rsidR="0046434A" w:rsidRPr="00586452">
        <w:rPr>
          <w:i/>
        </w:rPr>
        <w:t>Sirene</w:t>
      </w:r>
      <w:proofErr w:type="spellEnd"/>
      <w:r w:rsidR="0046434A" w:rsidRPr="00586452">
        <w:rPr>
          <w:i/>
        </w:rPr>
        <w:t xml:space="preserve"> Pty Ltd</w:t>
      </w:r>
      <w:r w:rsidR="009C153A" w:rsidRPr="005605B1">
        <w:t xml:space="preserve"> [</w:t>
      </w:r>
      <w:r w:rsidR="0046434A" w:rsidRPr="00F54AA2">
        <w:t>202</w:t>
      </w:r>
      <w:r w:rsidR="009C153A" w:rsidRPr="00F54AA2">
        <w:t>0] FCA 82;</w:t>
      </w:r>
      <w:r w:rsidR="0046434A" w:rsidRPr="00F3575C">
        <w:t xml:space="preserve"> 150 IPR 11</w:t>
      </w:r>
      <w:r w:rsidR="00436A07">
        <w:t xml:space="preserve"> (</w:t>
      </w:r>
      <w:r w:rsidR="00436A07" w:rsidRPr="00436A07">
        <w:rPr>
          <w:b/>
          <w:i/>
        </w:rPr>
        <w:t>Urban Alley</w:t>
      </w:r>
      <w:r w:rsidR="00436A07">
        <w:t>)</w:t>
      </w:r>
      <w:r w:rsidR="0046434A">
        <w:t xml:space="preserve"> at [228] – [229].</w:t>
      </w:r>
    </w:p>
    <w:p w14:paraId="2B7467BA" w14:textId="16031A05" w:rsidR="00436A07" w:rsidRDefault="00BC7D85" w:rsidP="00BC7D85">
      <w:pPr>
        <w:pStyle w:val="ParaNumbering"/>
        <w:numPr>
          <w:ilvl w:val="0"/>
          <w:numId w:val="0"/>
        </w:numPr>
        <w:ind w:hanging="720"/>
      </w:pPr>
      <w:r>
        <w:rPr>
          <w:sz w:val="20"/>
        </w:rPr>
        <w:t>217</w:t>
      </w:r>
      <w:r>
        <w:rPr>
          <w:sz w:val="20"/>
        </w:rPr>
        <w:tab/>
      </w:r>
      <w:r w:rsidR="00BB3E09">
        <w:t xml:space="preserve">We do not agree that s 7(1) of the Trade Marks Act only applies to the use of registered </w:t>
      </w:r>
      <w:proofErr w:type="spellStart"/>
      <w:proofErr w:type="gramStart"/>
      <w:r w:rsidR="00BB3E09">
        <w:t>trade marks</w:t>
      </w:r>
      <w:proofErr w:type="spellEnd"/>
      <w:proofErr w:type="gramEnd"/>
      <w:r w:rsidR="00BB3E09">
        <w:t xml:space="preserve"> and cannot be used in establishing the defence under s 124.  In terms, s 7(1) refers to the use of a </w:t>
      </w:r>
      <w:r w:rsidR="00436A07">
        <w:t>“</w:t>
      </w:r>
      <w:r w:rsidR="00BB3E09">
        <w:t>trade mark</w:t>
      </w:r>
      <w:r w:rsidR="00436A07">
        <w:t>”</w:t>
      </w:r>
      <w:r w:rsidR="00BB3E09">
        <w:t>, not a “registered trade mark</w:t>
      </w:r>
      <w:r w:rsidR="00436A07">
        <w:t>”</w:t>
      </w:r>
      <w:r w:rsidR="00BB3E09">
        <w:t xml:space="preserve">.  Both expressions </w:t>
      </w:r>
      <w:proofErr w:type="gramStart"/>
      <w:r w:rsidR="00BB3E09">
        <w:t>are defined</w:t>
      </w:r>
      <w:proofErr w:type="gramEnd"/>
      <w:r w:rsidR="00BB3E09">
        <w:t xml:space="preserve"> in the Trade Marks Act.  </w:t>
      </w:r>
    </w:p>
    <w:p w14:paraId="2BBC20BD" w14:textId="1158C826" w:rsidR="00BB3E09" w:rsidRDefault="00BC7D85" w:rsidP="00BC7D85">
      <w:pPr>
        <w:pStyle w:val="ParaNumbering"/>
        <w:numPr>
          <w:ilvl w:val="0"/>
          <w:numId w:val="0"/>
        </w:numPr>
        <w:ind w:hanging="720"/>
      </w:pPr>
      <w:proofErr w:type="gramStart"/>
      <w:r>
        <w:rPr>
          <w:sz w:val="20"/>
        </w:rPr>
        <w:t>218</w:t>
      </w:r>
      <w:r>
        <w:rPr>
          <w:sz w:val="20"/>
        </w:rPr>
        <w:tab/>
      </w:r>
      <w:r w:rsidR="00BB3E09">
        <w:t>A</w:t>
      </w:r>
      <w:proofErr w:type="gramEnd"/>
      <w:r w:rsidR="00BB3E09">
        <w:t xml:space="preserve"> “trade mark” is defined as having the mea</w:t>
      </w:r>
      <w:r w:rsidR="00DF469E">
        <w:t xml:space="preserve">ning of s </w:t>
      </w:r>
      <w:r w:rsidR="00DF469E" w:rsidRPr="00586452">
        <w:t>17</w:t>
      </w:r>
      <w:r w:rsidR="00DF469E">
        <w:t xml:space="preserve">, which provides: </w:t>
      </w:r>
      <w:r w:rsidR="009B1148">
        <w:t xml:space="preserve"> </w:t>
      </w:r>
    </w:p>
    <w:p w14:paraId="6B40C827" w14:textId="77777777" w:rsidR="009B1148" w:rsidRDefault="009B1148" w:rsidP="009B1148">
      <w:pPr>
        <w:pStyle w:val="Quote1"/>
      </w:pPr>
      <w:r>
        <w:t xml:space="preserve">A </w:t>
      </w:r>
      <w:proofErr w:type="gramStart"/>
      <w:r w:rsidRPr="009B1148">
        <w:rPr>
          <w:b/>
          <w:i/>
        </w:rPr>
        <w:t>trade mark</w:t>
      </w:r>
      <w:proofErr w:type="gramEnd"/>
      <w:r>
        <w:t xml:space="preserve"> is a sign used, or intended to be used, to distinguish goods or services dealt with or provided in the course of trade by a person from goods or services so </w:t>
      </w:r>
      <w:r>
        <w:lastRenderedPageBreak/>
        <w:t>dealt with or provided by any other person.</w:t>
      </w:r>
    </w:p>
    <w:p w14:paraId="2F4B63AD" w14:textId="77777777" w:rsidR="009B1148" w:rsidRPr="009E15D4" w:rsidRDefault="009E15D4" w:rsidP="009E15D4">
      <w:pPr>
        <w:pStyle w:val="Quote1"/>
        <w:tabs>
          <w:tab w:val="left" w:pos="1418"/>
        </w:tabs>
        <w:rPr>
          <w:sz w:val="20"/>
        </w:rPr>
      </w:pPr>
      <w:r w:rsidRPr="009E15D4">
        <w:rPr>
          <w:sz w:val="20"/>
        </w:rPr>
        <w:t>Note:</w:t>
      </w:r>
      <w:r w:rsidRPr="009E15D4">
        <w:rPr>
          <w:sz w:val="20"/>
        </w:rPr>
        <w:tab/>
      </w:r>
      <w:r w:rsidR="009B1148" w:rsidRPr="009E15D4">
        <w:rPr>
          <w:sz w:val="20"/>
        </w:rPr>
        <w:t xml:space="preserve">For </w:t>
      </w:r>
      <w:proofErr w:type="gramStart"/>
      <w:r w:rsidR="009B1148" w:rsidRPr="009E15D4">
        <w:rPr>
          <w:b/>
          <w:i/>
          <w:sz w:val="20"/>
        </w:rPr>
        <w:t>sign</w:t>
      </w:r>
      <w:proofErr w:type="gramEnd"/>
      <w:r w:rsidR="009B1148" w:rsidRPr="009E15D4">
        <w:rPr>
          <w:sz w:val="20"/>
        </w:rPr>
        <w:t xml:space="preserve"> see section 6.</w:t>
      </w:r>
    </w:p>
    <w:p w14:paraId="7A3B9FB6" w14:textId="52A7FB19" w:rsidR="00BB3E09" w:rsidRDefault="00BC7D85" w:rsidP="00BC7D85">
      <w:pPr>
        <w:pStyle w:val="ParaNumbering"/>
        <w:numPr>
          <w:ilvl w:val="0"/>
          <w:numId w:val="0"/>
        </w:numPr>
        <w:ind w:hanging="720"/>
      </w:pPr>
      <w:r>
        <w:rPr>
          <w:sz w:val="20"/>
        </w:rPr>
        <w:t>219</w:t>
      </w:r>
      <w:r>
        <w:rPr>
          <w:sz w:val="20"/>
        </w:rPr>
        <w:tab/>
      </w:r>
      <w:r w:rsidR="00BB3E09">
        <w:t xml:space="preserve">Unquestionably, this definition applies to an unregistered </w:t>
      </w:r>
      <w:proofErr w:type="gramStart"/>
      <w:r w:rsidR="00BB3E09">
        <w:t>trade mark</w:t>
      </w:r>
      <w:proofErr w:type="gramEnd"/>
      <w:r w:rsidR="00BB3E09">
        <w:t>.</w:t>
      </w:r>
    </w:p>
    <w:p w14:paraId="5C6B0E57" w14:textId="268836B8" w:rsidR="00436A07" w:rsidRDefault="00BC7D85" w:rsidP="00BC7D85">
      <w:pPr>
        <w:pStyle w:val="ParaNumbering"/>
        <w:numPr>
          <w:ilvl w:val="0"/>
          <w:numId w:val="0"/>
        </w:numPr>
        <w:ind w:hanging="720"/>
      </w:pPr>
      <w:r>
        <w:rPr>
          <w:sz w:val="20"/>
        </w:rPr>
        <w:t>220</w:t>
      </w:r>
      <w:r>
        <w:rPr>
          <w:sz w:val="20"/>
        </w:rPr>
        <w:tab/>
      </w:r>
      <w:r w:rsidR="00BB3E09">
        <w:t xml:space="preserve">A “registered trade mark” </w:t>
      </w:r>
      <w:proofErr w:type="gramStart"/>
      <w:r w:rsidR="00BB3E09">
        <w:t>is defined</w:t>
      </w:r>
      <w:proofErr w:type="gramEnd"/>
      <w:r w:rsidR="00BB3E09">
        <w:t xml:space="preserve"> in the Trade Marks Act as meaning “a trade mark whose particulars are entered in the Register under this Act”.  </w:t>
      </w:r>
    </w:p>
    <w:p w14:paraId="1211F7F3" w14:textId="77C6F3E9" w:rsidR="00BB3E09" w:rsidRDefault="00BC7D85" w:rsidP="00BC7D85">
      <w:pPr>
        <w:pStyle w:val="ParaNumbering"/>
        <w:numPr>
          <w:ilvl w:val="0"/>
          <w:numId w:val="0"/>
        </w:numPr>
        <w:ind w:hanging="720"/>
      </w:pPr>
      <w:r>
        <w:rPr>
          <w:sz w:val="20"/>
        </w:rPr>
        <w:t>221</w:t>
      </w:r>
      <w:r>
        <w:rPr>
          <w:sz w:val="20"/>
        </w:rPr>
        <w:tab/>
      </w:r>
      <w:r w:rsidR="00BB3E09">
        <w:t xml:space="preserve">Plainly, the Trade Marks Act itself draws a distinction between a “trade mark” and a “registered trade mark”, when it is necessary to do so.  Section 7(1) draws no such distinction.  </w:t>
      </w:r>
      <w:r w:rsidR="000410BA">
        <w:t xml:space="preserve">It simply refers to the use of a “trade mark”.  The provision </w:t>
      </w:r>
      <w:proofErr w:type="gramStart"/>
      <w:r w:rsidR="00BB3E09">
        <w:t>should be given</w:t>
      </w:r>
      <w:proofErr w:type="gramEnd"/>
      <w:r w:rsidR="00BB3E09">
        <w:t xml:space="preserve"> a meaning and application according to its terms.  There is no reason why </w:t>
      </w:r>
      <w:r w:rsidR="00ED76F2">
        <w:t>this beneficial</w:t>
      </w:r>
      <w:r w:rsidR="00BB3E09">
        <w:t xml:space="preserve"> </w:t>
      </w:r>
      <w:r w:rsidR="000410BA">
        <w:t>provision</w:t>
      </w:r>
      <w:r w:rsidR="00BB3E09">
        <w:t xml:space="preserve"> </w:t>
      </w:r>
      <w:proofErr w:type="gramStart"/>
      <w:r w:rsidR="00BB3E09">
        <w:t>should be read</w:t>
      </w:r>
      <w:proofErr w:type="gramEnd"/>
      <w:r w:rsidR="00BB3E09">
        <w:t xml:space="preserve"> down by the insertion of qualifying words</w:t>
      </w:r>
      <w:r w:rsidR="00ED76F2">
        <w:t>,</w:t>
      </w:r>
      <w:r w:rsidR="00BB3E09">
        <w:t xml:space="preserve"> </w:t>
      </w:r>
      <w:r w:rsidR="00436A07">
        <w:t>or words of limitation</w:t>
      </w:r>
      <w:r w:rsidR="00ED76F2">
        <w:t>,</w:t>
      </w:r>
      <w:r w:rsidR="00436A07">
        <w:t xml:space="preserve"> </w:t>
      </w:r>
      <w:r w:rsidR="00BB3E09">
        <w:t xml:space="preserve">which Parliament </w:t>
      </w:r>
      <w:r w:rsidR="00ED76F2">
        <w:t xml:space="preserve">itself </w:t>
      </w:r>
      <w:r w:rsidR="00BB3E09">
        <w:t xml:space="preserve">did not see fit to </w:t>
      </w:r>
      <w:r w:rsidR="000410BA">
        <w:t>use</w:t>
      </w:r>
      <w:r w:rsidR="00BB3E09">
        <w:t>.</w:t>
      </w:r>
    </w:p>
    <w:p w14:paraId="5661DEAC" w14:textId="60D21D9D" w:rsidR="0046434A" w:rsidRDefault="00BC7D85" w:rsidP="00BC7D85">
      <w:pPr>
        <w:pStyle w:val="ParaNumbering"/>
        <w:numPr>
          <w:ilvl w:val="0"/>
          <w:numId w:val="0"/>
        </w:numPr>
        <w:ind w:hanging="720"/>
      </w:pPr>
      <w:r>
        <w:rPr>
          <w:sz w:val="20"/>
        </w:rPr>
        <w:t>222</w:t>
      </w:r>
      <w:r>
        <w:rPr>
          <w:sz w:val="20"/>
        </w:rPr>
        <w:tab/>
      </w:r>
      <w:r w:rsidR="00BB3E09">
        <w:t xml:space="preserve">The decisions in </w:t>
      </w:r>
      <w:r w:rsidR="00BB3E09" w:rsidRPr="00436A07">
        <w:rPr>
          <w:i/>
        </w:rPr>
        <w:t>Optical 88</w:t>
      </w:r>
      <w:r w:rsidR="00BB3E09">
        <w:t xml:space="preserve"> and </w:t>
      </w:r>
      <w:r w:rsidR="00BB3E09" w:rsidRPr="00436A07">
        <w:rPr>
          <w:i/>
        </w:rPr>
        <w:t>Urban Alley</w:t>
      </w:r>
      <w:r w:rsidR="00BB3E09">
        <w:t xml:space="preserve"> do not compel a different conclusion.  </w:t>
      </w:r>
      <w:r w:rsidR="009C153A">
        <w:t xml:space="preserve">There is nothing in the respondent’s citation of </w:t>
      </w:r>
      <w:r w:rsidR="009C153A" w:rsidRPr="009C153A">
        <w:rPr>
          <w:i/>
        </w:rPr>
        <w:t>Optical 88</w:t>
      </w:r>
      <w:r w:rsidR="00CC0ED0">
        <w:t xml:space="preserve"> that supports its contention.  </w:t>
      </w:r>
      <w:r w:rsidR="009C153A">
        <w:t xml:space="preserve">The respondent’s citation of </w:t>
      </w:r>
      <w:r w:rsidR="009C153A" w:rsidRPr="000410BA">
        <w:rPr>
          <w:i/>
        </w:rPr>
        <w:t>Urban Alley</w:t>
      </w:r>
      <w:r w:rsidR="000410BA">
        <w:t xml:space="preserve"> is misplaced.  In that case, O’Bryan J </w:t>
      </w:r>
      <w:r w:rsidR="00CC0ED0">
        <w:t>did not express the view that s </w:t>
      </w:r>
      <w:r w:rsidR="000410BA">
        <w:t xml:space="preserve">7(1) has no role to play in the s 124 defence.  Rather, his Honour </w:t>
      </w:r>
      <w:proofErr w:type="gramStart"/>
      <w:r w:rsidR="000410BA">
        <w:t>found (at [229]) that s 7(1) did not assist the respondent in that case</w:t>
      </w:r>
      <w:proofErr w:type="gramEnd"/>
      <w:r w:rsidR="000410BA">
        <w:t>.  His Honour found that, while the word “pale” is descriptive of beer, the removal of that word from the mark URBAN PALE substantially altered the mark.</w:t>
      </w:r>
      <w:r w:rsidR="00CE261D">
        <w:t xml:space="preserve">  </w:t>
      </w:r>
    </w:p>
    <w:p w14:paraId="03A84B93" w14:textId="35217D56" w:rsidR="00157AED" w:rsidRDefault="00BC7D85" w:rsidP="00BC7D85">
      <w:pPr>
        <w:pStyle w:val="ParaNumbering"/>
        <w:numPr>
          <w:ilvl w:val="0"/>
          <w:numId w:val="0"/>
        </w:numPr>
        <w:ind w:hanging="720"/>
      </w:pPr>
      <w:r>
        <w:rPr>
          <w:sz w:val="20"/>
        </w:rPr>
        <w:t>223</w:t>
      </w:r>
      <w:r>
        <w:rPr>
          <w:sz w:val="20"/>
        </w:rPr>
        <w:tab/>
      </w:r>
      <w:r w:rsidR="00BB3E09">
        <w:t>Further, we</w:t>
      </w:r>
      <w:r w:rsidR="00CE261D">
        <w:t xml:space="preserve"> a</w:t>
      </w:r>
      <w:r w:rsidR="00BB3E09">
        <w:t xml:space="preserve">gree </w:t>
      </w:r>
      <w:r w:rsidR="00CD2930">
        <w:t xml:space="preserve">with </w:t>
      </w:r>
      <w:r w:rsidR="00BB3E09">
        <w:t xml:space="preserve">the appellants’ </w:t>
      </w:r>
      <w:r w:rsidR="00673481">
        <w:t>contention</w:t>
      </w:r>
      <w:r w:rsidR="00CE261D">
        <w:t xml:space="preserve"> </w:t>
      </w:r>
      <w:r w:rsidR="00BB3E09">
        <w:t>that</w:t>
      </w:r>
      <w:r w:rsidR="00CE261D">
        <w:t xml:space="preserve"> </w:t>
      </w:r>
      <w:r w:rsidR="00CD2930">
        <w:t xml:space="preserve">use of </w:t>
      </w:r>
      <w:r w:rsidR="00CE261D">
        <w:t xml:space="preserve">the second Henley Constructions logo and </w:t>
      </w:r>
      <w:r w:rsidR="00CD2930">
        <w:t xml:space="preserve">use of </w:t>
      </w:r>
      <w:r w:rsidR="00CE261D">
        <w:t>the third Henley Constructions logo</w:t>
      </w:r>
      <w:r w:rsidR="00BB3E09">
        <w:t xml:space="preserve"> </w:t>
      </w:r>
      <w:r w:rsidR="00264787">
        <w:t>can be taken as</w:t>
      </w:r>
      <w:r w:rsidR="00BB3E09">
        <w:t xml:space="preserve"> a use of the first Henley Constructions logo</w:t>
      </w:r>
      <w:r w:rsidR="00CD2930">
        <w:t xml:space="preserve"> with alterations that do not affect the identity of the first Henley Constructions logo as a </w:t>
      </w:r>
      <w:proofErr w:type="gramStart"/>
      <w:r w:rsidR="00CD2930">
        <w:t>trade mark</w:t>
      </w:r>
      <w:proofErr w:type="gramEnd"/>
      <w:r w:rsidR="00CE261D">
        <w:t xml:space="preserve">.  </w:t>
      </w:r>
    </w:p>
    <w:p w14:paraId="6A67E6C5" w14:textId="19DC57D0" w:rsidR="00CE261D" w:rsidRDefault="00BC7D85" w:rsidP="00BC7D85">
      <w:pPr>
        <w:pStyle w:val="ParaNumbering"/>
        <w:numPr>
          <w:ilvl w:val="0"/>
          <w:numId w:val="0"/>
        </w:numPr>
        <w:ind w:hanging="720"/>
      </w:pPr>
      <w:proofErr w:type="gramStart"/>
      <w:r>
        <w:rPr>
          <w:sz w:val="20"/>
        </w:rPr>
        <w:t>224</w:t>
      </w:r>
      <w:r>
        <w:rPr>
          <w:sz w:val="20"/>
        </w:rPr>
        <w:tab/>
      </w:r>
      <w:r w:rsidR="00CE261D">
        <w:t>As it does not appear to be in dispute that Henley Constructions used the first Henley Constructions logo before 2 November 2016,</w:t>
      </w:r>
      <w:r w:rsidR="00673481">
        <w:t xml:space="preserve"> and as the only point taken on appeal by the respondent is its argument based on the limits of s 7(1) of the Trade Marks Act (which we have rejected),</w:t>
      </w:r>
      <w:r w:rsidR="00CE261D">
        <w:t xml:space="preserve"> it follows that</w:t>
      </w:r>
      <w:r w:rsidR="00E940F2">
        <w:t>, as argued,</w:t>
      </w:r>
      <w:r w:rsidR="00CE261D">
        <w:t xml:space="preserve"> the defence under s 124 of the Trade Marks Act applies to Henley Constructions’ use of the </w:t>
      </w:r>
      <w:r w:rsidR="00E940F2">
        <w:t xml:space="preserve">first Henley Constructions logo, the </w:t>
      </w:r>
      <w:r w:rsidR="00CE261D">
        <w:t>second Henley Constructions logo</w:t>
      </w:r>
      <w:r w:rsidR="00E940F2">
        <w:t>,</w:t>
      </w:r>
      <w:r w:rsidR="00CE261D">
        <w:t xml:space="preserve"> and the third Henley Constructions logo in relation to the infringement</w:t>
      </w:r>
      <w:r w:rsidR="00264787">
        <w:t xml:space="preserve"> by those signs</w:t>
      </w:r>
      <w:r w:rsidR="00CE261D">
        <w:t xml:space="preserve"> of the 2016 registered marks.</w:t>
      </w:r>
      <w:proofErr w:type="gramEnd"/>
    </w:p>
    <w:p w14:paraId="2F0CFF64" w14:textId="1F5BA52C" w:rsidR="00A82995" w:rsidRDefault="00BC7D85" w:rsidP="00BC7D85">
      <w:pPr>
        <w:pStyle w:val="ParaNumbering"/>
        <w:numPr>
          <w:ilvl w:val="0"/>
          <w:numId w:val="0"/>
        </w:numPr>
        <w:ind w:hanging="720"/>
      </w:pPr>
      <w:r>
        <w:rPr>
          <w:sz w:val="20"/>
        </w:rPr>
        <w:lastRenderedPageBreak/>
        <w:t>225</w:t>
      </w:r>
      <w:r>
        <w:rPr>
          <w:sz w:val="20"/>
        </w:rPr>
        <w:tab/>
      </w:r>
      <w:r w:rsidR="0057382C">
        <w:t xml:space="preserve">The appellants’ position on crane signage is of a different character.  According to their notice of appeal, the only issue is whether the primary judge erred in fact in finding that only HENLEY </w:t>
      </w:r>
      <w:proofErr w:type="gramStart"/>
      <w:r w:rsidR="0057382C">
        <w:t>was affixed</w:t>
      </w:r>
      <w:proofErr w:type="gramEnd"/>
      <w:r w:rsidR="0057382C">
        <w:t xml:space="preserve"> to Henley Constructions’ cranes.  </w:t>
      </w:r>
    </w:p>
    <w:p w14:paraId="20AE616B" w14:textId="316C35E0" w:rsidR="00CE261D" w:rsidRDefault="00BC7D85" w:rsidP="00BC7D85">
      <w:pPr>
        <w:pStyle w:val="ParaNumbering"/>
        <w:numPr>
          <w:ilvl w:val="0"/>
          <w:numId w:val="0"/>
        </w:numPr>
        <w:ind w:hanging="720"/>
      </w:pPr>
      <w:r>
        <w:rPr>
          <w:sz w:val="20"/>
        </w:rPr>
        <w:t>226</w:t>
      </w:r>
      <w:r>
        <w:rPr>
          <w:sz w:val="20"/>
        </w:rPr>
        <w:tab/>
      </w:r>
      <w:r w:rsidR="00A82995">
        <w:t xml:space="preserve">This aspect of Ground 11 of the notice of appeal goes nowhere.  First, according to the Particulars Table, the respondent made no case that the HENLEY CONSTRUCTIONS mark, or the Henley Construction logos, </w:t>
      </w:r>
      <w:proofErr w:type="gramStart"/>
      <w:r w:rsidR="00A82995">
        <w:t>were used</w:t>
      </w:r>
      <w:proofErr w:type="gramEnd"/>
      <w:r w:rsidR="00A82995">
        <w:t xml:space="preserve"> on crane signage.  Further, the</w:t>
      </w:r>
      <w:r w:rsidR="0057382C">
        <w:t xml:space="preserve"> primary judge </w:t>
      </w:r>
      <w:proofErr w:type="gramStart"/>
      <w:r w:rsidR="0057382C">
        <w:t>was not persuaded</w:t>
      </w:r>
      <w:proofErr w:type="gramEnd"/>
      <w:r w:rsidR="0057382C">
        <w:t xml:space="preserve"> that</w:t>
      </w:r>
      <w:r w:rsidR="00A82995">
        <w:t xml:space="preserve"> the</w:t>
      </w:r>
      <w:r w:rsidR="0057382C">
        <w:t xml:space="preserve"> HENLEY CONSTRUCTIONS </w:t>
      </w:r>
      <w:r w:rsidR="00A82995">
        <w:t xml:space="preserve">mark </w:t>
      </w:r>
      <w:r w:rsidR="0057382C">
        <w:t>was used on the crane signage.</w:t>
      </w:r>
      <w:r w:rsidR="00A82995">
        <w:t xml:space="preserve">  </w:t>
      </w:r>
      <w:proofErr w:type="gramStart"/>
      <w:r w:rsidR="00A82995">
        <w:t>Hence</w:t>
      </w:r>
      <w:proofErr w:type="gramEnd"/>
      <w:r w:rsidR="00A82995">
        <w:t xml:space="preserve"> no case on infringement was found in this regard</w:t>
      </w:r>
      <w:r w:rsidR="00E4038D">
        <w:t>.</w:t>
      </w:r>
    </w:p>
    <w:p w14:paraId="5CDC014A" w14:textId="1A14F79E" w:rsidR="00AF427F" w:rsidRDefault="00BC7D85" w:rsidP="00BC7D85">
      <w:pPr>
        <w:pStyle w:val="ParaNumbering"/>
        <w:numPr>
          <w:ilvl w:val="0"/>
          <w:numId w:val="0"/>
        </w:numPr>
        <w:ind w:hanging="720"/>
      </w:pPr>
      <w:r>
        <w:rPr>
          <w:sz w:val="20"/>
        </w:rPr>
        <w:t>227</w:t>
      </w:r>
      <w:r>
        <w:rPr>
          <w:sz w:val="20"/>
        </w:rPr>
        <w:tab/>
      </w:r>
      <w:r w:rsidR="00AF427F">
        <w:t>For these reasons, Ground 10 of the notice of appeal succeeds, as does Ground 11 (other than in respect of the crane signage).</w:t>
      </w:r>
    </w:p>
    <w:p w14:paraId="7F2A4F4B" w14:textId="29388DFE" w:rsidR="009143C9" w:rsidRDefault="00BC7D85" w:rsidP="009143C9">
      <w:pPr>
        <w:pStyle w:val="Heading1"/>
      </w:pPr>
      <w:bookmarkStart w:id="48" w:name="_Ref133418105"/>
      <w:r>
        <w:rPr>
          <w:caps w:val="0"/>
        </w:rPr>
        <w:t>CONTRAVENTIONS OF THE ACL AND TRADE PRACTICES ACT</w:t>
      </w:r>
      <w:bookmarkEnd w:id="48"/>
    </w:p>
    <w:p w14:paraId="1530E12A" w14:textId="77777777" w:rsidR="004A7DDC" w:rsidRDefault="004A7DDC" w:rsidP="004A7DDC">
      <w:pPr>
        <w:pStyle w:val="Heading2"/>
      </w:pPr>
      <w:r>
        <w:t>The appellants’ submissions</w:t>
      </w:r>
    </w:p>
    <w:p w14:paraId="0F3AD7E9" w14:textId="1433962D" w:rsidR="004A7DDC" w:rsidRDefault="00BC7D85" w:rsidP="00BC7D85">
      <w:pPr>
        <w:pStyle w:val="ParaNumbering"/>
        <w:numPr>
          <w:ilvl w:val="0"/>
          <w:numId w:val="0"/>
        </w:numPr>
        <w:ind w:hanging="720"/>
      </w:pPr>
      <w:r>
        <w:rPr>
          <w:sz w:val="20"/>
        </w:rPr>
        <w:t>228</w:t>
      </w:r>
      <w:r>
        <w:rPr>
          <w:sz w:val="20"/>
        </w:rPr>
        <w:tab/>
      </w:r>
      <w:r w:rsidR="004A7DDC">
        <w:t xml:space="preserve">Ground 12 of the notice of appeal concerns the primary judge’s findings that Henley Constructions had contravened the ACL and the Trade Practices Act. The appellants contend that his Honour erred in making those findings. They identify three </w:t>
      </w:r>
      <w:r w:rsidR="009143C9">
        <w:t xml:space="preserve">alleged </w:t>
      </w:r>
      <w:r w:rsidR="004A7DDC">
        <w:t>errors.</w:t>
      </w:r>
    </w:p>
    <w:p w14:paraId="5F79BC57" w14:textId="73EE3351" w:rsidR="004A7DDC" w:rsidRDefault="00BC7D85" w:rsidP="00BC7D85">
      <w:pPr>
        <w:pStyle w:val="ParaNumbering"/>
        <w:numPr>
          <w:ilvl w:val="0"/>
          <w:numId w:val="0"/>
        </w:numPr>
        <w:ind w:hanging="720"/>
      </w:pPr>
      <w:r>
        <w:rPr>
          <w:sz w:val="20"/>
        </w:rPr>
        <w:t>229</w:t>
      </w:r>
      <w:r>
        <w:rPr>
          <w:sz w:val="20"/>
        </w:rPr>
        <w:tab/>
      </w:r>
      <w:r w:rsidR="009143C9">
        <w:t>The first alleged error concerns</w:t>
      </w:r>
      <w:r w:rsidR="004A7DDC">
        <w:t xml:space="preserve"> the primary judge’s finding that the respondent had a reputation in the “Henley” brand</w:t>
      </w:r>
      <w:r w:rsidR="009143C9">
        <w:t>.  The appellants contend that, in making that finding, the primary judge</w:t>
      </w:r>
      <w:r w:rsidR="004A7DDC">
        <w:t xml:space="preserve"> failed to pay regard to the fact that HENLEY had no capacity to distinguish the respondent’s services. </w:t>
      </w:r>
      <w:r w:rsidR="009143C9">
        <w:t>According to the appellants</w:t>
      </w:r>
      <w:r w:rsidR="004A7DDC">
        <w:t xml:space="preserve">, </w:t>
      </w:r>
      <w:r w:rsidR="00CC6A5A">
        <w:t xml:space="preserve">for this reason </w:t>
      </w:r>
      <w:r w:rsidR="004A7DDC">
        <w:t>any use of HENLEY by Henley Constructions, with or without added words or l</w:t>
      </w:r>
      <w:r w:rsidR="00CC0ED0">
        <w:t xml:space="preserve">ogos, could </w:t>
      </w:r>
      <w:proofErr w:type="gramStart"/>
      <w:r w:rsidR="00CC0ED0">
        <w:t>not be misleading</w:t>
      </w:r>
      <w:proofErr w:type="gramEnd"/>
      <w:r w:rsidR="00CC0ED0">
        <w:t xml:space="preserve">. </w:t>
      </w:r>
    </w:p>
    <w:p w14:paraId="5C3B465F" w14:textId="1926789F" w:rsidR="00CC6A5A" w:rsidRDefault="00BC7D85" w:rsidP="00BC7D85">
      <w:pPr>
        <w:pStyle w:val="ParaNumbering"/>
        <w:numPr>
          <w:ilvl w:val="0"/>
          <w:numId w:val="0"/>
        </w:numPr>
        <w:ind w:hanging="720"/>
      </w:pPr>
      <w:r>
        <w:rPr>
          <w:sz w:val="20"/>
        </w:rPr>
        <w:t>230</w:t>
      </w:r>
      <w:r>
        <w:rPr>
          <w:sz w:val="20"/>
        </w:rPr>
        <w:tab/>
      </w:r>
      <w:r w:rsidR="009143C9">
        <w:t>The second alleged error is</w:t>
      </w:r>
      <w:r w:rsidR="004A7DDC">
        <w:t xml:space="preserve"> that the primary judge erred in finding that the respondent had a sufficient reputation in the name HENLEY </w:t>
      </w:r>
      <w:r w:rsidR="00563DDB">
        <w:t xml:space="preserve">as at February 2007 </w:t>
      </w:r>
      <w:r w:rsidR="004A7DDC">
        <w:t>to support his findings</w:t>
      </w:r>
      <w:r w:rsidR="009143C9">
        <w:t xml:space="preserve"> of contravention</w:t>
      </w:r>
      <w:r w:rsidR="004A7DDC">
        <w:t xml:space="preserve">. </w:t>
      </w:r>
      <w:r w:rsidR="009143C9">
        <w:t xml:space="preserve">  There are a number of aspects to this part of the appeal.  </w:t>
      </w:r>
    </w:p>
    <w:p w14:paraId="69079283" w14:textId="27418F62" w:rsidR="00CC6A5A" w:rsidRDefault="00BC7D85" w:rsidP="00BC7D85">
      <w:pPr>
        <w:pStyle w:val="ParaNumbering"/>
        <w:numPr>
          <w:ilvl w:val="0"/>
          <w:numId w:val="0"/>
        </w:numPr>
        <w:ind w:hanging="720"/>
      </w:pPr>
      <w:r>
        <w:rPr>
          <w:sz w:val="20"/>
        </w:rPr>
        <w:t>231</w:t>
      </w:r>
      <w:r>
        <w:rPr>
          <w:sz w:val="20"/>
        </w:rPr>
        <w:tab/>
      </w:r>
      <w:r w:rsidR="009143C9">
        <w:t>First</w:t>
      </w:r>
      <w:r w:rsidR="004A7DDC">
        <w:t xml:space="preserve">, the appellants dispute that they made </w:t>
      </w:r>
      <w:r w:rsidR="009143C9">
        <w:t xml:space="preserve">the concession recorded by the primary judge at </w:t>
      </w:r>
      <w:proofErr w:type="gramStart"/>
      <w:r w:rsidR="009143C9">
        <w:t>J[</w:t>
      </w:r>
      <w:proofErr w:type="gramEnd"/>
      <w:r w:rsidR="009143C9">
        <w:t>556]</w:t>
      </w:r>
      <w:r w:rsidR="004A7DDC">
        <w:t xml:space="preserve"> </w:t>
      </w:r>
      <w:r w:rsidR="009143C9">
        <w:t>conc</w:t>
      </w:r>
      <w:r w:rsidR="004A7DDC">
        <w:t>erning the respondent’s r</w:t>
      </w:r>
      <w:r w:rsidR="009143C9">
        <w:t xml:space="preserve">eputation in </w:t>
      </w:r>
      <w:r w:rsidR="00EF0627">
        <w:t>HENLEY</w:t>
      </w:r>
      <w:r w:rsidR="004A7DDC">
        <w:t>.</w:t>
      </w:r>
      <w:r w:rsidR="009143C9">
        <w:t xml:space="preserve">  </w:t>
      </w:r>
    </w:p>
    <w:p w14:paraId="628C89EC" w14:textId="46D6532C" w:rsidR="00CC6A5A" w:rsidRDefault="00BC7D85" w:rsidP="00BC7D85">
      <w:pPr>
        <w:pStyle w:val="ParaNumbering"/>
        <w:numPr>
          <w:ilvl w:val="0"/>
          <w:numId w:val="0"/>
        </w:numPr>
        <w:ind w:hanging="720"/>
      </w:pPr>
      <w:r>
        <w:rPr>
          <w:sz w:val="20"/>
        </w:rPr>
        <w:t>232</w:t>
      </w:r>
      <w:r>
        <w:rPr>
          <w:sz w:val="20"/>
        </w:rPr>
        <w:tab/>
      </w:r>
      <w:r w:rsidR="009143C9">
        <w:t>Next, the appellants</w:t>
      </w:r>
      <w:r w:rsidR="004A7DDC">
        <w:t xml:space="preserve"> contend that the primary judge erred in inferring that: (a) there would have been many persons in New South Wales visiting the respondent’s websit</w:t>
      </w:r>
      <w:r w:rsidR="00B93CCB">
        <w:t>e in the period 2001 to 2002 (J</w:t>
      </w:r>
      <w:r w:rsidR="004A7DDC">
        <w:t>[572]); and (b) the respondent built an additional 182 homes in Victoria for New South</w:t>
      </w:r>
      <w:r w:rsidR="00B93CCB">
        <w:t xml:space="preserve"> Wales customers before 2007 (J</w:t>
      </w:r>
      <w:r w:rsidR="00CC0ED0">
        <w:t xml:space="preserve">[562]).  </w:t>
      </w:r>
      <w:r w:rsidR="004A7DDC">
        <w:t xml:space="preserve">The appellants submit that these </w:t>
      </w:r>
      <w:r w:rsidR="009143C9">
        <w:t>findings</w:t>
      </w:r>
      <w:r w:rsidR="004A7DDC">
        <w:t xml:space="preserve"> </w:t>
      </w:r>
      <w:proofErr w:type="gramStart"/>
      <w:r w:rsidR="004A7DDC">
        <w:t>were based</w:t>
      </w:r>
      <w:proofErr w:type="gramEnd"/>
      <w:r w:rsidR="004A7DDC">
        <w:t xml:space="preserve"> on conjecture only.</w:t>
      </w:r>
      <w:r w:rsidR="009143C9">
        <w:t xml:space="preserve">  </w:t>
      </w:r>
    </w:p>
    <w:p w14:paraId="449416E0" w14:textId="6C5653B6" w:rsidR="004A7DDC" w:rsidRDefault="00BC7D85" w:rsidP="00BC7D85">
      <w:pPr>
        <w:pStyle w:val="ParaNumbering"/>
        <w:numPr>
          <w:ilvl w:val="0"/>
          <w:numId w:val="0"/>
        </w:numPr>
        <w:ind w:hanging="720"/>
      </w:pPr>
      <w:r>
        <w:rPr>
          <w:sz w:val="20"/>
        </w:rPr>
        <w:lastRenderedPageBreak/>
        <w:t>233</w:t>
      </w:r>
      <w:r>
        <w:rPr>
          <w:sz w:val="20"/>
        </w:rPr>
        <w:tab/>
      </w:r>
      <w:r w:rsidR="009143C9">
        <w:t>Finally, the</w:t>
      </w:r>
      <w:r w:rsidR="004A7DDC">
        <w:t xml:space="preserve"> appellants contend that the primary judge erred in </w:t>
      </w:r>
      <w:r w:rsidR="00B93CCB">
        <w:t xml:space="preserve">finding </w:t>
      </w:r>
      <w:r w:rsidR="004A7DDC">
        <w:t xml:space="preserve">(at </w:t>
      </w:r>
      <w:proofErr w:type="gramStart"/>
      <w:r w:rsidR="00B93CCB">
        <w:t>J</w:t>
      </w:r>
      <w:r w:rsidR="004A7DDC">
        <w:t>[</w:t>
      </w:r>
      <w:proofErr w:type="gramEnd"/>
      <w:r w:rsidR="004A7DDC">
        <w:t xml:space="preserve">574]) that the Australian building industry </w:t>
      </w:r>
      <w:r w:rsidR="00B93CCB">
        <w:t>is</w:t>
      </w:r>
      <w:r w:rsidR="004A7DDC">
        <w:t xml:space="preserve"> national.</w:t>
      </w:r>
      <w:r w:rsidR="00B93CCB">
        <w:t xml:space="preserve">  As to this finding, the appellants dispute that there can</w:t>
      </w:r>
      <w:r w:rsidR="00B01CBD">
        <w:t xml:space="preserve"> be (or could have been)</w:t>
      </w:r>
      <w:r w:rsidR="00B93CCB">
        <w:t xml:space="preserve"> any “</w:t>
      </w:r>
      <w:proofErr w:type="spellStart"/>
      <w:r w:rsidR="00B93CCB">
        <w:t>spillover</w:t>
      </w:r>
      <w:proofErr w:type="spellEnd"/>
      <w:r w:rsidR="00B93CCB">
        <w:t>” of reputation in a mark, from State to State.</w:t>
      </w:r>
    </w:p>
    <w:p w14:paraId="003E57AF" w14:textId="00162356" w:rsidR="004A7DDC" w:rsidRDefault="00BC7D85" w:rsidP="00BC7D85">
      <w:pPr>
        <w:pStyle w:val="ParaNumbering"/>
        <w:numPr>
          <w:ilvl w:val="0"/>
          <w:numId w:val="0"/>
        </w:numPr>
        <w:ind w:hanging="720"/>
      </w:pPr>
      <w:r>
        <w:rPr>
          <w:sz w:val="20"/>
        </w:rPr>
        <w:t>234</w:t>
      </w:r>
      <w:r>
        <w:rPr>
          <w:sz w:val="20"/>
        </w:rPr>
        <w:tab/>
      </w:r>
      <w:r w:rsidR="009143C9">
        <w:t>The third alleged error is</w:t>
      </w:r>
      <w:r w:rsidR="004A7DDC">
        <w:t xml:space="preserve"> that the primary </w:t>
      </w:r>
      <w:r w:rsidR="009143C9">
        <w:t xml:space="preserve">judge erred in finding at </w:t>
      </w:r>
      <w:proofErr w:type="gramStart"/>
      <w:r w:rsidR="009143C9">
        <w:t>J</w:t>
      </w:r>
      <w:r w:rsidR="004A7DDC">
        <w:t>[</w:t>
      </w:r>
      <w:proofErr w:type="gramEnd"/>
      <w:r w:rsidR="004A7DDC">
        <w:t>599] that the evidence of Mr Boyer was e</w:t>
      </w:r>
      <w:r w:rsidR="00CC0ED0">
        <w:t xml:space="preserve">vidence of consumer confusion. </w:t>
      </w:r>
    </w:p>
    <w:p w14:paraId="72B692E9" w14:textId="7AE00B15" w:rsidR="00646B35" w:rsidRDefault="00BC7D85" w:rsidP="00BC7D85">
      <w:pPr>
        <w:pStyle w:val="ParaNumbering"/>
        <w:numPr>
          <w:ilvl w:val="0"/>
          <w:numId w:val="0"/>
        </w:numPr>
        <w:ind w:hanging="720"/>
      </w:pPr>
      <w:r>
        <w:rPr>
          <w:sz w:val="20"/>
        </w:rPr>
        <w:t>235</w:t>
      </w:r>
      <w:r>
        <w:rPr>
          <w:sz w:val="20"/>
        </w:rPr>
        <w:tab/>
      </w:r>
      <w:r w:rsidR="00363CF9">
        <w:t xml:space="preserve">In the course of oral submissions in reply, the appellants advanced a new argument, which </w:t>
      </w:r>
      <w:proofErr w:type="gramStart"/>
      <w:r w:rsidR="00363CF9">
        <w:t>was not raised by their notice of appeal or advanced in their submissions in chief</w:t>
      </w:r>
      <w:proofErr w:type="gramEnd"/>
      <w:r w:rsidR="00363CF9">
        <w:t xml:space="preserve">.  They submitted </w:t>
      </w:r>
      <w:proofErr w:type="gramStart"/>
      <w:r w:rsidR="00363CF9">
        <w:t xml:space="preserve">that if there was, in trade or commerce, misleading or deceptive conduct by use of the name HENLEY in relation to Henley Constructions’ building and construction services, it was not Henley </w:t>
      </w:r>
      <w:r w:rsidR="00B01CBD">
        <w:t>Constructions who engaged in the misleading or deceptive conduct, but</w:t>
      </w:r>
      <w:r w:rsidR="00363CF9">
        <w:t xml:space="preserve"> other actors</w:t>
      </w:r>
      <w:r w:rsidR="006E5CB7">
        <w:t>—</w:t>
      </w:r>
      <w:r w:rsidR="009C2292">
        <w:t>s</w:t>
      </w:r>
      <w:r w:rsidR="006E5CB7">
        <w:t>pecifically, real estate agents</w:t>
      </w:r>
      <w:proofErr w:type="gramEnd"/>
      <w:r w:rsidR="009C2292">
        <w:t xml:space="preserve">.  The </w:t>
      </w:r>
      <w:r w:rsidR="006E5CB7">
        <w:t>appellants contend</w:t>
      </w:r>
      <w:r w:rsidR="009C2292">
        <w:t xml:space="preserve"> that they</w:t>
      </w:r>
      <w:r w:rsidR="00363CF9">
        <w:t xml:space="preserve"> are not legally responsible</w:t>
      </w:r>
      <w:r w:rsidR="009C2292">
        <w:t xml:space="preserve"> for the misleading or deceptive conduct of third parties</w:t>
      </w:r>
      <w:r w:rsidR="00CC0ED0">
        <w:t xml:space="preserve">.  </w:t>
      </w:r>
      <w:r w:rsidR="006E5CB7">
        <w:t xml:space="preserve"> </w:t>
      </w:r>
    </w:p>
    <w:p w14:paraId="612EF9A4" w14:textId="77777777" w:rsidR="004A7DDC" w:rsidRDefault="006A2C92" w:rsidP="00646B35">
      <w:pPr>
        <w:pStyle w:val="Heading2"/>
      </w:pPr>
      <w:r>
        <w:t>Analysis</w:t>
      </w:r>
    </w:p>
    <w:p w14:paraId="622C00B0" w14:textId="7595475F" w:rsidR="00CE2E2C" w:rsidRPr="00CE2E2C" w:rsidRDefault="00BC7D85" w:rsidP="00BC7D85">
      <w:pPr>
        <w:pStyle w:val="ParaNumbering"/>
        <w:numPr>
          <w:ilvl w:val="0"/>
          <w:numId w:val="0"/>
        </w:numPr>
        <w:tabs>
          <w:tab w:val="left" w:pos="2007"/>
        </w:tabs>
        <w:ind w:hanging="720"/>
      </w:pPr>
      <w:r w:rsidRPr="00CE2E2C">
        <w:rPr>
          <w:sz w:val="20"/>
        </w:rPr>
        <w:t>236</w:t>
      </w:r>
      <w:r w:rsidRPr="00CE2E2C">
        <w:rPr>
          <w:sz w:val="20"/>
        </w:rPr>
        <w:tab/>
      </w:r>
      <w:r w:rsidR="00CE2E2C" w:rsidRPr="00CE2E2C">
        <w:t xml:space="preserve">We are not </w:t>
      </w:r>
      <w:r w:rsidR="008A5795">
        <w:t>satisfied</w:t>
      </w:r>
      <w:r w:rsidR="00CE2E2C" w:rsidRPr="00CE2E2C">
        <w:t xml:space="preserve"> that the primary judge erred as the appellants contend.</w:t>
      </w:r>
    </w:p>
    <w:p w14:paraId="4D23404B" w14:textId="42C408E0" w:rsidR="00CE2E2C" w:rsidRPr="00CE2E2C" w:rsidRDefault="00BC7D85" w:rsidP="00BC7D85">
      <w:pPr>
        <w:pStyle w:val="ParaNumbering"/>
        <w:numPr>
          <w:ilvl w:val="0"/>
          <w:numId w:val="0"/>
        </w:numPr>
        <w:tabs>
          <w:tab w:val="left" w:pos="2007"/>
        </w:tabs>
        <w:ind w:hanging="720"/>
      </w:pPr>
      <w:r w:rsidRPr="00CE2E2C">
        <w:rPr>
          <w:sz w:val="20"/>
        </w:rPr>
        <w:t>237</w:t>
      </w:r>
      <w:r w:rsidRPr="00CE2E2C">
        <w:rPr>
          <w:sz w:val="20"/>
        </w:rPr>
        <w:tab/>
      </w:r>
      <w:r w:rsidR="00CE2E2C" w:rsidRPr="00CE2E2C">
        <w:t xml:space="preserve">As to the first alleged error, the appellants’ contention that the word </w:t>
      </w:r>
      <w:r w:rsidR="003122B7">
        <w:t>HENLEY</w:t>
      </w:r>
      <w:r w:rsidR="00CE2E2C" w:rsidRPr="00CE2E2C">
        <w:t xml:space="preserve"> has no capacity to distinguish is a throwback to Henley Constructions’ challenge to the validity of the 820 mark (HENLEY) based on s 41 of the Trade Marks Act. That challenge has failed</w:t>
      </w:r>
      <w:r w:rsidR="008A5795">
        <w:t>, for the reasons given above</w:t>
      </w:r>
      <w:r w:rsidR="00CE2E2C" w:rsidRPr="00CE2E2C">
        <w:t>. The primary judge found that, as a trade mark, HENLEY had the capacity to distinguish, based on satisfaction of the requirement of s</w:t>
      </w:r>
      <w:r w:rsidR="00CE2E2C">
        <w:t xml:space="preserve"> 41(6</w:t>
      </w:r>
      <w:proofErr w:type="gramStart"/>
      <w:r w:rsidR="00CE2E2C">
        <w:t>)</w:t>
      </w:r>
      <w:r w:rsidR="00CE2E2C" w:rsidRPr="00CE2E2C">
        <w:t>(</w:t>
      </w:r>
      <w:proofErr w:type="gramEnd"/>
      <w:r w:rsidR="00CE2E2C" w:rsidRPr="00CE2E2C">
        <w:t xml:space="preserve">a) </w:t>
      </w:r>
      <w:r w:rsidR="008A5795">
        <w:t xml:space="preserve">of the Trade Marks Act </w:t>
      </w:r>
      <w:r w:rsidR="00CE2E2C" w:rsidRPr="00CE2E2C">
        <w:t>with respect to factual distinctiveness. Therefore, the appellants’ contention is incorrect.</w:t>
      </w:r>
      <w:r w:rsidR="008A5795">
        <w:t xml:space="preserve">  As at 18 December 2006, the HENLEY mark had the capacity to distinguish the respondent’s building and construction services from the building and construction services of other traders. </w:t>
      </w:r>
    </w:p>
    <w:p w14:paraId="5C666DB6" w14:textId="2CCCAADF" w:rsidR="00CE2E2C" w:rsidRPr="00CE2E2C" w:rsidRDefault="00BC7D85" w:rsidP="00BC7D85">
      <w:pPr>
        <w:pStyle w:val="ParaNumbering"/>
        <w:numPr>
          <w:ilvl w:val="0"/>
          <w:numId w:val="0"/>
        </w:numPr>
        <w:tabs>
          <w:tab w:val="left" w:pos="2007"/>
        </w:tabs>
        <w:ind w:hanging="720"/>
      </w:pPr>
      <w:r w:rsidRPr="00CE2E2C">
        <w:rPr>
          <w:sz w:val="20"/>
        </w:rPr>
        <w:t>238</w:t>
      </w:r>
      <w:r w:rsidRPr="00CE2E2C">
        <w:rPr>
          <w:sz w:val="20"/>
        </w:rPr>
        <w:tab/>
      </w:r>
      <w:r w:rsidR="00CE2E2C" w:rsidRPr="00CE2E2C">
        <w:t xml:space="preserve">But, more importantly, the </w:t>
      </w:r>
      <w:r w:rsidR="008A5795">
        <w:t>question</w:t>
      </w:r>
      <w:r w:rsidR="00CE2E2C" w:rsidRPr="00CE2E2C">
        <w:t xml:space="preserve"> of whether the ACL or the Trade Practices Act were contravened in the ways found by the primary judge is not </w:t>
      </w:r>
      <w:r w:rsidR="008A5795">
        <w:t>answered</w:t>
      </w:r>
      <w:r w:rsidR="00CE2E2C" w:rsidRPr="00CE2E2C">
        <w:t xml:space="preserve"> by</w:t>
      </w:r>
      <w:r w:rsidR="008A5795">
        <w:t xml:space="preserve"> recourse to</w:t>
      </w:r>
      <w:r w:rsidR="00CE2E2C" w:rsidRPr="00CE2E2C">
        <w:t xml:space="preserve"> </w:t>
      </w:r>
      <w:r w:rsidR="003122B7">
        <w:t xml:space="preserve">the </w:t>
      </w:r>
      <w:r w:rsidR="00CE2E2C" w:rsidRPr="00CE2E2C">
        <w:t>principles of trade mark law with respect to the validity of registered mark</w:t>
      </w:r>
      <w:r w:rsidR="008A5795">
        <w:t>s</w:t>
      </w:r>
      <w:r w:rsidR="00CE2E2C" w:rsidRPr="00CE2E2C">
        <w:t xml:space="preserve">. </w:t>
      </w:r>
      <w:r w:rsidR="00CE2E2C">
        <w:t xml:space="preserve"> </w:t>
      </w:r>
      <w:proofErr w:type="gramStart"/>
      <w:r w:rsidR="008A5795">
        <w:t>This does not mean</w:t>
      </w:r>
      <w:r w:rsidR="00CE2E2C" w:rsidRPr="00CE2E2C">
        <w:t>,</w:t>
      </w:r>
      <w:r w:rsidR="008A5795">
        <w:t xml:space="preserve"> however, that</w:t>
      </w:r>
      <w:r w:rsidR="00CE2E2C" w:rsidRPr="00CE2E2C">
        <w:t xml:space="preserve"> th</w:t>
      </w:r>
      <w:r w:rsidR="003122B7">
        <w:t>e primary judge’s finding (at J</w:t>
      </w:r>
      <w:r w:rsidR="008A5795">
        <w:t>[829])—</w:t>
      </w:r>
      <w:r w:rsidR="00CE2E2C" w:rsidRPr="00CE2E2C">
        <w:t>that the HENLEY mark had in fact become distinctive of the respondent’s building and construction services “in the sense of the mark distinguishes the registered proprietor’s goods from others o</w:t>
      </w:r>
      <w:r w:rsidR="008A5795">
        <w:t>f the same type in that market”—</w:t>
      </w:r>
      <w:r w:rsidR="00CE2E2C" w:rsidRPr="00CE2E2C">
        <w:t xml:space="preserve">was </w:t>
      </w:r>
      <w:r w:rsidR="008A5795">
        <w:t xml:space="preserve">not </w:t>
      </w:r>
      <w:r w:rsidR="003122B7">
        <w:t xml:space="preserve">properly </w:t>
      </w:r>
      <w:r w:rsidR="00CE2E2C" w:rsidRPr="00CE2E2C">
        <w:t>informed by his Honour’s factual finding</w:t>
      </w:r>
      <w:r w:rsidR="006B1D4D">
        <w:t>s that were reached in the course of</w:t>
      </w:r>
      <w:r w:rsidR="008A5795">
        <w:t xml:space="preserve"> considering </w:t>
      </w:r>
      <w:r w:rsidR="001D29F8">
        <w:t xml:space="preserve">whether </w:t>
      </w:r>
      <w:r w:rsidR="008A5795">
        <w:t xml:space="preserve">the </w:t>
      </w:r>
      <w:r w:rsidR="006B1D4D">
        <w:t xml:space="preserve">appellants contravened </w:t>
      </w:r>
      <w:r w:rsidR="008A5795">
        <w:t>the ACL and the Trade Practices Act</w:t>
      </w:r>
      <w:r w:rsidR="006B1D4D">
        <w:t xml:space="preserve"> as alleged by the respondent</w:t>
      </w:r>
      <w:r w:rsidR="00CE2E2C" w:rsidRPr="00CE2E2C">
        <w:t>.</w:t>
      </w:r>
      <w:proofErr w:type="gramEnd"/>
      <w:r w:rsidR="006B1D4D">
        <w:t xml:space="preserve">  </w:t>
      </w:r>
      <w:r w:rsidR="00CE2E2C" w:rsidRPr="00CE2E2C">
        <w:t xml:space="preserve">We </w:t>
      </w:r>
      <w:r w:rsidR="006B1D4D">
        <w:t xml:space="preserve">therefore </w:t>
      </w:r>
      <w:r w:rsidR="00CE2E2C" w:rsidRPr="00CE2E2C">
        <w:t>reject the appellants’ conte</w:t>
      </w:r>
      <w:r w:rsidR="006B1D4D">
        <w:t>ntion—</w:t>
      </w:r>
      <w:r w:rsidR="00CE2E2C" w:rsidRPr="00CE2E2C">
        <w:t>based, as i</w:t>
      </w:r>
      <w:r w:rsidR="006B1D4D">
        <w:t xml:space="preserve">t is, </w:t>
      </w:r>
      <w:r w:rsidR="006B1D4D">
        <w:lastRenderedPageBreak/>
        <w:t xml:space="preserve">on </w:t>
      </w:r>
      <w:proofErr w:type="gramStart"/>
      <w:r w:rsidR="006B1D4D">
        <w:t>trade mark</w:t>
      </w:r>
      <w:proofErr w:type="gramEnd"/>
      <w:r w:rsidR="006B1D4D">
        <w:t xml:space="preserve"> principles—</w:t>
      </w:r>
      <w:r w:rsidR="00CE2E2C" w:rsidRPr="00CE2E2C">
        <w:t xml:space="preserve">that any use of </w:t>
      </w:r>
      <w:r w:rsidR="00B01CBD">
        <w:t>HENLEY</w:t>
      </w:r>
      <w:r w:rsidR="00CE2E2C" w:rsidRPr="00CE2E2C">
        <w:t xml:space="preserve"> by Henley Constructions, with or without added words or logos, could not be misleading</w:t>
      </w:r>
      <w:r w:rsidR="003122B7">
        <w:t xml:space="preserve"> for the purposes of the ACL and the Trade Practices Act</w:t>
      </w:r>
      <w:r w:rsidR="00CE2E2C" w:rsidRPr="00CE2E2C">
        <w:t>.</w:t>
      </w:r>
    </w:p>
    <w:p w14:paraId="608BD19B" w14:textId="1256F39E" w:rsidR="00CE2E2C" w:rsidRDefault="00BC7D85" w:rsidP="00BC7D85">
      <w:pPr>
        <w:pStyle w:val="ParaNumbering"/>
        <w:numPr>
          <w:ilvl w:val="0"/>
          <w:numId w:val="0"/>
        </w:numPr>
        <w:tabs>
          <w:tab w:val="left" w:pos="2007"/>
        </w:tabs>
        <w:ind w:hanging="720"/>
      </w:pPr>
      <w:r>
        <w:rPr>
          <w:sz w:val="20"/>
        </w:rPr>
        <w:t>239</w:t>
      </w:r>
      <w:r>
        <w:rPr>
          <w:sz w:val="20"/>
        </w:rPr>
        <w:tab/>
      </w:r>
      <w:r w:rsidR="00CE2E2C" w:rsidRPr="00CE2E2C">
        <w:t xml:space="preserve">As to the second alleged error, the primary judge’s observation at </w:t>
      </w:r>
      <w:proofErr w:type="gramStart"/>
      <w:r w:rsidR="00CE2E2C" w:rsidRPr="00CE2E2C">
        <w:t>J[</w:t>
      </w:r>
      <w:proofErr w:type="gramEnd"/>
      <w:r w:rsidR="00CE2E2C" w:rsidRPr="00CE2E2C">
        <w:t xml:space="preserve">556] was: </w:t>
      </w:r>
    </w:p>
    <w:p w14:paraId="6EF51620" w14:textId="77777777" w:rsidR="00CE2E2C" w:rsidRPr="00CE2E2C" w:rsidRDefault="00CE2E2C" w:rsidP="00CE2E2C">
      <w:pPr>
        <w:pStyle w:val="Quote1"/>
      </w:pPr>
      <w:r w:rsidRPr="00CE2E2C">
        <w:t xml:space="preserve">It was not in dispute that </w:t>
      </w:r>
      <w:r>
        <w:t xml:space="preserve">at </w:t>
      </w:r>
      <w:r w:rsidRPr="00CE2E2C">
        <w:t>all relevant times, [the respondent] has had a significant reputation in its name “Henley”, at least in Victoria in respect of the building and construction of semi-detached houses and townhouses.</w:t>
      </w:r>
      <w:r>
        <w:t xml:space="preserve"> </w:t>
      </w:r>
    </w:p>
    <w:p w14:paraId="4B5EBC44" w14:textId="7299D395" w:rsidR="00CE2E2C" w:rsidRPr="00CE2E2C" w:rsidRDefault="00BC7D85" w:rsidP="00BC7D85">
      <w:pPr>
        <w:pStyle w:val="ParaNumbering"/>
        <w:numPr>
          <w:ilvl w:val="0"/>
          <w:numId w:val="0"/>
        </w:numPr>
        <w:tabs>
          <w:tab w:val="left" w:pos="2007"/>
        </w:tabs>
        <w:ind w:hanging="720"/>
      </w:pPr>
      <w:r w:rsidRPr="00CE2E2C">
        <w:rPr>
          <w:sz w:val="20"/>
        </w:rPr>
        <w:t>240</w:t>
      </w:r>
      <w:r w:rsidRPr="00CE2E2C">
        <w:rPr>
          <w:sz w:val="20"/>
        </w:rPr>
        <w:tab/>
      </w:r>
      <w:r w:rsidR="00CE2E2C" w:rsidRPr="00CE2E2C">
        <w:t>The</w:t>
      </w:r>
      <w:r w:rsidR="003122B7">
        <w:t xml:space="preserve"> tenor of </w:t>
      </w:r>
      <w:r w:rsidR="00B01CBD">
        <w:t>this</w:t>
      </w:r>
      <w:r w:rsidR="003122B7">
        <w:t xml:space="preserve"> finding </w:t>
      </w:r>
      <w:r w:rsidR="006B1D4D">
        <w:t>is</w:t>
      </w:r>
      <w:r w:rsidR="003122B7">
        <w:t xml:space="preserve"> that</w:t>
      </w:r>
      <w:r w:rsidR="00CE2E2C" w:rsidRPr="00CE2E2C">
        <w:t xml:space="preserve"> </w:t>
      </w:r>
      <w:r w:rsidR="006B1D4D">
        <w:t>the appellants did not</w:t>
      </w:r>
      <w:r w:rsidR="00CE2E2C" w:rsidRPr="00CE2E2C">
        <w:t xml:space="preserve"> dispute before the primary judge </w:t>
      </w:r>
      <w:r w:rsidR="006B1D4D">
        <w:t xml:space="preserve">the fact </w:t>
      </w:r>
      <w:r w:rsidR="00CE2E2C" w:rsidRPr="00CE2E2C">
        <w:t>that the respondent had a reputation in HENLEY in Victoria in respect of the building and construction of semi-detached houses and townhouses.</w:t>
      </w:r>
    </w:p>
    <w:p w14:paraId="0C695340" w14:textId="3E5F8C65" w:rsidR="00CE2E2C" w:rsidRPr="00CE2E2C" w:rsidRDefault="00BC7D85" w:rsidP="00BC7D85">
      <w:pPr>
        <w:pStyle w:val="ParaNumbering"/>
        <w:numPr>
          <w:ilvl w:val="0"/>
          <w:numId w:val="0"/>
        </w:numPr>
        <w:tabs>
          <w:tab w:val="left" w:pos="2007"/>
        </w:tabs>
        <w:ind w:hanging="720"/>
      </w:pPr>
      <w:r w:rsidRPr="00CE2E2C">
        <w:rPr>
          <w:sz w:val="20"/>
        </w:rPr>
        <w:t>241</w:t>
      </w:r>
      <w:r w:rsidRPr="00CE2E2C">
        <w:rPr>
          <w:sz w:val="20"/>
        </w:rPr>
        <w:tab/>
      </w:r>
      <w:r w:rsidR="008D2788">
        <w:t>As we have discussed, in</w:t>
      </w:r>
      <w:r w:rsidR="00CE2E2C" w:rsidRPr="00CE2E2C">
        <w:t xml:space="preserve"> opening submissions, during the hearing, and in closing submissions before the primary judge, the appellants made it perfectly clear that </w:t>
      </w:r>
      <w:r w:rsidR="003122B7">
        <w:t xml:space="preserve">they accepted that </w:t>
      </w:r>
      <w:r w:rsidR="00CE2E2C" w:rsidRPr="00CE2E2C">
        <w:t xml:space="preserve">the respondent had a reputation—indeed, a “significant” reputation—in Victoria </w:t>
      </w:r>
      <w:r w:rsidR="00CC6A5A">
        <w:t>“</w:t>
      </w:r>
      <w:r w:rsidR="00CE2E2C" w:rsidRPr="00CE2E2C">
        <w:t>in residential houses</w:t>
      </w:r>
      <w:r w:rsidR="00CC6A5A">
        <w:t>”</w:t>
      </w:r>
      <w:r w:rsidR="003E6D81">
        <w:t>.</w:t>
      </w:r>
      <w:r w:rsidR="008D2788">
        <w:t xml:space="preserve">  </w:t>
      </w:r>
      <w:r w:rsidR="00CE2E2C" w:rsidRPr="00CE2E2C">
        <w:t>The</w:t>
      </w:r>
      <w:r w:rsidR="003122B7">
        <w:t xml:space="preserve">ir </w:t>
      </w:r>
      <w:r w:rsidR="00CC6A5A">
        <w:t>case</w:t>
      </w:r>
      <w:r w:rsidR="003122B7">
        <w:t xml:space="preserve"> was </w:t>
      </w:r>
      <w:r w:rsidR="00CC6A5A">
        <w:t>that</w:t>
      </w:r>
      <w:r w:rsidR="00CE2E2C" w:rsidRPr="00CE2E2C">
        <w:t xml:space="preserve"> </w:t>
      </w:r>
      <w:r w:rsidR="003122B7">
        <w:t>the respondent’s</w:t>
      </w:r>
      <w:r w:rsidR="00CE2E2C" w:rsidRPr="00CE2E2C">
        <w:t xml:space="preserve"> reputation was</w:t>
      </w:r>
      <w:r w:rsidR="003122B7">
        <w:t xml:space="preserve"> </w:t>
      </w:r>
      <w:proofErr w:type="gramStart"/>
      <w:r w:rsidR="00CC6A5A">
        <w:t xml:space="preserve">not </w:t>
      </w:r>
      <w:r w:rsidR="00CE2E2C" w:rsidRPr="00CE2E2C">
        <w:t>more widespread</w:t>
      </w:r>
      <w:proofErr w:type="gramEnd"/>
      <w:r w:rsidR="003122B7">
        <w:t>, geographically</w:t>
      </w:r>
      <w:r w:rsidR="00CE2E2C" w:rsidRPr="00CE2E2C">
        <w:t>.</w:t>
      </w:r>
    </w:p>
    <w:p w14:paraId="3FAB69DC" w14:textId="1322F00B" w:rsidR="00CE2E2C" w:rsidRPr="00CE2E2C" w:rsidRDefault="00BC7D85" w:rsidP="00BC7D85">
      <w:pPr>
        <w:pStyle w:val="ParaNumbering"/>
        <w:numPr>
          <w:ilvl w:val="0"/>
          <w:numId w:val="0"/>
        </w:numPr>
        <w:tabs>
          <w:tab w:val="left" w:pos="2007"/>
        </w:tabs>
        <w:ind w:hanging="720"/>
      </w:pPr>
      <w:r w:rsidRPr="00CE2E2C">
        <w:rPr>
          <w:sz w:val="20"/>
        </w:rPr>
        <w:t>242</w:t>
      </w:r>
      <w:r w:rsidRPr="00CE2E2C">
        <w:rPr>
          <w:sz w:val="20"/>
        </w:rPr>
        <w:tab/>
      </w:r>
      <w:r w:rsidR="00CE2E2C" w:rsidRPr="00CE2E2C">
        <w:t xml:space="preserve">In its closing submissions with respect to its cross-claim, Henley Constructions added a further qualification: </w:t>
      </w:r>
      <w:r w:rsidR="00B01CBD">
        <w:t xml:space="preserve"> </w:t>
      </w:r>
      <w:r w:rsidR="00CE2E2C" w:rsidRPr="00CE2E2C">
        <w:t>not only was the respondent’s reputation in Henley geographically limited, it was a reputation based on use “overwhelmingly in relation to detached and semi-deta</w:t>
      </w:r>
      <w:r w:rsidR="00CC0ED0">
        <w:t>ched house building services”.</w:t>
      </w:r>
    </w:p>
    <w:p w14:paraId="2E08EBD3" w14:textId="5E5F8FF7" w:rsidR="00CE2E2C" w:rsidRPr="00CE2E2C" w:rsidRDefault="00BC7D85" w:rsidP="00BC7D85">
      <w:pPr>
        <w:pStyle w:val="ParaNumbering"/>
        <w:numPr>
          <w:ilvl w:val="0"/>
          <w:numId w:val="0"/>
        </w:numPr>
        <w:tabs>
          <w:tab w:val="left" w:pos="2007"/>
        </w:tabs>
        <w:ind w:hanging="720"/>
      </w:pPr>
      <w:r w:rsidRPr="00CE2E2C">
        <w:rPr>
          <w:sz w:val="20"/>
        </w:rPr>
        <w:t>243</w:t>
      </w:r>
      <w:r w:rsidRPr="00CE2E2C">
        <w:rPr>
          <w:sz w:val="20"/>
        </w:rPr>
        <w:tab/>
      </w:r>
      <w:r w:rsidR="00CE2E2C" w:rsidRPr="00CE2E2C">
        <w:t xml:space="preserve">It will be appreciated that, if anything, the primary judge’s observation at J[556] gave the appellants’ concession </w:t>
      </w:r>
      <w:r w:rsidR="00CC6A5A">
        <w:t xml:space="preserve">a more limited operation </w:t>
      </w:r>
      <w:r w:rsidR="00CE2E2C" w:rsidRPr="00CE2E2C">
        <w:t>by confining it to “semi-detached houses and townhouses” as opposed to “residential houses” or “detached and semi-detached house building services” (the latter being descriptions used by the appellants before the primary judge). We do not think, however, that anything turns on this difference</w:t>
      </w:r>
      <w:r w:rsidR="003122B7">
        <w:t>.  We</w:t>
      </w:r>
      <w:r w:rsidR="00CE2E2C" w:rsidRPr="00CE2E2C">
        <w:t xml:space="preserve"> do not accept that the primary judge’s observation a</w:t>
      </w:r>
      <w:r w:rsidR="00E24F1D">
        <w:t>t</w:t>
      </w:r>
      <w:r w:rsidR="00CE2E2C" w:rsidRPr="00CE2E2C">
        <w:t xml:space="preserve"> </w:t>
      </w:r>
      <w:proofErr w:type="gramStart"/>
      <w:r w:rsidR="00CE2E2C" w:rsidRPr="00CE2E2C">
        <w:t>J[</w:t>
      </w:r>
      <w:proofErr w:type="gramEnd"/>
      <w:r w:rsidR="00CE2E2C" w:rsidRPr="00CE2E2C">
        <w:t>556] gives rise to any appealable error.</w:t>
      </w:r>
    </w:p>
    <w:p w14:paraId="274BBB65" w14:textId="712CCA73" w:rsidR="00CE2E2C" w:rsidRPr="00CE2E2C" w:rsidRDefault="00BC7D85" w:rsidP="00BC7D85">
      <w:pPr>
        <w:pStyle w:val="ParaNumbering"/>
        <w:numPr>
          <w:ilvl w:val="0"/>
          <w:numId w:val="0"/>
        </w:numPr>
        <w:tabs>
          <w:tab w:val="left" w:pos="2007"/>
        </w:tabs>
        <w:ind w:hanging="720"/>
      </w:pPr>
      <w:r w:rsidRPr="00CE2E2C">
        <w:rPr>
          <w:sz w:val="20"/>
        </w:rPr>
        <w:t>244</w:t>
      </w:r>
      <w:r w:rsidRPr="00CE2E2C">
        <w:rPr>
          <w:sz w:val="20"/>
        </w:rPr>
        <w:tab/>
      </w:r>
      <w:r w:rsidR="00CE2E2C" w:rsidRPr="00CE2E2C">
        <w:t xml:space="preserve">With regard to the appellants’ </w:t>
      </w:r>
      <w:r w:rsidR="006B1D4D">
        <w:t>contentions</w:t>
      </w:r>
      <w:r w:rsidR="00CE2E2C" w:rsidRPr="00CE2E2C">
        <w:t xml:space="preserve"> concerning errors in the primary judge’s fact-finding, it is necessary for us to refer, in a little detail, to the evidence, as recorded by the primary judge.</w:t>
      </w:r>
    </w:p>
    <w:p w14:paraId="1F60DEF2" w14:textId="297E6671" w:rsidR="003122B7" w:rsidRDefault="00BC7D85" w:rsidP="00BC7D85">
      <w:pPr>
        <w:pStyle w:val="ParaNumbering"/>
        <w:numPr>
          <w:ilvl w:val="0"/>
          <w:numId w:val="0"/>
        </w:numPr>
        <w:tabs>
          <w:tab w:val="left" w:pos="2007"/>
        </w:tabs>
        <w:ind w:hanging="720"/>
      </w:pPr>
      <w:r>
        <w:rPr>
          <w:sz w:val="20"/>
        </w:rPr>
        <w:t>245</w:t>
      </w:r>
      <w:r>
        <w:rPr>
          <w:sz w:val="20"/>
        </w:rPr>
        <w:tab/>
      </w:r>
      <w:r w:rsidR="00CE2E2C" w:rsidRPr="00CE2E2C">
        <w:t>Mr Harvey, a co-founder and former director of the responde</w:t>
      </w:r>
      <w:r w:rsidR="00CC6A5A">
        <w:t xml:space="preserve">nt, made a number of affidavits.  </w:t>
      </w:r>
      <w:r w:rsidR="00CE2E2C" w:rsidRPr="00CE2E2C">
        <w:t xml:space="preserve">He gave evidence that, since January 1990, the respondent had contracted with persons located throughout Australia to build and/or sell homes in Victoria. </w:t>
      </w:r>
    </w:p>
    <w:p w14:paraId="6255A7CE" w14:textId="060FDC2D" w:rsidR="00CE2E2C" w:rsidRPr="00CE2E2C" w:rsidRDefault="00BC7D85" w:rsidP="00BC7D85">
      <w:pPr>
        <w:pStyle w:val="ParaNumbering"/>
        <w:numPr>
          <w:ilvl w:val="0"/>
          <w:numId w:val="0"/>
        </w:numPr>
        <w:tabs>
          <w:tab w:val="left" w:pos="2007"/>
        </w:tabs>
        <w:ind w:hanging="720"/>
      </w:pPr>
      <w:proofErr w:type="gramStart"/>
      <w:r w:rsidRPr="00CE2E2C">
        <w:rPr>
          <w:sz w:val="20"/>
        </w:rPr>
        <w:lastRenderedPageBreak/>
        <w:t>246</w:t>
      </w:r>
      <w:r w:rsidRPr="00CE2E2C">
        <w:rPr>
          <w:sz w:val="20"/>
        </w:rPr>
        <w:tab/>
      </w:r>
      <w:r w:rsidR="00CE2E2C" w:rsidRPr="00CE2E2C">
        <w:t>In an annexure to his first affidavit, Mr Harvey provided a spreadsheet, the purpose of which was to demonstrate, over an extended period, how many houses located in Victoria had been sold by the respondent</w:t>
      </w:r>
      <w:proofErr w:type="gramEnd"/>
      <w:r w:rsidR="00CE2E2C" w:rsidRPr="00CE2E2C">
        <w:t xml:space="preserve"> to people residing outside Victoria, including New South Wales. Mr Harvey accepted that there were aspects of the </w:t>
      </w:r>
      <w:r w:rsidR="00CC6A5A">
        <w:t xml:space="preserve">spreadsheet that were anomalous.  These anomalies </w:t>
      </w:r>
      <w:proofErr w:type="gramStart"/>
      <w:r w:rsidR="00CC6A5A">
        <w:t>were explored</w:t>
      </w:r>
      <w:proofErr w:type="gramEnd"/>
      <w:r w:rsidR="00CC6A5A">
        <w:t xml:space="preserve"> in Mr Harvey’s cross-examination.</w:t>
      </w:r>
    </w:p>
    <w:p w14:paraId="0B136507" w14:textId="634C6D74" w:rsidR="00CE2E2C" w:rsidRDefault="00BC7D85" w:rsidP="00BC7D85">
      <w:pPr>
        <w:pStyle w:val="ParaNumbering"/>
        <w:numPr>
          <w:ilvl w:val="0"/>
          <w:numId w:val="0"/>
        </w:numPr>
        <w:tabs>
          <w:tab w:val="left" w:pos="2007"/>
        </w:tabs>
        <w:ind w:hanging="720"/>
      </w:pPr>
      <w:r>
        <w:rPr>
          <w:sz w:val="20"/>
        </w:rPr>
        <w:t>247</w:t>
      </w:r>
      <w:r>
        <w:rPr>
          <w:sz w:val="20"/>
        </w:rPr>
        <w:tab/>
      </w:r>
      <w:r w:rsidR="00CE2E2C" w:rsidRPr="00CE2E2C">
        <w:t>One anomaly related to “Null” entries with respect to the “Settled Date”.</w:t>
      </w:r>
      <w:r w:rsidR="003122B7">
        <w:t xml:space="preserve">  </w:t>
      </w:r>
      <w:r w:rsidR="00CE2E2C" w:rsidRPr="00CE2E2C">
        <w:t xml:space="preserve">As the primary judge explained </w:t>
      </w:r>
      <w:r w:rsidR="003122B7">
        <w:t>(</w:t>
      </w:r>
      <w:r w:rsidR="00B01CBD">
        <w:t xml:space="preserve">at </w:t>
      </w:r>
      <w:proofErr w:type="gramStart"/>
      <w:r w:rsidR="00B01CBD">
        <w:t>J</w:t>
      </w:r>
      <w:r w:rsidR="00CE2E2C" w:rsidRPr="00CE2E2C">
        <w:t>[</w:t>
      </w:r>
      <w:proofErr w:type="gramEnd"/>
      <w:r w:rsidR="00CE2E2C" w:rsidRPr="00CE2E2C">
        <w:t>36]</w:t>
      </w:r>
      <w:r w:rsidR="003122B7">
        <w:t>)</w:t>
      </w:r>
      <w:r w:rsidR="00CE2E2C" w:rsidRPr="00CE2E2C">
        <w:t xml:space="preserve">: </w:t>
      </w:r>
    </w:p>
    <w:p w14:paraId="02177332" w14:textId="77777777" w:rsidR="00E24F1D" w:rsidRPr="00CE2E2C" w:rsidRDefault="00E24F1D" w:rsidP="00E24F1D">
      <w:pPr>
        <w:pStyle w:val="Quote1"/>
        <w:tabs>
          <w:tab w:val="left" w:pos="1418"/>
        </w:tabs>
        <w:ind w:left="1418" w:hanging="681"/>
      </w:pPr>
      <w:r w:rsidRPr="00E24F1D">
        <w:t>36</w:t>
      </w:r>
      <w:r w:rsidRPr="00E24F1D">
        <w:tab/>
      </w:r>
      <w:r w:rsidR="003122B7">
        <w:t>..</w:t>
      </w:r>
      <w:r w:rsidRPr="00E24F1D">
        <w:t xml:space="preserve">.  First, there were entries in the </w:t>
      </w:r>
      <w:proofErr w:type="gramStart"/>
      <w:r w:rsidRPr="00E24F1D">
        <w:t>spreadsheet which</w:t>
      </w:r>
      <w:proofErr w:type="gramEnd"/>
      <w:r w:rsidRPr="00E24F1D">
        <w:t xml:space="preserve"> recorded that the “Settled Date” for a home was “Null”.  Mr Harvey explained that these “Null” entries, in his experience with the records of Henley Arch, indicate that there was no settlement date entered into the relevant Henley Arch database, but that did not mean that no settlement occurred.  Mr Harvey accepted that these “Null” entries were data entry errors.  These errors occurred when a person did not enter the settlement date for the relevant home construction into the database.  Mr Harvey accepted that he had not reviewed each of these “Null” entries to identify whether a data entry omission could explain each of them, but Mr Harvey’s experience was that “Null” entries generally indicated that a staff member had omitted to enter the relevant settlement date data into the relevant database.</w:t>
      </w:r>
    </w:p>
    <w:p w14:paraId="58AAFABD" w14:textId="53D9BD9F" w:rsidR="00CE2E2C" w:rsidRPr="00CE2E2C" w:rsidRDefault="00BC7D85" w:rsidP="00BC7D85">
      <w:pPr>
        <w:pStyle w:val="ParaNumbering"/>
        <w:numPr>
          <w:ilvl w:val="0"/>
          <w:numId w:val="0"/>
        </w:numPr>
        <w:tabs>
          <w:tab w:val="left" w:pos="2007"/>
        </w:tabs>
        <w:ind w:hanging="720"/>
      </w:pPr>
      <w:r w:rsidRPr="00CE2E2C">
        <w:rPr>
          <w:sz w:val="20"/>
        </w:rPr>
        <w:t>248</w:t>
      </w:r>
      <w:r w:rsidRPr="00CE2E2C">
        <w:rPr>
          <w:sz w:val="20"/>
        </w:rPr>
        <w:tab/>
      </w:r>
      <w:r w:rsidR="00CE2E2C" w:rsidRPr="00CE2E2C">
        <w:t>Another anomaly in the spreadsheet was the recording of a settlement date “1 January 1900”. Mr Harvey accepted that this was obviously an error. He was not able to id</w:t>
      </w:r>
      <w:r w:rsidR="00CC0ED0">
        <w:t>entify the cause of the error.</w:t>
      </w:r>
    </w:p>
    <w:p w14:paraId="3261F9A2" w14:textId="255548E2" w:rsidR="00CE2E2C" w:rsidRPr="00CE2E2C" w:rsidRDefault="00BC7D85" w:rsidP="00BC7D85">
      <w:pPr>
        <w:pStyle w:val="ParaNumbering"/>
        <w:numPr>
          <w:ilvl w:val="0"/>
          <w:numId w:val="0"/>
        </w:numPr>
        <w:tabs>
          <w:tab w:val="left" w:pos="2007"/>
        </w:tabs>
        <w:ind w:hanging="720"/>
      </w:pPr>
      <w:r w:rsidRPr="00CE2E2C">
        <w:rPr>
          <w:sz w:val="20"/>
        </w:rPr>
        <w:t>249</w:t>
      </w:r>
      <w:r w:rsidRPr="00CE2E2C">
        <w:rPr>
          <w:sz w:val="20"/>
        </w:rPr>
        <w:tab/>
      </w:r>
      <w:r w:rsidR="00CE2E2C" w:rsidRPr="00CE2E2C">
        <w:t>During the trial, the respondent ultimately produced a summary document, which th</w:t>
      </w:r>
      <w:r w:rsidR="003122B7">
        <w:t xml:space="preserve">e primary judge reproduced at </w:t>
      </w:r>
      <w:proofErr w:type="gramStart"/>
      <w:r w:rsidR="003122B7">
        <w:t>J[</w:t>
      </w:r>
      <w:proofErr w:type="gramEnd"/>
      <w:r w:rsidR="003122B7">
        <w:t>38] and J</w:t>
      </w:r>
      <w:r w:rsidR="00CE2E2C" w:rsidRPr="00CE2E2C">
        <w:t>[561].</w:t>
      </w:r>
    </w:p>
    <w:p w14:paraId="73B28594" w14:textId="18AC4EBC" w:rsidR="00CE2E2C" w:rsidRDefault="00BC7D85" w:rsidP="00BC7D85">
      <w:pPr>
        <w:pStyle w:val="ParaNumbering"/>
        <w:numPr>
          <w:ilvl w:val="0"/>
          <w:numId w:val="0"/>
        </w:numPr>
        <w:tabs>
          <w:tab w:val="left" w:pos="2007"/>
        </w:tabs>
        <w:ind w:hanging="720"/>
      </w:pPr>
      <w:r>
        <w:rPr>
          <w:sz w:val="20"/>
        </w:rPr>
        <w:t>250</w:t>
      </w:r>
      <w:r>
        <w:rPr>
          <w:sz w:val="20"/>
        </w:rPr>
        <w:tab/>
      </w:r>
      <w:r w:rsidR="00CE2E2C" w:rsidRPr="00CE2E2C">
        <w:t xml:space="preserve">The primary judge accepted Mr Harvey’s evidence that the respondent builds homes located in Victoria under the names HENLEY and HENLEY PROPERTIES for customers located in New South Wales. With respect to the data shown in the </w:t>
      </w:r>
      <w:r w:rsidR="003122B7">
        <w:t xml:space="preserve">summaries reproduced at </w:t>
      </w:r>
      <w:proofErr w:type="gramStart"/>
      <w:r w:rsidR="003122B7">
        <w:t>J[</w:t>
      </w:r>
      <w:proofErr w:type="gramEnd"/>
      <w:r w:rsidR="003122B7">
        <w:t>38] and J</w:t>
      </w:r>
      <w:r w:rsidR="00CE2E2C" w:rsidRPr="00CE2E2C">
        <w:t>[561], the primary judge held (at J</w:t>
      </w:r>
      <w:r w:rsidR="00E24F1D">
        <w:t>[</w:t>
      </w:r>
      <w:r w:rsidR="00CE2E2C" w:rsidRPr="00CE2E2C">
        <w:t xml:space="preserve">562]): </w:t>
      </w:r>
    </w:p>
    <w:p w14:paraId="22BB74C8" w14:textId="77777777" w:rsidR="00E24F1D" w:rsidRPr="00CE2E2C" w:rsidRDefault="00E24F1D" w:rsidP="00E24F1D">
      <w:pPr>
        <w:pStyle w:val="Quote1"/>
        <w:tabs>
          <w:tab w:val="left" w:pos="1418"/>
        </w:tabs>
        <w:ind w:left="1418" w:hanging="681"/>
      </w:pPr>
      <w:r>
        <w:t>562</w:t>
      </w:r>
      <w:r>
        <w:tab/>
      </w:r>
      <w:r>
        <w:tab/>
      </w:r>
      <w:r w:rsidRPr="00E24F1D">
        <w:t>This data shows, and I find, that Henley Arch built at least 54</w:t>
      </w:r>
      <w:r w:rsidRPr="00E24F1D">
        <w:rPr>
          <w:b/>
        </w:rPr>
        <w:t xml:space="preserve"> </w:t>
      </w:r>
      <w:r w:rsidRPr="00E24F1D">
        <w:t xml:space="preserve">homes in Victoria for customers located in New South Wales prior to 2007.  If the homes recorded in the “Null” and “1900” columns are included, Henley Arch built 182 homes in Victoria for New South Wales customers before 2007.  There were issues arising in relation to these “Null” and “1900” entries.  I have referred to these issues above.  While I acknowledge those issues, having heard the evidence of Mr Harvey, I accept that Mr Harvey provided an honest and adequate explanation in relation to them.  I do not accept that those issues meant </w:t>
      </w:r>
      <w:proofErr w:type="gramStart"/>
      <w:r w:rsidRPr="00E24F1D">
        <w:t>these houses with a corresponding “Null” or “1900” entry were not built by Henley Arch</w:t>
      </w:r>
      <w:proofErr w:type="gramEnd"/>
      <w:r w:rsidRPr="00E24F1D">
        <w:t xml:space="preserve">.  In my view, the better inference is that there was an issue with the data entered into Henley Arch’s systems in respect of these “Null” and “1900” entries, but those data entry issues did not mean that the relevant houses </w:t>
      </w:r>
      <w:proofErr w:type="gramStart"/>
      <w:r w:rsidRPr="00E24F1D">
        <w:t xml:space="preserve">were </w:t>
      </w:r>
      <w:r w:rsidRPr="00E24F1D">
        <w:lastRenderedPageBreak/>
        <w:t>not in fact built</w:t>
      </w:r>
      <w:proofErr w:type="gramEnd"/>
      <w:r w:rsidRPr="00E24F1D">
        <w:t xml:space="preserve"> by Henley Arch.</w:t>
      </w:r>
    </w:p>
    <w:p w14:paraId="0C7BD36F" w14:textId="098A4601" w:rsidR="00CE2E2C" w:rsidRPr="00CE2E2C" w:rsidRDefault="00BC7D85" w:rsidP="00BC7D85">
      <w:pPr>
        <w:pStyle w:val="ParaNumbering"/>
        <w:numPr>
          <w:ilvl w:val="0"/>
          <w:numId w:val="0"/>
        </w:numPr>
        <w:tabs>
          <w:tab w:val="left" w:pos="2007"/>
        </w:tabs>
        <w:ind w:hanging="720"/>
      </w:pPr>
      <w:r w:rsidRPr="00CE2E2C">
        <w:rPr>
          <w:sz w:val="20"/>
        </w:rPr>
        <w:t>251</w:t>
      </w:r>
      <w:r w:rsidRPr="00CE2E2C">
        <w:rPr>
          <w:sz w:val="20"/>
        </w:rPr>
        <w:tab/>
      </w:r>
      <w:r w:rsidR="00CE2E2C" w:rsidRPr="00CE2E2C">
        <w:t xml:space="preserve">It will be appreciated </w:t>
      </w:r>
      <w:r w:rsidR="003122B7">
        <w:t xml:space="preserve">from </w:t>
      </w:r>
      <w:proofErr w:type="gramStart"/>
      <w:r w:rsidR="003122B7">
        <w:t>J[</w:t>
      </w:r>
      <w:proofErr w:type="gramEnd"/>
      <w:r w:rsidR="003122B7">
        <w:t xml:space="preserve">562] </w:t>
      </w:r>
      <w:r w:rsidR="00CE2E2C" w:rsidRPr="00CE2E2C">
        <w:t xml:space="preserve">that, having seen and heard Mr Harvey as a witness, the primary judge was satisfied </w:t>
      </w:r>
      <w:r w:rsidR="009E6E12">
        <w:t>with</w:t>
      </w:r>
      <w:r w:rsidR="00CE2E2C" w:rsidRPr="00CE2E2C">
        <w:t xml:space="preserve"> </w:t>
      </w:r>
      <w:r w:rsidR="00CC6A5A">
        <w:t>Mr Harvey</w:t>
      </w:r>
      <w:r w:rsidR="009E6E12">
        <w:t>’s</w:t>
      </w:r>
      <w:r w:rsidR="00CE2E2C" w:rsidRPr="00CE2E2C">
        <w:t xml:space="preserve"> explanation</w:t>
      </w:r>
      <w:r w:rsidR="009E6E12">
        <w:t xml:space="preserve">s.  </w:t>
      </w:r>
      <w:r w:rsidR="00CE2E2C" w:rsidRPr="00CE2E2C">
        <w:t xml:space="preserve">The primary judge was </w:t>
      </w:r>
      <w:r w:rsidR="009E6E12">
        <w:t xml:space="preserve">also </w:t>
      </w:r>
      <w:r w:rsidR="00CE2E2C" w:rsidRPr="00CE2E2C">
        <w:t>satisfied tha</w:t>
      </w:r>
      <w:r w:rsidR="00CC6A5A">
        <w:t>t they were “data entry issues”</w:t>
      </w:r>
      <w:r w:rsidR="00CE2E2C" w:rsidRPr="00CE2E2C">
        <w:t xml:space="preserve"> which</w:t>
      </w:r>
      <w:r w:rsidR="00CC6A5A">
        <w:t>, importantly,</w:t>
      </w:r>
      <w:r w:rsidR="00CE2E2C" w:rsidRPr="00CE2E2C">
        <w:t xml:space="preserve"> did not mean that the houses </w:t>
      </w:r>
      <w:r w:rsidR="009E6E12">
        <w:t>had</w:t>
      </w:r>
      <w:r w:rsidR="00CE2E2C" w:rsidRPr="00CE2E2C">
        <w:t xml:space="preserve"> not </w:t>
      </w:r>
      <w:r w:rsidR="009E6E12">
        <w:t>been</w:t>
      </w:r>
      <w:r w:rsidR="00CE2E2C" w:rsidRPr="00CE2E2C">
        <w:t xml:space="preserve"> built by the respondent.</w:t>
      </w:r>
    </w:p>
    <w:p w14:paraId="056AF456" w14:textId="7B5F13DF" w:rsidR="00CE2E2C" w:rsidRPr="00CE2E2C" w:rsidRDefault="00BC7D85" w:rsidP="00BC7D85">
      <w:pPr>
        <w:pStyle w:val="ParaNumbering"/>
        <w:numPr>
          <w:ilvl w:val="0"/>
          <w:numId w:val="0"/>
        </w:numPr>
        <w:tabs>
          <w:tab w:val="left" w:pos="2007"/>
        </w:tabs>
        <w:ind w:hanging="720"/>
      </w:pPr>
      <w:r w:rsidRPr="00CE2E2C">
        <w:rPr>
          <w:sz w:val="20"/>
        </w:rPr>
        <w:t>252</w:t>
      </w:r>
      <w:r w:rsidRPr="00CE2E2C">
        <w:rPr>
          <w:sz w:val="20"/>
        </w:rPr>
        <w:tab/>
      </w:r>
      <w:r w:rsidR="00CE2E2C" w:rsidRPr="00CE2E2C">
        <w:t xml:space="preserve">We </w:t>
      </w:r>
      <w:proofErr w:type="gramStart"/>
      <w:r w:rsidR="00CE2E2C" w:rsidRPr="00CE2E2C">
        <w:t>are not persuaded</w:t>
      </w:r>
      <w:proofErr w:type="gramEnd"/>
      <w:r w:rsidR="00CE2E2C" w:rsidRPr="00CE2E2C">
        <w:t xml:space="preserve"> that this finding was not open to </w:t>
      </w:r>
      <w:r w:rsidR="008D356D">
        <w:t>the primary judge</w:t>
      </w:r>
      <w:r w:rsidR="00CC6A5A">
        <w:t xml:space="preserve">.  </w:t>
      </w:r>
      <w:r w:rsidR="009E6E12">
        <w:t xml:space="preserve">His Honour’s finding </w:t>
      </w:r>
      <w:proofErr w:type="gramStart"/>
      <w:r w:rsidR="009E6E12">
        <w:t>was not based</w:t>
      </w:r>
      <w:proofErr w:type="gramEnd"/>
      <w:r w:rsidR="009E6E12">
        <w:t xml:space="preserve"> on mere conjecture.  </w:t>
      </w:r>
      <w:r w:rsidR="00CC6A5A">
        <w:t xml:space="preserve">Further, having </w:t>
      </w:r>
      <w:r w:rsidR="00CE2E2C" w:rsidRPr="00CE2E2C">
        <w:t xml:space="preserve">been satisfied of </w:t>
      </w:r>
      <w:r w:rsidR="009E6E12">
        <w:t>these</w:t>
      </w:r>
      <w:r w:rsidR="00CE2E2C" w:rsidRPr="00CE2E2C">
        <w:t xml:space="preserve"> fact</w:t>
      </w:r>
      <w:r w:rsidR="009E6E12">
        <w:t>s</w:t>
      </w:r>
      <w:r w:rsidR="00CC6A5A">
        <w:t>, the primary judge</w:t>
      </w:r>
      <w:r w:rsidR="00CE2E2C" w:rsidRPr="00CE2E2C">
        <w:t xml:space="preserve"> did not err </w:t>
      </w:r>
      <w:r w:rsidR="003122B7">
        <w:t>by</w:t>
      </w:r>
      <w:r w:rsidR="00CE2E2C" w:rsidRPr="00CE2E2C">
        <w:t xml:space="preserve"> taking account </w:t>
      </w:r>
      <w:r w:rsidR="00E24F1D">
        <w:t xml:space="preserve">of </w:t>
      </w:r>
      <w:r w:rsidR="00CE2E2C" w:rsidRPr="00CE2E2C">
        <w:t xml:space="preserve">the “Null” and “1900” entries </w:t>
      </w:r>
      <w:r w:rsidR="008D356D">
        <w:t>when considering</w:t>
      </w:r>
      <w:r w:rsidR="00CE2E2C" w:rsidRPr="00CE2E2C">
        <w:t xml:space="preserve"> the homes that the respondent had built in Victoria for New South Wales customers before 2007.</w:t>
      </w:r>
      <w:r w:rsidR="009E6E12">
        <w:t xml:space="preserve">  </w:t>
      </w:r>
    </w:p>
    <w:p w14:paraId="732C44C1" w14:textId="2CDB7D35" w:rsidR="0084036B" w:rsidRPr="0084036B" w:rsidRDefault="00BC7D85" w:rsidP="00BC7D85">
      <w:pPr>
        <w:pStyle w:val="ParaNumbering"/>
        <w:numPr>
          <w:ilvl w:val="0"/>
          <w:numId w:val="0"/>
        </w:numPr>
        <w:tabs>
          <w:tab w:val="left" w:pos="2007"/>
        </w:tabs>
        <w:ind w:hanging="720"/>
      </w:pPr>
      <w:r w:rsidRPr="0084036B">
        <w:rPr>
          <w:sz w:val="20"/>
        </w:rPr>
        <w:t>253</w:t>
      </w:r>
      <w:r w:rsidRPr="0084036B">
        <w:rPr>
          <w:sz w:val="20"/>
        </w:rPr>
        <w:tab/>
      </w:r>
      <w:r w:rsidR="0084036B" w:rsidRPr="0084036B">
        <w:t xml:space="preserve">With regard to the visits to the respondent’s website, Mr Harvey gave evidence that, since around 2003, the respondent has promoted its business and the business of the Henley Properties Group at </w:t>
      </w:r>
      <w:r w:rsidR="00CC0ED0">
        <w:t xml:space="preserve">its website, www.henley.com.au.  </w:t>
      </w:r>
      <w:r w:rsidR="0084036B" w:rsidRPr="0084036B">
        <w:t xml:space="preserve">There was a mobile version of the website, and a desktop version. The respondent has used Google Analytics to track the visits to the site, although this </w:t>
      </w:r>
      <w:r w:rsidR="006B1D4D">
        <w:t>tracking</w:t>
      </w:r>
      <w:r w:rsidR="0084036B" w:rsidRPr="0084036B">
        <w:t xml:space="preserve"> did not occur </w:t>
      </w:r>
      <w:r w:rsidR="006B1D4D">
        <w:t>before</w:t>
      </w:r>
      <w:r w:rsidR="00CC0ED0">
        <w:t xml:space="preserve"> 2013. </w:t>
      </w:r>
    </w:p>
    <w:p w14:paraId="0456A531" w14:textId="65D1634D" w:rsidR="0084036B" w:rsidRPr="0084036B" w:rsidRDefault="00BC7D85" w:rsidP="00BC7D85">
      <w:pPr>
        <w:pStyle w:val="ParaNumbering"/>
        <w:numPr>
          <w:ilvl w:val="0"/>
          <w:numId w:val="0"/>
        </w:numPr>
        <w:tabs>
          <w:tab w:val="left" w:pos="2007"/>
        </w:tabs>
        <w:ind w:hanging="720"/>
      </w:pPr>
      <w:r w:rsidRPr="0084036B">
        <w:rPr>
          <w:sz w:val="20"/>
        </w:rPr>
        <w:t>254</w:t>
      </w:r>
      <w:r w:rsidRPr="0084036B">
        <w:rPr>
          <w:sz w:val="20"/>
        </w:rPr>
        <w:tab/>
      </w:r>
      <w:r w:rsidR="0084036B" w:rsidRPr="0084036B">
        <w:t xml:space="preserve">In his first affidavit, Mr Harvey produced the relevant data for desktop website visits and mobile website visits for each year from 2013 to 2018. This data was also broken down on a </w:t>
      </w:r>
      <w:proofErr w:type="gramStart"/>
      <w:r w:rsidR="0084036B" w:rsidRPr="0084036B">
        <w:t>S</w:t>
      </w:r>
      <w:r w:rsidR="00CC0ED0">
        <w:t>tate by State</w:t>
      </w:r>
      <w:proofErr w:type="gramEnd"/>
      <w:r w:rsidR="00CC0ED0">
        <w:t xml:space="preserve"> basis. </w:t>
      </w:r>
    </w:p>
    <w:p w14:paraId="0B0BECB2" w14:textId="5086FE2A" w:rsidR="0084036B" w:rsidRPr="0084036B" w:rsidRDefault="00BC7D85" w:rsidP="00BC7D85">
      <w:pPr>
        <w:pStyle w:val="ParaNumbering"/>
        <w:numPr>
          <w:ilvl w:val="0"/>
          <w:numId w:val="0"/>
        </w:numPr>
        <w:tabs>
          <w:tab w:val="left" w:pos="2007"/>
        </w:tabs>
        <w:ind w:hanging="720"/>
      </w:pPr>
      <w:r w:rsidRPr="0084036B">
        <w:rPr>
          <w:sz w:val="20"/>
        </w:rPr>
        <w:t>255</w:t>
      </w:r>
      <w:r w:rsidRPr="0084036B">
        <w:rPr>
          <w:sz w:val="20"/>
        </w:rPr>
        <w:tab/>
      </w:r>
      <w:r w:rsidR="0084036B" w:rsidRPr="0084036B">
        <w:t xml:space="preserve">The primary judge found that, since about 2003, the respondent had marketed the </w:t>
      </w:r>
      <w:r w:rsidR="00B01CBD">
        <w:t>HENLEY</w:t>
      </w:r>
      <w:r w:rsidR="0084036B" w:rsidRPr="0084036B">
        <w:t xml:space="preserve"> </w:t>
      </w:r>
      <w:r w:rsidR="00B01CBD">
        <w:t>“</w:t>
      </w:r>
      <w:r w:rsidR="0084036B" w:rsidRPr="0084036B">
        <w:t>brand</w:t>
      </w:r>
      <w:r w:rsidR="00B01CBD">
        <w:t>”</w:t>
      </w:r>
      <w:r w:rsidR="0084036B" w:rsidRPr="0084036B">
        <w:t xml:space="preserve">, and its building and construction services, via the website, to consumers throughout </w:t>
      </w:r>
      <w:r w:rsidR="00CC0ED0">
        <w:t xml:space="preserve">Australia and internationally.  </w:t>
      </w:r>
      <w:r w:rsidR="0084036B" w:rsidRPr="0084036B">
        <w:t>The primary judge also found that, since about 2003, the respondent promoted its website in its marketing and promotional m</w:t>
      </w:r>
      <w:r w:rsidR="00CC0ED0">
        <w:t xml:space="preserve">aterials, including brochures. </w:t>
      </w:r>
    </w:p>
    <w:p w14:paraId="63841C5D" w14:textId="25051F1A" w:rsidR="0084036B" w:rsidRDefault="00BC7D85" w:rsidP="00BC7D85">
      <w:pPr>
        <w:pStyle w:val="ParaNumbering"/>
        <w:numPr>
          <w:ilvl w:val="0"/>
          <w:numId w:val="0"/>
        </w:numPr>
        <w:tabs>
          <w:tab w:val="left" w:pos="2007"/>
        </w:tabs>
        <w:ind w:hanging="720"/>
      </w:pPr>
      <w:r>
        <w:rPr>
          <w:sz w:val="20"/>
        </w:rPr>
        <w:t>256</w:t>
      </w:r>
      <w:r>
        <w:rPr>
          <w:sz w:val="20"/>
        </w:rPr>
        <w:tab/>
      </w:r>
      <w:r w:rsidR="0084036B" w:rsidRPr="0084036B">
        <w:t xml:space="preserve">The appellants’ submission concerning website visits focuses </w:t>
      </w:r>
      <w:proofErr w:type="gramStart"/>
      <w:r w:rsidR="0084036B" w:rsidRPr="0084036B">
        <w:t>on the primary judge’s findings on the website visits by persons in New South Wales</w:t>
      </w:r>
      <w:proofErr w:type="gramEnd"/>
      <w:r w:rsidR="0084036B" w:rsidRPr="0084036B">
        <w:t xml:space="preserve">. These visits were summarised in a table reproduced at </w:t>
      </w:r>
      <w:proofErr w:type="gramStart"/>
      <w:r w:rsidR="0084036B" w:rsidRPr="0084036B">
        <w:t>J[</w:t>
      </w:r>
      <w:proofErr w:type="gramEnd"/>
      <w:r w:rsidR="0084036B" w:rsidRPr="0084036B">
        <w:t>56] and J[571]. The primary judge made the following findin</w:t>
      </w:r>
      <w:r w:rsidR="00766029">
        <w:t xml:space="preserve">g about that data (at </w:t>
      </w:r>
      <w:proofErr w:type="gramStart"/>
      <w:r w:rsidR="00766029">
        <w:t>J[</w:t>
      </w:r>
      <w:proofErr w:type="gramEnd"/>
      <w:r w:rsidR="00766029">
        <w:t>57</w:t>
      </w:r>
      <w:r w:rsidR="0084036B">
        <w:t xml:space="preserve">2]): </w:t>
      </w:r>
    </w:p>
    <w:p w14:paraId="5E41025C" w14:textId="77777777" w:rsidR="0084036B" w:rsidRPr="0084036B" w:rsidRDefault="00766029" w:rsidP="0084036B">
      <w:pPr>
        <w:pStyle w:val="Quote1"/>
        <w:tabs>
          <w:tab w:val="left" w:pos="1418"/>
        </w:tabs>
        <w:ind w:left="1418" w:hanging="681"/>
      </w:pPr>
      <w:r w:rsidRPr="00766029">
        <w:t>572</w:t>
      </w:r>
      <w:r w:rsidRPr="00766029">
        <w:tab/>
        <w:t xml:space="preserve">Now, this data concerns a period post-2013.  However, it represents a reasonably large number of people each year visiting Henley Arch’s website from New South Wales.  Those numbers have been </w:t>
      </w:r>
      <w:proofErr w:type="gramStart"/>
      <w:r w:rsidRPr="00766029">
        <w:t>fairly consistent</w:t>
      </w:r>
      <w:proofErr w:type="gramEnd"/>
      <w:r w:rsidRPr="00766029">
        <w:t xml:space="preserve"> since 2014.  It </w:t>
      </w:r>
      <w:proofErr w:type="gramStart"/>
      <w:r w:rsidRPr="00766029">
        <w:t>can be inferred</w:t>
      </w:r>
      <w:proofErr w:type="gramEnd"/>
      <w:r w:rsidRPr="00766029">
        <w:t xml:space="preserve"> that the number of website visitors would have been less than these figures in the period between 2001 and 2007.  However, </w:t>
      </w:r>
      <w:proofErr w:type="gramStart"/>
      <w:r w:rsidRPr="00766029">
        <w:t>on the basis of</w:t>
      </w:r>
      <w:proofErr w:type="gramEnd"/>
      <w:r w:rsidRPr="00766029">
        <w:t xml:space="preserve"> this data, I believe it can also be safely inferred, and I find, that there would have been many persons in New South Wales visiting Henley Arch’s website in the period 2001 to 2007.  That further supports Henley Arch having </w:t>
      </w:r>
      <w:r w:rsidRPr="00766029">
        <w:lastRenderedPageBreak/>
        <w:t>a reputation in New South Wales in or around late 2006 and early 2007.</w:t>
      </w:r>
    </w:p>
    <w:p w14:paraId="7F0476CF" w14:textId="6220F287" w:rsidR="0084036B" w:rsidRPr="0084036B" w:rsidRDefault="00BC7D85" w:rsidP="00BC7D85">
      <w:pPr>
        <w:pStyle w:val="ParaNumbering"/>
        <w:numPr>
          <w:ilvl w:val="0"/>
          <w:numId w:val="0"/>
        </w:numPr>
        <w:tabs>
          <w:tab w:val="left" w:pos="2007"/>
        </w:tabs>
        <w:ind w:hanging="720"/>
      </w:pPr>
      <w:r w:rsidRPr="0084036B">
        <w:rPr>
          <w:sz w:val="20"/>
        </w:rPr>
        <w:t>257</w:t>
      </w:r>
      <w:r w:rsidRPr="0084036B">
        <w:rPr>
          <w:sz w:val="20"/>
        </w:rPr>
        <w:tab/>
      </w:r>
      <w:r w:rsidR="0084036B" w:rsidRPr="0084036B">
        <w:t xml:space="preserve">It is important to understand the context in which this finding </w:t>
      </w:r>
      <w:proofErr w:type="gramStart"/>
      <w:r w:rsidR="0084036B" w:rsidRPr="0084036B">
        <w:t>was made</w:t>
      </w:r>
      <w:proofErr w:type="gramEnd"/>
      <w:r w:rsidR="0084036B" w:rsidRPr="0084036B">
        <w:t>. Mr Harvey had also given evidence about the activities of the Henley Properties Group in New South Wales from 1995 to 2018, including by its wholly owned subsidiary, Henley Properties (NSW) Pty Ltd and, later, its wholly owned subsid</w:t>
      </w:r>
      <w:r w:rsidR="00F258EC">
        <w:t xml:space="preserve">iary, Edgewater Homes Pty Ltd. </w:t>
      </w:r>
    </w:p>
    <w:p w14:paraId="694ED8E9" w14:textId="2B89D79A" w:rsidR="0084036B" w:rsidRPr="0084036B" w:rsidRDefault="00BC7D85" w:rsidP="00BC7D85">
      <w:pPr>
        <w:pStyle w:val="ParaNumbering"/>
        <w:numPr>
          <w:ilvl w:val="0"/>
          <w:numId w:val="0"/>
        </w:numPr>
        <w:tabs>
          <w:tab w:val="left" w:pos="2007"/>
        </w:tabs>
        <w:ind w:hanging="720"/>
      </w:pPr>
      <w:r w:rsidRPr="0084036B">
        <w:rPr>
          <w:sz w:val="20"/>
        </w:rPr>
        <w:t>258</w:t>
      </w:r>
      <w:r w:rsidRPr="0084036B">
        <w:rPr>
          <w:sz w:val="20"/>
        </w:rPr>
        <w:tab/>
      </w:r>
      <w:r w:rsidR="00FA78BF">
        <w:t xml:space="preserve">At </w:t>
      </w:r>
      <w:proofErr w:type="gramStart"/>
      <w:r w:rsidR="00FA78BF">
        <w:t>J</w:t>
      </w:r>
      <w:r w:rsidR="0084036B" w:rsidRPr="0084036B">
        <w:t>[</w:t>
      </w:r>
      <w:proofErr w:type="gramEnd"/>
      <w:r w:rsidR="0084036B" w:rsidRPr="0084036B">
        <w:t>563] – [573], the primary judge reviewed the evidence of the respondent’s business</w:t>
      </w:r>
      <w:r w:rsidR="00FC77E3">
        <w:t xml:space="preserve"> activities in New South Wales.  </w:t>
      </w:r>
      <w:r w:rsidR="0084036B" w:rsidRPr="0084036B">
        <w:t xml:space="preserve">His Honour was satisfied that the evidence established that, in New South Wales, the respondent’s business prior to 2005 was “reasonably substantial”. Further, his Honour was satisfied that the data of the respondent’s building activities in New South Wales, taken with the data of persons in New South Wales purchasing homes located in Victoria, ensured that the respondent had a “genuine reputation in New South Wales for home building”: </w:t>
      </w:r>
      <w:proofErr w:type="gramStart"/>
      <w:r w:rsidR="0084036B" w:rsidRPr="0084036B">
        <w:t>J[</w:t>
      </w:r>
      <w:proofErr w:type="gramEnd"/>
      <w:r w:rsidR="0084036B" w:rsidRPr="0084036B">
        <w:t>568].</w:t>
      </w:r>
    </w:p>
    <w:p w14:paraId="10E44A46" w14:textId="1D464320" w:rsidR="0084036B" w:rsidRPr="0084036B" w:rsidRDefault="00BC7D85" w:rsidP="00BC7D85">
      <w:pPr>
        <w:pStyle w:val="ParaNumbering"/>
        <w:numPr>
          <w:ilvl w:val="0"/>
          <w:numId w:val="0"/>
        </w:numPr>
        <w:tabs>
          <w:tab w:val="left" w:pos="2007"/>
        </w:tabs>
        <w:ind w:hanging="720"/>
      </w:pPr>
      <w:r w:rsidRPr="0084036B">
        <w:rPr>
          <w:sz w:val="20"/>
        </w:rPr>
        <w:t>259</w:t>
      </w:r>
      <w:r w:rsidRPr="0084036B">
        <w:rPr>
          <w:sz w:val="20"/>
        </w:rPr>
        <w:tab/>
      </w:r>
      <w:r w:rsidR="0084036B" w:rsidRPr="0084036B">
        <w:t xml:space="preserve">It was only after making </w:t>
      </w:r>
      <w:proofErr w:type="gramStart"/>
      <w:r w:rsidR="0084036B" w:rsidRPr="0084036B">
        <w:t>these</w:t>
      </w:r>
      <w:proofErr w:type="gramEnd"/>
      <w:r w:rsidR="0084036B" w:rsidRPr="0084036B">
        <w:t xml:space="preserve"> findings that the primary judge turned to consider the data of desktop website visits and mobile website visits from persons in New South Wales, and the significance of that data. </w:t>
      </w:r>
    </w:p>
    <w:p w14:paraId="21021AED" w14:textId="493F5254" w:rsidR="00CE2E2C" w:rsidRDefault="00BC7D85" w:rsidP="00BC7D85">
      <w:pPr>
        <w:pStyle w:val="ParaNumbering"/>
        <w:numPr>
          <w:ilvl w:val="0"/>
          <w:numId w:val="0"/>
        </w:numPr>
        <w:tabs>
          <w:tab w:val="left" w:pos="2007"/>
        </w:tabs>
        <w:ind w:hanging="720"/>
      </w:pPr>
      <w:r>
        <w:rPr>
          <w:sz w:val="20"/>
        </w:rPr>
        <w:t>260</w:t>
      </w:r>
      <w:r>
        <w:rPr>
          <w:sz w:val="20"/>
        </w:rPr>
        <w:tab/>
      </w:r>
      <w:r w:rsidR="0084036B" w:rsidRPr="0084036B">
        <w:t xml:space="preserve">Given the findings that the primary judge had already made, we are not persuaded that it was not open to his Honour to </w:t>
      </w:r>
      <w:r w:rsidR="00FC77E3">
        <w:t>draw the inference</w:t>
      </w:r>
      <w:r w:rsidR="0084036B" w:rsidRPr="0084036B">
        <w:t>,</w:t>
      </w:r>
      <w:r w:rsidR="00FC77E3">
        <w:t xml:space="preserve"> expressed at a somewhat high level of generality,</w:t>
      </w:r>
      <w:r w:rsidR="0084036B" w:rsidRPr="0084036B">
        <w:t xml:space="preserve"> that there would have been </w:t>
      </w:r>
      <w:r w:rsidR="00FC77E3">
        <w:t>“</w:t>
      </w:r>
      <w:r w:rsidR="0084036B" w:rsidRPr="0084036B">
        <w:t>many</w:t>
      </w:r>
      <w:r w:rsidR="00FC77E3">
        <w:t>”</w:t>
      </w:r>
      <w:r w:rsidR="0084036B" w:rsidRPr="0084036B">
        <w:t xml:space="preserve"> persons in New South Wales visiting the respondent’s website in the period 2001 to 2007. Obviously, </w:t>
      </w:r>
      <w:r w:rsidR="00FA78BF">
        <w:t xml:space="preserve">the </w:t>
      </w:r>
      <w:r w:rsidR="0084036B" w:rsidRPr="0084036B">
        <w:t xml:space="preserve">primary judge was not prepared to make, and did not purport to make, a more </w:t>
      </w:r>
      <w:r w:rsidR="00FC77E3">
        <w:t>precise</w:t>
      </w:r>
      <w:r w:rsidR="0084036B" w:rsidRPr="0084036B">
        <w:t xml:space="preserve"> finding. </w:t>
      </w:r>
      <w:proofErr w:type="gramStart"/>
      <w:r w:rsidR="0084036B" w:rsidRPr="0084036B">
        <w:t xml:space="preserve">Given the data on website visits that his Honour had for the period 2013 to 2018 (which showed yearly visits ranging from 15,646 visits to 33,189 visits), taken with the evidence of the </w:t>
      </w:r>
      <w:r w:rsidR="00FC77E3">
        <w:t xml:space="preserve">respondent’s </w:t>
      </w:r>
      <w:r w:rsidR="0084036B" w:rsidRPr="0084036B">
        <w:t xml:space="preserve">business activities </w:t>
      </w:r>
      <w:r w:rsidR="00FC77E3">
        <w:t>in New South Wales in the years preceding 2013 (and, in particular 2001 to 2007), including the promotion of its website</w:t>
      </w:r>
      <w:r w:rsidR="0084036B" w:rsidRPr="0084036B">
        <w:t>, it beggars belief that there would not have been many persons in New South Wales visiting the respondent’s website in the period 2001 to 2007.</w:t>
      </w:r>
      <w:proofErr w:type="gramEnd"/>
      <w:r w:rsidR="0084036B" w:rsidRPr="0084036B">
        <w:t xml:space="preserve">  What is more, the primary judge viewed the website data as merely supporting the existence of a </w:t>
      </w:r>
      <w:proofErr w:type="gramStart"/>
      <w:r w:rsidR="0084036B" w:rsidRPr="0084036B">
        <w:t>reputation which</w:t>
      </w:r>
      <w:proofErr w:type="gramEnd"/>
      <w:r w:rsidR="0084036B" w:rsidRPr="0084036B">
        <w:t xml:space="preserve"> he had</w:t>
      </w:r>
      <w:r w:rsidR="00FA78BF">
        <w:t xml:space="preserve"> already found to have existed</w:t>
      </w:r>
      <w:r w:rsidR="00FC77E3">
        <w:t xml:space="preserve"> at the relevant time</w:t>
      </w:r>
      <w:r w:rsidR="00FA78BF">
        <w:t>.</w:t>
      </w:r>
      <w:r w:rsidR="00A82DC2">
        <w:t xml:space="preserve"> </w:t>
      </w:r>
    </w:p>
    <w:p w14:paraId="68CFB21D" w14:textId="4034EB9A" w:rsidR="00A82DC2" w:rsidRDefault="00BC7D85" w:rsidP="00BC7D85">
      <w:pPr>
        <w:pStyle w:val="ParaNumbering"/>
        <w:numPr>
          <w:ilvl w:val="0"/>
          <w:numId w:val="0"/>
        </w:numPr>
        <w:ind w:hanging="720"/>
      </w:pPr>
      <w:r>
        <w:rPr>
          <w:sz w:val="20"/>
        </w:rPr>
        <w:t>261</w:t>
      </w:r>
      <w:r>
        <w:rPr>
          <w:sz w:val="20"/>
        </w:rPr>
        <w:tab/>
      </w:r>
      <w:r w:rsidR="00B01CBD">
        <w:t>As to the primary judge’s</w:t>
      </w:r>
      <w:r w:rsidR="00A82DC2">
        <w:t xml:space="preserve"> finding that the building and construction industry in Aus</w:t>
      </w:r>
      <w:r w:rsidR="00FC77E3">
        <w:t xml:space="preserve">tralia </w:t>
      </w:r>
      <w:r w:rsidR="00B01CBD">
        <w:t xml:space="preserve">is (and </w:t>
      </w:r>
      <w:r w:rsidR="00FC77E3">
        <w:t>was</w:t>
      </w:r>
      <w:r w:rsidR="00B01CBD">
        <w:t>)</w:t>
      </w:r>
      <w:r w:rsidR="00FC77E3">
        <w:t xml:space="preserve"> a national industry</w:t>
      </w:r>
      <w:r w:rsidR="00B01CBD">
        <w:t>, the appellants did not elaborate, in any detailed way, on why the primary judge erred in reaching his finding</w:t>
      </w:r>
      <w:r w:rsidR="00FC77E3">
        <w:t xml:space="preserve">.  </w:t>
      </w:r>
      <w:r w:rsidR="00B01CBD">
        <w:t>The appellants certainly</w:t>
      </w:r>
      <w:r w:rsidR="00FC77E3">
        <w:t xml:space="preserve"> </w:t>
      </w:r>
      <w:r w:rsidR="00B01CBD">
        <w:t>did not provide</w:t>
      </w:r>
      <w:r w:rsidR="00FC77E3">
        <w:t xml:space="preserve"> a </w:t>
      </w:r>
      <w:r w:rsidR="00B01CBD">
        <w:t xml:space="preserve">sound </w:t>
      </w:r>
      <w:r w:rsidR="00FC77E3">
        <w:t xml:space="preserve">basis </w:t>
      </w:r>
      <w:r w:rsidR="00B01CBD">
        <w:t>for why</w:t>
      </w:r>
      <w:r w:rsidR="00FC77E3">
        <w:t xml:space="preserve"> we should interfere with the primary judge’s finding on this issue</w:t>
      </w:r>
      <w:r w:rsidR="00B01CBD">
        <w:t xml:space="preserve">, as we </w:t>
      </w:r>
      <w:proofErr w:type="gramStart"/>
      <w:r w:rsidR="00B01CBD">
        <w:t>were invited</w:t>
      </w:r>
      <w:proofErr w:type="gramEnd"/>
      <w:r w:rsidR="00B01CBD">
        <w:t xml:space="preserve"> to do</w:t>
      </w:r>
      <w:r w:rsidR="00FC77E3">
        <w:t>.</w:t>
      </w:r>
    </w:p>
    <w:p w14:paraId="02F0EF56" w14:textId="1F0C9175" w:rsidR="00A82DC2" w:rsidRDefault="00BC7D85" w:rsidP="00BC7D85">
      <w:pPr>
        <w:pStyle w:val="ParaNumbering"/>
        <w:numPr>
          <w:ilvl w:val="0"/>
          <w:numId w:val="0"/>
        </w:numPr>
        <w:ind w:hanging="720"/>
      </w:pPr>
      <w:r>
        <w:rPr>
          <w:sz w:val="20"/>
        </w:rPr>
        <w:lastRenderedPageBreak/>
        <w:t>262</w:t>
      </w:r>
      <w:r>
        <w:rPr>
          <w:sz w:val="20"/>
        </w:rPr>
        <w:tab/>
      </w:r>
      <w:r w:rsidR="00A82DC2">
        <w:t>The primary judge gave detailed cons</w:t>
      </w:r>
      <w:r w:rsidR="00FC77E3">
        <w:t xml:space="preserve">ideration to this question at </w:t>
      </w:r>
      <w:proofErr w:type="gramStart"/>
      <w:r w:rsidR="00FC77E3">
        <w:t>J[</w:t>
      </w:r>
      <w:proofErr w:type="gramEnd"/>
      <w:r w:rsidR="00FC77E3">
        <w:t xml:space="preserve">575] – [590].  </w:t>
      </w:r>
      <w:r w:rsidR="00A82DC2">
        <w:t xml:space="preserve">His Honour’s consideration included an analysis of the regulatory framework that governs the building and construction industry in Australia, as well as aspects of the evidence given by Mr Harvey and Mr </w:t>
      </w:r>
      <w:proofErr w:type="spellStart"/>
      <w:r w:rsidR="00A82DC2">
        <w:t>Tatian</w:t>
      </w:r>
      <w:proofErr w:type="spellEnd"/>
      <w:r w:rsidR="00A82DC2">
        <w:t xml:space="preserve">.  Mr </w:t>
      </w:r>
      <w:proofErr w:type="spellStart"/>
      <w:r w:rsidR="00A82DC2">
        <w:t>Tatian</w:t>
      </w:r>
      <w:proofErr w:type="spellEnd"/>
      <w:r w:rsidR="00A82DC2">
        <w:t xml:space="preserve"> was a Building Certifier and Building Consultant who </w:t>
      </w:r>
      <w:proofErr w:type="gramStart"/>
      <w:r w:rsidR="00A82DC2">
        <w:t>was called</w:t>
      </w:r>
      <w:proofErr w:type="gramEnd"/>
      <w:r w:rsidR="00A82DC2">
        <w:t xml:space="preserve"> by </w:t>
      </w:r>
      <w:r w:rsidR="00FC77E3">
        <w:t>the appellants</w:t>
      </w:r>
      <w:r w:rsidR="00A82DC2">
        <w:t xml:space="preserve">. </w:t>
      </w:r>
    </w:p>
    <w:p w14:paraId="701A5FD3" w14:textId="24D1C8AE" w:rsidR="00A82DC2" w:rsidRDefault="00BC7D85" w:rsidP="00BC7D85">
      <w:pPr>
        <w:pStyle w:val="ParaNumbering"/>
        <w:numPr>
          <w:ilvl w:val="0"/>
          <w:numId w:val="0"/>
        </w:numPr>
        <w:ind w:hanging="720"/>
      </w:pPr>
      <w:r>
        <w:rPr>
          <w:sz w:val="20"/>
        </w:rPr>
        <w:t>263</w:t>
      </w:r>
      <w:r>
        <w:rPr>
          <w:sz w:val="20"/>
        </w:rPr>
        <w:tab/>
      </w:r>
      <w:r w:rsidR="00A82DC2">
        <w:t xml:space="preserve">The primary judge also called in aid the </w:t>
      </w:r>
      <w:proofErr w:type="gramStart"/>
      <w:r w:rsidR="00A82DC2">
        <w:t>evidence which</w:t>
      </w:r>
      <w:proofErr w:type="gramEnd"/>
      <w:r w:rsidR="00A82DC2">
        <w:t xml:space="preserve"> showed that a number of consumers in New South Wales purchased the respondent’s homes in Victoria, as well as the evidence of persons located in New South Wales accessing the respondent’s website. His Honour considered that this evidence diminished the force of any submission that the construction industry was h</w:t>
      </w:r>
      <w:r w:rsidR="00F258EC">
        <w:t xml:space="preserve">ighly localised or State-based.  </w:t>
      </w:r>
      <w:r w:rsidR="00A82DC2">
        <w:t>The primary judge also took into account the normal economic forces of supply and demand.</w:t>
      </w:r>
    </w:p>
    <w:p w14:paraId="3EDB1A97" w14:textId="5C9D97B4" w:rsidR="00A82DC2" w:rsidRDefault="00BC7D85" w:rsidP="00BC7D85">
      <w:pPr>
        <w:pStyle w:val="ParaNumbering"/>
        <w:numPr>
          <w:ilvl w:val="0"/>
          <w:numId w:val="0"/>
        </w:numPr>
        <w:ind w:hanging="720"/>
      </w:pPr>
      <w:r>
        <w:rPr>
          <w:sz w:val="20"/>
        </w:rPr>
        <w:t>264</w:t>
      </w:r>
      <w:r>
        <w:rPr>
          <w:sz w:val="20"/>
        </w:rPr>
        <w:tab/>
      </w:r>
      <w:r w:rsidR="00FC77E3">
        <w:t xml:space="preserve">In our view, the primary </w:t>
      </w:r>
      <w:proofErr w:type="gramStart"/>
      <w:r w:rsidR="00FC77E3">
        <w:t>judge’s</w:t>
      </w:r>
      <w:proofErr w:type="gramEnd"/>
      <w:r w:rsidR="00FC77E3">
        <w:t xml:space="preserve"> finding that the Australian building</w:t>
      </w:r>
      <w:r w:rsidR="003E6D81">
        <w:t xml:space="preserve"> and construction</w:t>
      </w:r>
      <w:r w:rsidR="00FC77E3">
        <w:t xml:space="preserve"> industry was a national industry</w:t>
      </w:r>
      <w:r w:rsidR="00D830A9">
        <w:t xml:space="preserve"> was open to him, as was his rejection of the appellants’ contention that </w:t>
      </w:r>
      <w:r w:rsidR="00B01CBD">
        <w:t>that industry</w:t>
      </w:r>
      <w:r w:rsidR="00D830A9">
        <w:t xml:space="preserve"> was State</w:t>
      </w:r>
      <w:r w:rsidR="00B01CBD">
        <w:t>-</w:t>
      </w:r>
      <w:r w:rsidR="00D830A9">
        <w:t xml:space="preserve"> and Territory</w:t>
      </w:r>
      <w:r w:rsidR="00B01CBD">
        <w:t>-</w:t>
      </w:r>
      <w:r w:rsidR="00D830A9">
        <w:t>based.</w:t>
      </w:r>
    </w:p>
    <w:p w14:paraId="7697E3DA" w14:textId="2F5B4CC9" w:rsidR="00A82DC2" w:rsidRDefault="00BC7D85" w:rsidP="00BC7D85">
      <w:pPr>
        <w:pStyle w:val="ParaNumbering"/>
        <w:numPr>
          <w:ilvl w:val="0"/>
          <w:numId w:val="0"/>
        </w:numPr>
        <w:ind w:hanging="720"/>
      </w:pPr>
      <w:r>
        <w:rPr>
          <w:sz w:val="20"/>
        </w:rPr>
        <w:t>265</w:t>
      </w:r>
      <w:r>
        <w:rPr>
          <w:sz w:val="20"/>
        </w:rPr>
        <w:tab/>
      </w:r>
      <w:r w:rsidR="00A82DC2">
        <w:t>We now turn to Mr Boyer’s evidence. The sole basis on which the appellants contend that the primary judge should not have relied on Mr Boyer’s evidence is that Mr Boyer “had a rela</w:t>
      </w:r>
      <w:r w:rsidR="00F258EC">
        <w:t xml:space="preserve">tionship” with the respondent. </w:t>
      </w:r>
    </w:p>
    <w:p w14:paraId="3C0D0999" w14:textId="561644D4" w:rsidR="00A82DC2" w:rsidRDefault="00BC7D85" w:rsidP="00BC7D85">
      <w:pPr>
        <w:pStyle w:val="ParaNumbering"/>
        <w:numPr>
          <w:ilvl w:val="0"/>
          <w:numId w:val="0"/>
        </w:numPr>
        <w:ind w:hanging="720"/>
      </w:pPr>
      <w:r>
        <w:rPr>
          <w:sz w:val="20"/>
        </w:rPr>
        <w:t>266</w:t>
      </w:r>
      <w:r>
        <w:rPr>
          <w:sz w:val="20"/>
        </w:rPr>
        <w:tab/>
      </w:r>
      <w:r w:rsidR="00A82DC2">
        <w:t xml:space="preserve">To be precise, from July 2006 to May 2017, Mr Boyer was the Commercial Manager in the Melbourne office of James </w:t>
      </w:r>
      <w:proofErr w:type="spellStart"/>
      <w:r w:rsidR="00A82DC2">
        <w:t>Hardie</w:t>
      </w:r>
      <w:proofErr w:type="spellEnd"/>
      <w:r w:rsidR="00A82DC2">
        <w:t xml:space="preserve"> Australia Pty Ltd (</w:t>
      </w:r>
      <w:r w:rsidR="00A82DC2" w:rsidRPr="00A82DC2">
        <w:rPr>
          <w:b/>
        </w:rPr>
        <w:t xml:space="preserve">James </w:t>
      </w:r>
      <w:proofErr w:type="spellStart"/>
      <w:r w:rsidR="00A82DC2" w:rsidRPr="00A82DC2">
        <w:rPr>
          <w:b/>
        </w:rPr>
        <w:t>Hardie</w:t>
      </w:r>
      <w:proofErr w:type="spellEnd"/>
      <w:r w:rsidR="00A82DC2">
        <w:t xml:space="preserve">). Later, he became the Head of Commercial Sales in Australia for </w:t>
      </w:r>
      <w:proofErr w:type="spellStart"/>
      <w:r w:rsidR="00A82DC2">
        <w:t>Karndean</w:t>
      </w:r>
      <w:proofErr w:type="spellEnd"/>
      <w:r w:rsidR="00A82DC2">
        <w:t xml:space="preserve"> International Pty Ltd (</w:t>
      </w:r>
      <w:proofErr w:type="spellStart"/>
      <w:r w:rsidR="00A82DC2" w:rsidRPr="00A82DC2">
        <w:rPr>
          <w:b/>
        </w:rPr>
        <w:t>Karndean</w:t>
      </w:r>
      <w:proofErr w:type="spellEnd"/>
      <w:r w:rsidR="00A82DC2">
        <w:t xml:space="preserve">). At the time he </w:t>
      </w:r>
      <w:r w:rsidR="003E6D81">
        <w:t>made his second affidavit</w:t>
      </w:r>
      <w:r w:rsidR="00A82DC2">
        <w:t xml:space="preserve">, Mr Boyer had left his employment with </w:t>
      </w:r>
      <w:proofErr w:type="spellStart"/>
      <w:r w:rsidR="00A82DC2">
        <w:t>Karndean</w:t>
      </w:r>
      <w:proofErr w:type="spellEnd"/>
      <w:r w:rsidR="00A82DC2">
        <w:t xml:space="preserve">. When Mr Boyer worked at James </w:t>
      </w:r>
      <w:proofErr w:type="spellStart"/>
      <w:r w:rsidR="00A82DC2">
        <w:t>Hardie</w:t>
      </w:r>
      <w:proofErr w:type="spellEnd"/>
      <w:r w:rsidR="00A82DC2">
        <w:t xml:space="preserve">, the respondent was a customer of that firm and Mr Boyer personally managed the relationship between the respondent and James </w:t>
      </w:r>
      <w:proofErr w:type="spellStart"/>
      <w:r w:rsidR="00A82DC2">
        <w:t>Hardie</w:t>
      </w:r>
      <w:proofErr w:type="spellEnd"/>
      <w:r w:rsidR="00A82DC2">
        <w:t xml:space="preserve">. Further, the respondent was a client of </w:t>
      </w:r>
      <w:proofErr w:type="spellStart"/>
      <w:proofErr w:type="gramStart"/>
      <w:r w:rsidR="00A82DC2">
        <w:t>Karndean</w:t>
      </w:r>
      <w:proofErr w:type="spellEnd"/>
      <w:r w:rsidR="00A82DC2">
        <w:t xml:space="preserve"> which</w:t>
      </w:r>
      <w:proofErr w:type="gramEnd"/>
      <w:r w:rsidR="00A82DC2">
        <w:t xml:space="preserve"> Mr Boyer brought to </w:t>
      </w:r>
      <w:proofErr w:type="spellStart"/>
      <w:r w:rsidR="00A82DC2">
        <w:t>Karndean</w:t>
      </w:r>
      <w:proofErr w:type="spellEnd"/>
      <w:r w:rsidR="00A82DC2">
        <w:t xml:space="preserve"> in 2017 as a result of the relationship he had with the respondent while at James </w:t>
      </w:r>
      <w:proofErr w:type="spellStart"/>
      <w:r w:rsidR="00A82DC2">
        <w:t>Hardie</w:t>
      </w:r>
      <w:proofErr w:type="spellEnd"/>
      <w:r w:rsidR="00A82DC2">
        <w:t>.</w:t>
      </w:r>
      <w:r w:rsidR="00F258EC">
        <w:t xml:space="preserve">  </w:t>
      </w:r>
    </w:p>
    <w:p w14:paraId="5B35FF88" w14:textId="09532745" w:rsidR="00A82DC2" w:rsidRDefault="00BC7D85" w:rsidP="00BC7D85">
      <w:pPr>
        <w:pStyle w:val="ParaNumbering"/>
        <w:numPr>
          <w:ilvl w:val="0"/>
          <w:numId w:val="0"/>
        </w:numPr>
        <w:ind w:hanging="720"/>
      </w:pPr>
      <w:proofErr w:type="gramStart"/>
      <w:r>
        <w:rPr>
          <w:sz w:val="20"/>
        </w:rPr>
        <w:t>267</w:t>
      </w:r>
      <w:r>
        <w:rPr>
          <w:sz w:val="20"/>
        </w:rPr>
        <w:tab/>
      </w:r>
      <w:r w:rsidR="00A82DC2">
        <w:t xml:space="preserve">When Mr Boyer was at James </w:t>
      </w:r>
      <w:proofErr w:type="spellStart"/>
      <w:r w:rsidR="00A82DC2">
        <w:t>Hardie</w:t>
      </w:r>
      <w:proofErr w:type="spellEnd"/>
      <w:proofErr w:type="gramEnd"/>
      <w:r w:rsidR="00A82DC2">
        <w:t xml:space="preserve"> he came across an article on the Internet published by “Architecture and Design” titled “Experienced NSW builder keen to repeat AFS LOGICWALL success”. The article referred to Henley Constructions as the experienced builder. Mr Boyer’s evidence was that, when he read the article, he thought that Henley Constructions might be an “offshoot” of the respondent because of the word HENLEY</w:t>
      </w:r>
      <w:r w:rsidR="009B7FD4">
        <w:t xml:space="preserve"> in Henley Constructions’ name.  </w:t>
      </w:r>
      <w:r w:rsidR="00A82DC2">
        <w:t xml:space="preserve">After reading the article, Mr Boyer sent an email to the </w:t>
      </w:r>
      <w:r w:rsidR="00A82DC2">
        <w:lastRenderedPageBreak/>
        <w:t>respondent enquiring whether the Henley Constructions business in Sydney had anyth</w:t>
      </w:r>
      <w:r w:rsidR="009B7FD4">
        <w:t xml:space="preserve">ing to do with the respondent. </w:t>
      </w:r>
    </w:p>
    <w:p w14:paraId="4198F327" w14:textId="7909D591" w:rsidR="00A82DC2" w:rsidRDefault="00BC7D85" w:rsidP="00BC7D85">
      <w:pPr>
        <w:pStyle w:val="ParaNumbering"/>
        <w:numPr>
          <w:ilvl w:val="0"/>
          <w:numId w:val="0"/>
        </w:numPr>
        <w:ind w:hanging="720"/>
      </w:pPr>
      <w:r>
        <w:rPr>
          <w:sz w:val="20"/>
        </w:rPr>
        <w:t>268</w:t>
      </w:r>
      <w:r>
        <w:rPr>
          <w:sz w:val="20"/>
        </w:rPr>
        <w:tab/>
      </w:r>
      <w:r w:rsidR="00A82DC2">
        <w:t xml:space="preserve">The appellants’ contention regarding Mr Boyer’s evidence was directed to </w:t>
      </w:r>
      <w:proofErr w:type="gramStart"/>
      <w:r w:rsidR="00A82DC2">
        <w:t>J[</w:t>
      </w:r>
      <w:proofErr w:type="gramEnd"/>
      <w:r w:rsidR="00A82DC2">
        <w:t>599] of the primary judge’s reasons, where the primary judge found that the addition of the word CONSTRUCTIONS to Henley Constructions’ name did not serve to distinguish Henley Constructions’ building and construction services from those provided by the respo</w:t>
      </w:r>
      <w:r w:rsidR="006B1D4D">
        <w:t>ndent. The primary judge said:</w:t>
      </w:r>
      <w:r w:rsidR="00A82DC2">
        <w:t xml:space="preserve"> </w:t>
      </w:r>
      <w:r w:rsidR="009B7FD4">
        <w:t xml:space="preserve"> </w:t>
      </w:r>
    </w:p>
    <w:p w14:paraId="23B4E47B" w14:textId="5125CBCC" w:rsidR="00A82DC2" w:rsidRDefault="00A82DC2" w:rsidP="00A82DC2">
      <w:pPr>
        <w:pStyle w:val="Quote1"/>
        <w:tabs>
          <w:tab w:val="left" w:pos="1418"/>
        </w:tabs>
        <w:ind w:left="1418" w:hanging="681"/>
      </w:pPr>
      <w:r w:rsidRPr="00A82DC2">
        <w:t>599    </w:t>
      </w:r>
      <w:r>
        <w:tab/>
      </w:r>
      <w:r w:rsidR="004C284D">
        <w:t xml:space="preserve">... </w:t>
      </w:r>
      <w:r w:rsidRPr="00A82DC2">
        <w:t>I find that the use of the marks “HENLEY</w:t>
      </w:r>
      <w:r w:rsidR="004C284D">
        <w:t xml:space="preserve"> </w:t>
      </w:r>
      <w:r w:rsidRPr="00A82DC2">
        <w:t xml:space="preserve">CONSTRUCTIONS” and “Henley” in the various styles does not serve to distinguish the building and construction services provided by Henley Constructions from those of Henley Arch. Indeed, Mr Damian Boyer, a former sales representative of James </w:t>
      </w:r>
      <w:proofErr w:type="spellStart"/>
      <w:r w:rsidRPr="00A82DC2">
        <w:t>Hardie</w:t>
      </w:r>
      <w:proofErr w:type="spellEnd"/>
      <w:r w:rsidRPr="00A82DC2">
        <w:t xml:space="preserve">, a supplier to Henley Arch, gave evidence that, when he saw the name “Henley Constructions”, this caused him to email Henley Arch to enquire as to whether there was an association. In my view, that provides actual evidence of a well-informed consumer being led into error, or having a tendency to be led into error, </w:t>
      </w:r>
      <w:proofErr w:type="gramStart"/>
      <w:r w:rsidRPr="00A82DC2">
        <w:t>by reason of</w:t>
      </w:r>
      <w:proofErr w:type="gramEnd"/>
      <w:r w:rsidRPr="00A82DC2">
        <w:t xml:space="preserve"> merely reading the name “Henley Constructions”. The error, or tendency to be led into error, was that Mr Boyer entertained the possibility that Henley Constructions was associated with Henley Arch (the subject line of Mr Boyer’s relevant email was: “Guys, does the below business based in Sydney [namely, Henley Constructions,] have anything at all to do with [Henley Arch]?”). Of course, there is no such association.</w:t>
      </w:r>
    </w:p>
    <w:p w14:paraId="6DADF6D5" w14:textId="128AFC9D" w:rsidR="00A82DC2" w:rsidRDefault="00BC7D85" w:rsidP="00BC7D85">
      <w:pPr>
        <w:pStyle w:val="ParaNumbering"/>
        <w:numPr>
          <w:ilvl w:val="0"/>
          <w:numId w:val="0"/>
        </w:numPr>
        <w:ind w:hanging="720"/>
      </w:pPr>
      <w:r>
        <w:rPr>
          <w:sz w:val="20"/>
        </w:rPr>
        <w:t>269</w:t>
      </w:r>
      <w:r>
        <w:rPr>
          <w:sz w:val="20"/>
        </w:rPr>
        <w:tab/>
      </w:r>
      <w:r w:rsidR="00A82DC2">
        <w:t xml:space="preserve">We </w:t>
      </w:r>
      <w:proofErr w:type="gramStart"/>
      <w:r w:rsidR="00A82DC2">
        <w:t>are not persuaded</w:t>
      </w:r>
      <w:proofErr w:type="gramEnd"/>
      <w:r w:rsidR="00A82DC2">
        <w:t xml:space="preserve"> that the primary judge erred in relying on Mr Boyer’s evidence. </w:t>
      </w:r>
      <w:proofErr w:type="gramStart"/>
      <w:r w:rsidR="00A82DC2">
        <w:t>The fact that</w:t>
      </w:r>
      <w:r w:rsidR="006B1D4D">
        <w:t>, formerly,</w:t>
      </w:r>
      <w:r w:rsidR="00A82DC2">
        <w:t xml:space="preserve"> Mr Boyer had an arms-length commercial relationship with the respondent through James </w:t>
      </w:r>
      <w:proofErr w:type="spellStart"/>
      <w:r w:rsidR="00A82DC2">
        <w:t>Hardie</w:t>
      </w:r>
      <w:proofErr w:type="spellEnd"/>
      <w:r w:rsidR="00A82DC2">
        <w:t xml:space="preserve"> and, later, </w:t>
      </w:r>
      <w:proofErr w:type="spellStart"/>
      <w:r w:rsidR="00A82DC2">
        <w:t>Karndean</w:t>
      </w:r>
      <w:proofErr w:type="spellEnd"/>
      <w:r w:rsidR="00A82DC2">
        <w:t xml:space="preserve"> does not, of itself, diminish the cogency of his evidence</w:t>
      </w:r>
      <w:r w:rsidR="006B1D4D">
        <w:t xml:space="preserve"> as to his perception when seeing </w:t>
      </w:r>
      <w:r w:rsidR="00B01CBD">
        <w:t xml:space="preserve">Henley Constructions’ </w:t>
      </w:r>
      <w:r w:rsidR="006B1D4D">
        <w:t>name in the article</w:t>
      </w:r>
      <w:r w:rsidR="00D830A9">
        <w:t xml:space="preserve"> to which he referred</w:t>
      </w:r>
      <w:r w:rsidR="006B1D4D">
        <w:t>,</w:t>
      </w:r>
      <w:r w:rsidR="00A82DC2">
        <w:t xml:space="preserve"> especially when, at J[160], the primary judge accepted Mr Boyer as an honest witness.</w:t>
      </w:r>
      <w:proofErr w:type="gramEnd"/>
    </w:p>
    <w:p w14:paraId="45E33367" w14:textId="42AA18EC" w:rsidR="00086B31" w:rsidRDefault="00BC7D85" w:rsidP="00BC7D85">
      <w:pPr>
        <w:pStyle w:val="ParaNumbering"/>
        <w:numPr>
          <w:ilvl w:val="0"/>
          <w:numId w:val="0"/>
        </w:numPr>
        <w:ind w:hanging="720"/>
      </w:pPr>
      <w:r>
        <w:rPr>
          <w:sz w:val="20"/>
        </w:rPr>
        <w:t>270</w:t>
      </w:r>
      <w:r>
        <w:rPr>
          <w:sz w:val="20"/>
        </w:rPr>
        <w:tab/>
      </w:r>
      <w:r w:rsidR="00086B31">
        <w:t xml:space="preserve">For these reasons, Ground 12 of the notice of appeal </w:t>
      </w:r>
      <w:r w:rsidR="00AF427F">
        <w:t>does not succeed</w:t>
      </w:r>
      <w:r w:rsidR="00086B31">
        <w:t>.</w:t>
      </w:r>
    </w:p>
    <w:p w14:paraId="3837D128" w14:textId="48C4D848" w:rsidR="006E5CB7" w:rsidRDefault="00BC7D85" w:rsidP="00BC7D85">
      <w:pPr>
        <w:pStyle w:val="ParaNumbering"/>
        <w:numPr>
          <w:ilvl w:val="0"/>
          <w:numId w:val="0"/>
        </w:numPr>
        <w:ind w:hanging="720"/>
      </w:pPr>
      <w:r>
        <w:rPr>
          <w:sz w:val="20"/>
        </w:rPr>
        <w:t>271</w:t>
      </w:r>
      <w:r>
        <w:rPr>
          <w:sz w:val="20"/>
        </w:rPr>
        <w:tab/>
      </w:r>
      <w:r w:rsidR="009C2292">
        <w:t xml:space="preserve">We do not propose to entertain the appellants’ argument that they are not legally responsible for the misleading or deceptive conduct of third parties.  This was not part of the appellants’ case before the primary judge, who </w:t>
      </w:r>
      <w:proofErr w:type="gramStart"/>
      <w:r w:rsidR="009C2292">
        <w:t>was not called upon</w:t>
      </w:r>
      <w:proofErr w:type="gramEnd"/>
      <w:r w:rsidR="009C2292">
        <w:t xml:space="preserve"> to determine whether part of the conduct on which the respondent relied was the conduct of others, and not </w:t>
      </w:r>
      <w:r w:rsidR="00B24E69">
        <w:t xml:space="preserve">the </w:t>
      </w:r>
      <w:r w:rsidR="009C2292">
        <w:t>conduct of Henley Constructions</w:t>
      </w:r>
      <w:r w:rsidR="00B01CBD">
        <w:t>,</w:t>
      </w:r>
      <w:r w:rsidR="009C2292">
        <w:t xml:space="preserve"> in which Mr </w:t>
      </w:r>
      <w:proofErr w:type="spellStart"/>
      <w:r w:rsidR="009C2292">
        <w:t>Sarkis</w:t>
      </w:r>
      <w:proofErr w:type="spellEnd"/>
      <w:r w:rsidR="009C2292">
        <w:t xml:space="preserve"> was involved.  </w:t>
      </w:r>
      <w:r w:rsidR="006E5CB7">
        <w:t>As</w:t>
      </w:r>
      <w:r w:rsidR="009C2292">
        <w:t xml:space="preserve"> we have </w:t>
      </w:r>
      <w:r w:rsidR="006E5CB7">
        <w:t xml:space="preserve">already </w:t>
      </w:r>
      <w:r w:rsidR="009C2292">
        <w:t>noted, this argument only surfaced in the appellants’ oral submissions in reply.</w:t>
      </w:r>
    </w:p>
    <w:p w14:paraId="505FC419" w14:textId="33330EA0" w:rsidR="006E5CB7" w:rsidRDefault="00BC7D85" w:rsidP="00BC7D85">
      <w:pPr>
        <w:pStyle w:val="ParaNumbering"/>
        <w:numPr>
          <w:ilvl w:val="0"/>
          <w:numId w:val="0"/>
        </w:numPr>
        <w:ind w:hanging="720"/>
      </w:pPr>
      <w:r>
        <w:rPr>
          <w:sz w:val="20"/>
        </w:rPr>
        <w:t>272</w:t>
      </w:r>
      <w:r>
        <w:rPr>
          <w:sz w:val="20"/>
        </w:rPr>
        <w:tab/>
      </w:r>
      <w:r w:rsidR="00C32CEA" w:rsidRPr="00C32CEA">
        <w:t xml:space="preserve">For completeness, we note that, following the hearing of the appeal, the respondent sought the Full Court’s leave to advance, in writing, supplementary submissions on this new argument.  </w:t>
      </w:r>
      <w:r w:rsidR="00C32CEA" w:rsidRPr="00C32CEA">
        <w:lastRenderedPageBreak/>
        <w:t xml:space="preserve">The request for leave </w:t>
      </w:r>
      <w:proofErr w:type="gramStart"/>
      <w:r w:rsidR="00C32CEA" w:rsidRPr="00C32CEA">
        <w:t>was accompanied</w:t>
      </w:r>
      <w:proofErr w:type="gramEnd"/>
      <w:r w:rsidR="00C32CEA" w:rsidRPr="00C32CEA">
        <w:t xml:space="preserve"> by the supplementary submissions themselves.  This was not appropriate.  The course taken was, in practical effect, the provision of the supplementary submissions to the Full Court without leave:  </w:t>
      </w:r>
      <w:proofErr w:type="spellStart"/>
      <w:r w:rsidR="00C32CEA" w:rsidRPr="00586452">
        <w:rPr>
          <w:i/>
        </w:rPr>
        <w:t>Carr</w:t>
      </w:r>
      <w:proofErr w:type="spellEnd"/>
      <w:r w:rsidR="00C32CEA" w:rsidRPr="00586452">
        <w:rPr>
          <w:i/>
        </w:rPr>
        <w:t xml:space="preserve"> v Finance Corporation of Australia </w:t>
      </w:r>
      <w:r w:rsidR="00007739" w:rsidRPr="00F3575C">
        <w:rPr>
          <w:i/>
        </w:rPr>
        <w:t xml:space="preserve">Ltd (No 1) </w:t>
      </w:r>
      <w:r w:rsidR="00C32CEA" w:rsidRPr="00F3575C">
        <w:t>(1981) 147 CLR 246</w:t>
      </w:r>
      <w:r w:rsidR="00C32CEA" w:rsidRPr="00C32CEA">
        <w:t xml:space="preserve"> at 258.  In our view, the appropriate course was for the respondent to seek leave, explaining the basis for that application.  The supplementary submissions </w:t>
      </w:r>
      <w:proofErr w:type="gramStart"/>
      <w:r w:rsidR="00C32CEA" w:rsidRPr="00C32CEA">
        <w:t>should only have been provided</w:t>
      </w:r>
      <w:proofErr w:type="gramEnd"/>
      <w:r w:rsidR="00C32CEA" w:rsidRPr="00C32CEA">
        <w:t xml:space="preserve"> upon the granting of leave, not beforehand.  Nevertheless, on 18 May 2022 we granted leave to the respondent to rely on the supplementary submissions.  However, given our conclusion that the appellants’ new argument </w:t>
      </w:r>
      <w:proofErr w:type="gramStart"/>
      <w:r w:rsidR="00C32CEA" w:rsidRPr="00C32CEA">
        <w:t>should not be entertained</w:t>
      </w:r>
      <w:proofErr w:type="gramEnd"/>
      <w:r w:rsidR="00C32CEA" w:rsidRPr="00C32CEA">
        <w:t>, it is not necessary for us to consider these submissions further</w:t>
      </w:r>
      <w:r w:rsidR="00C32CEA">
        <w:t>.</w:t>
      </w:r>
    </w:p>
    <w:p w14:paraId="04F2C163" w14:textId="77777777" w:rsidR="003A5B38" w:rsidRDefault="003A5B38" w:rsidP="006E5CB7">
      <w:pPr>
        <w:pStyle w:val="Heading2"/>
      </w:pPr>
      <w:r>
        <w:t>The notice of contention</w:t>
      </w:r>
    </w:p>
    <w:p w14:paraId="6FF19F52" w14:textId="6FA8A0F0" w:rsidR="00086B31" w:rsidRDefault="00BC7D85" w:rsidP="00BC7D85">
      <w:pPr>
        <w:pStyle w:val="ParaNumbering"/>
        <w:numPr>
          <w:ilvl w:val="0"/>
          <w:numId w:val="0"/>
        </w:numPr>
        <w:ind w:hanging="720"/>
      </w:pPr>
      <w:proofErr w:type="gramStart"/>
      <w:r>
        <w:rPr>
          <w:sz w:val="20"/>
        </w:rPr>
        <w:t>273</w:t>
      </w:r>
      <w:r>
        <w:rPr>
          <w:sz w:val="20"/>
        </w:rPr>
        <w:tab/>
      </w:r>
      <w:r w:rsidR="00ED33E0">
        <w:t>By its notice of contention, the</w:t>
      </w:r>
      <w:r w:rsidR="00086B31">
        <w:t xml:space="preserve"> respondent seeks to support the primary judge’s findings that Henley Constructions had contravened the ACL and the Trade Practices Act by contending that, if the primary judge erred in his assessment of the respondent’s reputation in the name HENLEY as at February 2007 in respect of the respondent’s supply of building and construction services, then the relevant date for assessing its reputation was February 2017, at which time the respondent held a sufficient reputation to establish its claims in this regard</w:t>
      </w:r>
      <w:r w:rsidR="00ED33E0">
        <w:t xml:space="preserve"> (Ground 4</w:t>
      </w:r>
      <w:r w:rsidR="00B01CBD">
        <w:t xml:space="preserve"> of the notice of contention</w:t>
      </w:r>
      <w:r w:rsidR="00ED33E0">
        <w:t>)</w:t>
      </w:r>
      <w:r w:rsidR="00086B31">
        <w:t>.</w:t>
      </w:r>
      <w:proofErr w:type="gramEnd"/>
      <w:r w:rsidR="00086B31">
        <w:t xml:space="preserve"> </w:t>
      </w:r>
    </w:p>
    <w:p w14:paraId="2379FB03" w14:textId="4681766A" w:rsidR="003A5B38" w:rsidRDefault="00BC7D85" w:rsidP="00BC7D85">
      <w:pPr>
        <w:pStyle w:val="ParaNumbering"/>
        <w:numPr>
          <w:ilvl w:val="0"/>
          <w:numId w:val="0"/>
        </w:numPr>
        <w:ind w:hanging="720"/>
      </w:pPr>
      <w:r>
        <w:rPr>
          <w:sz w:val="20"/>
        </w:rPr>
        <w:t>274</w:t>
      </w:r>
      <w:r>
        <w:rPr>
          <w:sz w:val="20"/>
        </w:rPr>
        <w:tab/>
      </w:r>
      <w:r w:rsidR="00086B31">
        <w:t>Given our conclusion that Ground 12 of the notice of appeal</w:t>
      </w:r>
      <w:r w:rsidR="00AF427F">
        <w:t xml:space="preserve"> does not succeed</w:t>
      </w:r>
      <w:r w:rsidR="00086B31">
        <w:t>, this contention does not arise for determination.</w:t>
      </w:r>
    </w:p>
    <w:p w14:paraId="199F5D10" w14:textId="20168F36" w:rsidR="003A5B38" w:rsidRDefault="00BC7D85" w:rsidP="003A5B38">
      <w:pPr>
        <w:pStyle w:val="Heading1"/>
      </w:pPr>
      <w:bookmarkStart w:id="49" w:name="_Ref133418106"/>
      <w:r>
        <w:rPr>
          <w:caps w:val="0"/>
        </w:rPr>
        <w:t>RELIEF:  ACCOUNT OF PROFITS</w:t>
      </w:r>
      <w:bookmarkEnd w:id="49"/>
    </w:p>
    <w:p w14:paraId="11C1E06B" w14:textId="77777777" w:rsidR="00A84CE9" w:rsidRPr="00A84CE9" w:rsidRDefault="00A84CE9" w:rsidP="00A84CE9">
      <w:pPr>
        <w:pStyle w:val="Heading2"/>
      </w:pPr>
      <w:r>
        <w:t xml:space="preserve">The appellants’ submissions </w:t>
      </w:r>
    </w:p>
    <w:p w14:paraId="55CB25C9" w14:textId="741436A6" w:rsidR="00A84CE9" w:rsidRPr="00A84CE9" w:rsidRDefault="00BC7D85" w:rsidP="00BC7D85">
      <w:pPr>
        <w:pStyle w:val="ParaNumbering"/>
        <w:numPr>
          <w:ilvl w:val="0"/>
          <w:numId w:val="0"/>
        </w:numPr>
        <w:ind w:hanging="720"/>
      </w:pPr>
      <w:r w:rsidRPr="00A84CE9">
        <w:rPr>
          <w:sz w:val="20"/>
        </w:rPr>
        <w:t>275</w:t>
      </w:r>
      <w:r w:rsidRPr="00A84CE9">
        <w:rPr>
          <w:sz w:val="20"/>
        </w:rPr>
        <w:tab/>
      </w:r>
      <w:r w:rsidR="00A84CE9" w:rsidRPr="00A84CE9">
        <w:t xml:space="preserve">During closing submissions, and after hearing from the parties, the primary judge decided that he would determine the respondent’s claim </w:t>
      </w:r>
      <w:r w:rsidR="00B64E11">
        <w:t>for</w:t>
      </w:r>
      <w:r w:rsidR="00A84CE9" w:rsidRPr="00A84CE9">
        <w:t xml:space="preserve"> an account of profits separately, after he had determined the question of all other relief: </w:t>
      </w:r>
      <w:proofErr w:type="gramStart"/>
      <w:r w:rsidR="00A84CE9" w:rsidRPr="00A84CE9">
        <w:t>J[</w:t>
      </w:r>
      <w:proofErr w:type="gramEnd"/>
      <w:r w:rsidR="00A84CE9" w:rsidRPr="00A84CE9">
        <w:t xml:space="preserve">989]. Ground 13 of the notice of appeal contends that the primary judge erred in making that </w:t>
      </w:r>
      <w:r w:rsidR="00721EA0">
        <w:t>decision</w:t>
      </w:r>
      <w:r w:rsidR="00A84CE9" w:rsidRPr="00A84CE9">
        <w:t>.</w:t>
      </w:r>
    </w:p>
    <w:p w14:paraId="6D7583B5" w14:textId="6ED17220" w:rsidR="00A84CE9" w:rsidRPr="00A84CE9" w:rsidRDefault="00BC7D85" w:rsidP="00BC7D85">
      <w:pPr>
        <w:pStyle w:val="ParaNumbering"/>
        <w:numPr>
          <w:ilvl w:val="0"/>
          <w:numId w:val="0"/>
        </w:numPr>
        <w:ind w:hanging="720"/>
      </w:pPr>
      <w:r w:rsidRPr="00A84CE9">
        <w:rPr>
          <w:sz w:val="20"/>
        </w:rPr>
        <w:t>276</w:t>
      </w:r>
      <w:r w:rsidRPr="00A84CE9">
        <w:rPr>
          <w:sz w:val="20"/>
        </w:rPr>
        <w:tab/>
      </w:r>
      <w:r w:rsidR="00A84CE9" w:rsidRPr="00A84CE9">
        <w:t xml:space="preserve">In this connection, the appellants submit that the trial had been set down on all issues with no separate order for the determination of liability. The parties had tendered evidence during the course of the trial relating to the respondent’s claim for an account of profits. The appellants submit that the respondent’s evidence did not support an order for monetary relief </w:t>
      </w:r>
      <w:proofErr w:type="gramStart"/>
      <w:r w:rsidR="00A84CE9" w:rsidRPr="00A84CE9">
        <w:t>on the basis of</w:t>
      </w:r>
      <w:proofErr w:type="gramEnd"/>
      <w:r w:rsidR="00A84CE9" w:rsidRPr="00A84CE9">
        <w:t xml:space="preserve"> an account of profits, or otherwise. The appellants submit that the primary judge provided </w:t>
      </w:r>
      <w:r w:rsidR="00A84CE9" w:rsidRPr="00A84CE9">
        <w:lastRenderedPageBreak/>
        <w:t xml:space="preserve">no reasons for coming to his </w:t>
      </w:r>
      <w:r w:rsidR="00BF3A65">
        <w:t>decision</w:t>
      </w:r>
      <w:r w:rsidR="00A84CE9" w:rsidRPr="00A84CE9">
        <w:t xml:space="preserve"> that the question of an account of pro</w:t>
      </w:r>
      <w:r w:rsidR="009B7FD4">
        <w:t xml:space="preserve">fits be determined separately. </w:t>
      </w:r>
    </w:p>
    <w:p w14:paraId="504AA1FA" w14:textId="77777777" w:rsidR="00A84CE9" w:rsidRPr="00A84CE9" w:rsidRDefault="00A84CE9" w:rsidP="00A84CE9">
      <w:pPr>
        <w:pStyle w:val="Heading2"/>
      </w:pPr>
      <w:r>
        <w:t>Analysis</w:t>
      </w:r>
    </w:p>
    <w:p w14:paraId="5A34CAF6" w14:textId="355090D8" w:rsidR="00BF3A65" w:rsidRDefault="00BC7D85" w:rsidP="00BC7D85">
      <w:pPr>
        <w:pStyle w:val="ParaNumbering"/>
        <w:numPr>
          <w:ilvl w:val="0"/>
          <w:numId w:val="0"/>
        </w:numPr>
        <w:ind w:hanging="720"/>
      </w:pPr>
      <w:r>
        <w:rPr>
          <w:sz w:val="20"/>
        </w:rPr>
        <w:t>277</w:t>
      </w:r>
      <w:r>
        <w:rPr>
          <w:sz w:val="20"/>
        </w:rPr>
        <w:tab/>
      </w:r>
      <w:r w:rsidR="00A84CE9" w:rsidRPr="00A84CE9">
        <w:t>In dealing with this ground of appeal, it is important to bear in mind</w:t>
      </w:r>
      <w:r w:rsidR="00BF3A65">
        <w:t xml:space="preserve"> two matters.  </w:t>
      </w:r>
    </w:p>
    <w:p w14:paraId="365B22B9" w14:textId="6FDE1174" w:rsidR="000C4385" w:rsidRDefault="00BC7D85" w:rsidP="00BC7D85">
      <w:pPr>
        <w:pStyle w:val="ParaNumbering"/>
        <w:numPr>
          <w:ilvl w:val="0"/>
          <w:numId w:val="0"/>
        </w:numPr>
        <w:ind w:hanging="720"/>
      </w:pPr>
      <w:r>
        <w:rPr>
          <w:sz w:val="20"/>
        </w:rPr>
        <w:t>278</w:t>
      </w:r>
      <w:r>
        <w:rPr>
          <w:sz w:val="20"/>
        </w:rPr>
        <w:tab/>
      </w:r>
      <w:r w:rsidR="00BF3A65">
        <w:t>The first matter is</w:t>
      </w:r>
      <w:r w:rsidR="00A84CE9" w:rsidRPr="00A84CE9">
        <w:t xml:space="preserve"> the circumstances in which the primary judge’s </w:t>
      </w:r>
      <w:r w:rsidR="00BF3A65">
        <w:t>decision</w:t>
      </w:r>
      <w:r w:rsidR="00A84CE9" w:rsidRPr="00A84CE9">
        <w:t xml:space="preserve"> came to </w:t>
      </w:r>
      <w:proofErr w:type="gramStart"/>
      <w:r w:rsidR="00A84CE9" w:rsidRPr="00A84CE9">
        <w:t>be made</w:t>
      </w:r>
      <w:proofErr w:type="gramEnd"/>
      <w:r w:rsidR="00A84CE9" w:rsidRPr="00A84CE9">
        <w:t xml:space="preserve">. The </w:t>
      </w:r>
      <w:proofErr w:type="gramStart"/>
      <w:r w:rsidR="00A84CE9" w:rsidRPr="00A84CE9">
        <w:t xml:space="preserve">prospect that the question of the respondent’s claim </w:t>
      </w:r>
      <w:r w:rsidR="000C4385">
        <w:t>for</w:t>
      </w:r>
      <w:r w:rsidR="00BF3A65">
        <w:t xml:space="preserve"> an account of profits should be dealt with separately </w:t>
      </w:r>
      <w:r w:rsidR="00A84CE9" w:rsidRPr="00A84CE9">
        <w:t>was raised by the primary judge, not the parties</w:t>
      </w:r>
      <w:proofErr w:type="gramEnd"/>
      <w:r w:rsidR="00A84CE9" w:rsidRPr="00A84CE9">
        <w:t xml:space="preserve">. What is more, </w:t>
      </w:r>
      <w:proofErr w:type="gramStart"/>
      <w:r w:rsidR="00A84CE9" w:rsidRPr="00A84CE9">
        <w:t>it was raised by the primary judge</w:t>
      </w:r>
      <w:proofErr w:type="gramEnd"/>
      <w:r w:rsidR="00A84CE9" w:rsidRPr="00A84CE9">
        <w:t xml:space="preserve"> after reflecting on the closing submissions which the respondent had made on the question of pecuniary relief </w:t>
      </w:r>
      <w:r w:rsidR="00BF3A65">
        <w:t>during</w:t>
      </w:r>
      <w:r w:rsidR="00A84CE9" w:rsidRPr="00A84CE9">
        <w:t xml:space="preserve"> the previous day of the hearing. The primary judge said that he was “not comfortable” in dealing with the question of an account of profits for a number of reasons, which he expressed to the parties.</w:t>
      </w:r>
      <w:r w:rsidR="000C4385">
        <w:t xml:space="preserve">  The appellants are wrong in contending that the primary judge did not give reasons</w:t>
      </w:r>
      <w:r w:rsidR="00B64E11">
        <w:t xml:space="preserve"> for his decision</w:t>
      </w:r>
      <w:r w:rsidR="009B7FD4">
        <w:t xml:space="preserve">. </w:t>
      </w:r>
      <w:r w:rsidR="00A84CE9" w:rsidRPr="00A84CE9">
        <w:t xml:space="preserve"> </w:t>
      </w:r>
    </w:p>
    <w:p w14:paraId="614FE780" w14:textId="7A1417B2" w:rsidR="00A84CE9" w:rsidRPr="00A84CE9" w:rsidRDefault="00BC7D85" w:rsidP="00BC7D85">
      <w:pPr>
        <w:pStyle w:val="ParaNumbering"/>
        <w:numPr>
          <w:ilvl w:val="0"/>
          <w:numId w:val="0"/>
        </w:numPr>
        <w:ind w:hanging="720"/>
      </w:pPr>
      <w:r w:rsidRPr="00A84CE9">
        <w:rPr>
          <w:sz w:val="20"/>
        </w:rPr>
        <w:t>279</w:t>
      </w:r>
      <w:r w:rsidRPr="00A84CE9">
        <w:rPr>
          <w:sz w:val="20"/>
        </w:rPr>
        <w:tab/>
      </w:r>
      <w:r w:rsidR="00A84CE9" w:rsidRPr="00A84CE9">
        <w:t xml:space="preserve">It is clear from the transcript that the parties were at issue as to the sufficiency of the evidence, then before the primary judge, to determine that question. </w:t>
      </w:r>
      <w:r w:rsidR="00862FD1">
        <w:t>It is also clear that</w:t>
      </w:r>
      <w:r w:rsidR="00A84CE9" w:rsidRPr="00A84CE9">
        <w:t xml:space="preserve"> the primary judge was concerned that, up to that point, he </w:t>
      </w:r>
      <w:proofErr w:type="gramStart"/>
      <w:r w:rsidR="00A84CE9" w:rsidRPr="00A84CE9">
        <w:t>had not been given</w:t>
      </w:r>
      <w:proofErr w:type="gramEnd"/>
      <w:r w:rsidR="00A84CE9" w:rsidRPr="00A84CE9">
        <w:t xml:space="preserve"> appropriate assistance on that question</w:t>
      </w:r>
      <w:r w:rsidR="00862FD1">
        <w:t xml:space="preserve"> in the submissions he had received</w:t>
      </w:r>
      <w:r w:rsidR="00A84CE9" w:rsidRPr="00A84CE9">
        <w:t>.</w:t>
      </w:r>
    </w:p>
    <w:p w14:paraId="5171009A" w14:textId="72852CC9" w:rsidR="00A84CE9" w:rsidRPr="00A84CE9" w:rsidRDefault="00BC7D85" w:rsidP="00BC7D85">
      <w:pPr>
        <w:pStyle w:val="ParaNumbering"/>
        <w:numPr>
          <w:ilvl w:val="0"/>
          <w:numId w:val="0"/>
        </w:numPr>
        <w:ind w:hanging="720"/>
      </w:pPr>
      <w:r w:rsidRPr="00A84CE9">
        <w:rPr>
          <w:sz w:val="20"/>
        </w:rPr>
        <w:t>280</w:t>
      </w:r>
      <w:r w:rsidRPr="00A84CE9">
        <w:rPr>
          <w:sz w:val="20"/>
        </w:rPr>
        <w:tab/>
      </w:r>
      <w:r w:rsidR="00A84CE9" w:rsidRPr="00A84CE9">
        <w:t>The appellants, through their counsel, foreshadowed that, but for the prospect raised by the primary judge, they would have submitted that the respondent had “simply failed in relation to this claim of relief” and that “[the appellants] would prefer to see this go now”.</w:t>
      </w:r>
      <w:r w:rsidR="009B7FD4">
        <w:t xml:space="preserve">  </w:t>
      </w:r>
      <w:r w:rsidR="00A84CE9" w:rsidRPr="00A84CE9">
        <w:t xml:space="preserve">However, noting the primary judge’s “degree of discomfort”, counsel for the appellants </w:t>
      </w:r>
      <w:proofErr w:type="gramStart"/>
      <w:r w:rsidR="00A84CE9" w:rsidRPr="00A84CE9">
        <w:t>stated that</w:t>
      </w:r>
      <w:proofErr w:type="gramEnd"/>
      <w:r w:rsidR="00A84CE9" w:rsidRPr="00A84CE9">
        <w:t xml:space="preserve"> “we don’t want to push hard against that”—</w:t>
      </w:r>
      <w:r w:rsidR="000C4385">
        <w:t>a reference</w:t>
      </w:r>
      <w:r w:rsidR="00A84CE9" w:rsidRPr="00A84CE9">
        <w:t>,</w:t>
      </w:r>
      <w:r w:rsidR="000C4385">
        <w:t xml:space="preserve"> no doubt, to the appellants’ degree of resistance</w:t>
      </w:r>
      <w:r w:rsidR="00A84CE9" w:rsidRPr="00A84CE9">
        <w:t xml:space="preserve"> </w:t>
      </w:r>
      <w:r w:rsidR="000C4385">
        <w:t>to</w:t>
      </w:r>
      <w:r w:rsidR="00A84CE9" w:rsidRPr="00A84CE9">
        <w:t xml:space="preserve"> the prospect that the primary judge had raised. Indeed, counsel for the appellants said:  “we can see the sense alternatively of hiving it off”.</w:t>
      </w:r>
    </w:p>
    <w:p w14:paraId="7730EB62" w14:textId="4A7E8370" w:rsidR="008E193F" w:rsidRDefault="00BC7D85" w:rsidP="00BC7D85">
      <w:pPr>
        <w:pStyle w:val="ParaNumbering"/>
        <w:numPr>
          <w:ilvl w:val="0"/>
          <w:numId w:val="0"/>
        </w:numPr>
        <w:ind w:hanging="720"/>
      </w:pPr>
      <w:r>
        <w:rPr>
          <w:sz w:val="20"/>
        </w:rPr>
        <w:t>281</w:t>
      </w:r>
      <w:r>
        <w:rPr>
          <w:sz w:val="20"/>
        </w:rPr>
        <w:tab/>
      </w:r>
      <w:r w:rsidR="00BF3A65">
        <w:t>The second matter is that</w:t>
      </w:r>
      <w:r w:rsidR="008E193F">
        <w:t>, in dealing with this ground of appeal</w:t>
      </w:r>
      <w:r w:rsidR="00BF3A65">
        <w:t>,</w:t>
      </w:r>
      <w:r w:rsidR="008E193F">
        <w:t xml:space="preserve"> it is also important to note that Order 8 made by the primary judge on 25 November 2021 was that there be an account of profits </w:t>
      </w:r>
      <w:r w:rsidR="00BF3A65">
        <w:t>arising from</w:t>
      </w:r>
      <w:r w:rsidR="008E193F">
        <w:t xml:space="preserve"> the </w:t>
      </w:r>
      <w:proofErr w:type="gramStart"/>
      <w:r w:rsidR="008E193F">
        <w:t>trade mark</w:t>
      </w:r>
      <w:proofErr w:type="gramEnd"/>
      <w:r w:rsidR="008E193F">
        <w:t xml:space="preserve"> infringements which his Honour had found.  Thus, his Honour’s reference at J[989] to the question of an account of profits being dealt with separately after all other relief in the proceeding had been determined must be </w:t>
      </w:r>
      <w:r w:rsidR="002556A0">
        <w:t xml:space="preserve">understood </w:t>
      </w:r>
      <w:r w:rsidR="008E193F">
        <w:t xml:space="preserve">as meaning </w:t>
      </w:r>
      <w:r w:rsidR="00B64E11">
        <w:t>the determination of the amount</w:t>
      </w:r>
      <w:r w:rsidR="008E193F">
        <w:t xml:space="preserve"> payable on taking that account, not whether there should be an account</w:t>
      </w:r>
      <w:r w:rsidR="00BF3A65">
        <w:t xml:space="preserve"> of profits</w:t>
      </w:r>
      <w:r w:rsidR="008E193F">
        <w:t xml:space="preserve">. </w:t>
      </w:r>
    </w:p>
    <w:p w14:paraId="2AC30DD5" w14:textId="50AAFB7B" w:rsidR="003A5B38" w:rsidRDefault="00BC7D85" w:rsidP="00BC7D85">
      <w:pPr>
        <w:pStyle w:val="ParaNumbering"/>
        <w:numPr>
          <w:ilvl w:val="0"/>
          <w:numId w:val="0"/>
        </w:numPr>
        <w:ind w:hanging="720"/>
      </w:pPr>
      <w:r>
        <w:rPr>
          <w:sz w:val="20"/>
        </w:rPr>
        <w:lastRenderedPageBreak/>
        <w:t>282</w:t>
      </w:r>
      <w:r>
        <w:rPr>
          <w:sz w:val="20"/>
        </w:rPr>
        <w:tab/>
      </w:r>
      <w:r w:rsidR="00A84CE9" w:rsidRPr="00A84CE9">
        <w:t xml:space="preserve">We do not see error in the primary judge reaching, and giving effect to, his decision to defer </w:t>
      </w:r>
      <w:r w:rsidR="008E193F">
        <w:t>dealing with</w:t>
      </w:r>
      <w:r w:rsidR="00A84CE9" w:rsidRPr="00A84CE9">
        <w:t xml:space="preserve"> the question of an account of profits</w:t>
      </w:r>
      <w:r w:rsidR="008E193F">
        <w:t xml:space="preserve"> (in the sense we have noted)</w:t>
      </w:r>
      <w:r w:rsidR="00BF3A65">
        <w:t xml:space="preserve"> until</w:t>
      </w:r>
      <w:r w:rsidR="00A84CE9" w:rsidRPr="00A84CE9">
        <w:t xml:space="preserve"> after dealing with the respondent’s other claims for relief. </w:t>
      </w:r>
      <w:r w:rsidR="004849F5">
        <w:t xml:space="preserve"> The taking of an account of profits is </w:t>
      </w:r>
      <w:proofErr w:type="gramStart"/>
      <w:r w:rsidR="004849F5">
        <w:t>a two-step process involving a finding that a person is an accounting party and, if so,</w:t>
      </w:r>
      <w:proofErr w:type="gramEnd"/>
      <w:r w:rsidR="004849F5">
        <w:t xml:space="preserve"> that an account be taken.  </w:t>
      </w:r>
      <w:proofErr w:type="gramStart"/>
      <w:r w:rsidR="004849F5">
        <w:t xml:space="preserve">How the account is taken is a matter for further orders or directions; commonly the account is verified by affidavit, a method is determined to resolve objections and upon completion of the procedure the defaulting party is ordered to pay the amount found to be due: see generally, </w:t>
      </w:r>
      <w:r w:rsidR="004849F5" w:rsidRPr="00586452">
        <w:rPr>
          <w:i/>
        </w:rPr>
        <w:t>Glazier</w:t>
      </w:r>
      <w:r w:rsidR="004849F5" w:rsidRPr="005605B1">
        <w:rPr>
          <w:i/>
        </w:rPr>
        <w:t xml:space="preserve"> Holdings Pty Ltd</w:t>
      </w:r>
      <w:r w:rsidR="004849F5" w:rsidRPr="00F54AA2">
        <w:rPr>
          <w:i/>
        </w:rPr>
        <w:t xml:space="preserve"> v Australian Men’s </w:t>
      </w:r>
      <w:r w:rsidR="004849F5" w:rsidRPr="00F3575C">
        <w:rPr>
          <w:i/>
        </w:rPr>
        <w:t>Health</w:t>
      </w:r>
      <w:r w:rsidR="004849F5" w:rsidRPr="008077DC">
        <w:rPr>
          <w:i/>
        </w:rPr>
        <w:t xml:space="preserve"> Pty Ltd</w:t>
      </w:r>
      <w:r w:rsidR="004849F5" w:rsidRPr="003C4A59">
        <w:t xml:space="preserve"> [2000] NSWSC 253</w:t>
      </w:r>
      <w:r w:rsidR="004849F5">
        <w:t xml:space="preserve"> at [150]–[156] </w:t>
      </w:r>
      <w:r w:rsidR="001F685D">
        <w:t>(</w:t>
      </w:r>
      <w:r w:rsidR="004849F5">
        <w:t>Austin J</w:t>
      </w:r>
      <w:r w:rsidR="001F685D">
        <w:t>)</w:t>
      </w:r>
      <w:r w:rsidR="004849F5">
        <w:t xml:space="preserve"> and on appeal </w:t>
      </w:r>
      <w:r w:rsidR="004849F5" w:rsidRPr="00586452">
        <w:rPr>
          <w:i/>
        </w:rPr>
        <w:t>Meehan v Glazier Holdings Pty Ltd</w:t>
      </w:r>
      <w:r w:rsidR="004849F5" w:rsidRPr="00F3575C">
        <w:t xml:space="preserve"> [2002] NSWCA 22; 54 NSWLR 146</w:t>
      </w:r>
      <w:r w:rsidR="004849F5">
        <w:t xml:space="preserve"> at [31]–[33] </w:t>
      </w:r>
      <w:r w:rsidR="001F685D">
        <w:t>(</w:t>
      </w:r>
      <w:r w:rsidR="004849F5">
        <w:t>Giles JA</w:t>
      </w:r>
      <w:r w:rsidR="001F685D">
        <w:t>,</w:t>
      </w:r>
      <w:r w:rsidR="004849F5">
        <w:t xml:space="preserve"> Sheller and Beazley JJA concurring).</w:t>
      </w:r>
      <w:proofErr w:type="gramEnd"/>
      <w:r w:rsidR="004849F5" w:rsidRPr="00A84CE9">
        <w:t xml:space="preserve"> </w:t>
      </w:r>
      <w:r w:rsidR="004849F5">
        <w:t xml:space="preserve">The appellants were accounting parties upon the findings of </w:t>
      </w:r>
      <w:proofErr w:type="gramStart"/>
      <w:r w:rsidR="004849F5">
        <w:t>trade mark</w:t>
      </w:r>
      <w:proofErr w:type="gramEnd"/>
      <w:r w:rsidR="004849F5">
        <w:t xml:space="preserve"> infringement and involvement therein. The orders made by the primary judge were orthodox.  </w:t>
      </w:r>
      <w:r w:rsidR="00A546E2">
        <w:t>How</w:t>
      </w:r>
      <w:r w:rsidR="004849F5">
        <w:t xml:space="preserve"> the account is to proceed, whether before the primary judge or a referee,</w:t>
      </w:r>
      <w:r w:rsidR="00A546E2">
        <w:t xml:space="preserve"> will be a matter for the primary judge to determine.  The parties remain free to make submissions </w:t>
      </w:r>
      <w:r w:rsidR="00ED33E0">
        <w:t xml:space="preserve">to the primary judge </w:t>
      </w:r>
      <w:r w:rsidR="00A546E2">
        <w:t>on that question.</w:t>
      </w:r>
    </w:p>
    <w:p w14:paraId="17F66857" w14:textId="606D0022" w:rsidR="007B40CE" w:rsidRDefault="00BC7D85" w:rsidP="00BC7D85">
      <w:pPr>
        <w:pStyle w:val="ParaNumbering"/>
        <w:numPr>
          <w:ilvl w:val="0"/>
          <w:numId w:val="0"/>
        </w:numPr>
        <w:ind w:hanging="720"/>
      </w:pPr>
      <w:r>
        <w:rPr>
          <w:sz w:val="20"/>
        </w:rPr>
        <w:t>283</w:t>
      </w:r>
      <w:r>
        <w:rPr>
          <w:sz w:val="20"/>
        </w:rPr>
        <w:tab/>
      </w:r>
      <w:r w:rsidR="007B40CE">
        <w:t xml:space="preserve">Ground 13 of the notice of appeal </w:t>
      </w:r>
      <w:r w:rsidR="00AF427F">
        <w:t>does not succeed</w:t>
      </w:r>
      <w:r w:rsidR="007B40CE">
        <w:t>.</w:t>
      </w:r>
    </w:p>
    <w:p w14:paraId="630DA1C7" w14:textId="03BDDDB1" w:rsidR="003A5B38" w:rsidRDefault="00BC7D85" w:rsidP="003A5B38">
      <w:pPr>
        <w:pStyle w:val="Heading1"/>
      </w:pPr>
      <w:bookmarkStart w:id="50" w:name="_Ref133418107"/>
      <w:r>
        <w:rPr>
          <w:caps w:val="0"/>
        </w:rPr>
        <w:t>RELIEF:  INJUNCTIONS</w:t>
      </w:r>
      <w:bookmarkEnd w:id="50"/>
    </w:p>
    <w:p w14:paraId="1D0436C5" w14:textId="602AAE49" w:rsidR="00632B8C" w:rsidRDefault="00BC7D85" w:rsidP="00BC7D85">
      <w:pPr>
        <w:pStyle w:val="ParaNumbering"/>
        <w:numPr>
          <w:ilvl w:val="0"/>
          <w:numId w:val="0"/>
        </w:numPr>
        <w:ind w:hanging="720"/>
      </w:pPr>
      <w:r>
        <w:rPr>
          <w:sz w:val="20"/>
        </w:rPr>
        <w:t>284</w:t>
      </w:r>
      <w:r>
        <w:rPr>
          <w:sz w:val="20"/>
        </w:rPr>
        <w:tab/>
      </w:r>
      <w:r w:rsidR="00632B8C">
        <w:t>The appellants do</w:t>
      </w:r>
      <w:r w:rsidR="00865C04">
        <w:t xml:space="preserve"> not address Grounds 14 and 15 of the notice of appeal</w:t>
      </w:r>
      <w:r w:rsidR="00632B8C">
        <w:t xml:space="preserve"> in their written submissions</w:t>
      </w:r>
      <w:r w:rsidR="00865C04">
        <w:t xml:space="preserve">.  </w:t>
      </w:r>
    </w:p>
    <w:p w14:paraId="45B5F77C" w14:textId="23827E0E" w:rsidR="003A5B38" w:rsidRDefault="00BC7D85" w:rsidP="00BC7D85">
      <w:pPr>
        <w:pStyle w:val="ParaNumbering"/>
        <w:numPr>
          <w:ilvl w:val="0"/>
          <w:numId w:val="0"/>
        </w:numPr>
        <w:ind w:hanging="720"/>
      </w:pPr>
      <w:r>
        <w:rPr>
          <w:sz w:val="20"/>
        </w:rPr>
        <w:t>285</w:t>
      </w:r>
      <w:r>
        <w:rPr>
          <w:sz w:val="20"/>
        </w:rPr>
        <w:tab/>
      </w:r>
      <w:r w:rsidR="00865C04">
        <w:t xml:space="preserve">Ground 14 of the notice of appeal contends that the primary judge erred in finding that non-pecuniary relief </w:t>
      </w:r>
      <w:proofErr w:type="gramStart"/>
      <w:r w:rsidR="00865C04">
        <w:t>should be granted</w:t>
      </w:r>
      <w:proofErr w:type="gramEnd"/>
      <w:r w:rsidR="00865C04">
        <w:t xml:space="preserve"> in relation to</w:t>
      </w:r>
      <w:r w:rsidR="00632B8C">
        <w:t xml:space="preserve"> </w:t>
      </w:r>
      <w:r w:rsidR="007B40CE">
        <w:t>t</w:t>
      </w:r>
      <w:r w:rsidR="00632B8C">
        <w:t>he</w:t>
      </w:r>
      <w:r w:rsidR="00865C04">
        <w:t xml:space="preserve"> </w:t>
      </w:r>
      <w:r w:rsidR="006629C4">
        <w:t xml:space="preserve">Infringing Signs.  </w:t>
      </w:r>
      <w:r w:rsidR="007B40CE">
        <w:t xml:space="preserve">This ground is premised on the appellants succeeding on their grounds of appeal with respect to the </w:t>
      </w:r>
      <w:proofErr w:type="gramStart"/>
      <w:r w:rsidR="007B40CE">
        <w:t>trade mark</w:t>
      </w:r>
      <w:proofErr w:type="gramEnd"/>
      <w:r w:rsidR="007B40CE">
        <w:t xml:space="preserve"> issues.  </w:t>
      </w:r>
      <w:r w:rsidR="006629C4">
        <w:t xml:space="preserve">Ground 15 of the notice of appeal contends that the primary judge erred in finding that non-pecuniary relief should be granted in relation to </w:t>
      </w:r>
      <w:r w:rsidR="00632B8C">
        <w:t xml:space="preserve">the </w:t>
      </w:r>
      <w:r w:rsidR="006629C4">
        <w:t>Infringing Signs that have not been used “in breach” of the Trade Marks Act.</w:t>
      </w:r>
    </w:p>
    <w:p w14:paraId="70E43AAB" w14:textId="484894D5" w:rsidR="006629C4" w:rsidRDefault="00BC7D85" w:rsidP="00BC7D85">
      <w:pPr>
        <w:pStyle w:val="ParaNumbering"/>
        <w:numPr>
          <w:ilvl w:val="0"/>
          <w:numId w:val="0"/>
        </w:numPr>
        <w:ind w:hanging="720"/>
      </w:pPr>
      <w:r>
        <w:rPr>
          <w:sz w:val="20"/>
        </w:rPr>
        <w:t>286</w:t>
      </w:r>
      <w:r>
        <w:rPr>
          <w:sz w:val="20"/>
        </w:rPr>
        <w:tab/>
      </w:r>
      <w:r w:rsidR="006629C4">
        <w:t xml:space="preserve">We understand both grounds to mean that injunctive relief for </w:t>
      </w:r>
      <w:proofErr w:type="gramStart"/>
      <w:r w:rsidR="006629C4">
        <w:t>trade mark</w:t>
      </w:r>
      <w:proofErr w:type="gramEnd"/>
      <w:r w:rsidR="006629C4">
        <w:t xml:space="preserve"> infringement </w:t>
      </w:r>
      <w:r w:rsidR="00632B8C">
        <w:t xml:space="preserve">should not be granted </w:t>
      </w:r>
      <w:r w:rsidR="006629C4">
        <w:t xml:space="preserve">where trade mark infringement has not been established.  </w:t>
      </w:r>
      <w:proofErr w:type="gramStart"/>
      <w:r w:rsidR="006629C4">
        <w:t xml:space="preserve">While that </w:t>
      </w:r>
      <w:r w:rsidR="00632B8C">
        <w:t>simple proposition is correct</w:t>
      </w:r>
      <w:r w:rsidR="006629C4">
        <w:t xml:space="preserve">, it does not follow that use of </w:t>
      </w:r>
      <w:r w:rsidR="00632B8C">
        <w:t>the Infringing Signs</w:t>
      </w:r>
      <w:r w:rsidR="00F968B0">
        <w:t>, in trade or commerce, is not covered by the other injunctive relief granted by the primary judge,</w:t>
      </w:r>
      <w:r w:rsidR="006629C4">
        <w:t xml:space="preserve"> where that use constitutes conduct, or is an integral element of conduct, or the making of a representation, that constitutes a contravention</w:t>
      </w:r>
      <w:r w:rsidR="00632B8C">
        <w:t>,</w:t>
      </w:r>
      <w:r w:rsidR="006629C4">
        <w:t xml:space="preserve"> </w:t>
      </w:r>
      <w:r w:rsidR="00632B8C">
        <w:t xml:space="preserve">or threatened contravention, </w:t>
      </w:r>
      <w:r w:rsidR="006629C4">
        <w:t>of the ACL.</w:t>
      </w:r>
      <w:proofErr w:type="gramEnd"/>
    </w:p>
    <w:p w14:paraId="7EAB9E2A" w14:textId="0F4795C0" w:rsidR="00F968B0" w:rsidRDefault="00BC7D85" w:rsidP="00BC7D85">
      <w:pPr>
        <w:pStyle w:val="ParaNumbering"/>
        <w:numPr>
          <w:ilvl w:val="0"/>
          <w:numId w:val="0"/>
        </w:numPr>
        <w:ind w:hanging="720"/>
      </w:pPr>
      <w:r>
        <w:rPr>
          <w:sz w:val="20"/>
        </w:rPr>
        <w:lastRenderedPageBreak/>
        <w:t>287</w:t>
      </w:r>
      <w:r>
        <w:rPr>
          <w:sz w:val="20"/>
        </w:rPr>
        <w:tab/>
      </w:r>
      <w:r w:rsidR="00E502C4">
        <w:t xml:space="preserve">The question </w:t>
      </w:r>
      <w:r w:rsidR="00B64E11">
        <w:t xml:space="preserve">of </w:t>
      </w:r>
      <w:r w:rsidR="00E502C4">
        <w:t xml:space="preserve">whether non-pecuniary relief </w:t>
      </w:r>
      <w:proofErr w:type="gramStart"/>
      <w:r w:rsidR="00E502C4">
        <w:t>was correctly granted</w:t>
      </w:r>
      <w:proofErr w:type="gramEnd"/>
      <w:r w:rsidR="001F685D">
        <w:t xml:space="preserve"> by the primary judge</w:t>
      </w:r>
      <w:r w:rsidR="00A546E2">
        <w:t>,</w:t>
      </w:r>
      <w:r w:rsidR="00E502C4">
        <w:t xml:space="preserve"> </w:t>
      </w:r>
      <w:r w:rsidR="00A546E2">
        <w:t xml:space="preserve">or should be varied, </w:t>
      </w:r>
      <w:r w:rsidR="00E502C4">
        <w:t>now falls to be assessed against the appellants’ success on the appeal and the respondent’s success on the cross-appeal</w:t>
      </w:r>
      <w:r w:rsidR="00F968B0">
        <w:t>.</w:t>
      </w:r>
      <w:r w:rsidR="009B7FD4">
        <w:t xml:space="preserve">  </w:t>
      </w:r>
    </w:p>
    <w:p w14:paraId="18DFAEC4" w14:textId="12277F86" w:rsidR="00B60AAE" w:rsidRDefault="00BC7D85" w:rsidP="00B60AAE">
      <w:pPr>
        <w:pStyle w:val="Heading1"/>
      </w:pPr>
      <w:bookmarkStart w:id="51" w:name="_Ref133418108"/>
      <w:r>
        <w:rPr>
          <w:caps w:val="0"/>
        </w:rPr>
        <w:t>CROSS-APPEAL:  1300HENLEY</w:t>
      </w:r>
      <w:bookmarkEnd w:id="51"/>
    </w:p>
    <w:p w14:paraId="58405245" w14:textId="77777777" w:rsidR="00B60AAE" w:rsidRDefault="00B60AAE" w:rsidP="00B60AAE">
      <w:pPr>
        <w:pStyle w:val="Heading2"/>
      </w:pPr>
      <w:bookmarkStart w:id="52" w:name="_Ref133418109"/>
      <w:r>
        <w:t>The cross-appellant’s submissions</w:t>
      </w:r>
      <w:bookmarkEnd w:id="52"/>
    </w:p>
    <w:p w14:paraId="36A0FC54" w14:textId="6464EF92" w:rsidR="00C04337" w:rsidRPr="00C04337" w:rsidRDefault="00BC7D85" w:rsidP="00BC7D85">
      <w:pPr>
        <w:pStyle w:val="ParaNumbering"/>
        <w:numPr>
          <w:ilvl w:val="0"/>
          <w:numId w:val="0"/>
        </w:numPr>
        <w:ind w:hanging="720"/>
      </w:pPr>
      <w:r w:rsidRPr="00C04337">
        <w:rPr>
          <w:sz w:val="20"/>
        </w:rPr>
        <w:t>288</w:t>
      </w:r>
      <w:r w:rsidRPr="00C04337">
        <w:rPr>
          <w:sz w:val="20"/>
        </w:rPr>
        <w:tab/>
      </w:r>
      <w:r w:rsidR="00C04337" w:rsidRPr="00C04337">
        <w:t xml:space="preserve">The primary judge found (at </w:t>
      </w:r>
      <w:proofErr w:type="gramStart"/>
      <w:r w:rsidR="00C04337" w:rsidRPr="00C04337">
        <w:t>J[</w:t>
      </w:r>
      <w:proofErr w:type="gramEnd"/>
      <w:r w:rsidR="00C04337" w:rsidRPr="00C04337">
        <w:t>454]) that the sign 1300HENLEY did not infringe the registered marks because Henley Constructions had not used that sign as a trade mark.</w:t>
      </w:r>
    </w:p>
    <w:p w14:paraId="58FD057F" w14:textId="5B79A2BC" w:rsidR="00C04337" w:rsidRDefault="00BC7D85" w:rsidP="00BC7D85">
      <w:pPr>
        <w:pStyle w:val="ParaNumbering"/>
        <w:numPr>
          <w:ilvl w:val="0"/>
          <w:numId w:val="0"/>
        </w:numPr>
        <w:ind w:hanging="720"/>
      </w:pPr>
      <w:r>
        <w:rPr>
          <w:sz w:val="20"/>
        </w:rPr>
        <w:t>289</w:t>
      </w:r>
      <w:r>
        <w:rPr>
          <w:sz w:val="20"/>
        </w:rPr>
        <w:tab/>
      </w:r>
      <w:r w:rsidR="00E502C4">
        <w:t xml:space="preserve">At </w:t>
      </w:r>
      <w:proofErr w:type="gramStart"/>
      <w:r w:rsidR="00E502C4">
        <w:t>J</w:t>
      </w:r>
      <w:r w:rsidR="009E15D4">
        <w:t>[</w:t>
      </w:r>
      <w:proofErr w:type="gramEnd"/>
      <w:r w:rsidR="009E15D4">
        <w:t xml:space="preserve">455], the primary judge said: </w:t>
      </w:r>
      <w:r w:rsidR="00C04337">
        <w:t xml:space="preserve"> </w:t>
      </w:r>
    </w:p>
    <w:p w14:paraId="7DC8B0F3" w14:textId="77777777" w:rsidR="00C04337" w:rsidRPr="00C04337" w:rsidRDefault="00C04337" w:rsidP="00C04337">
      <w:pPr>
        <w:pStyle w:val="Quote1"/>
        <w:tabs>
          <w:tab w:val="left" w:pos="1418"/>
        </w:tabs>
        <w:ind w:left="1418" w:hanging="681"/>
      </w:pPr>
      <w:r w:rsidRPr="00C04337">
        <w:t xml:space="preserve">455    </w:t>
      </w:r>
      <w:r>
        <w:tab/>
      </w:r>
      <w:r w:rsidRPr="00C04337">
        <w:t>The display of the phone word “1300HENLEY” is a contact number, rather than a brand. This is because it provides a method by which persons can contact Henley Constructions. In the context in which it is used, I do not accept that consumers would view this as a brand or a badge of origin.</w:t>
      </w:r>
    </w:p>
    <w:p w14:paraId="173955FD" w14:textId="266A6A38" w:rsidR="00C04337" w:rsidRPr="00C04337" w:rsidRDefault="00BC7D85" w:rsidP="00BC7D85">
      <w:pPr>
        <w:pStyle w:val="ParaNumbering"/>
        <w:numPr>
          <w:ilvl w:val="0"/>
          <w:numId w:val="0"/>
        </w:numPr>
        <w:ind w:hanging="720"/>
      </w:pPr>
      <w:r w:rsidRPr="00C04337">
        <w:rPr>
          <w:sz w:val="20"/>
        </w:rPr>
        <w:t>290</w:t>
      </w:r>
      <w:r w:rsidRPr="00C04337">
        <w:rPr>
          <w:sz w:val="20"/>
        </w:rPr>
        <w:tab/>
      </w:r>
      <w:r w:rsidR="00C04337" w:rsidRPr="00C04337">
        <w:t>Having made that finding, the primary judge, understandably, did not proceed to consider whether 1300HENLEY was deceptively similar to any of the registered marks. It also seems</w:t>
      </w:r>
      <w:r w:rsidR="00E502C4">
        <w:t xml:space="preserve"> </w:t>
      </w:r>
      <w:r w:rsidR="00C04337" w:rsidRPr="00C04337">
        <w:t xml:space="preserve">that the primary judge did not take the use of that sign into account when considering the respondent’s </w:t>
      </w:r>
      <w:r w:rsidR="004D24DD">
        <w:t xml:space="preserve">ACL </w:t>
      </w:r>
      <w:r w:rsidR="00C04337" w:rsidRPr="00C04337">
        <w:t xml:space="preserve">claim: see </w:t>
      </w:r>
      <w:proofErr w:type="gramStart"/>
      <w:r w:rsidR="00C04337" w:rsidRPr="00C04337">
        <w:t>J[</w:t>
      </w:r>
      <w:proofErr w:type="gramEnd"/>
      <w:r w:rsidR="00C04337" w:rsidRPr="00C04337">
        <w:t>593] – [594].</w:t>
      </w:r>
    </w:p>
    <w:p w14:paraId="0DA47A31" w14:textId="6A53A83F" w:rsidR="00C04337" w:rsidRPr="00C04337" w:rsidRDefault="00BC7D85" w:rsidP="00BC7D85">
      <w:pPr>
        <w:pStyle w:val="ParaNumbering"/>
        <w:numPr>
          <w:ilvl w:val="0"/>
          <w:numId w:val="0"/>
        </w:numPr>
        <w:ind w:hanging="720"/>
      </w:pPr>
      <w:r w:rsidRPr="00C04337">
        <w:rPr>
          <w:sz w:val="20"/>
        </w:rPr>
        <w:t>291</w:t>
      </w:r>
      <w:r w:rsidRPr="00C04337">
        <w:rPr>
          <w:sz w:val="20"/>
        </w:rPr>
        <w:tab/>
      </w:r>
      <w:r w:rsidR="00C04337" w:rsidRPr="00C04337">
        <w:t xml:space="preserve">By its cross-appeal, the respondent contends that the primary judge erred in finding that Henley Constructions had not used 1300HENLEY as a </w:t>
      </w:r>
      <w:proofErr w:type="gramStart"/>
      <w:r w:rsidR="00C04337" w:rsidRPr="00C04337">
        <w:t>trade mark</w:t>
      </w:r>
      <w:proofErr w:type="gramEnd"/>
      <w:r w:rsidR="00C04337" w:rsidRPr="00C04337">
        <w:t xml:space="preserve">. It submits that the primary judge should have found that, by using 1300HENLEY, Henley Constructions infringed each of the registered marks. </w:t>
      </w:r>
    </w:p>
    <w:p w14:paraId="79F074E0" w14:textId="136D7CA6" w:rsidR="00C04337" w:rsidRPr="00C04337" w:rsidRDefault="00BC7D85" w:rsidP="00BC7D85">
      <w:pPr>
        <w:pStyle w:val="ParaNumbering"/>
        <w:numPr>
          <w:ilvl w:val="0"/>
          <w:numId w:val="0"/>
        </w:numPr>
        <w:ind w:hanging="720"/>
      </w:pPr>
      <w:r w:rsidRPr="00C04337">
        <w:rPr>
          <w:sz w:val="20"/>
        </w:rPr>
        <w:t>292</w:t>
      </w:r>
      <w:r w:rsidRPr="00C04337">
        <w:rPr>
          <w:sz w:val="20"/>
        </w:rPr>
        <w:tab/>
      </w:r>
      <w:r w:rsidR="00C04337" w:rsidRPr="00C04337">
        <w:t>The respondent submits that, while on</w:t>
      </w:r>
      <w:r w:rsidR="009523BC">
        <w:t>e of the functions of the sign</w:t>
      </w:r>
      <w:r w:rsidR="00C04337" w:rsidRPr="00C04337">
        <w:t xml:space="preserve"> 1300HENLEY was to convey to consumers a telephone phone number (being 1300 436 539), that function did not preclude the sign from also being used as a </w:t>
      </w:r>
      <w:proofErr w:type="gramStart"/>
      <w:r w:rsidR="00C04337" w:rsidRPr="00C04337">
        <w:t>trade mark</w:t>
      </w:r>
      <w:proofErr w:type="gramEnd"/>
      <w:r w:rsidR="00C04337" w:rsidRPr="00C04337">
        <w:t xml:space="preserve">. The respondent submits that, in the context in which it </w:t>
      </w:r>
      <w:proofErr w:type="gramStart"/>
      <w:r w:rsidR="00C04337" w:rsidRPr="00C04337">
        <w:t>was used</w:t>
      </w:r>
      <w:proofErr w:type="gramEnd"/>
      <w:r w:rsidR="00C04337" w:rsidRPr="00C04337">
        <w:t>, the sign would</w:t>
      </w:r>
      <w:r w:rsidR="00666724">
        <w:t xml:space="preserve"> also</w:t>
      </w:r>
      <w:r w:rsidR="00C04337" w:rsidRPr="00C04337">
        <w:t xml:space="preserve"> be perceived by consumers as a badge of origin in relation to building and construction services. The respondent submits that, in each of the instances of use, Henley Constructions chose to use the letters rather than the phone number itself.  In doing so, Henley Constructions gave prominence to the word HENLEY </w:t>
      </w:r>
      <w:proofErr w:type="gramStart"/>
      <w:r w:rsidR="00C04337" w:rsidRPr="00C04337">
        <w:t>which</w:t>
      </w:r>
      <w:proofErr w:type="gramEnd"/>
      <w:r w:rsidR="00C04337" w:rsidRPr="00C04337">
        <w:t xml:space="preserve"> would draw the attention of consumers to this word as distinguishing </w:t>
      </w:r>
      <w:r w:rsidR="00C04337">
        <w:t>Henley</w:t>
      </w:r>
      <w:r w:rsidR="00C04337" w:rsidRPr="00C04337">
        <w:t xml:space="preserve"> Constructions’ services from those of other service providers. The respondent contrasted the hypothetical position of Henley Constructions using an anodyne sign such as 1300BUILD (1300 28453).</w:t>
      </w:r>
    </w:p>
    <w:p w14:paraId="18C0B5BB" w14:textId="00749464" w:rsidR="00C04337" w:rsidRPr="00C04337" w:rsidRDefault="00BC7D85" w:rsidP="00BC7D85">
      <w:pPr>
        <w:pStyle w:val="ParaNumbering"/>
        <w:numPr>
          <w:ilvl w:val="0"/>
          <w:numId w:val="0"/>
        </w:numPr>
        <w:ind w:hanging="720"/>
      </w:pPr>
      <w:r w:rsidRPr="00C04337">
        <w:rPr>
          <w:sz w:val="20"/>
        </w:rPr>
        <w:lastRenderedPageBreak/>
        <w:t>293</w:t>
      </w:r>
      <w:r w:rsidRPr="00C04337">
        <w:rPr>
          <w:sz w:val="20"/>
        </w:rPr>
        <w:tab/>
      </w:r>
      <w:r w:rsidR="00C04337" w:rsidRPr="00C04337">
        <w:t xml:space="preserve">The respondent submits that the use of 1300HENLEY was akin to the use of a domain name </w:t>
      </w:r>
      <w:r w:rsidR="002121CF">
        <w:t>for</w:t>
      </w:r>
      <w:r w:rsidR="00C04337" w:rsidRPr="00C04337">
        <w:t xml:space="preserve"> a </w:t>
      </w:r>
      <w:proofErr w:type="gramStart"/>
      <w:r w:rsidR="00C04337" w:rsidRPr="00C04337">
        <w:t>website which</w:t>
      </w:r>
      <w:proofErr w:type="gramEnd"/>
      <w:r w:rsidR="00C04337" w:rsidRPr="00C04337">
        <w:t xml:space="preserve">, while functioning as a uniform resource locator directing consumers to a website, also performs the function of the trade mark. </w:t>
      </w:r>
    </w:p>
    <w:p w14:paraId="34088041" w14:textId="7C6316F4" w:rsidR="00C04337" w:rsidRPr="00C04337" w:rsidRDefault="00BC7D85" w:rsidP="00BC7D85">
      <w:pPr>
        <w:pStyle w:val="ParaNumbering"/>
        <w:numPr>
          <w:ilvl w:val="0"/>
          <w:numId w:val="0"/>
        </w:numPr>
        <w:ind w:hanging="720"/>
      </w:pPr>
      <w:r w:rsidRPr="00C04337">
        <w:rPr>
          <w:sz w:val="20"/>
        </w:rPr>
        <w:t>294</w:t>
      </w:r>
      <w:r w:rsidRPr="00C04337">
        <w:rPr>
          <w:sz w:val="20"/>
        </w:rPr>
        <w:tab/>
      </w:r>
      <w:r w:rsidR="00C04337" w:rsidRPr="00C04337">
        <w:t>Further</w:t>
      </w:r>
      <w:r w:rsidR="0065424B">
        <w:t>,</w:t>
      </w:r>
      <w:r w:rsidR="00C04337" w:rsidRPr="00C04337">
        <w:t xml:space="preserve"> the respondent contends that Henley Constructions’ use of 1300HENLEY constituted conduct that contravenes </w:t>
      </w:r>
      <w:proofErr w:type="spellStart"/>
      <w:r w:rsidR="00C04337" w:rsidRPr="00C04337">
        <w:t>s</w:t>
      </w:r>
      <w:r w:rsidR="00C04337">
        <w:t>s</w:t>
      </w:r>
      <w:proofErr w:type="spellEnd"/>
      <w:r w:rsidR="00C04337">
        <w:t xml:space="preserve"> 18, 29(1</w:t>
      </w:r>
      <w:proofErr w:type="gramStart"/>
      <w:r w:rsidR="00C04337">
        <w:t>)(</w:t>
      </w:r>
      <w:proofErr w:type="gramEnd"/>
      <w:r w:rsidR="00C04337">
        <w:t>g) and 29(1)</w:t>
      </w:r>
      <w:r w:rsidR="00C04337" w:rsidRPr="00C04337">
        <w:t xml:space="preserve">(h) of the ACL, regardless of whether its use also constituted trade mark infringement. The respondent submits that, in light of its reputation, as found by the primary judge, a person </w:t>
      </w:r>
      <w:r w:rsidR="009523BC">
        <w:t>seeing</w:t>
      </w:r>
      <w:r w:rsidR="00C04337" w:rsidRPr="00C04337">
        <w:t xml:space="preserve"> 1300HENLEY would believe that the services offered in connection with that sign were connected with it.</w:t>
      </w:r>
    </w:p>
    <w:p w14:paraId="452D15BB" w14:textId="2EA49E8B" w:rsidR="00B60AAE" w:rsidRDefault="00BC7D85" w:rsidP="00BC7D85">
      <w:pPr>
        <w:pStyle w:val="ParaNumbering"/>
        <w:numPr>
          <w:ilvl w:val="0"/>
          <w:numId w:val="0"/>
        </w:numPr>
        <w:ind w:hanging="720"/>
      </w:pPr>
      <w:r>
        <w:rPr>
          <w:sz w:val="20"/>
        </w:rPr>
        <w:t>295</w:t>
      </w:r>
      <w:r>
        <w:rPr>
          <w:sz w:val="20"/>
        </w:rPr>
        <w:tab/>
      </w:r>
      <w:r w:rsidR="00C04337" w:rsidRPr="00C04337">
        <w:t xml:space="preserve">The respondent contends that the primary judge should have held that Mr </w:t>
      </w:r>
      <w:proofErr w:type="spellStart"/>
      <w:r w:rsidR="00C04337" w:rsidRPr="00C04337">
        <w:t>Sarkis</w:t>
      </w:r>
      <w:proofErr w:type="spellEnd"/>
      <w:r w:rsidR="00C04337" w:rsidRPr="00C04337">
        <w:t xml:space="preserve"> was (a) a joint tortfeasor in relation to this infringement </w:t>
      </w:r>
      <w:r w:rsidR="00C04337">
        <w:t xml:space="preserve">of the registered marks, </w:t>
      </w:r>
      <w:r w:rsidR="00C04337" w:rsidRPr="00C04337">
        <w:t>and (b) a person who either aided or abetted, or was knowingly concerned in, Henley Constructions’ contraventions of the ACL in this regard.</w:t>
      </w:r>
      <w:r w:rsidR="0022417A">
        <w:t xml:space="preserve"> </w:t>
      </w:r>
    </w:p>
    <w:p w14:paraId="6DA771C9" w14:textId="77777777" w:rsidR="0022417A" w:rsidRDefault="0022417A" w:rsidP="0022417A">
      <w:pPr>
        <w:pStyle w:val="Heading2"/>
      </w:pPr>
      <w:r>
        <w:t xml:space="preserve">Analysis </w:t>
      </w:r>
    </w:p>
    <w:p w14:paraId="4BC51777" w14:textId="4ADA2AB1" w:rsidR="0022417A" w:rsidRDefault="00BC7D85" w:rsidP="00BC7D85">
      <w:pPr>
        <w:pStyle w:val="ParaNumbering"/>
        <w:numPr>
          <w:ilvl w:val="0"/>
          <w:numId w:val="0"/>
        </w:numPr>
        <w:ind w:hanging="720"/>
      </w:pPr>
      <w:r>
        <w:rPr>
          <w:sz w:val="20"/>
        </w:rPr>
        <w:t>296</w:t>
      </w:r>
      <w:r>
        <w:rPr>
          <w:sz w:val="20"/>
        </w:rPr>
        <w:tab/>
      </w:r>
      <w:r w:rsidR="0022417A">
        <w:t>The cross-appeal does not raise any question of principle. It simply raises the question whether the primary judge came to the wrong conclusion on a question of fact, involving an evaluative judgment.</w:t>
      </w:r>
    </w:p>
    <w:p w14:paraId="63221C5A" w14:textId="79B90AA4" w:rsidR="0022417A" w:rsidRDefault="00BC7D85" w:rsidP="00BC7D85">
      <w:pPr>
        <w:pStyle w:val="ParaNumbering"/>
        <w:numPr>
          <w:ilvl w:val="0"/>
          <w:numId w:val="0"/>
        </w:numPr>
        <w:ind w:hanging="720"/>
      </w:pPr>
      <w:r>
        <w:rPr>
          <w:sz w:val="20"/>
        </w:rPr>
        <w:t>297</w:t>
      </w:r>
      <w:r>
        <w:rPr>
          <w:sz w:val="20"/>
        </w:rPr>
        <w:tab/>
      </w:r>
      <w:r w:rsidR="0022417A">
        <w:t>While, undoubtedly, Henley Constructions used the sign 1300HENLEY as a telephone number, it did so for promotional purposes—namely, to promote the name HENLEY as the source of the building and construction services that Henley Constructions was offering in trade. In this way, Henley Constructions was using 1300HENLEY as a sign to distinguish its services from the building and construction services provided by other traders.</w:t>
      </w:r>
    </w:p>
    <w:p w14:paraId="2EA686A8" w14:textId="716CE5CE" w:rsidR="0022417A" w:rsidRDefault="00BC7D85" w:rsidP="00BC7D85">
      <w:pPr>
        <w:pStyle w:val="ParaNumbering"/>
        <w:numPr>
          <w:ilvl w:val="0"/>
          <w:numId w:val="0"/>
        </w:numPr>
        <w:ind w:hanging="720"/>
      </w:pPr>
      <w:r>
        <w:rPr>
          <w:sz w:val="20"/>
        </w:rPr>
        <w:t>298</w:t>
      </w:r>
      <w:r>
        <w:rPr>
          <w:sz w:val="20"/>
        </w:rPr>
        <w:tab/>
      </w:r>
      <w:r w:rsidR="0022417A">
        <w:t xml:space="preserve">The appellants point to the fact that, in some instances of use, 1300HENLEY </w:t>
      </w:r>
      <w:proofErr w:type="gramStart"/>
      <w:r w:rsidR="0022417A">
        <w:t>was accompanied</w:t>
      </w:r>
      <w:proofErr w:type="gramEnd"/>
      <w:r w:rsidR="0022417A">
        <w:t xml:space="preserve"> by the numerals (of a telephone number) to which HENLEY, as a word, corresponds. The appellants submit that this underscores the fact that 1300HENLEY was, in these instances, only being used as, and would have been understood as being used as, no more than the </w:t>
      </w:r>
      <w:r w:rsidR="00FE6249">
        <w:t>means of communicating</w:t>
      </w:r>
      <w:r w:rsidR="0022417A">
        <w:t xml:space="preserve"> a telephone number.</w:t>
      </w:r>
    </w:p>
    <w:p w14:paraId="4588AC54" w14:textId="731E6DF3" w:rsidR="0022417A" w:rsidRDefault="00BC7D85" w:rsidP="00BC7D85">
      <w:pPr>
        <w:pStyle w:val="ParaNumbering"/>
        <w:numPr>
          <w:ilvl w:val="0"/>
          <w:numId w:val="0"/>
        </w:numPr>
        <w:ind w:hanging="720"/>
      </w:pPr>
      <w:r>
        <w:rPr>
          <w:sz w:val="20"/>
        </w:rPr>
        <w:t>299</w:t>
      </w:r>
      <w:r>
        <w:rPr>
          <w:sz w:val="20"/>
        </w:rPr>
        <w:tab/>
      </w:r>
      <w:r w:rsidR="0022417A">
        <w:t xml:space="preserve">In our view, rather than supporting the primary judge’s finding, this fact supports a finding of </w:t>
      </w:r>
      <w:proofErr w:type="gramStart"/>
      <w:r w:rsidR="0022417A">
        <w:t>trade mark</w:t>
      </w:r>
      <w:proofErr w:type="gramEnd"/>
      <w:r w:rsidR="0022417A">
        <w:t xml:space="preserve"> use. Had Henley Constructions merely wished to communicate a telephone number, it could have done so. Rather, it took advantage of the opportunity presented by a telephone number to communicate the dominant element of its name as the source of building and construction services.</w:t>
      </w:r>
    </w:p>
    <w:p w14:paraId="2747EF6E" w14:textId="7AFDBBE6" w:rsidR="0022417A" w:rsidRDefault="00BC7D85" w:rsidP="00BC7D85">
      <w:pPr>
        <w:pStyle w:val="ParaNumbering"/>
        <w:numPr>
          <w:ilvl w:val="0"/>
          <w:numId w:val="0"/>
        </w:numPr>
        <w:ind w:hanging="720"/>
      </w:pPr>
      <w:r>
        <w:rPr>
          <w:sz w:val="20"/>
        </w:rPr>
        <w:lastRenderedPageBreak/>
        <w:t>300</w:t>
      </w:r>
      <w:r>
        <w:rPr>
          <w:sz w:val="20"/>
        </w:rPr>
        <w:tab/>
      </w:r>
      <w:r w:rsidR="0022417A">
        <w:t xml:space="preserve">Further, contrary to the appellants’ submission, we do not accept that Henley Constructions used HENLEY, in this context, as merely the means by which a telephone number </w:t>
      </w:r>
      <w:proofErr w:type="gramStart"/>
      <w:r w:rsidR="0022417A">
        <w:t>could be more easily recalled</w:t>
      </w:r>
      <w:proofErr w:type="gramEnd"/>
      <w:r w:rsidR="0022417A">
        <w:t xml:space="preserve">. Any word </w:t>
      </w:r>
      <w:proofErr w:type="gramStart"/>
      <w:r w:rsidR="0022417A">
        <w:t>could have been used</w:t>
      </w:r>
      <w:proofErr w:type="gramEnd"/>
      <w:r w:rsidR="0022417A">
        <w:t xml:space="preserve"> for that purpose. Henley Constructions </w:t>
      </w:r>
      <w:r w:rsidR="00FE6249">
        <w:t xml:space="preserve">chose to use the name HENLEY.  This choice </w:t>
      </w:r>
      <w:proofErr w:type="gramStart"/>
      <w:r w:rsidR="0022417A">
        <w:t>was obviously deliberately made</w:t>
      </w:r>
      <w:proofErr w:type="gramEnd"/>
      <w:r w:rsidR="0022417A">
        <w:t xml:space="preserve"> for promotional purposes, and as a trade indicium.</w:t>
      </w:r>
    </w:p>
    <w:p w14:paraId="0DB90B6E" w14:textId="4D5618AE" w:rsidR="00FE6249" w:rsidRDefault="00BC7D85" w:rsidP="00BC7D85">
      <w:pPr>
        <w:pStyle w:val="ParaNumbering"/>
        <w:numPr>
          <w:ilvl w:val="0"/>
          <w:numId w:val="0"/>
        </w:numPr>
        <w:ind w:hanging="720"/>
      </w:pPr>
      <w:r>
        <w:rPr>
          <w:sz w:val="20"/>
        </w:rPr>
        <w:t>301</w:t>
      </w:r>
      <w:r>
        <w:rPr>
          <w:sz w:val="20"/>
        </w:rPr>
        <w:tab/>
      </w:r>
      <w:r w:rsidR="0022417A">
        <w:t>For these reasons, we are persuaded that the primary judge erred in finding that consumers would see He</w:t>
      </w:r>
      <w:r w:rsidR="00FE6249">
        <w:t>nley Constructions’ use of 1300HENLEY</w:t>
      </w:r>
      <w:r w:rsidR="0022417A">
        <w:t xml:space="preserve"> as only a telephone number and </w:t>
      </w:r>
      <w:proofErr w:type="gramStart"/>
      <w:r w:rsidR="0022417A">
        <w:t>not also</w:t>
      </w:r>
      <w:proofErr w:type="gramEnd"/>
      <w:r w:rsidR="0022417A">
        <w:t xml:space="preserve"> as a sign designating the trade source of Henley Constructions’ building and construction services.</w:t>
      </w:r>
    </w:p>
    <w:p w14:paraId="0EF844D8" w14:textId="2923613D" w:rsidR="00DA3648" w:rsidRDefault="00BC7D85" w:rsidP="00BC7D85">
      <w:pPr>
        <w:pStyle w:val="ParaNumbering"/>
        <w:numPr>
          <w:ilvl w:val="0"/>
          <w:numId w:val="0"/>
        </w:numPr>
        <w:ind w:hanging="720"/>
      </w:pPr>
      <w:r>
        <w:rPr>
          <w:sz w:val="20"/>
        </w:rPr>
        <w:t>302</w:t>
      </w:r>
      <w:r>
        <w:rPr>
          <w:sz w:val="20"/>
        </w:rPr>
        <w:tab/>
      </w:r>
      <w:r w:rsidR="00DA3648">
        <w:t xml:space="preserve">The appellants resisted the cross-appeal solely on the question of </w:t>
      </w:r>
      <w:proofErr w:type="gramStart"/>
      <w:r w:rsidR="00DA3648">
        <w:t>trade mark</w:t>
      </w:r>
      <w:proofErr w:type="gramEnd"/>
      <w:r w:rsidR="00DA3648">
        <w:t xml:space="preserve"> use.  They did not contest the respondent’s contention that 1300HENLEY was deceptively similar to the registered marks.  </w:t>
      </w:r>
    </w:p>
    <w:p w14:paraId="6575C9B0" w14:textId="10EB2CD3" w:rsidR="00DA3648" w:rsidRDefault="00BC7D85" w:rsidP="00BC7D85">
      <w:pPr>
        <w:pStyle w:val="ParaNumbering"/>
        <w:numPr>
          <w:ilvl w:val="0"/>
          <w:numId w:val="0"/>
        </w:numPr>
        <w:ind w:hanging="720"/>
      </w:pPr>
      <w:r>
        <w:rPr>
          <w:sz w:val="20"/>
        </w:rPr>
        <w:t>303</w:t>
      </w:r>
      <w:r>
        <w:rPr>
          <w:sz w:val="20"/>
        </w:rPr>
        <w:tab/>
      </w:r>
      <w:r w:rsidR="00DA3648">
        <w:t>The primary judge made no finding on the question.  It falls to us to decide that question.  It is sufficient for us to say that we are satisfied that 1300HENLEY is deceptively similar to the 820 mark.  Indeed, there is much to be said for the view that</w:t>
      </w:r>
      <w:r w:rsidR="00892CB8">
        <w:t xml:space="preserve"> 1300HEN</w:t>
      </w:r>
      <w:r w:rsidR="00532A88">
        <w:t>L</w:t>
      </w:r>
      <w:r w:rsidR="00892CB8">
        <w:t>E</w:t>
      </w:r>
      <w:r w:rsidR="00532A88">
        <w:t xml:space="preserve">Y is a use of HENLEY with merely added </w:t>
      </w:r>
      <w:proofErr w:type="gramStart"/>
      <w:r w:rsidR="00532A88">
        <w:t>matter which</w:t>
      </w:r>
      <w:proofErr w:type="gramEnd"/>
      <w:r w:rsidR="00532A88">
        <w:t xml:space="preserve"> does not avoid the consequences of trade mark infringement under s 120(1) of the Trade Marks Act:  see </w:t>
      </w:r>
      <w:r w:rsidR="00532A88" w:rsidRPr="00532A88">
        <w:rPr>
          <w:i/>
        </w:rPr>
        <w:t>Optical 88</w:t>
      </w:r>
      <w:r w:rsidR="00532A88">
        <w:t xml:space="preserve"> at [99] and the cases there cited.  We are satisfied that infringement </w:t>
      </w:r>
      <w:proofErr w:type="gramStart"/>
      <w:r w:rsidR="00532A88">
        <w:t>has been established</w:t>
      </w:r>
      <w:proofErr w:type="gramEnd"/>
      <w:r w:rsidR="00532A88">
        <w:t>.</w:t>
      </w:r>
      <w:r w:rsidR="00DA3648">
        <w:t xml:space="preserve"> </w:t>
      </w:r>
    </w:p>
    <w:p w14:paraId="72C7601E" w14:textId="0AA5AD04" w:rsidR="00532A88" w:rsidRDefault="00BC7D85" w:rsidP="00BC7D85">
      <w:pPr>
        <w:pStyle w:val="ParaNumbering"/>
        <w:numPr>
          <w:ilvl w:val="0"/>
          <w:numId w:val="0"/>
        </w:numPr>
        <w:ind w:hanging="720"/>
      </w:pPr>
      <w:r>
        <w:rPr>
          <w:sz w:val="20"/>
        </w:rPr>
        <w:t>304</w:t>
      </w:r>
      <w:r>
        <w:rPr>
          <w:sz w:val="20"/>
        </w:rPr>
        <w:tab/>
      </w:r>
      <w:r w:rsidR="00FE6249">
        <w:t xml:space="preserve">We think it is likely that the primary judge’s consideration of the respondent’s claims under the ACL and Trade Practices Act, without reference to Henley Constructions’ use of 1300HENLEY, was an oversight.  Having regard to the primary judge’s findings in respect of Henley Constructions’ use of the Infringing Signs in the context of the respondent’s </w:t>
      </w:r>
      <w:r w:rsidR="002121CF">
        <w:t xml:space="preserve">ACL </w:t>
      </w:r>
      <w:r w:rsidR="00FE6249">
        <w:t xml:space="preserve">claim, we </w:t>
      </w:r>
      <w:proofErr w:type="gramStart"/>
      <w:r w:rsidR="00FE6249">
        <w:t>are persuaded</w:t>
      </w:r>
      <w:proofErr w:type="gramEnd"/>
      <w:r w:rsidR="00FE6249">
        <w:t xml:space="preserve"> that Henley Constructions’ use of 1300HENLEY was of the same representational character.  We </w:t>
      </w:r>
      <w:proofErr w:type="gramStart"/>
      <w:r w:rsidR="00FE6249">
        <w:t>are persuaded</w:t>
      </w:r>
      <w:proofErr w:type="gramEnd"/>
      <w:r w:rsidR="00FE6249">
        <w:t xml:space="preserve">, therefore, that this was </w:t>
      </w:r>
      <w:r w:rsidR="002121CF">
        <w:t>also a contravention of the ACL.</w:t>
      </w:r>
    </w:p>
    <w:p w14:paraId="65BF506A" w14:textId="6ED55EE0" w:rsidR="00394AB5" w:rsidRDefault="00BC7D85" w:rsidP="00BC7D85">
      <w:pPr>
        <w:pStyle w:val="ParaNumbering"/>
        <w:numPr>
          <w:ilvl w:val="0"/>
          <w:numId w:val="0"/>
        </w:numPr>
        <w:ind w:hanging="720"/>
      </w:pPr>
      <w:r>
        <w:rPr>
          <w:sz w:val="20"/>
        </w:rPr>
        <w:t>305</w:t>
      </w:r>
      <w:r>
        <w:rPr>
          <w:sz w:val="20"/>
        </w:rPr>
        <w:tab/>
      </w:r>
      <w:r w:rsidR="00532A88">
        <w:t xml:space="preserve">On the basis of the primary judge’s other findings concerning Mr </w:t>
      </w:r>
      <w:proofErr w:type="spellStart"/>
      <w:r w:rsidR="00532A88">
        <w:t>Sarkis’</w:t>
      </w:r>
      <w:r w:rsidR="00971981">
        <w:t>s</w:t>
      </w:r>
      <w:proofErr w:type="spellEnd"/>
      <w:r w:rsidR="00532A88">
        <w:t xml:space="preserve"> liability, we are satisfied that Mr </w:t>
      </w:r>
      <w:proofErr w:type="spellStart"/>
      <w:r w:rsidR="00532A88">
        <w:t>Sarkis</w:t>
      </w:r>
      <w:proofErr w:type="spellEnd"/>
      <w:r w:rsidR="00532A88">
        <w:t xml:space="preserve"> was a joint tortfeasor in respect of Henley Constructions’ infringing use of 1300HENLEY as a trade mark.  </w:t>
      </w:r>
      <w:r w:rsidR="00E502C4">
        <w:t>On the same basis, we</w:t>
      </w:r>
      <w:r w:rsidR="00532A88">
        <w:t xml:space="preserve"> are also satisfied that Mr </w:t>
      </w:r>
      <w:proofErr w:type="spellStart"/>
      <w:r w:rsidR="00532A88">
        <w:t>Sarkis</w:t>
      </w:r>
      <w:proofErr w:type="spellEnd"/>
      <w:r w:rsidR="00532A88">
        <w:t xml:space="preserve"> was involved in Henley Constructions’ contravention of the ACL </w:t>
      </w:r>
      <w:proofErr w:type="gramStart"/>
      <w:r w:rsidR="00532A88">
        <w:t>by reason of</w:t>
      </w:r>
      <w:proofErr w:type="gramEnd"/>
      <w:r w:rsidR="00532A88">
        <w:t xml:space="preserve"> its use of 1300HENLEY.</w:t>
      </w:r>
      <w:r w:rsidR="00FE6249">
        <w:t xml:space="preserve"> </w:t>
      </w:r>
    </w:p>
    <w:p w14:paraId="777CD389" w14:textId="104CD6B4" w:rsidR="0022417A" w:rsidRDefault="00BC7D85" w:rsidP="00BC7D85">
      <w:pPr>
        <w:pStyle w:val="ParaNumbering"/>
        <w:numPr>
          <w:ilvl w:val="0"/>
          <w:numId w:val="0"/>
        </w:numPr>
        <w:ind w:hanging="720"/>
      </w:pPr>
      <w:r>
        <w:rPr>
          <w:sz w:val="20"/>
        </w:rPr>
        <w:t>306</w:t>
      </w:r>
      <w:r>
        <w:rPr>
          <w:sz w:val="20"/>
        </w:rPr>
        <w:tab/>
      </w:r>
      <w:r w:rsidR="0022417A">
        <w:t>Therefore, the respondent’s cross-appeal succeeds.</w:t>
      </w:r>
    </w:p>
    <w:p w14:paraId="0ACC3798" w14:textId="501BA0E5" w:rsidR="003A5B38" w:rsidRDefault="00BC7D85" w:rsidP="003A5B38">
      <w:pPr>
        <w:pStyle w:val="Heading1"/>
      </w:pPr>
      <w:bookmarkStart w:id="53" w:name="_Ref133418110"/>
      <w:r>
        <w:rPr>
          <w:caps w:val="0"/>
        </w:rPr>
        <w:lastRenderedPageBreak/>
        <w:t>LEAVE TO APPEAL:  COSTS</w:t>
      </w:r>
      <w:bookmarkEnd w:id="53"/>
    </w:p>
    <w:p w14:paraId="577D6968" w14:textId="0387EAF1" w:rsidR="004F0984" w:rsidRPr="004F0984" w:rsidRDefault="00BC7D85" w:rsidP="00BC7D85">
      <w:pPr>
        <w:pStyle w:val="ParaNumbering"/>
        <w:numPr>
          <w:ilvl w:val="0"/>
          <w:numId w:val="0"/>
        </w:numPr>
        <w:ind w:hanging="720"/>
      </w:pPr>
      <w:proofErr w:type="gramStart"/>
      <w:r w:rsidRPr="004F0984">
        <w:rPr>
          <w:sz w:val="20"/>
        </w:rPr>
        <w:t>307</w:t>
      </w:r>
      <w:r w:rsidRPr="004F0984">
        <w:rPr>
          <w:sz w:val="20"/>
        </w:rPr>
        <w:tab/>
      </w:r>
      <w:r w:rsidR="004F0984" w:rsidRPr="004F0984">
        <w:t>In separate reasons for judgment (</w:t>
      </w:r>
      <w:r w:rsidR="004F0984" w:rsidRPr="00586452">
        <w:rPr>
          <w:i/>
        </w:rPr>
        <w:t>Henley Arch Pty Ltd v Henley Constructions Pty Ltd (No 2)</w:t>
      </w:r>
      <w:r w:rsidR="004F0984" w:rsidRPr="005605B1">
        <w:t xml:space="preserve"> [2022] FCA 231</w:t>
      </w:r>
      <w:r w:rsidR="004F0984" w:rsidRPr="004F0984">
        <w:t xml:space="preserve"> (</w:t>
      </w:r>
      <w:r w:rsidR="009523BC" w:rsidRPr="009523BC">
        <w:rPr>
          <w:b/>
        </w:rPr>
        <w:t>CJ</w:t>
      </w:r>
      <w:r w:rsidR="00CD3171">
        <w:rPr>
          <w:b/>
        </w:rPr>
        <w:t xml:space="preserve"> </w:t>
      </w:r>
      <w:r w:rsidR="00CD3171" w:rsidRPr="00CD3171">
        <w:t>or the</w:t>
      </w:r>
      <w:r w:rsidR="00CD3171">
        <w:rPr>
          <w:b/>
        </w:rPr>
        <w:t xml:space="preserve"> costs judgment</w:t>
      </w:r>
      <w:r w:rsidR="004F0984" w:rsidRPr="004F0984">
        <w:t>)</w:t>
      </w:r>
      <w:r w:rsidR="009523BC">
        <w:t>)</w:t>
      </w:r>
      <w:r w:rsidR="004F0984" w:rsidRPr="004F0984">
        <w:t>, the primary judge decided that the appellants should pay the respondent’s costs on an indemnity basis, and as a lump sum, from 11</w:t>
      </w:r>
      <w:r w:rsidR="004F0984">
        <w:t xml:space="preserve">.00 am </w:t>
      </w:r>
      <w:r w:rsidR="004F0984" w:rsidRPr="004F0984">
        <w:t>on the second business day after the “2019 Offer” was served on the appellants.</w:t>
      </w:r>
      <w:proofErr w:type="gramEnd"/>
    </w:p>
    <w:p w14:paraId="0141948D" w14:textId="1165A56C" w:rsidR="004F0984" w:rsidRDefault="00BC7D85" w:rsidP="00BC7D85">
      <w:pPr>
        <w:pStyle w:val="ParaNumbering"/>
        <w:numPr>
          <w:ilvl w:val="0"/>
          <w:numId w:val="0"/>
        </w:numPr>
        <w:ind w:hanging="720"/>
      </w:pPr>
      <w:r>
        <w:rPr>
          <w:sz w:val="20"/>
        </w:rPr>
        <w:t>308</w:t>
      </w:r>
      <w:r>
        <w:rPr>
          <w:sz w:val="20"/>
        </w:rPr>
        <w:tab/>
      </w:r>
      <w:r w:rsidR="004F0984" w:rsidRPr="004F0984">
        <w:t>The “2019 Offer” was a formal offer of compromise made by the respondent on</w:t>
      </w:r>
      <w:r w:rsidR="004F0984">
        <w:t xml:space="preserve"> 26 November 2019 pursuant to </w:t>
      </w:r>
      <w:r w:rsidR="004F0984" w:rsidRPr="00586452">
        <w:t xml:space="preserve">r </w:t>
      </w:r>
      <w:r w:rsidR="004F0984" w:rsidRPr="005605B1">
        <w:t xml:space="preserve">25.14(3) of the </w:t>
      </w:r>
      <w:r w:rsidR="004F0984" w:rsidRPr="00F54AA2">
        <w:rPr>
          <w:i/>
        </w:rPr>
        <w:t>Federal Court Rules 2011</w:t>
      </w:r>
      <w:r w:rsidR="004F0984" w:rsidRPr="00F54AA2">
        <w:t xml:space="preserve"> (</w:t>
      </w:r>
      <w:proofErr w:type="spellStart"/>
      <w:r w:rsidR="004F0984" w:rsidRPr="00F54AA2">
        <w:t>Cth</w:t>
      </w:r>
      <w:proofErr w:type="spellEnd"/>
      <w:r w:rsidR="004F0984" w:rsidRPr="00F54AA2">
        <w:t>)</w:t>
      </w:r>
      <w:r w:rsidR="004F0984" w:rsidRPr="004F0984">
        <w:t xml:space="preserve">, which provides: </w:t>
      </w:r>
    </w:p>
    <w:p w14:paraId="4BEC8990" w14:textId="77777777" w:rsidR="00FB7E2A" w:rsidRDefault="00FB7E2A" w:rsidP="00FB7E2A">
      <w:pPr>
        <w:pStyle w:val="Quote1"/>
        <w:tabs>
          <w:tab w:val="left" w:pos="1418"/>
        </w:tabs>
        <w:ind w:left="1418" w:hanging="681"/>
      </w:pPr>
      <w:r>
        <w:t xml:space="preserve">(3)  </w:t>
      </w:r>
      <w:r>
        <w:tab/>
        <w:t xml:space="preserve">If an offer </w:t>
      </w:r>
      <w:proofErr w:type="gramStart"/>
      <w:r>
        <w:t>is made by an applicant and not accepted by a respondent,</w:t>
      </w:r>
      <w:proofErr w:type="gramEnd"/>
      <w:r>
        <w:t xml:space="preserve"> and the applicant obtains a judgment that is more favourable than the terms of the offer, the applicant is entitled to an order that the respondent pay the applicant’s costs:</w:t>
      </w:r>
    </w:p>
    <w:p w14:paraId="4C6636D3" w14:textId="77777777" w:rsidR="00FB7E2A" w:rsidRDefault="00FB7E2A" w:rsidP="00387D02">
      <w:pPr>
        <w:pStyle w:val="Quote2"/>
        <w:ind w:left="2160" w:hanging="720"/>
      </w:pPr>
      <w:r>
        <w:t xml:space="preserve">(a)  </w:t>
      </w:r>
      <w:r>
        <w:tab/>
      </w:r>
      <w:proofErr w:type="gramStart"/>
      <w:r>
        <w:t>before</w:t>
      </w:r>
      <w:proofErr w:type="gramEnd"/>
      <w:r>
        <w:t xml:space="preserve"> 11.00 am on the second business day after the offer was served—on a party and party basis; and</w:t>
      </w:r>
    </w:p>
    <w:p w14:paraId="085215F8" w14:textId="77777777" w:rsidR="00FB7E2A" w:rsidRDefault="00FB7E2A" w:rsidP="00387D02">
      <w:pPr>
        <w:pStyle w:val="Quote2"/>
        <w:ind w:left="2160" w:hanging="720"/>
      </w:pPr>
      <w:r>
        <w:t xml:space="preserve">(b)  </w:t>
      </w:r>
      <w:r>
        <w:tab/>
      </w:r>
      <w:proofErr w:type="gramStart"/>
      <w:r>
        <w:t>after</w:t>
      </w:r>
      <w:proofErr w:type="gramEnd"/>
      <w:r>
        <w:t xml:space="preserve"> the time mentioned in paragraph (a)—on an indemnity basis.</w:t>
      </w:r>
    </w:p>
    <w:p w14:paraId="5021925A" w14:textId="77777777" w:rsidR="00FB7E2A" w:rsidRPr="00FB7E2A" w:rsidRDefault="00FB7E2A" w:rsidP="00FB7E2A">
      <w:pPr>
        <w:pStyle w:val="Quote2"/>
        <w:tabs>
          <w:tab w:val="left" w:pos="2268"/>
        </w:tabs>
        <w:rPr>
          <w:sz w:val="20"/>
        </w:rPr>
      </w:pPr>
      <w:r w:rsidRPr="00FB7E2A">
        <w:rPr>
          <w:sz w:val="20"/>
        </w:rPr>
        <w:t>Note 1:</w:t>
      </w:r>
      <w:r w:rsidRPr="00FB7E2A">
        <w:rPr>
          <w:sz w:val="20"/>
        </w:rPr>
        <w:tab/>
      </w:r>
      <w:r w:rsidRPr="00EE4859">
        <w:rPr>
          <w:b/>
          <w:i/>
          <w:sz w:val="20"/>
        </w:rPr>
        <w:t>Costs on an indemnity basis</w:t>
      </w:r>
      <w:r w:rsidRPr="00FB7E2A">
        <w:rPr>
          <w:sz w:val="20"/>
        </w:rPr>
        <w:t xml:space="preserve"> </w:t>
      </w:r>
      <w:proofErr w:type="gramStart"/>
      <w:r w:rsidRPr="00FB7E2A">
        <w:rPr>
          <w:sz w:val="20"/>
        </w:rPr>
        <w:t>is defined</w:t>
      </w:r>
      <w:proofErr w:type="gramEnd"/>
      <w:r w:rsidRPr="00FB7E2A">
        <w:rPr>
          <w:sz w:val="20"/>
        </w:rPr>
        <w:t xml:space="preserve"> in the Dictionary.</w:t>
      </w:r>
    </w:p>
    <w:p w14:paraId="32F85692" w14:textId="77777777" w:rsidR="004F0984" w:rsidRPr="00FB7E2A" w:rsidRDefault="00FB7E2A" w:rsidP="00FB7E2A">
      <w:pPr>
        <w:pStyle w:val="Quote2"/>
        <w:tabs>
          <w:tab w:val="left" w:pos="2268"/>
        </w:tabs>
        <w:ind w:left="2268" w:hanging="828"/>
        <w:rPr>
          <w:sz w:val="20"/>
        </w:rPr>
      </w:pPr>
      <w:r w:rsidRPr="00FB7E2A">
        <w:rPr>
          <w:sz w:val="20"/>
        </w:rPr>
        <w:t>Note 2:</w:t>
      </w:r>
      <w:r w:rsidRPr="00FB7E2A">
        <w:rPr>
          <w:sz w:val="20"/>
        </w:rPr>
        <w:tab/>
        <w:t>The Court may make an order inconsistent with these rules—see rule 1.35.</w:t>
      </w:r>
    </w:p>
    <w:p w14:paraId="7C1DEAA3" w14:textId="6172EFC8" w:rsidR="00246B70" w:rsidRDefault="00BC7D85" w:rsidP="00BC7D85">
      <w:pPr>
        <w:pStyle w:val="ParaNumbering"/>
        <w:numPr>
          <w:ilvl w:val="0"/>
          <w:numId w:val="0"/>
        </w:numPr>
        <w:ind w:hanging="720"/>
      </w:pPr>
      <w:r>
        <w:rPr>
          <w:sz w:val="20"/>
        </w:rPr>
        <w:t>309</w:t>
      </w:r>
      <w:r>
        <w:rPr>
          <w:sz w:val="20"/>
        </w:rPr>
        <w:tab/>
      </w:r>
      <w:r w:rsidR="00246B70">
        <w:t>The 2</w:t>
      </w:r>
      <w:r w:rsidR="00A27A50">
        <w:t xml:space="preserve">019 Offer was in these terms: </w:t>
      </w:r>
      <w:r w:rsidR="004A4CBB">
        <w:t xml:space="preserve"> </w:t>
      </w:r>
    </w:p>
    <w:p w14:paraId="22BF79FC" w14:textId="77777777" w:rsidR="004A4CBB" w:rsidRDefault="004A4CBB" w:rsidP="004A4CBB">
      <w:pPr>
        <w:pStyle w:val="Quote1"/>
        <w:tabs>
          <w:tab w:val="left" w:pos="1418"/>
        </w:tabs>
      </w:pPr>
      <w:r w:rsidRPr="004A4CBB">
        <w:t>1.</w:t>
      </w:r>
      <w:r>
        <w:tab/>
        <w:t xml:space="preserve">You consent to orders </w:t>
      </w:r>
      <w:proofErr w:type="gramStart"/>
      <w:r>
        <w:t>being made</w:t>
      </w:r>
      <w:proofErr w:type="gramEnd"/>
      <w:r>
        <w:t xml:space="preserve"> in the proceeding as follows: </w:t>
      </w:r>
    </w:p>
    <w:p w14:paraId="26B77B4F" w14:textId="77777777" w:rsidR="004A4CBB" w:rsidRDefault="004A4CBB" w:rsidP="004A4CBB">
      <w:pPr>
        <w:pStyle w:val="Quote2"/>
        <w:tabs>
          <w:tab w:val="left" w:pos="1985"/>
        </w:tabs>
        <w:ind w:left="1985" w:hanging="545"/>
      </w:pPr>
      <w:r>
        <w:t>(a)</w:t>
      </w:r>
      <w:r>
        <w:tab/>
        <w:t xml:space="preserve">The Respondents, whether by themselves, their directors, officers, employees or agents or otherwise, be restrained from using as a </w:t>
      </w:r>
      <w:proofErr w:type="gramStart"/>
      <w:r>
        <w:t>trade mark</w:t>
      </w:r>
      <w:proofErr w:type="gramEnd"/>
      <w:r>
        <w:t>, without the licence or authority of the Applicant, the following signs:</w:t>
      </w:r>
    </w:p>
    <w:p w14:paraId="68025978" w14:textId="77777777" w:rsidR="004A4CBB" w:rsidRDefault="004A4CBB" w:rsidP="00387D02">
      <w:pPr>
        <w:pStyle w:val="Quote3"/>
        <w:ind w:left="2880" w:hanging="720"/>
      </w:pPr>
      <w:r>
        <w:t>(</w:t>
      </w:r>
      <w:proofErr w:type="spellStart"/>
      <w:r>
        <w:t>i</w:t>
      </w:r>
      <w:proofErr w:type="spellEnd"/>
      <w:r>
        <w:t>)</w:t>
      </w:r>
      <w:r>
        <w:tab/>
        <w:t>Henley; and/or</w:t>
      </w:r>
    </w:p>
    <w:p w14:paraId="3D2F2D48" w14:textId="77777777" w:rsidR="004A4CBB" w:rsidRDefault="004A4CBB" w:rsidP="00387D02">
      <w:pPr>
        <w:pStyle w:val="Quote3"/>
        <w:ind w:left="2880" w:hanging="720"/>
      </w:pPr>
      <w:r>
        <w:t>(ii)</w:t>
      </w:r>
      <w:r>
        <w:tab/>
        <w:t>Henley Constructions; and/or</w:t>
      </w:r>
    </w:p>
    <w:p w14:paraId="55E8F115" w14:textId="77777777" w:rsidR="004A4CBB" w:rsidRDefault="0082619A" w:rsidP="00387D02">
      <w:pPr>
        <w:pStyle w:val="Quote3"/>
        <w:ind w:left="2880" w:hanging="720"/>
      </w:pPr>
      <w:r>
        <w:t>(iii)</w:t>
      </w:r>
      <w:r>
        <w:tab/>
        <w:t>Henley Constructions Pty L</w:t>
      </w:r>
      <w:r w:rsidR="004A4CBB">
        <w:t>td; and/or</w:t>
      </w:r>
    </w:p>
    <w:p w14:paraId="647588DF" w14:textId="77777777" w:rsidR="004A4CBB" w:rsidRDefault="004A4CBB" w:rsidP="00387D02">
      <w:pPr>
        <w:pStyle w:val="Quote3"/>
        <w:ind w:left="2880" w:hanging="720"/>
      </w:pPr>
      <w:proofErr w:type="gramStart"/>
      <w:r>
        <w:t>(iv)</w:t>
      </w:r>
      <w:r>
        <w:tab/>
        <w:t>1300</w:t>
      </w:r>
      <w:proofErr w:type="gramEnd"/>
      <w:r>
        <w:t xml:space="preserve"> HENLEY; and/or</w:t>
      </w:r>
    </w:p>
    <w:p w14:paraId="0C10AF7A" w14:textId="77777777" w:rsidR="004A4CBB" w:rsidRDefault="004A4CBB" w:rsidP="00387D02">
      <w:pPr>
        <w:pStyle w:val="Quote3"/>
        <w:ind w:left="2880" w:hanging="720"/>
      </w:pPr>
      <w:r>
        <w:t>(v)</w:t>
      </w:r>
      <w:r>
        <w:tab/>
      </w:r>
      <w:r w:rsidRPr="002121CF">
        <w:t>www.henleyconstructions.com.au</w:t>
      </w:r>
      <w:r>
        <w:t>; and or</w:t>
      </w:r>
    </w:p>
    <w:p w14:paraId="77289456" w14:textId="77777777" w:rsidR="004A4CBB" w:rsidRDefault="004A4CBB" w:rsidP="00387D02">
      <w:pPr>
        <w:pStyle w:val="Quote3"/>
        <w:ind w:left="2880" w:hanging="720"/>
      </w:pPr>
      <w:r>
        <w:t>(vi)</w:t>
      </w:r>
      <w:r>
        <w:tab/>
      </w:r>
      <w:proofErr w:type="gramStart"/>
      <w:r>
        <w:t>any</w:t>
      </w:r>
      <w:proofErr w:type="gramEnd"/>
      <w:r>
        <w:t xml:space="preserve"> other sign that is substantially identical, or deceptively similar, to “HENLEY”, </w:t>
      </w:r>
    </w:p>
    <w:p w14:paraId="6ACFB035" w14:textId="77777777" w:rsidR="004A4CBB" w:rsidRDefault="004A4CBB" w:rsidP="004A4CBB">
      <w:pPr>
        <w:pStyle w:val="Quote3"/>
        <w:tabs>
          <w:tab w:val="left" w:pos="1985"/>
          <w:tab w:val="left" w:pos="2552"/>
        </w:tabs>
        <w:ind w:left="2552" w:hanging="567"/>
      </w:pPr>
      <w:proofErr w:type="gramStart"/>
      <w:r>
        <w:t>in</w:t>
      </w:r>
      <w:proofErr w:type="gramEnd"/>
      <w:r>
        <w:t xml:space="preserve"> the course of trade in relation to building or construction services.</w:t>
      </w:r>
    </w:p>
    <w:p w14:paraId="3CA7E2F5" w14:textId="77777777" w:rsidR="004A4CBB" w:rsidRDefault="004A4CBB" w:rsidP="004A4CBB">
      <w:pPr>
        <w:pStyle w:val="Quote2"/>
        <w:tabs>
          <w:tab w:val="left" w:pos="1985"/>
        </w:tabs>
        <w:ind w:left="1985" w:hanging="545"/>
      </w:pPr>
      <w:proofErr w:type="gramStart"/>
      <w:r>
        <w:t>(b)</w:t>
      </w:r>
      <w:r>
        <w:tab/>
        <w:t>The claim and cross-claim be otherwise dismissed</w:t>
      </w:r>
      <w:proofErr w:type="gramEnd"/>
      <w:r>
        <w:t xml:space="preserve"> with no order as to costs.</w:t>
      </w:r>
    </w:p>
    <w:p w14:paraId="0FBA94AB" w14:textId="77777777" w:rsidR="004A4CBB" w:rsidRDefault="004A4CBB" w:rsidP="004A4CBB">
      <w:pPr>
        <w:pStyle w:val="Quote1"/>
        <w:tabs>
          <w:tab w:val="left" w:pos="1418"/>
        </w:tabs>
        <w:ind w:left="1418" w:hanging="681"/>
      </w:pPr>
      <w:r>
        <w:t>2.</w:t>
      </w:r>
      <w:r>
        <w:tab/>
        <w:t>The applicant authorises the Respondents, up until 31 May 2020 and not beyond, to use:</w:t>
      </w:r>
    </w:p>
    <w:p w14:paraId="03E6186D" w14:textId="77777777" w:rsidR="004A4CBB" w:rsidRDefault="004A4CBB" w:rsidP="00A303CE">
      <w:pPr>
        <w:pStyle w:val="Quote2"/>
      </w:pPr>
      <w:r>
        <w:t>(a)</w:t>
      </w:r>
      <w:r>
        <w:tab/>
        <w:t>Henley; and/or</w:t>
      </w:r>
    </w:p>
    <w:p w14:paraId="2D43B8D5" w14:textId="77777777" w:rsidR="004A4CBB" w:rsidRDefault="004A4CBB" w:rsidP="00A303CE">
      <w:pPr>
        <w:pStyle w:val="Quote2"/>
      </w:pPr>
      <w:r>
        <w:lastRenderedPageBreak/>
        <w:t>(b)</w:t>
      </w:r>
      <w:r>
        <w:tab/>
        <w:t>Henley Constructions; and/or</w:t>
      </w:r>
    </w:p>
    <w:p w14:paraId="1A1695CD" w14:textId="77777777" w:rsidR="004A4CBB" w:rsidRDefault="004A4CBB" w:rsidP="00A303CE">
      <w:pPr>
        <w:pStyle w:val="Quote2"/>
      </w:pPr>
      <w:r>
        <w:t>(c)</w:t>
      </w:r>
      <w:r>
        <w:tab/>
        <w:t>Henley Constructions Pty Ltd; and/or</w:t>
      </w:r>
    </w:p>
    <w:p w14:paraId="6F7DABD1" w14:textId="77777777" w:rsidR="004A4CBB" w:rsidRDefault="004A4CBB" w:rsidP="00A303CE">
      <w:pPr>
        <w:pStyle w:val="Quote2"/>
      </w:pPr>
      <w:r>
        <w:t>(d)</w:t>
      </w:r>
      <w:r>
        <w:tab/>
        <w:t>1300 HENLEY; and/or</w:t>
      </w:r>
    </w:p>
    <w:p w14:paraId="433562AB" w14:textId="77777777" w:rsidR="004A4CBB" w:rsidRDefault="004A4CBB" w:rsidP="00A303CE">
      <w:pPr>
        <w:pStyle w:val="Quote2"/>
      </w:pPr>
      <w:r>
        <w:t>(e)</w:t>
      </w:r>
      <w:r>
        <w:tab/>
      </w:r>
      <w:r w:rsidRPr="002121CF">
        <w:t>www.henleyconstructions.com.au</w:t>
      </w:r>
      <w:r>
        <w:t>,</w:t>
      </w:r>
    </w:p>
    <w:p w14:paraId="721709C4" w14:textId="77777777" w:rsidR="004A4CBB" w:rsidRDefault="0082619A" w:rsidP="004A4CBB">
      <w:pPr>
        <w:pStyle w:val="Quote2"/>
        <w:tabs>
          <w:tab w:val="left" w:pos="1985"/>
        </w:tabs>
      </w:pPr>
      <w:proofErr w:type="gramStart"/>
      <w:r>
        <w:t>in</w:t>
      </w:r>
      <w:proofErr w:type="gramEnd"/>
      <w:r>
        <w:t xml:space="preserve"> the course of trade in relation to building or construction services, provided only that the Respondents will otherwise undertake all steps necessary and as expeditiously as possible to rebrand their business to a name that does not include “HENLEY” or any word that is substantially identical, or deceptively similar, to “HENLEY”.</w:t>
      </w:r>
    </w:p>
    <w:p w14:paraId="78DEA7A0" w14:textId="77777777" w:rsidR="0082619A" w:rsidRDefault="0082619A" w:rsidP="0082619A">
      <w:pPr>
        <w:pStyle w:val="Quote1"/>
      </w:pPr>
      <w:r>
        <w:t xml:space="preserve">This offer of compromise is open to </w:t>
      </w:r>
      <w:proofErr w:type="gramStart"/>
      <w:r>
        <w:t>be accepted</w:t>
      </w:r>
      <w:proofErr w:type="gramEnd"/>
      <w:r>
        <w:t xml:space="preserve"> for </w:t>
      </w:r>
      <w:r w:rsidRPr="0082619A">
        <w:rPr>
          <w:b/>
        </w:rPr>
        <w:t>14 days after service of this offer of compromise</w:t>
      </w:r>
      <w:r>
        <w:t>.</w:t>
      </w:r>
    </w:p>
    <w:p w14:paraId="10D1960C" w14:textId="17EEE248" w:rsidR="009523BC" w:rsidRDefault="009523BC" w:rsidP="0082619A">
      <w:pPr>
        <w:pStyle w:val="Quote1"/>
      </w:pPr>
      <w:r>
        <w:t>(</w:t>
      </w:r>
      <w:r w:rsidR="007B2107">
        <w:t>Original emphasis.</w:t>
      </w:r>
      <w:r>
        <w:t>)</w:t>
      </w:r>
    </w:p>
    <w:p w14:paraId="5375F3A5" w14:textId="4226B177" w:rsidR="004F0984" w:rsidRDefault="00BC7D85" w:rsidP="00BC7D85">
      <w:pPr>
        <w:pStyle w:val="ParaNumbering"/>
        <w:numPr>
          <w:ilvl w:val="0"/>
          <w:numId w:val="0"/>
        </w:numPr>
        <w:ind w:hanging="720"/>
      </w:pPr>
      <w:r>
        <w:rPr>
          <w:sz w:val="20"/>
        </w:rPr>
        <w:t>310</w:t>
      </w:r>
      <w:r>
        <w:rPr>
          <w:sz w:val="20"/>
        </w:rPr>
        <w:tab/>
      </w:r>
      <w:r w:rsidR="004F0984" w:rsidRPr="004F0984">
        <w:t xml:space="preserve">The primary judge </w:t>
      </w:r>
      <w:proofErr w:type="gramStart"/>
      <w:r w:rsidR="004F0984" w:rsidRPr="004F0984">
        <w:t>was persuaded</w:t>
      </w:r>
      <w:proofErr w:type="gramEnd"/>
      <w:r w:rsidR="004F0984" w:rsidRPr="004F0984">
        <w:t xml:space="preserve"> that r 25.14(3) was satisfied. </w:t>
      </w:r>
      <w:r w:rsidR="004F0984">
        <w:t xml:space="preserve"> </w:t>
      </w:r>
      <w:r w:rsidR="004F0984" w:rsidRPr="004F0984">
        <w:t xml:space="preserve">At </w:t>
      </w:r>
      <w:proofErr w:type="gramStart"/>
      <w:r w:rsidR="009523BC">
        <w:t>C</w:t>
      </w:r>
      <w:r w:rsidR="004F0984" w:rsidRPr="004F0984">
        <w:t>J[</w:t>
      </w:r>
      <w:proofErr w:type="gramEnd"/>
      <w:r w:rsidR="004F0984" w:rsidRPr="004F0984">
        <w:t xml:space="preserve">34], his Honour said: </w:t>
      </w:r>
    </w:p>
    <w:p w14:paraId="6F10DE00" w14:textId="77777777" w:rsidR="004F0984" w:rsidRPr="004F0984" w:rsidRDefault="004F0984" w:rsidP="004F0984">
      <w:pPr>
        <w:pStyle w:val="Quote1"/>
        <w:tabs>
          <w:tab w:val="left" w:pos="1418"/>
        </w:tabs>
        <w:ind w:left="1418" w:hanging="681"/>
      </w:pPr>
      <w:r w:rsidRPr="004F0984">
        <w:t xml:space="preserve">34    </w:t>
      </w:r>
      <w:r>
        <w:tab/>
      </w:r>
      <w:r w:rsidRPr="004F0984">
        <w:t>I find that the 2019 Offer of compromise was a genuine offer in the context of the proceeding, and ultimately judgment was more favourable for Henley Arch than the terms of the 2019 Offer. This is so because the offer gave up any claim to legal costs, had no injunction based on the ACL claim and contained a six-month transition period for the Respondents to stop using the impugned signs as a trade mark in respect of building or construction services. This is in contrast to the findings in the Liability Judgment, wherein I found that Henley Constructions infringed Henley Arch’s intellectual property rights with r</w:t>
      </w:r>
      <w:r>
        <w:t xml:space="preserve">espect to a number of its </w:t>
      </w:r>
      <w:proofErr w:type="spellStart"/>
      <w:proofErr w:type="gramStart"/>
      <w:r>
        <w:t xml:space="preserve">trade </w:t>
      </w:r>
      <w:r w:rsidRPr="004F0984">
        <w:t>marks</w:t>
      </w:r>
      <w:proofErr w:type="spellEnd"/>
      <w:proofErr w:type="gramEnd"/>
      <w:r w:rsidRPr="004F0984">
        <w:t xml:space="preserve">, and found that Henley Arch was entitled to injunctions against Henley Constructions due to its contraventions of </w:t>
      </w:r>
      <w:proofErr w:type="spellStart"/>
      <w:r w:rsidRPr="004F0984">
        <w:t>ss</w:t>
      </w:r>
      <w:proofErr w:type="spellEnd"/>
      <w:r w:rsidRPr="004F0984">
        <w:t xml:space="preserve"> 18 and 29 of the ACL. Further, I ordered that the Respondents pay the Applicant’s costs of and incidental to the hearing of liability on the claim, and the costs of and incidental to the cross-claim. Henley Arch clearly obtained a judgment that was more favourable than the state of affairs in the 2019 Offer. As </w:t>
      </w:r>
      <w:proofErr w:type="gramStart"/>
      <w:r w:rsidRPr="004F0984">
        <w:t>such</w:t>
      </w:r>
      <w:proofErr w:type="gramEnd"/>
      <w:r w:rsidRPr="004F0984">
        <w:t xml:space="preserve"> indemnity costs should be awarded against the Respondents from 11am on the second business day after the 2019 Offer was served on the Respondents pursuant to r 25.14(3).</w:t>
      </w:r>
    </w:p>
    <w:p w14:paraId="752196C4" w14:textId="107DB8C9" w:rsidR="00704351" w:rsidRPr="00704351" w:rsidRDefault="00BC7D85" w:rsidP="00BC7D85">
      <w:pPr>
        <w:pStyle w:val="ParaNumbering"/>
        <w:numPr>
          <w:ilvl w:val="0"/>
          <w:numId w:val="0"/>
        </w:numPr>
        <w:ind w:hanging="720"/>
      </w:pPr>
      <w:r w:rsidRPr="00704351">
        <w:rPr>
          <w:sz w:val="20"/>
        </w:rPr>
        <w:t>311</w:t>
      </w:r>
      <w:r w:rsidRPr="00704351">
        <w:rPr>
          <w:sz w:val="20"/>
        </w:rPr>
        <w:tab/>
      </w:r>
      <w:r w:rsidR="00704351" w:rsidRPr="00704351">
        <w:t xml:space="preserve">The appellants seek leave to </w:t>
      </w:r>
      <w:r w:rsidR="00704351">
        <w:t xml:space="preserve">appeal from the costs judgment.  </w:t>
      </w:r>
      <w:r w:rsidR="00704351" w:rsidRPr="00704351">
        <w:t>They contend that the primary judge erred in finding that the 2019 Offer satisfied r</w:t>
      </w:r>
      <w:r w:rsidR="00704351">
        <w:t xml:space="preserve"> 25.14(3).  </w:t>
      </w:r>
      <w:r w:rsidR="00704351" w:rsidRPr="00704351">
        <w:t>They contend that the respondent did not obtain a judgment more favourable</w:t>
      </w:r>
      <w:r w:rsidR="009B7FD4">
        <w:t xml:space="preserve"> than the terms of that offer. </w:t>
      </w:r>
    </w:p>
    <w:p w14:paraId="24A1C548" w14:textId="29648637" w:rsidR="00704351" w:rsidRPr="00704351" w:rsidRDefault="00BC7D85" w:rsidP="00BC7D85">
      <w:pPr>
        <w:pStyle w:val="ParaNumbering"/>
        <w:numPr>
          <w:ilvl w:val="0"/>
          <w:numId w:val="0"/>
        </w:numPr>
        <w:ind w:hanging="720"/>
      </w:pPr>
      <w:r w:rsidRPr="00704351">
        <w:rPr>
          <w:sz w:val="20"/>
        </w:rPr>
        <w:t>312</w:t>
      </w:r>
      <w:r w:rsidRPr="00704351">
        <w:rPr>
          <w:sz w:val="20"/>
        </w:rPr>
        <w:tab/>
      </w:r>
      <w:r w:rsidR="00704351" w:rsidRPr="00704351">
        <w:t>T</w:t>
      </w:r>
      <w:r w:rsidR="00704351">
        <w:t>he appellants focus on clause</w:t>
      </w:r>
      <w:r w:rsidR="00313CB5">
        <w:t>s</w:t>
      </w:r>
      <w:r w:rsidR="00704351">
        <w:t xml:space="preserve"> 1(a)(iv) and 2</w:t>
      </w:r>
      <w:r w:rsidR="00704351" w:rsidRPr="00704351">
        <w:t>(d) of the 2019 Offer which, if accepted, would have restrained them from using 1300HENLEY as a trade mark, except for a limited period (on co</w:t>
      </w:r>
      <w:r w:rsidR="00704351">
        <w:t xml:space="preserve">nditions).  </w:t>
      </w:r>
      <w:r w:rsidR="00704351" w:rsidRPr="00704351">
        <w:t>They point to the fact that the prim</w:t>
      </w:r>
      <w:r w:rsidR="00704351">
        <w:t>ary judge did not find that use</w:t>
      </w:r>
      <w:r w:rsidR="00704351" w:rsidRPr="00704351">
        <w:t xml:space="preserve"> by Henley Constructions of 1300HENLEY was </w:t>
      </w:r>
      <w:proofErr w:type="gramStart"/>
      <w:r w:rsidR="00704351" w:rsidRPr="00704351">
        <w:t>trade mark</w:t>
      </w:r>
      <w:proofErr w:type="gramEnd"/>
      <w:r w:rsidR="00704351" w:rsidRPr="00704351">
        <w:t xml:space="preserve"> use. They contend that this result, in their favour, was not a “minor” </w:t>
      </w:r>
      <w:proofErr w:type="gramStart"/>
      <w:r w:rsidR="00704351" w:rsidRPr="00704351">
        <w:t>matter which</w:t>
      </w:r>
      <w:proofErr w:type="gramEnd"/>
      <w:r w:rsidR="00704351" w:rsidRPr="00704351">
        <w:t xml:space="preserve"> could be put to one side in the primary judge’s consideration of r</w:t>
      </w:r>
      <w:r w:rsidR="00704351">
        <w:t xml:space="preserve"> 25.14</w:t>
      </w:r>
      <w:r w:rsidR="00704351" w:rsidRPr="00704351">
        <w:t xml:space="preserve">(3). The appellants submit that the respondent has the onus of </w:t>
      </w:r>
      <w:r w:rsidR="00704351" w:rsidRPr="00704351">
        <w:lastRenderedPageBreak/>
        <w:t>establishing that the judgment it obtained was more favourable than the 2019 Offer, and that the respondent had not discharged that onus.</w:t>
      </w:r>
    </w:p>
    <w:p w14:paraId="6D1A1A2B" w14:textId="7946BA43" w:rsidR="00704351" w:rsidRPr="00704351" w:rsidRDefault="00BC7D85" w:rsidP="00BC7D85">
      <w:pPr>
        <w:pStyle w:val="ParaNumbering"/>
        <w:numPr>
          <w:ilvl w:val="0"/>
          <w:numId w:val="0"/>
        </w:numPr>
        <w:ind w:hanging="720"/>
      </w:pPr>
      <w:r w:rsidRPr="00704351">
        <w:rPr>
          <w:sz w:val="20"/>
        </w:rPr>
        <w:t>313</w:t>
      </w:r>
      <w:r w:rsidRPr="00704351">
        <w:rPr>
          <w:sz w:val="20"/>
        </w:rPr>
        <w:tab/>
      </w:r>
      <w:r w:rsidR="00704351" w:rsidRPr="00704351">
        <w:t xml:space="preserve">We </w:t>
      </w:r>
      <w:proofErr w:type="gramStart"/>
      <w:r w:rsidR="00704351" w:rsidRPr="00704351">
        <w:t>are far from persuaded</w:t>
      </w:r>
      <w:proofErr w:type="gramEnd"/>
      <w:r w:rsidR="00704351" w:rsidRPr="00704351">
        <w:t xml:space="preserve"> that the primary judge erred in his assessment of the 2019 Offer and whether the respondent obtained judgment that was more favourable than that offer. </w:t>
      </w:r>
      <w:proofErr w:type="gramStart"/>
      <w:r w:rsidR="00704351" w:rsidRPr="00704351">
        <w:t>Be that as it may</w:t>
      </w:r>
      <w:proofErr w:type="gramEnd"/>
      <w:r w:rsidR="00704351" w:rsidRPr="00704351">
        <w:t>, we have found that the primary judge erred in not finding that Henley Constructions’ use of 1300HENLEY was an infringem</w:t>
      </w:r>
      <w:r w:rsidR="00704351">
        <w:t xml:space="preserve">ent of, at least, the 820 mark.  </w:t>
      </w:r>
      <w:r w:rsidR="00704351" w:rsidRPr="00704351">
        <w:t xml:space="preserve">We </w:t>
      </w:r>
      <w:proofErr w:type="gramStart"/>
      <w:r w:rsidR="00704351" w:rsidRPr="00704351">
        <w:t>would not, therefore, interfere</w:t>
      </w:r>
      <w:proofErr w:type="gramEnd"/>
      <w:r w:rsidR="00704351" w:rsidRPr="00704351">
        <w:t xml:space="preserve"> with the primary judge’s findings on the question of costs.</w:t>
      </w:r>
    </w:p>
    <w:p w14:paraId="1D6ADA9C" w14:textId="44F800E2" w:rsidR="00704351" w:rsidRPr="00704351" w:rsidRDefault="00BC7D85" w:rsidP="00BC7D85">
      <w:pPr>
        <w:pStyle w:val="ParaNumbering"/>
        <w:numPr>
          <w:ilvl w:val="0"/>
          <w:numId w:val="0"/>
        </w:numPr>
        <w:ind w:hanging="720"/>
      </w:pPr>
      <w:r w:rsidRPr="00704351">
        <w:rPr>
          <w:sz w:val="20"/>
        </w:rPr>
        <w:t>314</w:t>
      </w:r>
      <w:r w:rsidRPr="00704351">
        <w:rPr>
          <w:sz w:val="20"/>
        </w:rPr>
        <w:tab/>
      </w:r>
      <w:r w:rsidR="00704351" w:rsidRPr="00704351">
        <w:t>In the circumstances, we would not grant leave to the appellants to appeal from the costs judgment.</w:t>
      </w:r>
    </w:p>
    <w:p w14:paraId="2751573C" w14:textId="35D7FBE4" w:rsidR="00704351" w:rsidRPr="00704351" w:rsidRDefault="00BC7D85" w:rsidP="00704351">
      <w:pPr>
        <w:pStyle w:val="Heading1"/>
      </w:pPr>
      <w:bookmarkStart w:id="54" w:name="_Ref133418111"/>
      <w:r>
        <w:rPr>
          <w:caps w:val="0"/>
        </w:rPr>
        <w:t>CONCLUSION</w:t>
      </w:r>
      <w:bookmarkEnd w:id="54"/>
      <w:r>
        <w:rPr>
          <w:caps w:val="0"/>
        </w:rPr>
        <w:t xml:space="preserve"> </w:t>
      </w:r>
    </w:p>
    <w:p w14:paraId="768C53FD" w14:textId="3B5B9F38" w:rsidR="00704351" w:rsidRPr="00704351" w:rsidRDefault="00BC7D85" w:rsidP="00BC7D85">
      <w:pPr>
        <w:pStyle w:val="ParaNumbering"/>
        <w:numPr>
          <w:ilvl w:val="0"/>
          <w:numId w:val="0"/>
        </w:numPr>
        <w:ind w:hanging="720"/>
      </w:pPr>
      <w:r w:rsidRPr="00704351">
        <w:rPr>
          <w:sz w:val="20"/>
        </w:rPr>
        <w:t>315</w:t>
      </w:r>
      <w:r w:rsidRPr="00704351">
        <w:rPr>
          <w:sz w:val="20"/>
        </w:rPr>
        <w:tab/>
      </w:r>
      <w:r w:rsidR="00704351" w:rsidRPr="00704351">
        <w:t xml:space="preserve">We have found that the appeal succeeds in part. We have </w:t>
      </w:r>
      <w:r w:rsidR="00ED426C">
        <w:t xml:space="preserve">also </w:t>
      </w:r>
      <w:r w:rsidR="00704351" w:rsidRPr="00704351">
        <w:t>found that the cross-appeal succeeds.</w:t>
      </w:r>
    </w:p>
    <w:p w14:paraId="007EFDC9" w14:textId="453C74DA" w:rsidR="00704351" w:rsidRPr="00704351" w:rsidRDefault="00BC7D85" w:rsidP="00BC7D85">
      <w:pPr>
        <w:pStyle w:val="ParaNumbering"/>
        <w:numPr>
          <w:ilvl w:val="0"/>
          <w:numId w:val="0"/>
        </w:numPr>
        <w:ind w:hanging="720"/>
      </w:pPr>
      <w:r w:rsidRPr="00704351">
        <w:rPr>
          <w:sz w:val="20"/>
        </w:rPr>
        <w:t>316</w:t>
      </w:r>
      <w:r w:rsidRPr="00704351">
        <w:rPr>
          <w:sz w:val="20"/>
        </w:rPr>
        <w:tab/>
      </w:r>
      <w:r w:rsidR="00704351">
        <w:t>The parties should now bring</w:t>
      </w:r>
      <w:r w:rsidR="00704351" w:rsidRPr="00704351">
        <w:t xml:space="preserve"> agreed orders giving effect to these reasons. We see no reason why the appellants should not bear the respondent’s costs of the appeal, the cross-appeal, and the appellants</w:t>
      </w:r>
      <w:r w:rsidR="00D17498">
        <w:t>’</w:t>
      </w:r>
      <w:r w:rsidR="00704351" w:rsidRPr="00704351">
        <w:t xml:space="preserve"> application for leave to appeal from the costs judgment.</w:t>
      </w:r>
    </w:p>
    <w:p w14:paraId="22DAB8A6" w14:textId="29693C56" w:rsidR="003A5B38" w:rsidRDefault="00BC7D85" w:rsidP="00BC7D85">
      <w:pPr>
        <w:pStyle w:val="ParaNumbering"/>
        <w:numPr>
          <w:ilvl w:val="0"/>
          <w:numId w:val="0"/>
        </w:numPr>
        <w:ind w:hanging="720"/>
      </w:pPr>
      <w:r>
        <w:rPr>
          <w:sz w:val="20"/>
        </w:rPr>
        <w:t>317</w:t>
      </w:r>
      <w:r>
        <w:rPr>
          <w:sz w:val="20"/>
        </w:rPr>
        <w:tab/>
      </w:r>
      <w:r w:rsidR="00704351" w:rsidRPr="00704351">
        <w:t xml:space="preserve">If the parties cannot agree on the orders to be made, they should serve on each other a draft of the </w:t>
      </w:r>
      <w:proofErr w:type="gramStart"/>
      <w:r w:rsidR="00704351" w:rsidRPr="00704351">
        <w:t>orders which</w:t>
      </w:r>
      <w:proofErr w:type="gramEnd"/>
      <w:r w:rsidR="00704351" w:rsidRPr="00704351">
        <w:t xml:space="preserve"> they propose</w:t>
      </w:r>
      <w:r w:rsidR="00D17498">
        <w:t>,</w:t>
      </w:r>
      <w:r w:rsidR="00704351" w:rsidRPr="00704351">
        <w:t xml:space="preserve"> supported by written submissions not exceeding three pages, within 10 days of the date of the appeal judgment. They should serve, within a further 7 days, any responding submissions, </w:t>
      </w:r>
      <w:proofErr w:type="gramStart"/>
      <w:r w:rsidR="00704351" w:rsidRPr="00704351">
        <w:t>not</w:t>
      </w:r>
      <w:proofErr w:type="gramEnd"/>
      <w:r w:rsidR="00704351" w:rsidRPr="00704351">
        <w:t xml:space="preserve"> exceeding two pages. Copies of the draft orders and the supporting and responding submissions are to </w:t>
      </w:r>
      <w:proofErr w:type="gramStart"/>
      <w:r w:rsidR="00704351" w:rsidRPr="00704351">
        <w:t>be provided</w:t>
      </w:r>
      <w:proofErr w:type="gramEnd"/>
      <w:r w:rsidR="00704351" w:rsidRPr="00704351">
        <w:t xml:space="preserve"> to the Full Court. Subject to further order, the question of the orders to </w:t>
      </w:r>
      <w:proofErr w:type="gramStart"/>
      <w:r w:rsidR="00704351" w:rsidRPr="00704351">
        <w:t>be made</w:t>
      </w:r>
      <w:proofErr w:type="gramEnd"/>
      <w:r w:rsidR="00704351" w:rsidRPr="00704351">
        <w:t xml:space="preserve"> on appeal will be determined on the papers.</w:t>
      </w:r>
    </w:p>
    <w:p w14:paraId="1CE4254B" w14:textId="77777777" w:rsidR="00512DD7" w:rsidRDefault="00512DD7" w:rsidP="00960C11">
      <w:pPr>
        <w:pStyle w:val="BodyText"/>
      </w:pPr>
      <w:bookmarkStart w:id="55" w:name="Certification"/>
    </w:p>
    <w:tbl>
      <w:tblPr>
        <w:tblW w:w="0" w:type="auto"/>
        <w:tblLook w:val="04A0" w:firstRow="1" w:lastRow="0" w:firstColumn="1" w:lastColumn="0" w:noHBand="0" w:noVBand="1"/>
      </w:tblPr>
      <w:tblGrid>
        <w:gridCol w:w="3794"/>
      </w:tblGrid>
      <w:tr w:rsidR="00512DD7" w:rsidRPr="001A77E9" w14:paraId="3E4815B3" w14:textId="77777777">
        <w:tc>
          <w:tcPr>
            <w:tcW w:w="3794" w:type="dxa"/>
            <w:shd w:val="clear" w:color="auto" w:fill="auto"/>
          </w:tcPr>
          <w:p w14:paraId="77777ECA" w14:textId="2AE4E18D" w:rsidR="00512DD7" w:rsidRPr="00512DD7" w:rsidRDefault="00512DD7" w:rsidP="0089281B">
            <w:pPr>
              <w:pStyle w:val="Normal1linespace"/>
            </w:pPr>
            <w:r w:rsidRPr="00512DD7">
              <w:t xml:space="preserve">I certify that the preceding </w:t>
            </w:r>
            <w:bookmarkStart w:id="56" w:name="NumberWord"/>
            <w:r>
              <w:t>three hundred and seventeen</w:t>
            </w:r>
            <w:bookmarkEnd w:id="56"/>
            <w:r w:rsidRPr="00512DD7">
              <w:t xml:space="preserve"> (</w:t>
            </w:r>
            <w:bookmarkStart w:id="57" w:name="NumberNumeral"/>
            <w:r>
              <w:t>317</w:t>
            </w:r>
            <w:bookmarkEnd w:id="57"/>
            <w:r w:rsidRPr="00512DD7">
              <w:t xml:space="preserve">) numbered </w:t>
            </w:r>
            <w:bookmarkStart w:id="58" w:name="CertPara"/>
            <w:r>
              <w:t>paragraphs are</w:t>
            </w:r>
            <w:bookmarkEnd w:id="58"/>
            <w:r w:rsidRPr="00512DD7">
              <w:t xml:space="preserve"> a true copy of the Reasons for Judgment of </w:t>
            </w:r>
            <w:bookmarkStart w:id="59" w:name="bkHonourable"/>
            <w:r w:rsidRPr="00512DD7">
              <w:t xml:space="preserve">the Honourable </w:t>
            </w:r>
            <w:bookmarkStart w:id="60" w:name="Justice"/>
            <w:bookmarkEnd w:id="59"/>
            <w:r>
              <w:t xml:space="preserve">Justices Yates, </w:t>
            </w:r>
            <w:proofErr w:type="spellStart"/>
            <w:r>
              <w:t>Rof</w:t>
            </w:r>
            <w:r w:rsidR="0089281B">
              <w:t>e</w:t>
            </w:r>
            <w:proofErr w:type="spellEnd"/>
            <w:r w:rsidR="0089281B">
              <w:t xml:space="preserve"> and McElwain</w:t>
            </w:r>
            <w:r>
              <w:t>e</w:t>
            </w:r>
            <w:bookmarkEnd w:id="60"/>
            <w:r w:rsidRPr="00512DD7">
              <w:t>.</w:t>
            </w:r>
          </w:p>
        </w:tc>
      </w:tr>
    </w:tbl>
    <w:p w14:paraId="050FC4D7" w14:textId="77777777" w:rsidR="00512DD7" w:rsidRDefault="00512DD7" w:rsidP="00960C11">
      <w:pPr>
        <w:pStyle w:val="BodyText"/>
      </w:pPr>
    </w:p>
    <w:p w14:paraId="48FF111F" w14:textId="314746C2" w:rsidR="00512DD7" w:rsidRDefault="00512DD7" w:rsidP="00960C11">
      <w:pPr>
        <w:pStyle w:val="BodyText"/>
      </w:pPr>
      <w:r>
        <w:t>Associate:</w:t>
      </w:r>
      <w:r w:rsidR="001A77E9">
        <w:t xml:space="preserve"> </w:t>
      </w:r>
    </w:p>
    <w:p w14:paraId="1B1BCA61" w14:textId="3CACAD9E" w:rsidR="00512DD7" w:rsidRDefault="00512DD7" w:rsidP="000B42F8">
      <w:pPr>
        <w:pStyle w:val="BodyText"/>
        <w:tabs>
          <w:tab w:val="left" w:pos="1134"/>
        </w:tabs>
      </w:pPr>
      <w:r>
        <w:t>Dated:</w:t>
      </w:r>
      <w:r>
        <w:tab/>
      </w:r>
      <w:bookmarkStart w:id="61" w:name="CertifyDated"/>
      <w:r w:rsidR="006747ED">
        <w:t>28</w:t>
      </w:r>
      <w:r>
        <w:t xml:space="preserve"> </w:t>
      </w:r>
      <w:r w:rsidR="006747ED">
        <w:t xml:space="preserve">April </w:t>
      </w:r>
      <w:r>
        <w:t>20</w:t>
      </w:r>
      <w:r w:rsidR="00B51D63">
        <w:t>23</w:t>
      </w:r>
      <w:bookmarkStart w:id="62" w:name="_GoBack"/>
      <w:bookmarkEnd w:id="61"/>
      <w:bookmarkEnd w:id="62"/>
    </w:p>
    <w:p w14:paraId="304BDA3F" w14:textId="55B02681" w:rsidR="008578FF" w:rsidRDefault="00BC7D85" w:rsidP="006257E4">
      <w:pPr>
        <w:pStyle w:val="Heading1"/>
        <w:jc w:val="center"/>
      </w:pPr>
      <w:bookmarkStart w:id="63" w:name="_Ref133418112"/>
      <w:bookmarkEnd w:id="55"/>
      <w:r>
        <w:rPr>
          <w:caps w:val="0"/>
        </w:rPr>
        <w:lastRenderedPageBreak/>
        <w:t>SCHEDULE</w:t>
      </w:r>
      <w:bookmarkEnd w:id="63"/>
      <w:r>
        <w:rPr>
          <w:caps w:val="0"/>
        </w:rPr>
        <w:t xml:space="preserve"> A</w:t>
      </w:r>
    </w:p>
    <w:p w14:paraId="6C1BCEEB" w14:textId="77777777" w:rsidR="000B42F8" w:rsidRPr="000B42F8" w:rsidRDefault="000B42F8" w:rsidP="000B42F8">
      <w:pPr>
        <w:spacing w:before="180" w:after="180"/>
        <w:rPr>
          <w:b/>
        </w:rPr>
      </w:pPr>
    </w:p>
    <w:tbl>
      <w:tblPr>
        <w:tblStyle w:val="TableGrid"/>
        <w:tblW w:w="9918" w:type="dxa"/>
        <w:tblLayout w:type="fixed"/>
        <w:tblLook w:val="04A0" w:firstRow="1" w:lastRow="0" w:firstColumn="1" w:lastColumn="0" w:noHBand="0" w:noVBand="1"/>
      </w:tblPr>
      <w:tblGrid>
        <w:gridCol w:w="670"/>
        <w:gridCol w:w="1272"/>
        <w:gridCol w:w="2306"/>
        <w:gridCol w:w="2728"/>
        <w:gridCol w:w="2942"/>
      </w:tblGrid>
      <w:tr w:rsidR="000B42F8" w:rsidRPr="000B42F8" w14:paraId="0C1F4F11" w14:textId="77777777" w:rsidTr="000B42F8">
        <w:trPr>
          <w:cantSplit/>
          <w:tblHeader/>
        </w:trPr>
        <w:tc>
          <w:tcPr>
            <w:tcW w:w="670" w:type="dxa"/>
            <w:tcBorders>
              <w:top w:val="single" w:sz="4" w:space="0" w:color="000000"/>
              <w:left w:val="single" w:sz="4" w:space="0" w:color="000000"/>
              <w:bottom w:val="single" w:sz="4" w:space="0" w:color="auto"/>
              <w:right w:val="single" w:sz="4" w:space="0" w:color="000000"/>
            </w:tcBorders>
            <w:shd w:val="clear" w:color="auto" w:fill="auto"/>
            <w:hideMark/>
          </w:tcPr>
          <w:p w14:paraId="01DDEC9C" w14:textId="77777777" w:rsidR="000B42F8" w:rsidRPr="000B42F8" w:rsidRDefault="000B42F8" w:rsidP="000B42F8">
            <w:pPr>
              <w:widowControl/>
              <w:tabs>
                <w:tab w:val="left" w:pos="2552"/>
                <w:tab w:val="center" w:pos="4677"/>
              </w:tabs>
              <w:spacing w:before="60" w:after="60"/>
              <w:jc w:val="left"/>
              <w:rPr>
                <w:b/>
                <w:sz w:val="20"/>
              </w:rPr>
            </w:pPr>
            <w:r w:rsidRPr="000B42F8">
              <w:rPr>
                <w:b/>
                <w:sz w:val="20"/>
              </w:rPr>
              <w:t>Ref</w:t>
            </w:r>
          </w:p>
        </w:tc>
        <w:tc>
          <w:tcPr>
            <w:tcW w:w="1272" w:type="dxa"/>
            <w:tcBorders>
              <w:top w:val="single" w:sz="4" w:space="0" w:color="000000"/>
              <w:left w:val="single" w:sz="4" w:space="0" w:color="000000"/>
              <w:bottom w:val="single" w:sz="4" w:space="0" w:color="auto"/>
              <w:right w:val="single" w:sz="4" w:space="0" w:color="000000"/>
            </w:tcBorders>
            <w:shd w:val="clear" w:color="auto" w:fill="auto"/>
            <w:hideMark/>
          </w:tcPr>
          <w:p w14:paraId="39CACB0E" w14:textId="77777777" w:rsidR="000B42F8" w:rsidRPr="000B42F8" w:rsidRDefault="000B42F8" w:rsidP="000B42F8">
            <w:pPr>
              <w:widowControl/>
              <w:tabs>
                <w:tab w:val="left" w:pos="2552"/>
                <w:tab w:val="center" w:pos="4677"/>
              </w:tabs>
              <w:spacing w:before="60" w:after="60"/>
              <w:jc w:val="left"/>
              <w:rPr>
                <w:b/>
                <w:sz w:val="20"/>
              </w:rPr>
            </w:pPr>
            <w:r w:rsidRPr="000B42F8">
              <w:rPr>
                <w:b/>
                <w:sz w:val="20"/>
              </w:rPr>
              <w:t>Dates of use</w:t>
            </w:r>
          </w:p>
        </w:tc>
        <w:tc>
          <w:tcPr>
            <w:tcW w:w="2306" w:type="dxa"/>
            <w:tcBorders>
              <w:top w:val="single" w:sz="4" w:space="0" w:color="000000"/>
              <w:left w:val="single" w:sz="4" w:space="0" w:color="000000"/>
              <w:bottom w:val="single" w:sz="4" w:space="0" w:color="auto"/>
              <w:right w:val="single" w:sz="4" w:space="0" w:color="000000"/>
            </w:tcBorders>
            <w:shd w:val="clear" w:color="auto" w:fill="auto"/>
            <w:hideMark/>
          </w:tcPr>
          <w:p w14:paraId="33DC9C46" w14:textId="77777777" w:rsidR="000B42F8" w:rsidRPr="000B42F8" w:rsidRDefault="000B42F8" w:rsidP="000B42F8">
            <w:pPr>
              <w:widowControl/>
              <w:tabs>
                <w:tab w:val="left" w:pos="2552"/>
                <w:tab w:val="center" w:pos="4677"/>
              </w:tabs>
              <w:spacing w:before="60" w:after="60"/>
              <w:jc w:val="left"/>
              <w:rPr>
                <w:b/>
                <w:sz w:val="20"/>
              </w:rPr>
            </w:pPr>
            <w:r w:rsidRPr="000B42F8">
              <w:rPr>
                <w:b/>
                <w:sz w:val="20"/>
              </w:rPr>
              <w:t>Instances of use</w:t>
            </w:r>
          </w:p>
        </w:tc>
        <w:tc>
          <w:tcPr>
            <w:tcW w:w="2728" w:type="dxa"/>
            <w:tcBorders>
              <w:top w:val="single" w:sz="4" w:space="0" w:color="000000"/>
              <w:left w:val="single" w:sz="4" w:space="0" w:color="000000"/>
              <w:bottom w:val="single" w:sz="4" w:space="0" w:color="auto"/>
              <w:right w:val="single" w:sz="4" w:space="0" w:color="000000"/>
            </w:tcBorders>
            <w:shd w:val="clear" w:color="auto" w:fill="auto"/>
            <w:hideMark/>
          </w:tcPr>
          <w:p w14:paraId="3163FF26" w14:textId="77777777" w:rsidR="000B42F8" w:rsidRPr="000B42F8" w:rsidRDefault="000B42F8" w:rsidP="000B42F8">
            <w:pPr>
              <w:widowControl/>
              <w:tabs>
                <w:tab w:val="left" w:pos="2552"/>
                <w:tab w:val="center" w:pos="4677"/>
              </w:tabs>
              <w:spacing w:before="60" w:after="60"/>
              <w:jc w:val="left"/>
              <w:rPr>
                <w:b/>
                <w:sz w:val="20"/>
              </w:rPr>
            </w:pPr>
            <w:r w:rsidRPr="000B42F8">
              <w:rPr>
                <w:b/>
                <w:sz w:val="20"/>
              </w:rPr>
              <w:t>Services</w:t>
            </w:r>
          </w:p>
        </w:tc>
        <w:tc>
          <w:tcPr>
            <w:tcW w:w="2942" w:type="dxa"/>
            <w:tcBorders>
              <w:top w:val="single" w:sz="4" w:space="0" w:color="000000"/>
              <w:left w:val="single" w:sz="4" w:space="0" w:color="000000"/>
              <w:bottom w:val="single" w:sz="4" w:space="0" w:color="auto"/>
              <w:right w:val="single" w:sz="4" w:space="0" w:color="000000"/>
            </w:tcBorders>
            <w:shd w:val="clear" w:color="auto" w:fill="auto"/>
            <w:hideMark/>
          </w:tcPr>
          <w:p w14:paraId="644026D9" w14:textId="77777777" w:rsidR="000B42F8" w:rsidRPr="000B42F8" w:rsidRDefault="000B42F8" w:rsidP="000B42F8">
            <w:pPr>
              <w:widowControl/>
              <w:tabs>
                <w:tab w:val="left" w:pos="2552"/>
                <w:tab w:val="center" w:pos="4677"/>
              </w:tabs>
              <w:spacing w:before="60" w:after="60"/>
              <w:jc w:val="left"/>
              <w:rPr>
                <w:b/>
                <w:sz w:val="20"/>
              </w:rPr>
            </w:pPr>
            <w:r w:rsidRPr="000B42F8">
              <w:rPr>
                <w:b/>
                <w:sz w:val="20"/>
              </w:rPr>
              <w:t>Evidence reference</w:t>
            </w:r>
          </w:p>
        </w:tc>
      </w:tr>
      <w:tr w:rsidR="000B42F8" w:rsidRPr="000B42F8" w14:paraId="39474808"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828F8CC" w14:textId="77777777" w:rsidR="000B42F8" w:rsidRPr="000B42F8" w:rsidRDefault="000B42F8" w:rsidP="000B42F8">
            <w:pPr>
              <w:widowControl/>
              <w:tabs>
                <w:tab w:val="left" w:pos="2552"/>
                <w:tab w:val="center" w:pos="4677"/>
              </w:tabs>
              <w:spacing w:before="60" w:after="60"/>
              <w:jc w:val="left"/>
              <w:rPr>
                <w:b/>
                <w:bCs/>
                <w:noProof/>
                <w:sz w:val="20"/>
              </w:rPr>
            </w:pPr>
            <w:r w:rsidRPr="000B42F8">
              <w:rPr>
                <w:b/>
                <w:bCs/>
                <w:noProof/>
                <w:sz w:val="20"/>
              </w:rPr>
              <w:t>A.</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46DD77BC" w14:textId="77777777" w:rsidR="000B42F8" w:rsidRPr="000B42F8" w:rsidRDefault="000B42F8" w:rsidP="000B42F8">
            <w:pPr>
              <w:widowControl/>
              <w:tabs>
                <w:tab w:val="left" w:pos="2552"/>
                <w:tab w:val="center" w:pos="4677"/>
              </w:tabs>
              <w:spacing w:before="60" w:after="60"/>
              <w:jc w:val="left"/>
              <w:rPr>
                <w:b/>
                <w:sz w:val="20"/>
              </w:rPr>
            </w:pPr>
            <w:r w:rsidRPr="000B42F8">
              <w:rPr>
                <w:b/>
                <w:bCs/>
                <w:noProof/>
                <w:sz w:val="20"/>
              </w:rPr>
              <w:t xml:space="preserve"> </w:t>
            </w:r>
            <w:r w:rsidRPr="000B42F8">
              <w:rPr>
                <w:rFonts w:eastAsia="Times New Roman"/>
                <w:b/>
                <w:noProof/>
                <w:sz w:val="20"/>
                <w:lang w:eastAsia="en-AU"/>
              </w:rPr>
              <w:drawing>
                <wp:inline distT="0" distB="0" distL="0" distR="0" wp14:anchorId="5DC1D9AE" wp14:editId="70C8D4A1">
                  <wp:extent cx="2193774" cy="490119"/>
                  <wp:effectExtent l="0" t="0" r="0" b="5715"/>
                  <wp:docPr id="100" name="Picture 100" descr="C:\Users\rallen\Desktop\JPEG HENLEY\Captur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rallen\Desktop\JPEG HENLEY\Capture2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63510" cy="505699"/>
                          </a:xfrm>
                          <a:prstGeom prst="rect">
                            <a:avLst/>
                          </a:prstGeom>
                          <a:noFill/>
                          <a:ln>
                            <a:noFill/>
                          </a:ln>
                        </pic:spPr>
                      </pic:pic>
                    </a:graphicData>
                  </a:graphic>
                </wp:inline>
              </w:drawing>
            </w:r>
            <w:r w:rsidRPr="000B42F8">
              <w:rPr>
                <w:noProof/>
                <w:sz w:val="20"/>
              </w:rPr>
              <w:t xml:space="preserve"> (</w:t>
            </w:r>
            <w:r w:rsidRPr="000B42F8">
              <w:rPr>
                <w:b/>
                <w:bCs/>
                <w:noProof/>
                <w:sz w:val="20"/>
              </w:rPr>
              <w:t>first Henley Constructions logo</w:t>
            </w:r>
            <w:r w:rsidRPr="000B42F8">
              <w:rPr>
                <w:noProof/>
                <w:sz w:val="20"/>
              </w:rPr>
              <w:t>)</w:t>
            </w:r>
            <w:r w:rsidRPr="000B42F8">
              <w:rPr>
                <w:noProof/>
                <w:sz w:val="20"/>
              </w:rPr>
              <w:tab/>
            </w:r>
            <w:r w:rsidRPr="000B42F8">
              <w:rPr>
                <w:noProof/>
                <w:sz w:val="20"/>
              </w:rPr>
              <w:tab/>
            </w:r>
            <w:r w:rsidRPr="000B42F8">
              <w:rPr>
                <w:noProof/>
                <w:sz w:val="20"/>
              </w:rPr>
              <w:tab/>
            </w:r>
            <w:r w:rsidRPr="000B42F8">
              <w:rPr>
                <w:noProof/>
                <w:sz w:val="20"/>
              </w:rPr>
              <w:tab/>
            </w:r>
          </w:p>
        </w:tc>
      </w:tr>
      <w:tr w:rsidR="000B42F8" w:rsidRPr="000B42F8" w14:paraId="6D0A85A2"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EA3217C" w14:textId="77777777" w:rsidR="000B42F8" w:rsidRPr="000B42F8" w:rsidRDefault="000B42F8" w:rsidP="000B42F8">
            <w:pPr>
              <w:widowControl/>
              <w:tabs>
                <w:tab w:val="left" w:pos="2552"/>
                <w:tab w:val="center" w:pos="4677"/>
              </w:tabs>
              <w:spacing w:before="60" w:after="60"/>
              <w:jc w:val="left"/>
              <w:rPr>
                <w:sz w:val="20"/>
              </w:rPr>
            </w:pPr>
            <w:r w:rsidRPr="000B42F8">
              <w:rPr>
                <w:sz w:val="20"/>
              </w:rPr>
              <w:t>A.1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348964B" w14:textId="77777777" w:rsidR="000B42F8" w:rsidRPr="000B42F8" w:rsidRDefault="000B42F8" w:rsidP="000B42F8">
            <w:pPr>
              <w:widowControl/>
              <w:tabs>
                <w:tab w:val="left" w:pos="2552"/>
                <w:tab w:val="center" w:pos="4677"/>
              </w:tabs>
              <w:spacing w:before="60" w:after="60"/>
              <w:jc w:val="left"/>
              <w:rPr>
                <w:sz w:val="20"/>
              </w:rPr>
            </w:pPr>
            <w:r w:rsidRPr="000B42F8">
              <w:rPr>
                <w:sz w:val="20"/>
              </w:rPr>
              <w:t>November 2009 to about February 2015</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22BAAC04" w14:textId="0FDBC784" w:rsidR="000B42F8" w:rsidRPr="000B42F8" w:rsidRDefault="000B42F8" w:rsidP="000B42F8">
            <w:pPr>
              <w:widowControl/>
              <w:tabs>
                <w:tab w:val="left" w:pos="2552"/>
                <w:tab w:val="center" w:pos="4677"/>
              </w:tabs>
              <w:spacing w:before="60" w:after="60"/>
              <w:jc w:val="left"/>
              <w:rPr>
                <w:b/>
                <w:sz w:val="20"/>
              </w:rPr>
            </w:pPr>
            <w:r w:rsidRPr="000B42F8">
              <w:rPr>
                <w:sz w:val="20"/>
              </w:rPr>
              <w:t xml:space="preserve">On website at </w:t>
            </w:r>
            <w:r w:rsidRPr="000B42F8">
              <w:rPr>
                <w:color w:val="0000FF"/>
                <w:sz w:val="20"/>
                <w:u w:val="single"/>
              </w:rPr>
              <w:t>www.henleyconstructions.com.au</w:t>
            </w:r>
            <w:r w:rsidRPr="000B42F8">
              <w:rPr>
                <w:sz w:val="20"/>
              </w:rPr>
              <w:t xml:space="preserve"> (the </w:t>
            </w:r>
            <w:r w:rsidRPr="000B42F8">
              <w:rPr>
                <w:b/>
                <w:bCs/>
                <w:sz w:val="20"/>
              </w:rPr>
              <w:t>Henley Constructions Website</w:t>
            </w:r>
            <w:r w:rsidRPr="000B42F8">
              <w:rPr>
                <w:sz w:val="20"/>
              </w:rPr>
              <w:t>)</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6E65D716" w14:textId="77777777" w:rsidR="000B42F8" w:rsidRPr="000B42F8" w:rsidRDefault="000B42F8" w:rsidP="000B42F8">
            <w:pPr>
              <w:widowControl/>
              <w:tabs>
                <w:tab w:val="left" w:pos="2552"/>
                <w:tab w:val="center" w:pos="4677"/>
              </w:tabs>
              <w:spacing w:before="60" w:after="60"/>
              <w:jc w:val="left"/>
              <w:rPr>
                <w:b/>
                <w:sz w:val="20"/>
              </w:rPr>
            </w:pPr>
            <w:r w:rsidRPr="000B42F8">
              <w:rPr>
                <w:sz w:val="20"/>
              </w:rPr>
              <w:t>Building and construction services for “small interior renovations” up to “large apartment blocks” with depictions of terraces, townhouses, two and three storey multi-dwelling residential apartment blocks and commercial buildings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3F96BB0"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JML-13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1555-1560 [Henley Constructions admitted accurately depict, in response to paragraph 35 of the First Notice to Admit, see paragraph 9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22A53327" w14:textId="77777777" w:rsidR="000B42F8" w:rsidRPr="000B42F8" w:rsidRDefault="000B42F8" w:rsidP="000B42F8">
            <w:pPr>
              <w:widowControl/>
              <w:spacing w:before="240" w:after="120"/>
              <w:jc w:val="left"/>
              <w:rPr>
                <w:rFonts w:asciiTheme="majorBidi" w:hAnsiTheme="majorBidi" w:cstheme="majorBidi"/>
                <w:sz w:val="20"/>
                <w:lang w:val="es-ES" w:eastAsia="zh-CN"/>
              </w:rPr>
            </w:pPr>
            <w:r w:rsidRPr="000B42F8">
              <w:rPr>
                <w:rFonts w:asciiTheme="majorBidi" w:hAnsiTheme="majorBidi" w:cstheme="majorBidi"/>
                <w:sz w:val="20"/>
                <w:lang w:val="es-ES" w:eastAsia="zh-CN"/>
              </w:rPr>
              <w:t>Ex A18</w:t>
            </w:r>
          </w:p>
          <w:p w14:paraId="36A82E71"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2A5612B2"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7B576DC" w14:textId="77777777" w:rsidR="000B42F8" w:rsidRPr="000B42F8" w:rsidRDefault="000B42F8" w:rsidP="000B42F8">
            <w:pPr>
              <w:widowControl/>
              <w:tabs>
                <w:tab w:val="left" w:pos="2552"/>
                <w:tab w:val="center" w:pos="4677"/>
              </w:tabs>
              <w:spacing w:before="60" w:after="60"/>
              <w:jc w:val="left"/>
              <w:rPr>
                <w:sz w:val="20"/>
              </w:rPr>
            </w:pPr>
            <w:r w:rsidRPr="000B42F8">
              <w:rPr>
                <w:sz w:val="20"/>
              </w:rPr>
              <w:t>A.2</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179DBC0D" w14:textId="77777777" w:rsidR="000B42F8" w:rsidRPr="000B42F8" w:rsidRDefault="000B42F8" w:rsidP="000B42F8">
            <w:pPr>
              <w:widowControl/>
              <w:tabs>
                <w:tab w:val="left" w:pos="2552"/>
                <w:tab w:val="center" w:pos="4677"/>
              </w:tabs>
              <w:spacing w:before="60" w:after="60"/>
              <w:jc w:val="left"/>
              <w:rPr>
                <w:sz w:val="20"/>
              </w:rPr>
            </w:pPr>
            <w:r w:rsidRPr="000B42F8">
              <w:rPr>
                <w:sz w:val="20"/>
              </w:rPr>
              <w:t>Early 2009 to February 2016</w:t>
            </w:r>
          </w:p>
          <w:p w14:paraId="1944084E" w14:textId="77777777" w:rsidR="000B42F8" w:rsidRPr="000B42F8" w:rsidRDefault="000B42F8" w:rsidP="000B42F8">
            <w:pPr>
              <w:widowControl/>
              <w:tabs>
                <w:tab w:val="left" w:pos="453"/>
              </w:tabs>
              <w:spacing w:after="120"/>
              <w:jc w:val="left"/>
              <w:rPr>
                <w:sz w:val="20"/>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1FF5A0C" w14:textId="77777777" w:rsidR="000B42F8" w:rsidRPr="000B42F8" w:rsidRDefault="000B42F8" w:rsidP="000B42F8">
            <w:pPr>
              <w:widowControl/>
              <w:spacing w:after="120"/>
              <w:jc w:val="left"/>
              <w:rPr>
                <w:sz w:val="20"/>
              </w:rPr>
            </w:pPr>
            <w:r w:rsidRPr="000B42F8">
              <w:rPr>
                <w:sz w:val="20"/>
              </w:rPr>
              <w:t>On signage at least at the following locations and times:</w:t>
            </w:r>
          </w:p>
          <w:p w14:paraId="1C2E63AA" w14:textId="77777777" w:rsidR="000B42F8" w:rsidRPr="000B42F8" w:rsidRDefault="000B42F8" w:rsidP="000B42F8">
            <w:pPr>
              <w:widowControl/>
              <w:spacing w:after="120"/>
              <w:jc w:val="left"/>
              <w:rPr>
                <w:sz w:val="20"/>
              </w:rPr>
            </w:pPr>
            <w:r w:rsidRPr="000B42F8">
              <w:rPr>
                <w:sz w:val="20"/>
              </w:rPr>
              <w:t>Early 2009 at 4-6 Marlborough Road, Homebush West, New South Wales;</w:t>
            </w:r>
          </w:p>
          <w:p w14:paraId="3AB23A6A" w14:textId="77777777" w:rsidR="000B42F8" w:rsidRPr="000B42F8" w:rsidRDefault="000B42F8" w:rsidP="000B42F8">
            <w:pPr>
              <w:widowControl/>
              <w:tabs>
                <w:tab w:val="left" w:pos="1406"/>
              </w:tabs>
              <w:spacing w:before="60" w:after="60" w:line="240" w:lineRule="auto"/>
              <w:ind w:left="490" w:hanging="408"/>
              <w:jc w:val="left"/>
              <w:outlineLvl w:val="2"/>
              <w:rPr>
                <w:rFonts w:eastAsia="Times New Roman"/>
                <w:sz w:val="20"/>
                <w:lang w:val="en-US"/>
              </w:rPr>
            </w:pPr>
            <w:r w:rsidRPr="000B42F8">
              <w:rPr>
                <w:rFonts w:eastAsia="Times New Roman"/>
                <w:sz w:val="20"/>
                <w:lang w:val="en-US"/>
              </w:rPr>
              <w:t>(a)</w:t>
            </w:r>
            <w:r w:rsidRPr="000B42F8">
              <w:rPr>
                <w:rFonts w:eastAsia="Times New Roman"/>
                <w:sz w:val="20"/>
                <w:lang w:val="en-US"/>
              </w:rPr>
              <w:tab/>
              <w:t xml:space="preserve">Early to mid-2012 at 15-17 Larkin Street, </w:t>
            </w:r>
            <w:proofErr w:type="spellStart"/>
            <w:r w:rsidRPr="000B42F8">
              <w:rPr>
                <w:rFonts w:eastAsia="Times New Roman"/>
                <w:sz w:val="20"/>
                <w:lang w:val="en-US"/>
              </w:rPr>
              <w:t>Camperdown</w:t>
            </w:r>
            <w:proofErr w:type="spellEnd"/>
            <w:r w:rsidRPr="000B42F8">
              <w:rPr>
                <w:rFonts w:eastAsia="Times New Roman"/>
                <w:sz w:val="20"/>
                <w:lang w:val="en-US"/>
              </w:rPr>
              <w:t>, New South Wales;</w:t>
            </w:r>
          </w:p>
          <w:p w14:paraId="6277BD30" w14:textId="77777777" w:rsidR="000B42F8" w:rsidRPr="000B42F8" w:rsidRDefault="000B42F8" w:rsidP="000B42F8">
            <w:pPr>
              <w:widowControl/>
              <w:tabs>
                <w:tab w:val="left" w:pos="1406"/>
              </w:tabs>
              <w:spacing w:before="60" w:after="60" w:line="240" w:lineRule="auto"/>
              <w:ind w:left="490" w:hanging="408"/>
              <w:jc w:val="left"/>
              <w:outlineLvl w:val="2"/>
              <w:rPr>
                <w:rFonts w:eastAsia="Times New Roman"/>
                <w:sz w:val="20"/>
                <w:lang w:val="en-US"/>
              </w:rPr>
            </w:pPr>
            <w:r w:rsidRPr="000B42F8">
              <w:rPr>
                <w:rFonts w:eastAsia="Times New Roman"/>
                <w:sz w:val="20"/>
                <w:lang w:val="en-US"/>
              </w:rPr>
              <w:t>(b)</w:t>
            </w:r>
            <w:r w:rsidRPr="000B42F8">
              <w:rPr>
                <w:rFonts w:eastAsia="Times New Roman"/>
                <w:sz w:val="20"/>
                <w:lang w:val="en-US"/>
              </w:rPr>
              <w:tab/>
              <w:t xml:space="preserve">Around March 2015 at 456-458 Gardeners Road, Alexandria, New South Wales; </w:t>
            </w:r>
          </w:p>
          <w:p w14:paraId="26A1BB9F" w14:textId="77777777" w:rsidR="000B42F8" w:rsidRPr="000B42F8" w:rsidRDefault="000B42F8" w:rsidP="000B42F8">
            <w:pPr>
              <w:widowControl/>
              <w:tabs>
                <w:tab w:val="left" w:pos="1406"/>
              </w:tabs>
              <w:spacing w:before="60" w:after="60" w:line="240" w:lineRule="auto"/>
              <w:ind w:left="490" w:hanging="408"/>
              <w:jc w:val="left"/>
              <w:outlineLvl w:val="2"/>
              <w:rPr>
                <w:rFonts w:eastAsia="Times New Roman"/>
                <w:sz w:val="20"/>
                <w:lang w:val="en-US"/>
              </w:rPr>
            </w:pPr>
            <w:r w:rsidRPr="000B42F8">
              <w:rPr>
                <w:rFonts w:eastAsia="Times New Roman"/>
                <w:sz w:val="20"/>
                <w:lang w:val="en-US"/>
              </w:rPr>
              <w:t>(c)</w:t>
            </w:r>
            <w:r w:rsidRPr="000B42F8">
              <w:rPr>
                <w:rFonts w:eastAsia="Times New Roman"/>
                <w:sz w:val="20"/>
                <w:lang w:val="en-US"/>
              </w:rPr>
              <w:tab/>
              <w:t xml:space="preserve">February 2016 at 59-65 Chester Avenue, </w:t>
            </w:r>
            <w:proofErr w:type="spellStart"/>
            <w:r w:rsidRPr="000B42F8">
              <w:rPr>
                <w:rFonts w:eastAsia="Times New Roman"/>
                <w:sz w:val="20"/>
                <w:lang w:val="en-US"/>
              </w:rPr>
              <w:t>Maroubra</w:t>
            </w:r>
            <w:proofErr w:type="spellEnd"/>
            <w:r w:rsidRPr="000B42F8">
              <w:rPr>
                <w:rFonts w:eastAsia="Times New Roman"/>
                <w:sz w:val="20"/>
                <w:lang w:val="en-US"/>
              </w:rPr>
              <w:t>, New South Wales.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5A78CCB"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 three to five storey multi-dwelling apartment block at the sites it was displayed</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7D10CE8"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JML-10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1525 </w:t>
            </w:r>
          </w:p>
          <w:p w14:paraId="19E8ECD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JML-44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2055</w:t>
            </w:r>
          </w:p>
          <w:p w14:paraId="17D37FD4" w14:textId="77777777" w:rsidR="000B42F8" w:rsidRPr="000B42F8" w:rsidRDefault="000B42F8" w:rsidP="000B42F8">
            <w:pPr>
              <w:widowControl/>
              <w:tabs>
                <w:tab w:val="left" w:pos="2552"/>
                <w:tab w:val="center" w:pos="4677"/>
              </w:tabs>
              <w:spacing w:before="60" w:after="60"/>
              <w:jc w:val="left"/>
              <w:rPr>
                <w:rFonts w:asciiTheme="majorBidi" w:hAnsiTheme="majorBidi" w:cstheme="majorBidi"/>
                <w:sz w:val="20"/>
                <w:lang w:eastAsia="zh-CN"/>
              </w:rPr>
            </w:pPr>
            <w:r w:rsidRPr="000B42F8">
              <w:rPr>
                <w:rFonts w:asciiTheme="majorBidi" w:hAnsiTheme="majorBidi" w:cstheme="majorBidi"/>
                <w:sz w:val="20"/>
                <w:lang w:eastAsia="zh-CN"/>
              </w:rPr>
              <w:t>Ex R22</w:t>
            </w:r>
          </w:p>
          <w:p w14:paraId="27DB9B91" w14:textId="77777777" w:rsidR="000B42F8" w:rsidRPr="000B42F8" w:rsidRDefault="000B42F8" w:rsidP="000B42F8">
            <w:pPr>
              <w:widowControl/>
              <w:tabs>
                <w:tab w:val="left" w:pos="2552"/>
                <w:tab w:val="center" w:pos="4677"/>
              </w:tabs>
              <w:spacing w:before="60" w:after="60"/>
              <w:jc w:val="left"/>
              <w:rPr>
                <w:rFonts w:asciiTheme="majorBidi" w:hAnsiTheme="majorBidi" w:cstheme="majorBidi"/>
                <w:sz w:val="20"/>
                <w:lang w:eastAsia="zh-CN"/>
              </w:rPr>
            </w:pPr>
          </w:p>
          <w:p w14:paraId="2EEBE251" w14:textId="77777777" w:rsidR="000B42F8" w:rsidRPr="000B42F8" w:rsidRDefault="000B42F8" w:rsidP="000B42F8">
            <w:pPr>
              <w:widowControl/>
              <w:tabs>
                <w:tab w:val="left" w:pos="2552"/>
                <w:tab w:val="center" w:pos="4677"/>
              </w:tabs>
              <w:spacing w:before="60" w:after="60"/>
              <w:jc w:val="left"/>
              <w:rPr>
                <w:sz w:val="20"/>
                <w:lang w:eastAsia="en-GB"/>
              </w:rPr>
            </w:pPr>
            <w:r w:rsidRPr="000B42F8">
              <w:rPr>
                <w:rFonts w:asciiTheme="majorBidi" w:hAnsiTheme="majorBidi" w:cstheme="majorBidi"/>
                <w:sz w:val="20"/>
                <w:lang w:eastAsia="zh-CN"/>
              </w:rPr>
              <w:t xml:space="preserve">(also at HQ building on door – JML-10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1525-1526)</w:t>
            </w:r>
          </w:p>
        </w:tc>
      </w:tr>
      <w:tr w:rsidR="000B42F8" w:rsidRPr="000B42F8" w14:paraId="7FE5B38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3180544" w14:textId="77777777" w:rsidR="000B42F8" w:rsidRPr="000B42F8" w:rsidRDefault="000B42F8" w:rsidP="000B42F8">
            <w:pPr>
              <w:keepNext/>
              <w:widowControl/>
              <w:tabs>
                <w:tab w:val="left" w:pos="2552"/>
                <w:tab w:val="center" w:pos="4677"/>
              </w:tabs>
              <w:spacing w:before="60" w:after="60"/>
              <w:jc w:val="left"/>
              <w:rPr>
                <w:b/>
                <w:bCs/>
                <w:noProof/>
                <w:sz w:val="20"/>
              </w:rPr>
            </w:pPr>
            <w:r w:rsidRPr="000B42F8">
              <w:rPr>
                <w:b/>
                <w:bCs/>
                <w:noProof/>
                <w:sz w:val="20"/>
              </w:rPr>
              <w:lastRenderedPageBreak/>
              <w:t>B.</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0B8EC9F0" w14:textId="77777777" w:rsidR="000B42F8" w:rsidRPr="000B42F8" w:rsidRDefault="000B42F8" w:rsidP="000B42F8">
            <w:pPr>
              <w:keepNext/>
              <w:widowControl/>
              <w:tabs>
                <w:tab w:val="left" w:pos="2552"/>
                <w:tab w:val="center" w:pos="4677"/>
              </w:tabs>
              <w:spacing w:before="60" w:after="60"/>
              <w:jc w:val="left"/>
              <w:rPr>
                <w:sz w:val="20"/>
              </w:rPr>
            </w:pPr>
            <w:r w:rsidRPr="000B42F8">
              <w:rPr>
                <w:b/>
                <w:bCs/>
                <w:noProof/>
                <w:sz w:val="20"/>
              </w:rPr>
              <w:t>“henleyconstructions.com.au” (Henley domain name)</w:t>
            </w:r>
          </w:p>
        </w:tc>
      </w:tr>
      <w:tr w:rsidR="000B42F8" w:rsidRPr="000B42F8" w14:paraId="0624ED41"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A2657B5" w14:textId="77777777" w:rsidR="000B42F8" w:rsidRPr="000B42F8" w:rsidRDefault="000B42F8" w:rsidP="000B42F8">
            <w:pPr>
              <w:widowControl/>
              <w:tabs>
                <w:tab w:val="left" w:pos="2552"/>
                <w:tab w:val="center" w:pos="4677"/>
              </w:tabs>
              <w:spacing w:before="60" w:after="60"/>
              <w:jc w:val="left"/>
              <w:rPr>
                <w:sz w:val="20"/>
              </w:rPr>
            </w:pPr>
            <w:r w:rsidRPr="000B42F8">
              <w:rPr>
                <w:sz w:val="20"/>
              </w:rPr>
              <w:t>B.1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BFF7DD1" w14:textId="77777777" w:rsidR="000B42F8" w:rsidRPr="000B42F8" w:rsidRDefault="000B42F8" w:rsidP="000B42F8">
            <w:pPr>
              <w:widowControl/>
              <w:tabs>
                <w:tab w:val="left" w:pos="2552"/>
                <w:tab w:val="center" w:pos="4677"/>
              </w:tabs>
              <w:spacing w:before="60" w:after="60"/>
              <w:jc w:val="left"/>
              <w:rPr>
                <w:sz w:val="20"/>
              </w:rPr>
            </w:pPr>
            <w:r w:rsidRPr="000B42F8">
              <w:rPr>
                <w:sz w:val="20"/>
              </w:rPr>
              <w:t>November 2009 to about February 2015</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338A8435" w14:textId="77777777" w:rsidR="000B42F8" w:rsidRPr="000B42F8" w:rsidRDefault="000B42F8" w:rsidP="000B42F8">
            <w:pPr>
              <w:widowControl/>
              <w:tabs>
                <w:tab w:val="left" w:pos="2552"/>
                <w:tab w:val="center" w:pos="4677"/>
              </w:tabs>
              <w:spacing w:before="60" w:after="60"/>
              <w:jc w:val="left"/>
              <w:rPr>
                <w:b/>
                <w:sz w:val="20"/>
              </w:rPr>
            </w:pPr>
            <w:r w:rsidRPr="000B42F8">
              <w:rPr>
                <w:sz w:val="20"/>
              </w:rPr>
              <w:t>On Henley Constructions Website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63FEB174" w14:textId="77777777" w:rsidR="000B42F8" w:rsidRPr="000B42F8" w:rsidRDefault="000B42F8" w:rsidP="000B42F8">
            <w:pPr>
              <w:widowControl/>
              <w:tabs>
                <w:tab w:val="left" w:pos="2552"/>
                <w:tab w:val="center" w:pos="4677"/>
              </w:tabs>
              <w:spacing w:before="60" w:after="60"/>
              <w:jc w:val="left"/>
              <w:rPr>
                <w:b/>
                <w:sz w:val="20"/>
              </w:rPr>
            </w:pPr>
            <w:r w:rsidRPr="000B42F8">
              <w:rPr>
                <w:sz w:val="20"/>
              </w:rPr>
              <w:t>Building and construction services for “small interior renovations” up to “large apartment blocks” with depictions of terraces, townhouses, two and three storey multi-dwelling residential apartment blocks and commercial buildings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CEAA4EE"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Admitted facts paragraph 7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0C6069F"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JML-13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1555-1560 [Henley Constructions admitted accurately depict, in response to paragraph 35 of the First Notice to Admit, see paragraph 9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7F8B22B" w14:textId="77777777" w:rsidR="000B42F8" w:rsidRPr="000B42F8" w:rsidRDefault="000B42F8" w:rsidP="000B42F8">
            <w:pPr>
              <w:widowControl/>
              <w:spacing w:before="240" w:after="120"/>
              <w:jc w:val="left"/>
              <w:rPr>
                <w:rFonts w:asciiTheme="majorBidi" w:hAnsiTheme="majorBidi" w:cstheme="majorBidi"/>
                <w:sz w:val="20"/>
                <w:lang w:val="es-ES" w:eastAsia="zh-CN"/>
              </w:rPr>
            </w:pPr>
            <w:r w:rsidRPr="000B42F8">
              <w:rPr>
                <w:rFonts w:asciiTheme="majorBidi" w:hAnsiTheme="majorBidi" w:cstheme="majorBidi"/>
                <w:sz w:val="20"/>
                <w:lang w:val="es-ES" w:eastAsia="zh-CN"/>
              </w:rPr>
              <w:t>Ex A18</w:t>
            </w:r>
          </w:p>
          <w:p w14:paraId="3AD7DC23"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3BABDBB7"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1AE957A" w14:textId="77777777" w:rsidR="000B42F8" w:rsidRPr="000B42F8" w:rsidRDefault="000B42F8" w:rsidP="000B42F8">
            <w:pPr>
              <w:widowControl/>
              <w:tabs>
                <w:tab w:val="left" w:pos="2552"/>
                <w:tab w:val="center" w:pos="4677"/>
              </w:tabs>
              <w:spacing w:before="60" w:after="60"/>
              <w:jc w:val="left"/>
              <w:rPr>
                <w:sz w:val="20"/>
              </w:rPr>
            </w:pPr>
            <w:r w:rsidRPr="000B42F8">
              <w:rPr>
                <w:sz w:val="20"/>
              </w:rPr>
              <w:t>B.2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31A9525F" w14:textId="77777777" w:rsidR="000B42F8" w:rsidRPr="000B42F8" w:rsidRDefault="000B42F8" w:rsidP="000B42F8">
            <w:pPr>
              <w:widowControl/>
              <w:tabs>
                <w:tab w:val="left" w:pos="2552"/>
                <w:tab w:val="center" w:pos="4677"/>
              </w:tabs>
              <w:spacing w:before="60" w:after="60"/>
              <w:jc w:val="left"/>
              <w:rPr>
                <w:sz w:val="20"/>
              </w:rPr>
            </w:pPr>
            <w:r w:rsidRPr="000B42F8">
              <w:rPr>
                <w:sz w:val="20"/>
              </w:rPr>
              <w:t>Early 2009 to February 2016</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7C9D350" w14:textId="77777777" w:rsidR="000B42F8" w:rsidRPr="000B42F8" w:rsidRDefault="000B42F8" w:rsidP="000B42F8">
            <w:pPr>
              <w:widowControl/>
              <w:spacing w:after="120"/>
              <w:jc w:val="left"/>
              <w:rPr>
                <w:sz w:val="20"/>
              </w:rPr>
            </w:pPr>
            <w:r w:rsidRPr="000B42F8">
              <w:rPr>
                <w:sz w:val="20"/>
              </w:rPr>
              <w:t>On signage at least at the following locations and times:</w:t>
            </w:r>
          </w:p>
          <w:p w14:paraId="24BC84DF" w14:textId="77777777" w:rsidR="000B42F8" w:rsidRPr="000B42F8" w:rsidRDefault="000B42F8" w:rsidP="000B42F8">
            <w:pPr>
              <w:widowControl/>
              <w:spacing w:before="60" w:after="60" w:line="240" w:lineRule="auto"/>
              <w:ind w:left="457" w:hanging="360"/>
              <w:jc w:val="left"/>
              <w:outlineLvl w:val="2"/>
              <w:rPr>
                <w:rFonts w:eastAsia="Times New Roman"/>
                <w:sz w:val="20"/>
                <w:lang w:val="en-US"/>
              </w:rPr>
            </w:pPr>
            <w:r w:rsidRPr="000B42F8">
              <w:rPr>
                <w:rFonts w:ascii="Symbol" w:eastAsia="Times New Roman" w:hAnsi="Symbol"/>
                <w:sz w:val="20"/>
                <w:lang w:val="en-US"/>
              </w:rPr>
              <w:t></w:t>
            </w:r>
            <w:r w:rsidRPr="000B42F8">
              <w:rPr>
                <w:rFonts w:ascii="Symbol" w:eastAsia="Times New Roman" w:hAnsi="Symbol"/>
                <w:sz w:val="20"/>
                <w:lang w:val="en-US"/>
              </w:rPr>
              <w:tab/>
            </w:r>
            <w:r w:rsidRPr="000B42F8">
              <w:rPr>
                <w:rFonts w:eastAsia="Times New Roman"/>
                <w:sz w:val="20"/>
                <w:lang w:val="en-US"/>
              </w:rPr>
              <w:t xml:space="preserve">Early 2009 at 4-6 Marlborough Road, </w:t>
            </w:r>
            <w:proofErr w:type="spellStart"/>
            <w:r w:rsidRPr="000B42F8">
              <w:rPr>
                <w:rFonts w:eastAsia="Times New Roman"/>
                <w:sz w:val="20"/>
                <w:lang w:val="en-US"/>
              </w:rPr>
              <w:t>Homebush</w:t>
            </w:r>
            <w:proofErr w:type="spellEnd"/>
            <w:r w:rsidRPr="000B42F8">
              <w:rPr>
                <w:rFonts w:eastAsia="Times New Roman"/>
                <w:sz w:val="20"/>
                <w:lang w:val="en-US"/>
              </w:rPr>
              <w:t xml:space="preserve"> West, New South Wales;</w:t>
            </w:r>
          </w:p>
          <w:p w14:paraId="6F422C8F" w14:textId="77777777" w:rsidR="000B42F8" w:rsidRPr="000B42F8" w:rsidRDefault="000B42F8" w:rsidP="000B42F8">
            <w:pPr>
              <w:widowControl/>
              <w:spacing w:before="60" w:after="60" w:line="240" w:lineRule="auto"/>
              <w:ind w:left="457" w:hanging="360"/>
              <w:jc w:val="left"/>
              <w:outlineLvl w:val="2"/>
              <w:rPr>
                <w:rFonts w:eastAsia="Times New Roman"/>
                <w:sz w:val="20"/>
                <w:lang w:val="en-US"/>
              </w:rPr>
            </w:pPr>
            <w:r w:rsidRPr="000B42F8">
              <w:rPr>
                <w:rFonts w:ascii="Symbol" w:eastAsia="Times New Roman" w:hAnsi="Symbol"/>
                <w:sz w:val="20"/>
                <w:lang w:val="en-US"/>
              </w:rPr>
              <w:t></w:t>
            </w:r>
            <w:r w:rsidRPr="000B42F8">
              <w:rPr>
                <w:rFonts w:ascii="Symbol" w:eastAsia="Times New Roman" w:hAnsi="Symbol"/>
                <w:sz w:val="20"/>
                <w:lang w:val="en-US"/>
              </w:rPr>
              <w:tab/>
            </w:r>
            <w:r w:rsidRPr="000B42F8">
              <w:rPr>
                <w:rFonts w:eastAsia="Times New Roman"/>
                <w:sz w:val="20"/>
                <w:lang w:val="en-US"/>
              </w:rPr>
              <w:t xml:space="preserve">Early to mid-2012 at 15-17 Larkin Street, </w:t>
            </w:r>
            <w:proofErr w:type="spellStart"/>
            <w:r w:rsidRPr="000B42F8">
              <w:rPr>
                <w:rFonts w:eastAsia="Times New Roman"/>
                <w:sz w:val="20"/>
                <w:lang w:val="en-US"/>
              </w:rPr>
              <w:t>Camperdown</w:t>
            </w:r>
            <w:proofErr w:type="spellEnd"/>
            <w:r w:rsidRPr="000B42F8">
              <w:rPr>
                <w:rFonts w:eastAsia="Times New Roman"/>
                <w:sz w:val="20"/>
                <w:lang w:val="en-US"/>
              </w:rPr>
              <w:t>, New South Wales;</w:t>
            </w:r>
          </w:p>
          <w:p w14:paraId="58B46A13" w14:textId="77777777" w:rsidR="000B42F8" w:rsidRPr="000B42F8" w:rsidRDefault="000B42F8" w:rsidP="000B42F8">
            <w:pPr>
              <w:widowControl/>
              <w:spacing w:before="60" w:after="60" w:line="240" w:lineRule="auto"/>
              <w:ind w:left="457" w:hanging="360"/>
              <w:jc w:val="left"/>
              <w:outlineLvl w:val="2"/>
              <w:rPr>
                <w:rFonts w:eastAsia="Times New Roman"/>
                <w:sz w:val="20"/>
                <w:lang w:val="en-US"/>
              </w:rPr>
            </w:pPr>
            <w:r w:rsidRPr="000B42F8">
              <w:rPr>
                <w:rFonts w:ascii="Symbol" w:eastAsia="Times New Roman" w:hAnsi="Symbol"/>
                <w:sz w:val="20"/>
                <w:lang w:val="en-US"/>
              </w:rPr>
              <w:t></w:t>
            </w:r>
            <w:r w:rsidRPr="000B42F8">
              <w:rPr>
                <w:rFonts w:ascii="Symbol" w:eastAsia="Times New Roman" w:hAnsi="Symbol"/>
                <w:sz w:val="20"/>
                <w:lang w:val="en-US"/>
              </w:rPr>
              <w:tab/>
            </w:r>
            <w:r w:rsidRPr="000B42F8">
              <w:rPr>
                <w:rFonts w:eastAsia="Times New Roman"/>
                <w:sz w:val="20"/>
                <w:lang w:val="en-US"/>
              </w:rPr>
              <w:t xml:space="preserve">Around March 2015 at 456-458 Gardeners Road, Alexandria, New South Wales; </w:t>
            </w:r>
          </w:p>
          <w:p w14:paraId="1C564C1F" w14:textId="77777777" w:rsidR="000B42F8" w:rsidRPr="000B42F8" w:rsidRDefault="000B42F8" w:rsidP="000B42F8">
            <w:pPr>
              <w:widowControl/>
              <w:spacing w:before="60" w:after="60" w:line="240" w:lineRule="auto"/>
              <w:ind w:left="457" w:hanging="360"/>
              <w:jc w:val="left"/>
              <w:outlineLvl w:val="2"/>
              <w:rPr>
                <w:rFonts w:eastAsia="Times New Roman"/>
                <w:sz w:val="20"/>
                <w:lang w:val="en-US"/>
              </w:rPr>
            </w:pPr>
            <w:r w:rsidRPr="000B42F8">
              <w:rPr>
                <w:rFonts w:ascii="Symbol" w:eastAsia="Times New Roman" w:hAnsi="Symbol"/>
                <w:sz w:val="20"/>
                <w:lang w:val="en-US"/>
              </w:rPr>
              <w:t></w:t>
            </w:r>
            <w:r w:rsidRPr="000B42F8">
              <w:rPr>
                <w:rFonts w:ascii="Symbol" w:eastAsia="Times New Roman" w:hAnsi="Symbol"/>
                <w:sz w:val="20"/>
                <w:lang w:val="en-US"/>
              </w:rPr>
              <w:tab/>
            </w:r>
            <w:r w:rsidRPr="000B42F8">
              <w:rPr>
                <w:rFonts w:eastAsia="Times New Roman"/>
                <w:sz w:val="20"/>
                <w:lang w:val="en-US"/>
              </w:rPr>
              <w:t xml:space="preserve">February 2016 at 59-65 Chester Avenue, </w:t>
            </w:r>
            <w:proofErr w:type="spellStart"/>
            <w:r w:rsidRPr="000B42F8">
              <w:rPr>
                <w:rFonts w:eastAsia="Times New Roman"/>
                <w:sz w:val="20"/>
                <w:lang w:val="en-US"/>
              </w:rPr>
              <w:t>Maroubra</w:t>
            </w:r>
            <w:proofErr w:type="spellEnd"/>
            <w:r w:rsidRPr="000B42F8">
              <w:rPr>
                <w:rFonts w:eastAsia="Times New Roman"/>
                <w:sz w:val="20"/>
                <w:lang w:val="en-US"/>
              </w:rPr>
              <w:t>, New South Wales.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5B30659"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 three to five storey multi-dwelling apartment block at the sites it was displayed</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00749F1" w14:textId="77777777" w:rsidR="000B42F8" w:rsidRPr="000B42F8" w:rsidRDefault="000B42F8" w:rsidP="000B42F8">
            <w:pPr>
              <w:widowControl/>
              <w:tabs>
                <w:tab w:val="left" w:pos="2552"/>
                <w:tab w:val="center" w:pos="4677"/>
              </w:tabs>
              <w:spacing w:before="60" w:after="60"/>
              <w:jc w:val="left"/>
              <w:rPr>
                <w:rFonts w:asciiTheme="majorBidi" w:hAnsiTheme="majorBidi" w:cstheme="majorBidi"/>
                <w:sz w:val="20"/>
                <w:lang w:eastAsia="zh-CN"/>
              </w:rPr>
            </w:pPr>
            <w:r w:rsidRPr="000B42F8">
              <w:rPr>
                <w:rFonts w:asciiTheme="majorBidi" w:hAnsiTheme="majorBidi" w:cstheme="majorBidi"/>
                <w:sz w:val="20"/>
                <w:lang w:eastAsia="zh-CN"/>
              </w:rPr>
              <w:t>Ex R22</w:t>
            </w:r>
          </w:p>
          <w:p w14:paraId="22AC7294" w14:textId="77777777" w:rsidR="000B42F8" w:rsidRPr="000B42F8" w:rsidRDefault="000B42F8" w:rsidP="000B42F8">
            <w:pPr>
              <w:widowControl/>
              <w:tabs>
                <w:tab w:val="left" w:pos="2552"/>
                <w:tab w:val="center" w:pos="4677"/>
              </w:tabs>
              <w:spacing w:before="60" w:after="60"/>
              <w:jc w:val="left"/>
              <w:rPr>
                <w:sz w:val="20"/>
                <w:lang w:eastAsia="en-GB"/>
              </w:rPr>
            </w:pPr>
          </w:p>
          <w:p w14:paraId="4CB44AF1"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JML-44 </w:t>
            </w:r>
            <w:r w:rsidRPr="000B42F8">
              <w:rPr>
                <w:bCs/>
                <w:sz w:val="20"/>
              </w:rPr>
              <w:t xml:space="preserve">Tender Bundle: </w:t>
            </w:r>
            <w:r w:rsidRPr="000B42F8">
              <w:rPr>
                <w:sz w:val="20"/>
              </w:rPr>
              <w:t>2055</w:t>
            </w:r>
          </w:p>
        </w:tc>
      </w:tr>
      <w:tr w:rsidR="000B42F8" w:rsidRPr="000B42F8" w14:paraId="58049D3E"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B18BEFE" w14:textId="77777777" w:rsidR="000B42F8" w:rsidRPr="000B42F8" w:rsidRDefault="000B42F8" w:rsidP="000B42F8">
            <w:pPr>
              <w:widowControl/>
              <w:tabs>
                <w:tab w:val="left" w:pos="2552"/>
                <w:tab w:val="center" w:pos="4677"/>
              </w:tabs>
              <w:spacing w:before="60" w:after="60"/>
              <w:jc w:val="left"/>
              <w:rPr>
                <w:sz w:val="20"/>
              </w:rPr>
            </w:pPr>
            <w:r w:rsidRPr="000B42F8">
              <w:rPr>
                <w:sz w:val="20"/>
              </w:rPr>
              <w:t>B.3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0F63E301" w14:textId="77777777" w:rsidR="000B42F8" w:rsidRPr="000B42F8" w:rsidRDefault="000B42F8" w:rsidP="000B42F8">
            <w:pPr>
              <w:widowControl/>
              <w:tabs>
                <w:tab w:val="left" w:pos="2552"/>
                <w:tab w:val="center" w:pos="4677"/>
              </w:tabs>
              <w:spacing w:before="60" w:after="60"/>
              <w:jc w:val="left"/>
              <w:rPr>
                <w:sz w:val="20"/>
              </w:rPr>
            </w:pPr>
            <w:r w:rsidRPr="000B42F8">
              <w:rPr>
                <w:sz w:val="20"/>
              </w:rPr>
              <w:t>February 2017 – August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060850D8"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Henley Constructions Website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081219C8"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“boutique and large-scale residential projects ranging from 10 to 500 units”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973C0AF"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Admitted facts paragraph 7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28B3C7CD"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JML-13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1561-1581 [admitted accurately depict, </w:t>
            </w:r>
            <w:r w:rsidRPr="000B42F8">
              <w:rPr>
                <w:rFonts w:asciiTheme="majorBidi" w:hAnsiTheme="majorBidi" w:cstheme="majorBidi"/>
                <w:sz w:val="20"/>
                <w:lang w:eastAsia="zh-CN"/>
              </w:rPr>
              <w:lastRenderedPageBreak/>
              <w:t xml:space="preserve">in response to paragraph 35 of the First Notice to Admit, see paragraph 9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404CF3A"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JML-14 – Henley Constructions Website at 27/2/17 [admitted accurately depict, in response to paragraph 36 of the First Notice to Admit, see paragraph 10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78EB00D"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Ex A18</w:t>
            </w:r>
          </w:p>
        </w:tc>
      </w:tr>
      <w:tr w:rsidR="000B42F8" w:rsidRPr="000B42F8" w14:paraId="50EBBB5C"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411280B"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B.4</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613A03A3"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August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09AA75A9"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business cards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6B708805"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or construction services in respect of single dwellings and multi-dwelling low rise and medium rise multi-storey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71F076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Business cards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1532 [Business cards - admitted appearance paragraphs 4, 5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5C6CB1BE"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24BC25D0"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E7FA37E" w14:textId="77777777" w:rsidR="000B42F8" w:rsidRPr="000B42F8" w:rsidRDefault="000B42F8" w:rsidP="000B42F8">
            <w:pPr>
              <w:widowControl/>
              <w:tabs>
                <w:tab w:val="left" w:pos="2552"/>
                <w:tab w:val="center" w:pos="4677"/>
              </w:tabs>
              <w:spacing w:before="60" w:after="60"/>
              <w:jc w:val="left"/>
              <w:rPr>
                <w:sz w:val="20"/>
              </w:rPr>
            </w:pPr>
            <w:r w:rsidRPr="000B42F8">
              <w:rPr>
                <w:sz w:val="20"/>
              </w:rPr>
              <w:t>B.5</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01B00845"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about July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5939FD55"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Instagram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0B87D8D"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60B54244"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A20</w:t>
            </w:r>
          </w:p>
        </w:tc>
      </w:tr>
      <w:tr w:rsidR="000B42F8" w:rsidRPr="000B42F8" w14:paraId="59DCC648"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610360BF" w14:textId="77777777" w:rsidR="000B42F8" w:rsidRPr="000B42F8" w:rsidRDefault="000B42F8" w:rsidP="000B42F8">
            <w:pPr>
              <w:widowControl/>
              <w:tabs>
                <w:tab w:val="left" w:pos="2552"/>
                <w:tab w:val="center" w:pos="4677"/>
              </w:tabs>
              <w:spacing w:before="60" w:after="60"/>
              <w:jc w:val="left"/>
              <w:rPr>
                <w:sz w:val="20"/>
              </w:rPr>
            </w:pPr>
            <w:r w:rsidRPr="000B42F8">
              <w:rPr>
                <w:sz w:val="20"/>
              </w:rPr>
              <w:t>B.6</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9A36477"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15 February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C520457"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Facebook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17D7904"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 repair, flooring, remedial work, general maintenance and cleaning services, and a number of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5984839"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A19</w:t>
            </w:r>
          </w:p>
          <w:p w14:paraId="1E178E46" w14:textId="77777777" w:rsidR="000B42F8" w:rsidRPr="000B42F8" w:rsidRDefault="000B42F8" w:rsidP="000B42F8">
            <w:pPr>
              <w:widowControl/>
              <w:tabs>
                <w:tab w:val="left" w:pos="2552"/>
                <w:tab w:val="center" w:pos="4677"/>
              </w:tabs>
              <w:spacing w:before="60" w:after="60"/>
              <w:jc w:val="left"/>
              <w:rPr>
                <w:sz w:val="20"/>
              </w:rPr>
            </w:pPr>
          </w:p>
          <w:p w14:paraId="08B9C58F"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JML-91</w:t>
            </w:r>
          </w:p>
        </w:tc>
      </w:tr>
      <w:tr w:rsidR="000B42F8" w:rsidRPr="000B42F8" w14:paraId="18B7E577"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05AF8F01" w14:textId="77777777" w:rsidR="000B42F8" w:rsidRPr="000B42F8" w:rsidRDefault="000B42F8" w:rsidP="000B42F8">
            <w:pPr>
              <w:keepNext/>
              <w:widowControl/>
              <w:tabs>
                <w:tab w:val="left" w:pos="2552"/>
                <w:tab w:val="center" w:pos="4677"/>
              </w:tabs>
              <w:spacing w:before="60" w:after="60"/>
              <w:jc w:val="left"/>
              <w:rPr>
                <w:b/>
                <w:bCs/>
                <w:noProof/>
                <w:sz w:val="20"/>
              </w:rPr>
            </w:pPr>
            <w:r w:rsidRPr="000B42F8">
              <w:rPr>
                <w:b/>
                <w:bCs/>
                <w:noProof/>
                <w:sz w:val="20"/>
              </w:rPr>
              <w:lastRenderedPageBreak/>
              <w:t>C</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3B0DBA7B" w14:textId="77777777" w:rsidR="000B42F8" w:rsidRPr="000B42F8" w:rsidRDefault="000B42F8" w:rsidP="000B42F8">
            <w:pPr>
              <w:keepNext/>
              <w:widowControl/>
              <w:tabs>
                <w:tab w:val="left" w:pos="2552"/>
                <w:tab w:val="center" w:pos="4677"/>
              </w:tabs>
              <w:spacing w:before="60" w:after="60"/>
              <w:jc w:val="left"/>
              <w:rPr>
                <w:noProof/>
                <w:sz w:val="20"/>
              </w:rPr>
            </w:pPr>
            <w:r w:rsidRPr="000B42F8">
              <w:rPr>
                <w:noProof/>
                <w:sz w:val="20"/>
                <w:lang w:eastAsia="en-AU"/>
              </w:rPr>
              <w:drawing>
                <wp:inline distT="0" distB="0" distL="0" distR="0" wp14:anchorId="63921E52" wp14:editId="77A2171D">
                  <wp:extent cx="2062886" cy="580362"/>
                  <wp:effectExtent l="0" t="0" r="0" b="0"/>
                  <wp:docPr id="102" name="Picture 102" descr="C:\Users\rallen\Desktop\JPEG HENLEY\Captur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rallen\Desktop\JPEG HENLEY\Capture2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3438" cy="586144"/>
                          </a:xfrm>
                          <a:prstGeom prst="rect">
                            <a:avLst/>
                          </a:prstGeom>
                          <a:noFill/>
                          <a:ln>
                            <a:noFill/>
                          </a:ln>
                        </pic:spPr>
                      </pic:pic>
                    </a:graphicData>
                  </a:graphic>
                </wp:inline>
              </w:drawing>
            </w:r>
            <w:r w:rsidRPr="000B42F8">
              <w:rPr>
                <w:noProof/>
                <w:sz w:val="20"/>
              </w:rPr>
              <w:t xml:space="preserve"> (</w:t>
            </w:r>
            <w:r w:rsidRPr="000B42F8">
              <w:rPr>
                <w:b/>
                <w:bCs/>
                <w:noProof/>
                <w:sz w:val="20"/>
              </w:rPr>
              <w:t>second Henley Constructions logo</w:t>
            </w:r>
            <w:r w:rsidRPr="000B42F8">
              <w:rPr>
                <w:noProof/>
                <w:sz w:val="20"/>
              </w:rPr>
              <w:t>)</w:t>
            </w:r>
          </w:p>
        </w:tc>
      </w:tr>
      <w:tr w:rsidR="000B42F8" w:rsidRPr="000B42F8" w14:paraId="319D5155"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61EAC578" w14:textId="77777777" w:rsidR="000B42F8" w:rsidRPr="000B42F8" w:rsidRDefault="000B42F8" w:rsidP="000B42F8">
            <w:pPr>
              <w:widowControl/>
              <w:tabs>
                <w:tab w:val="left" w:pos="2552"/>
                <w:tab w:val="center" w:pos="4677"/>
              </w:tabs>
              <w:spacing w:before="60" w:after="60"/>
              <w:jc w:val="left"/>
              <w:rPr>
                <w:sz w:val="20"/>
              </w:rPr>
            </w:pPr>
            <w:r w:rsidRPr="000B42F8">
              <w:rPr>
                <w:sz w:val="20"/>
              </w:rPr>
              <w:t>C.1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06A67220" w14:textId="77777777" w:rsidR="000B42F8" w:rsidRPr="000B42F8" w:rsidRDefault="000B42F8" w:rsidP="000B42F8">
            <w:pPr>
              <w:widowControl/>
              <w:tabs>
                <w:tab w:val="left" w:pos="2552"/>
                <w:tab w:val="center" w:pos="4677"/>
              </w:tabs>
              <w:spacing w:before="60" w:after="60"/>
              <w:jc w:val="left"/>
              <w:rPr>
                <w:sz w:val="20"/>
              </w:rPr>
            </w:pPr>
            <w:r w:rsidRPr="000B42F8">
              <w:rPr>
                <w:sz w:val="20"/>
              </w:rPr>
              <w:t>February 2017 – August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3A74EDD2"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Henley Constructions Website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2D473F9"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“boutique and large-scale residential projects ranging from 10 to 500 units”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B71D367"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JML-13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1561-1581 [admitted accurately depict, in response to paragraph 35 of the First Notice to Admit, see paragraph 9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78C7D5E1"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JML-14 – Henley Constructions Website at 27/2/17 [admitted accurately depict, in response to paragraph 36 of the First Notice to Admit, see paragraph 10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2565132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Ex A18</w:t>
            </w:r>
          </w:p>
        </w:tc>
      </w:tr>
      <w:tr w:rsidR="000B42F8" w:rsidRPr="000B42F8" w14:paraId="6342DEEC"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B45F541" w14:textId="77777777" w:rsidR="000B42F8" w:rsidRPr="000B42F8" w:rsidRDefault="000B42F8" w:rsidP="000B42F8">
            <w:pPr>
              <w:widowControl/>
              <w:tabs>
                <w:tab w:val="left" w:pos="2552"/>
                <w:tab w:val="center" w:pos="4677"/>
              </w:tabs>
              <w:spacing w:before="60" w:after="60"/>
              <w:jc w:val="left"/>
              <w:rPr>
                <w:sz w:val="20"/>
              </w:rPr>
            </w:pPr>
            <w:r w:rsidRPr="000B42F8">
              <w:rPr>
                <w:sz w:val="20"/>
              </w:rPr>
              <w:t>C.2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45DEB47A"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the latest August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0BBE7B86"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a brochure provided to the public in respect of the Aperture Apartments, Marrickville (or authorised such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59576EF"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 multi-dwelling apartment block</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2006B97"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JML-10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1530 [admitted accurately depict, in response to First Notice to Admit, see paragraph 6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52C659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PS-10</w:t>
            </w:r>
          </w:p>
        </w:tc>
      </w:tr>
      <w:tr w:rsidR="000B42F8" w:rsidRPr="000B42F8" w14:paraId="1F517113"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176EE7FE" w14:textId="77777777" w:rsidR="000B42F8" w:rsidRPr="000B42F8" w:rsidRDefault="000B42F8" w:rsidP="000B42F8">
            <w:pPr>
              <w:widowControl/>
              <w:tabs>
                <w:tab w:val="left" w:pos="2552"/>
                <w:tab w:val="center" w:pos="4677"/>
              </w:tabs>
              <w:spacing w:before="60" w:after="60"/>
              <w:jc w:val="left"/>
              <w:rPr>
                <w:sz w:val="20"/>
              </w:rPr>
            </w:pPr>
            <w:r w:rsidRPr="000B42F8">
              <w:rPr>
                <w:sz w:val="20"/>
              </w:rPr>
              <w:t>C.3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4C6B01A"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October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255E8B19" w14:textId="5F375F93" w:rsidR="000B42F8" w:rsidRPr="000B42F8" w:rsidRDefault="000B42F8" w:rsidP="000B42F8">
            <w:pPr>
              <w:widowControl/>
              <w:tabs>
                <w:tab w:val="left" w:pos="2552"/>
                <w:tab w:val="center" w:pos="4677"/>
              </w:tabs>
              <w:spacing w:before="60" w:after="60"/>
              <w:jc w:val="left"/>
              <w:rPr>
                <w:sz w:val="20"/>
              </w:rPr>
            </w:pPr>
            <w:r w:rsidRPr="000B42F8">
              <w:rPr>
                <w:sz w:val="20"/>
              </w:rPr>
              <w:t xml:space="preserve">At the website at </w:t>
            </w:r>
            <w:r w:rsidRPr="000B42F8">
              <w:rPr>
                <w:color w:val="0000FF"/>
                <w:sz w:val="20"/>
                <w:u w:val="single"/>
              </w:rPr>
              <w:t>www.aperturemarrickville.com.au</w:t>
            </w:r>
            <w:r w:rsidRPr="000B42F8">
              <w:rPr>
                <w:sz w:val="20"/>
              </w:rPr>
              <w:t xml:space="preserve"> (or authorised such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70AF3A8"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apartments at the “Aperture at Marrickville”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A324900"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4088, 4089</w:t>
            </w:r>
          </w:p>
          <w:p w14:paraId="36275E17"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59B8D389"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126B9BC7" w14:textId="77777777" w:rsidR="000B42F8" w:rsidRPr="000B42F8" w:rsidRDefault="000B42F8" w:rsidP="000B42F8">
            <w:pPr>
              <w:keepNext/>
              <w:widowControl/>
              <w:tabs>
                <w:tab w:val="left" w:pos="2552"/>
                <w:tab w:val="center" w:pos="4677"/>
              </w:tabs>
              <w:spacing w:before="60" w:after="60"/>
              <w:jc w:val="left"/>
              <w:rPr>
                <w:b/>
                <w:bCs/>
                <w:noProof/>
                <w:sz w:val="20"/>
              </w:rPr>
            </w:pPr>
            <w:r w:rsidRPr="000B42F8">
              <w:rPr>
                <w:b/>
                <w:bCs/>
                <w:noProof/>
                <w:sz w:val="20"/>
              </w:rPr>
              <w:lastRenderedPageBreak/>
              <w:t>D</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4543EBC6" w14:textId="77777777" w:rsidR="000B42F8" w:rsidRPr="000B42F8" w:rsidRDefault="000B42F8" w:rsidP="000B42F8">
            <w:pPr>
              <w:widowControl/>
              <w:tabs>
                <w:tab w:val="left" w:pos="2552"/>
                <w:tab w:val="center" w:pos="4677"/>
              </w:tabs>
              <w:spacing w:before="60" w:after="60"/>
              <w:jc w:val="left"/>
              <w:rPr>
                <w:sz w:val="20"/>
              </w:rPr>
            </w:pPr>
            <w:r w:rsidRPr="000B42F8">
              <w:rPr>
                <w:b/>
                <w:bCs/>
                <w:noProof/>
                <w:sz w:val="20"/>
              </w:rPr>
              <w:t>HENLEY CONSTRUCTIONS</w:t>
            </w:r>
          </w:p>
        </w:tc>
      </w:tr>
      <w:tr w:rsidR="000B42F8" w:rsidRPr="000B42F8" w14:paraId="5C5F66D1"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29808FC" w14:textId="77777777" w:rsidR="000B42F8" w:rsidRPr="000B42F8" w:rsidRDefault="000B42F8" w:rsidP="000B42F8">
            <w:pPr>
              <w:widowControl/>
              <w:tabs>
                <w:tab w:val="left" w:pos="2552"/>
                <w:tab w:val="center" w:pos="4677"/>
              </w:tabs>
              <w:spacing w:before="60" w:after="60"/>
              <w:jc w:val="left"/>
              <w:rPr>
                <w:sz w:val="20"/>
              </w:rPr>
            </w:pPr>
            <w:r w:rsidRPr="000B42F8">
              <w:rPr>
                <w:sz w:val="20"/>
              </w:rPr>
              <w:t>D.1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3D9D79B3" w14:textId="77777777" w:rsidR="000B42F8" w:rsidRPr="000B42F8" w:rsidRDefault="000B42F8" w:rsidP="000B42F8">
            <w:pPr>
              <w:widowControl/>
              <w:tabs>
                <w:tab w:val="left" w:pos="2552"/>
                <w:tab w:val="center" w:pos="4677"/>
              </w:tabs>
              <w:spacing w:before="60" w:after="60"/>
              <w:jc w:val="left"/>
              <w:rPr>
                <w:sz w:val="20"/>
              </w:rPr>
            </w:pPr>
            <w:r w:rsidRPr="000B42F8">
              <w:rPr>
                <w:sz w:val="20"/>
              </w:rPr>
              <w:t>Around 28 March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5D528CCF"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Advertisement in </w:t>
            </w:r>
            <w:r w:rsidRPr="000B42F8">
              <w:rPr>
                <w:i/>
                <w:iCs/>
                <w:sz w:val="20"/>
              </w:rPr>
              <w:t>Inner West Courier Newspaper</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42F0D7A9"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“high-quality residential projects” and a multi-dwelling apartment block</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C8E4EE7"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Advertisements annexed to Amended Defence at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4908, 4909 – and see admitted facts paragraph 12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6A75CBF5" w14:textId="77777777" w:rsidR="000B42F8" w:rsidRPr="000B42F8" w:rsidRDefault="000B42F8" w:rsidP="000B42F8">
            <w:pPr>
              <w:widowControl/>
              <w:tabs>
                <w:tab w:val="left" w:pos="2552"/>
                <w:tab w:val="center" w:pos="4677"/>
              </w:tabs>
              <w:spacing w:before="60" w:after="60"/>
              <w:jc w:val="left"/>
              <w:rPr>
                <w:sz w:val="20"/>
                <w:lang w:eastAsia="en-GB"/>
              </w:rPr>
            </w:pPr>
          </w:p>
          <w:p w14:paraId="441E6041"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PS-10, </w:t>
            </w:r>
            <w:r w:rsidRPr="000B42F8">
              <w:rPr>
                <w:bCs/>
                <w:sz w:val="20"/>
              </w:rPr>
              <w:t xml:space="preserve">Tender Bundle: </w:t>
            </w:r>
            <w:r w:rsidRPr="000B42F8">
              <w:rPr>
                <w:sz w:val="20"/>
              </w:rPr>
              <w:t>4131, 4132</w:t>
            </w:r>
          </w:p>
        </w:tc>
      </w:tr>
      <w:tr w:rsidR="000B42F8" w:rsidRPr="000B42F8" w14:paraId="3887360D"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2F84B86" w14:textId="77777777" w:rsidR="000B42F8" w:rsidRPr="000B42F8" w:rsidRDefault="000B42F8" w:rsidP="000B42F8">
            <w:pPr>
              <w:widowControl/>
              <w:tabs>
                <w:tab w:val="left" w:pos="2552"/>
                <w:tab w:val="center" w:pos="4677"/>
              </w:tabs>
              <w:spacing w:before="60" w:after="60"/>
              <w:jc w:val="left"/>
              <w:rPr>
                <w:sz w:val="20"/>
              </w:rPr>
            </w:pPr>
            <w:r w:rsidRPr="000B42F8">
              <w:rPr>
                <w:sz w:val="20"/>
              </w:rPr>
              <w:t>D.2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A76273A"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15 February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1CBA3DA"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Facebook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C59BC7C"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 repair, flooring, remedial work, general maintenance and cleaning services, and a number of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9A0B62A"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A19</w:t>
            </w:r>
          </w:p>
          <w:p w14:paraId="0579504A" w14:textId="77777777" w:rsidR="000B42F8" w:rsidRPr="000B42F8" w:rsidRDefault="000B42F8" w:rsidP="000B42F8">
            <w:pPr>
              <w:widowControl/>
              <w:tabs>
                <w:tab w:val="left" w:pos="2552"/>
                <w:tab w:val="center" w:pos="4677"/>
              </w:tabs>
              <w:spacing w:before="60" w:after="60"/>
              <w:jc w:val="left"/>
              <w:rPr>
                <w:sz w:val="20"/>
              </w:rPr>
            </w:pPr>
          </w:p>
          <w:p w14:paraId="1A09D0FF"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JML-91</w:t>
            </w:r>
          </w:p>
          <w:p w14:paraId="05A37D43" w14:textId="77777777" w:rsidR="000B42F8" w:rsidRPr="000B42F8" w:rsidRDefault="000B42F8" w:rsidP="000B42F8">
            <w:pPr>
              <w:widowControl/>
              <w:tabs>
                <w:tab w:val="left" w:pos="2552"/>
                <w:tab w:val="center" w:pos="4677"/>
              </w:tabs>
              <w:spacing w:before="60" w:after="60"/>
              <w:jc w:val="left"/>
              <w:rPr>
                <w:sz w:val="20"/>
              </w:rPr>
            </w:pPr>
          </w:p>
          <w:p w14:paraId="6C0936C6"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A20 and PS-9 (Instagram)</w:t>
            </w:r>
          </w:p>
        </w:tc>
      </w:tr>
      <w:tr w:rsidR="000B42F8" w:rsidRPr="000B42F8" w14:paraId="3176B3E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6316EC2" w14:textId="77777777" w:rsidR="000B42F8" w:rsidRPr="000B42F8" w:rsidRDefault="000B42F8" w:rsidP="000B42F8">
            <w:pPr>
              <w:widowControl/>
              <w:tabs>
                <w:tab w:val="left" w:pos="2552"/>
                <w:tab w:val="center" w:pos="4677"/>
              </w:tabs>
              <w:spacing w:before="60" w:after="60"/>
              <w:jc w:val="left"/>
              <w:rPr>
                <w:sz w:val="20"/>
              </w:rPr>
            </w:pPr>
            <w:r w:rsidRPr="000B42F8">
              <w:rPr>
                <w:sz w:val="20"/>
              </w:rPr>
              <w:t>D.3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2172E0BF"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October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F24B1D0"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At the websites (or authorised such use): </w:t>
            </w:r>
          </w:p>
          <w:p w14:paraId="4DC65BC4" w14:textId="15E1ACC7" w:rsidR="000B42F8" w:rsidRPr="000B42F8" w:rsidRDefault="000B42F8" w:rsidP="008E123E">
            <w:pPr>
              <w:widowControl/>
              <w:tabs>
                <w:tab w:val="left" w:pos="2552"/>
                <w:tab w:val="center" w:pos="4677"/>
              </w:tabs>
              <w:spacing w:before="60" w:after="60" w:line="240" w:lineRule="auto"/>
              <w:ind w:left="208" w:hanging="208"/>
              <w:jc w:val="left"/>
              <w:rPr>
                <w:sz w:val="20"/>
              </w:rPr>
            </w:pPr>
            <w:r w:rsidRPr="000B42F8">
              <w:rPr>
                <w:rFonts w:ascii="Symbol" w:hAnsi="Symbol"/>
                <w:sz w:val="20"/>
              </w:rPr>
              <w:t></w:t>
            </w:r>
            <w:r w:rsidR="008E123E">
              <w:rPr>
                <w:rFonts w:ascii="Symbol" w:hAnsi="Symbol"/>
                <w:sz w:val="20"/>
              </w:rPr>
              <w:t></w:t>
            </w:r>
            <w:r w:rsidRPr="000B42F8">
              <w:rPr>
                <w:color w:val="0000FF"/>
                <w:sz w:val="20"/>
                <w:u w:val="single"/>
              </w:rPr>
              <w:t>www.aperturemarrickville.com.au</w:t>
            </w:r>
            <w:r w:rsidRPr="000B42F8">
              <w:rPr>
                <w:sz w:val="20"/>
              </w:rPr>
              <w:t xml:space="preserve"> </w:t>
            </w:r>
          </w:p>
          <w:p w14:paraId="4DBB5AEC" w14:textId="10A275D3" w:rsidR="000B42F8" w:rsidRPr="000B42F8" w:rsidRDefault="000B42F8" w:rsidP="008E123E">
            <w:pPr>
              <w:widowControl/>
              <w:tabs>
                <w:tab w:val="left" w:pos="2552"/>
                <w:tab w:val="center" w:pos="4677"/>
              </w:tabs>
              <w:spacing w:before="60" w:after="60" w:line="240" w:lineRule="auto"/>
              <w:ind w:left="208" w:hanging="208"/>
              <w:jc w:val="left"/>
              <w:rPr>
                <w:sz w:val="20"/>
              </w:rPr>
            </w:pPr>
            <w:r w:rsidRPr="000B42F8">
              <w:rPr>
                <w:rFonts w:ascii="Symbol" w:hAnsi="Symbol"/>
                <w:sz w:val="20"/>
              </w:rPr>
              <w:t></w:t>
            </w:r>
            <w:r w:rsidRPr="000B42F8">
              <w:rPr>
                <w:rFonts w:ascii="Symbol" w:hAnsi="Symbol"/>
                <w:sz w:val="20"/>
              </w:rPr>
              <w:tab/>
            </w:r>
            <w:r w:rsidR="008E123E">
              <w:rPr>
                <w:sz w:val="20"/>
              </w:rPr>
              <w:t xml:space="preserve">at </w:t>
            </w:r>
            <w:r w:rsidRPr="000B42F8">
              <w:rPr>
                <w:color w:val="0000FF"/>
                <w:sz w:val="20"/>
                <w:u w:val="single"/>
              </w:rPr>
              <w:t>www.thebirdwood.com.au</w:t>
            </w:r>
          </w:p>
          <w:p w14:paraId="279BFF14" w14:textId="65A15F7C" w:rsidR="000B42F8" w:rsidRPr="008E123E" w:rsidRDefault="000B42F8" w:rsidP="008E123E">
            <w:pPr>
              <w:widowControl/>
              <w:tabs>
                <w:tab w:val="left" w:pos="2552"/>
                <w:tab w:val="center" w:pos="4677"/>
              </w:tabs>
              <w:spacing w:before="60" w:after="60" w:line="240" w:lineRule="auto"/>
              <w:ind w:left="360" w:hanging="360"/>
              <w:jc w:val="left"/>
              <w:rPr>
                <w:rFonts w:ascii="Symbol" w:hAnsi="Symbol"/>
                <w:sz w:val="20"/>
              </w:rPr>
            </w:pPr>
            <w:r w:rsidRPr="000B42F8">
              <w:rPr>
                <w:rFonts w:ascii="Symbol" w:hAnsi="Symbol"/>
                <w:sz w:val="20"/>
              </w:rPr>
              <w:t></w:t>
            </w:r>
            <w:r w:rsidR="008E123E">
              <w:rPr>
                <w:rFonts w:ascii="Symbol" w:hAnsi="Symbol"/>
                <w:sz w:val="20"/>
              </w:rPr>
              <w:t></w:t>
            </w:r>
            <w:r w:rsidRPr="000B42F8">
              <w:rPr>
                <w:color w:val="0000FF"/>
                <w:sz w:val="20"/>
                <w:u w:val="single"/>
              </w:rPr>
              <w:t>www.libertysutherland.com.au</w:t>
            </w:r>
            <w:r w:rsidRPr="000B42F8">
              <w:rPr>
                <w:sz w:val="20"/>
              </w:rPr>
              <w:t xml:space="preserve"> </w:t>
            </w:r>
          </w:p>
          <w:p w14:paraId="1BEA0D19" w14:textId="77777777" w:rsidR="008E123E" w:rsidRDefault="000B42F8" w:rsidP="000B42F8">
            <w:pPr>
              <w:widowControl/>
              <w:tabs>
                <w:tab w:val="left" w:pos="2552"/>
                <w:tab w:val="center" w:pos="4677"/>
              </w:tabs>
              <w:spacing w:before="60" w:after="60" w:line="240" w:lineRule="auto"/>
              <w:ind w:left="360" w:hanging="360"/>
              <w:jc w:val="left"/>
              <w:rPr>
                <w:sz w:val="20"/>
              </w:rPr>
            </w:pPr>
            <w:r w:rsidRPr="000B42F8">
              <w:rPr>
                <w:rFonts w:ascii="Symbol" w:hAnsi="Symbol"/>
                <w:sz w:val="20"/>
              </w:rPr>
              <w:t></w:t>
            </w:r>
            <w:r w:rsidRPr="000B42F8">
              <w:rPr>
                <w:rFonts w:ascii="Symbol" w:hAnsi="Symbol"/>
                <w:sz w:val="20"/>
              </w:rPr>
              <w:tab/>
            </w:r>
            <w:r w:rsidRPr="000B42F8">
              <w:rPr>
                <w:sz w:val="20"/>
              </w:rPr>
              <w:t xml:space="preserve">from July 2019, </w:t>
            </w:r>
          </w:p>
          <w:p w14:paraId="269578F6" w14:textId="6D479CCC" w:rsidR="000B42F8" w:rsidRPr="000B42F8" w:rsidRDefault="000B42F8" w:rsidP="008E123E">
            <w:pPr>
              <w:widowControl/>
              <w:tabs>
                <w:tab w:val="left" w:pos="2552"/>
                <w:tab w:val="center" w:pos="4677"/>
              </w:tabs>
              <w:spacing w:before="60" w:after="60" w:line="240" w:lineRule="auto"/>
              <w:jc w:val="left"/>
              <w:rPr>
                <w:sz w:val="20"/>
              </w:rPr>
            </w:pPr>
            <w:r w:rsidRPr="000B42F8">
              <w:rPr>
                <w:color w:val="0000FF"/>
                <w:sz w:val="20"/>
                <w:u w:val="single"/>
              </w:rPr>
              <w:t>www.quartierdrummoyne.com.au</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4F4E2EE9"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apartments at the specified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56A8DAB"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4088, 4093, 4099, 4104 </w:t>
            </w:r>
          </w:p>
          <w:p w14:paraId="63C9979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PS-10</w:t>
            </w:r>
          </w:p>
          <w:p w14:paraId="47CA283E"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23F63CE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1E19065" w14:textId="77777777" w:rsidR="000B42F8" w:rsidRPr="000B42F8" w:rsidRDefault="000B42F8" w:rsidP="000B42F8">
            <w:pPr>
              <w:widowControl/>
              <w:tabs>
                <w:tab w:val="left" w:pos="2552"/>
                <w:tab w:val="center" w:pos="4677"/>
              </w:tabs>
              <w:spacing w:before="60" w:after="60"/>
              <w:jc w:val="left"/>
              <w:rPr>
                <w:sz w:val="20"/>
              </w:rPr>
            </w:pPr>
            <w:r w:rsidRPr="000B42F8">
              <w:rPr>
                <w:sz w:val="20"/>
              </w:rPr>
              <w:t>D.4</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356D51DA"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the latest February 2019 (but no earlier than 2 May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3DE9E5E5" w14:textId="2CDE46D7" w:rsidR="000B42F8" w:rsidRPr="000B42F8" w:rsidRDefault="000B42F8" w:rsidP="000B42F8">
            <w:pPr>
              <w:widowControl/>
              <w:tabs>
                <w:tab w:val="left" w:pos="2552"/>
                <w:tab w:val="center" w:pos="4677"/>
              </w:tabs>
              <w:spacing w:before="60" w:after="60"/>
              <w:jc w:val="left"/>
              <w:rPr>
                <w:sz w:val="20"/>
              </w:rPr>
            </w:pPr>
            <w:r w:rsidRPr="000B42F8">
              <w:rPr>
                <w:sz w:val="20"/>
              </w:rPr>
              <w:t xml:space="preserve">At its website at the domain name </w:t>
            </w:r>
            <w:r w:rsidRPr="000B42F8">
              <w:rPr>
                <w:color w:val="0000FF"/>
                <w:sz w:val="20"/>
                <w:u w:val="single"/>
              </w:rPr>
              <w:t>www.henleygallery.com.au</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512569E4"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for residential projects</w:t>
            </w:r>
            <w:r w:rsidRPr="000B42F8">
              <w:rPr>
                <w:b/>
                <w:i/>
                <w:sz w:val="20"/>
              </w:rPr>
              <w:t xml:space="preserve"> </w:t>
            </w:r>
            <w:r w:rsidRPr="000B42F8">
              <w:rPr>
                <w:sz w:val="20"/>
              </w:rPr>
              <w:t>and the multi-dwelling apartment block at the “Aperture Apartments”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235C38A8"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JML-59</w:t>
            </w:r>
          </w:p>
        </w:tc>
      </w:tr>
      <w:tr w:rsidR="000B42F8" w:rsidRPr="000B42F8" w14:paraId="7C60DFF1"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88C3D45"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D.5</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7174C7D"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prior to 25 July 2019</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53DE621A" w14:textId="77777777" w:rsidR="000B42F8" w:rsidRPr="000B42F8" w:rsidRDefault="000B42F8" w:rsidP="000B42F8">
            <w:pPr>
              <w:widowControl/>
              <w:tabs>
                <w:tab w:val="left" w:pos="2552"/>
                <w:tab w:val="center" w:pos="4677"/>
              </w:tabs>
              <w:spacing w:before="60" w:after="60"/>
              <w:jc w:val="left"/>
              <w:rPr>
                <w:sz w:val="20"/>
              </w:rPr>
            </w:pPr>
            <w:r w:rsidRPr="000B42F8">
              <w:rPr>
                <w:sz w:val="20"/>
              </w:rPr>
              <w:t>Generally and for friends, including for Ali Hassan at the property at 23 The Grand Parade, Brighton-Le Sands, New South Wales 2216, including by display on hoarding at that site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56661AE"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Building and construction services in respect of single dwelling structural alterations, single dwelling non-structural renovations, construction of new duplexes, and construction of new single dwellings </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13BE08B6"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JML-90 </w:t>
            </w:r>
            <w:r w:rsidRPr="000B42F8">
              <w:rPr>
                <w:bCs/>
                <w:sz w:val="20"/>
              </w:rPr>
              <w:t xml:space="preserve">Tender Bundle: </w:t>
            </w:r>
            <w:r w:rsidRPr="000B42F8">
              <w:rPr>
                <w:sz w:val="20"/>
              </w:rPr>
              <w:t>5798, 5799</w:t>
            </w:r>
          </w:p>
        </w:tc>
      </w:tr>
      <w:tr w:rsidR="000B42F8" w:rsidRPr="000B42F8" w14:paraId="3C097F1C"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B7C18BD" w14:textId="77777777" w:rsidR="000B42F8" w:rsidRPr="000B42F8" w:rsidRDefault="000B42F8" w:rsidP="000B42F8">
            <w:pPr>
              <w:keepNext/>
              <w:widowControl/>
              <w:tabs>
                <w:tab w:val="left" w:pos="2552"/>
                <w:tab w:val="center" w:pos="4677"/>
              </w:tabs>
              <w:spacing w:before="60" w:after="60"/>
              <w:jc w:val="left"/>
              <w:rPr>
                <w:b/>
                <w:bCs/>
                <w:noProof/>
                <w:sz w:val="20"/>
              </w:rPr>
            </w:pPr>
            <w:r w:rsidRPr="000B42F8">
              <w:rPr>
                <w:b/>
                <w:bCs/>
                <w:noProof/>
                <w:sz w:val="20"/>
              </w:rPr>
              <w:t>E</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52CDCB9F" w14:textId="77777777" w:rsidR="000B42F8" w:rsidRPr="000B42F8" w:rsidRDefault="000B42F8" w:rsidP="000B42F8">
            <w:pPr>
              <w:widowControl/>
              <w:tabs>
                <w:tab w:val="left" w:pos="2552"/>
                <w:tab w:val="center" w:pos="4677"/>
              </w:tabs>
              <w:spacing w:before="60" w:after="60"/>
              <w:jc w:val="left"/>
              <w:rPr>
                <w:sz w:val="20"/>
              </w:rPr>
            </w:pPr>
            <w:r w:rsidRPr="000B42F8">
              <w:rPr>
                <w:b/>
                <w:bCs/>
                <w:noProof/>
                <w:sz w:val="20"/>
              </w:rPr>
              <w:t>HENLEY</w:t>
            </w:r>
          </w:p>
        </w:tc>
      </w:tr>
      <w:tr w:rsidR="000B42F8" w:rsidRPr="000B42F8" w14:paraId="1864154D"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35E21AC" w14:textId="77777777" w:rsidR="000B42F8" w:rsidRPr="000B42F8" w:rsidRDefault="000B42F8" w:rsidP="000B42F8">
            <w:pPr>
              <w:widowControl/>
              <w:tabs>
                <w:tab w:val="left" w:pos="2552"/>
                <w:tab w:val="center" w:pos="4677"/>
              </w:tabs>
              <w:spacing w:before="60" w:after="60"/>
              <w:jc w:val="left"/>
              <w:rPr>
                <w:sz w:val="20"/>
              </w:rPr>
            </w:pPr>
            <w:r w:rsidRPr="000B42F8">
              <w:rPr>
                <w:sz w:val="20"/>
              </w:rPr>
              <w:t>E.1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D3EAEC8" w14:textId="77777777" w:rsidR="000B42F8" w:rsidRPr="000B42F8" w:rsidRDefault="000B42F8" w:rsidP="000B42F8">
            <w:pPr>
              <w:widowControl/>
              <w:tabs>
                <w:tab w:val="left" w:pos="2552"/>
                <w:tab w:val="center" w:pos="4677"/>
              </w:tabs>
              <w:spacing w:before="60" w:after="60"/>
              <w:jc w:val="left"/>
              <w:rPr>
                <w:sz w:val="20"/>
              </w:rPr>
            </w:pPr>
            <w:r w:rsidRPr="000B42F8">
              <w:rPr>
                <w:sz w:val="20"/>
              </w:rPr>
              <w:t>February 2017 – August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8C40CB1"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Henley Constructions Website (including vertical image of HENLEY sign at ground level of a building)</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427BA91"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“boutique and large-scale residential projects ranging from 10 to 500 units”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32D2578"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JML-13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1558</w:t>
            </w:r>
            <w:r w:rsidRPr="000B42F8">
              <w:rPr>
                <w:rFonts w:asciiTheme="majorBidi" w:hAnsiTheme="majorBidi"/>
                <w:sz w:val="20"/>
              </w:rPr>
              <w:t xml:space="preserve">, </w:t>
            </w:r>
            <w:r w:rsidRPr="000B42F8">
              <w:rPr>
                <w:rFonts w:asciiTheme="majorBidi" w:hAnsiTheme="majorBidi" w:cstheme="majorBidi"/>
                <w:sz w:val="20"/>
                <w:lang w:eastAsia="zh-CN"/>
              </w:rPr>
              <w:t xml:space="preserve">1569, 1570, 1575, 1580 [admitted accurately depict, in response to paragraph 35 of the First Notice to Admit, see paragraph 9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6032970"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JML-14 – Henley Constructions Website at 27/2/17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1585, 1586, 1590 [admitted accurately depict, in response to paragraph 36 of the First Notice to Admit, see paragraph 10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1259740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(before Feb 2017, see A18 page 2) </w:t>
            </w:r>
          </w:p>
          <w:p w14:paraId="0CC5B958" w14:textId="77777777" w:rsidR="000B42F8" w:rsidRPr="000B42F8" w:rsidRDefault="000B42F8" w:rsidP="000B42F8">
            <w:pPr>
              <w:widowControl/>
              <w:spacing w:before="240" w:after="120"/>
              <w:jc w:val="left"/>
              <w:rPr>
                <w:sz w:val="20"/>
                <w:lang w:eastAsia="en-GB"/>
              </w:rPr>
            </w:pPr>
            <w:r w:rsidRPr="000B42F8">
              <w:rPr>
                <w:rFonts w:asciiTheme="majorBidi" w:hAnsiTheme="majorBidi" w:cstheme="majorBidi"/>
                <w:sz w:val="20"/>
                <w:lang w:eastAsia="zh-CN"/>
              </w:rPr>
              <w:t xml:space="preserve">On Henley gallery website at JML-59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2148, 2151 </w:t>
            </w:r>
          </w:p>
        </w:tc>
      </w:tr>
      <w:tr w:rsidR="000B42F8" w:rsidRPr="000B42F8" w14:paraId="3B4B64C3"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291E484" w14:textId="77777777" w:rsidR="000B42F8" w:rsidRPr="000B42F8" w:rsidRDefault="000B42F8" w:rsidP="000B42F8">
            <w:pPr>
              <w:widowControl/>
              <w:tabs>
                <w:tab w:val="left" w:pos="2552"/>
                <w:tab w:val="center" w:pos="4677"/>
              </w:tabs>
              <w:spacing w:before="60" w:after="60"/>
              <w:jc w:val="left"/>
              <w:rPr>
                <w:sz w:val="20"/>
              </w:rPr>
            </w:pPr>
            <w:r w:rsidRPr="000B42F8">
              <w:rPr>
                <w:sz w:val="20"/>
              </w:rPr>
              <w:t>E.2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41F888F9" w14:textId="77777777" w:rsidR="000B42F8" w:rsidRPr="000B42F8" w:rsidRDefault="000B42F8" w:rsidP="000B42F8">
            <w:pPr>
              <w:widowControl/>
              <w:tabs>
                <w:tab w:val="left" w:pos="2552"/>
                <w:tab w:val="center" w:pos="4677"/>
              </w:tabs>
              <w:spacing w:before="60" w:after="60"/>
              <w:jc w:val="left"/>
              <w:rPr>
                <w:sz w:val="20"/>
              </w:rPr>
            </w:pPr>
            <w:r w:rsidRPr="000B42F8">
              <w:rPr>
                <w:sz w:val="20"/>
              </w:rPr>
              <w:t>Around 28 March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76AB9D4F"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Advertisement in </w:t>
            </w:r>
            <w:r w:rsidRPr="000B42F8">
              <w:rPr>
                <w:i/>
                <w:iCs/>
                <w:sz w:val="20"/>
              </w:rPr>
              <w:t>Inner West Courier Newspaper</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0BECC46"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“high-quality residential projects” and a multi-dwelling apartment block</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22AF548D" w14:textId="77777777" w:rsidR="000B42F8" w:rsidRPr="000B42F8" w:rsidRDefault="000B42F8" w:rsidP="000B42F8">
            <w:pPr>
              <w:widowControl/>
              <w:tabs>
                <w:tab w:val="left" w:pos="2552"/>
                <w:tab w:val="center" w:pos="4677"/>
              </w:tabs>
              <w:spacing w:before="60" w:after="60"/>
              <w:jc w:val="left"/>
              <w:rPr>
                <w:sz w:val="20"/>
              </w:rPr>
            </w:pPr>
            <w:r w:rsidRPr="000B42F8">
              <w:rPr>
                <w:sz w:val="20"/>
              </w:rPr>
              <w:t>PS-10</w:t>
            </w:r>
          </w:p>
        </w:tc>
      </w:tr>
      <w:tr w:rsidR="000B42F8" w:rsidRPr="000B42F8" w14:paraId="30D971B6"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66567E0"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E.3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0B4EF0D1"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Since around </w:t>
            </w:r>
            <w:proofErr w:type="spellStart"/>
            <w:r w:rsidRPr="000B42F8">
              <w:rPr>
                <w:sz w:val="20"/>
              </w:rPr>
              <w:t>mid 2017</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E793FBD"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the number plate of utes decorated with decals showing the third Henley Constructions logo (that have been parked at or in front of building and construction sites), including in the form HENLEY and H3NL3Y</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C8F303E"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or construction services in respect of single dwellings and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5C3A9AA8"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PS-9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4117 (Instagram image of “Fleet of vehicles” showing decal)</w:t>
            </w:r>
          </w:p>
          <w:p w14:paraId="4F4BFA98" w14:textId="77777777" w:rsidR="000B42F8" w:rsidRPr="000B42F8" w:rsidRDefault="000B42F8" w:rsidP="000B42F8">
            <w:pPr>
              <w:widowControl/>
              <w:tabs>
                <w:tab w:val="left" w:pos="2552"/>
                <w:tab w:val="center" w:pos="4677"/>
              </w:tabs>
              <w:spacing w:before="60" w:after="60"/>
              <w:jc w:val="left"/>
              <w:rPr>
                <w:sz w:val="20"/>
                <w:lang w:eastAsia="en-GB"/>
              </w:rPr>
            </w:pPr>
            <w:r w:rsidRPr="000B42F8">
              <w:rPr>
                <w:rFonts w:asciiTheme="majorBidi" w:hAnsiTheme="majorBidi" w:cstheme="majorBidi"/>
                <w:sz w:val="20"/>
                <w:lang w:val="fr-FR" w:eastAsia="zh-CN"/>
              </w:rPr>
              <w:t xml:space="preserve">P </w:t>
            </w:r>
            <w:proofErr w:type="spellStart"/>
            <w:r w:rsidRPr="000B42F8">
              <w:rPr>
                <w:rFonts w:asciiTheme="majorBidi" w:hAnsiTheme="majorBidi" w:cstheme="majorBidi"/>
                <w:sz w:val="20"/>
                <w:lang w:val="fr-FR" w:eastAsia="zh-CN"/>
              </w:rPr>
              <w:t>Sarkis</w:t>
            </w:r>
            <w:proofErr w:type="spellEnd"/>
            <w:r w:rsidRPr="000B42F8">
              <w:rPr>
                <w:rFonts w:asciiTheme="majorBidi" w:hAnsiTheme="majorBidi" w:cstheme="majorBidi"/>
                <w:sz w:val="20"/>
                <w:lang w:val="fr-FR" w:eastAsia="zh-CN"/>
              </w:rPr>
              <w:t xml:space="preserve"> XXN T.321.23-34</w:t>
            </w:r>
          </w:p>
        </w:tc>
      </w:tr>
      <w:tr w:rsidR="000B42F8" w:rsidRPr="000B42F8" w14:paraId="3DDBF0B3"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0EC1A73" w14:textId="77777777" w:rsidR="000B42F8" w:rsidRPr="000B42F8" w:rsidRDefault="000B42F8" w:rsidP="000B42F8">
            <w:pPr>
              <w:widowControl/>
              <w:tabs>
                <w:tab w:val="left" w:pos="2552"/>
                <w:tab w:val="center" w:pos="4677"/>
              </w:tabs>
              <w:spacing w:before="60" w:after="60"/>
              <w:jc w:val="left"/>
              <w:rPr>
                <w:sz w:val="20"/>
              </w:rPr>
            </w:pPr>
            <w:r w:rsidRPr="000B42F8">
              <w:rPr>
                <w:sz w:val="20"/>
              </w:rPr>
              <w:t>E.4</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CBF849F"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at least September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7A4F8F3D" w14:textId="77777777" w:rsidR="000B42F8" w:rsidRPr="000B42F8" w:rsidRDefault="000B42F8" w:rsidP="000B42F8">
            <w:pPr>
              <w:widowControl/>
              <w:tabs>
                <w:tab w:val="left" w:pos="2552"/>
                <w:tab w:val="center" w:pos="4677"/>
              </w:tabs>
              <w:spacing w:before="60" w:after="60"/>
              <w:jc w:val="left"/>
              <w:rPr>
                <w:sz w:val="20"/>
              </w:rPr>
            </w:pPr>
            <w:r w:rsidRPr="000B42F8">
              <w:rPr>
                <w:sz w:val="20"/>
              </w:rPr>
              <w:t>At ground level on the front of the building and (up to a time before September 2019) at 128 Parramatta Road, Camperdown, New South Wales [when used in conjunction with THE HENLEY DISPLAY GALLERY and the third Henley Constructions logo]</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5937224D"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an apartment block called “Aperture” or “Marrickville Luxury Apartments”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32BC9A7"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JML-46</w:t>
            </w:r>
          </w:p>
          <w:p w14:paraId="31E3D1CD" w14:textId="77777777" w:rsidR="000B42F8" w:rsidRPr="000B42F8" w:rsidRDefault="000B42F8" w:rsidP="000B42F8">
            <w:pPr>
              <w:widowControl/>
              <w:tabs>
                <w:tab w:val="left" w:pos="2552"/>
                <w:tab w:val="center" w:pos="4677"/>
              </w:tabs>
              <w:spacing w:before="60" w:after="60"/>
              <w:jc w:val="left"/>
              <w:rPr>
                <w:sz w:val="20"/>
              </w:rPr>
            </w:pPr>
          </w:p>
          <w:p w14:paraId="0BF47FEA" w14:textId="77777777" w:rsidR="000B42F8" w:rsidRPr="000B42F8" w:rsidRDefault="000B42F8" w:rsidP="000B42F8">
            <w:pPr>
              <w:widowControl/>
              <w:tabs>
                <w:tab w:val="left" w:pos="2552"/>
                <w:tab w:val="center" w:pos="4677"/>
              </w:tabs>
              <w:spacing w:before="60" w:after="60"/>
              <w:jc w:val="left"/>
              <w:rPr>
                <w:sz w:val="20"/>
              </w:rPr>
            </w:pPr>
          </w:p>
        </w:tc>
      </w:tr>
      <w:tr w:rsidR="000B42F8" w:rsidRPr="000B42F8" w14:paraId="73F1841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9ADE1D0" w14:textId="77777777" w:rsidR="000B42F8" w:rsidRPr="000B42F8" w:rsidRDefault="000B42F8" w:rsidP="000B42F8">
            <w:pPr>
              <w:widowControl/>
              <w:tabs>
                <w:tab w:val="left" w:pos="2552"/>
                <w:tab w:val="center" w:pos="4677"/>
              </w:tabs>
              <w:spacing w:before="60" w:after="60"/>
              <w:jc w:val="left"/>
              <w:rPr>
                <w:sz w:val="20"/>
              </w:rPr>
            </w:pPr>
            <w:r w:rsidRPr="000B42F8">
              <w:rPr>
                <w:sz w:val="20"/>
              </w:rPr>
              <w:t>E.5</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EBCB9C9"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October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093029F7" w14:textId="5BB6A346" w:rsidR="000B42F8" w:rsidRPr="000B42F8" w:rsidRDefault="000B42F8" w:rsidP="000B42F8">
            <w:pPr>
              <w:widowControl/>
              <w:tabs>
                <w:tab w:val="left" w:pos="2552"/>
                <w:tab w:val="center" w:pos="4677"/>
              </w:tabs>
              <w:spacing w:before="60" w:after="60"/>
              <w:jc w:val="left"/>
              <w:rPr>
                <w:sz w:val="20"/>
              </w:rPr>
            </w:pPr>
            <w:r w:rsidRPr="000B42F8">
              <w:rPr>
                <w:sz w:val="20"/>
              </w:rPr>
              <w:t xml:space="preserve">At the website at </w:t>
            </w:r>
            <w:r w:rsidRPr="000B42F8">
              <w:rPr>
                <w:color w:val="0000FF"/>
                <w:sz w:val="20"/>
                <w:u w:val="single"/>
              </w:rPr>
              <w:t>www.aperturemarrickville.com.au</w:t>
            </w:r>
            <w:r w:rsidRPr="000B42F8">
              <w:rPr>
                <w:sz w:val="20"/>
              </w:rPr>
              <w:t xml:space="preserve"> (or authorised such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7C6A952"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apartments at the “Aperture at Marrickville”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B5A784B"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4088 </w:t>
            </w:r>
          </w:p>
          <w:p w14:paraId="18C5B65B"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22BE0977"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1366628B" w14:textId="77777777" w:rsidR="000B42F8" w:rsidRPr="000B42F8" w:rsidRDefault="000B42F8" w:rsidP="000B42F8">
            <w:pPr>
              <w:widowControl/>
              <w:tabs>
                <w:tab w:val="left" w:pos="2552"/>
                <w:tab w:val="center" w:pos="4677"/>
              </w:tabs>
              <w:spacing w:before="60" w:after="60"/>
              <w:jc w:val="left"/>
              <w:rPr>
                <w:sz w:val="20"/>
              </w:rPr>
            </w:pPr>
            <w:r w:rsidRPr="000B42F8">
              <w:rPr>
                <w:sz w:val="20"/>
              </w:rPr>
              <w:t>E.6</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9DF3AD9"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October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3E17431" w14:textId="68A6B940" w:rsidR="000B42F8" w:rsidRPr="000B42F8" w:rsidRDefault="000B42F8" w:rsidP="000B42F8">
            <w:pPr>
              <w:widowControl/>
              <w:tabs>
                <w:tab w:val="left" w:pos="2552"/>
                <w:tab w:val="center" w:pos="4677"/>
              </w:tabs>
              <w:spacing w:before="60" w:after="60"/>
              <w:jc w:val="left"/>
              <w:rPr>
                <w:sz w:val="20"/>
              </w:rPr>
            </w:pPr>
            <w:r w:rsidRPr="000B42F8">
              <w:rPr>
                <w:sz w:val="20"/>
              </w:rPr>
              <w:t xml:space="preserve">At the website at </w:t>
            </w:r>
            <w:r w:rsidRPr="000B42F8">
              <w:rPr>
                <w:color w:val="0000FF"/>
                <w:sz w:val="20"/>
                <w:u w:val="single"/>
              </w:rPr>
              <w:t>www.thebirdwood.com.au</w:t>
            </w:r>
            <w:r w:rsidRPr="000B42F8">
              <w:rPr>
                <w:sz w:val="20"/>
              </w:rPr>
              <w:t xml:space="preserve"> (or authorised such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5B336214"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multi-dwelling apartment block at the “Birdwood”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D4670C8"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4093 </w:t>
            </w:r>
          </w:p>
          <w:p w14:paraId="7261887D"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23A112D6"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6F7DDCFD" w14:textId="77777777" w:rsidR="000B42F8" w:rsidRPr="000B42F8" w:rsidRDefault="000B42F8" w:rsidP="000B42F8">
            <w:pPr>
              <w:widowControl/>
              <w:tabs>
                <w:tab w:val="left" w:pos="2552"/>
                <w:tab w:val="center" w:pos="4677"/>
              </w:tabs>
              <w:spacing w:before="60" w:after="60"/>
              <w:jc w:val="left"/>
              <w:rPr>
                <w:b/>
                <w:bCs/>
                <w:noProof/>
                <w:sz w:val="20"/>
              </w:rPr>
            </w:pPr>
            <w:r w:rsidRPr="000B42F8">
              <w:rPr>
                <w:b/>
                <w:bCs/>
                <w:noProof/>
                <w:sz w:val="20"/>
              </w:rPr>
              <w:t>F</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4A93D00B" w14:textId="77777777" w:rsidR="000B42F8" w:rsidRPr="000B42F8" w:rsidRDefault="000B42F8" w:rsidP="000B42F8">
            <w:pPr>
              <w:widowControl/>
              <w:tabs>
                <w:tab w:val="left" w:pos="2552"/>
                <w:tab w:val="center" w:pos="4677"/>
              </w:tabs>
              <w:spacing w:before="60" w:after="60"/>
              <w:jc w:val="left"/>
              <w:rPr>
                <w:sz w:val="20"/>
              </w:rPr>
            </w:pPr>
            <w:r w:rsidRPr="000B42F8">
              <w:rPr>
                <w:b/>
                <w:bCs/>
                <w:noProof/>
                <w:sz w:val="20"/>
              </w:rPr>
              <w:t>1300 HENLEY</w:t>
            </w:r>
          </w:p>
        </w:tc>
      </w:tr>
      <w:tr w:rsidR="000B42F8" w:rsidRPr="000B42F8" w14:paraId="4B64F4A5"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55C513D" w14:textId="77777777" w:rsidR="000B42F8" w:rsidRPr="000B42F8" w:rsidRDefault="000B42F8" w:rsidP="000B42F8">
            <w:pPr>
              <w:widowControl/>
              <w:tabs>
                <w:tab w:val="left" w:pos="2552"/>
                <w:tab w:val="center" w:pos="4677"/>
              </w:tabs>
              <w:spacing w:before="60" w:after="60"/>
              <w:jc w:val="left"/>
              <w:rPr>
                <w:sz w:val="20"/>
              </w:rPr>
            </w:pPr>
            <w:r w:rsidRPr="000B42F8">
              <w:rPr>
                <w:sz w:val="20"/>
              </w:rPr>
              <w:t>F.1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1A58585" w14:textId="77777777" w:rsidR="000B42F8" w:rsidRPr="000B42F8" w:rsidRDefault="000B42F8" w:rsidP="000B42F8">
            <w:pPr>
              <w:widowControl/>
              <w:tabs>
                <w:tab w:val="left" w:pos="2552"/>
                <w:tab w:val="center" w:pos="4677"/>
              </w:tabs>
              <w:spacing w:before="60" w:after="60"/>
              <w:jc w:val="left"/>
              <w:rPr>
                <w:sz w:val="20"/>
              </w:rPr>
            </w:pPr>
            <w:r w:rsidRPr="000B42F8">
              <w:rPr>
                <w:sz w:val="20"/>
              </w:rPr>
              <w:t>February 2017 – August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760042F6"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Henley Constructions Website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0315DD1E"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Building and construction services for “boutique and </w:t>
            </w:r>
            <w:r w:rsidRPr="000B42F8">
              <w:rPr>
                <w:sz w:val="20"/>
              </w:rPr>
              <w:lastRenderedPageBreak/>
              <w:t>large-scale residential projects ranging from 10 to 500 units”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8D08436"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lastRenderedPageBreak/>
              <w:t xml:space="preserve">JML-13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1566-1568, 1570, 1574, 1577, 1579  [admitted accurately depict, in </w:t>
            </w:r>
            <w:r w:rsidRPr="000B42F8">
              <w:rPr>
                <w:rFonts w:asciiTheme="majorBidi" w:hAnsiTheme="majorBidi" w:cstheme="majorBidi"/>
                <w:sz w:val="20"/>
                <w:lang w:eastAsia="zh-CN"/>
              </w:rPr>
              <w:lastRenderedPageBreak/>
              <w:t xml:space="preserve">response to paragraph 35 of the First Notice to Admit, see paragraph 9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726D1449"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JML-14 – Henley Constructions Website at 27/2/17,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1583, 1584, 1587, 1589, 1590, 1593, 1594 [admitted accurately depict, in response to paragraph 36 of the First Notice to Admit, see paragraph 10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86, Ex A14] </w:t>
            </w:r>
          </w:p>
          <w:p w14:paraId="5DB0316C"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636209F5"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B0A33CE"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F.2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1726C2E"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August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2DAD14C7"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business cards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6402D7A1"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or construction services in respect of single dwellings and multi-dwelling low rise and medium rise multi-storey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5C172450"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JML-10 use on Business cards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1532 [Admitted appearance paragraphs 4, 5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7ED8EF52" w14:textId="77777777" w:rsidR="000B42F8" w:rsidRPr="000B42F8" w:rsidRDefault="000B42F8" w:rsidP="000B42F8">
            <w:pPr>
              <w:widowControl/>
              <w:spacing w:before="240" w:after="120"/>
              <w:jc w:val="left"/>
              <w:rPr>
                <w:sz w:val="20"/>
                <w:lang w:eastAsia="en-GB"/>
              </w:rPr>
            </w:pPr>
            <w:r w:rsidRPr="000B42F8">
              <w:rPr>
                <w:rFonts w:asciiTheme="majorBidi" w:hAnsiTheme="majorBidi" w:cstheme="majorBidi"/>
                <w:sz w:val="20"/>
                <w:lang w:eastAsia="zh-CN"/>
              </w:rPr>
              <w:t xml:space="preserve">(also at HQ building on door – JML-10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1525-1526)</w:t>
            </w:r>
          </w:p>
        </w:tc>
      </w:tr>
      <w:tr w:rsidR="000B42F8" w:rsidRPr="000B42F8" w14:paraId="4E5594B9"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324EEDE" w14:textId="77777777" w:rsidR="000B42F8" w:rsidRPr="000B42F8" w:rsidRDefault="000B42F8" w:rsidP="000B42F8">
            <w:pPr>
              <w:widowControl/>
              <w:tabs>
                <w:tab w:val="left" w:pos="2552"/>
                <w:tab w:val="center" w:pos="4677"/>
              </w:tabs>
              <w:spacing w:before="60" w:after="60"/>
              <w:jc w:val="left"/>
              <w:rPr>
                <w:sz w:val="20"/>
              </w:rPr>
            </w:pPr>
            <w:r w:rsidRPr="000B42F8">
              <w:rPr>
                <w:sz w:val="20"/>
              </w:rPr>
              <w:t>F.3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AECA5F1"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15 February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3A712F2"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Facebook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8ECC9F"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 repair, flooring, remedial work, general maintenance and cleaning services, and a number of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04CA928"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A19 (pages 11, 13)</w:t>
            </w:r>
          </w:p>
          <w:p w14:paraId="2802429E" w14:textId="77777777" w:rsidR="000B42F8" w:rsidRPr="000B42F8" w:rsidRDefault="000B42F8" w:rsidP="000B42F8">
            <w:pPr>
              <w:widowControl/>
              <w:tabs>
                <w:tab w:val="left" w:pos="2552"/>
                <w:tab w:val="center" w:pos="4677"/>
              </w:tabs>
              <w:spacing w:before="60" w:after="60"/>
              <w:jc w:val="left"/>
              <w:rPr>
                <w:sz w:val="20"/>
                <w:lang w:val="fr-FR"/>
              </w:rPr>
            </w:pPr>
          </w:p>
          <w:p w14:paraId="79C26E21" w14:textId="77777777" w:rsidR="000B42F8" w:rsidRPr="000B42F8" w:rsidRDefault="000B42F8" w:rsidP="000B42F8">
            <w:pPr>
              <w:widowControl/>
              <w:spacing w:before="240" w:after="120"/>
              <w:jc w:val="left"/>
              <w:rPr>
                <w:rFonts w:asciiTheme="majorBidi" w:hAnsiTheme="majorBidi" w:cstheme="majorBidi"/>
                <w:sz w:val="20"/>
                <w:lang w:val="fr-FR" w:eastAsia="zh-CN"/>
              </w:rPr>
            </w:pPr>
            <w:r w:rsidRPr="000B42F8">
              <w:rPr>
                <w:rFonts w:asciiTheme="majorBidi" w:hAnsiTheme="majorBidi" w:cstheme="majorBidi"/>
                <w:sz w:val="20"/>
                <w:lang w:val="fr-FR" w:eastAsia="zh-CN"/>
              </w:rPr>
              <w:t xml:space="preserve">JML-91 </w:t>
            </w:r>
            <w:r w:rsidRPr="000B42F8">
              <w:rPr>
                <w:rFonts w:asciiTheme="majorBidi" w:hAnsiTheme="majorBidi" w:cstheme="majorBidi"/>
                <w:bCs/>
                <w:sz w:val="20"/>
                <w:lang w:val="fr-FR" w:eastAsia="zh-CN"/>
              </w:rPr>
              <w:t xml:space="preserve">Tender Bundle: </w:t>
            </w:r>
            <w:r w:rsidRPr="000B42F8">
              <w:rPr>
                <w:rFonts w:asciiTheme="majorBidi" w:hAnsiTheme="majorBidi" w:cstheme="majorBidi"/>
                <w:sz w:val="20"/>
                <w:lang w:val="fr-FR" w:eastAsia="zh-CN"/>
              </w:rPr>
              <w:t>5807</w:t>
            </w:r>
          </w:p>
          <w:p w14:paraId="3307D3D0" w14:textId="77777777" w:rsidR="000B42F8" w:rsidRPr="000B42F8" w:rsidRDefault="000B42F8" w:rsidP="000B42F8">
            <w:pPr>
              <w:widowControl/>
              <w:tabs>
                <w:tab w:val="left" w:pos="2552"/>
                <w:tab w:val="center" w:pos="4677"/>
              </w:tabs>
              <w:spacing w:before="60" w:after="60"/>
              <w:jc w:val="left"/>
              <w:rPr>
                <w:sz w:val="20"/>
                <w:lang w:val="fr-FR" w:eastAsia="en-GB"/>
              </w:rPr>
            </w:pPr>
          </w:p>
        </w:tc>
      </w:tr>
      <w:tr w:rsidR="000B42F8" w:rsidRPr="000B42F8" w14:paraId="273C118A"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43765F5" w14:textId="77777777" w:rsidR="000B42F8" w:rsidRPr="000B42F8" w:rsidRDefault="000B42F8" w:rsidP="000B42F8">
            <w:pPr>
              <w:widowControl/>
              <w:tabs>
                <w:tab w:val="left" w:pos="2552"/>
                <w:tab w:val="center" w:pos="4677"/>
              </w:tabs>
              <w:spacing w:before="60" w:after="60"/>
              <w:jc w:val="left"/>
              <w:rPr>
                <w:b/>
                <w:bCs/>
                <w:noProof/>
                <w:sz w:val="20"/>
              </w:rPr>
            </w:pPr>
            <w:r w:rsidRPr="000B42F8">
              <w:rPr>
                <w:b/>
                <w:bCs/>
                <w:noProof/>
                <w:sz w:val="20"/>
              </w:rPr>
              <w:t>G</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1C4F3F4C" w14:textId="77777777" w:rsidR="000B42F8" w:rsidRPr="000B42F8" w:rsidRDefault="000B42F8" w:rsidP="000B42F8">
            <w:pPr>
              <w:widowControl/>
              <w:tabs>
                <w:tab w:val="left" w:pos="2552"/>
                <w:tab w:val="center" w:pos="4677"/>
              </w:tabs>
              <w:spacing w:before="60" w:after="60"/>
              <w:jc w:val="left"/>
              <w:rPr>
                <w:noProof/>
                <w:sz w:val="20"/>
                <w:lang w:eastAsia="en-GB"/>
              </w:rPr>
            </w:pPr>
            <w:r w:rsidRPr="000B42F8">
              <w:rPr>
                <w:noProof/>
                <w:sz w:val="20"/>
                <w:lang w:eastAsia="en-AU"/>
              </w:rPr>
              <w:drawing>
                <wp:inline distT="0" distB="0" distL="0" distR="0" wp14:anchorId="205D9FE2" wp14:editId="42CB6DC1">
                  <wp:extent cx="1909267" cy="600306"/>
                  <wp:effectExtent l="0" t="0" r="0" b="9525"/>
                  <wp:docPr id="103" name="Picture 103" descr="C:\Users\rallen\Desktop\JPEG HENLEY\Captur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allen\Desktop\JPEG HENLEY\Capture2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5802" cy="605505"/>
                          </a:xfrm>
                          <a:prstGeom prst="rect">
                            <a:avLst/>
                          </a:prstGeom>
                          <a:noFill/>
                          <a:ln>
                            <a:noFill/>
                          </a:ln>
                        </pic:spPr>
                      </pic:pic>
                    </a:graphicData>
                  </a:graphic>
                </wp:inline>
              </w:drawing>
            </w:r>
            <w:r w:rsidRPr="000B42F8">
              <w:rPr>
                <w:noProof/>
                <w:sz w:val="20"/>
              </w:rPr>
              <w:t xml:space="preserve"> (</w:t>
            </w:r>
            <w:r w:rsidRPr="000B42F8">
              <w:rPr>
                <w:b/>
                <w:bCs/>
                <w:noProof/>
                <w:sz w:val="20"/>
              </w:rPr>
              <w:t>third Henley Constructions logo</w:t>
            </w:r>
            <w:r w:rsidRPr="000B42F8">
              <w:rPr>
                <w:noProof/>
                <w:sz w:val="20"/>
              </w:rPr>
              <w:t xml:space="preserve">) </w:t>
            </w:r>
          </w:p>
        </w:tc>
      </w:tr>
      <w:tr w:rsidR="000B42F8" w:rsidRPr="000B42F8" w14:paraId="077792C9"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679A72F"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G.1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440F9DED" w14:textId="77777777" w:rsidR="000B42F8" w:rsidRPr="000B42F8" w:rsidRDefault="000B42F8" w:rsidP="000B42F8">
            <w:pPr>
              <w:widowControl/>
              <w:tabs>
                <w:tab w:val="left" w:pos="2552"/>
                <w:tab w:val="center" w:pos="4677"/>
              </w:tabs>
              <w:spacing w:before="60" w:after="60"/>
              <w:jc w:val="left"/>
              <w:rPr>
                <w:sz w:val="20"/>
              </w:rPr>
            </w:pPr>
            <w:r w:rsidRPr="000B42F8">
              <w:rPr>
                <w:sz w:val="20"/>
              </w:rPr>
              <w:t>After 10 May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262A5D7F"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the side of up to around 15 “ute” vehicles (that have been parked at or in front of building and construction sites)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4251A728"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or construction services in respect of single dwellings and multi-dwelling low rise and medium rise multi-storey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51867116" w14:textId="77777777" w:rsidR="000B42F8" w:rsidRPr="000B42F8" w:rsidRDefault="000B42F8" w:rsidP="000B42F8">
            <w:pPr>
              <w:widowControl/>
              <w:spacing w:before="240" w:after="120"/>
              <w:jc w:val="left"/>
              <w:rPr>
                <w:rFonts w:asciiTheme="majorBidi" w:hAnsiTheme="majorBidi" w:cstheme="majorBidi"/>
                <w:sz w:val="20"/>
                <w:lang w:val="fr-FR" w:eastAsia="zh-CN"/>
              </w:rPr>
            </w:pPr>
            <w:r w:rsidRPr="000B42F8">
              <w:rPr>
                <w:rFonts w:asciiTheme="majorBidi" w:hAnsiTheme="majorBidi" w:cstheme="majorBidi"/>
                <w:sz w:val="20"/>
                <w:lang w:val="fr-FR" w:eastAsia="zh-CN"/>
              </w:rPr>
              <w:t>Ex R22 (page 28)</w:t>
            </w:r>
          </w:p>
          <w:p w14:paraId="2DAD44BE" w14:textId="77777777" w:rsidR="000B42F8" w:rsidRPr="000B42F8" w:rsidRDefault="000B42F8" w:rsidP="000B42F8">
            <w:pPr>
              <w:widowControl/>
              <w:spacing w:before="240" w:after="120"/>
              <w:jc w:val="left"/>
              <w:rPr>
                <w:rFonts w:asciiTheme="majorBidi" w:hAnsiTheme="majorBidi" w:cstheme="majorBidi"/>
                <w:sz w:val="20"/>
                <w:lang w:val="fr-FR" w:eastAsia="zh-CN"/>
              </w:rPr>
            </w:pPr>
            <w:r w:rsidRPr="000B42F8">
              <w:rPr>
                <w:rFonts w:asciiTheme="majorBidi" w:hAnsiTheme="majorBidi" w:cstheme="majorBidi"/>
                <w:sz w:val="20"/>
                <w:lang w:val="fr-FR" w:eastAsia="zh-CN"/>
              </w:rPr>
              <w:t>Ex A19 (page 19)</w:t>
            </w:r>
          </w:p>
          <w:p w14:paraId="6B32E824"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Ex A20 (page 17)</w:t>
            </w:r>
          </w:p>
          <w:p w14:paraId="1B0092FC"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JML-17</w:t>
            </w:r>
          </w:p>
          <w:p w14:paraId="0013823A" w14:textId="77777777" w:rsidR="000B42F8" w:rsidRPr="000B42F8" w:rsidRDefault="000B42F8" w:rsidP="000B42F8">
            <w:pPr>
              <w:widowControl/>
              <w:spacing w:before="240" w:after="120"/>
              <w:jc w:val="left"/>
              <w:rPr>
                <w:sz w:val="20"/>
                <w:lang w:eastAsia="en-GB"/>
              </w:rPr>
            </w:pPr>
            <w:r w:rsidRPr="000B42F8">
              <w:rPr>
                <w:rFonts w:asciiTheme="majorBidi" w:hAnsiTheme="majorBidi" w:cstheme="majorBidi"/>
                <w:sz w:val="20"/>
                <w:lang w:eastAsia="zh-CN"/>
              </w:rPr>
              <w:t xml:space="preserve">PS-9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4117 (Instagram image of “Fleet of vehicles” showing decal)</w:t>
            </w:r>
          </w:p>
        </w:tc>
      </w:tr>
      <w:tr w:rsidR="000B42F8" w:rsidRPr="000B42F8" w14:paraId="4A1FBEA0"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1146E6D7" w14:textId="77777777" w:rsidR="000B42F8" w:rsidRPr="000B42F8" w:rsidRDefault="000B42F8" w:rsidP="000B42F8">
            <w:pPr>
              <w:widowControl/>
              <w:tabs>
                <w:tab w:val="left" w:pos="2552"/>
                <w:tab w:val="center" w:pos="4677"/>
              </w:tabs>
              <w:spacing w:before="60" w:after="60"/>
              <w:jc w:val="left"/>
              <w:rPr>
                <w:sz w:val="20"/>
              </w:rPr>
            </w:pPr>
            <w:r w:rsidRPr="000B42F8">
              <w:rPr>
                <w:sz w:val="20"/>
              </w:rPr>
              <w:t>G.2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6812819D" w14:textId="77777777" w:rsidR="000B42F8" w:rsidRPr="000B42F8" w:rsidRDefault="000B42F8" w:rsidP="000B42F8">
            <w:pPr>
              <w:widowControl/>
              <w:tabs>
                <w:tab w:val="left" w:pos="2552"/>
                <w:tab w:val="center" w:pos="4677"/>
              </w:tabs>
              <w:spacing w:before="60" w:after="60"/>
              <w:jc w:val="left"/>
              <w:rPr>
                <w:sz w:val="20"/>
              </w:rPr>
            </w:pPr>
            <w:r w:rsidRPr="000B42F8">
              <w:rPr>
                <w:sz w:val="20"/>
              </w:rPr>
              <w:t>After 10 May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290364EF"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hoarding at construction sites, in email signatures, and on business cards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0243E09F"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or construction services in respect of single dwellings and multi-dwelling low rise and medium rise multi-storey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10CE54B" w14:textId="77777777" w:rsidR="000B42F8" w:rsidRPr="000B42F8" w:rsidRDefault="000B42F8" w:rsidP="000B42F8">
            <w:pPr>
              <w:widowControl/>
              <w:tabs>
                <w:tab w:val="left" w:pos="2552"/>
                <w:tab w:val="center" w:pos="4677"/>
              </w:tabs>
              <w:spacing w:after="60"/>
              <w:jc w:val="left"/>
              <w:rPr>
                <w:sz w:val="20"/>
              </w:rPr>
            </w:pPr>
            <w:r w:rsidRPr="000B42F8">
              <w:rPr>
                <w:sz w:val="20"/>
              </w:rPr>
              <w:t>Ex A19</w:t>
            </w:r>
          </w:p>
          <w:p w14:paraId="66C52432" w14:textId="77777777" w:rsidR="000B42F8" w:rsidRPr="000B42F8" w:rsidRDefault="000B42F8" w:rsidP="000B42F8">
            <w:pPr>
              <w:widowControl/>
              <w:tabs>
                <w:tab w:val="left" w:pos="2552"/>
                <w:tab w:val="center" w:pos="4677"/>
              </w:tabs>
              <w:spacing w:after="60"/>
              <w:jc w:val="left"/>
              <w:rPr>
                <w:sz w:val="20"/>
              </w:rPr>
            </w:pPr>
          </w:p>
          <w:p w14:paraId="340A7A9C" w14:textId="77777777" w:rsidR="000B42F8" w:rsidRPr="000B42F8" w:rsidRDefault="000B42F8" w:rsidP="000B42F8">
            <w:pPr>
              <w:widowControl/>
              <w:tabs>
                <w:tab w:val="left" w:pos="2552"/>
                <w:tab w:val="center" w:pos="4677"/>
              </w:tabs>
              <w:spacing w:after="60"/>
              <w:jc w:val="left"/>
              <w:rPr>
                <w:sz w:val="20"/>
              </w:rPr>
            </w:pPr>
            <w:r w:rsidRPr="000B42F8">
              <w:rPr>
                <w:sz w:val="20"/>
              </w:rPr>
              <w:t>Ex A20 (page 12)</w:t>
            </w:r>
          </w:p>
          <w:p w14:paraId="110E815A" w14:textId="77777777" w:rsidR="000B42F8" w:rsidRPr="000B42F8" w:rsidRDefault="000B42F8" w:rsidP="000B42F8">
            <w:pPr>
              <w:widowControl/>
              <w:tabs>
                <w:tab w:val="left" w:pos="2552"/>
                <w:tab w:val="center" w:pos="4677"/>
              </w:tabs>
              <w:spacing w:after="60"/>
              <w:jc w:val="left"/>
              <w:rPr>
                <w:sz w:val="20"/>
              </w:rPr>
            </w:pPr>
          </w:p>
          <w:p w14:paraId="74850287" w14:textId="77777777" w:rsidR="000B42F8" w:rsidRPr="000B42F8" w:rsidRDefault="000B42F8" w:rsidP="000B42F8">
            <w:pPr>
              <w:widowControl/>
              <w:tabs>
                <w:tab w:val="left" w:pos="2552"/>
                <w:tab w:val="center" w:pos="4677"/>
              </w:tabs>
              <w:spacing w:after="60"/>
              <w:jc w:val="left"/>
              <w:rPr>
                <w:sz w:val="20"/>
              </w:rPr>
            </w:pPr>
            <w:r w:rsidRPr="000B42F8">
              <w:rPr>
                <w:sz w:val="20"/>
              </w:rPr>
              <w:t>Ex R4</w:t>
            </w:r>
          </w:p>
          <w:p w14:paraId="2DBEF506" w14:textId="77777777" w:rsidR="000B42F8" w:rsidRPr="000B42F8" w:rsidRDefault="000B42F8" w:rsidP="000B42F8">
            <w:pPr>
              <w:widowControl/>
              <w:tabs>
                <w:tab w:val="left" w:pos="2552"/>
                <w:tab w:val="center" w:pos="4677"/>
              </w:tabs>
              <w:spacing w:after="60"/>
              <w:jc w:val="left"/>
              <w:rPr>
                <w:sz w:val="20"/>
              </w:rPr>
            </w:pPr>
          </w:p>
          <w:p w14:paraId="11CAA3F3" w14:textId="77777777" w:rsidR="000B42F8" w:rsidRPr="000B42F8" w:rsidRDefault="000B42F8" w:rsidP="000B42F8">
            <w:pPr>
              <w:widowControl/>
              <w:tabs>
                <w:tab w:val="left" w:pos="2552"/>
                <w:tab w:val="center" w:pos="4677"/>
              </w:tabs>
              <w:spacing w:after="60"/>
              <w:jc w:val="left"/>
              <w:rPr>
                <w:sz w:val="20"/>
              </w:rPr>
            </w:pPr>
            <w:r w:rsidRPr="000B42F8">
              <w:rPr>
                <w:sz w:val="20"/>
              </w:rPr>
              <w:t>Ex R22</w:t>
            </w:r>
          </w:p>
          <w:p w14:paraId="260060AB" w14:textId="77777777" w:rsidR="000B42F8" w:rsidRPr="000B42F8" w:rsidRDefault="000B42F8" w:rsidP="000B42F8">
            <w:pPr>
              <w:widowControl/>
              <w:tabs>
                <w:tab w:val="left" w:pos="2552"/>
                <w:tab w:val="center" w:pos="4677"/>
              </w:tabs>
              <w:spacing w:after="60"/>
              <w:jc w:val="left"/>
              <w:rPr>
                <w:sz w:val="20"/>
              </w:rPr>
            </w:pPr>
          </w:p>
          <w:p w14:paraId="77894D38" w14:textId="77777777" w:rsidR="000B42F8" w:rsidRPr="000B42F8" w:rsidRDefault="000B42F8" w:rsidP="000B42F8">
            <w:pPr>
              <w:widowControl/>
              <w:tabs>
                <w:tab w:val="left" w:pos="2552"/>
                <w:tab w:val="center" w:pos="4677"/>
              </w:tabs>
              <w:spacing w:after="60"/>
              <w:jc w:val="left"/>
              <w:rPr>
                <w:sz w:val="20"/>
              </w:rPr>
            </w:pPr>
            <w:r w:rsidRPr="000B42F8">
              <w:rPr>
                <w:sz w:val="20"/>
              </w:rPr>
              <w:t>JML-17</w:t>
            </w:r>
          </w:p>
          <w:p w14:paraId="69645A06" w14:textId="77777777" w:rsidR="000B42F8" w:rsidRPr="000B42F8" w:rsidRDefault="000B42F8" w:rsidP="000B42F8">
            <w:pPr>
              <w:widowControl/>
              <w:tabs>
                <w:tab w:val="left" w:pos="2552"/>
                <w:tab w:val="center" w:pos="4677"/>
              </w:tabs>
              <w:spacing w:after="60"/>
              <w:jc w:val="left"/>
              <w:rPr>
                <w:sz w:val="20"/>
              </w:rPr>
            </w:pPr>
          </w:p>
          <w:p w14:paraId="49DE7B9C" w14:textId="77777777" w:rsidR="000B42F8" w:rsidRPr="000B42F8" w:rsidRDefault="000B42F8" w:rsidP="000B42F8">
            <w:pPr>
              <w:widowControl/>
              <w:tabs>
                <w:tab w:val="left" w:pos="2552"/>
                <w:tab w:val="center" w:pos="4677"/>
              </w:tabs>
              <w:spacing w:after="60"/>
              <w:jc w:val="left"/>
              <w:rPr>
                <w:sz w:val="20"/>
              </w:rPr>
            </w:pPr>
            <w:r w:rsidRPr="000B42F8">
              <w:rPr>
                <w:sz w:val="20"/>
              </w:rPr>
              <w:t xml:space="preserve">JML-47 </w:t>
            </w:r>
            <w:r w:rsidRPr="000B42F8">
              <w:rPr>
                <w:bCs/>
                <w:sz w:val="20"/>
              </w:rPr>
              <w:t xml:space="preserve">Tender Bundle: </w:t>
            </w:r>
            <w:r w:rsidRPr="000B42F8">
              <w:rPr>
                <w:sz w:val="20"/>
              </w:rPr>
              <w:t>2080</w:t>
            </w:r>
          </w:p>
          <w:p w14:paraId="7738EAEE" w14:textId="77777777" w:rsidR="000B42F8" w:rsidRPr="000B42F8" w:rsidRDefault="000B42F8" w:rsidP="000B42F8">
            <w:pPr>
              <w:widowControl/>
              <w:tabs>
                <w:tab w:val="left" w:pos="2552"/>
                <w:tab w:val="center" w:pos="4677"/>
              </w:tabs>
              <w:spacing w:after="60"/>
              <w:jc w:val="left"/>
              <w:rPr>
                <w:sz w:val="20"/>
              </w:rPr>
            </w:pPr>
          </w:p>
          <w:p w14:paraId="5D99B5CE" w14:textId="77777777" w:rsidR="000B42F8" w:rsidRPr="000B42F8" w:rsidRDefault="000B42F8" w:rsidP="000B42F8">
            <w:pPr>
              <w:widowControl/>
              <w:tabs>
                <w:tab w:val="left" w:pos="2552"/>
                <w:tab w:val="center" w:pos="4677"/>
              </w:tabs>
              <w:spacing w:after="60"/>
              <w:jc w:val="left"/>
              <w:rPr>
                <w:sz w:val="20"/>
              </w:rPr>
            </w:pPr>
            <w:r w:rsidRPr="000B42F8">
              <w:rPr>
                <w:sz w:val="20"/>
              </w:rPr>
              <w:t xml:space="preserve">JML-49 </w:t>
            </w:r>
            <w:r w:rsidRPr="000B42F8">
              <w:rPr>
                <w:bCs/>
                <w:sz w:val="20"/>
              </w:rPr>
              <w:t xml:space="preserve">Tender Bundle: </w:t>
            </w:r>
            <w:r w:rsidRPr="000B42F8">
              <w:rPr>
                <w:sz w:val="20"/>
              </w:rPr>
              <w:t>2092, 2093</w:t>
            </w:r>
          </w:p>
          <w:p w14:paraId="6CE077B9" w14:textId="77777777" w:rsidR="000B42F8" w:rsidRPr="000B42F8" w:rsidRDefault="000B42F8" w:rsidP="000B42F8">
            <w:pPr>
              <w:widowControl/>
              <w:tabs>
                <w:tab w:val="left" w:pos="2552"/>
                <w:tab w:val="center" w:pos="4677"/>
              </w:tabs>
              <w:spacing w:after="60"/>
              <w:jc w:val="left"/>
              <w:rPr>
                <w:sz w:val="20"/>
              </w:rPr>
            </w:pPr>
          </w:p>
          <w:p w14:paraId="7A5DF6E1" w14:textId="77777777" w:rsidR="000B42F8" w:rsidRPr="000B42F8" w:rsidRDefault="000B42F8" w:rsidP="000B42F8">
            <w:pPr>
              <w:widowControl/>
              <w:tabs>
                <w:tab w:val="left" w:pos="2552"/>
                <w:tab w:val="center" w:pos="4677"/>
              </w:tabs>
              <w:spacing w:after="60"/>
              <w:jc w:val="left"/>
              <w:rPr>
                <w:sz w:val="20"/>
              </w:rPr>
            </w:pPr>
            <w:r w:rsidRPr="000B42F8">
              <w:rPr>
                <w:sz w:val="20"/>
              </w:rPr>
              <w:t xml:space="preserve">JML-50 </w:t>
            </w:r>
            <w:r w:rsidRPr="000B42F8">
              <w:rPr>
                <w:bCs/>
                <w:sz w:val="20"/>
              </w:rPr>
              <w:t xml:space="preserve">Tender Bundle: </w:t>
            </w:r>
            <w:r w:rsidRPr="000B42F8">
              <w:rPr>
                <w:sz w:val="20"/>
              </w:rPr>
              <w:t>2097</w:t>
            </w:r>
          </w:p>
          <w:p w14:paraId="01D50D8E" w14:textId="77777777" w:rsidR="000B42F8" w:rsidRPr="000B42F8" w:rsidRDefault="000B42F8" w:rsidP="000B42F8">
            <w:pPr>
              <w:widowControl/>
              <w:tabs>
                <w:tab w:val="left" w:pos="2552"/>
                <w:tab w:val="center" w:pos="4677"/>
              </w:tabs>
              <w:spacing w:after="60"/>
              <w:jc w:val="left"/>
              <w:rPr>
                <w:sz w:val="20"/>
              </w:rPr>
            </w:pPr>
          </w:p>
          <w:p w14:paraId="65759EC8" w14:textId="77777777" w:rsidR="000B42F8" w:rsidRPr="000B42F8" w:rsidRDefault="000B42F8" w:rsidP="000B42F8">
            <w:pPr>
              <w:widowControl/>
              <w:tabs>
                <w:tab w:val="left" w:pos="2552"/>
                <w:tab w:val="center" w:pos="4677"/>
              </w:tabs>
              <w:spacing w:after="60"/>
              <w:jc w:val="left"/>
              <w:rPr>
                <w:sz w:val="20"/>
              </w:rPr>
            </w:pPr>
            <w:r w:rsidRPr="000B42F8">
              <w:rPr>
                <w:sz w:val="20"/>
              </w:rPr>
              <w:t xml:space="preserve">JML-51 </w:t>
            </w:r>
            <w:r w:rsidRPr="000B42F8">
              <w:rPr>
                <w:bCs/>
                <w:sz w:val="20"/>
              </w:rPr>
              <w:t xml:space="preserve">Tender Bundle: </w:t>
            </w:r>
            <w:r w:rsidRPr="000B42F8">
              <w:rPr>
                <w:sz w:val="20"/>
              </w:rPr>
              <w:t>2104</w:t>
            </w:r>
          </w:p>
          <w:p w14:paraId="6C594036" w14:textId="77777777" w:rsidR="000B42F8" w:rsidRPr="000B42F8" w:rsidRDefault="000B42F8" w:rsidP="000B42F8">
            <w:pPr>
              <w:widowControl/>
              <w:spacing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JML-10 use on Business cards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1532 [Admitted appearance paragraphs 4, 5 Notice of Dispute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86, Ex A14]</w:t>
            </w:r>
          </w:p>
          <w:p w14:paraId="37015B7E" w14:textId="77777777" w:rsidR="000B42F8" w:rsidRPr="000B42F8" w:rsidRDefault="000B42F8" w:rsidP="000B42F8">
            <w:pPr>
              <w:widowControl/>
              <w:spacing w:after="120"/>
              <w:jc w:val="left"/>
              <w:rPr>
                <w:sz w:val="20"/>
                <w:lang w:eastAsia="en-GB"/>
              </w:rPr>
            </w:pPr>
            <w:r w:rsidRPr="000B42F8">
              <w:rPr>
                <w:sz w:val="20"/>
              </w:rPr>
              <w:t>PS-9</w:t>
            </w:r>
          </w:p>
        </w:tc>
      </w:tr>
      <w:tr w:rsidR="000B42F8" w:rsidRPr="000B42F8" w14:paraId="20C61812"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EE0CF66"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G.3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1815CA3"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around mid-2017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ACBB839" w14:textId="77777777" w:rsidR="000B42F8" w:rsidRPr="000B42F8" w:rsidRDefault="000B42F8" w:rsidP="000B42F8">
            <w:pPr>
              <w:widowControl/>
              <w:spacing w:before="60" w:after="60" w:line="240" w:lineRule="auto"/>
              <w:ind w:left="23"/>
              <w:jc w:val="left"/>
              <w:rPr>
                <w:rFonts w:eastAsia="Times New Roman"/>
                <w:sz w:val="20"/>
                <w:lang w:val="en-US"/>
              </w:rPr>
            </w:pPr>
            <w:r w:rsidRPr="000B42F8">
              <w:rPr>
                <w:rFonts w:eastAsia="Times New Roman"/>
                <w:sz w:val="20"/>
                <w:lang w:val="en-US"/>
              </w:rPr>
              <w:t>On signage at the following sites:</w:t>
            </w:r>
          </w:p>
          <w:p w14:paraId="246748D6"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(a)</w:t>
            </w:r>
            <w:r w:rsidRPr="000B42F8">
              <w:rPr>
                <w:rFonts w:eastAsia="Times New Roman"/>
                <w:sz w:val="20"/>
                <w:lang w:val="en-US"/>
              </w:rPr>
              <w:tab/>
              <w:t>At least around June 2017, at the “</w:t>
            </w:r>
            <w:proofErr w:type="spellStart"/>
            <w:r w:rsidRPr="000B42F8">
              <w:rPr>
                <w:rFonts w:eastAsia="Times New Roman"/>
                <w:sz w:val="20"/>
                <w:lang w:val="en-US"/>
              </w:rPr>
              <w:t>Aleya</w:t>
            </w:r>
            <w:proofErr w:type="spellEnd"/>
            <w:r w:rsidRPr="000B42F8">
              <w:rPr>
                <w:rFonts w:eastAsia="Times New Roman"/>
                <w:sz w:val="20"/>
                <w:lang w:val="en-US"/>
              </w:rPr>
              <w:t xml:space="preserve">” site, at 1 </w:t>
            </w:r>
            <w:proofErr w:type="spellStart"/>
            <w:r w:rsidRPr="000B42F8">
              <w:rPr>
                <w:rFonts w:eastAsia="Times New Roman"/>
                <w:sz w:val="20"/>
                <w:lang w:val="en-US"/>
              </w:rPr>
              <w:t>Sparkes</w:t>
            </w:r>
            <w:proofErr w:type="spellEnd"/>
            <w:r w:rsidRPr="000B42F8">
              <w:rPr>
                <w:rFonts w:eastAsia="Times New Roman"/>
                <w:sz w:val="20"/>
                <w:lang w:val="en-US"/>
              </w:rPr>
              <w:t xml:space="preserve"> Lane, </w:t>
            </w:r>
            <w:proofErr w:type="spellStart"/>
            <w:r w:rsidRPr="000B42F8">
              <w:rPr>
                <w:rFonts w:eastAsia="Times New Roman"/>
                <w:sz w:val="20"/>
                <w:lang w:val="en-US"/>
              </w:rPr>
              <w:t>Camperdown</w:t>
            </w:r>
            <w:proofErr w:type="spellEnd"/>
            <w:r w:rsidRPr="000B42F8">
              <w:rPr>
                <w:rFonts w:eastAsia="Times New Roman"/>
                <w:sz w:val="20"/>
                <w:lang w:val="en-US"/>
              </w:rPr>
              <w:t xml:space="preserve">, NSW; </w:t>
            </w:r>
          </w:p>
          <w:p w14:paraId="29620366"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(b)</w:t>
            </w:r>
            <w:r w:rsidRPr="000B42F8">
              <w:rPr>
                <w:rFonts w:eastAsia="Times New Roman"/>
                <w:sz w:val="20"/>
                <w:lang w:val="en-US"/>
              </w:rPr>
              <w:tab/>
              <w:t>At least around February 2018, at 233-235 Botany Road, Waterloo, NSW;</w:t>
            </w:r>
          </w:p>
          <w:p w14:paraId="302928BD"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(c)</w:t>
            </w:r>
            <w:r w:rsidRPr="000B42F8">
              <w:rPr>
                <w:rFonts w:eastAsia="Times New Roman"/>
                <w:sz w:val="20"/>
                <w:lang w:val="en-US"/>
              </w:rPr>
              <w:tab/>
              <w:t>At least from September 2018 to April 2019, at 81-83 Waterloo Road, Punchbowl, NSW;</w:t>
            </w:r>
          </w:p>
          <w:p w14:paraId="360C957B"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(d)</w:t>
            </w:r>
            <w:r w:rsidRPr="000B42F8">
              <w:rPr>
                <w:rFonts w:eastAsia="Times New Roman"/>
                <w:sz w:val="20"/>
                <w:lang w:val="en-US"/>
              </w:rPr>
              <w:tab/>
              <w:t xml:space="preserve">At least around September 2020, at the “Chanel” building at 27 Church Street, </w:t>
            </w:r>
            <w:proofErr w:type="spellStart"/>
            <w:r w:rsidRPr="000B42F8">
              <w:rPr>
                <w:rFonts w:eastAsia="Times New Roman"/>
                <w:sz w:val="20"/>
                <w:lang w:val="en-US"/>
              </w:rPr>
              <w:t>Camperdown</w:t>
            </w:r>
            <w:proofErr w:type="spellEnd"/>
            <w:r w:rsidRPr="000B42F8">
              <w:rPr>
                <w:rFonts w:eastAsia="Times New Roman"/>
                <w:sz w:val="20"/>
                <w:lang w:val="en-US"/>
              </w:rPr>
              <w:t>, NSW;</w:t>
            </w:r>
          </w:p>
          <w:p w14:paraId="1BCF59B7"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(e)</w:t>
            </w:r>
            <w:r w:rsidRPr="000B42F8">
              <w:rPr>
                <w:rFonts w:eastAsia="Times New Roman"/>
                <w:sz w:val="20"/>
                <w:lang w:val="en-US"/>
              </w:rPr>
              <w:tab/>
              <w:t>From at least March 2021, at the “Botany Living” site at 1445-1447 Botany Road, Botany, NSW</w:t>
            </w:r>
          </w:p>
          <w:p w14:paraId="7CB186A3"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(f)</w:t>
            </w:r>
            <w:r w:rsidRPr="000B42F8">
              <w:rPr>
                <w:rFonts w:eastAsia="Times New Roman"/>
                <w:sz w:val="20"/>
                <w:lang w:val="en-US"/>
              </w:rPr>
              <w:tab/>
              <w:t>In around August 2017, at a construction site at 507-509 President Ave, Sutherland, NSW</w:t>
            </w:r>
          </w:p>
          <w:p w14:paraId="41870E28"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(g)</w:t>
            </w:r>
            <w:r w:rsidRPr="000B42F8">
              <w:rPr>
                <w:rFonts w:eastAsia="Times New Roman"/>
                <w:sz w:val="20"/>
                <w:lang w:val="en-US"/>
              </w:rPr>
              <w:tab/>
              <w:t>In around September 2017, at the “Birdwood” construction site at 203 Birdwood Road, Georges Hall, NSW.</w:t>
            </w:r>
          </w:p>
          <w:p w14:paraId="7536E095"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(h)</w:t>
            </w:r>
            <w:r w:rsidRPr="000B42F8">
              <w:rPr>
                <w:rFonts w:eastAsia="Times New Roman"/>
                <w:sz w:val="20"/>
                <w:lang w:val="en-US"/>
              </w:rPr>
              <w:tab/>
              <w:t>In around October 2017, at a construction site at 1356-1362 Botany Road, Botany.</w:t>
            </w:r>
          </w:p>
          <w:p w14:paraId="55529BFB" w14:textId="77777777" w:rsidR="000B42F8" w:rsidRPr="000B42F8" w:rsidRDefault="000B42F8" w:rsidP="000B42F8">
            <w:pPr>
              <w:widowControl/>
              <w:tabs>
                <w:tab w:val="left" w:pos="1406"/>
              </w:tabs>
              <w:spacing w:before="60" w:after="60" w:line="240" w:lineRule="auto"/>
              <w:ind w:left="339" w:hanging="340"/>
              <w:jc w:val="left"/>
              <w:outlineLvl w:val="2"/>
              <w:rPr>
                <w:rFonts w:eastAsia="Times New Roman"/>
                <w:sz w:val="20"/>
                <w:lang w:val="en-US"/>
              </w:rPr>
            </w:pPr>
            <w:r w:rsidRPr="000B42F8">
              <w:rPr>
                <w:rFonts w:eastAsia="Times New Roman"/>
                <w:sz w:val="20"/>
                <w:lang w:val="en-US"/>
              </w:rPr>
              <w:t>(</w:t>
            </w:r>
            <w:proofErr w:type="spellStart"/>
            <w:r w:rsidRPr="000B42F8">
              <w:rPr>
                <w:rFonts w:eastAsia="Times New Roman"/>
                <w:sz w:val="20"/>
                <w:lang w:val="en-US"/>
              </w:rPr>
              <w:t>i</w:t>
            </w:r>
            <w:proofErr w:type="spellEnd"/>
            <w:r w:rsidRPr="000B42F8">
              <w:rPr>
                <w:rFonts w:eastAsia="Times New Roman"/>
                <w:sz w:val="20"/>
                <w:lang w:val="en-US"/>
              </w:rPr>
              <w:t>)</w:t>
            </w:r>
            <w:r w:rsidRPr="000B42F8">
              <w:rPr>
                <w:rFonts w:eastAsia="Times New Roman"/>
                <w:sz w:val="20"/>
                <w:lang w:val="en-US"/>
              </w:rPr>
              <w:tab/>
              <w:t xml:space="preserve">Between at least May 2019 and February 2020, at a construction site at 9 Wrights Road, </w:t>
            </w:r>
            <w:proofErr w:type="spellStart"/>
            <w:r w:rsidRPr="000B42F8">
              <w:rPr>
                <w:rFonts w:eastAsia="Times New Roman"/>
                <w:sz w:val="20"/>
                <w:lang w:val="en-US"/>
              </w:rPr>
              <w:t>Drummoyne</w:t>
            </w:r>
            <w:proofErr w:type="spellEnd"/>
            <w:r w:rsidRPr="000B42F8">
              <w:rPr>
                <w:rFonts w:eastAsia="Times New Roman"/>
                <w:sz w:val="20"/>
                <w:lang w:val="en-US"/>
              </w:rPr>
              <w:t>, New South Wales (for the “Quartier” project).</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5D36BCBB"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Building and construction services in respect of a multi-dwelling apartment block at each of those site (and in relation to the Punchbowl site in respect of building and construction of a multi-dwelling two storey aged care facility (St </w:t>
            </w:r>
            <w:proofErr w:type="spellStart"/>
            <w:r w:rsidRPr="000B42F8">
              <w:rPr>
                <w:sz w:val="20"/>
              </w:rPr>
              <w:t>Charbel’s</w:t>
            </w:r>
            <w:proofErr w:type="spellEnd"/>
            <w:r w:rsidRPr="000B42F8">
              <w:rPr>
                <w:sz w:val="20"/>
              </w:rPr>
              <w:t xml:space="preserve"> Care Centre) at that site).</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7F335E4"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R22</w:t>
            </w:r>
          </w:p>
          <w:p w14:paraId="68672B24" w14:textId="77777777" w:rsidR="000B42F8" w:rsidRPr="000B42F8" w:rsidRDefault="000B42F8" w:rsidP="000B42F8">
            <w:pPr>
              <w:widowControl/>
              <w:tabs>
                <w:tab w:val="left" w:pos="2552"/>
                <w:tab w:val="center" w:pos="4677"/>
              </w:tabs>
              <w:spacing w:before="60" w:after="60"/>
              <w:jc w:val="left"/>
              <w:rPr>
                <w:sz w:val="20"/>
              </w:rPr>
            </w:pPr>
          </w:p>
          <w:p w14:paraId="58EEF093"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A19</w:t>
            </w:r>
          </w:p>
          <w:p w14:paraId="619011D7" w14:textId="77777777" w:rsidR="000B42F8" w:rsidRPr="000B42F8" w:rsidRDefault="000B42F8" w:rsidP="000B42F8">
            <w:pPr>
              <w:widowControl/>
              <w:tabs>
                <w:tab w:val="left" w:pos="2552"/>
                <w:tab w:val="center" w:pos="4677"/>
              </w:tabs>
              <w:spacing w:before="60" w:after="60"/>
              <w:jc w:val="left"/>
              <w:rPr>
                <w:sz w:val="20"/>
              </w:rPr>
            </w:pPr>
          </w:p>
          <w:p w14:paraId="6F094828"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R4</w:t>
            </w:r>
          </w:p>
          <w:p w14:paraId="52222BAE" w14:textId="77777777" w:rsidR="000B42F8" w:rsidRPr="000B42F8" w:rsidRDefault="000B42F8" w:rsidP="000B42F8">
            <w:pPr>
              <w:widowControl/>
              <w:tabs>
                <w:tab w:val="left" w:pos="2552"/>
                <w:tab w:val="center" w:pos="4677"/>
              </w:tabs>
              <w:spacing w:before="60" w:after="60"/>
              <w:jc w:val="left"/>
              <w:rPr>
                <w:sz w:val="20"/>
                <w:lang w:val="fr-FR"/>
              </w:rPr>
            </w:pPr>
          </w:p>
          <w:p w14:paraId="03F28383"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A20 (page 12)</w:t>
            </w:r>
          </w:p>
          <w:p w14:paraId="09ABEF24" w14:textId="77777777" w:rsidR="000B42F8" w:rsidRPr="000B42F8" w:rsidRDefault="000B42F8" w:rsidP="000B42F8">
            <w:pPr>
              <w:widowControl/>
              <w:tabs>
                <w:tab w:val="left" w:pos="2552"/>
                <w:tab w:val="center" w:pos="4677"/>
              </w:tabs>
              <w:spacing w:before="60" w:after="60"/>
              <w:jc w:val="left"/>
              <w:rPr>
                <w:sz w:val="20"/>
                <w:lang w:val="fr-FR"/>
              </w:rPr>
            </w:pPr>
          </w:p>
          <w:p w14:paraId="2401F48C"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JML-47 </w:t>
            </w:r>
            <w:r w:rsidRPr="000B42F8">
              <w:rPr>
                <w:bCs/>
                <w:sz w:val="20"/>
              </w:rPr>
              <w:t xml:space="preserve">Tender Bundle: </w:t>
            </w:r>
            <w:r w:rsidRPr="000B42F8">
              <w:rPr>
                <w:sz w:val="20"/>
              </w:rPr>
              <w:t>2080</w:t>
            </w:r>
          </w:p>
          <w:p w14:paraId="7A0F68BC" w14:textId="77777777" w:rsidR="000B42F8" w:rsidRPr="000B42F8" w:rsidRDefault="000B42F8" w:rsidP="000B42F8">
            <w:pPr>
              <w:widowControl/>
              <w:tabs>
                <w:tab w:val="left" w:pos="2552"/>
                <w:tab w:val="center" w:pos="4677"/>
              </w:tabs>
              <w:spacing w:before="60" w:after="60"/>
              <w:jc w:val="left"/>
              <w:rPr>
                <w:sz w:val="20"/>
              </w:rPr>
            </w:pPr>
          </w:p>
          <w:p w14:paraId="3C31F83F"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JML-49 </w:t>
            </w:r>
            <w:r w:rsidRPr="000B42F8">
              <w:rPr>
                <w:bCs/>
                <w:sz w:val="20"/>
              </w:rPr>
              <w:t xml:space="preserve">Tender Bundle: </w:t>
            </w:r>
            <w:r w:rsidRPr="000B42F8">
              <w:rPr>
                <w:sz w:val="20"/>
              </w:rPr>
              <w:t>2092, 2093</w:t>
            </w:r>
          </w:p>
          <w:p w14:paraId="640D5DC7" w14:textId="77777777" w:rsidR="000B42F8" w:rsidRPr="000B42F8" w:rsidRDefault="000B42F8" w:rsidP="000B42F8">
            <w:pPr>
              <w:widowControl/>
              <w:tabs>
                <w:tab w:val="left" w:pos="2552"/>
                <w:tab w:val="center" w:pos="4677"/>
              </w:tabs>
              <w:spacing w:before="60" w:after="60"/>
              <w:jc w:val="left"/>
              <w:rPr>
                <w:sz w:val="20"/>
              </w:rPr>
            </w:pPr>
          </w:p>
          <w:p w14:paraId="6FD393C6"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JML-50 </w:t>
            </w:r>
            <w:r w:rsidRPr="000B42F8">
              <w:rPr>
                <w:bCs/>
                <w:sz w:val="20"/>
              </w:rPr>
              <w:t xml:space="preserve">Tender Bundle: </w:t>
            </w:r>
            <w:r w:rsidRPr="000B42F8">
              <w:rPr>
                <w:sz w:val="20"/>
              </w:rPr>
              <w:t>2097</w:t>
            </w:r>
          </w:p>
          <w:p w14:paraId="22D91622" w14:textId="77777777" w:rsidR="000B42F8" w:rsidRPr="000B42F8" w:rsidRDefault="000B42F8" w:rsidP="000B42F8">
            <w:pPr>
              <w:widowControl/>
              <w:tabs>
                <w:tab w:val="left" w:pos="2552"/>
                <w:tab w:val="center" w:pos="4677"/>
              </w:tabs>
              <w:spacing w:before="60" w:after="60"/>
              <w:jc w:val="left"/>
              <w:rPr>
                <w:sz w:val="20"/>
              </w:rPr>
            </w:pPr>
          </w:p>
          <w:p w14:paraId="7D32CBEC"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JML-51 </w:t>
            </w:r>
            <w:r w:rsidRPr="000B42F8">
              <w:rPr>
                <w:bCs/>
                <w:sz w:val="20"/>
              </w:rPr>
              <w:t xml:space="preserve">Tender Bundle: </w:t>
            </w:r>
            <w:r w:rsidRPr="000B42F8">
              <w:rPr>
                <w:sz w:val="20"/>
              </w:rPr>
              <w:t>2104</w:t>
            </w:r>
          </w:p>
        </w:tc>
      </w:tr>
      <w:tr w:rsidR="000B42F8" w:rsidRPr="000B42F8" w14:paraId="390C382B"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6A961D6A"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G.4</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BF35229"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at least September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0A3C2E3" w14:textId="77777777" w:rsidR="000B42F8" w:rsidRPr="000B42F8" w:rsidRDefault="000B42F8" w:rsidP="000B42F8">
            <w:pPr>
              <w:widowControl/>
              <w:tabs>
                <w:tab w:val="left" w:pos="2552"/>
                <w:tab w:val="center" w:pos="4677"/>
              </w:tabs>
              <w:spacing w:before="60" w:after="60"/>
              <w:jc w:val="left"/>
              <w:rPr>
                <w:sz w:val="20"/>
              </w:rPr>
            </w:pPr>
            <w:r w:rsidRPr="000B42F8">
              <w:rPr>
                <w:sz w:val="20"/>
              </w:rPr>
              <w:t>At ground level on the front of the building and (up to a time before September 2019) at 128 Parramatta Road, Camperdown, New South Wales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0578700F"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an apartment block called “Aperture” or “Marrickville Luxury Apartments”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86FB102"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JML-46 </w:t>
            </w:r>
            <w:r w:rsidRPr="000B42F8">
              <w:rPr>
                <w:bCs/>
                <w:sz w:val="20"/>
              </w:rPr>
              <w:t xml:space="preserve">Tender Bundle: </w:t>
            </w:r>
            <w:r w:rsidRPr="000B42F8">
              <w:rPr>
                <w:sz w:val="20"/>
              </w:rPr>
              <w:t>2070, 2071</w:t>
            </w:r>
          </w:p>
          <w:p w14:paraId="6FE69774" w14:textId="77777777" w:rsidR="000B42F8" w:rsidRPr="000B42F8" w:rsidRDefault="000B42F8" w:rsidP="000B42F8">
            <w:pPr>
              <w:widowControl/>
              <w:tabs>
                <w:tab w:val="left" w:pos="2552"/>
                <w:tab w:val="center" w:pos="4677"/>
              </w:tabs>
              <w:spacing w:before="60" w:after="60"/>
              <w:jc w:val="left"/>
              <w:rPr>
                <w:sz w:val="20"/>
              </w:rPr>
            </w:pPr>
          </w:p>
          <w:p w14:paraId="7C4D358C"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A20 (page 10)</w:t>
            </w:r>
          </w:p>
        </w:tc>
      </w:tr>
      <w:tr w:rsidR="000B42F8" w:rsidRPr="000B42F8" w14:paraId="4B2B09FF"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4D38A49" w14:textId="77777777" w:rsidR="000B42F8" w:rsidRPr="000B42F8" w:rsidRDefault="000B42F8" w:rsidP="000B42F8">
            <w:pPr>
              <w:widowControl/>
              <w:tabs>
                <w:tab w:val="left" w:pos="2552"/>
                <w:tab w:val="center" w:pos="4677"/>
              </w:tabs>
              <w:spacing w:before="60" w:after="60"/>
              <w:jc w:val="left"/>
              <w:rPr>
                <w:sz w:val="20"/>
              </w:rPr>
            </w:pPr>
            <w:r w:rsidRPr="000B42F8">
              <w:rPr>
                <w:sz w:val="20"/>
              </w:rPr>
              <w:t>G.5</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626CE2FE"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about July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064D0743"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Instagram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541C58C6"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E86900D"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A20</w:t>
            </w:r>
          </w:p>
          <w:p w14:paraId="6B5120AE" w14:textId="77777777" w:rsidR="000B42F8" w:rsidRPr="000B42F8" w:rsidRDefault="000B42F8" w:rsidP="000B42F8">
            <w:pPr>
              <w:widowControl/>
              <w:tabs>
                <w:tab w:val="left" w:pos="2552"/>
                <w:tab w:val="center" w:pos="4677"/>
              </w:tabs>
              <w:spacing w:before="60" w:after="60"/>
              <w:jc w:val="left"/>
              <w:rPr>
                <w:sz w:val="20"/>
              </w:rPr>
            </w:pPr>
          </w:p>
          <w:p w14:paraId="225FAAE0" w14:textId="77777777" w:rsidR="000B42F8" w:rsidRPr="000B42F8" w:rsidRDefault="000B42F8" w:rsidP="000B42F8">
            <w:pPr>
              <w:widowControl/>
              <w:tabs>
                <w:tab w:val="left" w:pos="2552"/>
                <w:tab w:val="center" w:pos="4677"/>
              </w:tabs>
              <w:spacing w:before="60" w:after="60"/>
              <w:jc w:val="left"/>
              <w:rPr>
                <w:sz w:val="20"/>
              </w:rPr>
            </w:pPr>
            <w:r w:rsidRPr="000B42F8">
              <w:rPr>
                <w:sz w:val="20"/>
              </w:rPr>
              <w:t>PS-9</w:t>
            </w:r>
          </w:p>
        </w:tc>
      </w:tr>
      <w:tr w:rsidR="000B42F8" w:rsidRPr="000B42F8" w14:paraId="48EC96FB"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D2B656F" w14:textId="77777777" w:rsidR="000B42F8" w:rsidRPr="000B42F8" w:rsidRDefault="000B42F8" w:rsidP="000B42F8">
            <w:pPr>
              <w:widowControl/>
              <w:tabs>
                <w:tab w:val="left" w:pos="2552"/>
                <w:tab w:val="center" w:pos="4677"/>
              </w:tabs>
              <w:spacing w:before="60" w:after="60"/>
              <w:jc w:val="left"/>
              <w:rPr>
                <w:sz w:val="20"/>
              </w:rPr>
            </w:pPr>
            <w:r w:rsidRPr="000B42F8">
              <w:rPr>
                <w:sz w:val="20"/>
              </w:rPr>
              <w:t>G.6</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4DF3F73"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15 February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5391D660"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Facebook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CD9F22D"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 repair, flooring, remedial work, general maintenance and cleaning services, and a number of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02C5EE5"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A19</w:t>
            </w:r>
          </w:p>
          <w:p w14:paraId="71415A05" w14:textId="77777777" w:rsidR="000B42F8" w:rsidRPr="000B42F8" w:rsidRDefault="000B42F8" w:rsidP="000B42F8">
            <w:pPr>
              <w:widowControl/>
              <w:tabs>
                <w:tab w:val="left" w:pos="2552"/>
                <w:tab w:val="center" w:pos="4677"/>
              </w:tabs>
              <w:spacing w:before="60" w:after="60"/>
              <w:jc w:val="left"/>
              <w:rPr>
                <w:sz w:val="20"/>
              </w:rPr>
            </w:pPr>
          </w:p>
          <w:p w14:paraId="73276222"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JML-91</w:t>
            </w:r>
          </w:p>
        </w:tc>
      </w:tr>
      <w:tr w:rsidR="000B42F8" w:rsidRPr="000B42F8" w14:paraId="7A00D181"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768F2ED" w14:textId="77777777" w:rsidR="000B42F8" w:rsidRPr="000B42F8" w:rsidRDefault="000B42F8" w:rsidP="000B42F8">
            <w:pPr>
              <w:widowControl/>
              <w:tabs>
                <w:tab w:val="left" w:pos="2552"/>
                <w:tab w:val="center" w:pos="4677"/>
              </w:tabs>
              <w:spacing w:before="60" w:after="60"/>
              <w:jc w:val="left"/>
              <w:rPr>
                <w:sz w:val="20"/>
              </w:rPr>
            </w:pPr>
            <w:r w:rsidRPr="000B42F8">
              <w:rPr>
                <w:sz w:val="20"/>
              </w:rPr>
              <w:t>G.7</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03C3C79"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July 2019</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31E8C7A6" w14:textId="28C15E16" w:rsidR="000B42F8" w:rsidRPr="000B42F8" w:rsidRDefault="000B42F8" w:rsidP="000B42F8">
            <w:pPr>
              <w:widowControl/>
              <w:tabs>
                <w:tab w:val="left" w:pos="2552"/>
                <w:tab w:val="center" w:pos="4677"/>
              </w:tabs>
              <w:spacing w:before="60" w:after="60"/>
              <w:jc w:val="left"/>
              <w:rPr>
                <w:sz w:val="20"/>
              </w:rPr>
            </w:pPr>
            <w:r w:rsidRPr="000B42F8">
              <w:rPr>
                <w:sz w:val="20"/>
              </w:rPr>
              <w:t xml:space="preserve">At the website </w:t>
            </w:r>
            <w:r w:rsidRPr="000B42F8">
              <w:rPr>
                <w:color w:val="0000FF"/>
                <w:sz w:val="20"/>
                <w:u w:val="single"/>
              </w:rPr>
              <w:t>www.quartierdrummoyne.com.au</w:t>
            </w:r>
            <w:r w:rsidRPr="000B42F8">
              <w:rPr>
                <w:sz w:val="20"/>
              </w:rPr>
              <w:t xml:space="preserve"> (or authorised such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4A3FEF0A"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 three storey multi-dwelling building  at the “Quartier” construction project at 9 Wrights Road, Drummoyne, New South Wales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1C23444"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 xml:space="preserve">4105 </w:t>
            </w:r>
          </w:p>
          <w:p w14:paraId="625BE22D" w14:textId="77777777" w:rsidR="000B42F8" w:rsidRPr="000B42F8" w:rsidRDefault="000B42F8" w:rsidP="000B42F8">
            <w:pPr>
              <w:widowControl/>
              <w:tabs>
                <w:tab w:val="left" w:pos="2552"/>
                <w:tab w:val="center" w:pos="4677"/>
              </w:tabs>
              <w:spacing w:before="60" w:after="60"/>
              <w:jc w:val="left"/>
              <w:rPr>
                <w:sz w:val="20"/>
                <w:lang w:eastAsia="en-GB"/>
              </w:rPr>
            </w:pPr>
          </w:p>
        </w:tc>
      </w:tr>
      <w:tr w:rsidR="000B42F8" w:rsidRPr="000B42F8" w14:paraId="717D2F7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0C72370E" w14:textId="77777777" w:rsidR="000B42F8" w:rsidRPr="000B42F8" w:rsidRDefault="000B42F8" w:rsidP="000B42F8">
            <w:pPr>
              <w:widowControl/>
              <w:tabs>
                <w:tab w:val="left" w:pos="2552"/>
                <w:tab w:val="center" w:pos="4677"/>
              </w:tabs>
              <w:spacing w:before="60" w:after="60"/>
              <w:jc w:val="left"/>
              <w:rPr>
                <w:sz w:val="20"/>
              </w:rPr>
            </w:pPr>
            <w:r w:rsidRPr="000B42F8">
              <w:rPr>
                <w:sz w:val="20"/>
              </w:rPr>
              <w:t>G.8</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4B6CADD"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prior to 25 July 2019</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3912B4B" w14:textId="77777777" w:rsidR="000B42F8" w:rsidRPr="000B42F8" w:rsidRDefault="000B42F8" w:rsidP="000B42F8">
            <w:pPr>
              <w:widowControl/>
              <w:tabs>
                <w:tab w:val="left" w:pos="2552"/>
                <w:tab w:val="center" w:pos="4677"/>
              </w:tabs>
              <w:spacing w:before="60" w:after="60"/>
              <w:jc w:val="left"/>
              <w:rPr>
                <w:sz w:val="20"/>
              </w:rPr>
            </w:pPr>
            <w:r w:rsidRPr="000B42F8">
              <w:rPr>
                <w:sz w:val="20"/>
              </w:rPr>
              <w:t>Generally and for friends, including for Ali Hassan at the property at 23 The Grand Parade, Brighton-Le Sands, New South Wales 2216, including by display on hoarding</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336C020"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building and construction services in respect of single dwelling structural alterations, single dwelling non-structural renovations, construction of new duplexes, and construction of new single dwellings </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56756A55"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JML-90 </w:t>
            </w:r>
            <w:r w:rsidRPr="000B42F8">
              <w:rPr>
                <w:bCs/>
                <w:sz w:val="20"/>
              </w:rPr>
              <w:t xml:space="preserve">Tender Bundle: </w:t>
            </w:r>
            <w:r w:rsidRPr="000B42F8">
              <w:rPr>
                <w:sz w:val="20"/>
              </w:rPr>
              <w:t>5798, 5799</w:t>
            </w:r>
          </w:p>
        </w:tc>
      </w:tr>
      <w:tr w:rsidR="000B42F8" w:rsidRPr="000B42F8" w14:paraId="27336EE6"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6A93F533"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G.9</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49328C41"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around September 2017</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333B7494" w14:textId="77777777" w:rsidR="000B42F8" w:rsidRPr="000B42F8" w:rsidRDefault="000B42F8" w:rsidP="000B42F8">
            <w:pPr>
              <w:widowControl/>
              <w:spacing w:before="60" w:after="60" w:line="240" w:lineRule="auto"/>
              <w:ind w:left="-12"/>
              <w:jc w:val="left"/>
              <w:rPr>
                <w:rFonts w:eastAsia="Times New Roman"/>
                <w:sz w:val="20"/>
                <w:lang w:val="en-US"/>
              </w:rPr>
            </w:pPr>
            <w:r w:rsidRPr="000B42F8">
              <w:rPr>
                <w:rFonts w:eastAsia="Times New Roman"/>
                <w:sz w:val="20"/>
                <w:lang w:val="en-US"/>
              </w:rPr>
              <w:t>On completed low to medium-rise multi-dwelling apartment blocks, including at least:</w:t>
            </w:r>
          </w:p>
          <w:p w14:paraId="0AF418E0"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(a)</w:t>
            </w:r>
            <w:r w:rsidRPr="000B42F8">
              <w:rPr>
                <w:rFonts w:eastAsia="Times New Roman"/>
                <w:sz w:val="20"/>
                <w:lang w:val="en-US"/>
              </w:rPr>
              <w:tab/>
              <w:t>From September 2017, at the “Birdwood” building, at 203 Birdwood Road, Georges Hall, New South Wales;</w:t>
            </w:r>
          </w:p>
          <w:p w14:paraId="516B0B50"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(b)</w:t>
            </w:r>
            <w:r w:rsidRPr="000B42F8">
              <w:rPr>
                <w:rFonts w:eastAsia="Times New Roman"/>
                <w:sz w:val="20"/>
                <w:lang w:val="en-US"/>
              </w:rPr>
              <w:tab/>
              <w:t>From August 2018, at the “</w:t>
            </w:r>
            <w:proofErr w:type="spellStart"/>
            <w:r w:rsidRPr="000B42F8">
              <w:rPr>
                <w:rFonts w:eastAsia="Times New Roman"/>
                <w:sz w:val="20"/>
                <w:lang w:val="en-US"/>
              </w:rPr>
              <w:t>Aleya</w:t>
            </w:r>
            <w:proofErr w:type="spellEnd"/>
            <w:r w:rsidRPr="000B42F8">
              <w:rPr>
                <w:rFonts w:eastAsia="Times New Roman"/>
                <w:sz w:val="20"/>
                <w:lang w:val="en-US"/>
              </w:rPr>
              <w:t xml:space="preserve">” building, at 1 </w:t>
            </w:r>
            <w:proofErr w:type="spellStart"/>
            <w:r w:rsidRPr="000B42F8">
              <w:rPr>
                <w:rFonts w:eastAsia="Times New Roman"/>
                <w:sz w:val="20"/>
                <w:lang w:val="en-US"/>
              </w:rPr>
              <w:t>Sparkes</w:t>
            </w:r>
            <w:proofErr w:type="spellEnd"/>
            <w:r w:rsidRPr="000B42F8">
              <w:rPr>
                <w:rFonts w:eastAsia="Times New Roman"/>
                <w:sz w:val="20"/>
                <w:lang w:val="en-US"/>
              </w:rPr>
              <w:t xml:space="preserve"> Lane, </w:t>
            </w:r>
            <w:proofErr w:type="spellStart"/>
            <w:r w:rsidRPr="000B42F8">
              <w:rPr>
                <w:rFonts w:eastAsia="Times New Roman"/>
                <w:sz w:val="20"/>
                <w:lang w:val="en-US"/>
              </w:rPr>
              <w:t>Camperdown</w:t>
            </w:r>
            <w:proofErr w:type="spellEnd"/>
            <w:r w:rsidRPr="000B42F8">
              <w:rPr>
                <w:rFonts w:eastAsia="Times New Roman"/>
                <w:sz w:val="20"/>
                <w:lang w:val="en-US"/>
              </w:rPr>
              <w:t>, New South Wales;</w:t>
            </w:r>
          </w:p>
          <w:p w14:paraId="129DCFE9"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(c)</w:t>
            </w:r>
            <w:r w:rsidRPr="000B42F8">
              <w:rPr>
                <w:rFonts w:eastAsia="Times New Roman"/>
                <w:sz w:val="20"/>
                <w:lang w:val="en-US"/>
              </w:rPr>
              <w:tab/>
              <w:t xml:space="preserve">From December 2018, at 59-65 Chester Avenue, </w:t>
            </w:r>
            <w:proofErr w:type="spellStart"/>
            <w:r w:rsidRPr="000B42F8">
              <w:rPr>
                <w:rFonts w:eastAsia="Times New Roman"/>
                <w:sz w:val="20"/>
                <w:lang w:val="en-US"/>
              </w:rPr>
              <w:t>Maroubra</w:t>
            </w:r>
            <w:proofErr w:type="spellEnd"/>
            <w:r w:rsidRPr="000B42F8">
              <w:rPr>
                <w:rFonts w:eastAsia="Times New Roman"/>
                <w:sz w:val="20"/>
                <w:lang w:val="en-US"/>
              </w:rPr>
              <w:t>, New South Wales;</w:t>
            </w:r>
          </w:p>
          <w:p w14:paraId="4B3DDAEF"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(d)</w:t>
            </w:r>
            <w:r w:rsidRPr="000B42F8">
              <w:rPr>
                <w:rFonts w:eastAsia="Times New Roman"/>
                <w:sz w:val="20"/>
                <w:lang w:val="en-US"/>
              </w:rPr>
              <w:tab/>
              <w:t xml:space="preserve">From August 2019, at the </w:t>
            </w:r>
            <w:proofErr w:type="spellStart"/>
            <w:r w:rsidRPr="000B42F8">
              <w:rPr>
                <w:rFonts w:eastAsia="Times New Roman"/>
                <w:sz w:val="20"/>
                <w:lang w:val="en-US"/>
              </w:rPr>
              <w:t>Camperdown</w:t>
            </w:r>
            <w:proofErr w:type="spellEnd"/>
            <w:r w:rsidRPr="000B42F8">
              <w:rPr>
                <w:rFonts w:eastAsia="Times New Roman"/>
                <w:sz w:val="20"/>
                <w:lang w:val="en-US"/>
              </w:rPr>
              <w:t xml:space="preserve"> “HQ” building, at 128 Parramatta Road, </w:t>
            </w:r>
            <w:proofErr w:type="spellStart"/>
            <w:r w:rsidRPr="000B42F8">
              <w:rPr>
                <w:rFonts w:eastAsia="Times New Roman"/>
                <w:sz w:val="20"/>
                <w:lang w:val="en-US"/>
              </w:rPr>
              <w:t>Camperdown</w:t>
            </w:r>
            <w:proofErr w:type="spellEnd"/>
            <w:r w:rsidRPr="000B42F8">
              <w:rPr>
                <w:rFonts w:eastAsia="Times New Roman"/>
                <w:sz w:val="20"/>
                <w:lang w:val="en-US"/>
              </w:rPr>
              <w:t>, New South Wales;</w:t>
            </w:r>
          </w:p>
          <w:p w14:paraId="1F04F2FF"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(e)</w:t>
            </w:r>
            <w:r w:rsidRPr="000B42F8">
              <w:rPr>
                <w:rFonts w:eastAsia="Times New Roman"/>
                <w:sz w:val="20"/>
                <w:lang w:val="en-US"/>
              </w:rPr>
              <w:tab/>
              <w:t xml:space="preserve">From March 2020, at the “Quartier” building, at 9 Wrights Road, </w:t>
            </w:r>
            <w:proofErr w:type="spellStart"/>
            <w:r w:rsidRPr="000B42F8">
              <w:rPr>
                <w:rFonts w:eastAsia="Times New Roman"/>
                <w:sz w:val="20"/>
                <w:lang w:val="en-US"/>
              </w:rPr>
              <w:t>Drummoyne</w:t>
            </w:r>
            <w:proofErr w:type="spellEnd"/>
            <w:r w:rsidRPr="000B42F8">
              <w:rPr>
                <w:rFonts w:eastAsia="Times New Roman"/>
                <w:sz w:val="20"/>
                <w:lang w:val="en-US"/>
              </w:rPr>
              <w:t>, New South Wales;</w:t>
            </w:r>
          </w:p>
          <w:p w14:paraId="1BEAD0E5"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(f)</w:t>
            </w:r>
            <w:r w:rsidRPr="000B42F8">
              <w:rPr>
                <w:rFonts w:eastAsia="Times New Roman"/>
                <w:sz w:val="20"/>
                <w:lang w:val="en-US"/>
              </w:rPr>
              <w:tab/>
              <w:t xml:space="preserve">From July 2020, at the “Noah” building, at </w:t>
            </w:r>
            <w:proofErr w:type="spellStart"/>
            <w:r w:rsidRPr="000B42F8">
              <w:rPr>
                <w:rFonts w:eastAsia="Times New Roman"/>
                <w:sz w:val="20"/>
                <w:lang w:val="en-US"/>
              </w:rPr>
              <w:t>Gladesville</w:t>
            </w:r>
            <w:proofErr w:type="spellEnd"/>
            <w:r w:rsidRPr="000B42F8">
              <w:rPr>
                <w:rFonts w:eastAsia="Times New Roman"/>
                <w:sz w:val="20"/>
                <w:lang w:val="en-US"/>
              </w:rPr>
              <w:t>, New South Wales;</w:t>
            </w:r>
          </w:p>
          <w:p w14:paraId="1A5C93C5" w14:textId="77777777" w:rsidR="000B42F8" w:rsidRPr="000B42F8" w:rsidRDefault="000B42F8" w:rsidP="000B42F8">
            <w:pPr>
              <w:widowControl/>
              <w:tabs>
                <w:tab w:val="left" w:pos="1406"/>
              </w:tabs>
              <w:spacing w:before="60" w:after="60" w:line="240" w:lineRule="auto"/>
              <w:ind w:left="470" w:hanging="482"/>
              <w:jc w:val="left"/>
              <w:outlineLvl w:val="2"/>
              <w:rPr>
                <w:rFonts w:eastAsia="Times New Roman"/>
                <w:sz w:val="20"/>
                <w:lang w:val="en-US"/>
              </w:rPr>
            </w:pPr>
            <w:r w:rsidRPr="000B42F8">
              <w:rPr>
                <w:rFonts w:eastAsia="Times New Roman"/>
                <w:sz w:val="20"/>
                <w:lang w:val="en-US"/>
              </w:rPr>
              <w:t>(g)</w:t>
            </w:r>
            <w:r w:rsidRPr="000B42F8">
              <w:rPr>
                <w:rFonts w:eastAsia="Times New Roman"/>
                <w:sz w:val="20"/>
                <w:lang w:val="en-US"/>
              </w:rPr>
              <w:tab/>
              <w:t xml:space="preserve">From October 2020, at the “Chanel” building, at 27 Church Street, </w:t>
            </w:r>
            <w:proofErr w:type="spellStart"/>
            <w:r w:rsidRPr="000B42F8">
              <w:rPr>
                <w:rFonts w:eastAsia="Times New Roman"/>
                <w:sz w:val="20"/>
                <w:lang w:val="en-US"/>
              </w:rPr>
              <w:t>Camperdown</w:t>
            </w:r>
            <w:proofErr w:type="spellEnd"/>
            <w:r w:rsidRPr="000B42F8">
              <w:rPr>
                <w:rFonts w:eastAsia="Times New Roman"/>
                <w:sz w:val="20"/>
                <w:lang w:val="en-US"/>
              </w:rPr>
              <w:t>, New South Wales.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6C9DB758"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98F8F72"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R22</w:t>
            </w:r>
          </w:p>
          <w:p w14:paraId="137EF896" w14:textId="77777777" w:rsidR="000B42F8" w:rsidRPr="000B42F8" w:rsidRDefault="000B42F8" w:rsidP="000B42F8">
            <w:pPr>
              <w:widowControl/>
              <w:tabs>
                <w:tab w:val="left" w:pos="2552"/>
                <w:tab w:val="center" w:pos="4677"/>
              </w:tabs>
              <w:spacing w:before="60" w:after="60"/>
              <w:jc w:val="left"/>
              <w:rPr>
                <w:sz w:val="20"/>
              </w:rPr>
            </w:pPr>
          </w:p>
          <w:p w14:paraId="091342D3"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A19</w:t>
            </w:r>
          </w:p>
          <w:p w14:paraId="42F75233" w14:textId="77777777" w:rsidR="000B42F8" w:rsidRPr="000B42F8" w:rsidRDefault="000B42F8" w:rsidP="000B42F8">
            <w:pPr>
              <w:widowControl/>
              <w:tabs>
                <w:tab w:val="left" w:pos="2552"/>
                <w:tab w:val="center" w:pos="4677"/>
              </w:tabs>
              <w:spacing w:before="60" w:after="60"/>
              <w:jc w:val="left"/>
              <w:rPr>
                <w:sz w:val="20"/>
              </w:rPr>
            </w:pPr>
          </w:p>
          <w:p w14:paraId="25193530"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R2</w:t>
            </w:r>
          </w:p>
          <w:p w14:paraId="531A30ED" w14:textId="77777777" w:rsidR="000B42F8" w:rsidRPr="000B42F8" w:rsidRDefault="000B42F8" w:rsidP="000B42F8">
            <w:pPr>
              <w:widowControl/>
              <w:tabs>
                <w:tab w:val="left" w:pos="2552"/>
                <w:tab w:val="center" w:pos="4677"/>
              </w:tabs>
              <w:spacing w:before="60" w:after="60"/>
              <w:jc w:val="left"/>
              <w:rPr>
                <w:sz w:val="20"/>
                <w:lang w:val="fr-FR"/>
              </w:rPr>
            </w:pPr>
          </w:p>
          <w:p w14:paraId="2ED3E0AC"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R3</w:t>
            </w:r>
          </w:p>
          <w:p w14:paraId="115EE188" w14:textId="77777777" w:rsidR="000B42F8" w:rsidRPr="000B42F8" w:rsidRDefault="000B42F8" w:rsidP="000B42F8">
            <w:pPr>
              <w:widowControl/>
              <w:tabs>
                <w:tab w:val="left" w:pos="2552"/>
                <w:tab w:val="center" w:pos="4677"/>
              </w:tabs>
              <w:spacing w:before="60" w:after="60"/>
              <w:jc w:val="left"/>
              <w:rPr>
                <w:sz w:val="20"/>
                <w:lang w:val="fr-FR"/>
              </w:rPr>
            </w:pPr>
          </w:p>
          <w:p w14:paraId="7FFED6F9"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R4</w:t>
            </w:r>
          </w:p>
          <w:p w14:paraId="6E8A13FA" w14:textId="77777777" w:rsidR="000B42F8" w:rsidRPr="000B42F8" w:rsidRDefault="000B42F8" w:rsidP="000B42F8">
            <w:pPr>
              <w:widowControl/>
              <w:tabs>
                <w:tab w:val="left" w:pos="2552"/>
                <w:tab w:val="center" w:pos="4677"/>
              </w:tabs>
              <w:spacing w:before="60" w:after="60"/>
              <w:jc w:val="left"/>
              <w:rPr>
                <w:sz w:val="20"/>
                <w:lang w:val="fr-FR"/>
              </w:rPr>
            </w:pPr>
          </w:p>
          <w:p w14:paraId="422D5209"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A20 (pages 2, 3, 5, 10, 14, 15)</w:t>
            </w:r>
          </w:p>
          <w:p w14:paraId="5FB0F29E" w14:textId="77777777" w:rsidR="000B42F8" w:rsidRPr="000B42F8" w:rsidRDefault="000B42F8" w:rsidP="000B42F8">
            <w:pPr>
              <w:widowControl/>
              <w:tabs>
                <w:tab w:val="left" w:pos="2552"/>
                <w:tab w:val="center" w:pos="4677"/>
              </w:tabs>
              <w:spacing w:before="60" w:after="60"/>
              <w:jc w:val="left"/>
              <w:rPr>
                <w:sz w:val="20"/>
                <w:lang w:val="fr-FR"/>
              </w:rPr>
            </w:pPr>
          </w:p>
          <w:p w14:paraId="22587EF4"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JML-91</w:t>
            </w:r>
          </w:p>
          <w:p w14:paraId="380B0B2B" w14:textId="77777777" w:rsidR="000B42F8" w:rsidRPr="000B42F8" w:rsidRDefault="000B42F8" w:rsidP="000B42F8">
            <w:pPr>
              <w:widowControl/>
              <w:tabs>
                <w:tab w:val="left" w:pos="2552"/>
                <w:tab w:val="center" w:pos="4677"/>
              </w:tabs>
              <w:spacing w:before="60" w:after="60"/>
              <w:jc w:val="left"/>
              <w:rPr>
                <w:sz w:val="20"/>
                <w:lang w:val="fr-FR"/>
              </w:rPr>
            </w:pPr>
          </w:p>
          <w:p w14:paraId="1AB830C3"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 xml:space="preserve">PS-9 </w:t>
            </w:r>
            <w:r w:rsidRPr="000B42F8">
              <w:rPr>
                <w:bCs/>
                <w:sz w:val="20"/>
                <w:lang w:val="fr-FR"/>
              </w:rPr>
              <w:t xml:space="preserve">Tender Bundle: </w:t>
            </w:r>
            <w:r w:rsidRPr="000B42F8">
              <w:rPr>
                <w:sz w:val="20"/>
                <w:lang w:val="fr-FR"/>
              </w:rPr>
              <w:t>4115</w:t>
            </w:r>
          </w:p>
        </w:tc>
      </w:tr>
      <w:tr w:rsidR="000B42F8" w:rsidRPr="000B42F8" w14:paraId="383C846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B324106" w14:textId="77777777" w:rsidR="000B42F8" w:rsidRPr="000B42F8" w:rsidRDefault="000B42F8" w:rsidP="000B42F8">
            <w:pPr>
              <w:widowControl/>
              <w:tabs>
                <w:tab w:val="left" w:pos="2552"/>
                <w:tab w:val="center" w:pos="4677"/>
              </w:tabs>
              <w:spacing w:before="60" w:after="60"/>
              <w:jc w:val="left"/>
              <w:rPr>
                <w:sz w:val="20"/>
              </w:rPr>
            </w:pPr>
            <w:r w:rsidRPr="000B42F8">
              <w:rPr>
                <w:sz w:val="20"/>
              </w:rPr>
              <w:t>G.10</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51F56A5B"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November 2019</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EFE038B"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safety hats and hi-vis clothing</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01DAC736"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11922AE"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A19 (page 12)</w:t>
            </w:r>
          </w:p>
          <w:p w14:paraId="7C5452AA" w14:textId="77777777" w:rsidR="000B42F8" w:rsidRPr="000B42F8" w:rsidRDefault="000B42F8" w:rsidP="000B42F8">
            <w:pPr>
              <w:widowControl/>
              <w:tabs>
                <w:tab w:val="left" w:pos="2552"/>
                <w:tab w:val="center" w:pos="4677"/>
              </w:tabs>
              <w:spacing w:before="60" w:after="60"/>
              <w:jc w:val="left"/>
              <w:rPr>
                <w:sz w:val="20"/>
                <w:lang w:val="fr-FR"/>
              </w:rPr>
            </w:pPr>
          </w:p>
          <w:p w14:paraId="49F4325A"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A20 (page 6)</w:t>
            </w:r>
          </w:p>
        </w:tc>
      </w:tr>
      <w:tr w:rsidR="000B42F8" w:rsidRPr="000B42F8" w14:paraId="3C3210D2"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04B152B8" w14:textId="77777777" w:rsidR="000B42F8" w:rsidRPr="000B42F8" w:rsidRDefault="000B42F8" w:rsidP="000B42F8">
            <w:pPr>
              <w:widowControl/>
              <w:tabs>
                <w:tab w:val="left" w:pos="2552"/>
                <w:tab w:val="center" w:pos="4677"/>
              </w:tabs>
              <w:spacing w:before="60" w:after="60"/>
              <w:jc w:val="left"/>
              <w:rPr>
                <w:b/>
                <w:bCs/>
                <w:noProof/>
                <w:sz w:val="20"/>
                <w:lang w:eastAsia="en-AU"/>
              </w:rPr>
            </w:pPr>
            <w:r w:rsidRPr="000B42F8">
              <w:rPr>
                <w:b/>
                <w:bCs/>
                <w:noProof/>
                <w:sz w:val="20"/>
                <w:lang w:eastAsia="en-AU"/>
              </w:rPr>
              <w:t>H</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21BF1FC2" w14:textId="77777777" w:rsidR="000B42F8" w:rsidRPr="000B42F8" w:rsidRDefault="000B42F8" w:rsidP="000B42F8">
            <w:pPr>
              <w:widowControl/>
              <w:tabs>
                <w:tab w:val="left" w:pos="2552"/>
                <w:tab w:val="center" w:pos="4677"/>
              </w:tabs>
              <w:spacing w:before="60" w:after="60"/>
              <w:jc w:val="left"/>
              <w:rPr>
                <w:sz w:val="20"/>
                <w:lang w:eastAsia="en-GB"/>
              </w:rPr>
            </w:pPr>
            <w:r w:rsidRPr="000B42F8">
              <w:rPr>
                <w:b/>
                <w:bCs/>
                <w:noProof/>
                <w:sz w:val="20"/>
                <w:lang w:eastAsia="en-AU"/>
              </w:rPr>
              <w:t>THE HENLEY DISPLAY GALLERY</w:t>
            </w:r>
          </w:p>
        </w:tc>
      </w:tr>
      <w:tr w:rsidR="000B42F8" w:rsidRPr="000B42F8" w14:paraId="5C98148F"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67BC1CBB"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H.1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36A726F9"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at least September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58EEDA8" w14:textId="77777777" w:rsidR="000B42F8" w:rsidRPr="000B42F8" w:rsidRDefault="000B42F8" w:rsidP="000B42F8">
            <w:pPr>
              <w:widowControl/>
              <w:tabs>
                <w:tab w:val="left" w:pos="2552"/>
                <w:tab w:val="center" w:pos="4677"/>
              </w:tabs>
              <w:spacing w:before="60" w:after="60"/>
              <w:jc w:val="left"/>
              <w:rPr>
                <w:sz w:val="20"/>
              </w:rPr>
            </w:pPr>
            <w:r w:rsidRPr="000B42F8">
              <w:rPr>
                <w:sz w:val="20"/>
              </w:rPr>
              <w:t>At ground level on the front of the building and (up to a time before September 2019) at 128 Parramatta Road, Camperdown, New South Wales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7401FA6"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for an apartment block called “Aperture” or “Marrickville Luxury Apartments”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20AE013"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 xml:space="preserve">JML-46 </w:t>
            </w:r>
            <w:r w:rsidRPr="000B42F8">
              <w:rPr>
                <w:bCs/>
                <w:sz w:val="20"/>
                <w:lang w:val="fr-FR"/>
              </w:rPr>
              <w:t xml:space="preserve">Tender Bundle: </w:t>
            </w:r>
            <w:r w:rsidRPr="000B42F8">
              <w:rPr>
                <w:sz w:val="20"/>
                <w:lang w:val="fr-FR"/>
              </w:rPr>
              <w:t>2072</w:t>
            </w:r>
          </w:p>
          <w:p w14:paraId="4642F84B" w14:textId="77777777" w:rsidR="000B42F8" w:rsidRPr="000B42F8" w:rsidRDefault="000B42F8" w:rsidP="000B42F8">
            <w:pPr>
              <w:widowControl/>
              <w:tabs>
                <w:tab w:val="left" w:pos="2552"/>
                <w:tab w:val="center" w:pos="4677"/>
              </w:tabs>
              <w:spacing w:before="60" w:after="60"/>
              <w:jc w:val="left"/>
              <w:rPr>
                <w:sz w:val="20"/>
                <w:lang w:val="fr-FR"/>
              </w:rPr>
            </w:pPr>
          </w:p>
          <w:p w14:paraId="123C225A"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Ex A20 (page 13)</w:t>
            </w:r>
          </w:p>
          <w:p w14:paraId="27FE86A7" w14:textId="77777777" w:rsidR="000B42F8" w:rsidRPr="000B42F8" w:rsidRDefault="000B42F8" w:rsidP="000B42F8">
            <w:pPr>
              <w:widowControl/>
              <w:tabs>
                <w:tab w:val="left" w:pos="2552"/>
                <w:tab w:val="center" w:pos="4677"/>
              </w:tabs>
              <w:spacing w:before="60" w:after="60"/>
              <w:jc w:val="left"/>
              <w:rPr>
                <w:sz w:val="20"/>
                <w:lang w:val="fr-FR"/>
              </w:rPr>
            </w:pPr>
          </w:p>
          <w:p w14:paraId="6A8071BB"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 xml:space="preserve">PS-9 </w:t>
            </w:r>
            <w:r w:rsidRPr="000B42F8">
              <w:rPr>
                <w:bCs/>
                <w:sz w:val="20"/>
                <w:lang w:val="fr-FR"/>
              </w:rPr>
              <w:t xml:space="preserve">Tender Bundle: </w:t>
            </w:r>
            <w:r w:rsidRPr="000B42F8">
              <w:rPr>
                <w:sz w:val="20"/>
                <w:lang w:val="fr-FR"/>
              </w:rPr>
              <w:t>4127, 4128</w:t>
            </w:r>
          </w:p>
        </w:tc>
      </w:tr>
      <w:tr w:rsidR="000B42F8" w:rsidRPr="000B42F8" w14:paraId="2247B205"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15994EE" w14:textId="77777777" w:rsidR="000B42F8" w:rsidRPr="000B42F8" w:rsidRDefault="000B42F8" w:rsidP="000B42F8">
            <w:pPr>
              <w:widowControl/>
              <w:tabs>
                <w:tab w:val="left" w:pos="2552"/>
                <w:tab w:val="center" w:pos="4677"/>
              </w:tabs>
              <w:spacing w:before="60" w:after="60"/>
              <w:jc w:val="left"/>
              <w:rPr>
                <w:sz w:val="20"/>
              </w:rPr>
            </w:pPr>
            <w:r w:rsidRPr="000B42F8">
              <w:rPr>
                <w:sz w:val="20"/>
              </w:rPr>
              <w:t>H.2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4B34646"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October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1C9BE724" w14:textId="17CFEA7A" w:rsidR="000B42F8" w:rsidRPr="000B42F8" w:rsidRDefault="000B42F8" w:rsidP="000B42F8">
            <w:pPr>
              <w:widowControl/>
              <w:tabs>
                <w:tab w:val="left" w:pos="2552"/>
                <w:tab w:val="center" w:pos="4677"/>
              </w:tabs>
              <w:spacing w:before="60" w:after="60"/>
              <w:jc w:val="left"/>
              <w:rPr>
                <w:sz w:val="20"/>
              </w:rPr>
            </w:pPr>
            <w:r w:rsidRPr="000B42F8">
              <w:rPr>
                <w:sz w:val="20"/>
              </w:rPr>
              <w:t xml:space="preserve">at the website at </w:t>
            </w:r>
            <w:r w:rsidRPr="000B42F8">
              <w:rPr>
                <w:color w:val="0000FF"/>
                <w:sz w:val="20"/>
                <w:u w:val="single"/>
              </w:rPr>
              <w:t>www.aperturemarrickville.com.au</w:t>
            </w:r>
            <w:r w:rsidRPr="000B42F8">
              <w:rPr>
                <w:sz w:val="20"/>
              </w:rPr>
              <w:t xml:space="preserve"> (or authorised such use)</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3FEFF5C"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apartments at the “Aperture at Marrickville”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8973781"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PS-7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4089</w:t>
            </w:r>
          </w:p>
          <w:p w14:paraId="2C39037E" w14:textId="77777777" w:rsidR="000B42F8" w:rsidRPr="000B42F8" w:rsidRDefault="000B42F8" w:rsidP="000B42F8">
            <w:pPr>
              <w:widowControl/>
              <w:spacing w:before="240" w:after="120"/>
              <w:jc w:val="left"/>
              <w:rPr>
                <w:sz w:val="20"/>
                <w:lang w:eastAsia="en-GB"/>
              </w:rPr>
            </w:pPr>
          </w:p>
        </w:tc>
      </w:tr>
      <w:tr w:rsidR="000B42F8" w:rsidRPr="000B42F8" w14:paraId="4344A664"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3853AF7" w14:textId="77777777" w:rsidR="000B42F8" w:rsidRPr="000B42F8" w:rsidRDefault="000B42F8" w:rsidP="000B42F8">
            <w:pPr>
              <w:widowControl/>
              <w:tabs>
                <w:tab w:val="left" w:pos="2552"/>
                <w:tab w:val="center" w:pos="4677"/>
              </w:tabs>
              <w:spacing w:before="60" w:after="60"/>
              <w:jc w:val="left"/>
              <w:rPr>
                <w:sz w:val="20"/>
              </w:rPr>
            </w:pPr>
            <w:r w:rsidRPr="000B42F8">
              <w:rPr>
                <w:sz w:val="20"/>
              </w:rPr>
              <w:t>H.3</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1933E4B5"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the latest February 2019 (but no earlier than 2 May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76D9B876" w14:textId="199A9791" w:rsidR="000B42F8" w:rsidRPr="000B42F8" w:rsidRDefault="000B42F8" w:rsidP="000B42F8">
            <w:pPr>
              <w:widowControl/>
              <w:tabs>
                <w:tab w:val="left" w:pos="2552"/>
                <w:tab w:val="center" w:pos="4677"/>
              </w:tabs>
              <w:spacing w:before="60" w:after="60"/>
              <w:jc w:val="left"/>
              <w:rPr>
                <w:sz w:val="20"/>
              </w:rPr>
            </w:pPr>
            <w:r w:rsidRPr="000B42F8">
              <w:rPr>
                <w:sz w:val="20"/>
              </w:rPr>
              <w:t xml:space="preserve">at its website at the domain name </w:t>
            </w:r>
            <w:r w:rsidRPr="000B42F8">
              <w:rPr>
                <w:color w:val="0000FF"/>
                <w:sz w:val="20"/>
                <w:u w:val="single"/>
              </w:rPr>
              <w:t>www.henleygallery.com.au</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986765D"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projects</w:t>
            </w:r>
            <w:r w:rsidRPr="000B42F8">
              <w:rPr>
                <w:b/>
                <w:i/>
                <w:sz w:val="20"/>
              </w:rPr>
              <w:t xml:space="preserve"> </w:t>
            </w:r>
            <w:r w:rsidRPr="000B42F8">
              <w:rPr>
                <w:sz w:val="20"/>
              </w:rPr>
              <w:t>and the multi-dwelling apartment block at the “Aperture Apartments”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56778C0D"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JML-59 </w:t>
            </w:r>
          </w:p>
        </w:tc>
      </w:tr>
      <w:tr w:rsidR="000B42F8" w:rsidRPr="000B42F8" w14:paraId="193FF089" w14:textId="77777777" w:rsidTr="000B42F8">
        <w:trPr>
          <w:cantSplit/>
          <w:trHeight w:val="2492"/>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3BB011BC" w14:textId="77777777" w:rsidR="000B42F8" w:rsidRPr="000B42F8" w:rsidRDefault="000B42F8" w:rsidP="000B42F8">
            <w:pPr>
              <w:widowControl/>
              <w:tabs>
                <w:tab w:val="left" w:pos="2552"/>
                <w:tab w:val="center" w:pos="4677"/>
              </w:tabs>
              <w:spacing w:before="60" w:after="60"/>
              <w:jc w:val="left"/>
              <w:rPr>
                <w:b/>
                <w:bCs/>
                <w:noProof/>
                <w:sz w:val="20"/>
              </w:rPr>
            </w:pPr>
            <w:r w:rsidRPr="000B42F8">
              <w:rPr>
                <w:b/>
                <w:bCs/>
                <w:noProof/>
                <w:sz w:val="20"/>
              </w:rPr>
              <w:t>I</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6CA5371B" w14:textId="77777777" w:rsidR="000B42F8" w:rsidRPr="000B42F8" w:rsidRDefault="000B42F8" w:rsidP="000B42F8">
            <w:pPr>
              <w:widowControl/>
              <w:tabs>
                <w:tab w:val="left" w:pos="2552"/>
                <w:tab w:val="center" w:pos="4677"/>
              </w:tabs>
              <w:spacing w:after="60"/>
              <w:jc w:val="left"/>
              <w:rPr>
                <w:sz w:val="20"/>
              </w:rPr>
            </w:pPr>
            <w:r w:rsidRPr="000B42F8">
              <w:rPr>
                <w:noProof/>
                <w:sz w:val="20"/>
                <w:lang w:eastAsia="en-AU"/>
              </w:rPr>
              <w:drawing>
                <wp:inline distT="0" distB="0" distL="0" distR="0" wp14:anchorId="113E57FD" wp14:editId="1FC23458">
                  <wp:extent cx="1331366" cy="647049"/>
                  <wp:effectExtent l="0" t="0" r="2540" b="1270"/>
                  <wp:docPr id="104" name="Picture 104" descr="C:\Users\rallen\Desktop\JPEG HENLEY\Captur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rallen\Desktop\JPEG HENLEY\Capture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7067" cy="659540"/>
                          </a:xfrm>
                          <a:prstGeom prst="rect">
                            <a:avLst/>
                          </a:prstGeom>
                          <a:noFill/>
                          <a:ln>
                            <a:noFill/>
                          </a:ln>
                        </pic:spPr>
                      </pic:pic>
                    </a:graphicData>
                  </a:graphic>
                </wp:inline>
              </w:drawing>
            </w:r>
            <w:r w:rsidRPr="000B42F8">
              <w:rPr>
                <w:sz w:val="20"/>
              </w:rPr>
              <w:t xml:space="preserve"> </w:t>
            </w:r>
            <w:r w:rsidRPr="000B42F8">
              <w:rPr>
                <w:noProof/>
                <w:sz w:val="20"/>
                <w:lang w:eastAsia="en-AU"/>
              </w:rPr>
              <w:drawing>
                <wp:inline distT="0" distB="0" distL="0" distR="0" wp14:anchorId="785EC69E" wp14:editId="66F69382">
                  <wp:extent cx="1252314" cy="629108"/>
                  <wp:effectExtent l="0" t="0" r="5080" b="0"/>
                  <wp:docPr id="105" name="Picture 105" descr="C:\Users\rallen\Desktop\JPEG HENLEY\Captur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rallen\Desktop\JPEG HENLEY\Capture3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773" cy="638381"/>
                          </a:xfrm>
                          <a:prstGeom prst="rect">
                            <a:avLst/>
                          </a:prstGeom>
                          <a:noFill/>
                          <a:ln>
                            <a:noFill/>
                          </a:ln>
                        </pic:spPr>
                      </pic:pic>
                    </a:graphicData>
                  </a:graphic>
                </wp:inline>
              </w:drawing>
            </w:r>
            <w:r w:rsidRPr="000B42F8">
              <w:rPr>
                <w:noProof/>
                <w:sz w:val="20"/>
                <w:lang w:eastAsia="en-AU"/>
              </w:rPr>
              <w:t xml:space="preserve">   </w:t>
            </w:r>
            <w:r w:rsidRPr="000B42F8">
              <w:rPr>
                <w:noProof/>
                <w:sz w:val="20"/>
                <w:lang w:eastAsia="en-AU"/>
              </w:rPr>
              <w:drawing>
                <wp:inline distT="0" distB="0" distL="0" distR="0" wp14:anchorId="1C85C2A9" wp14:editId="52899E77">
                  <wp:extent cx="1227627" cy="651053"/>
                  <wp:effectExtent l="0" t="0" r="0" b="0"/>
                  <wp:docPr id="106" name="Picture 106" descr="C:\Users\rallen\Desktop\JPEG HENLEY\Captur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rallen\Desktop\JPEG HENLEY\Capture3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0734" cy="658004"/>
                          </a:xfrm>
                          <a:prstGeom prst="rect">
                            <a:avLst/>
                          </a:prstGeom>
                          <a:noFill/>
                          <a:ln>
                            <a:noFill/>
                          </a:ln>
                        </pic:spPr>
                      </pic:pic>
                    </a:graphicData>
                  </a:graphic>
                </wp:inline>
              </w:drawing>
            </w:r>
            <w:r w:rsidRPr="000B42F8">
              <w:rPr>
                <w:noProof/>
                <w:sz w:val="20"/>
                <w:lang w:eastAsia="en-AU"/>
              </w:rPr>
              <w:drawing>
                <wp:inline distT="0" distB="0" distL="0" distR="0" wp14:anchorId="0491299B" wp14:editId="4FF5C1C6">
                  <wp:extent cx="1388826" cy="672917"/>
                  <wp:effectExtent l="0" t="0" r="1905" b="0"/>
                  <wp:docPr id="107" name="Picture 107" descr="C:\Users\rallen\Desktop\JPEG HENLEY\Captur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rallen\Desktop\JPEG HENLEY\Capture3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5160" cy="690522"/>
                          </a:xfrm>
                          <a:prstGeom prst="rect">
                            <a:avLst/>
                          </a:prstGeom>
                          <a:noFill/>
                          <a:ln>
                            <a:noFill/>
                          </a:ln>
                        </pic:spPr>
                      </pic:pic>
                    </a:graphicData>
                  </a:graphic>
                </wp:inline>
              </w:drawing>
            </w:r>
          </w:p>
        </w:tc>
      </w:tr>
      <w:tr w:rsidR="000B42F8" w:rsidRPr="000B42F8" w14:paraId="671ACE20" w14:textId="77777777" w:rsidTr="000B42F8">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44FB76A2" w14:textId="77777777" w:rsidR="000B42F8" w:rsidRPr="000B42F8" w:rsidRDefault="000B42F8" w:rsidP="000B42F8">
            <w:pPr>
              <w:widowControl/>
              <w:tabs>
                <w:tab w:val="left" w:pos="2552"/>
                <w:tab w:val="center" w:pos="4677"/>
              </w:tabs>
              <w:spacing w:before="60" w:after="60"/>
              <w:jc w:val="left"/>
              <w:rPr>
                <w:sz w:val="20"/>
              </w:rPr>
            </w:pPr>
            <w:r w:rsidRPr="000B42F8">
              <w:rPr>
                <w:sz w:val="20"/>
              </w:rPr>
              <w:t>I.1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E030DE6"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at the latest 2018 and ongoing</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563923B8"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a crane located around 30m in the air including when lit up at night, including at:</w:t>
            </w:r>
          </w:p>
          <w:p w14:paraId="691C2AB9"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(a) Between at least around September 2018 to November 2019, at St </w:t>
            </w:r>
            <w:proofErr w:type="spellStart"/>
            <w:r w:rsidRPr="000B42F8">
              <w:rPr>
                <w:sz w:val="20"/>
              </w:rPr>
              <w:t>Charbel’s</w:t>
            </w:r>
            <w:proofErr w:type="spellEnd"/>
            <w:r w:rsidRPr="000B42F8">
              <w:rPr>
                <w:sz w:val="20"/>
              </w:rPr>
              <w:t xml:space="preserve"> Care Centre, 81-83 Waterloo Road, Punchbowl, New South Wales ;</w:t>
            </w:r>
          </w:p>
          <w:p w14:paraId="789FF616" w14:textId="77777777" w:rsidR="000B42F8" w:rsidRPr="000B42F8" w:rsidRDefault="000B42F8" w:rsidP="000B42F8">
            <w:pPr>
              <w:widowControl/>
              <w:tabs>
                <w:tab w:val="left" w:pos="2552"/>
                <w:tab w:val="center" w:pos="4677"/>
              </w:tabs>
              <w:spacing w:before="60" w:after="60"/>
              <w:jc w:val="left"/>
              <w:rPr>
                <w:sz w:val="20"/>
              </w:rPr>
            </w:pPr>
            <w:proofErr w:type="gramStart"/>
            <w:r w:rsidRPr="000B42F8">
              <w:rPr>
                <w:sz w:val="20"/>
              </w:rPr>
              <w:lastRenderedPageBreak/>
              <w:t>(b) From at least March 2021 at the “Botany Living”</w:t>
            </w:r>
            <w:proofErr w:type="gramEnd"/>
            <w:r w:rsidRPr="000B42F8">
              <w:rPr>
                <w:sz w:val="20"/>
              </w:rPr>
              <w:t xml:space="preserve"> site at 1445-1447 Botany Road, Botany, New South Wales.</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BB0A600" w14:textId="77777777" w:rsidR="000B42F8" w:rsidRPr="000B42F8" w:rsidRDefault="000B42F8" w:rsidP="000B42F8">
            <w:pPr>
              <w:widowControl/>
              <w:tabs>
                <w:tab w:val="left" w:pos="2552"/>
                <w:tab w:val="center" w:pos="4677"/>
              </w:tabs>
              <w:spacing w:before="60" w:after="60"/>
              <w:jc w:val="left"/>
              <w:rPr>
                <w:sz w:val="20"/>
              </w:rPr>
            </w:pPr>
            <w:r w:rsidRPr="000B42F8">
              <w:rPr>
                <w:sz w:val="20"/>
              </w:rPr>
              <w:lastRenderedPageBreak/>
              <w:t>Building and construction services at each site and generally for building and construction services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32DD1927"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R22 (pages 25, 27)</w:t>
            </w:r>
          </w:p>
        </w:tc>
      </w:tr>
      <w:tr w:rsidR="000B42F8" w:rsidRPr="000B42F8" w14:paraId="43A99A78"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0A627D1E" w14:textId="77777777" w:rsidR="000B42F8" w:rsidRPr="000B42F8" w:rsidRDefault="000B42F8" w:rsidP="000B42F8">
            <w:pPr>
              <w:widowControl/>
              <w:tabs>
                <w:tab w:val="left" w:pos="2552"/>
                <w:tab w:val="center" w:pos="4677"/>
              </w:tabs>
              <w:spacing w:before="60" w:after="60"/>
              <w:jc w:val="left"/>
              <w:rPr>
                <w:sz w:val="20"/>
              </w:rPr>
            </w:pPr>
            <w:r w:rsidRPr="000B42F8">
              <w:rPr>
                <w:sz w:val="20"/>
              </w:rPr>
              <w:t>I.2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F66930E"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about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1D2471E8"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Facebook and Instagram</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A328176"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 repair, flooring, remedial work, general maintenance and cleaning services, and a number of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1E9D5DD7"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Facebook - Ex A19 (pages 2, 10)</w:t>
            </w:r>
          </w:p>
          <w:p w14:paraId="1625D002" w14:textId="77777777" w:rsidR="000B42F8" w:rsidRPr="000B42F8" w:rsidRDefault="000B42F8" w:rsidP="000B42F8">
            <w:pPr>
              <w:widowControl/>
              <w:tabs>
                <w:tab w:val="left" w:pos="2552"/>
                <w:tab w:val="center" w:pos="4677"/>
              </w:tabs>
              <w:spacing w:before="60" w:after="60"/>
              <w:jc w:val="left"/>
              <w:rPr>
                <w:sz w:val="20"/>
                <w:lang w:val="fr-FR"/>
              </w:rPr>
            </w:pPr>
            <w:r w:rsidRPr="000B42F8">
              <w:rPr>
                <w:sz w:val="20"/>
                <w:lang w:val="fr-FR"/>
              </w:rPr>
              <w:t>Instagram -  Ex A20 (pages 7, 8)</w:t>
            </w:r>
          </w:p>
        </w:tc>
      </w:tr>
      <w:tr w:rsidR="000B42F8" w:rsidRPr="000B42F8" w14:paraId="2FD89865"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C97BAD8" w14:textId="77777777" w:rsidR="000B42F8" w:rsidRPr="000B42F8" w:rsidRDefault="000B42F8" w:rsidP="000B42F8">
            <w:pPr>
              <w:keepNext/>
              <w:widowControl/>
              <w:tabs>
                <w:tab w:val="left" w:pos="2552"/>
                <w:tab w:val="center" w:pos="4677"/>
              </w:tabs>
              <w:spacing w:before="60" w:after="60"/>
              <w:jc w:val="left"/>
              <w:rPr>
                <w:b/>
                <w:bCs/>
                <w:sz w:val="20"/>
              </w:rPr>
            </w:pPr>
            <w:r w:rsidRPr="000B42F8">
              <w:rPr>
                <w:b/>
                <w:bCs/>
                <w:sz w:val="20"/>
              </w:rPr>
              <w:t>J</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43E7D4B9" w14:textId="77777777" w:rsidR="000B42F8" w:rsidRPr="000B42F8" w:rsidRDefault="000B42F8" w:rsidP="000B42F8">
            <w:pPr>
              <w:keepNext/>
              <w:widowControl/>
              <w:tabs>
                <w:tab w:val="left" w:pos="2552"/>
                <w:tab w:val="center" w:pos="4677"/>
              </w:tabs>
              <w:spacing w:before="60" w:after="60"/>
              <w:jc w:val="left"/>
              <w:rPr>
                <w:b/>
                <w:bCs/>
                <w:sz w:val="20"/>
              </w:rPr>
            </w:pPr>
            <w:r w:rsidRPr="000B42F8">
              <w:rPr>
                <w:b/>
                <w:bCs/>
                <w:sz w:val="20"/>
              </w:rPr>
              <w:t>“#</w:t>
            </w:r>
            <w:proofErr w:type="spellStart"/>
            <w:r w:rsidRPr="000B42F8">
              <w:rPr>
                <w:b/>
                <w:bCs/>
                <w:sz w:val="20"/>
              </w:rPr>
              <w:t>henleyconstructions</w:t>
            </w:r>
            <w:proofErr w:type="spellEnd"/>
            <w:r w:rsidRPr="000B42F8">
              <w:rPr>
                <w:b/>
                <w:bCs/>
                <w:sz w:val="20"/>
              </w:rPr>
              <w:t>”, “#</w:t>
            </w:r>
            <w:proofErr w:type="spellStart"/>
            <w:r w:rsidRPr="000B42F8">
              <w:rPr>
                <w:b/>
                <w:bCs/>
                <w:sz w:val="20"/>
              </w:rPr>
              <w:t>henleygallery</w:t>
            </w:r>
            <w:proofErr w:type="spellEnd"/>
            <w:r w:rsidRPr="000B42F8">
              <w:rPr>
                <w:b/>
                <w:bCs/>
                <w:sz w:val="20"/>
              </w:rPr>
              <w:t>”, “#</w:t>
            </w:r>
            <w:proofErr w:type="spellStart"/>
            <w:r w:rsidRPr="000B42F8">
              <w:rPr>
                <w:b/>
                <w:bCs/>
                <w:sz w:val="20"/>
              </w:rPr>
              <w:t>henley</w:t>
            </w:r>
            <w:proofErr w:type="spellEnd"/>
            <w:r w:rsidRPr="000B42F8">
              <w:rPr>
                <w:b/>
                <w:bCs/>
                <w:sz w:val="20"/>
              </w:rPr>
              <w:t>”, images of the third Henley Constructions logo appearing on decals on vehicles, hoarding at constructions sites and safety/hi-vis clothing</w:t>
            </w:r>
          </w:p>
        </w:tc>
      </w:tr>
      <w:tr w:rsidR="000B42F8" w:rsidRPr="000B42F8" w14:paraId="5F9F1D62"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35B36B5" w14:textId="77777777" w:rsidR="000B42F8" w:rsidRPr="000B42F8" w:rsidRDefault="000B42F8" w:rsidP="000B42F8">
            <w:pPr>
              <w:widowControl/>
              <w:tabs>
                <w:tab w:val="left" w:pos="2552"/>
                <w:tab w:val="center" w:pos="4677"/>
              </w:tabs>
              <w:spacing w:before="60" w:after="60"/>
              <w:jc w:val="left"/>
              <w:rPr>
                <w:sz w:val="20"/>
              </w:rPr>
            </w:pPr>
            <w:r w:rsidRPr="000B42F8">
              <w:rPr>
                <w:sz w:val="20"/>
              </w:rPr>
              <w:t>J.1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D4E7353"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about July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45AB327C"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Instagram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53BC9849"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52B0F2D" w14:textId="77777777" w:rsidR="000B42F8" w:rsidRPr="000B42F8" w:rsidRDefault="000B42F8" w:rsidP="000B42F8">
            <w:pPr>
              <w:widowControl/>
              <w:tabs>
                <w:tab w:val="left" w:pos="2552"/>
                <w:tab w:val="center" w:pos="4677"/>
              </w:tabs>
              <w:spacing w:before="60" w:after="60"/>
              <w:jc w:val="left"/>
              <w:rPr>
                <w:sz w:val="20"/>
              </w:rPr>
            </w:pPr>
            <w:r w:rsidRPr="000B42F8">
              <w:rPr>
                <w:sz w:val="20"/>
              </w:rPr>
              <w:t>Ex A20 (#</w:t>
            </w:r>
            <w:proofErr w:type="spellStart"/>
            <w:r w:rsidRPr="000B42F8">
              <w:rPr>
                <w:sz w:val="20"/>
              </w:rPr>
              <w:t>henleyconstructions</w:t>
            </w:r>
            <w:proofErr w:type="spellEnd"/>
            <w:r w:rsidRPr="000B42F8">
              <w:rPr>
                <w:sz w:val="20"/>
              </w:rPr>
              <w:t xml:space="preserve"> all) (#</w:t>
            </w:r>
            <w:proofErr w:type="spellStart"/>
            <w:r w:rsidRPr="000B42F8">
              <w:rPr>
                <w:sz w:val="20"/>
              </w:rPr>
              <w:t>henley</w:t>
            </w:r>
            <w:proofErr w:type="spellEnd"/>
            <w:r w:rsidRPr="000B42F8">
              <w:rPr>
                <w:sz w:val="20"/>
              </w:rPr>
              <w:t xml:space="preserve"> at pages 11, 13)</w:t>
            </w:r>
          </w:p>
          <w:p w14:paraId="5FF1DEFA" w14:textId="77777777" w:rsidR="000B42F8" w:rsidRPr="000B42F8" w:rsidRDefault="000B42F8" w:rsidP="000B42F8">
            <w:pPr>
              <w:widowControl/>
              <w:tabs>
                <w:tab w:val="left" w:pos="2552"/>
                <w:tab w:val="center" w:pos="4677"/>
              </w:tabs>
              <w:spacing w:before="60" w:after="60"/>
              <w:jc w:val="left"/>
              <w:rPr>
                <w:sz w:val="20"/>
              </w:rPr>
            </w:pPr>
          </w:p>
          <w:p w14:paraId="5D040E69" w14:textId="77777777" w:rsidR="000B42F8" w:rsidRPr="000B42F8" w:rsidRDefault="000B42F8" w:rsidP="000B42F8">
            <w:pPr>
              <w:widowControl/>
              <w:tabs>
                <w:tab w:val="left" w:pos="2552"/>
                <w:tab w:val="center" w:pos="4677"/>
              </w:tabs>
              <w:spacing w:before="60" w:after="60"/>
              <w:jc w:val="left"/>
              <w:rPr>
                <w:sz w:val="20"/>
              </w:rPr>
            </w:pPr>
            <w:r w:rsidRPr="000B42F8">
              <w:rPr>
                <w:sz w:val="20"/>
              </w:rPr>
              <w:t>PS-9 (#</w:t>
            </w:r>
            <w:proofErr w:type="spellStart"/>
            <w:r w:rsidRPr="000B42F8">
              <w:rPr>
                <w:sz w:val="20"/>
              </w:rPr>
              <w:t>henleyconstructions</w:t>
            </w:r>
            <w:proofErr w:type="spellEnd"/>
            <w:r w:rsidRPr="000B42F8">
              <w:rPr>
                <w:sz w:val="20"/>
              </w:rPr>
              <w:t>)</w:t>
            </w:r>
          </w:p>
          <w:p w14:paraId="7FA9BA11" w14:textId="77777777" w:rsidR="000B42F8" w:rsidRPr="000B42F8" w:rsidRDefault="000B42F8" w:rsidP="000B42F8">
            <w:pPr>
              <w:widowControl/>
              <w:tabs>
                <w:tab w:val="left" w:pos="2552"/>
                <w:tab w:val="center" w:pos="4677"/>
              </w:tabs>
              <w:spacing w:before="60" w:after="60"/>
              <w:jc w:val="left"/>
              <w:rPr>
                <w:sz w:val="20"/>
              </w:rPr>
            </w:pPr>
          </w:p>
          <w:p w14:paraId="2D541BE8"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PS-9 </w:t>
            </w:r>
            <w:r w:rsidRPr="000B42F8">
              <w:rPr>
                <w:bCs/>
                <w:sz w:val="20"/>
              </w:rPr>
              <w:t xml:space="preserve">Tender Bundle: </w:t>
            </w:r>
            <w:r w:rsidRPr="000B42F8">
              <w:rPr>
                <w:sz w:val="20"/>
              </w:rPr>
              <w:t>4119 (#</w:t>
            </w:r>
            <w:proofErr w:type="spellStart"/>
            <w:r w:rsidRPr="000B42F8">
              <w:rPr>
                <w:sz w:val="20"/>
              </w:rPr>
              <w:t>henleygallery</w:t>
            </w:r>
            <w:proofErr w:type="spellEnd"/>
            <w:r w:rsidRPr="000B42F8">
              <w:rPr>
                <w:sz w:val="20"/>
              </w:rPr>
              <w:t xml:space="preserve">), </w:t>
            </w:r>
          </w:p>
          <w:p w14:paraId="0EBF6555"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PS-9 </w:t>
            </w:r>
            <w:r w:rsidRPr="000B42F8">
              <w:rPr>
                <w:bCs/>
                <w:sz w:val="20"/>
              </w:rPr>
              <w:t xml:space="preserve">Tender Bundle: </w:t>
            </w:r>
            <w:r w:rsidRPr="000B42F8">
              <w:rPr>
                <w:sz w:val="20"/>
              </w:rPr>
              <w:t xml:space="preserve"> 4127, 4128 (#</w:t>
            </w:r>
            <w:proofErr w:type="spellStart"/>
            <w:r w:rsidRPr="000B42F8">
              <w:rPr>
                <w:sz w:val="20"/>
              </w:rPr>
              <w:t>henley</w:t>
            </w:r>
            <w:proofErr w:type="spellEnd"/>
            <w:r w:rsidRPr="000B42F8">
              <w:rPr>
                <w:sz w:val="20"/>
              </w:rPr>
              <w:t>)</w:t>
            </w:r>
          </w:p>
        </w:tc>
      </w:tr>
      <w:tr w:rsidR="000B42F8" w:rsidRPr="000B42F8" w14:paraId="67AAF35E"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76371895" w14:textId="77777777" w:rsidR="000B42F8" w:rsidRPr="000B42F8" w:rsidRDefault="000B42F8" w:rsidP="000B42F8">
            <w:pPr>
              <w:widowControl/>
              <w:tabs>
                <w:tab w:val="left" w:pos="2552"/>
                <w:tab w:val="center" w:pos="4677"/>
              </w:tabs>
              <w:spacing w:before="60" w:after="60"/>
              <w:jc w:val="left"/>
              <w:rPr>
                <w:sz w:val="20"/>
              </w:rPr>
            </w:pPr>
            <w:r w:rsidRPr="000B42F8">
              <w:rPr>
                <w:sz w:val="20"/>
              </w:rPr>
              <w:t>J.2</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3AB7001E" w14:textId="77777777" w:rsidR="000B42F8" w:rsidRPr="000B42F8" w:rsidRDefault="000B42F8" w:rsidP="000B42F8">
            <w:pPr>
              <w:widowControl/>
              <w:tabs>
                <w:tab w:val="left" w:pos="2552"/>
                <w:tab w:val="center" w:pos="4677"/>
              </w:tabs>
              <w:spacing w:before="60" w:after="60"/>
              <w:jc w:val="left"/>
              <w:rPr>
                <w:sz w:val="20"/>
              </w:rPr>
            </w:pPr>
            <w:r w:rsidRPr="000B42F8">
              <w:rPr>
                <w:sz w:val="20"/>
              </w:rPr>
              <w:t>Since at least 15 February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198C5FA2"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On Facebook </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393D906F"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and commercial projects, repair, flooring, remedial work, general maintenance and cleaning services, and a number of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9DAD037"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Ex A19 </w:t>
            </w:r>
          </w:p>
          <w:p w14:paraId="2A7271F3" w14:textId="77777777" w:rsidR="000B42F8" w:rsidRPr="000B42F8" w:rsidRDefault="000B42F8" w:rsidP="000B42F8">
            <w:pPr>
              <w:widowControl/>
              <w:tabs>
                <w:tab w:val="left" w:pos="2552"/>
                <w:tab w:val="center" w:pos="4677"/>
              </w:tabs>
              <w:spacing w:before="60" w:after="60"/>
              <w:jc w:val="left"/>
              <w:rPr>
                <w:sz w:val="20"/>
              </w:rPr>
            </w:pPr>
          </w:p>
          <w:p w14:paraId="038A31F3"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JML-91</w:t>
            </w:r>
          </w:p>
        </w:tc>
      </w:tr>
      <w:tr w:rsidR="000B42F8" w:rsidRPr="000B42F8" w14:paraId="6845A0B0"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44750EA" w14:textId="77777777" w:rsidR="000B42F8" w:rsidRPr="000B42F8" w:rsidRDefault="000B42F8" w:rsidP="000B42F8">
            <w:pPr>
              <w:keepNext/>
              <w:widowControl/>
              <w:tabs>
                <w:tab w:val="left" w:pos="2552"/>
                <w:tab w:val="center" w:pos="4677"/>
              </w:tabs>
              <w:spacing w:before="60" w:after="60"/>
              <w:jc w:val="left"/>
              <w:rPr>
                <w:b/>
                <w:bCs/>
                <w:noProof/>
                <w:sz w:val="20"/>
              </w:rPr>
            </w:pPr>
            <w:r w:rsidRPr="000B42F8">
              <w:rPr>
                <w:b/>
                <w:bCs/>
                <w:noProof/>
                <w:sz w:val="20"/>
              </w:rPr>
              <w:lastRenderedPageBreak/>
              <w:t>K</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5EF7ECD5" w14:textId="77777777" w:rsidR="000B42F8" w:rsidRPr="000B42F8" w:rsidRDefault="000B42F8" w:rsidP="000B42F8">
            <w:pPr>
              <w:keepNext/>
              <w:widowControl/>
              <w:tabs>
                <w:tab w:val="left" w:pos="2552"/>
                <w:tab w:val="center" w:pos="4677"/>
              </w:tabs>
              <w:spacing w:before="60" w:after="60"/>
              <w:jc w:val="left"/>
              <w:rPr>
                <w:b/>
                <w:bCs/>
                <w:sz w:val="20"/>
              </w:rPr>
            </w:pPr>
            <w:r w:rsidRPr="000B42F8">
              <w:rPr>
                <w:b/>
                <w:bCs/>
                <w:noProof/>
                <w:sz w:val="20"/>
              </w:rPr>
              <w:t>Henleygallery.com.au; HENLEY BUILT</w:t>
            </w:r>
          </w:p>
        </w:tc>
      </w:tr>
      <w:tr w:rsidR="000B42F8" w:rsidRPr="000B42F8" w14:paraId="53A94BBB" w14:textId="77777777" w:rsidTr="000B42F8">
        <w:trPr>
          <w:cantSplit/>
          <w:trHeight w:val="2791"/>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2325CB3" w14:textId="77777777" w:rsidR="000B42F8" w:rsidRPr="000B42F8" w:rsidRDefault="000B42F8" w:rsidP="000B42F8">
            <w:pPr>
              <w:widowControl/>
              <w:tabs>
                <w:tab w:val="left" w:pos="2552"/>
                <w:tab w:val="center" w:pos="4677"/>
              </w:tabs>
              <w:spacing w:before="60" w:after="60"/>
              <w:jc w:val="left"/>
              <w:rPr>
                <w:sz w:val="20"/>
              </w:rPr>
            </w:pPr>
            <w:r w:rsidRPr="000B42F8">
              <w:rPr>
                <w:sz w:val="20"/>
              </w:rPr>
              <w:t>K.1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11B13EB" w14:textId="77777777" w:rsidR="000B42F8" w:rsidRPr="000B42F8" w:rsidRDefault="000B42F8" w:rsidP="000B42F8">
            <w:pPr>
              <w:widowControl/>
              <w:tabs>
                <w:tab w:val="left" w:pos="2552"/>
                <w:tab w:val="center" w:pos="4677"/>
              </w:tabs>
              <w:spacing w:before="60" w:after="60"/>
              <w:jc w:val="left"/>
              <w:rPr>
                <w:sz w:val="20"/>
              </w:rPr>
            </w:pPr>
            <w:r w:rsidRPr="000B42F8">
              <w:rPr>
                <w:sz w:val="20"/>
              </w:rPr>
              <w:t>From the latest February 2019 (but no earlier than 2 May 2018)</w:t>
            </w:r>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36D816DB" w14:textId="0476F3EC" w:rsidR="000B42F8" w:rsidRPr="000B42F8" w:rsidRDefault="000B42F8" w:rsidP="000B42F8">
            <w:pPr>
              <w:widowControl/>
              <w:tabs>
                <w:tab w:val="left" w:pos="2552"/>
                <w:tab w:val="center" w:pos="4677"/>
              </w:tabs>
              <w:spacing w:before="60" w:after="60"/>
              <w:jc w:val="left"/>
              <w:rPr>
                <w:sz w:val="20"/>
              </w:rPr>
            </w:pPr>
            <w:r w:rsidRPr="000B42F8">
              <w:rPr>
                <w:sz w:val="20"/>
              </w:rPr>
              <w:t xml:space="preserve">At its website at the domain name </w:t>
            </w:r>
            <w:r w:rsidRPr="000B42F8">
              <w:rPr>
                <w:color w:val="0000FF"/>
                <w:sz w:val="20"/>
                <w:u w:val="single"/>
              </w:rPr>
              <w:t>www.henleygallery.com.au</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AF1AC66"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and construction services in respect of residential projects</w:t>
            </w:r>
            <w:r w:rsidRPr="000B42F8">
              <w:rPr>
                <w:b/>
                <w:i/>
                <w:sz w:val="20"/>
              </w:rPr>
              <w:t xml:space="preserve"> </w:t>
            </w:r>
            <w:r w:rsidRPr="000B42F8">
              <w:rPr>
                <w:sz w:val="20"/>
              </w:rPr>
              <w:t>and the multi-dwelling apartment block at the “Aperture Apartments” construction project</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46F7A8E" w14:textId="77777777" w:rsidR="000B42F8" w:rsidRPr="000B42F8" w:rsidRDefault="000B42F8" w:rsidP="000B42F8">
            <w:pPr>
              <w:widowControl/>
              <w:tabs>
                <w:tab w:val="left" w:pos="2552"/>
                <w:tab w:val="center" w:pos="4677"/>
              </w:tabs>
              <w:spacing w:before="60" w:after="60"/>
              <w:jc w:val="left"/>
              <w:rPr>
                <w:sz w:val="20"/>
              </w:rPr>
            </w:pPr>
            <w:r w:rsidRPr="000B42F8">
              <w:rPr>
                <w:sz w:val="20"/>
              </w:rPr>
              <w:t>JML-59 (domain name henleygallery.com.au)</w:t>
            </w:r>
          </w:p>
          <w:p w14:paraId="03BD6797" w14:textId="77777777" w:rsidR="000B42F8" w:rsidRPr="000B42F8" w:rsidRDefault="000B42F8" w:rsidP="000B42F8">
            <w:pPr>
              <w:widowControl/>
              <w:tabs>
                <w:tab w:val="left" w:pos="2552"/>
                <w:tab w:val="center" w:pos="4677"/>
              </w:tabs>
              <w:spacing w:before="60" w:after="60"/>
              <w:jc w:val="left"/>
              <w:rPr>
                <w:sz w:val="20"/>
              </w:rPr>
            </w:pPr>
          </w:p>
          <w:p w14:paraId="143BC2B5"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JML-59 (HENLEY BUILT) </w:t>
            </w:r>
            <w:r w:rsidRPr="000B42F8">
              <w:rPr>
                <w:bCs/>
                <w:sz w:val="20"/>
              </w:rPr>
              <w:t xml:space="preserve">Tender Bundle: </w:t>
            </w:r>
            <w:r w:rsidRPr="000B42F8">
              <w:rPr>
                <w:sz w:val="20"/>
              </w:rPr>
              <w:t>2148, 2151</w:t>
            </w:r>
          </w:p>
        </w:tc>
      </w:tr>
      <w:tr w:rsidR="000B42F8" w:rsidRPr="000B42F8" w14:paraId="667C91B2"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20CB24B2" w14:textId="77777777" w:rsidR="000B42F8" w:rsidRPr="000B42F8" w:rsidRDefault="000B42F8" w:rsidP="000B42F8">
            <w:pPr>
              <w:widowControl/>
              <w:tabs>
                <w:tab w:val="left" w:pos="2552"/>
                <w:tab w:val="center" w:pos="4677"/>
              </w:tabs>
              <w:spacing w:before="60" w:after="60"/>
              <w:jc w:val="left"/>
              <w:rPr>
                <w:b/>
                <w:bCs/>
                <w:noProof/>
                <w:sz w:val="20"/>
                <w:lang w:eastAsia="en-AU"/>
              </w:rPr>
            </w:pPr>
            <w:r w:rsidRPr="000B42F8">
              <w:rPr>
                <w:b/>
                <w:bCs/>
                <w:noProof/>
                <w:sz w:val="20"/>
                <w:lang w:eastAsia="en-AU"/>
              </w:rPr>
              <w:t>L</w:t>
            </w:r>
          </w:p>
        </w:tc>
        <w:tc>
          <w:tcPr>
            <w:tcW w:w="9248" w:type="dxa"/>
            <w:gridSpan w:val="4"/>
            <w:tcBorders>
              <w:top w:val="single" w:sz="4" w:space="0" w:color="000000"/>
              <w:left w:val="single" w:sz="4" w:space="0" w:color="000000"/>
              <w:bottom w:val="single" w:sz="4" w:space="0" w:color="000000"/>
              <w:right w:val="single" w:sz="4" w:space="0" w:color="000000"/>
            </w:tcBorders>
            <w:shd w:val="clear" w:color="auto" w:fill="auto"/>
          </w:tcPr>
          <w:p w14:paraId="2C4B7963" w14:textId="77777777" w:rsidR="000B42F8" w:rsidRPr="000B42F8" w:rsidRDefault="000B42F8" w:rsidP="000B42F8">
            <w:pPr>
              <w:keepNext/>
              <w:widowControl/>
              <w:tabs>
                <w:tab w:val="left" w:pos="2552"/>
                <w:tab w:val="center" w:pos="4677"/>
              </w:tabs>
              <w:spacing w:before="60" w:after="60"/>
              <w:jc w:val="left"/>
              <w:rPr>
                <w:sz w:val="20"/>
                <w:lang w:eastAsia="en-GB"/>
              </w:rPr>
            </w:pPr>
            <w:r w:rsidRPr="000B42F8">
              <w:rPr>
                <w:b/>
                <w:bCs/>
                <w:noProof/>
                <w:sz w:val="20"/>
                <w:lang w:eastAsia="en-AU"/>
              </w:rPr>
              <w:t>HNLY</w:t>
            </w:r>
          </w:p>
        </w:tc>
      </w:tr>
      <w:tr w:rsidR="000B42F8" w:rsidRPr="000B42F8" w14:paraId="4AFABF02" w14:textId="77777777" w:rsidTr="000B42F8">
        <w:trPr>
          <w:cantSplit/>
        </w:trPr>
        <w:tc>
          <w:tcPr>
            <w:tcW w:w="670" w:type="dxa"/>
            <w:tcBorders>
              <w:top w:val="single" w:sz="4" w:space="0" w:color="000000"/>
              <w:left w:val="single" w:sz="4" w:space="0" w:color="000000"/>
              <w:bottom w:val="single" w:sz="4" w:space="0" w:color="000000"/>
              <w:right w:val="single" w:sz="4" w:space="0" w:color="000000"/>
            </w:tcBorders>
            <w:shd w:val="clear" w:color="auto" w:fill="auto"/>
            <w:hideMark/>
          </w:tcPr>
          <w:p w14:paraId="53EE457C" w14:textId="77777777" w:rsidR="000B42F8" w:rsidRPr="000B42F8" w:rsidRDefault="000B42F8" w:rsidP="000B42F8">
            <w:pPr>
              <w:widowControl/>
              <w:tabs>
                <w:tab w:val="left" w:pos="2552"/>
                <w:tab w:val="center" w:pos="4677"/>
              </w:tabs>
              <w:spacing w:before="60" w:after="60"/>
              <w:jc w:val="left"/>
              <w:rPr>
                <w:sz w:val="20"/>
              </w:rPr>
            </w:pPr>
            <w:r w:rsidRPr="000B42F8">
              <w:rPr>
                <w:sz w:val="20"/>
              </w:rPr>
              <w:t>L.1</w:t>
            </w:r>
          </w:p>
        </w:tc>
        <w:tc>
          <w:tcPr>
            <w:tcW w:w="1272" w:type="dxa"/>
            <w:tcBorders>
              <w:top w:val="single" w:sz="4" w:space="0" w:color="000000"/>
              <w:left w:val="single" w:sz="4" w:space="0" w:color="000000"/>
              <w:bottom w:val="single" w:sz="4" w:space="0" w:color="000000"/>
              <w:right w:val="single" w:sz="4" w:space="0" w:color="000000"/>
            </w:tcBorders>
            <w:shd w:val="clear" w:color="auto" w:fill="auto"/>
            <w:hideMark/>
          </w:tcPr>
          <w:p w14:paraId="76EC8E7E" w14:textId="77777777" w:rsidR="000B42F8" w:rsidRPr="000B42F8" w:rsidRDefault="000B42F8" w:rsidP="000B42F8">
            <w:pPr>
              <w:widowControl/>
              <w:tabs>
                <w:tab w:val="left" w:pos="2552"/>
                <w:tab w:val="center" w:pos="4677"/>
              </w:tabs>
              <w:spacing w:before="60" w:after="60"/>
              <w:jc w:val="left"/>
              <w:rPr>
                <w:sz w:val="20"/>
              </w:rPr>
            </w:pPr>
            <w:r w:rsidRPr="000B42F8">
              <w:rPr>
                <w:sz w:val="20"/>
              </w:rPr>
              <w:t xml:space="preserve">Since around </w:t>
            </w:r>
            <w:proofErr w:type="spellStart"/>
            <w:r w:rsidRPr="000B42F8">
              <w:rPr>
                <w:sz w:val="20"/>
              </w:rPr>
              <w:t>mid 2017</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hideMark/>
          </w:tcPr>
          <w:p w14:paraId="6C237FEA" w14:textId="77777777" w:rsidR="000B42F8" w:rsidRPr="000B42F8" w:rsidRDefault="000B42F8" w:rsidP="000B42F8">
            <w:pPr>
              <w:widowControl/>
              <w:tabs>
                <w:tab w:val="left" w:pos="2552"/>
                <w:tab w:val="center" w:pos="4677"/>
              </w:tabs>
              <w:spacing w:before="60" w:after="60"/>
              <w:jc w:val="left"/>
              <w:rPr>
                <w:sz w:val="20"/>
              </w:rPr>
            </w:pPr>
            <w:r w:rsidRPr="000B42F8">
              <w:rPr>
                <w:sz w:val="20"/>
              </w:rPr>
              <w:t>On the number plate of utes decorated with decals showing the third Henley Constructions logo (that have been parked at or in front of building and construction sites), including in the form 01-HNLY, 05-HNLY, 12-HNLY</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28EF35DC" w14:textId="77777777" w:rsidR="000B42F8" w:rsidRPr="000B42F8" w:rsidRDefault="000B42F8" w:rsidP="000B42F8">
            <w:pPr>
              <w:widowControl/>
              <w:tabs>
                <w:tab w:val="left" w:pos="2552"/>
                <w:tab w:val="center" w:pos="4677"/>
              </w:tabs>
              <w:spacing w:before="60" w:after="60"/>
              <w:jc w:val="left"/>
              <w:rPr>
                <w:sz w:val="20"/>
              </w:rPr>
            </w:pPr>
            <w:r w:rsidRPr="000B42F8">
              <w:rPr>
                <w:sz w:val="20"/>
              </w:rPr>
              <w:t>Building or construction services in respect of single dwellings and multi-dwelling apartment blocks</w:t>
            </w:r>
          </w:p>
        </w:tc>
        <w:tc>
          <w:tcPr>
            <w:tcW w:w="2942" w:type="dxa"/>
            <w:tcBorders>
              <w:top w:val="single" w:sz="4" w:space="0" w:color="000000"/>
              <w:left w:val="single" w:sz="4" w:space="0" w:color="000000"/>
              <w:bottom w:val="single" w:sz="4" w:space="0" w:color="000000"/>
              <w:right w:val="single" w:sz="4" w:space="0" w:color="000000"/>
            </w:tcBorders>
            <w:shd w:val="clear" w:color="auto" w:fill="auto"/>
            <w:hideMark/>
          </w:tcPr>
          <w:p w14:paraId="7BF20A84" w14:textId="77777777" w:rsidR="000B42F8" w:rsidRPr="000B42F8" w:rsidRDefault="000B42F8" w:rsidP="000B42F8">
            <w:pPr>
              <w:widowControl/>
              <w:spacing w:before="240" w:after="120"/>
              <w:jc w:val="left"/>
              <w:rPr>
                <w:rFonts w:asciiTheme="majorBidi" w:hAnsiTheme="majorBidi" w:cstheme="majorBidi"/>
                <w:sz w:val="20"/>
                <w:lang w:eastAsia="zh-CN"/>
              </w:rPr>
            </w:pPr>
            <w:r w:rsidRPr="000B42F8">
              <w:rPr>
                <w:rFonts w:asciiTheme="majorBidi" w:hAnsiTheme="majorBidi" w:cstheme="majorBidi"/>
                <w:sz w:val="20"/>
                <w:lang w:eastAsia="zh-CN"/>
              </w:rPr>
              <w:t xml:space="preserve">PS-9 </w:t>
            </w:r>
            <w:r w:rsidRPr="000B42F8">
              <w:rPr>
                <w:rFonts w:asciiTheme="majorBidi" w:hAnsiTheme="majorBidi" w:cstheme="majorBidi"/>
                <w:bCs/>
                <w:sz w:val="20"/>
                <w:lang w:eastAsia="zh-CN"/>
              </w:rPr>
              <w:t xml:space="preserve">Tender Bundle: </w:t>
            </w:r>
            <w:r w:rsidRPr="000B42F8">
              <w:rPr>
                <w:rFonts w:asciiTheme="majorBidi" w:hAnsiTheme="majorBidi" w:cstheme="majorBidi"/>
                <w:sz w:val="20"/>
                <w:lang w:eastAsia="zh-CN"/>
              </w:rPr>
              <w:t>4117 (Instagram image of “Fleet of vehicles” showing decal)</w:t>
            </w:r>
          </w:p>
          <w:p w14:paraId="0F8A62BE" w14:textId="77777777" w:rsidR="000B42F8" w:rsidRPr="000B42F8" w:rsidRDefault="000B42F8" w:rsidP="000B42F8">
            <w:pPr>
              <w:widowControl/>
              <w:tabs>
                <w:tab w:val="left" w:pos="2552"/>
                <w:tab w:val="center" w:pos="4677"/>
              </w:tabs>
              <w:spacing w:before="60" w:after="60"/>
              <w:jc w:val="left"/>
              <w:rPr>
                <w:sz w:val="20"/>
                <w:lang w:eastAsia="en-GB"/>
              </w:rPr>
            </w:pPr>
            <w:r w:rsidRPr="000B42F8">
              <w:rPr>
                <w:rFonts w:asciiTheme="majorBidi" w:hAnsiTheme="majorBidi" w:cstheme="majorBidi"/>
                <w:sz w:val="20"/>
                <w:lang w:val="fr-FR" w:eastAsia="zh-CN"/>
              </w:rPr>
              <w:t xml:space="preserve">P </w:t>
            </w:r>
            <w:proofErr w:type="spellStart"/>
            <w:r w:rsidRPr="000B42F8">
              <w:rPr>
                <w:rFonts w:asciiTheme="majorBidi" w:hAnsiTheme="majorBidi" w:cstheme="majorBidi"/>
                <w:sz w:val="20"/>
                <w:lang w:val="fr-FR" w:eastAsia="zh-CN"/>
              </w:rPr>
              <w:t>Sarkis</w:t>
            </w:r>
            <w:proofErr w:type="spellEnd"/>
            <w:r w:rsidRPr="000B42F8">
              <w:rPr>
                <w:rFonts w:asciiTheme="majorBidi" w:hAnsiTheme="majorBidi" w:cstheme="majorBidi"/>
                <w:sz w:val="20"/>
                <w:lang w:val="fr-FR" w:eastAsia="zh-CN"/>
              </w:rPr>
              <w:t xml:space="preserve"> XXN T.321.23-34</w:t>
            </w:r>
          </w:p>
        </w:tc>
      </w:tr>
    </w:tbl>
    <w:p w14:paraId="6900718F" w14:textId="6DECEEB1" w:rsidR="007E458F" w:rsidRPr="007E458F" w:rsidRDefault="007E458F" w:rsidP="008E123E">
      <w:pPr>
        <w:pStyle w:val="NoNum"/>
      </w:pPr>
    </w:p>
    <w:sectPr w:rsidR="007E458F" w:rsidRPr="007E458F" w:rsidSect="00A84FD0">
      <w:headerReference w:type="even" r:id="rId32"/>
      <w:headerReference w:type="default" r:id="rId33"/>
      <w:footerReference w:type="default" r:id="rId34"/>
      <w:headerReference w:type="first" r:id="rId35"/>
      <w:footerReference w:type="first" r:id="rId3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8F8C" w14:textId="77777777" w:rsidR="00387D02" w:rsidRDefault="00387D02">
      <w:pPr>
        <w:spacing w:line="20" w:lineRule="exact"/>
      </w:pPr>
    </w:p>
    <w:p w14:paraId="6AB49CFD" w14:textId="77777777" w:rsidR="00387D02" w:rsidRDefault="00387D02"/>
    <w:p w14:paraId="2DF7796B" w14:textId="77777777" w:rsidR="00387D02" w:rsidRDefault="00387D02"/>
  </w:endnote>
  <w:endnote w:type="continuationSeparator" w:id="0">
    <w:p w14:paraId="4C576685" w14:textId="77777777" w:rsidR="00387D02" w:rsidRDefault="00387D02">
      <w:r>
        <w:t xml:space="preserve"> </w:t>
      </w:r>
    </w:p>
    <w:p w14:paraId="5004D482" w14:textId="77777777" w:rsidR="00387D02" w:rsidRDefault="00387D02"/>
    <w:p w14:paraId="6459510C" w14:textId="77777777" w:rsidR="00387D02" w:rsidRDefault="00387D02"/>
  </w:endnote>
  <w:endnote w:type="continuationNotice" w:id="1">
    <w:p w14:paraId="47FDC5EC" w14:textId="77777777" w:rsidR="00387D02" w:rsidRDefault="00387D02">
      <w:r>
        <w:t xml:space="preserve"> </w:t>
      </w:r>
    </w:p>
    <w:p w14:paraId="6D9EBB3C" w14:textId="77777777" w:rsidR="00387D02" w:rsidRDefault="00387D02"/>
    <w:p w14:paraId="7D81D817" w14:textId="77777777" w:rsidR="00387D02" w:rsidRDefault="0038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3A73" w14:textId="09005774" w:rsidR="00387D02" w:rsidRPr="00C47B9D" w:rsidRDefault="00387D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8B8C113" wp14:editId="22D3CE2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0BC2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C50C75">
          <w:rPr>
            <w:bCs/>
            <w:sz w:val="18"/>
            <w:szCs w:val="18"/>
          </w:rPr>
          <w:t xml:space="preserve">Henley Constructions Pty Ltd v Henley Arch Pty Ltd [2023] FCAFC 62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E506" w14:textId="26E8EC7C" w:rsidR="00387D02" w:rsidRPr="00C47B9D" w:rsidRDefault="00387D0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299206A" wp14:editId="377D3F5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636F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B3A118A980D4DDD81E6D1752F9665B0"/>
        </w:placeholder>
        <w:dataBinding w:prefixMappings="xmlns:ns0='http://schemas.globalmacros.com/FCA'" w:xpath="/ns0:root[1]/ns0:Name[1]" w:storeItemID="{687E7CCB-4AA5-44E7-B148-17BA2B6F57C0}"/>
        <w:text w:multiLine="1"/>
      </w:sdtPr>
      <w:sdtEndPr/>
      <w:sdtContent>
        <w:r w:rsidR="00C50C75">
          <w:rPr>
            <w:bCs/>
            <w:sz w:val="18"/>
            <w:szCs w:val="18"/>
          </w:rPr>
          <w:t xml:space="preserve">Henley Constructions Pty Ltd v Henley Arch Pty Ltd [2023] FCAFC 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CC03" w14:textId="24655C56" w:rsidR="00387D02" w:rsidRPr="00C47B9D" w:rsidRDefault="00387D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AF4260D" wp14:editId="6364B010">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335A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A3939DE9BD146889154EC5F4B1BB5B5"/>
        </w:placeholder>
        <w:dataBinding w:prefixMappings="xmlns:ns0='http://schemas.globalmacros.com/FCA'" w:xpath="/ns0:root[1]/ns0:Name[1]" w:storeItemID="{687E7CCB-4AA5-44E7-B148-17BA2B6F57C0}"/>
        <w:text w:multiLine="1"/>
      </w:sdtPr>
      <w:sdtEndPr/>
      <w:sdtContent>
        <w:r w:rsidR="00C50C75">
          <w:rPr>
            <w:bCs/>
            <w:sz w:val="18"/>
            <w:szCs w:val="18"/>
          </w:rPr>
          <w:t xml:space="preserve">Henley Constructions Pty Ltd v Henley Arch Pty Ltd [2023] FCAFC 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50C75">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35FD" w14:textId="69408D60" w:rsidR="00387D02" w:rsidRPr="00C47B9D" w:rsidRDefault="00387D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8C352DF" wp14:editId="684EEE8E">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5B4F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C50C75">
          <w:rPr>
            <w:bCs/>
            <w:sz w:val="18"/>
            <w:szCs w:val="18"/>
          </w:rPr>
          <w:t xml:space="preserve">Henley Constructions Pty Ltd v Henley Arch Pty Ltd [2023] FCAFC 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50C75">
      <w:rPr>
        <w:bCs/>
        <w:noProof/>
        <w:sz w:val="20"/>
      </w:rPr>
      <w:t>75</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5462" w14:textId="4D920EFF" w:rsidR="00387D02" w:rsidRPr="00C47B9D" w:rsidRDefault="00387D0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722AA9C" wp14:editId="47F7E12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1497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C50C75">
          <w:rPr>
            <w:bCs/>
            <w:sz w:val="18"/>
            <w:szCs w:val="18"/>
          </w:rPr>
          <w:t xml:space="preserve">Henley Constructions Pty Ltd v Henley Arch Pty Ltd [2023] FCAFC 62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50C75">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CB8C" w14:textId="77777777" w:rsidR="00387D02" w:rsidRDefault="00387D02"/>
  </w:footnote>
  <w:footnote w:type="continuationSeparator" w:id="0">
    <w:p w14:paraId="027B6F32" w14:textId="77777777" w:rsidR="00387D02" w:rsidRDefault="00387D02">
      <w:r>
        <w:continuationSeparator/>
      </w:r>
    </w:p>
    <w:p w14:paraId="5465805E" w14:textId="77777777" w:rsidR="00387D02" w:rsidRDefault="00387D02"/>
    <w:p w14:paraId="54FA809F" w14:textId="77777777" w:rsidR="00387D02" w:rsidRDefault="00387D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9357" w14:textId="77777777" w:rsidR="00387D02" w:rsidRDefault="00387D02">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3C11" w14:textId="77777777" w:rsidR="00387D02" w:rsidRDefault="00387D02">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2FD3" w14:textId="77777777" w:rsidR="00387D02" w:rsidRDefault="00387D0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CDBF" w14:textId="77777777" w:rsidR="00387D02" w:rsidRDefault="00387D02">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6AB4" w14:textId="77777777" w:rsidR="00387D02" w:rsidRDefault="00387D02"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0EF2912"/>
    <w:multiLevelType w:val="hybridMultilevel"/>
    <w:tmpl w:val="A520473A"/>
    <w:lvl w:ilvl="0" w:tplc="20B400E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9AE3DD1"/>
    <w:multiLevelType w:val="singleLevel"/>
    <w:tmpl w:val="7BF62E7A"/>
    <w:lvl w:ilvl="0">
      <w:start w:val="1"/>
      <w:numFmt w:val="decimal"/>
      <w:lvlRestart w:val="0"/>
      <w:pStyle w:val="ParaNumbering"/>
      <w:lvlText w:val="%1"/>
      <w:lvlJc w:val="left"/>
      <w:pPr>
        <w:tabs>
          <w:tab w:val="num" w:pos="2149"/>
        </w:tabs>
        <w:ind w:left="1429" w:hanging="720"/>
      </w:pPr>
      <w:rPr>
        <w:rFonts w:hint="default"/>
        <w:b w:val="0"/>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22"/>
  </w:num>
  <w:num w:numId="15">
    <w:abstractNumId w:val="25"/>
  </w:num>
  <w:num w:numId="16">
    <w:abstractNumId w:val="13"/>
  </w:num>
  <w:num w:numId="17">
    <w:abstractNumId w:val="24"/>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 w:ilvl="0">
        <w:start w:val="1"/>
        <w:numFmt w:val="decimal"/>
        <w:pStyle w:val="ListNo1"/>
        <w:lvlText w:val=""/>
        <w:lvlJc w:val="left"/>
      </w:lvl>
    </w:lvlOverride>
    <w:lvlOverride w:ilvl="1">
      <w:startOverride w:val="1"/>
      <w:lvl w:ilvl="1">
        <w:start w:val="1"/>
        <w:numFmt w:val="lowerLetter"/>
        <w:pStyle w:val="ListNo2"/>
        <w:lvlText w:val="(%2)"/>
        <w:lvlJc w:val="left"/>
        <w:pPr>
          <w:tabs>
            <w:tab w:val="num" w:pos="1440"/>
          </w:tabs>
          <w:ind w:left="1440" w:hanging="720"/>
        </w:pPr>
        <w:rPr>
          <w:rFonts w:hint="default"/>
          <w:b w:val="0"/>
        </w:rPr>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319"/>
    </w:lvlOverride>
  </w:num>
  <w:num w:numId="3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275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28"/>
    <w:rsid w:val="00000747"/>
    <w:rsid w:val="00007739"/>
    <w:rsid w:val="00007F66"/>
    <w:rsid w:val="000115C5"/>
    <w:rsid w:val="0001469E"/>
    <w:rsid w:val="000150CC"/>
    <w:rsid w:val="00015993"/>
    <w:rsid w:val="00015D9F"/>
    <w:rsid w:val="00021CCB"/>
    <w:rsid w:val="00022289"/>
    <w:rsid w:val="000237E9"/>
    <w:rsid w:val="00027398"/>
    <w:rsid w:val="0003201A"/>
    <w:rsid w:val="0003207A"/>
    <w:rsid w:val="00032F9F"/>
    <w:rsid w:val="000338D7"/>
    <w:rsid w:val="00035019"/>
    <w:rsid w:val="00040262"/>
    <w:rsid w:val="000410BA"/>
    <w:rsid w:val="00041C07"/>
    <w:rsid w:val="00045BB7"/>
    <w:rsid w:val="000466C8"/>
    <w:rsid w:val="00046D40"/>
    <w:rsid w:val="00050859"/>
    <w:rsid w:val="00055719"/>
    <w:rsid w:val="0005641B"/>
    <w:rsid w:val="0006150D"/>
    <w:rsid w:val="0006196A"/>
    <w:rsid w:val="00064601"/>
    <w:rsid w:val="000650F0"/>
    <w:rsid w:val="00065F94"/>
    <w:rsid w:val="0007050C"/>
    <w:rsid w:val="00071FB3"/>
    <w:rsid w:val="00074333"/>
    <w:rsid w:val="00077768"/>
    <w:rsid w:val="00081497"/>
    <w:rsid w:val="000820EB"/>
    <w:rsid w:val="000831EC"/>
    <w:rsid w:val="00084126"/>
    <w:rsid w:val="00085255"/>
    <w:rsid w:val="00086B31"/>
    <w:rsid w:val="00086D6B"/>
    <w:rsid w:val="00087F66"/>
    <w:rsid w:val="000A0B54"/>
    <w:rsid w:val="000A2E76"/>
    <w:rsid w:val="000A4807"/>
    <w:rsid w:val="000A4BE4"/>
    <w:rsid w:val="000A50AB"/>
    <w:rsid w:val="000B0FA9"/>
    <w:rsid w:val="000B42BD"/>
    <w:rsid w:val="000B42F8"/>
    <w:rsid w:val="000B4AA4"/>
    <w:rsid w:val="000B7F2F"/>
    <w:rsid w:val="000C023E"/>
    <w:rsid w:val="000C1B6A"/>
    <w:rsid w:val="000C27DF"/>
    <w:rsid w:val="000C405D"/>
    <w:rsid w:val="000C4385"/>
    <w:rsid w:val="000C5195"/>
    <w:rsid w:val="000C62EF"/>
    <w:rsid w:val="000C6529"/>
    <w:rsid w:val="000C7FC3"/>
    <w:rsid w:val="000D2137"/>
    <w:rsid w:val="000D3FD2"/>
    <w:rsid w:val="000D4B2E"/>
    <w:rsid w:val="000D6552"/>
    <w:rsid w:val="000E3FC8"/>
    <w:rsid w:val="000E7BAE"/>
    <w:rsid w:val="000F091B"/>
    <w:rsid w:val="000F133D"/>
    <w:rsid w:val="001024CE"/>
    <w:rsid w:val="00104941"/>
    <w:rsid w:val="0010536B"/>
    <w:rsid w:val="0011145C"/>
    <w:rsid w:val="001128BD"/>
    <w:rsid w:val="0011419D"/>
    <w:rsid w:val="00114B02"/>
    <w:rsid w:val="001226C0"/>
    <w:rsid w:val="0012603E"/>
    <w:rsid w:val="00126EC8"/>
    <w:rsid w:val="0012731C"/>
    <w:rsid w:val="00130194"/>
    <w:rsid w:val="00132054"/>
    <w:rsid w:val="00134964"/>
    <w:rsid w:val="001351B9"/>
    <w:rsid w:val="00141BEF"/>
    <w:rsid w:val="00144488"/>
    <w:rsid w:val="00147AB7"/>
    <w:rsid w:val="00147CD5"/>
    <w:rsid w:val="00154146"/>
    <w:rsid w:val="00155CD2"/>
    <w:rsid w:val="00157AED"/>
    <w:rsid w:val="001727A4"/>
    <w:rsid w:val="0017376C"/>
    <w:rsid w:val="001738AB"/>
    <w:rsid w:val="001765E0"/>
    <w:rsid w:val="00177759"/>
    <w:rsid w:val="00180BB3"/>
    <w:rsid w:val="00181F54"/>
    <w:rsid w:val="00185DD6"/>
    <w:rsid w:val="00185E6B"/>
    <w:rsid w:val="00187809"/>
    <w:rsid w:val="00187BBC"/>
    <w:rsid w:val="0019135C"/>
    <w:rsid w:val="001932F3"/>
    <w:rsid w:val="001946F7"/>
    <w:rsid w:val="001A035D"/>
    <w:rsid w:val="001A2B40"/>
    <w:rsid w:val="001A4309"/>
    <w:rsid w:val="001A46AE"/>
    <w:rsid w:val="001A51A1"/>
    <w:rsid w:val="001A6C52"/>
    <w:rsid w:val="001A77E9"/>
    <w:rsid w:val="001A79D2"/>
    <w:rsid w:val="001B1053"/>
    <w:rsid w:val="001B14AC"/>
    <w:rsid w:val="001B1DC8"/>
    <w:rsid w:val="001B4934"/>
    <w:rsid w:val="001B5406"/>
    <w:rsid w:val="001B77CF"/>
    <w:rsid w:val="001B7940"/>
    <w:rsid w:val="001C1691"/>
    <w:rsid w:val="001C171A"/>
    <w:rsid w:val="001C1D34"/>
    <w:rsid w:val="001C2FE0"/>
    <w:rsid w:val="001C37CA"/>
    <w:rsid w:val="001C4085"/>
    <w:rsid w:val="001C7BDF"/>
    <w:rsid w:val="001D0450"/>
    <w:rsid w:val="001D29F8"/>
    <w:rsid w:val="001D4303"/>
    <w:rsid w:val="001D6746"/>
    <w:rsid w:val="001E0C61"/>
    <w:rsid w:val="001E127D"/>
    <w:rsid w:val="001E1BB0"/>
    <w:rsid w:val="001E3B49"/>
    <w:rsid w:val="001E4A05"/>
    <w:rsid w:val="001E6A19"/>
    <w:rsid w:val="001E7388"/>
    <w:rsid w:val="001F0D5B"/>
    <w:rsid w:val="001F13DD"/>
    <w:rsid w:val="001F2473"/>
    <w:rsid w:val="001F2DBC"/>
    <w:rsid w:val="001F37FE"/>
    <w:rsid w:val="001F685D"/>
    <w:rsid w:val="001F73E8"/>
    <w:rsid w:val="001F7C4B"/>
    <w:rsid w:val="0020262C"/>
    <w:rsid w:val="00202723"/>
    <w:rsid w:val="00211A3E"/>
    <w:rsid w:val="002121CF"/>
    <w:rsid w:val="00213F20"/>
    <w:rsid w:val="00214055"/>
    <w:rsid w:val="00215BCA"/>
    <w:rsid w:val="002160F5"/>
    <w:rsid w:val="00217AC4"/>
    <w:rsid w:val="00221461"/>
    <w:rsid w:val="0022417A"/>
    <w:rsid w:val="00224537"/>
    <w:rsid w:val="00230E06"/>
    <w:rsid w:val="00232391"/>
    <w:rsid w:val="00233668"/>
    <w:rsid w:val="00235956"/>
    <w:rsid w:val="00240C61"/>
    <w:rsid w:val="002418E0"/>
    <w:rsid w:val="00243E5E"/>
    <w:rsid w:val="002467A6"/>
    <w:rsid w:val="00246B59"/>
    <w:rsid w:val="00246B70"/>
    <w:rsid w:val="00247C9A"/>
    <w:rsid w:val="0025160C"/>
    <w:rsid w:val="002528D2"/>
    <w:rsid w:val="002535D0"/>
    <w:rsid w:val="002539B3"/>
    <w:rsid w:val="002556A0"/>
    <w:rsid w:val="00256336"/>
    <w:rsid w:val="00257C3E"/>
    <w:rsid w:val="002602C2"/>
    <w:rsid w:val="00264787"/>
    <w:rsid w:val="002666C9"/>
    <w:rsid w:val="00270136"/>
    <w:rsid w:val="00270FD7"/>
    <w:rsid w:val="00274F5B"/>
    <w:rsid w:val="002763B1"/>
    <w:rsid w:val="00280836"/>
    <w:rsid w:val="00281C80"/>
    <w:rsid w:val="002821C8"/>
    <w:rsid w:val="002823C1"/>
    <w:rsid w:val="00282E1A"/>
    <w:rsid w:val="002840F1"/>
    <w:rsid w:val="00285922"/>
    <w:rsid w:val="002874D7"/>
    <w:rsid w:val="00290E9A"/>
    <w:rsid w:val="0029113B"/>
    <w:rsid w:val="002934C0"/>
    <w:rsid w:val="00293E1F"/>
    <w:rsid w:val="00294BFB"/>
    <w:rsid w:val="0029764C"/>
    <w:rsid w:val="00297794"/>
    <w:rsid w:val="002A1B50"/>
    <w:rsid w:val="002A3FE3"/>
    <w:rsid w:val="002A5BB0"/>
    <w:rsid w:val="002B02A2"/>
    <w:rsid w:val="002B0E91"/>
    <w:rsid w:val="002B132C"/>
    <w:rsid w:val="002B178A"/>
    <w:rsid w:val="002B1B34"/>
    <w:rsid w:val="002B35E8"/>
    <w:rsid w:val="002B3F23"/>
    <w:rsid w:val="002B4EB5"/>
    <w:rsid w:val="002B5AF5"/>
    <w:rsid w:val="002B6779"/>
    <w:rsid w:val="002B71C0"/>
    <w:rsid w:val="002B7989"/>
    <w:rsid w:val="002B7A34"/>
    <w:rsid w:val="002C31AD"/>
    <w:rsid w:val="002C7385"/>
    <w:rsid w:val="002D0173"/>
    <w:rsid w:val="002D2DBB"/>
    <w:rsid w:val="002D37D8"/>
    <w:rsid w:val="002D54A6"/>
    <w:rsid w:val="002E3779"/>
    <w:rsid w:val="002E5BF9"/>
    <w:rsid w:val="002E6A7A"/>
    <w:rsid w:val="002F1E49"/>
    <w:rsid w:val="002F2592"/>
    <w:rsid w:val="002F37E1"/>
    <w:rsid w:val="002F4E9C"/>
    <w:rsid w:val="002F6E15"/>
    <w:rsid w:val="00302F4E"/>
    <w:rsid w:val="00303A59"/>
    <w:rsid w:val="00305755"/>
    <w:rsid w:val="0031019C"/>
    <w:rsid w:val="00311BAF"/>
    <w:rsid w:val="003122B7"/>
    <w:rsid w:val="00312527"/>
    <w:rsid w:val="0031256C"/>
    <w:rsid w:val="00312B72"/>
    <w:rsid w:val="00313CB5"/>
    <w:rsid w:val="00314D6C"/>
    <w:rsid w:val="00316332"/>
    <w:rsid w:val="00316D2A"/>
    <w:rsid w:val="00322A7C"/>
    <w:rsid w:val="00322EEC"/>
    <w:rsid w:val="00323061"/>
    <w:rsid w:val="00331F6B"/>
    <w:rsid w:val="00335DB8"/>
    <w:rsid w:val="003402D3"/>
    <w:rsid w:val="0034068E"/>
    <w:rsid w:val="00343ABC"/>
    <w:rsid w:val="003463FE"/>
    <w:rsid w:val="003472FC"/>
    <w:rsid w:val="00347D41"/>
    <w:rsid w:val="003554B3"/>
    <w:rsid w:val="00355550"/>
    <w:rsid w:val="00356632"/>
    <w:rsid w:val="00356CDB"/>
    <w:rsid w:val="00357C7E"/>
    <w:rsid w:val="00363CF9"/>
    <w:rsid w:val="00364BAE"/>
    <w:rsid w:val="003653B6"/>
    <w:rsid w:val="003671AC"/>
    <w:rsid w:val="00367393"/>
    <w:rsid w:val="00370327"/>
    <w:rsid w:val="00370530"/>
    <w:rsid w:val="0037439D"/>
    <w:rsid w:val="00374CC4"/>
    <w:rsid w:val="00374E44"/>
    <w:rsid w:val="003774B2"/>
    <w:rsid w:val="00380815"/>
    <w:rsid w:val="00380F2D"/>
    <w:rsid w:val="003838CB"/>
    <w:rsid w:val="003845A9"/>
    <w:rsid w:val="003850C9"/>
    <w:rsid w:val="0038693C"/>
    <w:rsid w:val="003872AD"/>
    <w:rsid w:val="00387D02"/>
    <w:rsid w:val="00390883"/>
    <w:rsid w:val="00390E3B"/>
    <w:rsid w:val="0039112B"/>
    <w:rsid w:val="003922F8"/>
    <w:rsid w:val="00393D94"/>
    <w:rsid w:val="00394933"/>
    <w:rsid w:val="00394AB5"/>
    <w:rsid w:val="00395B24"/>
    <w:rsid w:val="00396569"/>
    <w:rsid w:val="00397A8A"/>
    <w:rsid w:val="003A2D38"/>
    <w:rsid w:val="003A5B38"/>
    <w:rsid w:val="003A7ECC"/>
    <w:rsid w:val="003B0AA6"/>
    <w:rsid w:val="003B2C72"/>
    <w:rsid w:val="003B2C85"/>
    <w:rsid w:val="003B3150"/>
    <w:rsid w:val="003B58B4"/>
    <w:rsid w:val="003C1333"/>
    <w:rsid w:val="003C20FF"/>
    <w:rsid w:val="003C2620"/>
    <w:rsid w:val="003C4A59"/>
    <w:rsid w:val="003C550A"/>
    <w:rsid w:val="003C6055"/>
    <w:rsid w:val="003C7294"/>
    <w:rsid w:val="003D2650"/>
    <w:rsid w:val="003D32D9"/>
    <w:rsid w:val="003D560C"/>
    <w:rsid w:val="003D5C00"/>
    <w:rsid w:val="003E0CFA"/>
    <w:rsid w:val="003E1D16"/>
    <w:rsid w:val="003E2702"/>
    <w:rsid w:val="003E3154"/>
    <w:rsid w:val="003E5874"/>
    <w:rsid w:val="003E6D81"/>
    <w:rsid w:val="003E72D3"/>
    <w:rsid w:val="003F193E"/>
    <w:rsid w:val="003F242C"/>
    <w:rsid w:val="003F29E3"/>
    <w:rsid w:val="003F34F1"/>
    <w:rsid w:val="003F790D"/>
    <w:rsid w:val="00400925"/>
    <w:rsid w:val="004031D8"/>
    <w:rsid w:val="004104B6"/>
    <w:rsid w:val="00411AE8"/>
    <w:rsid w:val="00413B74"/>
    <w:rsid w:val="00431237"/>
    <w:rsid w:val="004342F3"/>
    <w:rsid w:val="00435C5F"/>
    <w:rsid w:val="00436155"/>
    <w:rsid w:val="00436460"/>
    <w:rsid w:val="00436A07"/>
    <w:rsid w:val="00441252"/>
    <w:rsid w:val="00441E62"/>
    <w:rsid w:val="00441E98"/>
    <w:rsid w:val="00447BD0"/>
    <w:rsid w:val="00450F3A"/>
    <w:rsid w:val="004532F7"/>
    <w:rsid w:val="00454FDC"/>
    <w:rsid w:val="0046050B"/>
    <w:rsid w:val="004635DD"/>
    <w:rsid w:val="00463B39"/>
    <w:rsid w:val="0046434A"/>
    <w:rsid w:val="00464D51"/>
    <w:rsid w:val="00464E73"/>
    <w:rsid w:val="00472027"/>
    <w:rsid w:val="004733CB"/>
    <w:rsid w:val="004804CF"/>
    <w:rsid w:val="00483314"/>
    <w:rsid w:val="00484962"/>
    <w:rsid w:val="004849F5"/>
    <w:rsid w:val="00484F6D"/>
    <w:rsid w:val="00484FB7"/>
    <w:rsid w:val="0048554D"/>
    <w:rsid w:val="00487A0D"/>
    <w:rsid w:val="0049338A"/>
    <w:rsid w:val="0049417F"/>
    <w:rsid w:val="00494F0F"/>
    <w:rsid w:val="004953E7"/>
    <w:rsid w:val="00496D41"/>
    <w:rsid w:val="004A160E"/>
    <w:rsid w:val="004A16FE"/>
    <w:rsid w:val="004A1722"/>
    <w:rsid w:val="004A3847"/>
    <w:rsid w:val="004A4C3A"/>
    <w:rsid w:val="004A4CBB"/>
    <w:rsid w:val="004A6602"/>
    <w:rsid w:val="004A7DDC"/>
    <w:rsid w:val="004B3EFA"/>
    <w:rsid w:val="004C284D"/>
    <w:rsid w:val="004C2A87"/>
    <w:rsid w:val="004C4D7B"/>
    <w:rsid w:val="004C4ED3"/>
    <w:rsid w:val="004C667B"/>
    <w:rsid w:val="004C6C75"/>
    <w:rsid w:val="004C7ECD"/>
    <w:rsid w:val="004D24DD"/>
    <w:rsid w:val="004D2EA5"/>
    <w:rsid w:val="004D32A6"/>
    <w:rsid w:val="004D3B6A"/>
    <w:rsid w:val="004D43D8"/>
    <w:rsid w:val="004D53E5"/>
    <w:rsid w:val="004D6313"/>
    <w:rsid w:val="004D7950"/>
    <w:rsid w:val="004E518C"/>
    <w:rsid w:val="004E6271"/>
    <w:rsid w:val="004E6C5D"/>
    <w:rsid w:val="004E6DC4"/>
    <w:rsid w:val="004F0984"/>
    <w:rsid w:val="004F21C1"/>
    <w:rsid w:val="004F4A97"/>
    <w:rsid w:val="004F6BEF"/>
    <w:rsid w:val="00501A12"/>
    <w:rsid w:val="0050250F"/>
    <w:rsid w:val="0050309C"/>
    <w:rsid w:val="00512DD7"/>
    <w:rsid w:val="0051327C"/>
    <w:rsid w:val="0051346D"/>
    <w:rsid w:val="00513EAE"/>
    <w:rsid w:val="0051434F"/>
    <w:rsid w:val="00516806"/>
    <w:rsid w:val="0052098C"/>
    <w:rsid w:val="00523674"/>
    <w:rsid w:val="0052385B"/>
    <w:rsid w:val="00525A49"/>
    <w:rsid w:val="005262D1"/>
    <w:rsid w:val="00530876"/>
    <w:rsid w:val="00532A14"/>
    <w:rsid w:val="00532A88"/>
    <w:rsid w:val="0053500A"/>
    <w:rsid w:val="00535613"/>
    <w:rsid w:val="005359EB"/>
    <w:rsid w:val="00535C0E"/>
    <w:rsid w:val="0054254A"/>
    <w:rsid w:val="0054269F"/>
    <w:rsid w:val="0054500B"/>
    <w:rsid w:val="005466B5"/>
    <w:rsid w:val="00554314"/>
    <w:rsid w:val="00554DAF"/>
    <w:rsid w:val="0055676D"/>
    <w:rsid w:val="005579AE"/>
    <w:rsid w:val="005605B1"/>
    <w:rsid w:val="00562794"/>
    <w:rsid w:val="00562829"/>
    <w:rsid w:val="005629B3"/>
    <w:rsid w:val="00563DDB"/>
    <w:rsid w:val="0057128A"/>
    <w:rsid w:val="005724F6"/>
    <w:rsid w:val="0057382C"/>
    <w:rsid w:val="00573AC4"/>
    <w:rsid w:val="005742B4"/>
    <w:rsid w:val="00576BEC"/>
    <w:rsid w:val="005801FC"/>
    <w:rsid w:val="00585BA9"/>
    <w:rsid w:val="00586452"/>
    <w:rsid w:val="00587359"/>
    <w:rsid w:val="00595016"/>
    <w:rsid w:val="00597AAE"/>
    <w:rsid w:val="005A222C"/>
    <w:rsid w:val="005A4DF8"/>
    <w:rsid w:val="005A5CA8"/>
    <w:rsid w:val="005A78C8"/>
    <w:rsid w:val="005B1426"/>
    <w:rsid w:val="005C0A8E"/>
    <w:rsid w:val="005C1767"/>
    <w:rsid w:val="005C185C"/>
    <w:rsid w:val="005C25AA"/>
    <w:rsid w:val="005C42EF"/>
    <w:rsid w:val="005D3000"/>
    <w:rsid w:val="005D3C2B"/>
    <w:rsid w:val="005D4A09"/>
    <w:rsid w:val="005D6BBD"/>
    <w:rsid w:val="005E02F5"/>
    <w:rsid w:val="005E0510"/>
    <w:rsid w:val="005E176E"/>
    <w:rsid w:val="005E218E"/>
    <w:rsid w:val="005E35A0"/>
    <w:rsid w:val="005F0D1B"/>
    <w:rsid w:val="005F1865"/>
    <w:rsid w:val="005F1961"/>
    <w:rsid w:val="005F2C4A"/>
    <w:rsid w:val="005F487B"/>
    <w:rsid w:val="006007BD"/>
    <w:rsid w:val="006013C8"/>
    <w:rsid w:val="0060270D"/>
    <w:rsid w:val="0060412B"/>
    <w:rsid w:val="00604342"/>
    <w:rsid w:val="00604611"/>
    <w:rsid w:val="00611586"/>
    <w:rsid w:val="00611DE4"/>
    <w:rsid w:val="00612D26"/>
    <w:rsid w:val="00613596"/>
    <w:rsid w:val="00614EA5"/>
    <w:rsid w:val="00615855"/>
    <w:rsid w:val="00620DA8"/>
    <w:rsid w:val="00621887"/>
    <w:rsid w:val="00621B8F"/>
    <w:rsid w:val="00622AAF"/>
    <w:rsid w:val="00624520"/>
    <w:rsid w:val="006257E4"/>
    <w:rsid w:val="00625E02"/>
    <w:rsid w:val="006271F5"/>
    <w:rsid w:val="00632300"/>
    <w:rsid w:val="00632B8C"/>
    <w:rsid w:val="00632BB7"/>
    <w:rsid w:val="00635B36"/>
    <w:rsid w:val="00636871"/>
    <w:rsid w:val="00640EE1"/>
    <w:rsid w:val="00640F4E"/>
    <w:rsid w:val="00643DE0"/>
    <w:rsid w:val="0064437D"/>
    <w:rsid w:val="00644C63"/>
    <w:rsid w:val="00644E85"/>
    <w:rsid w:val="00646B35"/>
    <w:rsid w:val="006516D8"/>
    <w:rsid w:val="00652C52"/>
    <w:rsid w:val="00652EFD"/>
    <w:rsid w:val="0065424B"/>
    <w:rsid w:val="00654C2F"/>
    <w:rsid w:val="0066063F"/>
    <w:rsid w:val="00661C44"/>
    <w:rsid w:val="006629C4"/>
    <w:rsid w:val="00662BB0"/>
    <w:rsid w:val="00663878"/>
    <w:rsid w:val="00666724"/>
    <w:rsid w:val="00667773"/>
    <w:rsid w:val="006679ED"/>
    <w:rsid w:val="00670743"/>
    <w:rsid w:val="00673481"/>
    <w:rsid w:val="006747ED"/>
    <w:rsid w:val="00680A85"/>
    <w:rsid w:val="00681ADF"/>
    <w:rsid w:val="00681BA9"/>
    <w:rsid w:val="00690EE2"/>
    <w:rsid w:val="0069169A"/>
    <w:rsid w:val="0069340D"/>
    <w:rsid w:val="00693854"/>
    <w:rsid w:val="00694BEB"/>
    <w:rsid w:val="006A0E20"/>
    <w:rsid w:val="006A24E3"/>
    <w:rsid w:val="006A2C92"/>
    <w:rsid w:val="006A5695"/>
    <w:rsid w:val="006B0439"/>
    <w:rsid w:val="006B1D4D"/>
    <w:rsid w:val="006B3904"/>
    <w:rsid w:val="006B5755"/>
    <w:rsid w:val="006B5B7D"/>
    <w:rsid w:val="006C5104"/>
    <w:rsid w:val="006C5B46"/>
    <w:rsid w:val="006C6E39"/>
    <w:rsid w:val="006D0ECF"/>
    <w:rsid w:val="006D3D5B"/>
    <w:rsid w:val="006D4C92"/>
    <w:rsid w:val="006D4EB6"/>
    <w:rsid w:val="006D7FBC"/>
    <w:rsid w:val="006E12D1"/>
    <w:rsid w:val="006E35BF"/>
    <w:rsid w:val="006E5CB7"/>
    <w:rsid w:val="006E7517"/>
    <w:rsid w:val="006E7850"/>
    <w:rsid w:val="006F19D8"/>
    <w:rsid w:val="006F39FF"/>
    <w:rsid w:val="006F46D6"/>
    <w:rsid w:val="006F4BBB"/>
    <w:rsid w:val="006F66A9"/>
    <w:rsid w:val="007028D9"/>
    <w:rsid w:val="00704351"/>
    <w:rsid w:val="00704554"/>
    <w:rsid w:val="00707218"/>
    <w:rsid w:val="00710D04"/>
    <w:rsid w:val="00712203"/>
    <w:rsid w:val="00712B1D"/>
    <w:rsid w:val="00715751"/>
    <w:rsid w:val="007171BA"/>
    <w:rsid w:val="00717616"/>
    <w:rsid w:val="00717CF3"/>
    <w:rsid w:val="00720B62"/>
    <w:rsid w:val="00721EA0"/>
    <w:rsid w:val="00724A00"/>
    <w:rsid w:val="007325D9"/>
    <w:rsid w:val="00732F30"/>
    <w:rsid w:val="0073413F"/>
    <w:rsid w:val="007355AD"/>
    <w:rsid w:val="0073583B"/>
    <w:rsid w:val="007360CA"/>
    <w:rsid w:val="00743F50"/>
    <w:rsid w:val="0074667B"/>
    <w:rsid w:val="007470BD"/>
    <w:rsid w:val="00756518"/>
    <w:rsid w:val="00760EC0"/>
    <w:rsid w:val="007614AD"/>
    <w:rsid w:val="00764C0A"/>
    <w:rsid w:val="00766029"/>
    <w:rsid w:val="00767359"/>
    <w:rsid w:val="007711BD"/>
    <w:rsid w:val="0078003A"/>
    <w:rsid w:val="00780771"/>
    <w:rsid w:val="007840BD"/>
    <w:rsid w:val="007929CF"/>
    <w:rsid w:val="00796472"/>
    <w:rsid w:val="00797BA8"/>
    <w:rsid w:val="007A081D"/>
    <w:rsid w:val="007A49E7"/>
    <w:rsid w:val="007A692B"/>
    <w:rsid w:val="007A6F28"/>
    <w:rsid w:val="007B03C6"/>
    <w:rsid w:val="007B0DB1"/>
    <w:rsid w:val="007B2107"/>
    <w:rsid w:val="007B40CE"/>
    <w:rsid w:val="007B5673"/>
    <w:rsid w:val="007B7238"/>
    <w:rsid w:val="007B76FF"/>
    <w:rsid w:val="007C3BF6"/>
    <w:rsid w:val="007C67B3"/>
    <w:rsid w:val="007D0E67"/>
    <w:rsid w:val="007D0FD2"/>
    <w:rsid w:val="007D2EF8"/>
    <w:rsid w:val="007D46B1"/>
    <w:rsid w:val="007D561F"/>
    <w:rsid w:val="007D7FD2"/>
    <w:rsid w:val="007E02FF"/>
    <w:rsid w:val="007E13D9"/>
    <w:rsid w:val="007E2AEC"/>
    <w:rsid w:val="007E41BE"/>
    <w:rsid w:val="007E458F"/>
    <w:rsid w:val="007E4DB6"/>
    <w:rsid w:val="007E6733"/>
    <w:rsid w:val="007E7A90"/>
    <w:rsid w:val="007E7CD4"/>
    <w:rsid w:val="007F0AC1"/>
    <w:rsid w:val="007F1158"/>
    <w:rsid w:val="007F12AC"/>
    <w:rsid w:val="007F4501"/>
    <w:rsid w:val="007F60DF"/>
    <w:rsid w:val="00801800"/>
    <w:rsid w:val="00801861"/>
    <w:rsid w:val="00801B5B"/>
    <w:rsid w:val="00805A30"/>
    <w:rsid w:val="00805E59"/>
    <w:rsid w:val="008077DC"/>
    <w:rsid w:val="00807EE5"/>
    <w:rsid w:val="00812301"/>
    <w:rsid w:val="008175A1"/>
    <w:rsid w:val="008207E4"/>
    <w:rsid w:val="008216E7"/>
    <w:rsid w:val="00825BE6"/>
    <w:rsid w:val="0082619A"/>
    <w:rsid w:val="008276B4"/>
    <w:rsid w:val="00831927"/>
    <w:rsid w:val="0083428C"/>
    <w:rsid w:val="00837288"/>
    <w:rsid w:val="0084036B"/>
    <w:rsid w:val="0084056A"/>
    <w:rsid w:val="00840DD4"/>
    <w:rsid w:val="00841BD3"/>
    <w:rsid w:val="0084273D"/>
    <w:rsid w:val="00842D56"/>
    <w:rsid w:val="00844E3F"/>
    <w:rsid w:val="00845A83"/>
    <w:rsid w:val="00846BB9"/>
    <w:rsid w:val="008578FF"/>
    <w:rsid w:val="00862FD1"/>
    <w:rsid w:val="008649D5"/>
    <w:rsid w:val="00865C04"/>
    <w:rsid w:val="008712BB"/>
    <w:rsid w:val="00872DCE"/>
    <w:rsid w:val="00874087"/>
    <w:rsid w:val="008830E7"/>
    <w:rsid w:val="008861A0"/>
    <w:rsid w:val="00890EDE"/>
    <w:rsid w:val="0089281B"/>
    <w:rsid w:val="00892B38"/>
    <w:rsid w:val="00892CB8"/>
    <w:rsid w:val="0089416A"/>
    <w:rsid w:val="008A1741"/>
    <w:rsid w:val="008A2484"/>
    <w:rsid w:val="008A35ED"/>
    <w:rsid w:val="008A52F3"/>
    <w:rsid w:val="008A5795"/>
    <w:rsid w:val="008B1CCE"/>
    <w:rsid w:val="008C26D9"/>
    <w:rsid w:val="008C6721"/>
    <w:rsid w:val="008C6D50"/>
    <w:rsid w:val="008C7167"/>
    <w:rsid w:val="008C7377"/>
    <w:rsid w:val="008C7503"/>
    <w:rsid w:val="008D1256"/>
    <w:rsid w:val="008D1617"/>
    <w:rsid w:val="008D2788"/>
    <w:rsid w:val="008D330F"/>
    <w:rsid w:val="008D356D"/>
    <w:rsid w:val="008D4300"/>
    <w:rsid w:val="008D48C1"/>
    <w:rsid w:val="008E123E"/>
    <w:rsid w:val="008E193F"/>
    <w:rsid w:val="008E1DBD"/>
    <w:rsid w:val="008E227B"/>
    <w:rsid w:val="008E6315"/>
    <w:rsid w:val="008F0480"/>
    <w:rsid w:val="008F07FC"/>
    <w:rsid w:val="008F11E0"/>
    <w:rsid w:val="008F36C4"/>
    <w:rsid w:val="008F3EA7"/>
    <w:rsid w:val="008F78BC"/>
    <w:rsid w:val="008F7B63"/>
    <w:rsid w:val="008F7D6A"/>
    <w:rsid w:val="0090127D"/>
    <w:rsid w:val="00901C86"/>
    <w:rsid w:val="00903603"/>
    <w:rsid w:val="009054CB"/>
    <w:rsid w:val="00911F8D"/>
    <w:rsid w:val="00912F94"/>
    <w:rsid w:val="009140B6"/>
    <w:rsid w:val="009143C9"/>
    <w:rsid w:val="009171BC"/>
    <w:rsid w:val="0092497E"/>
    <w:rsid w:val="0092590B"/>
    <w:rsid w:val="00925BF3"/>
    <w:rsid w:val="00925E60"/>
    <w:rsid w:val="009264B3"/>
    <w:rsid w:val="0092708A"/>
    <w:rsid w:val="00931E4C"/>
    <w:rsid w:val="009365E0"/>
    <w:rsid w:val="00942BA2"/>
    <w:rsid w:val="009432B7"/>
    <w:rsid w:val="00944C86"/>
    <w:rsid w:val="00947C02"/>
    <w:rsid w:val="009502E8"/>
    <w:rsid w:val="00950BE6"/>
    <w:rsid w:val="009523BC"/>
    <w:rsid w:val="00952A45"/>
    <w:rsid w:val="00957DE8"/>
    <w:rsid w:val="00960C11"/>
    <w:rsid w:val="00960ECB"/>
    <w:rsid w:val="009615D6"/>
    <w:rsid w:val="00967855"/>
    <w:rsid w:val="00971981"/>
    <w:rsid w:val="00971CD1"/>
    <w:rsid w:val="00974709"/>
    <w:rsid w:val="009801AE"/>
    <w:rsid w:val="00980736"/>
    <w:rsid w:val="00981A39"/>
    <w:rsid w:val="00982D56"/>
    <w:rsid w:val="00983DBF"/>
    <w:rsid w:val="00985088"/>
    <w:rsid w:val="009854FF"/>
    <w:rsid w:val="00986B67"/>
    <w:rsid w:val="00987097"/>
    <w:rsid w:val="00991123"/>
    <w:rsid w:val="00991CAB"/>
    <w:rsid w:val="00992962"/>
    <w:rsid w:val="00994546"/>
    <w:rsid w:val="009A3A9C"/>
    <w:rsid w:val="009B046C"/>
    <w:rsid w:val="009B1148"/>
    <w:rsid w:val="009B11F8"/>
    <w:rsid w:val="009B13FA"/>
    <w:rsid w:val="009B1E2D"/>
    <w:rsid w:val="009B6AA4"/>
    <w:rsid w:val="009B7FD4"/>
    <w:rsid w:val="009C153A"/>
    <w:rsid w:val="009C2292"/>
    <w:rsid w:val="009C33A0"/>
    <w:rsid w:val="009C59FB"/>
    <w:rsid w:val="009C6F3B"/>
    <w:rsid w:val="009C77C5"/>
    <w:rsid w:val="009D1467"/>
    <w:rsid w:val="009D328D"/>
    <w:rsid w:val="009E15D4"/>
    <w:rsid w:val="009E4FA6"/>
    <w:rsid w:val="009E6E12"/>
    <w:rsid w:val="009E7D93"/>
    <w:rsid w:val="009F3C34"/>
    <w:rsid w:val="009F462C"/>
    <w:rsid w:val="009F53DE"/>
    <w:rsid w:val="009F5C33"/>
    <w:rsid w:val="00A01060"/>
    <w:rsid w:val="00A026F0"/>
    <w:rsid w:val="00A03EAC"/>
    <w:rsid w:val="00A04DBB"/>
    <w:rsid w:val="00A052D9"/>
    <w:rsid w:val="00A07EA0"/>
    <w:rsid w:val="00A11CA6"/>
    <w:rsid w:val="00A15DF5"/>
    <w:rsid w:val="00A20C49"/>
    <w:rsid w:val="00A22932"/>
    <w:rsid w:val="00A269CA"/>
    <w:rsid w:val="00A27A50"/>
    <w:rsid w:val="00A303CE"/>
    <w:rsid w:val="00A32730"/>
    <w:rsid w:val="00A336EE"/>
    <w:rsid w:val="00A33F46"/>
    <w:rsid w:val="00A3427E"/>
    <w:rsid w:val="00A359AC"/>
    <w:rsid w:val="00A40F83"/>
    <w:rsid w:val="00A410A0"/>
    <w:rsid w:val="00A410FB"/>
    <w:rsid w:val="00A41413"/>
    <w:rsid w:val="00A4280A"/>
    <w:rsid w:val="00A431E6"/>
    <w:rsid w:val="00A436E8"/>
    <w:rsid w:val="00A45FB1"/>
    <w:rsid w:val="00A46A0F"/>
    <w:rsid w:val="00A46CCC"/>
    <w:rsid w:val="00A47996"/>
    <w:rsid w:val="00A51CFE"/>
    <w:rsid w:val="00A5204D"/>
    <w:rsid w:val="00A546E2"/>
    <w:rsid w:val="00A555B0"/>
    <w:rsid w:val="00A55D5D"/>
    <w:rsid w:val="00A56E77"/>
    <w:rsid w:val="00A61605"/>
    <w:rsid w:val="00A65F97"/>
    <w:rsid w:val="00A677EC"/>
    <w:rsid w:val="00A72D3E"/>
    <w:rsid w:val="00A73B04"/>
    <w:rsid w:val="00A7497F"/>
    <w:rsid w:val="00A76C13"/>
    <w:rsid w:val="00A82995"/>
    <w:rsid w:val="00A82DC2"/>
    <w:rsid w:val="00A84CE9"/>
    <w:rsid w:val="00A84FD0"/>
    <w:rsid w:val="00A8765D"/>
    <w:rsid w:val="00A92697"/>
    <w:rsid w:val="00A92E79"/>
    <w:rsid w:val="00A950B6"/>
    <w:rsid w:val="00A95D45"/>
    <w:rsid w:val="00A97A02"/>
    <w:rsid w:val="00AA3EA8"/>
    <w:rsid w:val="00AA686E"/>
    <w:rsid w:val="00AB0AAE"/>
    <w:rsid w:val="00AB41C1"/>
    <w:rsid w:val="00AB49D1"/>
    <w:rsid w:val="00AB4CF2"/>
    <w:rsid w:val="00AB6CCA"/>
    <w:rsid w:val="00AC223F"/>
    <w:rsid w:val="00AC33B1"/>
    <w:rsid w:val="00AC7D87"/>
    <w:rsid w:val="00AD12A8"/>
    <w:rsid w:val="00AD6441"/>
    <w:rsid w:val="00AD7139"/>
    <w:rsid w:val="00AE023F"/>
    <w:rsid w:val="00AF3577"/>
    <w:rsid w:val="00AF35F9"/>
    <w:rsid w:val="00AF427F"/>
    <w:rsid w:val="00AF6543"/>
    <w:rsid w:val="00AF792E"/>
    <w:rsid w:val="00B01CBD"/>
    <w:rsid w:val="00B02B9F"/>
    <w:rsid w:val="00B0424C"/>
    <w:rsid w:val="00B05C7D"/>
    <w:rsid w:val="00B119E3"/>
    <w:rsid w:val="00B1229C"/>
    <w:rsid w:val="00B12E51"/>
    <w:rsid w:val="00B15D57"/>
    <w:rsid w:val="00B16347"/>
    <w:rsid w:val="00B17D6E"/>
    <w:rsid w:val="00B2435E"/>
    <w:rsid w:val="00B24E69"/>
    <w:rsid w:val="00B30348"/>
    <w:rsid w:val="00B30AB6"/>
    <w:rsid w:val="00B31FF5"/>
    <w:rsid w:val="00B3455A"/>
    <w:rsid w:val="00B346C3"/>
    <w:rsid w:val="00B4005C"/>
    <w:rsid w:val="00B4227E"/>
    <w:rsid w:val="00B4471C"/>
    <w:rsid w:val="00B451A6"/>
    <w:rsid w:val="00B51D63"/>
    <w:rsid w:val="00B51D86"/>
    <w:rsid w:val="00B53DED"/>
    <w:rsid w:val="00B540AD"/>
    <w:rsid w:val="00B56D6E"/>
    <w:rsid w:val="00B60AAE"/>
    <w:rsid w:val="00B61C28"/>
    <w:rsid w:val="00B61F1A"/>
    <w:rsid w:val="00B64347"/>
    <w:rsid w:val="00B64E11"/>
    <w:rsid w:val="00B65DC6"/>
    <w:rsid w:val="00B67AC2"/>
    <w:rsid w:val="00B722DE"/>
    <w:rsid w:val="00B737BF"/>
    <w:rsid w:val="00B73B56"/>
    <w:rsid w:val="00B751E3"/>
    <w:rsid w:val="00B75BA6"/>
    <w:rsid w:val="00B76C44"/>
    <w:rsid w:val="00B8184A"/>
    <w:rsid w:val="00B82283"/>
    <w:rsid w:val="00B828D8"/>
    <w:rsid w:val="00B83F87"/>
    <w:rsid w:val="00B86B4A"/>
    <w:rsid w:val="00B87CDC"/>
    <w:rsid w:val="00B910C1"/>
    <w:rsid w:val="00B93CCB"/>
    <w:rsid w:val="00B97A45"/>
    <w:rsid w:val="00B97E4B"/>
    <w:rsid w:val="00BA0BC2"/>
    <w:rsid w:val="00BA2CA4"/>
    <w:rsid w:val="00BA2EFA"/>
    <w:rsid w:val="00BA308E"/>
    <w:rsid w:val="00BA3DBC"/>
    <w:rsid w:val="00BA707A"/>
    <w:rsid w:val="00BA714C"/>
    <w:rsid w:val="00BB1AFB"/>
    <w:rsid w:val="00BB27AE"/>
    <w:rsid w:val="00BB2DA2"/>
    <w:rsid w:val="00BB3E09"/>
    <w:rsid w:val="00BB56DC"/>
    <w:rsid w:val="00BC61B2"/>
    <w:rsid w:val="00BC7D85"/>
    <w:rsid w:val="00BE183D"/>
    <w:rsid w:val="00BE29D9"/>
    <w:rsid w:val="00BE365E"/>
    <w:rsid w:val="00BE368A"/>
    <w:rsid w:val="00BE4E0A"/>
    <w:rsid w:val="00BE57C2"/>
    <w:rsid w:val="00BF24C2"/>
    <w:rsid w:val="00BF2922"/>
    <w:rsid w:val="00BF3A65"/>
    <w:rsid w:val="00BF5D7A"/>
    <w:rsid w:val="00C0196B"/>
    <w:rsid w:val="00C01C2E"/>
    <w:rsid w:val="00C02597"/>
    <w:rsid w:val="00C02C79"/>
    <w:rsid w:val="00C02D33"/>
    <w:rsid w:val="00C04337"/>
    <w:rsid w:val="00C04B53"/>
    <w:rsid w:val="00C1232C"/>
    <w:rsid w:val="00C12E50"/>
    <w:rsid w:val="00C2498D"/>
    <w:rsid w:val="00C27C6B"/>
    <w:rsid w:val="00C32226"/>
    <w:rsid w:val="00C32CEA"/>
    <w:rsid w:val="00C3594D"/>
    <w:rsid w:val="00C36442"/>
    <w:rsid w:val="00C400CE"/>
    <w:rsid w:val="00C410FD"/>
    <w:rsid w:val="00C457DE"/>
    <w:rsid w:val="00C47DD3"/>
    <w:rsid w:val="00C50B74"/>
    <w:rsid w:val="00C50C75"/>
    <w:rsid w:val="00C5316F"/>
    <w:rsid w:val="00C53562"/>
    <w:rsid w:val="00C539FB"/>
    <w:rsid w:val="00C55F24"/>
    <w:rsid w:val="00C563A9"/>
    <w:rsid w:val="00C66AA3"/>
    <w:rsid w:val="00C66E57"/>
    <w:rsid w:val="00C67BDF"/>
    <w:rsid w:val="00C72407"/>
    <w:rsid w:val="00C724D7"/>
    <w:rsid w:val="00C74150"/>
    <w:rsid w:val="00C75594"/>
    <w:rsid w:val="00C8390F"/>
    <w:rsid w:val="00C8574A"/>
    <w:rsid w:val="00C85982"/>
    <w:rsid w:val="00C971E2"/>
    <w:rsid w:val="00CA0466"/>
    <w:rsid w:val="00CA0688"/>
    <w:rsid w:val="00CA06BF"/>
    <w:rsid w:val="00CA246D"/>
    <w:rsid w:val="00CA50D9"/>
    <w:rsid w:val="00CA5829"/>
    <w:rsid w:val="00CB01B4"/>
    <w:rsid w:val="00CB3054"/>
    <w:rsid w:val="00CB5636"/>
    <w:rsid w:val="00CB5F30"/>
    <w:rsid w:val="00CC0ED0"/>
    <w:rsid w:val="00CC3EE5"/>
    <w:rsid w:val="00CC6A5A"/>
    <w:rsid w:val="00CC6E47"/>
    <w:rsid w:val="00CD1346"/>
    <w:rsid w:val="00CD165B"/>
    <w:rsid w:val="00CD1A5A"/>
    <w:rsid w:val="00CD2930"/>
    <w:rsid w:val="00CD3171"/>
    <w:rsid w:val="00CD4A2B"/>
    <w:rsid w:val="00CE06D3"/>
    <w:rsid w:val="00CE261D"/>
    <w:rsid w:val="00CE2E2C"/>
    <w:rsid w:val="00CE31F1"/>
    <w:rsid w:val="00CE425C"/>
    <w:rsid w:val="00CE58AC"/>
    <w:rsid w:val="00CF12F5"/>
    <w:rsid w:val="00CF5A80"/>
    <w:rsid w:val="00D045EE"/>
    <w:rsid w:val="00D05091"/>
    <w:rsid w:val="00D10CA6"/>
    <w:rsid w:val="00D10F21"/>
    <w:rsid w:val="00D11CDB"/>
    <w:rsid w:val="00D134CF"/>
    <w:rsid w:val="00D1573B"/>
    <w:rsid w:val="00D16658"/>
    <w:rsid w:val="00D17498"/>
    <w:rsid w:val="00D24806"/>
    <w:rsid w:val="00D34040"/>
    <w:rsid w:val="00D34E69"/>
    <w:rsid w:val="00D36BE8"/>
    <w:rsid w:val="00D36C78"/>
    <w:rsid w:val="00D375EE"/>
    <w:rsid w:val="00D42819"/>
    <w:rsid w:val="00D45753"/>
    <w:rsid w:val="00D527A7"/>
    <w:rsid w:val="00D53E97"/>
    <w:rsid w:val="00D55AE8"/>
    <w:rsid w:val="00D56056"/>
    <w:rsid w:val="00D6085F"/>
    <w:rsid w:val="00D62699"/>
    <w:rsid w:val="00D71A82"/>
    <w:rsid w:val="00D74E30"/>
    <w:rsid w:val="00D778E9"/>
    <w:rsid w:val="00D812BF"/>
    <w:rsid w:val="00D82620"/>
    <w:rsid w:val="00D830A9"/>
    <w:rsid w:val="00D837F0"/>
    <w:rsid w:val="00D85707"/>
    <w:rsid w:val="00D9725F"/>
    <w:rsid w:val="00DA01B1"/>
    <w:rsid w:val="00DA11A2"/>
    <w:rsid w:val="00DA14ED"/>
    <w:rsid w:val="00DA1F71"/>
    <w:rsid w:val="00DA26D6"/>
    <w:rsid w:val="00DA3648"/>
    <w:rsid w:val="00DB2EF1"/>
    <w:rsid w:val="00DB3DE1"/>
    <w:rsid w:val="00DB4421"/>
    <w:rsid w:val="00DB5244"/>
    <w:rsid w:val="00DB5DA0"/>
    <w:rsid w:val="00DB69D7"/>
    <w:rsid w:val="00DB716C"/>
    <w:rsid w:val="00DB7A08"/>
    <w:rsid w:val="00DB7D5E"/>
    <w:rsid w:val="00DC5C85"/>
    <w:rsid w:val="00DC7C5D"/>
    <w:rsid w:val="00DD1A59"/>
    <w:rsid w:val="00DD4236"/>
    <w:rsid w:val="00DD44F1"/>
    <w:rsid w:val="00DD49EC"/>
    <w:rsid w:val="00DD4ABF"/>
    <w:rsid w:val="00DD6957"/>
    <w:rsid w:val="00DD6E7A"/>
    <w:rsid w:val="00DE3067"/>
    <w:rsid w:val="00DE3D37"/>
    <w:rsid w:val="00DE7D43"/>
    <w:rsid w:val="00DF1E23"/>
    <w:rsid w:val="00DF3EEE"/>
    <w:rsid w:val="00DF469E"/>
    <w:rsid w:val="00DF75E1"/>
    <w:rsid w:val="00E027BC"/>
    <w:rsid w:val="00E045BE"/>
    <w:rsid w:val="00E10F0D"/>
    <w:rsid w:val="00E14EA5"/>
    <w:rsid w:val="00E2070E"/>
    <w:rsid w:val="00E21133"/>
    <w:rsid w:val="00E2327E"/>
    <w:rsid w:val="00E23577"/>
    <w:rsid w:val="00E24F1D"/>
    <w:rsid w:val="00E266EF"/>
    <w:rsid w:val="00E30B0E"/>
    <w:rsid w:val="00E326A8"/>
    <w:rsid w:val="00E33259"/>
    <w:rsid w:val="00E346D4"/>
    <w:rsid w:val="00E4038D"/>
    <w:rsid w:val="00E40593"/>
    <w:rsid w:val="00E47428"/>
    <w:rsid w:val="00E502C4"/>
    <w:rsid w:val="00E56C8E"/>
    <w:rsid w:val="00E5716B"/>
    <w:rsid w:val="00E57F1F"/>
    <w:rsid w:val="00E66B9F"/>
    <w:rsid w:val="00E70A6A"/>
    <w:rsid w:val="00E710D6"/>
    <w:rsid w:val="00E73DA4"/>
    <w:rsid w:val="00E74EAC"/>
    <w:rsid w:val="00E753E0"/>
    <w:rsid w:val="00E76E45"/>
    <w:rsid w:val="00E777C9"/>
    <w:rsid w:val="00E81B56"/>
    <w:rsid w:val="00E81DA6"/>
    <w:rsid w:val="00E84212"/>
    <w:rsid w:val="00E857C8"/>
    <w:rsid w:val="00E85B55"/>
    <w:rsid w:val="00E9086C"/>
    <w:rsid w:val="00E90981"/>
    <w:rsid w:val="00E90AAA"/>
    <w:rsid w:val="00E91A0F"/>
    <w:rsid w:val="00E940F2"/>
    <w:rsid w:val="00E94A71"/>
    <w:rsid w:val="00E94CBF"/>
    <w:rsid w:val="00EA03CE"/>
    <w:rsid w:val="00EA2142"/>
    <w:rsid w:val="00EA23E5"/>
    <w:rsid w:val="00EA323D"/>
    <w:rsid w:val="00EA3EB7"/>
    <w:rsid w:val="00EA4E2E"/>
    <w:rsid w:val="00EA51D6"/>
    <w:rsid w:val="00EA52BB"/>
    <w:rsid w:val="00EB2417"/>
    <w:rsid w:val="00EB2CCB"/>
    <w:rsid w:val="00EB3B73"/>
    <w:rsid w:val="00EB7A25"/>
    <w:rsid w:val="00EC050D"/>
    <w:rsid w:val="00EC0F3E"/>
    <w:rsid w:val="00EC1272"/>
    <w:rsid w:val="00EC4927"/>
    <w:rsid w:val="00EC57A7"/>
    <w:rsid w:val="00EC71C8"/>
    <w:rsid w:val="00ED0230"/>
    <w:rsid w:val="00ED0817"/>
    <w:rsid w:val="00ED33E0"/>
    <w:rsid w:val="00ED426C"/>
    <w:rsid w:val="00ED76F2"/>
    <w:rsid w:val="00ED7DD9"/>
    <w:rsid w:val="00EE2250"/>
    <w:rsid w:val="00EE2A37"/>
    <w:rsid w:val="00EE445B"/>
    <w:rsid w:val="00EE4859"/>
    <w:rsid w:val="00EE5093"/>
    <w:rsid w:val="00EF0627"/>
    <w:rsid w:val="00EF2E51"/>
    <w:rsid w:val="00EF3113"/>
    <w:rsid w:val="00EF3F84"/>
    <w:rsid w:val="00F10C56"/>
    <w:rsid w:val="00F1358C"/>
    <w:rsid w:val="00F13DA8"/>
    <w:rsid w:val="00F146D5"/>
    <w:rsid w:val="00F176AC"/>
    <w:rsid w:val="00F258EC"/>
    <w:rsid w:val="00F2664A"/>
    <w:rsid w:val="00F26F28"/>
    <w:rsid w:val="00F27714"/>
    <w:rsid w:val="00F278C8"/>
    <w:rsid w:val="00F3276E"/>
    <w:rsid w:val="00F33D3C"/>
    <w:rsid w:val="00F3575C"/>
    <w:rsid w:val="00F36735"/>
    <w:rsid w:val="00F378C4"/>
    <w:rsid w:val="00F37A91"/>
    <w:rsid w:val="00F408A0"/>
    <w:rsid w:val="00F45CF5"/>
    <w:rsid w:val="00F47DB0"/>
    <w:rsid w:val="00F50C3F"/>
    <w:rsid w:val="00F50E34"/>
    <w:rsid w:val="00F51AFB"/>
    <w:rsid w:val="00F53EF7"/>
    <w:rsid w:val="00F54AA2"/>
    <w:rsid w:val="00F54BF2"/>
    <w:rsid w:val="00F55CEB"/>
    <w:rsid w:val="00F62783"/>
    <w:rsid w:val="00F73618"/>
    <w:rsid w:val="00F76DF2"/>
    <w:rsid w:val="00F775AC"/>
    <w:rsid w:val="00F8792F"/>
    <w:rsid w:val="00F9214D"/>
    <w:rsid w:val="00F92355"/>
    <w:rsid w:val="00F93963"/>
    <w:rsid w:val="00F94291"/>
    <w:rsid w:val="00F968B0"/>
    <w:rsid w:val="00F96AF5"/>
    <w:rsid w:val="00F97205"/>
    <w:rsid w:val="00FA298A"/>
    <w:rsid w:val="00FA5B66"/>
    <w:rsid w:val="00FA6AC9"/>
    <w:rsid w:val="00FA78BF"/>
    <w:rsid w:val="00FB0B9C"/>
    <w:rsid w:val="00FB24C0"/>
    <w:rsid w:val="00FB30EB"/>
    <w:rsid w:val="00FB7982"/>
    <w:rsid w:val="00FB7E2A"/>
    <w:rsid w:val="00FC0734"/>
    <w:rsid w:val="00FC0EFD"/>
    <w:rsid w:val="00FC0FC5"/>
    <w:rsid w:val="00FC588F"/>
    <w:rsid w:val="00FC6879"/>
    <w:rsid w:val="00FC77E3"/>
    <w:rsid w:val="00FD0631"/>
    <w:rsid w:val="00FD43C2"/>
    <w:rsid w:val="00FD57CC"/>
    <w:rsid w:val="00FD6D73"/>
    <w:rsid w:val="00FE1B30"/>
    <w:rsid w:val="00FE6249"/>
    <w:rsid w:val="00FE7B44"/>
    <w:rsid w:val="00FF2076"/>
    <w:rsid w:val="00FF3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0B76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2149"/>
      </w:tabs>
      <w:spacing w:before="180" w:after="180"/>
      <w:ind w:left="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link w:val="Quote2Char"/>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semiHidden/>
    <w:rsid w:val="00B61C28"/>
    <w:rPr>
      <w:sz w:val="24"/>
      <w:lang w:eastAsia="en-US"/>
    </w:rPr>
  </w:style>
  <w:style w:type="character" w:customStyle="1" w:styleId="Quote1Char">
    <w:name w:val="Quote1 Char"/>
    <w:basedOn w:val="DefaultParagraphFont"/>
    <w:link w:val="Quote1"/>
    <w:locked/>
    <w:rsid w:val="000B0FA9"/>
    <w:rPr>
      <w:sz w:val="22"/>
      <w:lang w:eastAsia="en-US"/>
    </w:rPr>
  </w:style>
  <w:style w:type="character" w:customStyle="1" w:styleId="Quote2Char">
    <w:name w:val="Quote2 Char"/>
    <w:basedOn w:val="DefaultParagraphFont"/>
    <w:link w:val="Quote2"/>
    <w:locked/>
    <w:rsid w:val="000B0FA9"/>
    <w:rPr>
      <w:sz w:val="22"/>
      <w:lang w:eastAsia="en-US"/>
    </w:rPr>
  </w:style>
  <w:style w:type="character" w:customStyle="1" w:styleId="ssit">
    <w:name w:val="ss_it"/>
    <w:basedOn w:val="DefaultParagraphFont"/>
    <w:rsid w:val="002F2592"/>
  </w:style>
  <w:style w:type="paragraph" w:styleId="Revision">
    <w:name w:val="Revision"/>
    <w:hidden/>
    <w:uiPriority w:val="99"/>
    <w:semiHidden/>
    <w:rsid w:val="00F13DA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09769">
      <w:bodyDiv w:val="1"/>
      <w:marLeft w:val="0"/>
      <w:marRight w:val="0"/>
      <w:marTop w:val="0"/>
      <w:marBottom w:val="0"/>
      <w:divBdr>
        <w:top w:val="none" w:sz="0" w:space="0" w:color="auto"/>
        <w:left w:val="none" w:sz="0" w:space="0" w:color="auto"/>
        <w:bottom w:val="none" w:sz="0" w:space="0" w:color="auto"/>
        <w:right w:val="none" w:sz="0" w:space="0" w:color="auto"/>
      </w:divBdr>
    </w:div>
    <w:div w:id="1763716905">
      <w:bodyDiv w:val="1"/>
      <w:marLeft w:val="0"/>
      <w:marRight w:val="0"/>
      <w:marTop w:val="0"/>
      <w:marBottom w:val="0"/>
      <w:divBdr>
        <w:top w:val="none" w:sz="0" w:space="0" w:color="auto"/>
        <w:left w:val="none" w:sz="0" w:space="0" w:color="auto"/>
        <w:bottom w:val="none" w:sz="0" w:space="0" w:color="auto"/>
        <w:right w:val="none" w:sz="0" w:space="0" w:color="auto"/>
      </w:divBdr>
    </w:div>
    <w:div w:id="1779838550">
      <w:bodyDiv w:val="1"/>
      <w:marLeft w:val="0"/>
      <w:marRight w:val="0"/>
      <w:marTop w:val="0"/>
      <w:marBottom w:val="0"/>
      <w:divBdr>
        <w:top w:val="none" w:sz="0" w:space="0" w:color="auto"/>
        <w:left w:val="none" w:sz="0" w:space="0" w:color="auto"/>
        <w:bottom w:val="none" w:sz="0" w:space="0" w:color="auto"/>
        <w:right w:val="none" w:sz="0" w:space="0" w:color="auto"/>
      </w:divBdr>
    </w:div>
    <w:div w:id="20325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jp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jp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image" Target="media/image12.jpeg"/><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jpg"/><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10.jpg"/><Relationship Id="rId28" Type="http://schemas.openxmlformats.org/officeDocument/2006/relationships/image" Target="media/image15.jpe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jpg"/><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image" Target="media/image9.jp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00295CD8494BAF923C122CC2FA582D"/>
        <w:category>
          <w:name w:val="General"/>
          <w:gallery w:val="placeholder"/>
        </w:category>
        <w:types>
          <w:type w:val="bbPlcHdr"/>
        </w:types>
        <w:behaviors>
          <w:behavior w:val="content"/>
        </w:behaviors>
        <w:guid w:val="{51D8C37F-FC16-47BF-9FCF-E49D63FAC5C6}"/>
      </w:docPartPr>
      <w:docPartBody>
        <w:p w:rsidR="003515E9" w:rsidRDefault="003515E9">
          <w:pPr>
            <w:pStyle w:val="4B00295CD8494BAF923C122CC2FA582D"/>
          </w:pPr>
          <w:r>
            <w:rPr>
              <w:rStyle w:val="PlaceholderText"/>
            </w:rPr>
            <w:t>MNC Text</w:t>
          </w:r>
        </w:p>
      </w:docPartBody>
    </w:docPart>
    <w:docPart>
      <w:docPartPr>
        <w:name w:val="4B3A118A980D4DDD81E6D1752F9665B0"/>
        <w:category>
          <w:name w:val="General"/>
          <w:gallery w:val="placeholder"/>
        </w:category>
        <w:types>
          <w:type w:val="bbPlcHdr"/>
        </w:types>
        <w:behaviors>
          <w:behavior w:val="content"/>
        </w:behaviors>
        <w:guid w:val="{3DB4AA0A-4A3A-47E7-9C65-003191F5646C}"/>
      </w:docPartPr>
      <w:docPartBody>
        <w:p w:rsidR="003515E9" w:rsidRDefault="003515E9">
          <w:pPr>
            <w:pStyle w:val="4B3A118A980D4DDD81E6D1752F9665B0"/>
          </w:pPr>
          <w:r w:rsidRPr="005C44BE">
            <w:rPr>
              <w:rStyle w:val="PlaceholderText"/>
            </w:rPr>
            <w:t>Click or tap here to enter text.</w:t>
          </w:r>
        </w:p>
      </w:docPartBody>
    </w:docPart>
    <w:docPart>
      <w:docPartPr>
        <w:name w:val="9A3939DE9BD146889154EC5F4B1BB5B5"/>
        <w:category>
          <w:name w:val="General"/>
          <w:gallery w:val="placeholder"/>
        </w:category>
        <w:types>
          <w:type w:val="bbPlcHdr"/>
        </w:types>
        <w:behaviors>
          <w:behavior w:val="content"/>
        </w:behaviors>
        <w:guid w:val="{7E93A5B0-CDD9-4D36-9847-C7435D10DB85}"/>
      </w:docPartPr>
      <w:docPartBody>
        <w:p w:rsidR="003515E9" w:rsidRDefault="003515E9">
          <w:pPr>
            <w:pStyle w:val="9A3939DE9BD146889154EC5F4B1BB5B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E9"/>
    <w:rsid w:val="00047446"/>
    <w:rsid w:val="000666DD"/>
    <w:rsid w:val="00082630"/>
    <w:rsid w:val="000A39F9"/>
    <w:rsid w:val="000A4A41"/>
    <w:rsid w:val="000B6D33"/>
    <w:rsid w:val="000D33DA"/>
    <w:rsid w:val="001171B6"/>
    <w:rsid w:val="00123068"/>
    <w:rsid w:val="00164FAA"/>
    <w:rsid w:val="001E2585"/>
    <w:rsid w:val="00244DAB"/>
    <w:rsid w:val="00293859"/>
    <w:rsid w:val="002C5967"/>
    <w:rsid w:val="002F7FCD"/>
    <w:rsid w:val="00302449"/>
    <w:rsid w:val="003515E9"/>
    <w:rsid w:val="00395944"/>
    <w:rsid w:val="003C5D9D"/>
    <w:rsid w:val="00414037"/>
    <w:rsid w:val="00444388"/>
    <w:rsid w:val="00477F43"/>
    <w:rsid w:val="004B68C6"/>
    <w:rsid w:val="004C3652"/>
    <w:rsid w:val="00547C62"/>
    <w:rsid w:val="005D39DB"/>
    <w:rsid w:val="0066461F"/>
    <w:rsid w:val="00691654"/>
    <w:rsid w:val="00741753"/>
    <w:rsid w:val="007B30C2"/>
    <w:rsid w:val="007C6D4A"/>
    <w:rsid w:val="007F150D"/>
    <w:rsid w:val="00832C60"/>
    <w:rsid w:val="0087671B"/>
    <w:rsid w:val="008D1F8A"/>
    <w:rsid w:val="009013AD"/>
    <w:rsid w:val="00950E28"/>
    <w:rsid w:val="00964AD8"/>
    <w:rsid w:val="00A0294A"/>
    <w:rsid w:val="00B710B1"/>
    <w:rsid w:val="00B768AF"/>
    <w:rsid w:val="00BB3002"/>
    <w:rsid w:val="00C10E54"/>
    <w:rsid w:val="00C30F38"/>
    <w:rsid w:val="00C57AB2"/>
    <w:rsid w:val="00C82F0D"/>
    <w:rsid w:val="00C85EF1"/>
    <w:rsid w:val="00DE6A2A"/>
    <w:rsid w:val="00DF0605"/>
    <w:rsid w:val="00E8227A"/>
    <w:rsid w:val="00EA6E3C"/>
    <w:rsid w:val="00F02A62"/>
    <w:rsid w:val="00F5602F"/>
    <w:rsid w:val="00F66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00295CD8494BAF923C122CC2FA582D">
    <w:name w:val="4B00295CD8494BAF923C122CC2FA582D"/>
  </w:style>
  <w:style w:type="paragraph" w:customStyle="1" w:styleId="4B3A118A980D4DDD81E6D1752F9665B0">
    <w:name w:val="4B3A118A980D4DDD81E6D1752F9665B0"/>
  </w:style>
  <w:style w:type="paragraph" w:customStyle="1" w:styleId="9A3939DE9BD146889154EC5F4B1BB5B5">
    <w:name w:val="9A3939DE9BD146889154EC5F4B1BB5B5"/>
  </w:style>
  <w:style w:type="paragraph" w:customStyle="1" w:styleId="62041A2D202846F181DFF1B4B404A247">
    <w:name w:val="62041A2D202846F181DFF1B4B404A247"/>
  </w:style>
  <w:style w:type="paragraph" w:customStyle="1" w:styleId="416AEC6330044EB2A082A6FDD8CD1AAA">
    <w:name w:val="416AEC6330044EB2A082A6FDD8CD1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Henley Constructions Pty Ltd v Henley Arch Pty Ltd [2023] FCAFC 62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7CD36785-432C-44F9-94C7-2DCFCE1B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85</Pages>
  <Words>29803</Words>
  <Characters>154907</Characters>
  <Application>Microsoft Office Word</Application>
  <DocSecurity>0</DocSecurity>
  <PresentationFormat/>
  <Lines>1290</Lines>
  <Paragraphs>368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2023-04-26T06:05:00Z</cp:lastPrinted>
  <dcterms:created xsi:type="dcterms:W3CDTF">2023-04-30T23:11:00Z</dcterms:created>
  <dcterms:modified xsi:type="dcterms:W3CDTF">2023-05-01T07:25:00Z</dcterms:modified>
  <cp:category/>
  <cp:contentStatus/>
  <dc:language/>
  <cp:version/>
</cp:coreProperties>
</file>