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FFDD" w14:textId="1AB9EBE7" w:rsidR="00395B24" w:rsidRDefault="0026564F" w:rsidP="00A22932">
      <w:pPr>
        <w:pStyle w:val="CourtTitle"/>
      </w:pPr>
      <w:r>
        <w:rPr>
          <w:caps w:val="0"/>
        </w:rPr>
        <w:t>FEDERAL COURT OF AUSTRALIA</w:t>
      </w:r>
    </w:p>
    <w:p w14:paraId="18142D89" w14:textId="77777777" w:rsidR="004D7950" w:rsidRDefault="004D7950">
      <w:pPr>
        <w:pStyle w:val="NormalHeadings"/>
        <w:jc w:val="center"/>
        <w:rPr>
          <w:sz w:val="32"/>
        </w:rPr>
      </w:pPr>
    </w:p>
    <w:bookmarkStart w:id="0" w:name="MNC"/>
    <w:p w14:paraId="5923AB19" w14:textId="723FE313" w:rsidR="00374CC4" w:rsidRDefault="007E4976" w:rsidP="001A2B40">
      <w:pPr>
        <w:pStyle w:val="MNC"/>
      </w:pPr>
      <w:sdt>
        <w:sdtPr>
          <w:alias w:val="MNC"/>
          <w:tag w:val="MNC"/>
          <w:id w:val="343289786"/>
          <w:lock w:val="sdtLocked"/>
          <w:placeholder>
            <w:docPart w:val="B7CAE7EB95DA4FCA9726A12E742C90EA"/>
          </w:placeholder>
          <w:dataBinding w:prefixMappings="xmlns:ns0='http://schemas.globalmacros.com/FCA'" w:xpath="/ns0:root[1]/ns0:Name[1]" w:storeItemID="{687E7CCB-4AA5-44E7-B148-17BA2B6F57C0}"/>
          <w:text w:multiLine="1"/>
        </w:sdtPr>
        <w:sdtEndPr/>
        <w:sdtContent>
          <w:r w:rsidR="001352EF" w:rsidRPr="00CE2A8F">
            <w:t xml:space="preserve">Fidge </w:t>
          </w:r>
          <w:r w:rsidR="001352EF">
            <w:t>v</w:t>
          </w:r>
          <w:r w:rsidR="001352EF" w:rsidRPr="00CE2A8F">
            <w:t xml:space="preserve"> Pfizer Australia Pty Ltd</w:t>
          </w:r>
          <w:r w:rsidR="002D084C">
            <w:t xml:space="preserve"> [2024] FCA</w:t>
          </w:r>
          <w:r w:rsidR="00943F51">
            <w:t xml:space="preserve"> 161</w:t>
          </w:r>
          <w:r w:rsidR="008B058F">
            <w:t xml:space="preserve"> </w:t>
          </w:r>
        </w:sdtContent>
      </w:sdt>
      <w:bookmarkEnd w:id="0"/>
      <w:r w:rsidR="001352EF">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1F364AAA" w14:textId="77777777" w:rsidTr="00EC1B6B">
        <w:tc>
          <w:tcPr>
            <w:tcW w:w="3083" w:type="dxa"/>
            <w:shd w:val="clear" w:color="auto" w:fill="auto"/>
          </w:tcPr>
          <w:p w14:paraId="1582B196" w14:textId="0248DEC7" w:rsidR="00395B24" w:rsidRDefault="002C7385" w:rsidP="00663878">
            <w:pPr>
              <w:pStyle w:val="Normal1linespace"/>
              <w:widowControl w:val="0"/>
              <w:jc w:val="left"/>
            </w:pPr>
            <w:r>
              <w:t>File number:</w:t>
            </w:r>
          </w:p>
        </w:tc>
        <w:tc>
          <w:tcPr>
            <w:tcW w:w="5989" w:type="dxa"/>
            <w:shd w:val="clear" w:color="auto" w:fill="auto"/>
          </w:tcPr>
          <w:p w14:paraId="51E37CC4" w14:textId="726466D7" w:rsidR="00395B24" w:rsidRPr="006309CE" w:rsidRDefault="00CE2A8F" w:rsidP="006309CE">
            <w:pPr>
              <w:pStyle w:val="Normal1linespace"/>
              <w:jc w:val="left"/>
            </w:pPr>
            <w:r>
              <w:t>VID 510 of 2023</w:t>
            </w:r>
          </w:p>
        </w:tc>
      </w:tr>
      <w:tr w:rsidR="00395B24" w14:paraId="3B99AC06" w14:textId="77777777" w:rsidTr="00EC1B6B">
        <w:tc>
          <w:tcPr>
            <w:tcW w:w="3083" w:type="dxa"/>
            <w:shd w:val="clear" w:color="auto" w:fill="auto"/>
          </w:tcPr>
          <w:p w14:paraId="00DB1EF9" w14:textId="77777777" w:rsidR="00395B24" w:rsidRDefault="00395B24" w:rsidP="00663878">
            <w:pPr>
              <w:pStyle w:val="Normal1linespace"/>
              <w:widowControl w:val="0"/>
              <w:jc w:val="left"/>
            </w:pPr>
          </w:p>
        </w:tc>
        <w:tc>
          <w:tcPr>
            <w:tcW w:w="5989" w:type="dxa"/>
            <w:shd w:val="clear" w:color="auto" w:fill="auto"/>
          </w:tcPr>
          <w:p w14:paraId="713FE74F" w14:textId="77777777" w:rsidR="00395B24" w:rsidRDefault="00395B24" w:rsidP="00663878">
            <w:pPr>
              <w:pStyle w:val="Normal1linespace"/>
              <w:widowControl w:val="0"/>
              <w:jc w:val="left"/>
            </w:pPr>
          </w:p>
        </w:tc>
      </w:tr>
      <w:tr w:rsidR="00395B24" w14:paraId="46A61EF5" w14:textId="77777777" w:rsidTr="00EC1B6B">
        <w:tc>
          <w:tcPr>
            <w:tcW w:w="3083" w:type="dxa"/>
            <w:shd w:val="clear" w:color="auto" w:fill="auto"/>
          </w:tcPr>
          <w:p w14:paraId="11693DF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D7B1A21" w14:textId="0B8F3C93" w:rsidR="00395B24" w:rsidRDefault="006309CE" w:rsidP="00663878">
            <w:pPr>
              <w:pStyle w:val="Normal1linespace"/>
              <w:widowControl w:val="0"/>
              <w:jc w:val="left"/>
              <w:rPr>
                <w:b/>
              </w:rPr>
            </w:pPr>
            <w:r w:rsidRPr="006309CE">
              <w:rPr>
                <w:b/>
                <w:caps/>
                <w:szCs w:val="24"/>
              </w:rPr>
              <w:t>ROFE J</w:t>
            </w:r>
          </w:p>
        </w:tc>
      </w:tr>
      <w:tr w:rsidR="00395B24" w14:paraId="2EA4FD47" w14:textId="77777777" w:rsidTr="00EC1B6B">
        <w:tc>
          <w:tcPr>
            <w:tcW w:w="3083" w:type="dxa"/>
            <w:shd w:val="clear" w:color="auto" w:fill="auto"/>
          </w:tcPr>
          <w:p w14:paraId="6DFE74F8" w14:textId="77777777" w:rsidR="00395B24" w:rsidRDefault="00395B24" w:rsidP="00663878">
            <w:pPr>
              <w:pStyle w:val="Normal1linespace"/>
              <w:widowControl w:val="0"/>
              <w:jc w:val="left"/>
            </w:pPr>
          </w:p>
        </w:tc>
        <w:tc>
          <w:tcPr>
            <w:tcW w:w="5989" w:type="dxa"/>
            <w:shd w:val="clear" w:color="auto" w:fill="auto"/>
          </w:tcPr>
          <w:p w14:paraId="55DA315F" w14:textId="77777777" w:rsidR="00395B24" w:rsidRDefault="00395B24" w:rsidP="00663878">
            <w:pPr>
              <w:pStyle w:val="Normal1linespace"/>
              <w:widowControl w:val="0"/>
              <w:jc w:val="left"/>
            </w:pPr>
          </w:p>
        </w:tc>
      </w:tr>
      <w:tr w:rsidR="00395B24" w14:paraId="21566284" w14:textId="77777777" w:rsidTr="00EC1B6B">
        <w:tc>
          <w:tcPr>
            <w:tcW w:w="3083" w:type="dxa"/>
            <w:shd w:val="clear" w:color="auto" w:fill="auto"/>
          </w:tcPr>
          <w:p w14:paraId="0A9558A0" w14:textId="77777777" w:rsidR="00395B24" w:rsidRDefault="002C7385" w:rsidP="00663878">
            <w:pPr>
              <w:pStyle w:val="Normal1linespace"/>
              <w:widowControl w:val="0"/>
              <w:jc w:val="left"/>
            </w:pPr>
            <w:r>
              <w:t>Date of judgment:</w:t>
            </w:r>
          </w:p>
        </w:tc>
        <w:tc>
          <w:tcPr>
            <w:tcW w:w="5989" w:type="dxa"/>
            <w:shd w:val="clear" w:color="auto" w:fill="auto"/>
          </w:tcPr>
          <w:p w14:paraId="1E759EB6" w14:textId="45EA6818" w:rsidR="00395B24" w:rsidRPr="00286914" w:rsidRDefault="00286914" w:rsidP="00663878">
            <w:pPr>
              <w:pStyle w:val="Normal1linespace"/>
              <w:widowControl w:val="0"/>
              <w:jc w:val="left"/>
            </w:pPr>
            <w:bookmarkStart w:id="1" w:name="JudgmentDate"/>
            <w:bookmarkEnd w:id="1"/>
            <w:r w:rsidRPr="00286914">
              <w:t>1 March</w:t>
            </w:r>
            <w:r w:rsidR="00782257" w:rsidRPr="00286914">
              <w:t xml:space="preserve"> 2024</w:t>
            </w:r>
          </w:p>
        </w:tc>
      </w:tr>
      <w:tr w:rsidR="00395B24" w14:paraId="6274117A" w14:textId="77777777" w:rsidTr="00EC1B6B">
        <w:tc>
          <w:tcPr>
            <w:tcW w:w="3083" w:type="dxa"/>
            <w:shd w:val="clear" w:color="auto" w:fill="auto"/>
          </w:tcPr>
          <w:p w14:paraId="0A0E36DA" w14:textId="77777777" w:rsidR="00395B24" w:rsidRDefault="00395B24" w:rsidP="00663878">
            <w:pPr>
              <w:pStyle w:val="Normal1linespace"/>
              <w:widowControl w:val="0"/>
              <w:jc w:val="left"/>
            </w:pPr>
          </w:p>
        </w:tc>
        <w:tc>
          <w:tcPr>
            <w:tcW w:w="5989" w:type="dxa"/>
            <w:shd w:val="clear" w:color="auto" w:fill="auto"/>
          </w:tcPr>
          <w:p w14:paraId="5E5AF4F4" w14:textId="77777777" w:rsidR="00395B24" w:rsidRDefault="00395B24" w:rsidP="00663878">
            <w:pPr>
              <w:pStyle w:val="Normal1linespace"/>
              <w:widowControl w:val="0"/>
              <w:jc w:val="left"/>
            </w:pPr>
          </w:p>
        </w:tc>
      </w:tr>
      <w:tr w:rsidR="00395B24" w14:paraId="250F241D" w14:textId="77777777" w:rsidTr="00EC1B6B">
        <w:tc>
          <w:tcPr>
            <w:tcW w:w="3083" w:type="dxa"/>
            <w:shd w:val="clear" w:color="auto" w:fill="auto"/>
          </w:tcPr>
          <w:p w14:paraId="19CF512F" w14:textId="77777777" w:rsidR="00395B24" w:rsidRDefault="002C7385" w:rsidP="00663878">
            <w:pPr>
              <w:pStyle w:val="Normal1linespace"/>
              <w:widowControl w:val="0"/>
              <w:jc w:val="left"/>
            </w:pPr>
            <w:r>
              <w:t>Catchwords:</w:t>
            </w:r>
          </w:p>
        </w:tc>
        <w:tc>
          <w:tcPr>
            <w:tcW w:w="5989" w:type="dxa"/>
            <w:shd w:val="clear" w:color="auto" w:fill="auto"/>
          </w:tcPr>
          <w:p w14:paraId="416A4613" w14:textId="0A60A568" w:rsidR="00395B24" w:rsidRPr="009B64C6" w:rsidRDefault="00C77296" w:rsidP="00663878">
            <w:pPr>
              <w:pStyle w:val="Normal1linespace"/>
              <w:widowControl w:val="0"/>
              <w:jc w:val="left"/>
            </w:pPr>
            <w:r>
              <w:rPr>
                <w:b/>
                <w:bCs/>
              </w:rPr>
              <w:t xml:space="preserve">PRACTICE AND PROCEDURE </w:t>
            </w:r>
            <w:r>
              <w:t xml:space="preserve">– </w:t>
            </w:r>
            <w:r w:rsidR="00782257">
              <w:t xml:space="preserve">interlocutory </w:t>
            </w:r>
            <w:r>
              <w:t xml:space="preserve">applications for summary dismissal under s 31A(2) of the </w:t>
            </w:r>
            <w:r w:rsidRPr="00E83FAC">
              <w:rPr>
                <w:i/>
                <w:iCs/>
              </w:rPr>
              <w:t xml:space="preserve">Federal Court of Australia </w:t>
            </w:r>
            <w:r w:rsidRPr="009B64C6">
              <w:rPr>
                <w:i/>
                <w:iCs/>
              </w:rPr>
              <w:t>Act</w:t>
            </w:r>
            <w:r w:rsidRPr="00E83FAC">
              <w:rPr>
                <w:i/>
                <w:iCs/>
              </w:rPr>
              <w:t xml:space="preserve"> 1976 </w:t>
            </w:r>
            <w:r>
              <w:t>(</w:t>
            </w:r>
            <w:proofErr w:type="spellStart"/>
            <w:r>
              <w:t>Cth</w:t>
            </w:r>
            <w:proofErr w:type="spellEnd"/>
            <w:r>
              <w:t xml:space="preserve">) and r 26.01(1)(a), (c) and (d) of the </w:t>
            </w:r>
            <w:r>
              <w:rPr>
                <w:i/>
                <w:iCs/>
              </w:rPr>
              <w:t xml:space="preserve">Federal Court </w:t>
            </w:r>
            <w:r w:rsidRPr="009B64C6">
              <w:rPr>
                <w:i/>
                <w:iCs/>
              </w:rPr>
              <w:t>Rules</w:t>
            </w:r>
            <w:r>
              <w:rPr>
                <w:i/>
                <w:iCs/>
              </w:rPr>
              <w:t xml:space="preserve"> 2011 </w:t>
            </w:r>
            <w:r>
              <w:t>(</w:t>
            </w:r>
            <w:proofErr w:type="spellStart"/>
            <w:r>
              <w:t>Cth</w:t>
            </w:r>
            <w:proofErr w:type="spellEnd"/>
            <w:r>
              <w:t>)</w:t>
            </w:r>
            <w:r w:rsidR="009B64C6">
              <w:t xml:space="preserve"> –</w:t>
            </w:r>
            <w:r w:rsidR="00782257">
              <w:t xml:space="preserve"> applicant alleges that the respondents’ Covid-19 vaccines are, or contain, genetically modified organisms (</w:t>
            </w:r>
            <w:r w:rsidR="00782257">
              <w:rPr>
                <w:b/>
                <w:bCs/>
              </w:rPr>
              <w:t>GMOs</w:t>
            </w:r>
            <w:r w:rsidR="00782257">
              <w:t xml:space="preserve">) and should have been licenced under the </w:t>
            </w:r>
            <w:r w:rsidR="00782257">
              <w:rPr>
                <w:i/>
                <w:iCs/>
              </w:rPr>
              <w:t xml:space="preserve">Gene Technology </w:t>
            </w:r>
            <w:r w:rsidR="00782257" w:rsidRPr="009B64C6">
              <w:rPr>
                <w:b/>
                <w:bCs/>
                <w:i/>
                <w:iCs/>
              </w:rPr>
              <w:t>Act</w:t>
            </w:r>
            <w:r w:rsidR="00782257">
              <w:rPr>
                <w:i/>
                <w:iCs/>
              </w:rPr>
              <w:t xml:space="preserve"> 2000 </w:t>
            </w:r>
            <w:r w:rsidR="00782257">
              <w:t>(</w:t>
            </w:r>
            <w:proofErr w:type="spellStart"/>
            <w:r w:rsidR="00782257">
              <w:t>Cth</w:t>
            </w:r>
            <w:proofErr w:type="spellEnd"/>
            <w:r w:rsidR="00782257">
              <w:t xml:space="preserve">) – </w:t>
            </w:r>
            <w:r w:rsidR="009B64C6">
              <w:t xml:space="preserve">whether </w:t>
            </w:r>
            <w:r w:rsidR="00782257">
              <w:t xml:space="preserve">the </w:t>
            </w:r>
            <w:r w:rsidR="009B64C6">
              <w:t xml:space="preserve">applicant has standing </w:t>
            </w:r>
            <w:r w:rsidR="00782257">
              <w:t xml:space="preserve">to seek an injunction pursuant to s 147(1) of the Act </w:t>
            </w:r>
            <w:r w:rsidR="009B64C6">
              <w:t xml:space="preserve">as “any other aggrieved person” – </w:t>
            </w:r>
            <w:r w:rsidR="00782257">
              <w:t xml:space="preserve">whether the intended scope and purpose of the Act is to regulate risks to the end </w:t>
            </w:r>
            <w:r w:rsidR="00782257" w:rsidRPr="005C3266">
              <w:t>user or recipient of a GMO product, in particular the safety and efficacy of a therapeutic GMO product</w:t>
            </w:r>
            <w:r w:rsidR="00782257">
              <w:t xml:space="preserve"> — held:</w:t>
            </w:r>
            <w:r w:rsidR="00782257" w:rsidRPr="00782257">
              <w:tab/>
              <w:t xml:space="preserve">scope of </w:t>
            </w:r>
            <w:r w:rsidR="00782257">
              <w:t>the Act</w:t>
            </w:r>
            <w:r w:rsidR="00782257" w:rsidRPr="00782257">
              <w:t xml:space="preserve"> is confined </w:t>
            </w:r>
            <w:r w:rsidR="005C3266">
              <w:t xml:space="preserve">to </w:t>
            </w:r>
            <w:r w:rsidR="005C3266" w:rsidRPr="00782257">
              <w:t>regulat</w:t>
            </w:r>
            <w:r w:rsidR="005C3266">
              <w:t>ing</w:t>
            </w:r>
            <w:r w:rsidR="005C3266" w:rsidRPr="00782257">
              <w:t xml:space="preserve"> specific </w:t>
            </w:r>
            <w:r w:rsidR="005C3266">
              <w:t>“</w:t>
            </w:r>
            <w:r w:rsidR="005C3266" w:rsidRPr="00782257">
              <w:t>dealings</w:t>
            </w:r>
            <w:r w:rsidR="005C3266">
              <w:t>”</w:t>
            </w:r>
            <w:r w:rsidR="006975B8">
              <w:t xml:space="preserve"> </w:t>
            </w:r>
            <w:r w:rsidR="00E943E6">
              <w:t xml:space="preserve">(as defined in the Act) </w:t>
            </w:r>
            <w:r w:rsidR="006975B8">
              <w:t>with GMOs</w:t>
            </w:r>
            <w:r w:rsidR="005C3266">
              <w:t xml:space="preserve"> </w:t>
            </w:r>
            <w:r w:rsidR="005C3266" w:rsidRPr="00782257">
              <w:t>that pose a biosafety risk to people or the environment</w:t>
            </w:r>
            <w:r w:rsidR="005C3266">
              <w:t>, and that the Act is</w:t>
            </w:r>
            <w:r w:rsidR="00782257" w:rsidRPr="00782257">
              <w:t xml:space="preserve"> intended to operate in a broader regulatory landscape with other statutes</w:t>
            </w:r>
            <w:r w:rsidR="005C3266">
              <w:t xml:space="preserve"> – held: standing under s 147(1) confined to </w:t>
            </w:r>
            <w:r w:rsidR="005C3266" w:rsidRPr="006E1F5A">
              <w:t xml:space="preserve">persons aggrieved by the specific conduct regulated by the </w:t>
            </w:r>
            <w:r w:rsidR="005C3266">
              <w:t>Act</w:t>
            </w:r>
            <w:r w:rsidR="005C3266" w:rsidRPr="006E1F5A">
              <w:t xml:space="preserve"> which could constitute an offence under that legislation</w:t>
            </w:r>
            <w:r w:rsidR="005C3266">
              <w:t xml:space="preserve"> – </w:t>
            </w:r>
            <w:r w:rsidR="00782257">
              <w:t>authorities on standing considered –</w:t>
            </w:r>
            <w:r w:rsidR="008B058F">
              <w:t xml:space="preserve"> </w:t>
            </w:r>
            <w:r w:rsidR="00782257">
              <w:t xml:space="preserve">whether standing can be established as a “necessary incident” of the applicant’s vocation as a medical practitioner, pursuant to </w:t>
            </w:r>
            <w:r w:rsidR="00782257" w:rsidRPr="00C77296">
              <w:rPr>
                <w:i/>
                <w:iCs/>
              </w:rPr>
              <w:t xml:space="preserve">Ogle v Strickland </w:t>
            </w:r>
            <w:r w:rsidR="00782257" w:rsidRPr="00C77296">
              <w:rPr>
                <w:lang w:eastAsia="en-AU"/>
              </w:rPr>
              <w:t>(1987) 13 FCR 306</w:t>
            </w:r>
            <w:r w:rsidR="00782257">
              <w:rPr>
                <w:lang w:eastAsia="en-AU"/>
              </w:rPr>
              <w:t xml:space="preserve"> – standing not established – applications for summary dismissal </w:t>
            </w:r>
            <w:r w:rsidR="00A520D5">
              <w:rPr>
                <w:lang w:eastAsia="en-AU"/>
              </w:rPr>
              <w:t>allowed</w:t>
            </w:r>
            <w:r w:rsidR="00782257">
              <w:rPr>
                <w:lang w:eastAsia="en-AU"/>
              </w:rPr>
              <w:t xml:space="preserve">. </w:t>
            </w:r>
          </w:p>
        </w:tc>
      </w:tr>
      <w:tr w:rsidR="00395B24" w14:paraId="5A11686F" w14:textId="77777777" w:rsidTr="00EC1B6B">
        <w:tc>
          <w:tcPr>
            <w:tcW w:w="3083" w:type="dxa"/>
            <w:shd w:val="clear" w:color="auto" w:fill="auto"/>
          </w:tcPr>
          <w:p w14:paraId="50E944E0" w14:textId="77777777" w:rsidR="00395B24" w:rsidRDefault="00395B24" w:rsidP="00663878">
            <w:pPr>
              <w:pStyle w:val="Normal1linespace"/>
              <w:widowControl w:val="0"/>
              <w:jc w:val="left"/>
            </w:pPr>
          </w:p>
        </w:tc>
        <w:tc>
          <w:tcPr>
            <w:tcW w:w="5989" w:type="dxa"/>
            <w:shd w:val="clear" w:color="auto" w:fill="auto"/>
          </w:tcPr>
          <w:p w14:paraId="20042523" w14:textId="77777777" w:rsidR="00395B24" w:rsidRDefault="00395B24" w:rsidP="00663878">
            <w:pPr>
              <w:pStyle w:val="Normal1linespace"/>
              <w:widowControl w:val="0"/>
              <w:jc w:val="left"/>
            </w:pPr>
          </w:p>
        </w:tc>
      </w:tr>
      <w:tr w:rsidR="00395B24" w14:paraId="224361C1" w14:textId="77777777" w:rsidTr="00EC1B6B">
        <w:tc>
          <w:tcPr>
            <w:tcW w:w="3083" w:type="dxa"/>
            <w:shd w:val="clear" w:color="auto" w:fill="auto"/>
          </w:tcPr>
          <w:p w14:paraId="68E0576B" w14:textId="77777777" w:rsidR="00395B24" w:rsidRDefault="002C7385" w:rsidP="00663878">
            <w:pPr>
              <w:pStyle w:val="Normal1linespace"/>
              <w:widowControl w:val="0"/>
              <w:jc w:val="left"/>
            </w:pPr>
            <w:r>
              <w:t>Legislation:</w:t>
            </w:r>
          </w:p>
        </w:tc>
        <w:tc>
          <w:tcPr>
            <w:tcW w:w="5989" w:type="dxa"/>
            <w:shd w:val="clear" w:color="auto" w:fill="auto"/>
          </w:tcPr>
          <w:p w14:paraId="04AB9E24" w14:textId="38A81B62" w:rsidR="00C77296" w:rsidRPr="00C77296" w:rsidRDefault="00C77296" w:rsidP="00C77296">
            <w:pPr>
              <w:pStyle w:val="CasesLegislationAppealFrom"/>
              <w:spacing w:after="60"/>
            </w:pPr>
            <w:bookmarkStart w:id="2" w:name="Legislation"/>
            <w:r w:rsidRPr="00C77296">
              <w:rPr>
                <w:i/>
                <w:iCs/>
              </w:rPr>
              <w:t>Administrative Appeal Tribunal Act 1975</w:t>
            </w:r>
            <w:r w:rsidRPr="00C77296">
              <w:t xml:space="preserve"> (</w:t>
            </w:r>
            <w:proofErr w:type="spellStart"/>
            <w:r w:rsidRPr="00C77296">
              <w:t>Cth</w:t>
            </w:r>
            <w:proofErr w:type="spellEnd"/>
            <w:r w:rsidRPr="00C77296">
              <w:t>)</w:t>
            </w:r>
          </w:p>
          <w:p w14:paraId="404C3479" w14:textId="77777777" w:rsidR="00C77296" w:rsidRPr="00C77296" w:rsidRDefault="00C77296" w:rsidP="00C77296">
            <w:pPr>
              <w:pStyle w:val="CasesLegislationAppealFrom"/>
              <w:spacing w:after="60"/>
            </w:pPr>
            <w:r w:rsidRPr="00C77296">
              <w:rPr>
                <w:i/>
                <w:iCs/>
              </w:rPr>
              <w:t xml:space="preserve">Administrative Decisions (Judicial Review) Act 1977 </w:t>
            </w:r>
            <w:r w:rsidRPr="00C77296">
              <w:t>(</w:t>
            </w:r>
            <w:proofErr w:type="spellStart"/>
            <w:r w:rsidRPr="00C77296">
              <w:t>Cth</w:t>
            </w:r>
            <w:proofErr w:type="spellEnd"/>
            <w:r w:rsidRPr="00C77296">
              <w:t>)</w:t>
            </w:r>
          </w:p>
          <w:p w14:paraId="46DE74E3" w14:textId="77777777" w:rsidR="00C77296" w:rsidRPr="00C77296" w:rsidRDefault="00C77296" w:rsidP="00C77296">
            <w:pPr>
              <w:pStyle w:val="CasesLegislationAppealFrom"/>
              <w:spacing w:after="60"/>
            </w:pPr>
            <w:r w:rsidRPr="00C77296">
              <w:rPr>
                <w:i/>
                <w:iCs/>
              </w:rPr>
              <w:t xml:space="preserve">Customs Act 1901 </w:t>
            </w:r>
            <w:r w:rsidRPr="00C77296">
              <w:t>(</w:t>
            </w:r>
            <w:proofErr w:type="spellStart"/>
            <w:r w:rsidRPr="00C77296">
              <w:t>Cth</w:t>
            </w:r>
            <w:proofErr w:type="spellEnd"/>
            <w:r w:rsidRPr="00C77296">
              <w:t>)</w:t>
            </w:r>
          </w:p>
          <w:p w14:paraId="5F370FF0" w14:textId="77777777" w:rsidR="00C77296" w:rsidRPr="00C77296" w:rsidRDefault="00C77296" w:rsidP="00C77296">
            <w:pPr>
              <w:pStyle w:val="CasesLegislationAppealFrom"/>
              <w:spacing w:after="60"/>
            </w:pPr>
            <w:r w:rsidRPr="00C77296">
              <w:rPr>
                <w:i/>
                <w:iCs/>
              </w:rPr>
              <w:t xml:space="preserve">Federal Court of Australia Act 1976 </w:t>
            </w:r>
            <w:r w:rsidRPr="00C77296">
              <w:t>(</w:t>
            </w:r>
            <w:proofErr w:type="spellStart"/>
            <w:r w:rsidRPr="00C77296">
              <w:t>Cth</w:t>
            </w:r>
            <w:proofErr w:type="spellEnd"/>
            <w:r w:rsidRPr="00C77296">
              <w:t>)</w:t>
            </w:r>
          </w:p>
          <w:p w14:paraId="58FA3A37" w14:textId="77777777" w:rsidR="00C77296" w:rsidRPr="00C77296" w:rsidRDefault="00C77296" w:rsidP="00C77296">
            <w:pPr>
              <w:pStyle w:val="CasesLegislationAppealFrom"/>
              <w:spacing w:after="60"/>
            </w:pPr>
            <w:r w:rsidRPr="00C77296">
              <w:rPr>
                <w:i/>
                <w:iCs/>
              </w:rPr>
              <w:t>Gene Technology (Consequential Amendments) Act 2000</w:t>
            </w:r>
            <w:r w:rsidRPr="00C77296">
              <w:t xml:space="preserve"> (</w:t>
            </w:r>
            <w:proofErr w:type="spellStart"/>
            <w:r w:rsidRPr="00C77296">
              <w:t>Cth</w:t>
            </w:r>
            <w:proofErr w:type="spellEnd"/>
            <w:r w:rsidRPr="00C77296">
              <w:t>)</w:t>
            </w:r>
          </w:p>
          <w:p w14:paraId="12983C08" w14:textId="77777777" w:rsidR="00C77296" w:rsidRDefault="00C77296" w:rsidP="00C77296">
            <w:pPr>
              <w:pStyle w:val="CasesLegislationAppealFrom"/>
              <w:spacing w:after="60"/>
            </w:pPr>
            <w:r w:rsidRPr="00C77296">
              <w:rPr>
                <w:i/>
                <w:iCs/>
              </w:rPr>
              <w:t xml:space="preserve">Gene Technology Act 2000 </w:t>
            </w:r>
            <w:r w:rsidRPr="00C77296">
              <w:t>(</w:t>
            </w:r>
            <w:proofErr w:type="spellStart"/>
            <w:r w:rsidRPr="00C77296">
              <w:t>Cth</w:t>
            </w:r>
            <w:proofErr w:type="spellEnd"/>
            <w:r w:rsidRPr="00C77296">
              <w:t>)</w:t>
            </w:r>
          </w:p>
          <w:p w14:paraId="1CDC0F24" w14:textId="4B754C98" w:rsidR="00C77296" w:rsidRPr="00C77296" w:rsidRDefault="00C77296" w:rsidP="00C77296">
            <w:pPr>
              <w:pStyle w:val="CasesLegislationAppealFrom"/>
              <w:spacing w:after="60"/>
            </w:pPr>
            <w:r w:rsidRPr="00C77296">
              <w:rPr>
                <w:i/>
                <w:iCs/>
              </w:rPr>
              <w:t xml:space="preserve">Judiciary Act 1903 </w:t>
            </w:r>
            <w:r w:rsidRPr="00C77296">
              <w:t>(</w:t>
            </w:r>
            <w:proofErr w:type="spellStart"/>
            <w:r w:rsidRPr="00C77296">
              <w:t>Cth</w:t>
            </w:r>
            <w:proofErr w:type="spellEnd"/>
            <w:r w:rsidRPr="00C77296">
              <w:t>)</w:t>
            </w:r>
          </w:p>
          <w:p w14:paraId="7543AF88" w14:textId="77777777" w:rsidR="00C77296" w:rsidRPr="00C77296" w:rsidRDefault="00C77296" w:rsidP="00C77296">
            <w:pPr>
              <w:pStyle w:val="CasesLegislationAppealFrom"/>
              <w:spacing w:after="60"/>
            </w:pPr>
            <w:r w:rsidRPr="00C77296">
              <w:rPr>
                <w:i/>
                <w:iCs/>
              </w:rPr>
              <w:t xml:space="preserve">Therapeutic Goods Act 1989 </w:t>
            </w:r>
            <w:r w:rsidRPr="00C77296">
              <w:t>(</w:t>
            </w:r>
            <w:proofErr w:type="spellStart"/>
            <w:r w:rsidRPr="00C77296">
              <w:t>Cth</w:t>
            </w:r>
            <w:proofErr w:type="spellEnd"/>
            <w:r w:rsidRPr="00C77296">
              <w:t>)</w:t>
            </w:r>
          </w:p>
          <w:p w14:paraId="4FF08860" w14:textId="77777777" w:rsidR="00C77296" w:rsidRDefault="00C77296" w:rsidP="00C77296">
            <w:pPr>
              <w:pStyle w:val="CasesLegislationAppealFrom"/>
              <w:spacing w:after="60"/>
            </w:pPr>
            <w:r w:rsidRPr="00C77296">
              <w:rPr>
                <w:i/>
                <w:iCs/>
              </w:rPr>
              <w:t xml:space="preserve">Trade Marks Act 1995 </w:t>
            </w:r>
            <w:r w:rsidRPr="00C77296">
              <w:t>(</w:t>
            </w:r>
            <w:proofErr w:type="spellStart"/>
            <w:r w:rsidRPr="00C77296">
              <w:t>Cth</w:t>
            </w:r>
            <w:proofErr w:type="spellEnd"/>
            <w:r w:rsidRPr="00C77296">
              <w:t>)</w:t>
            </w:r>
            <w:bookmarkEnd w:id="2"/>
          </w:p>
          <w:p w14:paraId="0E6E66EB" w14:textId="77777777" w:rsidR="007C5A72" w:rsidRDefault="007C5A72" w:rsidP="00C77296">
            <w:pPr>
              <w:pStyle w:val="CasesLegislationAppealFrom"/>
              <w:spacing w:after="60"/>
            </w:pPr>
          </w:p>
          <w:p w14:paraId="09D37B72" w14:textId="1A2A0FF6" w:rsidR="00C77296" w:rsidRDefault="007C5A72" w:rsidP="00C77296">
            <w:pPr>
              <w:pStyle w:val="CasesLegislationAppealFrom"/>
              <w:spacing w:after="60"/>
            </w:pPr>
            <w:r w:rsidRPr="00C77296">
              <w:rPr>
                <w:i/>
                <w:iCs/>
              </w:rPr>
              <w:lastRenderedPageBreak/>
              <w:t xml:space="preserve">Federal Court Rules 2011 </w:t>
            </w:r>
            <w:r w:rsidRPr="00C77296">
              <w:t>(</w:t>
            </w:r>
            <w:proofErr w:type="spellStart"/>
            <w:r w:rsidRPr="00C77296">
              <w:t>Cth</w:t>
            </w:r>
            <w:proofErr w:type="spellEnd"/>
            <w:r w:rsidRPr="00C77296">
              <w:t>)</w:t>
            </w:r>
          </w:p>
          <w:p w14:paraId="01868FB2" w14:textId="75490066" w:rsidR="00C77296" w:rsidRPr="00C77296" w:rsidRDefault="00C77296" w:rsidP="00C77296">
            <w:pPr>
              <w:pStyle w:val="CasesLegislationAppealFrom"/>
              <w:spacing w:after="60"/>
            </w:pPr>
            <w:r w:rsidRPr="00C77296">
              <w:rPr>
                <w:i/>
                <w:iCs/>
                <w:lang w:eastAsia="en-AU"/>
              </w:rPr>
              <w:t>Archaeological and Aboriginal Relics Preservation Act 1972</w:t>
            </w:r>
            <w:r w:rsidRPr="00C77296">
              <w:rPr>
                <w:lang w:eastAsia="en-AU"/>
              </w:rPr>
              <w:t xml:space="preserve"> (Vic)</w:t>
            </w:r>
          </w:p>
        </w:tc>
      </w:tr>
      <w:tr w:rsidR="00395B24" w14:paraId="55F84EFD" w14:textId="77777777" w:rsidTr="00EC1B6B">
        <w:tc>
          <w:tcPr>
            <w:tcW w:w="3083" w:type="dxa"/>
            <w:shd w:val="clear" w:color="auto" w:fill="auto"/>
          </w:tcPr>
          <w:p w14:paraId="0E09E489" w14:textId="77777777" w:rsidR="00395B24" w:rsidRDefault="00395B24" w:rsidP="00663878">
            <w:pPr>
              <w:pStyle w:val="Normal1linespace"/>
              <w:widowControl w:val="0"/>
              <w:jc w:val="left"/>
            </w:pPr>
          </w:p>
        </w:tc>
        <w:tc>
          <w:tcPr>
            <w:tcW w:w="5989" w:type="dxa"/>
            <w:shd w:val="clear" w:color="auto" w:fill="auto"/>
          </w:tcPr>
          <w:p w14:paraId="2C911C52" w14:textId="77777777" w:rsidR="00395B24" w:rsidRPr="00C77296" w:rsidRDefault="00395B24" w:rsidP="00663878">
            <w:pPr>
              <w:pStyle w:val="Normal1linespace"/>
              <w:widowControl w:val="0"/>
              <w:jc w:val="left"/>
            </w:pPr>
          </w:p>
        </w:tc>
      </w:tr>
      <w:tr w:rsidR="00395B24" w14:paraId="53E57816" w14:textId="77777777" w:rsidTr="00EC1B6B">
        <w:tc>
          <w:tcPr>
            <w:tcW w:w="3083" w:type="dxa"/>
            <w:shd w:val="clear" w:color="auto" w:fill="auto"/>
          </w:tcPr>
          <w:p w14:paraId="31FB3643" w14:textId="77777777" w:rsidR="00395B24" w:rsidRDefault="002C7385" w:rsidP="00663878">
            <w:pPr>
              <w:pStyle w:val="Normal1linespace"/>
              <w:widowControl w:val="0"/>
              <w:jc w:val="left"/>
            </w:pPr>
            <w:r>
              <w:t>Cases cited:</w:t>
            </w:r>
          </w:p>
        </w:tc>
        <w:tc>
          <w:tcPr>
            <w:tcW w:w="5989" w:type="dxa"/>
            <w:shd w:val="clear" w:color="auto" w:fill="auto"/>
          </w:tcPr>
          <w:p w14:paraId="22F24629" w14:textId="77777777" w:rsidR="00C77296" w:rsidRPr="00C77296" w:rsidRDefault="00C77296" w:rsidP="00C77296">
            <w:pPr>
              <w:pStyle w:val="CasesLegislationAppealFrom"/>
              <w:spacing w:after="60"/>
            </w:pPr>
            <w:bookmarkStart w:id="3" w:name="Cases_Cited"/>
            <w:r w:rsidRPr="00C77296">
              <w:rPr>
                <w:i/>
                <w:iCs/>
              </w:rPr>
              <w:t>Alcan (NT) Alumina Pty Ltd v Commissioner of Territory Revenue</w:t>
            </w:r>
            <w:r w:rsidRPr="00C77296">
              <w:t> (2009) 239 CLR 27</w:t>
            </w:r>
          </w:p>
          <w:p w14:paraId="437A665D" w14:textId="3F816899" w:rsidR="00C77296" w:rsidRPr="00C77296" w:rsidRDefault="00C77296" w:rsidP="00C77296">
            <w:pPr>
              <w:pStyle w:val="CasesLegislationAppealFrom"/>
              <w:spacing w:after="60"/>
              <w:rPr>
                <w:lang w:eastAsia="en-AU"/>
              </w:rPr>
            </w:pPr>
            <w:proofErr w:type="spellStart"/>
            <w:r w:rsidRPr="00C77296">
              <w:rPr>
                <w:i/>
                <w:iCs/>
                <w:lang w:eastAsia="en-AU"/>
              </w:rPr>
              <w:t>Antsis</w:t>
            </w:r>
            <w:proofErr w:type="spellEnd"/>
            <w:r w:rsidRPr="00C77296">
              <w:rPr>
                <w:i/>
                <w:iCs/>
                <w:lang w:eastAsia="en-AU"/>
              </w:rPr>
              <w:t xml:space="preserve"> v Secretary, Department of Family and Community Services </w:t>
            </w:r>
            <w:r w:rsidRPr="00C77296">
              <w:rPr>
                <w:lang w:eastAsia="en-AU"/>
              </w:rPr>
              <w:t>(2002) 123 FCR 536</w:t>
            </w:r>
          </w:p>
          <w:p w14:paraId="49B5E4F6" w14:textId="62968621" w:rsidR="00C77296" w:rsidRPr="00C77296" w:rsidRDefault="00C77296" w:rsidP="00C77296">
            <w:pPr>
              <w:pStyle w:val="CasesLegislationAppealFrom"/>
              <w:spacing w:after="60"/>
            </w:pPr>
            <w:r w:rsidRPr="00C77296">
              <w:rPr>
                <w:i/>
                <w:iCs/>
              </w:rPr>
              <w:t xml:space="preserve">Argos Pty Ltd v Corbell </w:t>
            </w:r>
            <w:r w:rsidRPr="00C77296">
              <w:t>(2014) 254 CLR 394</w:t>
            </w:r>
          </w:p>
          <w:p w14:paraId="621D8FC6" w14:textId="43A483F1" w:rsidR="00C77296" w:rsidRPr="00C77296" w:rsidRDefault="00C77296" w:rsidP="00C77296">
            <w:pPr>
              <w:pStyle w:val="CasesLegislationAppealFrom"/>
              <w:spacing w:after="60"/>
              <w:rPr>
                <w:lang w:eastAsia="en-AU"/>
              </w:rPr>
            </w:pPr>
            <w:proofErr w:type="spellStart"/>
            <w:r w:rsidRPr="00C77296">
              <w:rPr>
                <w:i/>
                <w:iCs/>
                <w:lang w:eastAsia="en-AU"/>
              </w:rPr>
              <w:t>Assa</w:t>
            </w:r>
            <w:proofErr w:type="spellEnd"/>
            <w:r w:rsidRPr="00C77296">
              <w:rPr>
                <w:i/>
                <w:iCs/>
                <w:lang w:eastAsia="en-AU"/>
              </w:rPr>
              <w:t xml:space="preserve"> Abloy Australia Pty Ltd v Australian Lock Company Pty Ltd </w:t>
            </w:r>
            <w:r w:rsidRPr="00C77296">
              <w:rPr>
                <w:lang w:eastAsia="en-AU"/>
              </w:rPr>
              <w:t>(2005) 147 FCR 126</w:t>
            </w:r>
          </w:p>
          <w:p w14:paraId="23219A0A" w14:textId="77777777" w:rsidR="00C77296" w:rsidRPr="00C77296" w:rsidRDefault="00C77296" w:rsidP="00C77296">
            <w:pPr>
              <w:pStyle w:val="CasesLegislationAppealFrom"/>
              <w:spacing w:after="60"/>
            </w:pPr>
            <w:r w:rsidRPr="00C77296">
              <w:rPr>
                <w:i/>
                <w:iCs/>
              </w:rPr>
              <w:t>Australian Conservation Foundation Inc v Commonwealth </w:t>
            </w:r>
            <w:r w:rsidRPr="00C77296">
              <w:t>(1980) 146 CLR 493</w:t>
            </w:r>
          </w:p>
          <w:p w14:paraId="5B1F35D1" w14:textId="77777777" w:rsidR="00C77296" w:rsidRPr="00C77296" w:rsidRDefault="00C77296" w:rsidP="00C77296">
            <w:pPr>
              <w:pStyle w:val="CasesLegislationAppealFrom"/>
              <w:spacing w:after="60"/>
            </w:pPr>
            <w:r w:rsidRPr="00C77296">
              <w:rPr>
                <w:i/>
                <w:iCs/>
                <w:lang w:eastAsia="en-AU"/>
              </w:rPr>
              <w:t xml:space="preserve">Australian National Imams Council Ltd v Australian Communications and Media Authority </w:t>
            </w:r>
            <w:r w:rsidRPr="00C77296">
              <w:rPr>
                <w:lang w:eastAsia="en-AU"/>
              </w:rPr>
              <w:t>(2022) 404 ALR 323</w:t>
            </w:r>
          </w:p>
          <w:p w14:paraId="57607801" w14:textId="247814FC" w:rsidR="00C77296" w:rsidRPr="00C77296" w:rsidRDefault="00C77296" w:rsidP="00C77296">
            <w:pPr>
              <w:pStyle w:val="CasesLegislationAppealFrom"/>
              <w:spacing w:after="60"/>
            </w:pPr>
            <w:r w:rsidRPr="00C77296">
              <w:rPr>
                <w:i/>
                <w:iCs/>
              </w:rPr>
              <w:t xml:space="preserve">Australian Vaccination-Risks Network Inc v Secretary, Department of Health </w:t>
            </w:r>
            <w:r w:rsidRPr="00C77296">
              <w:t>(2022) 292 FCR 1</w:t>
            </w:r>
          </w:p>
          <w:p w14:paraId="2AE8997A" w14:textId="77777777" w:rsidR="00C77296" w:rsidRPr="00C77296" w:rsidRDefault="00C77296" w:rsidP="00C77296">
            <w:pPr>
              <w:pStyle w:val="CasesLegislationAppealFrom"/>
              <w:spacing w:after="60"/>
            </w:pPr>
            <w:r w:rsidRPr="00C77296">
              <w:rPr>
                <w:i/>
                <w:iCs/>
              </w:rPr>
              <w:t xml:space="preserve">Australian Vaccination-Risks Network Inc v Secretary, Department of Health </w:t>
            </w:r>
            <w:r w:rsidRPr="00C77296">
              <w:t>[2022] FCA 320</w:t>
            </w:r>
          </w:p>
          <w:p w14:paraId="3854B25D" w14:textId="77777777" w:rsidR="00C77296" w:rsidRPr="00C77296" w:rsidRDefault="00C77296" w:rsidP="00C77296">
            <w:pPr>
              <w:pStyle w:val="CasesLegislationAppealFrom"/>
              <w:spacing w:after="60"/>
              <w:rPr>
                <w:lang w:eastAsia="en-AU"/>
              </w:rPr>
            </w:pPr>
            <w:r w:rsidRPr="00C77296">
              <w:rPr>
                <w:i/>
                <w:iCs/>
                <w:lang w:eastAsia="en-AU"/>
              </w:rPr>
              <w:t xml:space="preserve">Bateman’s Bay Local Council Aboriginal Land Council v Aboriginal Community Benefit Fund </w:t>
            </w:r>
            <w:r w:rsidRPr="00C77296">
              <w:rPr>
                <w:lang w:eastAsia="en-AU"/>
              </w:rPr>
              <w:t>(1998) 194 CLR 247</w:t>
            </w:r>
          </w:p>
          <w:p w14:paraId="244B79D8" w14:textId="10378F92" w:rsidR="00C77296" w:rsidRPr="00C77296" w:rsidRDefault="00C77296" w:rsidP="00C77296">
            <w:pPr>
              <w:pStyle w:val="CasesLegislationAppealFrom"/>
              <w:spacing w:after="60"/>
              <w:rPr>
                <w:lang w:eastAsia="en-AU"/>
              </w:rPr>
            </w:pPr>
            <w:r w:rsidRPr="00C77296">
              <w:rPr>
                <w:i/>
                <w:iCs/>
                <w:lang w:eastAsia="en-AU"/>
              </w:rPr>
              <w:t xml:space="preserve">Cameron v Human Rights and Equal Opportunity Commission </w:t>
            </w:r>
            <w:r w:rsidRPr="00C77296">
              <w:rPr>
                <w:lang w:eastAsia="en-AU"/>
              </w:rPr>
              <w:t>(1993) 46 FCR 509</w:t>
            </w:r>
          </w:p>
          <w:p w14:paraId="7E8E280F" w14:textId="729C7D10" w:rsidR="00C77296" w:rsidRPr="00C77296" w:rsidRDefault="00C77296" w:rsidP="00C77296">
            <w:pPr>
              <w:pStyle w:val="CasesLegislationAppealFrom"/>
              <w:spacing w:after="60"/>
            </w:pPr>
            <w:r w:rsidRPr="00C77296">
              <w:rPr>
                <w:i/>
                <w:iCs/>
              </w:rPr>
              <w:t xml:space="preserve">CIC Insurance Ltd v Bankstown Football Club Ltd </w:t>
            </w:r>
            <w:r w:rsidRPr="00C77296">
              <w:t xml:space="preserve">(1997) 187 CLR 384 </w:t>
            </w:r>
          </w:p>
          <w:p w14:paraId="2EA3CA6D" w14:textId="77777777" w:rsidR="00C77296" w:rsidRPr="00C77296" w:rsidRDefault="00C77296" w:rsidP="00C77296">
            <w:pPr>
              <w:pStyle w:val="CasesLegislationAppealFrom"/>
              <w:spacing w:after="60"/>
            </w:pPr>
            <w:r w:rsidRPr="00C77296">
              <w:rPr>
                <w:i/>
                <w:iCs/>
              </w:rPr>
              <w:t xml:space="preserve">Dey v Victorian Railways Commissioners </w:t>
            </w:r>
            <w:r w:rsidRPr="00C77296">
              <w:t>(1949) 78 CLR 62</w:t>
            </w:r>
          </w:p>
          <w:p w14:paraId="5C997E8E" w14:textId="77777777" w:rsidR="00C77296" w:rsidRPr="00C77296" w:rsidRDefault="00C77296" w:rsidP="00C77296">
            <w:pPr>
              <w:pStyle w:val="CasesLegislationAppealFrom"/>
              <w:spacing w:after="60"/>
            </w:pPr>
            <w:r w:rsidRPr="00C77296">
              <w:rPr>
                <w:i/>
                <w:iCs/>
              </w:rPr>
              <w:t xml:space="preserve">General Steel Industries Ltd v Commissioner for Railways </w:t>
            </w:r>
            <w:r w:rsidRPr="00C77296">
              <w:t>(1964) 112 CLR 125</w:t>
            </w:r>
          </w:p>
          <w:p w14:paraId="0798E7F4" w14:textId="77777777" w:rsidR="00C77296" w:rsidRPr="00C77296" w:rsidRDefault="00C77296" w:rsidP="00C77296">
            <w:pPr>
              <w:pStyle w:val="CasesLegislationAppealFrom"/>
              <w:spacing w:after="60"/>
              <w:rPr>
                <w:szCs w:val="24"/>
                <w:lang w:eastAsia="en-AU"/>
              </w:rPr>
            </w:pPr>
            <w:r w:rsidRPr="00C77296">
              <w:rPr>
                <w:i/>
                <w:iCs/>
                <w:szCs w:val="24"/>
                <w:lang w:eastAsia="en-AU"/>
              </w:rPr>
              <w:t xml:space="preserve">Health World Ltd v Shin-Sun Australia Pty Ltd </w:t>
            </w:r>
            <w:r w:rsidRPr="00C77296">
              <w:rPr>
                <w:szCs w:val="24"/>
                <w:lang w:eastAsia="en-AU"/>
              </w:rPr>
              <w:t>(2010) 240 CLR 590</w:t>
            </w:r>
          </w:p>
          <w:p w14:paraId="7EFD9FB0" w14:textId="175B6734" w:rsidR="00C77296" w:rsidRPr="00C77296" w:rsidRDefault="00C77296" w:rsidP="00C77296">
            <w:pPr>
              <w:pStyle w:val="CasesLegislationAppealFrom"/>
              <w:spacing w:after="60"/>
            </w:pPr>
            <w:r w:rsidRPr="00C77296">
              <w:rPr>
                <w:i/>
                <w:iCs/>
              </w:rPr>
              <w:t xml:space="preserve">Hobart International Airport Pty Ltd v Clarence City Council </w:t>
            </w:r>
            <w:r w:rsidRPr="00C77296">
              <w:t>(2022) 399 ALR 214</w:t>
            </w:r>
          </w:p>
          <w:p w14:paraId="62E41A26" w14:textId="77777777" w:rsidR="00C77296" w:rsidRPr="00C77296" w:rsidRDefault="00C77296" w:rsidP="00C77296">
            <w:pPr>
              <w:pStyle w:val="CasesLegislationAppealFrom"/>
              <w:spacing w:after="60"/>
            </w:pPr>
            <w:r w:rsidRPr="00C77296">
              <w:rPr>
                <w:i/>
                <w:iCs/>
              </w:rPr>
              <w:t xml:space="preserve">Miller v Cimic Group Ltd </w:t>
            </w:r>
            <w:r w:rsidRPr="00C77296">
              <w:t>[2015] FCA 587</w:t>
            </w:r>
          </w:p>
          <w:p w14:paraId="63CBFD58" w14:textId="77777777" w:rsidR="00C77296" w:rsidRPr="00C77296" w:rsidRDefault="00C77296" w:rsidP="00C77296">
            <w:pPr>
              <w:pStyle w:val="CasesLegislationAppealFrom"/>
              <w:spacing w:after="60"/>
              <w:rPr>
                <w:lang w:eastAsia="en-AU"/>
              </w:rPr>
            </w:pPr>
            <w:r w:rsidRPr="00C77296">
              <w:rPr>
                <w:i/>
                <w:iCs/>
              </w:rPr>
              <w:t xml:space="preserve">Ogle v Strickland </w:t>
            </w:r>
            <w:r w:rsidRPr="00C77296">
              <w:rPr>
                <w:lang w:eastAsia="en-AU"/>
              </w:rPr>
              <w:t>(1987) 13 FCR 306</w:t>
            </w:r>
          </w:p>
          <w:p w14:paraId="23C2F522" w14:textId="77777777" w:rsidR="00C77296" w:rsidRPr="00C77296" w:rsidRDefault="00C77296" w:rsidP="00C77296">
            <w:pPr>
              <w:pStyle w:val="CasesLegislationAppealFrom"/>
              <w:spacing w:after="60"/>
            </w:pPr>
            <w:r w:rsidRPr="00C77296">
              <w:rPr>
                <w:i/>
                <w:iCs/>
              </w:rPr>
              <w:t>Onus v Alcoa of Australia Ltd</w:t>
            </w:r>
            <w:r w:rsidRPr="00C77296">
              <w:t xml:space="preserve"> (1981) 149 CLR 27</w:t>
            </w:r>
          </w:p>
          <w:p w14:paraId="0942DCDE" w14:textId="77777777" w:rsidR="00C77296" w:rsidRPr="00C77296" w:rsidRDefault="00C77296" w:rsidP="00C77296">
            <w:pPr>
              <w:pStyle w:val="CasesLegislationAppealFrom"/>
              <w:spacing w:after="60"/>
              <w:rPr>
                <w:lang w:eastAsia="en-AU"/>
              </w:rPr>
            </w:pPr>
            <w:r w:rsidRPr="00C77296">
              <w:rPr>
                <w:i/>
                <w:iCs/>
                <w:lang w:eastAsia="en-AU"/>
              </w:rPr>
              <w:t xml:space="preserve">Powell v Birmingham Vinegar Brewery Co Ltd </w:t>
            </w:r>
            <w:r w:rsidRPr="00C77296">
              <w:rPr>
                <w:lang w:eastAsia="en-AU"/>
              </w:rPr>
              <w:t>[1894] AC 8</w:t>
            </w:r>
          </w:p>
          <w:p w14:paraId="651FD703" w14:textId="77777777" w:rsidR="00C77296" w:rsidRPr="00C77296" w:rsidRDefault="00C77296" w:rsidP="00C77296">
            <w:pPr>
              <w:pStyle w:val="CasesLegislationAppealFrom"/>
              <w:spacing w:after="60"/>
            </w:pPr>
            <w:r w:rsidRPr="00C77296">
              <w:rPr>
                <w:i/>
                <w:iCs/>
              </w:rPr>
              <w:t>Project Blue Sky Inc v Australian Broadcasting Authority</w:t>
            </w:r>
            <w:r w:rsidRPr="00C77296">
              <w:t> (1998) 194 CLR 355</w:t>
            </w:r>
          </w:p>
          <w:p w14:paraId="118867EF" w14:textId="3E8B881D" w:rsidR="00C77296" w:rsidRPr="00C77296" w:rsidRDefault="00C77296" w:rsidP="00C77296">
            <w:pPr>
              <w:pStyle w:val="CasesLegislationAppealFrom"/>
              <w:spacing w:after="60"/>
            </w:pPr>
            <w:r w:rsidRPr="00C77296">
              <w:rPr>
                <w:i/>
                <w:iCs/>
              </w:rPr>
              <w:t xml:space="preserve">Re </w:t>
            </w:r>
            <w:proofErr w:type="spellStart"/>
            <w:r w:rsidRPr="00C77296">
              <w:rPr>
                <w:i/>
                <w:iCs/>
              </w:rPr>
              <w:t>McHattan</w:t>
            </w:r>
            <w:proofErr w:type="spellEnd"/>
            <w:r w:rsidRPr="00C77296">
              <w:rPr>
                <w:i/>
                <w:iCs/>
              </w:rPr>
              <w:t xml:space="preserve"> and Collector of Customs</w:t>
            </w:r>
            <w:r w:rsidRPr="00C77296">
              <w:t xml:space="preserve"> (1977) 18 ALR 154</w:t>
            </w:r>
          </w:p>
          <w:p w14:paraId="3907E722" w14:textId="161DB6A5" w:rsidR="00C77296" w:rsidRPr="00C77296" w:rsidRDefault="00C77296" w:rsidP="00C77296">
            <w:pPr>
              <w:pStyle w:val="CasesLegislationAppealFrom"/>
              <w:spacing w:after="60"/>
              <w:rPr>
                <w:lang w:eastAsia="en-AU"/>
              </w:rPr>
            </w:pPr>
            <w:r w:rsidRPr="00C77296">
              <w:rPr>
                <w:i/>
                <w:iCs/>
                <w:lang w:eastAsia="en-AU"/>
              </w:rPr>
              <w:t xml:space="preserve">Right to Life Association (NSW) Inc v Department of Human Services and Health </w:t>
            </w:r>
            <w:r w:rsidRPr="00C77296">
              <w:rPr>
                <w:lang w:eastAsia="en-AU"/>
              </w:rPr>
              <w:t>(1994) 52 FCR 209</w:t>
            </w:r>
          </w:p>
          <w:p w14:paraId="7F3ADCBD" w14:textId="77777777" w:rsidR="00C77296" w:rsidRPr="00C77296" w:rsidRDefault="00C77296" w:rsidP="00C77296">
            <w:pPr>
              <w:pStyle w:val="CasesLegislationAppealFrom"/>
              <w:spacing w:after="60"/>
              <w:rPr>
                <w:lang w:eastAsia="en-AU"/>
              </w:rPr>
            </w:pPr>
            <w:r w:rsidRPr="00C77296">
              <w:rPr>
                <w:i/>
                <w:iCs/>
                <w:lang w:eastAsia="en-AU"/>
              </w:rPr>
              <w:t xml:space="preserve">SmithKline Beecham (Australia) Pty Ltd v Chapman </w:t>
            </w:r>
            <w:r w:rsidRPr="00C77296">
              <w:rPr>
                <w:lang w:eastAsia="en-AU"/>
              </w:rPr>
              <w:t>[2002] FCA 674</w:t>
            </w:r>
          </w:p>
          <w:p w14:paraId="10333340" w14:textId="77777777" w:rsidR="00C77296" w:rsidRPr="00C77296" w:rsidRDefault="00C77296" w:rsidP="00C77296">
            <w:pPr>
              <w:pStyle w:val="CasesLegislationAppealFrom"/>
              <w:spacing w:after="60"/>
            </w:pPr>
            <w:r w:rsidRPr="00C77296">
              <w:rPr>
                <w:i/>
                <w:iCs/>
              </w:rPr>
              <w:lastRenderedPageBreak/>
              <w:t xml:space="preserve">Spencer v Commonwealth </w:t>
            </w:r>
            <w:r w:rsidRPr="00C77296">
              <w:t>(2010)</w:t>
            </w:r>
            <w:r w:rsidRPr="00C77296">
              <w:rPr>
                <w:i/>
                <w:iCs/>
              </w:rPr>
              <w:t xml:space="preserve"> </w:t>
            </w:r>
            <w:r w:rsidRPr="00C77296">
              <w:t>241 CLR 118</w:t>
            </w:r>
          </w:p>
          <w:p w14:paraId="1741EA01" w14:textId="77777777" w:rsidR="00C77296" w:rsidRPr="00C77296" w:rsidRDefault="00C77296" w:rsidP="00C77296">
            <w:pPr>
              <w:pStyle w:val="CasesLegislationAppealFrom"/>
              <w:spacing w:after="60"/>
              <w:rPr>
                <w:color w:val="000000"/>
                <w:szCs w:val="24"/>
                <w:shd w:val="clear" w:color="auto" w:fill="FFFFFF"/>
              </w:rPr>
            </w:pPr>
            <w:r w:rsidRPr="00C77296">
              <w:rPr>
                <w:i/>
                <w:iCs/>
                <w:color w:val="000000"/>
                <w:szCs w:val="24"/>
                <w:shd w:val="clear" w:color="auto" w:fill="FFFFFF"/>
              </w:rPr>
              <w:t>SZTAL v Minister for Immigration and Border Protection</w:t>
            </w:r>
            <w:r w:rsidRPr="00C77296">
              <w:rPr>
                <w:color w:val="000000"/>
                <w:szCs w:val="24"/>
                <w:shd w:val="clear" w:color="auto" w:fill="FFFFFF"/>
              </w:rPr>
              <w:t> (2017) 262 CLR 362</w:t>
            </w:r>
          </w:p>
          <w:p w14:paraId="56BAF457" w14:textId="77777777" w:rsidR="00C77296" w:rsidRPr="00C77296" w:rsidRDefault="00C77296" w:rsidP="00C77296">
            <w:pPr>
              <w:pStyle w:val="CasesLegislationAppealFrom"/>
              <w:spacing w:after="60"/>
            </w:pPr>
            <w:proofErr w:type="spellStart"/>
            <w:r w:rsidRPr="00C77296">
              <w:rPr>
                <w:i/>
                <w:iCs/>
              </w:rPr>
              <w:t>Tooheys</w:t>
            </w:r>
            <w:proofErr w:type="spellEnd"/>
            <w:r w:rsidRPr="00C77296">
              <w:rPr>
                <w:i/>
                <w:iCs/>
              </w:rPr>
              <w:t xml:space="preserve"> Ltd v Minister for Business and Consumer </w:t>
            </w:r>
            <w:r w:rsidRPr="00C77296">
              <w:t>(1981) 36 ALR 64</w:t>
            </w:r>
          </w:p>
          <w:p w14:paraId="5D3C8E7C" w14:textId="77777777" w:rsidR="00C77296" w:rsidRPr="00C77296" w:rsidRDefault="00C77296" w:rsidP="00C77296">
            <w:pPr>
              <w:pStyle w:val="CasesLegislationAppealFrom"/>
              <w:spacing w:after="60"/>
              <w:rPr>
                <w:szCs w:val="24"/>
              </w:rPr>
            </w:pPr>
            <w:r w:rsidRPr="00C77296">
              <w:rPr>
                <w:i/>
                <w:iCs/>
                <w:szCs w:val="24"/>
              </w:rPr>
              <w:t xml:space="preserve">Truth About Motorways Pty Ltd v Macquarie Infrastructure Investment Management Ltd </w:t>
            </w:r>
            <w:r w:rsidRPr="00C77296">
              <w:rPr>
                <w:szCs w:val="24"/>
              </w:rPr>
              <w:t>(2000) 200 CLR 591</w:t>
            </w:r>
          </w:p>
          <w:p w14:paraId="773325ED" w14:textId="77777777" w:rsidR="00C77296" w:rsidRPr="00C77296" w:rsidRDefault="00C77296" w:rsidP="00C77296">
            <w:pPr>
              <w:pStyle w:val="CasesLegislationAppealFrom"/>
              <w:spacing w:after="60"/>
            </w:pPr>
            <w:r w:rsidRPr="00C77296">
              <w:rPr>
                <w:i/>
                <w:iCs/>
              </w:rPr>
              <w:t xml:space="preserve">Unions NSW v New South Wales </w:t>
            </w:r>
            <w:r w:rsidRPr="00C77296">
              <w:t>(2023) 407 ALR 277</w:t>
            </w:r>
          </w:p>
          <w:p w14:paraId="0D5D6B2E" w14:textId="0042F11C" w:rsidR="00C77296" w:rsidRPr="00C77296" w:rsidRDefault="00C77296" w:rsidP="00C77296">
            <w:pPr>
              <w:pStyle w:val="CasesLegislationAppealFrom"/>
              <w:spacing w:after="60"/>
            </w:pPr>
            <w:r w:rsidRPr="00C77296">
              <w:rPr>
                <w:i/>
                <w:iCs/>
              </w:rPr>
              <w:t xml:space="preserve">Walton v Gardiner </w:t>
            </w:r>
            <w:r w:rsidRPr="00C77296">
              <w:t>(1993) 177 CLR 378</w:t>
            </w:r>
            <w:bookmarkEnd w:id="3"/>
          </w:p>
        </w:tc>
      </w:tr>
      <w:tr w:rsidR="006309CE" w14:paraId="6537250E" w14:textId="77777777" w:rsidTr="00EC1B6B">
        <w:tc>
          <w:tcPr>
            <w:tcW w:w="3083" w:type="dxa"/>
            <w:shd w:val="clear" w:color="auto" w:fill="auto"/>
          </w:tcPr>
          <w:p w14:paraId="1F732A70" w14:textId="77777777" w:rsidR="006309CE" w:rsidRDefault="006309CE">
            <w:pPr>
              <w:pStyle w:val="Normal1linespace"/>
              <w:widowControl w:val="0"/>
            </w:pPr>
          </w:p>
        </w:tc>
        <w:tc>
          <w:tcPr>
            <w:tcW w:w="5989" w:type="dxa"/>
            <w:shd w:val="clear" w:color="auto" w:fill="auto"/>
          </w:tcPr>
          <w:p w14:paraId="202FCF79" w14:textId="77777777" w:rsidR="006309CE" w:rsidRDefault="006309CE">
            <w:pPr>
              <w:pStyle w:val="Normal1linespace"/>
              <w:widowControl w:val="0"/>
              <w:jc w:val="left"/>
            </w:pPr>
          </w:p>
        </w:tc>
      </w:tr>
      <w:tr w:rsidR="006309CE" w14:paraId="6233CB39" w14:textId="77777777" w:rsidTr="00EC1B6B">
        <w:tc>
          <w:tcPr>
            <w:tcW w:w="3083" w:type="dxa"/>
            <w:shd w:val="clear" w:color="auto" w:fill="auto"/>
          </w:tcPr>
          <w:p w14:paraId="0F956A99" w14:textId="77777777" w:rsidR="006309CE" w:rsidRDefault="006309CE" w:rsidP="00501A12">
            <w:pPr>
              <w:pStyle w:val="Normal1linespace"/>
              <w:widowControl w:val="0"/>
            </w:pPr>
            <w:r>
              <w:t>Division:</w:t>
            </w:r>
          </w:p>
        </w:tc>
        <w:tc>
          <w:tcPr>
            <w:tcW w:w="5989" w:type="dxa"/>
            <w:shd w:val="clear" w:color="auto" w:fill="auto"/>
          </w:tcPr>
          <w:p w14:paraId="72272142" w14:textId="0A65AA34" w:rsidR="006309CE" w:rsidRPr="00F17599" w:rsidRDefault="006309CE" w:rsidP="00501A12">
            <w:pPr>
              <w:pStyle w:val="Normal1linespace"/>
              <w:widowControl w:val="0"/>
              <w:jc w:val="left"/>
            </w:pPr>
            <w:r>
              <w:t>General Division</w:t>
            </w:r>
          </w:p>
        </w:tc>
      </w:tr>
      <w:tr w:rsidR="006309CE" w14:paraId="203B9A05" w14:textId="77777777" w:rsidTr="00EC1B6B">
        <w:tc>
          <w:tcPr>
            <w:tcW w:w="3083" w:type="dxa"/>
            <w:shd w:val="clear" w:color="auto" w:fill="auto"/>
          </w:tcPr>
          <w:p w14:paraId="7808396C" w14:textId="77777777" w:rsidR="006309CE" w:rsidRDefault="006309CE" w:rsidP="00501A12">
            <w:pPr>
              <w:pStyle w:val="Normal1linespace"/>
              <w:widowControl w:val="0"/>
            </w:pPr>
            <w:bookmarkStart w:id="4" w:name="Registry_rows" w:colFirst="0" w:colLast="1"/>
          </w:p>
        </w:tc>
        <w:tc>
          <w:tcPr>
            <w:tcW w:w="5989" w:type="dxa"/>
            <w:shd w:val="clear" w:color="auto" w:fill="auto"/>
          </w:tcPr>
          <w:p w14:paraId="6E8FDDC4" w14:textId="77777777" w:rsidR="006309CE" w:rsidRDefault="006309CE" w:rsidP="00501A12">
            <w:pPr>
              <w:pStyle w:val="Normal1linespace"/>
              <w:widowControl w:val="0"/>
              <w:jc w:val="left"/>
            </w:pPr>
          </w:p>
        </w:tc>
      </w:tr>
      <w:tr w:rsidR="006309CE" w14:paraId="35AB0898" w14:textId="77777777" w:rsidTr="00EC1B6B">
        <w:tc>
          <w:tcPr>
            <w:tcW w:w="3083" w:type="dxa"/>
            <w:shd w:val="clear" w:color="auto" w:fill="auto"/>
          </w:tcPr>
          <w:p w14:paraId="2990885C" w14:textId="77777777" w:rsidR="006309CE" w:rsidRDefault="006309CE" w:rsidP="00501A12">
            <w:pPr>
              <w:pStyle w:val="Normal1linespace"/>
              <w:widowControl w:val="0"/>
            </w:pPr>
            <w:r>
              <w:t>Registry:</w:t>
            </w:r>
          </w:p>
        </w:tc>
        <w:tc>
          <w:tcPr>
            <w:tcW w:w="5989" w:type="dxa"/>
            <w:shd w:val="clear" w:color="auto" w:fill="auto"/>
          </w:tcPr>
          <w:p w14:paraId="28CC0365" w14:textId="2D291A00" w:rsidR="006309CE" w:rsidRPr="00F17599" w:rsidRDefault="006309CE" w:rsidP="00501A12">
            <w:pPr>
              <w:pStyle w:val="Normal1linespace"/>
              <w:widowControl w:val="0"/>
              <w:jc w:val="left"/>
            </w:pPr>
            <w:r>
              <w:t>Victoria</w:t>
            </w:r>
          </w:p>
        </w:tc>
      </w:tr>
      <w:tr w:rsidR="006309CE" w14:paraId="27A15E4A" w14:textId="77777777" w:rsidTr="00EC1B6B">
        <w:tc>
          <w:tcPr>
            <w:tcW w:w="3083" w:type="dxa"/>
            <w:shd w:val="clear" w:color="auto" w:fill="auto"/>
          </w:tcPr>
          <w:p w14:paraId="055A4343" w14:textId="77777777" w:rsidR="006309CE" w:rsidRDefault="006309CE" w:rsidP="00501A12">
            <w:pPr>
              <w:pStyle w:val="Normal1linespace"/>
              <w:widowControl w:val="0"/>
            </w:pPr>
            <w:bookmarkStart w:id="5" w:name="NPARow" w:colFirst="0" w:colLast="1"/>
            <w:bookmarkEnd w:id="4"/>
          </w:p>
        </w:tc>
        <w:tc>
          <w:tcPr>
            <w:tcW w:w="5989" w:type="dxa"/>
            <w:shd w:val="clear" w:color="auto" w:fill="auto"/>
          </w:tcPr>
          <w:p w14:paraId="72D31A35" w14:textId="77777777" w:rsidR="006309CE" w:rsidRPr="00F17599" w:rsidRDefault="006309CE" w:rsidP="00501A12">
            <w:pPr>
              <w:pStyle w:val="Normal1linespace"/>
              <w:widowControl w:val="0"/>
              <w:jc w:val="left"/>
              <w:rPr>
                <w:b/>
              </w:rPr>
            </w:pPr>
          </w:p>
        </w:tc>
      </w:tr>
      <w:tr w:rsidR="006309CE" w14:paraId="2071CAD4" w14:textId="77777777" w:rsidTr="00EC1B6B">
        <w:tc>
          <w:tcPr>
            <w:tcW w:w="3083" w:type="dxa"/>
            <w:shd w:val="clear" w:color="auto" w:fill="auto"/>
          </w:tcPr>
          <w:p w14:paraId="74AAFA3F" w14:textId="77777777" w:rsidR="006309CE" w:rsidRDefault="006309CE" w:rsidP="00501A12">
            <w:pPr>
              <w:pStyle w:val="Normal1linespace"/>
              <w:widowControl w:val="0"/>
            </w:pPr>
            <w:r>
              <w:t>National Practice Area:</w:t>
            </w:r>
          </w:p>
        </w:tc>
        <w:tc>
          <w:tcPr>
            <w:tcW w:w="5989" w:type="dxa"/>
            <w:shd w:val="clear" w:color="auto" w:fill="auto"/>
          </w:tcPr>
          <w:p w14:paraId="5E4F3A05" w14:textId="264FC6A2" w:rsidR="006309CE" w:rsidRPr="00F17599" w:rsidRDefault="006309CE">
            <w:pPr>
              <w:pStyle w:val="Normal1linespace"/>
              <w:widowControl w:val="0"/>
              <w:jc w:val="left"/>
              <w:rPr>
                <w:b/>
              </w:rPr>
            </w:pPr>
            <w:r>
              <w:t>Commercial and Corporations</w:t>
            </w:r>
          </w:p>
        </w:tc>
      </w:tr>
      <w:tr w:rsidR="006309CE" w14:paraId="7DFB2A3B" w14:textId="77777777" w:rsidTr="00EC1B6B">
        <w:tc>
          <w:tcPr>
            <w:tcW w:w="3083" w:type="dxa"/>
            <w:shd w:val="clear" w:color="auto" w:fill="auto"/>
          </w:tcPr>
          <w:p w14:paraId="487EE7E7" w14:textId="77777777" w:rsidR="006309CE" w:rsidRDefault="006309CE" w:rsidP="00501A12">
            <w:pPr>
              <w:pStyle w:val="Normal1linespace"/>
              <w:widowControl w:val="0"/>
            </w:pPr>
            <w:bookmarkStart w:id="6" w:name="SubAreaRow" w:colFirst="0" w:colLast="1"/>
            <w:bookmarkEnd w:id="5"/>
          </w:p>
        </w:tc>
        <w:tc>
          <w:tcPr>
            <w:tcW w:w="5989" w:type="dxa"/>
            <w:shd w:val="clear" w:color="auto" w:fill="auto"/>
          </w:tcPr>
          <w:p w14:paraId="47936E4C" w14:textId="77777777" w:rsidR="006309CE" w:rsidRDefault="006309CE">
            <w:pPr>
              <w:pStyle w:val="Normal1linespace"/>
              <w:widowControl w:val="0"/>
              <w:jc w:val="left"/>
            </w:pPr>
          </w:p>
        </w:tc>
      </w:tr>
      <w:tr w:rsidR="006309CE" w14:paraId="42686BC7" w14:textId="77777777" w:rsidTr="00EC1B6B">
        <w:tc>
          <w:tcPr>
            <w:tcW w:w="3083" w:type="dxa"/>
            <w:shd w:val="clear" w:color="auto" w:fill="auto"/>
          </w:tcPr>
          <w:p w14:paraId="2790045C" w14:textId="77777777" w:rsidR="006309CE" w:rsidRDefault="006309CE" w:rsidP="00501A12">
            <w:pPr>
              <w:pStyle w:val="Normal1linespace"/>
              <w:widowControl w:val="0"/>
            </w:pPr>
            <w:r>
              <w:t>Sub-area:</w:t>
            </w:r>
          </w:p>
        </w:tc>
        <w:tc>
          <w:tcPr>
            <w:tcW w:w="5989" w:type="dxa"/>
            <w:shd w:val="clear" w:color="auto" w:fill="auto"/>
          </w:tcPr>
          <w:p w14:paraId="5B03F8B0" w14:textId="70F98576" w:rsidR="006309CE" w:rsidRPr="00837288" w:rsidRDefault="006309CE">
            <w:pPr>
              <w:pStyle w:val="Normal1linespace"/>
              <w:widowControl w:val="0"/>
              <w:jc w:val="left"/>
            </w:pPr>
            <w:r w:rsidRPr="006309CE">
              <w:rPr>
                <w:lang w:val="en-US"/>
              </w:rPr>
              <w:t>Regulator and Consumer</w:t>
            </w:r>
            <w:r>
              <w:t xml:space="preserve"> Protection</w:t>
            </w:r>
          </w:p>
        </w:tc>
      </w:tr>
      <w:bookmarkEnd w:id="6"/>
      <w:tr w:rsidR="006309CE" w14:paraId="08874BDB" w14:textId="77777777" w:rsidTr="00EC1B6B">
        <w:tc>
          <w:tcPr>
            <w:tcW w:w="3083" w:type="dxa"/>
            <w:shd w:val="clear" w:color="auto" w:fill="auto"/>
          </w:tcPr>
          <w:p w14:paraId="25276A7F" w14:textId="77777777" w:rsidR="006309CE" w:rsidRDefault="006309CE" w:rsidP="00501A12">
            <w:pPr>
              <w:pStyle w:val="Normal1linespace"/>
              <w:widowControl w:val="0"/>
            </w:pPr>
          </w:p>
        </w:tc>
        <w:tc>
          <w:tcPr>
            <w:tcW w:w="5989" w:type="dxa"/>
            <w:shd w:val="clear" w:color="auto" w:fill="auto"/>
          </w:tcPr>
          <w:p w14:paraId="742D4A46" w14:textId="77777777" w:rsidR="006309CE" w:rsidRDefault="006309CE" w:rsidP="00501A12">
            <w:pPr>
              <w:pStyle w:val="Normal1linespace"/>
              <w:widowControl w:val="0"/>
              <w:jc w:val="left"/>
            </w:pPr>
          </w:p>
        </w:tc>
      </w:tr>
      <w:tr w:rsidR="006309CE" w14:paraId="35A25E20" w14:textId="77777777" w:rsidTr="00EC1B6B">
        <w:tc>
          <w:tcPr>
            <w:tcW w:w="3083" w:type="dxa"/>
            <w:shd w:val="clear" w:color="auto" w:fill="auto"/>
          </w:tcPr>
          <w:p w14:paraId="4975BDBD" w14:textId="77777777" w:rsidR="006309CE" w:rsidRDefault="006309CE" w:rsidP="00501A12">
            <w:pPr>
              <w:pStyle w:val="Normal1linespace"/>
              <w:widowControl w:val="0"/>
            </w:pPr>
            <w:r>
              <w:t>Number of paragraphs:</w:t>
            </w:r>
          </w:p>
        </w:tc>
        <w:tc>
          <w:tcPr>
            <w:tcW w:w="5989" w:type="dxa"/>
            <w:shd w:val="clear" w:color="auto" w:fill="auto"/>
          </w:tcPr>
          <w:p w14:paraId="44FCE9CE" w14:textId="1F7F31BF" w:rsidR="006309CE" w:rsidRDefault="00B93CB2" w:rsidP="00501A12">
            <w:pPr>
              <w:pStyle w:val="Normal1linespace"/>
              <w:widowControl w:val="0"/>
              <w:jc w:val="left"/>
            </w:pPr>
            <w:bookmarkStart w:id="7" w:name="PlaceCategoryParagraphs"/>
            <w:r>
              <w:t>137</w:t>
            </w:r>
            <w:bookmarkEnd w:id="7"/>
          </w:p>
        </w:tc>
      </w:tr>
      <w:tr w:rsidR="006309CE" w14:paraId="0E9FD75A" w14:textId="77777777" w:rsidTr="00EC1B6B">
        <w:tc>
          <w:tcPr>
            <w:tcW w:w="3083" w:type="dxa"/>
            <w:shd w:val="clear" w:color="auto" w:fill="auto"/>
          </w:tcPr>
          <w:p w14:paraId="042A52E1" w14:textId="77777777" w:rsidR="006309CE" w:rsidRDefault="006309CE" w:rsidP="006309CE">
            <w:pPr>
              <w:pStyle w:val="Normal1linespace"/>
              <w:widowControl w:val="0"/>
              <w:jc w:val="left"/>
            </w:pPr>
          </w:p>
        </w:tc>
        <w:tc>
          <w:tcPr>
            <w:tcW w:w="5989" w:type="dxa"/>
            <w:shd w:val="clear" w:color="auto" w:fill="auto"/>
          </w:tcPr>
          <w:p w14:paraId="66BA2810" w14:textId="77777777" w:rsidR="006309CE" w:rsidRDefault="006309CE" w:rsidP="006309CE">
            <w:pPr>
              <w:pStyle w:val="Normal1linespace"/>
              <w:widowControl w:val="0"/>
              <w:jc w:val="left"/>
            </w:pPr>
          </w:p>
        </w:tc>
      </w:tr>
      <w:tr w:rsidR="006309CE" w14:paraId="0002714A" w14:textId="77777777" w:rsidTr="00EC1B6B">
        <w:tc>
          <w:tcPr>
            <w:tcW w:w="3083" w:type="dxa"/>
            <w:shd w:val="clear" w:color="auto" w:fill="auto"/>
          </w:tcPr>
          <w:p w14:paraId="25155849" w14:textId="0C764DBB" w:rsidR="006309CE" w:rsidRDefault="006309CE" w:rsidP="006309CE">
            <w:pPr>
              <w:pStyle w:val="Normal1linespace"/>
              <w:widowControl w:val="0"/>
              <w:jc w:val="left"/>
            </w:pPr>
            <w:r>
              <w:t>Date of last submissions:</w:t>
            </w:r>
          </w:p>
        </w:tc>
        <w:tc>
          <w:tcPr>
            <w:tcW w:w="5989" w:type="dxa"/>
            <w:shd w:val="clear" w:color="auto" w:fill="auto"/>
          </w:tcPr>
          <w:p w14:paraId="3EE8B206" w14:textId="7608B6AF" w:rsidR="006309CE" w:rsidRDefault="00524DB2" w:rsidP="006309CE">
            <w:pPr>
              <w:pStyle w:val="Normal1linespace"/>
              <w:widowControl w:val="0"/>
              <w:jc w:val="left"/>
            </w:pPr>
            <w:r>
              <w:t>2</w:t>
            </w:r>
            <w:r w:rsidR="00A17193">
              <w:t>6</w:t>
            </w:r>
            <w:r>
              <w:t xml:space="preserve"> October 2023</w:t>
            </w:r>
          </w:p>
        </w:tc>
      </w:tr>
      <w:tr w:rsidR="006309CE" w14:paraId="1716A74E" w14:textId="77777777" w:rsidTr="00EC1B6B">
        <w:tc>
          <w:tcPr>
            <w:tcW w:w="3083" w:type="dxa"/>
            <w:shd w:val="clear" w:color="auto" w:fill="auto"/>
          </w:tcPr>
          <w:p w14:paraId="78C0E6F1" w14:textId="77777777" w:rsidR="006309CE" w:rsidRDefault="006309CE" w:rsidP="006309CE">
            <w:pPr>
              <w:pStyle w:val="Normal1linespace"/>
              <w:widowControl w:val="0"/>
              <w:jc w:val="left"/>
            </w:pPr>
          </w:p>
        </w:tc>
        <w:tc>
          <w:tcPr>
            <w:tcW w:w="5989" w:type="dxa"/>
            <w:shd w:val="clear" w:color="auto" w:fill="auto"/>
          </w:tcPr>
          <w:p w14:paraId="1B689B33" w14:textId="77777777" w:rsidR="006309CE" w:rsidRDefault="006309CE" w:rsidP="006309CE">
            <w:pPr>
              <w:pStyle w:val="Normal1linespace"/>
              <w:widowControl w:val="0"/>
              <w:jc w:val="left"/>
            </w:pPr>
          </w:p>
        </w:tc>
      </w:tr>
      <w:tr w:rsidR="006309CE" w14:paraId="3B1B876E" w14:textId="77777777" w:rsidTr="00EC1B6B">
        <w:tc>
          <w:tcPr>
            <w:tcW w:w="3083" w:type="dxa"/>
            <w:shd w:val="clear" w:color="auto" w:fill="auto"/>
          </w:tcPr>
          <w:p w14:paraId="5B1D2284" w14:textId="77777777" w:rsidR="006309CE" w:rsidRDefault="006309CE" w:rsidP="006309CE">
            <w:pPr>
              <w:pStyle w:val="Normal1linespace"/>
              <w:widowControl w:val="0"/>
              <w:jc w:val="left"/>
            </w:pPr>
            <w:bookmarkStart w:id="8" w:name="CounselDate" w:colFirst="0" w:colLast="2"/>
            <w:r w:rsidRPr="006A24E3">
              <w:t>Date of hearing:</w:t>
            </w:r>
          </w:p>
        </w:tc>
        <w:tc>
          <w:tcPr>
            <w:tcW w:w="5989" w:type="dxa"/>
            <w:shd w:val="clear" w:color="auto" w:fill="auto"/>
          </w:tcPr>
          <w:p w14:paraId="07C2113A" w14:textId="7E9A4A37" w:rsidR="006309CE" w:rsidRDefault="006309CE" w:rsidP="006309CE">
            <w:pPr>
              <w:pStyle w:val="Normal1linespace"/>
              <w:widowControl w:val="0"/>
              <w:jc w:val="left"/>
            </w:pPr>
            <w:bookmarkStart w:id="9" w:name="HearingDate"/>
            <w:r>
              <w:t xml:space="preserve">23 October 2023 </w:t>
            </w:r>
            <w:bookmarkEnd w:id="9"/>
          </w:p>
        </w:tc>
      </w:tr>
      <w:tr w:rsidR="006309CE" w14:paraId="509227F6" w14:textId="77777777" w:rsidTr="00EC1B6B">
        <w:tc>
          <w:tcPr>
            <w:tcW w:w="3083" w:type="dxa"/>
            <w:shd w:val="clear" w:color="auto" w:fill="auto"/>
          </w:tcPr>
          <w:p w14:paraId="2A276AFE" w14:textId="77777777" w:rsidR="006309CE" w:rsidRDefault="006309CE" w:rsidP="006309CE">
            <w:pPr>
              <w:pStyle w:val="Normal1linespace"/>
              <w:widowControl w:val="0"/>
              <w:jc w:val="left"/>
            </w:pPr>
          </w:p>
        </w:tc>
        <w:tc>
          <w:tcPr>
            <w:tcW w:w="5989" w:type="dxa"/>
            <w:shd w:val="clear" w:color="auto" w:fill="auto"/>
          </w:tcPr>
          <w:p w14:paraId="4540588E" w14:textId="77777777" w:rsidR="006309CE" w:rsidRDefault="006309CE" w:rsidP="006309CE">
            <w:pPr>
              <w:pStyle w:val="Normal1linespace"/>
              <w:widowControl w:val="0"/>
              <w:jc w:val="left"/>
            </w:pPr>
          </w:p>
        </w:tc>
      </w:tr>
      <w:tr w:rsidR="008B058F" w14:paraId="1CEB9460" w14:textId="77777777" w:rsidTr="00EC1B6B">
        <w:tc>
          <w:tcPr>
            <w:tcW w:w="3083" w:type="dxa"/>
            <w:shd w:val="clear" w:color="auto" w:fill="auto"/>
          </w:tcPr>
          <w:p w14:paraId="08DBCC3D" w14:textId="44CC92AC" w:rsidR="008B058F" w:rsidRDefault="008B058F" w:rsidP="008B058F">
            <w:pPr>
              <w:pStyle w:val="Normal1linespace"/>
              <w:widowControl w:val="0"/>
              <w:jc w:val="left"/>
            </w:pPr>
            <w:bookmarkStart w:id="10" w:name="Counsel" w:colFirst="0" w:colLast="2"/>
            <w:bookmarkEnd w:id="8"/>
            <w:r>
              <w:t>Counsel for the Applicant:</w:t>
            </w:r>
          </w:p>
        </w:tc>
        <w:tc>
          <w:tcPr>
            <w:tcW w:w="5989" w:type="dxa"/>
            <w:shd w:val="clear" w:color="auto" w:fill="auto"/>
          </w:tcPr>
          <w:p w14:paraId="7336EB3E" w14:textId="77239FE8" w:rsidR="008B058F" w:rsidRDefault="008B058F" w:rsidP="008B058F">
            <w:pPr>
              <w:pStyle w:val="Normal1linespace"/>
              <w:widowControl w:val="0"/>
              <w:jc w:val="left"/>
            </w:pPr>
            <w:bookmarkStart w:id="11" w:name="AppCounsel"/>
            <w:bookmarkEnd w:id="11"/>
            <w:r>
              <w:t>Mr J M Manner</w:t>
            </w:r>
          </w:p>
        </w:tc>
      </w:tr>
      <w:tr w:rsidR="008B058F" w14:paraId="65A5940D" w14:textId="77777777" w:rsidTr="00EC1B6B">
        <w:tc>
          <w:tcPr>
            <w:tcW w:w="3083" w:type="dxa"/>
            <w:shd w:val="clear" w:color="auto" w:fill="auto"/>
          </w:tcPr>
          <w:p w14:paraId="02ECBAE9" w14:textId="77777777" w:rsidR="008B058F" w:rsidRDefault="008B058F" w:rsidP="008B058F">
            <w:pPr>
              <w:pStyle w:val="Normal1linespace"/>
              <w:widowControl w:val="0"/>
              <w:jc w:val="left"/>
            </w:pPr>
          </w:p>
        </w:tc>
        <w:tc>
          <w:tcPr>
            <w:tcW w:w="5989" w:type="dxa"/>
            <w:shd w:val="clear" w:color="auto" w:fill="auto"/>
          </w:tcPr>
          <w:p w14:paraId="4ECB3B0F" w14:textId="77777777" w:rsidR="008B058F" w:rsidRDefault="008B058F" w:rsidP="008B058F">
            <w:pPr>
              <w:pStyle w:val="Normal1linespace"/>
              <w:widowControl w:val="0"/>
              <w:jc w:val="left"/>
            </w:pPr>
          </w:p>
        </w:tc>
      </w:tr>
      <w:tr w:rsidR="008B058F" w14:paraId="4D96C81B" w14:textId="77777777" w:rsidTr="00EC1B6B">
        <w:tc>
          <w:tcPr>
            <w:tcW w:w="3083" w:type="dxa"/>
            <w:shd w:val="clear" w:color="auto" w:fill="auto"/>
          </w:tcPr>
          <w:p w14:paraId="361EE150" w14:textId="2C878C00" w:rsidR="008B058F" w:rsidRDefault="008B058F" w:rsidP="008B058F">
            <w:pPr>
              <w:pStyle w:val="Normal1linespace"/>
              <w:widowControl w:val="0"/>
              <w:jc w:val="left"/>
            </w:pPr>
            <w:r>
              <w:t>Solicitor for the Applicant:</w:t>
            </w:r>
          </w:p>
        </w:tc>
        <w:tc>
          <w:tcPr>
            <w:tcW w:w="5989" w:type="dxa"/>
            <w:shd w:val="clear" w:color="auto" w:fill="auto"/>
          </w:tcPr>
          <w:p w14:paraId="59B69C4B" w14:textId="6712ADD2" w:rsidR="008B058F" w:rsidRDefault="008B058F" w:rsidP="008B058F">
            <w:pPr>
              <w:pStyle w:val="Normal1linespace"/>
              <w:widowControl w:val="0"/>
              <w:jc w:val="left"/>
            </w:pPr>
            <w:r>
              <w:t>PJ O’Brien &amp; Associates</w:t>
            </w:r>
          </w:p>
        </w:tc>
      </w:tr>
      <w:tr w:rsidR="008B058F" w14:paraId="739C3A0E" w14:textId="77777777" w:rsidTr="00EC1B6B">
        <w:tc>
          <w:tcPr>
            <w:tcW w:w="3083" w:type="dxa"/>
            <w:shd w:val="clear" w:color="auto" w:fill="auto"/>
          </w:tcPr>
          <w:p w14:paraId="0AEA3B1B" w14:textId="77777777" w:rsidR="008B058F" w:rsidRDefault="008B058F" w:rsidP="008B058F">
            <w:pPr>
              <w:pStyle w:val="Normal1linespace"/>
              <w:widowControl w:val="0"/>
              <w:jc w:val="left"/>
            </w:pPr>
          </w:p>
        </w:tc>
        <w:tc>
          <w:tcPr>
            <w:tcW w:w="5989" w:type="dxa"/>
            <w:shd w:val="clear" w:color="auto" w:fill="auto"/>
          </w:tcPr>
          <w:p w14:paraId="56EA3FBE" w14:textId="77777777" w:rsidR="008B058F" w:rsidRDefault="008B058F" w:rsidP="008B058F">
            <w:pPr>
              <w:pStyle w:val="Normal1linespace"/>
              <w:widowControl w:val="0"/>
              <w:jc w:val="left"/>
            </w:pPr>
          </w:p>
        </w:tc>
      </w:tr>
      <w:tr w:rsidR="008B058F" w14:paraId="32B561C5" w14:textId="77777777" w:rsidTr="00EC1B6B">
        <w:tc>
          <w:tcPr>
            <w:tcW w:w="3083" w:type="dxa"/>
            <w:shd w:val="clear" w:color="auto" w:fill="auto"/>
          </w:tcPr>
          <w:p w14:paraId="1C2D3C04" w14:textId="73749236" w:rsidR="008B058F" w:rsidRDefault="008B058F" w:rsidP="008B058F">
            <w:pPr>
              <w:pStyle w:val="Normal1linespace"/>
              <w:widowControl w:val="0"/>
              <w:jc w:val="left"/>
            </w:pPr>
            <w:r>
              <w:t>Counsel for the First Respondent:</w:t>
            </w:r>
          </w:p>
        </w:tc>
        <w:tc>
          <w:tcPr>
            <w:tcW w:w="5989" w:type="dxa"/>
            <w:shd w:val="clear" w:color="auto" w:fill="auto"/>
          </w:tcPr>
          <w:p w14:paraId="0E642392" w14:textId="55892B8A" w:rsidR="008B058F" w:rsidRDefault="008B058F" w:rsidP="008B058F">
            <w:pPr>
              <w:pStyle w:val="Normal1linespace"/>
              <w:widowControl w:val="0"/>
              <w:jc w:val="left"/>
            </w:pPr>
            <w:r>
              <w:t xml:space="preserve">Mr B F Quinn with </w:t>
            </w:r>
            <w:r w:rsidR="00C5303A">
              <w:t xml:space="preserve">Ms </w:t>
            </w:r>
            <w:r>
              <w:t>J Lindgren</w:t>
            </w:r>
          </w:p>
        </w:tc>
      </w:tr>
      <w:tr w:rsidR="008B058F" w14:paraId="7D8E6821" w14:textId="77777777" w:rsidTr="00EC1B6B">
        <w:tc>
          <w:tcPr>
            <w:tcW w:w="3083" w:type="dxa"/>
            <w:shd w:val="clear" w:color="auto" w:fill="auto"/>
          </w:tcPr>
          <w:p w14:paraId="25904134" w14:textId="77777777" w:rsidR="008B058F" w:rsidRDefault="008B058F" w:rsidP="008B058F">
            <w:pPr>
              <w:pStyle w:val="Normal1linespace"/>
              <w:widowControl w:val="0"/>
              <w:jc w:val="left"/>
            </w:pPr>
          </w:p>
        </w:tc>
        <w:tc>
          <w:tcPr>
            <w:tcW w:w="5989" w:type="dxa"/>
            <w:shd w:val="clear" w:color="auto" w:fill="auto"/>
          </w:tcPr>
          <w:p w14:paraId="2A22366B" w14:textId="77777777" w:rsidR="008B058F" w:rsidRDefault="008B058F" w:rsidP="008B058F">
            <w:pPr>
              <w:pStyle w:val="Normal1linespace"/>
              <w:widowControl w:val="0"/>
              <w:jc w:val="left"/>
            </w:pPr>
          </w:p>
        </w:tc>
      </w:tr>
      <w:tr w:rsidR="008B058F" w14:paraId="361B6C56" w14:textId="77777777" w:rsidTr="00EC1B6B">
        <w:tc>
          <w:tcPr>
            <w:tcW w:w="3083" w:type="dxa"/>
            <w:shd w:val="clear" w:color="auto" w:fill="auto"/>
          </w:tcPr>
          <w:p w14:paraId="02C4EC65" w14:textId="5517E0E1" w:rsidR="008B058F" w:rsidRDefault="008B058F" w:rsidP="008B058F">
            <w:pPr>
              <w:pStyle w:val="Normal1linespace"/>
              <w:widowControl w:val="0"/>
              <w:jc w:val="left"/>
            </w:pPr>
            <w:r>
              <w:t>Solicitor for the First Respondent:</w:t>
            </w:r>
          </w:p>
        </w:tc>
        <w:tc>
          <w:tcPr>
            <w:tcW w:w="5989" w:type="dxa"/>
            <w:shd w:val="clear" w:color="auto" w:fill="auto"/>
          </w:tcPr>
          <w:p w14:paraId="57AD802F" w14:textId="101AF614" w:rsidR="008B058F" w:rsidRDefault="008B058F" w:rsidP="008B058F">
            <w:pPr>
              <w:pStyle w:val="Normal1linespace"/>
              <w:widowControl w:val="0"/>
              <w:jc w:val="left"/>
            </w:pPr>
            <w:r>
              <w:t>DLA Piper</w:t>
            </w:r>
          </w:p>
        </w:tc>
      </w:tr>
      <w:tr w:rsidR="008B058F" w14:paraId="3C8C634C" w14:textId="77777777" w:rsidTr="00EC1B6B">
        <w:tc>
          <w:tcPr>
            <w:tcW w:w="3083" w:type="dxa"/>
            <w:shd w:val="clear" w:color="auto" w:fill="auto"/>
          </w:tcPr>
          <w:p w14:paraId="064E5FBC" w14:textId="77777777" w:rsidR="008B058F" w:rsidRDefault="008B058F" w:rsidP="008B058F">
            <w:pPr>
              <w:pStyle w:val="Normal1linespace"/>
              <w:widowControl w:val="0"/>
              <w:jc w:val="left"/>
            </w:pPr>
          </w:p>
        </w:tc>
        <w:tc>
          <w:tcPr>
            <w:tcW w:w="5989" w:type="dxa"/>
            <w:shd w:val="clear" w:color="auto" w:fill="auto"/>
          </w:tcPr>
          <w:p w14:paraId="07BB6E8A" w14:textId="77777777" w:rsidR="008B058F" w:rsidRDefault="008B058F" w:rsidP="008B058F">
            <w:pPr>
              <w:pStyle w:val="Normal1linespace"/>
              <w:widowControl w:val="0"/>
              <w:jc w:val="left"/>
            </w:pPr>
          </w:p>
        </w:tc>
      </w:tr>
      <w:tr w:rsidR="008B058F" w14:paraId="303ECFB9" w14:textId="77777777" w:rsidTr="00EC1B6B">
        <w:tc>
          <w:tcPr>
            <w:tcW w:w="3083" w:type="dxa"/>
            <w:shd w:val="clear" w:color="auto" w:fill="auto"/>
          </w:tcPr>
          <w:p w14:paraId="3171B15B" w14:textId="74B3BEDA" w:rsidR="008B058F" w:rsidRDefault="008B058F" w:rsidP="008B058F">
            <w:pPr>
              <w:pStyle w:val="Normal1linespace"/>
              <w:widowControl w:val="0"/>
              <w:jc w:val="left"/>
            </w:pPr>
            <w:r>
              <w:t>Counsel for the Second Respondent:</w:t>
            </w:r>
          </w:p>
        </w:tc>
        <w:tc>
          <w:tcPr>
            <w:tcW w:w="5989" w:type="dxa"/>
            <w:shd w:val="clear" w:color="auto" w:fill="auto"/>
          </w:tcPr>
          <w:p w14:paraId="71ADB67D" w14:textId="2EAD9873" w:rsidR="008B058F" w:rsidRDefault="008B058F" w:rsidP="008B058F">
            <w:pPr>
              <w:pStyle w:val="Normal1linespace"/>
              <w:widowControl w:val="0"/>
              <w:jc w:val="left"/>
            </w:pPr>
            <w:r>
              <w:t xml:space="preserve">Mr A </w:t>
            </w:r>
            <w:proofErr w:type="spellStart"/>
            <w:r>
              <w:t>A</w:t>
            </w:r>
            <w:proofErr w:type="spellEnd"/>
            <w:r>
              <w:t xml:space="preserve"> Segal </w:t>
            </w:r>
          </w:p>
        </w:tc>
      </w:tr>
      <w:tr w:rsidR="008B058F" w14:paraId="7C00BF53" w14:textId="77777777" w:rsidTr="00EC1B6B">
        <w:tc>
          <w:tcPr>
            <w:tcW w:w="3083" w:type="dxa"/>
            <w:shd w:val="clear" w:color="auto" w:fill="auto"/>
          </w:tcPr>
          <w:p w14:paraId="0383E2DB" w14:textId="77777777" w:rsidR="008B058F" w:rsidRDefault="008B058F" w:rsidP="008B058F">
            <w:pPr>
              <w:pStyle w:val="Normal1linespace"/>
              <w:widowControl w:val="0"/>
              <w:jc w:val="left"/>
            </w:pPr>
          </w:p>
        </w:tc>
        <w:tc>
          <w:tcPr>
            <w:tcW w:w="5989" w:type="dxa"/>
            <w:shd w:val="clear" w:color="auto" w:fill="auto"/>
          </w:tcPr>
          <w:p w14:paraId="75A2A780" w14:textId="77777777" w:rsidR="008B058F" w:rsidRDefault="008B058F" w:rsidP="008B058F">
            <w:pPr>
              <w:pStyle w:val="Normal1linespace"/>
              <w:widowControl w:val="0"/>
              <w:jc w:val="left"/>
            </w:pPr>
          </w:p>
        </w:tc>
      </w:tr>
      <w:tr w:rsidR="008B058F" w14:paraId="73AED926" w14:textId="77777777" w:rsidTr="00EC1B6B">
        <w:tc>
          <w:tcPr>
            <w:tcW w:w="3083" w:type="dxa"/>
            <w:shd w:val="clear" w:color="auto" w:fill="auto"/>
          </w:tcPr>
          <w:p w14:paraId="30FD1E81" w14:textId="15CD6EBC" w:rsidR="008B058F" w:rsidRDefault="008B058F" w:rsidP="008B058F">
            <w:pPr>
              <w:pStyle w:val="Normal1linespace"/>
              <w:widowControl w:val="0"/>
              <w:jc w:val="left"/>
            </w:pPr>
            <w:r>
              <w:t>Solicitor for the Second Respondent:</w:t>
            </w:r>
          </w:p>
        </w:tc>
        <w:tc>
          <w:tcPr>
            <w:tcW w:w="5989" w:type="dxa"/>
            <w:shd w:val="clear" w:color="auto" w:fill="auto"/>
          </w:tcPr>
          <w:p w14:paraId="79880EDB" w14:textId="051DD361" w:rsidR="008B058F" w:rsidRDefault="008B058F" w:rsidP="008B058F">
            <w:pPr>
              <w:pStyle w:val="Normal1linespace"/>
              <w:widowControl w:val="0"/>
              <w:jc w:val="left"/>
            </w:pPr>
            <w:r>
              <w:t>Hogan Lovells</w:t>
            </w:r>
          </w:p>
        </w:tc>
      </w:tr>
      <w:bookmarkEnd w:id="10"/>
    </w:tbl>
    <w:p w14:paraId="3EFBADC9" w14:textId="77777777" w:rsidR="007470BD" w:rsidRDefault="007470BD">
      <w:pPr>
        <w:pStyle w:val="Normal1linespace"/>
      </w:pPr>
    </w:p>
    <w:p w14:paraId="5846DF6B" w14:textId="77777777" w:rsidR="00E94CBF" w:rsidRDefault="00E94CBF">
      <w:pPr>
        <w:pStyle w:val="Normal1linespace"/>
      </w:pPr>
    </w:p>
    <w:p w14:paraId="31F5FF30"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54B9CD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32382E30" w14:textId="77777777" w:rsidTr="005113D1">
        <w:tc>
          <w:tcPr>
            <w:tcW w:w="6912" w:type="dxa"/>
            <w:gridSpan w:val="2"/>
          </w:tcPr>
          <w:p w14:paraId="00CBE99A" w14:textId="77777777" w:rsidR="00A46CCC" w:rsidRPr="001765E0" w:rsidRDefault="00A46CCC" w:rsidP="00525A49">
            <w:pPr>
              <w:pStyle w:val="NormalHeadings"/>
            </w:pPr>
          </w:p>
        </w:tc>
        <w:tc>
          <w:tcPr>
            <w:tcW w:w="2330" w:type="dxa"/>
          </w:tcPr>
          <w:p w14:paraId="48DF1BBE" w14:textId="6359C04D" w:rsidR="00A46CCC" w:rsidRDefault="00524DB2" w:rsidP="00F92355">
            <w:pPr>
              <w:pStyle w:val="NormalHeadings"/>
              <w:jc w:val="right"/>
            </w:pPr>
            <w:bookmarkStart w:id="12" w:name="FileNo"/>
            <w:r>
              <w:t>VID</w:t>
            </w:r>
            <w:r w:rsidR="00C174A1">
              <w:t xml:space="preserve"> </w:t>
            </w:r>
            <w:r>
              <w:t>510</w:t>
            </w:r>
            <w:r w:rsidR="005113D1">
              <w:t xml:space="preserve"> of </w:t>
            </w:r>
            <w:r>
              <w:t>2023</w:t>
            </w:r>
            <w:bookmarkEnd w:id="12"/>
          </w:p>
        </w:tc>
      </w:tr>
      <w:tr w:rsidR="00A46CCC" w14:paraId="37CD2D07" w14:textId="77777777" w:rsidTr="005113D1">
        <w:trPr>
          <w:trHeight w:val="386"/>
        </w:trPr>
        <w:tc>
          <w:tcPr>
            <w:tcW w:w="2376" w:type="dxa"/>
          </w:tcPr>
          <w:p w14:paraId="1847E154" w14:textId="77777777" w:rsidR="00A46CCC" w:rsidRDefault="00A46CCC">
            <w:pPr>
              <w:pStyle w:val="NormalHeadings"/>
              <w:jc w:val="left"/>
              <w:rPr>
                <w:caps/>
                <w:szCs w:val="24"/>
              </w:rPr>
            </w:pPr>
            <w:bookmarkStart w:id="13" w:name="Parties"/>
            <w:r>
              <w:rPr>
                <w:caps/>
                <w:szCs w:val="24"/>
              </w:rPr>
              <w:t>BETWEEN:</w:t>
            </w:r>
          </w:p>
        </w:tc>
        <w:tc>
          <w:tcPr>
            <w:tcW w:w="6866" w:type="dxa"/>
            <w:gridSpan w:val="2"/>
          </w:tcPr>
          <w:p w14:paraId="252A99E0" w14:textId="77777777" w:rsidR="006309CE" w:rsidRDefault="006309CE" w:rsidP="006309CE">
            <w:pPr>
              <w:pStyle w:val="NormalHeadings"/>
              <w:jc w:val="left"/>
            </w:pPr>
            <w:bookmarkStart w:id="14" w:name="Applicant"/>
            <w:r>
              <w:t>JULIAN FIDGE</w:t>
            </w:r>
          </w:p>
          <w:p w14:paraId="26B9B579" w14:textId="77777777" w:rsidR="006309CE" w:rsidRDefault="006309CE" w:rsidP="006309CE">
            <w:pPr>
              <w:pStyle w:val="PartyType"/>
            </w:pPr>
            <w:r>
              <w:t>Applicant</w:t>
            </w:r>
          </w:p>
          <w:bookmarkEnd w:id="14"/>
          <w:p w14:paraId="189C1B3A" w14:textId="6E5DFCD7" w:rsidR="00A46CCC" w:rsidRPr="006555B4" w:rsidRDefault="00A46CCC">
            <w:pPr>
              <w:pStyle w:val="NormalHeadings"/>
              <w:jc w:val="left"/>
            </w:pPr>
          </w:p>
        </w:tc>
      </w:tr>
      <w:tr w:rsidR="00A46CCC" w14:paraId="2AE95BB2" w14:textId="77777777" w:rsidTr="005113D1">
        <w:trPr>
          <w:trHeight w:val="386"/>
        </w:trPr>
        <w:tc>
          <w:tcPr>
            <w:tcW w:w="2376" w:type="dxa"/>
          </w:tcPr>
          <w:p w14:paraId="55453EC8" w14:textId="77777777" w:rsidR="00A46CCC" w:rsidRDefault="00A46CCC">
            <w:pPr>
              <w:pStyle w:val="NormalHeadings"/>
              <w:jc w:val="left"/>
              <w:rPr>
                <w:caps/>
                <w:szCs w:val="24"/>
              </w:rPr>
            </w:pPr>
            <w:r>
              <w:rPr>
                <w:caps/>
                <w:szCs w:val="24"/>
              </w:rPr>
              <w:t>AND:</w:t>
            </w:r>
          </w:p>
        </w:tc>
        <w:tc>
          <w:tcPr>
            <w:tcW w:w="6866" w:type="dxa"/>
            <w:gridSpan w:val="2"/>
          </w:tcPr>
          <w:p w14:paraId="1B892AE3" w14:textId="77777777" w:rsidR="006309CE" w:rsidRDefault="006309CE" w:rsidP="006309CE">
            <w:pPr>
              <w:pStyle w:val="NormalHeadings"/>
              <w:jc w:val="left"/>
            </w:pPr>
            <w:bookmarkStart w:id="15" w:name="Respondent"/>
            <w:r>
              <w:t>PFIZER AUSTRALIA PTY LTD</w:t>
            </w:r>
          </w:p>
          <w:p w14:paraId="27BBCE09" w14:textId="77777777" w:rsidR="006309CE" w:rsidRDefault="006309CE" w:rsidP="006309CE">
            <w:pPr>
              <w:pStyle w:val="PartyType"/>
            </w:pPr>
            <w:r>
              <w:t>First Respondent</w:t>
            </w:r>
          </w:p>
          <w:p w14:paraId="16398A24" w14:textId="77777777" w:rsidR="006309CE" w:rsidRDefault="006309CE">
            <w:pPr>
              <w:pStyle w:val="NormalHeadings"/>
              <w:jc w:val="left"/>
              <w:rPr>
                <w:szCs w:val="24"/>
              </w:rPr>
            </w:pPr>
          </w:p>
          <w:p w14:paraId="04B02720" w14:textId="77777777" w:rsidR="006309CE" w:rsidRDefault="006309CE" w:rsidP="006309CE">
            <w:pPr>
              <w:pStyle w:val="NormalHeadings"/>
              <w:jc w:val="left"/>
            </w:pPr>
            <w:r>
              <w:t>MODERNA AUSTRALIA PTY LTD</w:t>
            </w:r>
          </w:p>
          <w:p w14:paraId="5ACA56DC" w14:textId="77777777" w:rsidR="006309CE" w:rsidRDefault="006309CE" w:rsidP="006309CE">
            <w:pPr>
              <w:pStyle w:val="PartyType"/>
            </w:pPr>
            <w:r>
              <w:t>Second Respondent</w:t>
            </w:r>
          </w:p>
          <w:bookmarkEnd w:id="15"/>
          <w:p w14:paraId="5C86654E" w14:textId="74D998DD" w:rsidR="00A46CCC" w:rsidRPr="006555B4" w:rsidRDefault="00A46CCC">
            <w:pPr>
              <w:pStyle w:val="NormalHeadings"/>
              <w:jc w:val="left"/>
            </w:pPr>
          </w:p>
        </w:tc>
      </w:tr>
    </w:tbl>
    <w:p w14:paraId="556F86E4"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059D794" w14:textId="77777777">
        <w:tc>
          <w:tcPr>
            <w:tcW w:w="2376" w:type="dxa"/>
          </w:tcPr>
          <w:p w14:paraId="3296C0C1"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5C6D837A" w14:textId="6775D43E" w:rsidR="00395B24" w:rsidRDefault="006309CE">
            <w:pPr>
              <w:pStyle w:val="NormalHeadings"/>
              <w:jc w:val="left"/>
              <w:rPr>
                <w:caps/>
                <w:szCs w:val="24"/>
              </w:rPr>
            </w:pPr>
            <w:bookmarkStart w:id="18" w:name="Judge"/>
            <w:r>
              <w:rPr>
                <w:caps/>
                <w:szCs w:val="24"/>
              </w:rPr>
              <w:t>ROFE J</w:t>
            </w:r>
            <w:bookmarkEnd w:id="18"/>
          </w:p>
        </w:tc>
      </w:tr>
      <w:tr w:rsidR="00395B24" w14:paraId="646813B9" w14:textId="77777777">
        <w:tc>
          <w:tcPr>
            <w:tcW w:w="2376" w:type="dxa"/>
          </w:tcPr>
          <w:p w14:paraId="41B0370F" w14:textId="77777777" w:rsidR="00395B24" w:rsidRDefault="002C7385">
            <w:pPr>
              <w:pStyle w:val="NormalHeadings"/>
              <w:spacing w:after="120"/>
              <w:jc w:val="left"/>
              <w:rPr>
                <w:caps/>
                <w:szCs w:val="24"/>
              </w:rPr>
            </w:pPr>
            <w:r>
              <w:rPr>
                <w:caps/>
                <w:szCs w:val="24"/>
              </w:rPr>
              <w:t>DATE OF ORDER:</w:t>
            </w:r>
          </w:p>
        </w:tc>
        <w:tc>
          <w:tcPr>
            <w:tcW w:w="6866" w:type="dxa"/>
          </w:tcPr>
          <w:p w14:paraId="203D22AD" w14:textId="488A586F" w:rsidR="00395B24" w:rsidRPr="00190B59" w:rsidRDefault="00B91E7C">
            <w:pPr>
              <w:pStyle w:val="NormalHeadings"/>
              <w:jc w:val="left"/>
              <w:rPr>
                <w:caps/>
                <w:szCs w:val="24"/>
              </w:rPr>
            </w:pPr>
            <w:bookmarkStart w:id="19" w:name="Judgment_Dated"/>
            <w:bookmarkEnd w:id="19"/>
            <w:r w:rsidRPr="00190B59">
              <w:t xml:space="preserve">1 </w:t>
            </w:r>
            <w:r w:rsidR="00963AD0">
              <w:t>MARCH</w:t>
            </w:r>
            <w:r w:rsidR="00D372CD" w:rsidRPr="00190B59">
              <w:t xml:space="preserve"> 2024</w:t>
            </w:r>
          </w:p>
        </w:tc>
      </w:tr>
    </w:tbl>
    <w:p w14:paraId="07C987FD" w14:textId="77777777" w:rsidR="00395B24" w:rsidRDefault="00395B24">
      <w:pPr>
        <w:pStyle w:val="NormalHeadings"/>
        <w:rPr>
          <w:b w:val="0"/>
        </w:rPr>
      </w:pPr>
    </w:p>
    <w:p w14:paraId="597297FA" w14:textId="77777777" w:rsidR="008D1617" w:rsidRDefault="008D1617">
      <w:pPr>
        <w:pStyle w:val="NormalHeadings"/>
        <w:rPr>
          <w:b w:val="0"/>
        </w:rPr>
      </w:pPr>
    </w:p>
    <w:p w14:paraId="1C3D2BF6" w14:textId="77777777" w:rsidR="00395B24" w:rsidRDefault="002C7385">
      <w:pPr>
        <w:pStyle w:val="NormalHeadings"/>
      </w:pPr>
      <w:r>
        <w:t>THE COURT ORDERS THAT:</w:t>
      </w:r>
    </w:p>
    <w:p w14:paraId="71CC438C" w14:textId="77777777" w:rsidR="007F60DF" w:rsidRDefault="007F60DF" w:rsidP="00243E5E">
      <w:pPr>
        <w:pStyle w:val="NormalHeadings"/>
      </w:pPr>
    </w:p>
    <w:p w14:paraId="2EA3142B" w14:textId="78412ACC" w:rsidR="00E83FAC" w:rsidRDefault="0026564F" w:rsidP="0026564F">
      <w:pPr>
        <w:pStyle w:val="Order1"/>
        <w:numPr>
          <w:ilvl w:val="0"/>
          <w:numId w:val="0"/>
        </w:numPr>
        <w:tabs>
          <w:tab w:val="left" w:pos="720"/>
        </w:tabs>
        <w:ind w:left="720" w:hanging="720"/>
      </w:pPr>
      <w:r>
        <w:t>1.</w:t>
      </w:r>
      <w:r>
        <w:tab/>
      </w:r>
      <w:r w:rsidR="00E83FAC">
        <w:t>Pursuant to s</w:t>
      </w:r>
      <w:r w:rsidR="0055172C">
        <w:t xml:space="preserve"> </w:t>
      </w:r>
      <w:r w:rsidR="00E83FAC">
        <w:t xml:space="preserve">31A(2) of the </w:t>
      </w:r>
      <w:r w:rsidR="00E83FAC" w:rsidRPr="00E83FAC">
        <w:rPr>
          <w:i/>
          <w:iCs/>
        </w:rPr>
        <w:t xml:space="preserve">Federal Court of Australia Act 1976 </w:t>
      </w:r>
      <w:r w:rsidR="00E83FAC">
        <w:t>(</w:t>
      </w:r>
      <w:proofErr w:type="spellStart"/>
      <w:r w:rsidR="00E83FAC">
        <w:t>Cth</w:t>
      </w:r>
      <w:proofErr w:type="spellEnd"/>
      <w:r w:rsidR="00E83FAC">
        <w:t>)</w:t>
      </w:r>
      <w:r w:rsidR="0055172C">
        <w:t xml:space="preserve"> and r 26.01(1)(a), (c) and (d) of the </w:t>
      </w:r>
      <w:r w:rsidR="0055172C">
        <w:rPr>
          <w:i/>
          <w:iCs/>
        </w:rPr>
        <w:t xml:space="preserve">Federal Court Rules 2011 </w:t>
      </w:r>
      <w:r w:rsidR="0055172C">
        <w:t>(</w:t>
      </w:r>
      <w:proofErr w:type="spellStart"/>
      <w:r w:rsidR="0055172C">
        <w:t>Cth</w:t>
      </w:r>
      <w:proofErr w:type="spellEnd"/>
      <w:r w:rsidR="0055172C">
        <w:t>)</w:t>
      </w:r>
      <w:r w:rsidR="00E83FAC">
        <w:t>, the proceeding</w:t>
      </w:r>
      <w:r w:rsidR="0055172C">
        <w:t>s</w:t>
      </w:r>
      <w:r w:rsidR="00E83FAC">
        <w:t xml:space="preserve"> against the </w:t>
      </w:r>
      <w:r w:rsidR="0055172C">
        <w:t xml:space="preserve">first respondent and second respondent </w:t>
      </w:r>
      <w:r w:rsidR="00E83FAC">
        <w:t xml:space="preserve">be dismissed on the grounds that the </w:t>
      </w:r>
      <w:r w:rsidR="0055172C">
        <w:t>a</w:t>
      </w:r>
      <w:r w:rsidR="00E83FAC">
        <w:t>pplicant has no reasonable prospect of successfully prosecuting the proceeding</w:t>
      </w:r>
      <w:r w:rsidR="0055172C">
        <w:t>s</w:t>
      </w:r>
      <w:r w:rsidR="00E83FAC">
        <w:t xml:space="preserve"> against the</w:t>
      </w:r>
      <w:r w:rsidR="0055172C">
        <w:t xml:space="preserve"> respondents </w:t>
      </w:r>
      <w:r w:rsidR="00E83FAC">
        <w:t xml:space="preserve">because the </w:t>
      </w:r>
      <w:r w:rsidR="0055172C">
        <w:t>a</w:t>
      </w:r>
      <w:r w:rsidR="00E83FAC">
        <w:t>pplicant is not an “aggrieved person” within the meaning of s</w:t>
      </w:r>
      <w:r w:rsidR="0055172C">
        <w:t xml:space="preserve"> </w:t>
      </w:r>
      <w:r w:rsidR="00E83FAC">
        <w:t xml:space="preserve">147(1) of the </w:t>
      </w:r>
      <w:r w:rsidR="00E83FAC" w:rsidRPr="00E83FAC">
        <w:rPr>
          <w:i/>
          <w:iCs/>
        </w:rPr>
        <w:t xml:space="preserve">Gene Technology Act 2001 </w:t>
      </w:r>
      <w:r w:rsidR="00E83FAC">
        <w:t>(</w:t>
      </w:r>
      <w:proofErr w:type="spellStart"/>
      <w:r w:rsidR="00E83FAC">
        <w:t>Cth</w:t>
      </w:r>
      <w:proofErr w:type="spellEnd"/>
      <w:r w:rsidR="00E83FAC">
        <w:t xml:space="preserve">), and otherwise has no standing to bring the proceeding. </w:t>
      </w:r>
    </w:p>
    <w:p w14:paraId="39C02243" w14:textId="1064709F" w:rsidR="00E83FAC" w:rsidRDefault="0026564F" w:rsidP="0026564F">
      <w:pPr>
        <w:pStyle w:val="Order1"/>
        <w:numPr>
          <w:ilvl w:val="0"/>
          <w:numId w:val="0"/>
        </w:numPr>
        <w:tabs>
          <w:tab w:val="left" w:pos="720"/>
        </w:tabs>
        <w:ind w:left="720" w:hanging="720"/>
      </w:pPr>
      <w:r>
        <w:t>2.</w:t>
      </w:r>
      <w:r>
        <w:tab/>
      </w:r>
      <w:r w:rsidR="00E83FAC">
        <w:t xml:space="preserve">The </w:t>
      </w:r>
      <w:r w:rsidR="0055172C">
        <w:t>a</w:t>
      </w:r>
      <w:r w:rsidR="00E83FAC">
        <w:t xml:space="preserve">pplicant pay the </w:t>
      </w:r>
      <w:r w:rsidR="0055172C">
        <w:t>f</w:t>
      </w:r>
      <w:r w:rsidR="00E83FAC">
        <w:t xml:space="preserve">irst </w:t>
      </w:r>
      <w:r w:rsidR="0055172C">
        <w:t>r</w:t>
      </w:r>
      <w:r w:rsidR="00E83FAC">
        <w:t>espondent’s</w:t>
      </w:r>
      <w:r w:rsidR="0055172C">
        <w:t xml:space="preserve"> and second respondent’s</w:t>
      </w:r>
      <w:r w:rsidR="00E83FAC">
        <w:t xml:space="preserve"> costs of</w:t>
      </w:r>
      <w:r w:rsidR="00944AD6">
        <w:t>,</w:t>
      </w:r>
      <w:r w:rsidR="00E83FAC">
        <w:t xml:space="preserve"> and incidental to</w:t>
      </w:r>
      <w:r w:rsidR="00944AD6">
        <w:t>,</w:t>
      </w:r>
      <w:r w:rsidR="00E83FAC">
        <w:t xml:space="preserve"> the proceeding. </w:t>
      </w:r>
    </w:p>
    <w:p w14:paraId="44484121" w14:textId="77777777" w:rsidR="001A6C52" w:rsidRDefault="001A6C52" w:rsidP="0055172C">
      <w:pPr>
        <w:pStyle w:val="Order1"/>
        <w:numPr>
          <w:ilvl w:val="0"/>
          <w:numId w:val="0"/>
        </w:numPr>
      </w:pPr>
    </w:p>
    <w:p w14:paraId="22F75ECA" w14:textId="77777777" w:rsidR="001A6C52" w:rsidRDefault="001A6C52" w:rsidP="001A6C52">
      <w:pPr>
        <w:pStyle w:val="BodyText"/>
      </w:pPr>
    </w:p>
    <w:p w14:paraId="06FC3005" w14:textId="77777777" w:rsidR="00A431E6" w:rsidRDefault="00A431E6" w:rsidP="001A6C52">
      <w:pPr>
        <w:pStyle w:val="BodyText"/>
      </w:pPr>
    </w:p>
    <w:p w14:paraId="13CAF1FB" w14:textId="1700D687" w:rsidR="0050309C" w:rsidRDefault="006309CE"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BB1EC91" w14:textId="77777777" w:rsidR="00E23577" w:rsidRDefault="00E23577" w:rsidP="002B0E91">
      <w:pPr>
        <w:pStyle w:val="BodyText"/>
      </w:pPr>
    </w:p>
    <w:p w14:paraId="23CD7455"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BF4ABE2"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1472D020" w14:textId="1B77E727" w:rsidR="00694BEB" w:rsidRDefault="005113D1" w:rsidP="005E0510">
      <w:pPr>
        <w:pStyle w:val="NormalHeadings"/>
        <w:spacing w:line="360" w:lineRule="auto"/>
        <w:jc w:val="left"/>
        <w:rPr>
          <w:sz w:val="26"/>
          <w:szCs w:val="26"/>
        </w:rPr>
      </w:pPr>
      <w:r>
        <w:rPr>
          <w:sz w:val="26"/>
          <w:szCs w:val="26"/>
        </w:rPr>
        <w:t>ROFE J</w:t>
      </w:r>
    </w:p>
    <w:p w14:paraId="7D1D57E3" w14:textId="1AFAB8BA" w:rsidR="005B3759" w:rsidRDefault="0026564F" w:rsidP="0026564F">
      <w:pPr>
        <w:pStyle w:val="Heading5"/>
        <w:numPr>
          <w:ilvl w:val="0"/>
          <w:numId w:val="0"/>
        </w:numPr>
        <w:tabs>
          <w:tab w:val="left" w:pos="1134"/>
        </w:tabs>
        <w:ind w:left="1134" w:hanging="1134"/>
      </w:pPr>
      <w:r>
        <w:t>1.</w:t>
      </w:r>
      <w:r>
        <w:tab/>
      </w:r>
      <w:r w:rsidR="004E360D">
        <w:t>INTRODUCTION</w:t>
      </w:r>
    </w:p>
    <w:p w14:paraId="55A532D3" w14:textId="781D66B9" w:rsidR="00EB5EA9" w:rsidRDefault="0026564F" w:rsidP="0026564F">
      <w:pPr>
        <w:pStyle w:val="ParaNumbering"/>
        <w:numPr>
          <w:ilvl w:val="0"/>
          <w:numId w:val="0"/>
        </w:numPr>
        <w:tabs>
          <w:tab w:val="left" w:pos="720"/>
        </w:tabs>
        <w:ind w:hanging="720"/>
      </w:pPr>
      <w:r>
        <w:rPr>
          <w:sz w:val="20"/>
        </w:rPr>
        <w:t>1</w:t>
      </w:r>
      <w:r>
        <w:rPr>
          <w:sz w:val="20"/>
        </w:rPr>
        <w:tab/>
      </w:r>
      <w:r w:rsidR="00A9277A">
        <w:t xml:space="preserve">On </w:t>
      </w:r>
      <w:r w:rsidR="009031A0">
        <w:t>6</w:t>
      </w:r>
      <w:r w:rsidR="00A9277A">
        <w:t xml:space="preserve"> July 2023, t</w:t>
      </w:r>
      <w:r w:rsidR="005B3759">
        <w:t xml:space="preserve">he applicant </w:t>
      </w:r>
      <w:r w:rsidR="00A9277A">
        <w:t>filed an application seeking</w:t>
      </w:r>
      <w:r w:rsidR="005B3759">
        <w:t xml:space="preserve"> injunctive relief against the first respondent, </w:t>
      </w:r>
      <w:r w:rsidR="005B3759" w:rsidRPr="005B3759">
        <w:rPr>
          <w:b/>
          <w:bCs/>
        </w:rPr>
        <w:t>Pfizer</w:t>
      </w:r>
      <w:r w:rsidR="005B3759">
        <w:t xml:space="preserve"> Australia Pty Ltd, and the second respondent, </w:t>
      </w:r>
      <w:r w:rsidR="005B3759" w:rsidRPr="005B3759">
        <w:rPr>
          <w:b/>
          <w:bCs/>
        </w:rPr>
        <w:t>Moderna</w:t>
      </w:r>
      <w:r w:rsidR="005B3759">
        <w:t xml:space="preserve"> Australia Pty Ltd</w:t>
      </w:r>
      <w:r w:rsidR="00546B6E">
        <w:t xml:space="preserve">, </w:t>
      </w:r>
      <w:r w:rsidR="005B3759">
        <w:t xml:space="preserve">pursuant to s 147(1) of the </w:t>
      </w:r>
      <w:r w:rsidR="005B3759" w:rsidRPr="00C77296">
        <w:rPr>
          <w:i/>
          <w:iCs/>
        </w:rPr>
        <w:t xml:space="preserve">Gene Technology Act 2000 </w:t>
      </w:r>
      <w:r w:rsidR="005B3759" w:rsidRPr="00C77296">
        <w:t>(</w:t>
      </w:r>
      <w:proofErr w:type="spellStart"/>
      <w:r w:rsidR="005B3759" w:rsidRPr="00C77296">
        <w:t>Cth</w:t>
      </w:r>
      <w:proofErr w:type="spellEnd"/>
      <w:r w:rsidR="005B3759" w:rsidRPr="00C77296">
        <w:t>)</w:t>
      </w:r>
      <w:r w:rsidR="00EA405E" w:rsidRPr="00E317F5">
        <w:t xml:space="preserve"> (</w:t>
      </w:r>
      <w:r w:rsidR="00EA405E" w:rsidRPr="00E317F5">
        <w:rPr>
          <w:b/>
          <w:bCs/>
        </w:rPr>
        <w:t>GTA</w:t>
      </w:r>
      <w:r w:rsidR="00EF0309" w:rsidRPr="00E317F5">
        <w:rPr>
          <w:b/>
          <w:bCs/>
        </w:rPr>
        <w:t xml:space="preserve"> </w:t>
      </w:r>
      <w:r w:rsidR="00EF0309" w:rsidRPr="00E317F5">
        <w:t xml:space="preserve">or the </w:t>
      </w:r>
      <w:r w:rsidR="00EF0309" w:rsidRPr="00E317F5">
        <w:rPr>
          <w:b/>
          <w:bCs/>
        </w:rPr>
        <w:t>A</w:t>
      </w:r>
      <w:r w:rsidR="00EF0309" w:rsidRPr="00EF0309">
        <w:rPr>
          <w:b/>
          <w:bCs/>
        </w:rPr>
        <w:t>ct</w:t>
      </w:r>
      <w:r w:rsidR="00EA405E">
        <w:t>)</w:t>
      </w:r>
      <w:r w:rsidR="005B3759">
        <w:t xml:space="preserve">. </w:t>
      </w:r>
      <w:r w:rsidR="00A9277A">
        <w:t xml:space="preserve">The application was amended on </w:t>
      </w:r>
      <w:r w:rsidR="00BE4A10">
        <w:t xml:space="preserve">14 August 2023. </w:t>
      </w:r>
    </w:p>
    <w:p w14:paraId="54A6E2BC" w14:textId="53B8EB08" w:rsidR="003C5DDA" w:rsidRDefault="0026564F" w:rsidP="0026564F">
      <w:pPr>
        <w:pStyle w:val="ParaNumbering"/>
        <w:numPr>
          <w:ilvl w:val="0"/>
          <w:numId w:val="0"/>
        </w:numPr>
        <w:tabs>
          <w:tab w:val="left" w:pos="720"/>
        </w:tabs>
        <w:ind w:hanging="720"/>
      </w:pPr>
      <w:r>
        <w:rPr>
          <w:sz w:val="20"/>
        </w:rPr>
        <w:t>2</w:t>
      </w:r>
      <w:r>
        <w:rPr>
          <w:sz w:val="20"/>
        </w:rPr>
        <w:tab/>
      </w:r>
      <w:r w:rsidR="00237D76">
        <w:t>Relief is sought on the basis</w:t>
      </w:r>
      <w:r w:rsidR="003C5DDA">
        <w:t xml:space="preserve"> that</w:t>
      </w:r>
      <w:r w:rsidR="00237D76">
        <w:t>, according to the applicant,</w:t>
      </w:r>
      <w:r w:rsidR="003C5DDA">
        <w:t xml:space="preserve"> </w:t>
      </w:r>
      <w:r w:rsidR="00237D76">
        <w:t>the</w:t>
      </w:r>
      <w:r w:rsidR="003C5DDA">
        <w:t xml:space="preserve"> Covid-19 vaccine</w:t>
      </w:r>
      <w:r w:rsidR="003C5DDA" w:rsidRPr="009E6E01">
        <w:t xml:space="preserve">s sponsored by Moderna and Pfizer are, or contain, genetically modified organisms </w:t>
      </w:r>
      <w:r w:rsidR="000D5BBA" w:rsidRPr="009E6E01">
        <w:t>(as defined in s</w:t>
      </w:r>
      <w:r w:rsidR="000E70F6">
        <w:t xml:space="preserve"> </w:t>
      </w:r>
      <w:r w:rsidR="008A1037" w:rsidRPr="009E6E01">
        <w:t>10 of the Act)</w:t>
      </w:r>
      <w:r w:rsidR="000E70F6">
        <w:t xml:space="preserve"> </w:t>
      </w:r>
      <w:r w:rsidR="003C5DDA" w:rsidRPr="009E6E01">
        <w:t>(</w:t>
      </w:r>
      <w:r w:rsidR="003C5DDA" w:rsidRPr="009E6E01">
        <w:rPr>
          <w:b/>
          <w:bCs/>
        </w:rPr>
        <w:t>GMO</w:t>
      </w:r>
      <w:r w:rsidR="001B2A31">
        <w:rPr>
          <w:b/>
          <w:bCs/>
        </w:rPr>
        <w:t>s</w:t>
      </w:r>
      <w:r w:rsidR="003C5DDA" w:rsidRPr="009E6E01">
        <w:t>) an</w:t>
      </w:r>
      <w:r w:rsidR="0055340B" w:rsidRPr="009E6E01">
        <w:t xml:space="preserve">d therefore </w:t>
      </w:r>
      <w:r w:rsidR="00237D76" w:rsidRPr="009E6E01">
        <w:t>the respondents</w:t>
      </w:r>
      <w:r w:rsidR="00981078" w:rsidRPr="009E6E01">
        <w:t xml:space="preserve"> </w:t>
      </w:r>
      <w:r w:rsidR="0055340B" w:rsidRPr="009E6E01">
        <w:t>were required to obtain licences under the Act</w:t>
      </w:r>
      <w:r w:rsidR="0055340B">
        <w:t xml:space="preserve"> to </w:t>
      </w:r>
      <w:r w:rsidR="00F9229A">
        <w:t xml:space="preserve">supply </w:t>
      </w:r>
      <w:r w:rsidR="0055340B">
        <w:t xml:space="preserve">these products </w:t>
      </w:r>
      <w:r w:rsidR="00F9229A">
        <w:t xml:space="preserve">for administration to patients </w:t>
      </w:r>
      <w:r w:rsidR="0055340B">
        <w:t xml:space="preserve">but failed to do so. </w:t>
      </w:r>
      <w:r w:rsidR="00141279">
        <w:t>Pfizer and Moderna deny that the vaccines are</w:t>
      </w:r>
      <w:r w:rsidR="00A125EB">
        <w:t xml:space="preserve">, or contain, GMOs. </w:t>
      </w:r>
      <w:r w:rsidR="00432AB7">
        <w:t xml:space="preserve">The position of the relevant regulator under the Act, the </w:t>
      </w:r>
      <w:r w:rsidR="00432AB7" w:rsidRPr="0045648D">
        <w:t>Office of the Gene Technology Regulator (</w:t>
      </w:r>
      <w:r w:rsidR="00432AB7" w:rsidRPr="0045648D">
        <w:rPr>
          <w:b/>
          <w:bCs/>
        </w:rPr>
        <w:t>O</w:t>
      </w:r>
      <w:r w:rsidR="00BE68A8">
        <w:rPr>
          <w:b/>
          <w:bCs/>
        </w:rPr>
        <w:t>G</w:t>
      </w:r>
      <w:r w:rsidR="00432AB7" w:rsidRPr="0045648D">
        <w:rPr>
          <w:b/>
          <w:bCs/>
        </w:rPr>
        <w:t>TR</w:t>
      </w:r>
      <w:r w:rsidR="00432AB7" w:rsidRPr="0045648D">
        <w:t>)</w:t>
      </w:r>
      <w:r w:rsidR="00432AB7">
        <w:t>, is that the vaccines are not GMOs and therefore the respondent</w:t>
      </w:r>
      <w:r w:rsidR="003735E0">
        <w:t>s</w:t>
      </w:r>
      <w:r w:rsidR="00432AB7">
        <w:t xml:space="preserve"> were not required to obtain licences. </w:t>
      </w:r>
      <w:r w:rsidR="008A1037">
        <w:t>T</w:t>
      </w:r>
      <w:r w:rsidR="00432AB7">
        <w:t>he applicant has not sought any relief against the OG</w:t>
      </w:r>
      <w:r w:rsidR="00BE68A8">
        <w:t>T</w:t>
      </w:r>
      <w:r w:rsidR="00432AB7">
        <w:t xml:space="preserve">R. </w:t>
      </w:r>
    </w:p>
    <w:p w14:paraId="0EC82559" w14:textId="0B76481B" w:rsidR="007B3B7D" w:rsidRPr="00E317F5" w:rsidRDefault="0026564F" w:rsidP="0026564F">
      <w:pPr>
        <w:pStyle w:val="ParaNumbering"/>
        <w:numPr>
          <w:ilvl w:val="0"/>
          <w:numId w:val="0"/>
        </w:numPr>
        <w:tabs>
          <w:tab w:val="left" w:pos="720"/>
        </w:tabs>
        <w:ind w:hanging="720"/>
      </w:pPr>
      <w:r w:rsidRPr="00E317F5">
        <w:rPr>
          <w:sz w:val="20"/>
        </w:rPr>
        <w:t>3</w:t>
      </w:r>
      <w:r w:rsidRPr="00E317F5">
        <w:rPr>
          <w:sz w:val="20"/>
        </w:rPr>
        <w:tab/>
      </w:r>
      <w:r w:rsidR="00BE4A10">
        <w:t xml:space="preserve">The respondents </w:t>
      </w:r>
      <w:r w:rsidR="00F9229A">
        <w:t>contend</w:t>
      </w:r>
      <w:r w:rsidR="00BE4A10">
        <w:t xml:space="preserve"> t</w:t>
      </w:r>
      <w:r w:rsidR="00A04826">
        <w:t>hat the applicant is not</w:t>
      </w:r>
      <w:r w:rsidR="00BE68A8">
        <w:t xml:space="preserve"> an</w:t>
      </w:r>
      <w:r w:rsidR="00A04826">
        <w:t xml:space="preserve"> “aggrieved person” with</w:t>
      </w:r>
      <w:r w:rsidR="003735E0">
        <w:t>in the meaning of</w:t>
      </w:r>
      <w:r w:rsidR="00A04826">
        <w:t xml:space="preserve"> s 147(1) of the Act and therefore lacks standing to bring the application. On that basis, the respondents </w:t>
      </w:r>
      <w:r w:rsidR="00465052">
        <w:t>have sought summary judgment against the applica</w:t>
      </w:r>
      <w:r w:rsidR="00636181">
        <w:t>nt</w:t>
      </w:r>
      <w:r w:rsidR="00465052">
        <w:t xml:space="preserve"> </w:t>
      </w:r>
      <w:r w:rsidR="00465052" w:rsidRPr="00465052">
        <w:t xml:space="preserve">pursuant to s 31A(2) of the </w:t>
      </w:r>
      <w:r w:rsidR="00465052" w:rsidRPr="00C77296">
        <w:rPr>
          <w:i/>
          <w:iCs/>
        </w:rPr>
        <w:t xml:space="preserve">Federal Court of Australia Act 1976 </w:t>
      </w:r>
      <w:r w:rsidR="00465052" w:rsidRPr="00C77296">
        <w:t>(</w:t>
      </w:r>
      <w:proofErr w:type="spellStart"/>
      <w:r w:rsidR="00465052" w:rsidRPr="00C77296">
        <w:t>Cth</w:t>
      </w:r>
      <w:proofErr w:type="spellEnd"/>
      <w:r w:rsidR="00465052" w:rsidRPr="00C77296">
        <w:t>)</w:t>
      </w:r>
      <w:r w:rsidR="00465052" w:rsidRPr="00E317F5">
        <w:t xml:space="preserve"> (</w:t>
      </w:r>
      <w:r w:rsidR="00465052" w:rsidRPr="00E317F5">
        <w:rPr>
          <w:b/>
          <w:bCs/>
        </w:rPr>
        <w:t>FCA Act</w:t>
      </w:r>
      <w:r w:rsidR="00465052" w:rsidRPr="00E317F5">
        <w:t>)</w:t>
      </w:r>
      <w:r w:rsidR="00465052" w:rsidRPr="00E317F5">
        <w:rPr>
          <w:b/>
          <w:bCs/>
        </w:rPr>
        <w:t xml:space="preserve"> </w:t>
      </w:r>
      <w:r w:rsidR="00910782" w:rsidRPr="00E317F5">
        <w:t>and</w:t>
      </w:r>
      <w:r w:rsidR="00465052" w:rsidRPr="00E317F5">
        <w:t xml:space="preserve"> </w:t>
      </w:r>
      <w:r w:rsidR="00465052" w:rsidRPr="00465052">
        <w:t xml:space="preserve">r 26.01(1) of the </w:t>
      </w:r>
      <w:r w:rsidR="00465052" w:rsidRPr="00C77296">
        <w:rPr>
          <w:i/>
          <w:iCs/>
        </w:rPr>
        <w:t xml:space="preserve">Federal Court </w:t>
      </w:r>
      <w:r w:rsidR="00465052" w:rsidRPr="00C77296">
        <w:rPr>
          <w:b/>
          <w:bCs/>
          <w:i/>
          <w:iCs/>
        </w:rPr>
        <w:t>Rules</w:t>
      </w:r>
      <w:r w:rsidR="00465052" w:rsidRPr="00C77296">
        <w:rPr>
          <w:i/>
          <w:iCs/>
        </w:rPr>
        <w:t xml:space="preserve"> 2011 </w:t>
      </w:r>
      <w:r w:rsidR="00465052" w:rsidRPr="00C77296">
        <w:t>(</w:t>
      </w:r>
      <w:proofErr w:type="spellStart"/>
      <w:r w:rsidR="00465052" w:rsidRPr="00C77296">
        <w:t>Cth</w:t>
      </w:r>
      <w:proofErr w:type="spellEnd"/>
      <w:r w:rsidR="00465052" w:rsidRPr="00C77296">
        <w:t>)</w:t>
      </w:r>
      <w:r w:rsidR="00465052" w:rsidRPr="00E317F5">
        <w:t>.</w:t>
      </w:r>
      <w:r w:rsidR="004A2C34" w:rsidRPr="00E317F5">
        <w:t xml:space="preserve"> </w:t>
      </w:r>
    </w:p>
    <w:p w14:paraId="171C7D7C" w14:textId="1206018D" w:rsidR="00667965" w:rsidRDefault="0026564F" w:rsidP="0026564F">
      <w:pPr>
        <w:pStyle w:val="ParaNumbering"/>
        <w:numPr>
          <w:ilvl w:val="0"/>
          <w:numId w:val="0"/>
        </w:numPr>
        <w:tabs>
          <w:tab w:val="left" w:pos="720"/>
        </w:tabs>
        <w:ind w:hanging="720"/>
      </w:pPr>
      <w:r>
        <w:rPr>
          <w:sz w:val="20"/>
        </w:rPr>
        <w:t>4</w:t>
      </w:r>
      <w:r>
        <w:rPr>
          <w:sz w:val="20"/>
        </w:rPr>
        <w:tab/>
      </w:r>
      <w:r w:rsidR="00EC03AB">
        <w:t xml:space="preserve">The applicant, Dr Julian Fidge, asserts that he has standing under s 147(1) of the Act on a number of grounds, including </w:t>
      </w:r>
      <w:r w:rsidR="00667965">
        <w:t>his:</w:t>
      </w:r>
    </w:p>
    <w:p w14:paraId="3B06BBDD" w14:textId="13A73E19" w:rsidR="00667965" w:rsidRDefault="0026564F" w:rsidP="0026564F">
      <w:pPr>
        <w:pStyle w:val="ListNo1alt"/>
        <w:numPr>
          <w:ilvl w:val="0"/>
          <w:numId w:val="0"/>
        </w:numPr>
        <w:tabs>
          <w:tab w:val="left" w:pos="720"/>
        </w:tabs>
        <w:ind w:left="720" w:hanging="720"/>
      </w:pPr>
      <w:r>
        <w:t>(a)</w:t>
      </w:r>
      <w:r>
        <w:tab/>
      </w:r>
      <w:r w:rsidR="00667965">
        <w:t xml:space="preserve">“professional capacity” as a </w:t>
      </w:r>
      <w:r w:rsidR="00654E8D">
        <w:t>general practitioner (</w:t>
      </w:r>
      <w:r w:rsidR="00667965" w:rsidRPr="005A1478">
        <w:rPr>
          <w:b/>
          <w:bCs/>
        </w:rPr>
        <w:t>GP</w:t>
      </w:r>
      <w:r w:rsidR="00654E8D">
        <w:t>)</w:t>
      </w:r>
      <w:r w:rsidR="00667965">
        <w:t xml:space="preserve"> who has overseen the administration of more tha</w:t>
      </w:r>
      <w:r w:rsidR="00654E8D">
        <w:t>n</w:t>
      </w:r>
      <w:r w:rsidR="00667965">
        <w:t xml:space="preserve"> 10,000 Covid-19 vaccinations;</w:t>
      </w:r>
    </w:p>
    <w:p w14:paraId="0C61E182" w14:textId="58F394FB" w:rsidR="00667965" w:rsidRDefault="0026564F" w:rsidP="0026564F">
      <w:pPr>
        <w:pStyle w:val="ListNo1alt"/>
        <w:numPr>
          <w:ilvl w:val="0"/>
          <w:numId w:val="0"/>
        </w:numPr>
        <w:tabs>
          <w:tab w:val="left" w:pos="720"/>
        </w:tabs>
        <w:ind w:left="720" w:hanging="720"/>
      </w:pPr>
      <w:r>
        <w:t>(b)</w:t>
      </w:r>
      <w:r>
        <w:tab/>
      </w:r>
      <w:r w:rsidR="00667965">
        <w:t>“personal capacity” as the recipient of three Pfizer vaccines;</w:t>
      </w:r>
    </w:p>
    <w:p w14:paraId="2214F200" w14:textId="2E96597B" w:rsidR="00667965" w:rsidRDefault="0026564F" w:rsidP="0026564F">
      <w:pPr>
        <w:pStyle w:val="ListNo1alt"/>
        <w:numPr>
          <w:ilvl w:val="0"/>
          <w:numId w:val="0"/>
        </w:numPr>
        <w:tabs>
          <w:tab w:val="left" w:pos="720"/>
        </w:tabs>
        <w:ind w:left="720" w:hanging="720"/>
      </w:pPr>
      <w:r>
        <w:t>(c)</w:t>
      </w:r>
      <w:r>
        <w:tab/>
      </w:r>
      <w:r w:rsidR="00667965">
        <w:t xml:space="preserve">“private capacity” due to </w:t>
      </w:r>
      <w:r w:rsidR="00D94447">
        <w:t>“</w:t>
      </w:r>
      <w:r w:rsidR="00A50DC1">
        <w:t xml:space="preserve">experiencing </w:t>
      </w:r>
      <w:r w:rsidR="00D94447">
        <w:t xml:space="preserve">severe </w:t>
      </w:r>
      <w:r w:rsidR="00667965">
        <w:t>moral injury</w:t>
      </w:r>
      <w:r w:rsidR="00523AC7">
        <w:t>, mental harm</w:t>
      </w:r>
      <w:r w:rsidR="00667965">
        <w:t xml:space="preserve"> and suffering</w:t>
      </w:r>
      <w:r w:rsidR="00523AC7">
        <w:t>”</w:t>
      </w:r>
      <w:r w:rsidR="00667965">
        <w:t xml:space="preserve"> </w:t>
      </w:r>
      <w:r w:rsidR="00A50DC1">
        <w:t>by reason of the</w:t>
      </w:r>
      <w:r w:rsidR="00667965">
        <w:t xml:space="preserve"> reported side effects of the Pfizer and Moderna vaccines; and </w:t>
      </w:r>
    </w:p>
    <w:p w14:paraId="18949F34" w14:textId="111A074A" w:rsidR="00667965" w:rsidRDefault="0026564F" w:rsidP="0026564F">
      <w:pPr>
        <w:pStyle w:val="ListNo1alt"/>
        <w:numPr>
          <w:ilvl w:val="0"/>
          <w:numId w:val="0"/>
        </w:numPr>
        <w:tabs>
          <w:tab w:val="left" w:pos="720"/>
        </w:tabs>
        <w:ind w:left="720" w:hanging="720"/>
      </w:pPr>
      <w:r>
        <w:t>(d)</w:t>
      </w:r>
      <w:r>
        <w:tab/>
      </w:r>
      <w:r w:rsidR="00667965">
        <w:t>“public capacity” as a doctor subject to a duty to preserve human life and protect the health and safety of the public.</w:t>
      </w:r>
    </w:p>
    <w:p w14:paraId="1C386353" w14:textId="48E84132" w:rsidR="00125B2D" w:rsidRDefault="0026564F" w:rsidP="0026564F">
      <w:pPr>
        <w:pStyle w:val="ParaNumbering"/>
        <w:numPr>
          <w:ilvl w:val="0"/>
          <w:numId w:val="0"/>
        </w:numPr>
        <w:tabs>
          <w:tab w:val="left" w:pos="720"/>
        </w:tabs>
        <w:ind w:hanging="720"/>
      </w:pPr>
      <w:r>
        <w:rPr>
          <w:sz w:val="20"/>
        </w:rPr>
        <w:lastRenderedPageBreak/>
        <w:t>5</w:t>
      </w:r>
      <w:r>
        <w:rPr>
          <w:sz w:val="20"/>
        </w:rPr>
        <w:tab/>
      </w:r>
      <w:r w:rsidR="00125B2D">
        <w:t xml:space="preserve">On </w:t>
      </w:r>
      <w:r w:rsidR="005358D5">
        <w:t xml:space="preserve">10 August 2023, I made orders that the respondents’ </w:t>
      </w:r>
      <w:r w:rsidR="001767BA">
        <w:t xml:space="preserve">applications for </w:t>
      </w:r>
      <w:r w:rsidR="005358D5">
        <w:t>summary</w:t>
      </w:r>
      <w:r w:rsidR="001767BA">
        <w:t xml:space="preserve"> </w:t>
      </w:r>
      <w:r w:rsidR="003A1C9A">
        <w:t>judgment</w:t>
      </w:r>
      <w:r w:rsidR="001767BA">
        <w:t xml:space="preserve"> be heard </w:t>
      </w:r>
      <w:r w:rsidR="002E74D5">
        <w:t xml:space="preserve">on 23 October 2023, </w:t>
      </w:r>
      <w:r w:rsidR="001767BA">
        <w:t xml:space="preserve">separately </w:t>
      </w:r>
      <w:r w:rsidR="002E74D5">
        <w:t xml:space="preserve">from the applicant’s application for </w:t>
      </w:r>
      <w:r w:rsidR="00CD2084">
        <w:t xml:space="preserve">interlocutory </w:t>
      </w:r>
      <w:r w:rsidR="002E74D5">
        <w:t>injuncti</w:t>
      </w:r>
      <w:r w:rsidR="003A1C9A">
        <w:t>ve</w:t>
      </w:r>
      <w:r w:rsidR="002E74D5">
        <w:t xml:space="preserve"> relief. </w:t>
      </w:r>
    </w:p>
    <w:p w14:paraId="4D7317B1" w14:textId="2003B29F" w:rsidR="003C3C93" w:rsidRPr="00FD36E3" w:rsidRDefault="0026564F" w:rsidP="0026564F">
      <w:pPr>
        <w:pStyle w:val="ParaNumbering"/>
        <w:numPr>
          <w:ilvl w:val="0"/>
          <w:numId w:val="0"/>
        </w:numPr>
        <w:tabs>
          <w:tab w:val="left" w:pos="720"/>
        </w:tabs>
        <w:ind w:hanging="720"/>
      </w:pPr>
      <w:r w:rsidRPr="00FD36E3">
        <w:rPr>
          <w:sz w:val="20"/>
        </w:rPr>
        <w:t>6</w:t>
      </w:r>
      <w:r w:rsidRPr="00FD36E3">
        <w:rPr>
          <w:sz w:val="20"/>
        </w:rPr>
        <w:tab/>
      </w:r>
      <w:r w:rsidR="005F3E9C" w:rsidRPr="00FD36E3">
        <w:t xml:space="preserve">For the reasons that follow, </w:t>
      </w:r>
      <w:r w:rsidR="00810903" w:rsidRPr="00FD36E3">
        <w:t xml:space="preserve">I do not consider that the applicant has established that he has standing to bring the interlocutory application </w:t>
      </w:r>
      <w:r w:rsidR="004E1B4A" w:rsidRPr="00FD36E3">
        <w:t>and therefore I will allow the respondents</w:t>
      </w:r>
      <w:r w:rsidR="006834FD">
        <w:t>’</w:t>
      </w:r>
      <w:r w:rsidR="004E1B4A" w:rsidRPr="00FD36E3">
        <w:t xml:space="preserve"> applications for summary judgment. </w:t>
      </w:r>
    </w:p>
    <w:p w14:paraId="688F3ABA" w14:textId="20094E0B" w:rsidR="0023194E" w:rsidRPr="00FD36E3" w:rsidRDefault="0026564F" w:rsidP="0026564F">
      <w:pPr>
        <w:pStyle w:val="Heading5"/>
        <w:numPr>
          <w:ilvl w:val="0"/>
          <w:numId w:val="0"/>
        </w:numPr>
        <w:tabs>
          <w:tab w:val="left" w:pos="1134"/>
        </w:tabs>
        <w:ind w:left="1134" w:hanging="1134"/>
      </w:pPr>
      <w:r w:rsidRPr="00FD36E3">
        <w:t>2.</w:t>
      </w:r>
      <w:r w:rsidRPr="00FD36E3">
        <w:tab/>
      </w:r>
      <w:r w:rsidR="00C26793" w:rsidRPr="00FD36E3">
        <w:t>BACKGROUND</w:t>
      </w:r>
    </w:p>
    <w:p w14:paraId="45E79AD3" w14:textId="7A5167D5" w:rsidR="008912DF" w:rsidRPr="00E317F5" w:rsidRDefault="0026564F" w:rsidP="0026564F">
      <w:pPr>
        <w:pStyle w:val="ParaNumbering"/>
        <w:numPr>
          <w:ilvl w:val="0"/>
          <w:numId w:val="0"/>
        </w:numPr>
        <w:tabs>
          <w:tab w:val="left" w:pos="720"/>
        </w:tabs>
        <w:ind w:hanging="720"/>
      </w:pPr>
      <w:r w:rsidRPr="00E317F5">
        <w:rPr>
          <w:sz w:val="20"/>
        </w:rPr>
        <w:t>7</w:t>
      </w:r>
      <w:r w:rsidRPr="00E317F5">
        <w:rPr>
          <w:sz w:val="20"/>
        </w:rPr>
        <w:tab/>
      </w:r>
      <w:r w:rsidR="0023194E" w:rsidRPr="00FD36E3">
        <w:t xml:space="preserve">Pfizer </w:t>
      </w:r>
      <w:r w:rsidR="00EF2409">
        <w:t xml:space="preserve">is the sponsor of three </w:t>
      </w:r>
      <w:r w:rsidR="0023194E" w:rsidRPr="00FD36E3">
        <w:t xml:space="preserve">Covid-19 vaccines approved by the </w:t>
      </w:r>
      <w:r w:rsidR="00406F5B" w:rsidRPr="00FD36E3">
        <w:t>T</w:t>
      </w:r>
      <w:r w:rsidR="00713791" w:rsidRPr="00FD36E3">
        <w:t xml:space="preserve">herapeutic </w:t>
      </w:r>
      <w:r w:rsidR="00406F5B" w:rsidRPr="00FD36E3">
        <w:t>G</w:t>
      </w:r>
      <w:r w:rsidR="00713791" w:rsidRPr="00FD36E3">
        <w:t>oods</w:t>
      </w:r>
      <w:r w:rsidR="00406F5B" w:rsidRPr="00FD36E3">
        <w:t xml:space="preserve"> Administration (</w:t>
      </w:r>
      <w:r w:rsidR="00406F5B" w:rsidRPr="00FD36E3">
        <w:rPr>
          <w:b/>
          <w:bCs/>
        </w:rPr>
        <w:t>TGA</w:t>
      </w:r>
      <w:r w:rsidR="00406F5B" w:rsidRPr="00FD36E3">
        <w:t>) under the</w:t>
      </w:r>
      <w:r w:rsidR="00406F5B" w:rsidRPr="00E317F5">
        <w:rPr>
          <w:b/>
          <w:bCs/>
        </w:rPr>
        <w:t xml:space="preserve"> </w:t>
      </w:r>
      <w:r w:rsidR="00406F5B" w:rsidRPr="00C77296">
        <w:rPr>
          <w:b/>
          <w:bCs/>
          <w:i/>
          <w:iCs/>
        </w:rPr>
        <w:t>Therapeutic Goods Act</w:t>
      </w:r>
      <w:r w:rsidR="00406F5B" w:rsidRPr="00C77296">
        <w:rPr>
          <w:i/>
          <w:iCs/>
        </w:rPr>
        <w:t xml:space="preserve"> 1989 </w:t>
      </w:r>
      <w:r w:rsidR="00406F5B" w:rsidRPr="00C77296">
        <w:t>(</w:t>
      </w:r>
      <w:proofErr w:type="spellStart"/>
      <w:r w:rsidR="00406F5B" w:rsidRPr="00C77296">
        <w:t>Cth</w:t>
      </w:r>
      <w:proofErr w:type="spellEnd"/>
      <w:r w:rsidR="00406F5B" w:rsidRPr="00C77296">
        <w:t>)</w:t>
      </w:r>
      <w:r w:rsidR="0023194E" w:rsidRPr="00E317F5">
        <w:t xml:space="preserve"> </w:t>
      </w:r>
      <w:r w:rsidR="00782DAD" w:rsidRPr="00E317F5">
        <w:t xml:space="preserve">which are </w:t>
      </w:r>
      <w:r w:rsidR="00F204C4" w:rsidRPr="00E317F5">
        <w:t xml:space="preserve">registered </w:t>
      </w:r>
      <w:r w:rsidR="00782DAD" w:rsidRPr="00E317F5">
        <w:t>on the Australian Therapeutic Goods Register</w:t>
      </w:r>
      <w:r w:rsidR="00B93760" w:rsidRPr="00E317F5">
        <w:t xml:space="preserve"> (</w:t>
      </w:r>
      <w:r w:rsidR="00B93760" w:rsidRPr="00E317F5">
        <w:rPr>
          <w:b/>
          <w:bCs/>
        </w:rPr>
        <w:t>ARTG</w:t>
      </w:r>
      <w:r w:rsidR="00B93760" w:rsidRPr="00E317F5">
        <w:t>)</w:t>
      </w:r>
      <w:r w:rsidR="00782DAD" w:rsidRPr="00E317F5">
        <w:t xml:space="preserve">, and which </w:t>
      </w:r>
      <w:r w:rsidR="0023194E" w:rsidRPr="00E317F5">
        <w:t>are available in Australia</w:t>
      </w:r>
      <w:r w:rsidR="00B93760" w:rsidRPr="00E317F5">
        <w:t>. The ARTG registrations are</w:t>
      </w:r>
      <w:r w:rsidR="008E6134" w:rsidRPr="00E317F5">
        <w:t>:</w:t>
      </w:r>
    </w:p>
    <w:p w14:paraId="2E475A36" w14:textId="257E5361" w:rsidR="00BB503C" w:rsidRDefault="0026564F" w:rsidP="0026564F">
      <w:pPr>
        <w:pStyle w:val="ListNo1alt"/>
        <w:numPr>
          <w:ilvl w:val="0"/>
          <w:numId w:val="0"/>
        </w:numPr>
        <w:tabs>
          <w:tab w:val="left" w:pos="720"/>
        </w:tabs>
        <w:ind w:left="720" w:hanging="720"/>
      </w:pPr>
      <w:r>
        <w:t>(a)</w:t>
      </w:r>
      <w:r>
        <w:tab/>
      </w:r>
      <w:r w:rsidR="003A73B0" w:rsidRPr="00FD36E3">
        <w:t>COMIRNATY (tozinameran) (Monovalent)</w:t>
      </w:r>
      <w:r w:rsidR="00DF4D37">
        <w:t>:</w:t>
      </w:r>
    </w:p>
    <w:p w14:paraId="31FA60A6" w14:textId="37CBEE36" w:rsidR="007D35E1" w:rsidRDefault="0026564F" w:rsidP="0026564F">
      <w:pPr>
        <w:pStyle w:val="ListNo2alt"/>
        <w:numPr>
          <w:ilvl w:val="0"/>
          <w:numId w:val="0"/>
        </w:numPr>
        <w:tabs>
          <w:tab w:val="left" w:pos="1440"/>
        </w:tabs>
        <w:ind w:left="1440" w:hanging="720"/>
      </w:pPr>
      <w:r>
        <w:t>(</w:t>
      </w:r>
      <w:proofErr w:type="spellStart"/>
      <w:r>
        <w:t>i</w:t>
      </w:r>
      <w:proofErr w:type="spellEnd"/>
      <w:r>
        <w:t>)</w:t>
      </w:r>
      <w:r>
        <w:tab/>
      </w:r>
      <w:r w:rsidR="00790966">
        <w:t xml:space="preserve">ARTG </w:t>
      </w:r>
      <w:r w:rsidR="00AF331B">
        <w:t xml:space="preserve">ID </w:t>
      </w:r>
      <w:r w:rsidR="00790966">
        <w:t>346290</w:t>
      </w:r>
      <w:r w:rsidR="007D35E1">
        <w:t>;</w:t>
      </w:r>
    </w:p>
    <w:p w14:paraId="296CBA5E" w14:textId="54E6DD7D" w:rsidR="007D35E1" w:rsidRDefault="0026564F" w:rsidP="0026564F">
      <w:pPr>
        <w:pStyle w:val="ListNo2alt"/>
        <w:numPr>
          <w:ilvl w:val="0"/>
          <w:numId w:val="0"/>
        </w:numPr>
        <w:tabs>
          <w:tab w:val="left" w:pos="1440"/>
        </w:tabs>
        <w:ind w:left="1440" w:hanging="720"/>
      </w:pPr>
      <w:r>
        <w:t>(ii)</w:t>
      </w:r>
      <w:r>
        <w:tab/>
      </w:r>
      <w:r w:rsidR="007D35E1">
        <w:t xml:space="preserve">ARTG </w:t>
      </w:r>
      <w:r w:rsidR="00AF331B">
        <w:t xml:space="preserve">ID </w:t>
      </w:r>
      <w:r w:rsidR="007D35E1">
        <w:t>377111</w:t>
      </w:r>
      <w:r w:rsidR="003A73B0" w:rsidRPr="00FD36E3">
        <w:t xml:space="preserve">; </w:t>
      </w:r>
    </w:p>
    <w:p w14:paraId="559C84F7" w14:textId="5472D875" w:rsidR="003A73B0" w:rsidRDefault="0026564F" w:rsidP="0026564F">
      <w:pPr>
        <w:pStyle w:val="ListNo2alt"/>
        <w:numPr>
          <w:ilvl w:val="0"/>
          <w:numId w:val="0"/>
        </w:numPr>
        <w:tabs>
          <w:tab w:val="left" w:pos="1440"/>
        </w:tabs>
        <w:ind w:left="1440" w:hanging="720"/>
      </w:pPr>
      <w:r>
        <w:t>(iii)</w:t>
      </w:r>
      <w:r>
        <w:tab/>
      </w:r>
      <w:r w:rsidR="007D35E1">
        <w:t xml:space="preserve">ARTG </w:t>
      </w:r>
      <w:r w:rsidR="00AF331B">
        <w:t xml:space="preserve">ID </w:t>
      </w:r>
      <w:r w:rsidR="00DF4D37">
        <w:t xml:space="preserve">377110; </w:t>
      </w:r>
      <w:r w:rsidR="003A73B0" w:rsidRPr="00FD36E3">
        <w:t>and</w:t>
      </w:r>
    </w:p>
    <w:p w14:paraId="3C57CE7B" w14:textId="3C06302C" w:rsidR="00DF4D37" w:rsidRPr="00FD36E3" w:rsidRDefault="0026564F" w:rsidP="0026564F">
      <w:pPr>
        <w:pStyle w:val="ListNo2alt"/>
        <w:numPr>
          <w:ilvl w:val="0"/>
          <w:numId w:val="0"/>
        </w:numPr>
        <w:tabs>
          <w:tab w:val="left" w:pos="1440"/>
        </w:tabs>
        <w:ind w:left="1440" w:hanging="720"/>
      </w:pPr>
      <w:r w:rsidRPr="00FD36E3">
        <w:t>(iv)</w:t>
      </w:r>
      <w:r w:rsidRPr="00FD36E3">
        <w:tab/>
      </w:r>
      <w:r w:rsidR="00DF4D37">
        <w:t xml:space="preserve">ARTG </w:t>
      </w:r>
      <w:r w:rsidR="00AF331B">
        <w:t xml:space="preserve">ID </w:t>
      </w:r>
      <w:r w:rsidR="00DF4D37">
        <w:t>393433.</w:t>
      </w:r>
    </w:p>
    <w:p w14:paraId="260C43B4" w14:textId="0B3CF16A" w:rsidR="003A73B0" w:rsidRPr="00FD36E3" w:rsidRDefault="0026564F" w:rsidP="0026564F">
      <w:pPr>
        <w:pStyle w:val="ListNo1alt"/>
        <w:numPr>
          <w:ilvl w:val="0"/>
          <w:numId w:val="0"/>
        </w:numPr>
        <w:tabs>
          <w:tab w:val="left" w:pos="720"/>
        </w:tabs>
        <w:ind w:left="720" w:hanging="720"/>
      </w:pPr>
      <w:r w:rsidRPr="00FD36E3">
        <w:t>(b)</w:t>
      </w:r>
      <w:r w:rsidRPr="00FD36E3">
        <w:tab/>
      </w:r>
      <w:r w:rsidR="003A73B0" w:rsidRPr="00FD36E3">
        <w:t xml:space="preserve">COMIRNATY Original/Omicron BA.1 (tozinameran and </w:t>
      </w:r>
      <w:proofErr w:type="spellStart"/>
      <w:r w:rsidR="003A73B0" w:rsidRPr="00FD36E3">
        <w:t>riltozinameran</w:t>
      </w:r>
      <w:proofErr w:type="spellEnd"/>
      <w:r w:rsidR="003A73B0" w:rsidRPr="00FD36E3">
        <w:t>) (Bivalent 1)</w:t>
      </w:r>
      <w:r w:rsidR="00C9217A">
        <w:t xml:space="preserve"> – ARTG </w:t>
      </w:r>
      <w:r w:rsidR="00AF331B">
        <w:t xml:space="preserve">ID </w:t>
      </w:r>
      <w:r w:rsidR="00C9217A">
        <w:t>394890</w:t>
      </w:r>
      <w:r w:rsidR="003A73B0" w:rsidRPr="00FD36E3">
        <w:t>; and</w:t>
      </w:r>
    </w:p>
    <w:p w14:paraId="12343333" w14:textId="1562D2C8" w:rsidR="008E6134" w:rsidRPr="00FD36E3" w:rsidRDefault="0026564F" w:rsidP="0026564F">
      <w:pPr>
        <w:pStyle w:val="ListNo1alt"/>
        <w:numPr>
          <w:ilvl w:val="0"/>
          <w:numId w:val="0"/>
        </w:numPr>
        <w:tabs>
          <w:tab w:val="left" w:pos="720"/>
        </w:tabs>
        <w:ind w:left="720" w:hanging="720"/>
      </w:pPr>
      <w:r w:rsidRPr="00FD36E3">
        <w:t>(c)</w:t>
      </w:r>
      <w:r w:rsidRPr="00FD36E3">
        <w:tab/>
      </w:r>
      <w:r w:rsidR="003A73B0" w:rsidRPr="00FD36E3">
        <w:t xml:space="preserve">COMIRNATY Original/Omicron BA.4-5 </w:t>
      </w:r>
      <w:r w:rsidR="00500C16" w:rsidRPr="00500C16">
        <w:t xml:space="preserve">(tozinameran and </w:t>
      </w:r>
      <w:proofErr w:type="spellStart"/>
      <w:r w:rsidR="00500C16" w:rsidRPr="00500C16">
        <w:t>famtozinameran</w:t>
      </w:r>
      <w:proofErr w:type="spellEnd"/>
      <w:r w:rsidR="00500C16" w:rsidRPr="00500C16">
        <w:t>)</w:t>
      </w:r>
      <w:r w:rsidR="008B058F">
        <w:t xml:space="preserve"> </w:t>
      </w:r>
      <w:r w:rsidR="003A73B0" w:rsidRPr="00FD36E3">
        <w:t>(Bivalent 2)</w:t>
      </w:r>
      <w:r w:rsidR="00C9217A">
        <w:t xml:space="preserve"> – ARTG </w:t>
      </w:r>
      <w:r w:rsidR="00AF331B">
        <w:t>ID 400874</w:t>
      </w:r>
      <w:r w:rsidR="003A73B0" w:rsidRPr="00FD36E3">
        <w:t xml:space="preserve">. </w:t>
      </w:r>
    </w:p>
    <w:p w14:paraId="3704ADF5" w14:textId="0C7F9D39" w:rsidR="003A73B0" w:rsidRPr="00FD36E3" w:rsidRDefault="003A73B0" w:rsidP="003A73B0">
      <w:pPr>
        <w:pStyle w:val="ListNo1alt"/>
        <w:numPr>
          <w:ilvl w:val="0"/>
          <w:numId w:val="0"/>
        </w:numPr>
        <w:ind w:left="720"/>
      </w:pPr>
      <w:r w:rsidRPr="00FD36E3">
        <w:t>(</w:t>
      </w:r>
      <w:r w:rsidRPr="00FD36E3">
        <w:rPr>
          <w:b/>
          <w:bCs/>
        </w:rPr>
        <w:t>Pfizer vaccines</w:t>
      </w:r>
      <w:r w:rsidRPr="00FD36E3">
        <w:t>)</w:t>
      </w:r>
    </w:p>
    <w:p w14:paraId="61D7A793" w14:textId="38A7B8A1" w:rsidR="003A73B0" w:rsidRPr="00FD36E3" w:rsidRDefault="0026564F" w:rsidP="0026564F">
      <w:pPr>
        <w:pStyle w:val="ParaNumbering"/>
        <w:numPr>
          <w:ilvl w:val="0"/>
          <w:numId w:val="0"/>
        </w:numPr>
        <w:tabs>
          <w:tab w:val="left" w:pos="720"/>
        </w:tabs>
        <w:ind w:hanging="720"/>
      </w:pPr>
      <w:r w:rsidRPr="00FD36E3">
        <w:rPr>
          <w:sz w:val="20"/>
        </w:rPr>
        <w:t>8</w:t>
      </w:r>
      <w:r w:rsidRPr="00FD36E3">
        <w:rPr>
          <w:sz w:val="20"/>
        </w:rPr>
        <w:tab/>
      </w:r>
      <w:r w:rsidR="003A73B0" w:rsidRPr="00FD36E3">
        <w:t xml:space="preserve">Moderna has two Covid-19 vaccines which have been approved by the TGA and </w:t>
      </w:r>
      <w:r w:rsidR="007D696C">
        <w:t xml:space="preserve">which </w:t>
      </w:r>
      <w:r w:rsidR="003A73B0" w:rsidRPr="00FD36E3">
        <w:t>are available in Australia</w:t>
      </w:r>
      <w:r w:rsidR="00E42FFC">
        <w:t>. The ARTG registrations are</w:t>
      </w:r>
      <w:r w:rsidR="003A73B0" w:rsidRPr="00FD36E3">
        <w:t>:</w:t>
      </w:r>
    </w:p>
    <w:p w14:paraId="4BCE9B2F" w14:textId="7DC2E3BD" w:rsidR="00B51540" w:rsidRDefault="0026564F" w:rsidP="0026564F">
      <w:pPr>
        <w:pStyle w:val="ListNo1alt"/>
        <w:numPr>
          <w:ilvl w:val="0"/>
          <w:numId w:val="0"/>
        </w:numPr>
        <w:tabs>
          <w:tab w:val="left" w:pos="720"/>
        </w:tabs>
        <w:ind w:left="720" w:hanging="720"/>
      </w:pPr>
      <w:r>
        <w:t>(a)</w:t>
      </w:r>
      <w:r>
        <w:tab/>
      </w:r>
      <w:r w:rsidR="00DF3728" w:rsidRPr="00FD36E3">
        <w:t>SPIKEVAX (</w:t>
      </w:r>
      <w:proofErr w:type="spellStart"/>
      <w:r w:rsidR="00DF3728" w:rsidRPr="00FD36E3">
        <w:t>elasomeran</w:t>
      </w:r>
      <w:proofErr w:type="spellEnd"/>
      <w:r w:rsidR="00DF3728" w:rsidRPr="00FD36E3">
        <w:t>)</w:t>
      </w:r>
      <w:r w:rsidR="00B51540">
        <w:t>:</w:t>
      </w:r>
    </w:p>
    <w:p w14:paraId="2C3F9327" w14:textId="18F8041F" w:rsidR="003E2957" w:rsidRDefault="0026564F" w:rsidP="0026564F">
      <w:pPr>
        <w:pStyle w:val="ListNo2alt"/>
        <w:numPr>
          <w:ilvl w:val="0"/>
          <w:numId w:val="0"/>
        </w:numPr>
        <w:tabs>
          <w:tab w:val="left" w:pos="1440"/>
        </w:tabs>
        <w:ind w:left="1440" w:hanging="720"/>
      </w:pPr>
      <w:r>
        <w:t>(</w:t>
      </w:r>
      <w:proofErr w:type="spellStart"/>
      <w:r>
        <w:t>i</w:t>
      </w:r>
      <w:proofErr w:type="spellEnd"/>
      <w:r>
        <w:t>)</w:t>
      </w:r>
      <w:r>
        <w:tab/>
      </w:r>
      <w:r w:rsidR="003E2957">
        <w:t>ARTG</w:t>
      </w:r>
      <w:r w:rsidR="00690299">
        <w:t xml:space="preserve"> ID</w:t>
      </w:r>
      <w:r w:rsidR="003E2957">
        <w:t xml:space="preserve"> 370599;</w:t>
      </w:r>
    </w:p>
    <w:p w14:paraId="1BD16153" w14:textId="571D454A" w:rsidR="00FF6014" w:rsidRDefault="0026564F" w:rsidP="0026564F">
      <w:pPr>
        <w:pStyle w:val="ListNo2alt"/>
        <w:numPr>
          <w:ilvl w:val="0"/>
          <w:numId w:val="0"/>
        </w:numPr>
        <w:tabs>
          <w:tab w:val="left" w:pos="1440"/>
        </w:tabs>
        <w:ind w:left="1440" w:hanging="720"/>
      </w:pPr>
      <w:r>
        <w:t>(ii)</w:t>
      </w:r>
      <w:r>
        <w:tab/>
      </w:r>
      <w:r w:rsidR="003E2957">
        <w:t xml:space="preserve">ARTG </w:t>
      </w:r>
      <w:r w:rsidR="00690299">
        <w:t xml:space="preserve">ID </w:t>
      </w:r>
      <w:r w:rsidR="003E2957">
        <w:t>388244</w:t>
      </w:r>
      <w:r w:rsidR="00FF6014">
        <w:t>; and</w:t>
      </w:r>
    </w:p>
    <w:p w14:paraId="537A1E5B" w14:textId="7951EDD0" w:rsidR="00DF3728" w:rsidRPr="00FD36E3" w:rsidRDefault="0026564F" w:rsidP="0026564F">
      <w:pPr>
        <w:pStyle w:val="ListNo2alt"/>
        <w:numPr>
          <w:ilvl w:val="0"/>
          <w:numId w:val="0"/>
        </w:numPr>
        <w:tabs>
          <w:tab w:val="left" w:pos="1440"/>
        </w:tabs>
        <w:ind w:left="1440" w:hanging="720"/>
      </w:pPr>
      <w:r w:rsidRPr="00FD36E3">
        <w:t>(iii)</w:t>
      </w:r>
      <w:r w:rsidRPr="00FD36E3">
        <w:tab/>
      </w:r>
      <w:r w:rsidR="00FF6014">
        <w:t>ARTG</w:t>
      </w:r>
      <w:r w:rsidR="00690299">
        <w:t xml:space="preserve"> ID</w:t>
      </w:r>
      <w:r w:rsidR="00FF6014">
        <w:t xml:space="preserve"> 388245.</w:t>
      </w:r>
    </w:p>
    <w:p w14:paraId="75E23C4C" w14:textId="66161C8B" w:rsidR="002D6EF1" w:rsidRPr="007260CA" w:rsidRDefault="0026564F" w:rsidP="0026564F">
      <w:pPr>
        <w:pStyle w:val="ListNo1alt"/>
        <w:numPr>
          <w:ilvl w:val="0"/>
          <w:numId w:val="0"/>
        </w:numPr>
        <w:tabs>
          <w:tab w:val="left" w:pos="720"/>
        </w:tabs>
        <w:ind w:left="720" w:hanging="720"/>
        <w:rPr>
          <w:lang w:val="es-ES"/>
        </w:rPr>
      </w:pPr>
      <w:r w:rsidRPr="007260CA">
        <w:rPr>
          <w:lang w:val="es-ES"/>
        </w:rPr>
        <w:t>(b)</w:t>
      </w:r>
      <w:r w:rsidRPr="007260CA">
        <w:rPr>
          <w:lang w:val="es-ES"/>
        </w:rPr>
        <w:tab/>
      </w:r>
      <w:r w:rsidR="00DF3728" w:rsidRPr="007260CA">
        <w:rPr>
          <w:lang w:val="es-ES"/>
        </w:rPr>
        <w:t xml:space="preserve">SPIKEVAX </w:t>
      </w:r>
      <w:r w:rsidR="00441858">
        <w:rPr>
          <w:lang w:val="es-ES"/>
        </w:rPr>
        <w:t xml:space="preserve">BIVALENT </w:t>
      </w:r>
      <w:r w:rsidR="00441858" w:rsidRPr="007260CA">
        <w:rPr>
          <w:lang w:val="es-ES"/>
        </w:rPr>
        <w:t>ORIGINAL/OMICRON</w:t>
      </w:r>
      <w:r w:rsidR="00DF3728" w:rsidRPr="007260CA">
        <w:rPr>
          <w:lang w:val="es-ES"/>
        </w:rPr>
        <w:t xml:space="preserve"> </w:t>
      </w:r>
      <w:r w:rsidR="00392970" w:rsidRPr="007260CA">
        <w:rPr>
          <w:lang w:val="es-ES"/>
        </w:rPr>
        <w:t>(</w:t>
      </w:r>
      <w:proofErr w:type="spellStart"/>
      <w:r w:rsidR="00392970" w:rsidRPr="007260CA">
        <w:rPr>
          <w:lang w:val="es-ES"/>
        </w:rPr>
        <w:t>ela</w:t>
      </w:r>
      <w:r w:rsidR="007403A4" w:rsidRPr="007260CA">
        <w:rPr>
          <w:lang w:val="es-ES"/>
        </w:rPr>
        <w:t>someran</w:t>
      </w:r>
      <w:proofErr w:type="spellEnd"/>
      <w:r w:rsidR="00690299">
        <w:rPr>
          <w:lang w:val="es-ES"/>
        </w:rPr>
        <w:t xml:space="preserve"> and </w:t>
      </w:r>
      <w:proofErr w:type="spellStart"/>
      <w:r w:rsidR="003F336E" w:rsidRPr="003F336E">
        <w:t>imelasomeran</w:t>
      </w:r>
      <w:proofErr w:type="spellEnd"/>
      <w:r w:rsidR="007403A4" w:rsidRPr="007260CA">
        <w:rPr>
          <w:lang w:val="es-ES"/>
        </w:rPr>
        <w:t>)</w:t>
      </w:r>
      <w:r w:rsidR="002D6EF1" w:rsidRPr="007260CA">
        <w:rPr>
          <w:lang w:val="es-ES"/>
        </w:rPr>
        <w:t>:</w:t>
      </w:r>
    </w:p>
    <w:p w14:paraId="1EC40378" w14:textId="7A1A82BA" w:rsidR="002D6EF1" w:rsidRDefault="0026564F" w:rsidP="0026564F">
      <w:pPr>
        <w:pStyle w:val="ListNo2alt"/>
        <w:numPr>
          <w:ilvl w:val="0"/>
          <w:numId w:val="0"/>
        </w:numPr>
        <w:tabs>
          <w:tab w:val="left" w:pos="1440"/>
        </w:tabs>
        <w:ind w:left="1440" w:hanging="720"/>
      </w:pPr>
      <w:r>
        <w:t>(</w:t>
      </w:r>
      <w:proofErr w:type="spellStart"/>
      <w:r>
        <w:t>i</w:t>
      </w:r>
      <w:proofErr w:type="spellEnd"/>
      <w:r>
        <w:t>)</w:t>
      </w:r>
      <w:r>
        <w:tab/>
      </w:r>
      <w:r w:rsidR="002D6EF1">
        <w:t>ARTG</w:t>
      </w:r>
      <w:r w:rsidR="00690299">
        <w:t xml:space="preserve"> ID</w:t>
      </w:r>
      <w:r w:rsidR="008B058F">
        <w:t xml:space="preserve"> </w:t>
      </w:r>
      <w:r w:rsidR="002D6EF1">
        <w:t>389513;</w:t>
      </w:r>
      <w:r w:rsidR="00D14533">
        <w:t xml:space="preserve"> and</w:t>
      </w:r>
    </w:p>
    <w:p w14:paraId="4BE229EE" w14:textId="2D2EDE7F" w:rsidR="002D6EF1" w:rsidRDefault="0026564F" w:rsidP="0026564F">
      <w:pPr>
        <w:pStyle w:val="ListNo2alt"/>
        <w:numPr>
          <w:ilvl w:val="0"/>
          <w:numId w:val="0"/>
        </w:numPr>
        <w:tabs>
          <w:tab w:val="left" w:pos="1440"/>
        </w:tabs>
        <w:ind w:left="1440" w:hanging="720"/>
      </w:pPr>
      <w:r>
        <w:lastRenderedPageBreak/>
        <w:t>(ii)</w:t>
      </w:r>
      <w:r>
        <w:tab/>
      </w:r>
      <w:r w:rsidR="002D6EF1">
        <w:t>ARTG</w:t>
      </w:r>
      <w:r w:rsidR="00690299">
        <w:t xml:space="preserve"> ID</w:t>
      </w:r>
      <w:r w:rsidR="002D6EF1">
        <w:t xml:space="preserve"> 396452</w:t>
      </w:r>
      <w:r w:rsidR="00285176">
        <w:t>.</w:t>
      </w:r>
    </w:p>
    <w:p w14:paraId="49A54DAC" w14:textId="239F3131" w:rsidR="00690299" w:rsidRPr="007D696C" w:rsidRDefault="0026564F" w:rsidP="0026564F">
      <w:pPr>
        <w:pStyle w:val="ListNo1alt"/>
        <w:numPr>
          <w:ilvl w:val="0"/>
          <w:numId w:val="0"/>
        </w:numPr>
        <w:tabs>
          <w:tab w:val="left" w:pos="720"/>
        </w:tabs>
        <w:ind w:left="720" w:hanging="720"/>
        <w:rPr>
          <w:lang w:val="es-ES"/>
        </w:rPr>
      </w:pPr>
      <w:r w:rsidRPr="007D696C">
        <w:rPr>
          <w:lang w:val="es-ES"/>
        </w:rPr>
        <w:t>(c)</w:t>
      </w:r>
      <w:r w:rsidRPr="007D696C">
        <w:rPr>
          <w:lang w:val="es-ES"/>
        </w:rPr>
        <w:tab/>
      </w:r>
      <w:r w:rsidR="00690299" w:rsidRPr="007D696C">
        <w:t xml:space="preserve">SPIKEVAX </w:t>
      </w:r>
      <w:r w:rsidR="002B2BB9" w:rsidRPr="007D696C">
        <w:t>BIVALENT ORIGINAL/OMICRON</w:t>
      </w:r>
      <w:r w:rsidR="00925E1E" w:rsidRPr="007D696C">
        <w:t xml:space="preserve"> BA.</w:t>
      </w:r>
      <w:r w:rsidR="00925E1E">
        <w:t>4-5</w:t>
      </w:r>
      <w:r w:rsidR="00690299" w:rsidRPr="007D696C">
        <w:t xml:space="preserve"> </w:t>
      </w:r>
      <w:r w:rsidR="00690299" w:rsidRPr="007260CA">
        <w:rPr>
          <w:lang w:val="es-ES"/>
        </w:rPr>
        <w:t>(</w:t>
      </w:r>
      <w:proofErr w:type="spellStart"/>
      <w:r w:rsidR="00690299" w:rsidRPr="007260CA">
        <w:rPr>
          <w:lang w:val="es-ES"/>
        </w:rPr>
        <w:t>elasomeran</w:t>
      </w:r>
      <w:proofErr w:type="spellEnd"/>
      <w:r w:rsidR="00690299" w:rsidRPr="007260CA">
        <w:rPr>
          <w:lang w:val="es-ES"/>
        </w:rPr>
        <w:t>/</w:t>
      </w:r>
      <w:proofErr w:type="spellStart"/>
      <w:r w:rsidR="00690299" w:rsidRPr="007260CA">
        <w:rPr>
          <w:lang w:val="es-ES"/>
        </w:rPr>
        <w:t>davesomeran</w:t>
      </w:r>
      <w:proofErr w:type="spellEnd"/>
      <w:r w:rsidR="00690299" w:rsidRPr="007260CA">
        <w:rPr>
          <w:lang w:val="es-ES"/>
        </w:rPr>
        <w:t>):</w:t>
      </w:r>
    </w:p>
    <w:p w14:paraId="4A8AB82F" w14:textId="0923206A" w:rsidR="002D6EF1" w:rsidRDefault="0026564F" w:rsidP="0026564F">
      <w:pPr>
        <w:pStyle w:val="ListNo2alt"/>
        <w:numPr>
          <w:ilvl w:val="0"/>
          <w:numId w:val="0"/>
        </w:numPr>
        <w:tabs>
          <w:tab w:val="left" w:pos="1440"/>
        </w:tabs>
        <w:ind w:left="1440" w:hanging="720"/>
      </w:pPr>
      <w:r>
        <w:t>(</w:t>
      </w:r>
      <w:proofErr w:type="spellStart"/>
      <w:r>
        <w:t>i</w:t>
      </w:r>
      <w:proofErr w:type="spellEnd"/>
      <w:r>
        <w:t>)</w:t>
      </w:r>
      <w:r>
        <w:tab/>
      </w:r>
      <w:r w:rsidR="002D6EF1">
        <w:t>ARTG</w:t>
      </w:r>
      <w:r w:rsidR="00690299">
        <w:t xml:space="preserve"> ID</w:t>
      </w:r>
      <w:r w:rsidR="002D6EF1">
        <w:t xml:space="preserve"> 399552;</w:t>
      </w:r>
    </w:p>
    <w:p w14:paraId="7B32C089" w14:textId="20EEEDBD" w:rsidR="00B44CB8" w:rsidRDefault="0026564F" w:rsidP="0026564F">
      <w:pPr>
        <w:pStyle w:val="ListNo2alt"/>
        <w:numPr>
          <w:ilvl w:val="0"/>
          <w:numId w:val="0"/>
        </w:numPr>
        <w:tabs>
          <w:tab w:val="left" w:pos="1440"/>
        </w:tabs>
        <w:ind w:left="1440" w:hanging="720"/>
      </w:pPr>
      <w:r>
        <w:t>(ii)</w:t>
      </w:r>
      <w:r>
        <w:tab/>
      </w:r>
      <w:r w:rsidR="00B44CB8">
        <w:t>ARTG</w:t>
      </w:r>
      <w:r w:rsidR="00690299">
        <w:t xml:space="preserve"> ID</w:t>
      </w:r>
      <w:r w:rsidR="00B44CB8">
        <w:t xml:space="preserve"> 399553; and</w:t>
      </w:r>
    </w:p>
    <w:p w14:paraId="1CDA0CEE" w14:textId="567350C8" w:rsidR="003A73B0" w:rsidRPr="00FD36E3" w:rsidRDefault="0026564F" w:rsidP="0026564F">
      <w:pPr>
        <w:pStyle w:val="ListNo2alt"/>
        <w:numPr>
          <w:ilvl w:val="0"/>
          <w:numId w:val="0"/>
        </w:numPr>
        <w:tabs>
          <w:tab w:val="left" w:pos="1440"/>
        </w:tabs>
        <w:ind w:left="1440" w:hanging="720"/>
      </w:pPr>
      <w:r w:rsidRPr="00FD36E3">
        <w:t>(iii)</w:t>
      </w:r>
      <w:r w:rsidRPr="00FD36E3">
        <w:tab/>
      </w:r>
      <w:r w:rsidR="00B44CB8">
        <w:t xml:space="preserve">ARTG </w:t>
      </w:r>
      <w:r w:rsidR="00690299">
        <w:t xml:space="preserve">ID </w:t>
      </w:r>
      <w:r w:rsidR="00B44CB8">
        <w:t>406730</w:t>
      </w:r>
      <w:r w:rsidR="00DF3728" w:rsidRPr="00FD36E3">
        <w:t>.</w:t>
      </w:r>
    </w:p>
    <w:p w14:paraId="5D20FC0C" w14:textId="48F12BC5" w:rsidR="00EA375F" w:rsidRPr="00FD36E3" w:rsidRDefault="00DF3728" w:rsidP="00CF4CF3">
      <w:pPr>
        <w:pStyle w:val="ListNo1alt"/>
        <w:numPr>
          <w:ilvl w:val="0"/>
          <w:numId w:val="0"/>
        </w:numPr>
        <w:ind w:left="720"/>
      </w:pPr>
      <w:r w:rsidRPr="00FD36E3">
        <w:t>(</w:t>
      </w:r>
      <w:r w:rsidRPr="00FD36E3">
        <w:rPr>
          <w:b/>
          <w:bCs/>
        </w:rPr>
        <w:t>Moderna vaccines</w:t>
      </w:r>
      <w:r w:rsidRPr="00FD36E3">
        <w:t>)</w:t>
      </w:r>
      <w:r w:rsidR="00EA375F" w:rsidRPr="00FD36E3">
        <w:t xml:space="preserve"> </w:t>
      </w:r>
    </w:p>
    <w:p w14:paraId="269DDC8F" w14:textId="6AD3B27D" w:rsidR="00BD1D12" w:rsidRPr="00FD36E3" w:rsidRDefault="0026564F" w:rsidP="0026564F">
      <w:pPr>
        <w:pStyle w:val="ParaNumbering"/>
        <w:numPr>
          <w:ilvl w:val="0"/>
          <w:numId w:val="0"/>
        </w:numPr>
        <w:tabs>
          <w:tab w:val="left" w:pos="720"/>
        </w:tabs>
        <w:ind w:hanging="720"/>
      </w:pPr>
      <w:r w:rsidRPr="00FD36E3">
        <w:rPr>
          <w:sz w:val="20"/>
        </w:rPr>
        <w:t>9</w:t>
      </w:r>
      <w:r w:rsidRPr="00FD36E3">
        <w:rPr>
          <w:sz w:val="20"/>
        </w:rPr>
        <w:tab/>
      </w:r>
      <w:r w:rsidR="00713791" w:rsidRPr="00FD36E3">
        <w:t xml:space="preserve">The Pfizer and Moderna vaccines </w:t>
      </w:r>
      <w:r w:rsidR="0023194E" w:rsidRPr="00FD36E3">
        <w:t>have been endorsed by the Australian Technical Advisory Group on Immunisation and the Australian Medical Association</w:t>
      </w:r>
      <w:r w:rsidR="00592914" w:rsidRPr="00FD36E3">
        <w:t xml:space="preserve"> (</w:t>
      </w:r>
      <w:r w:rsidR="00592914" w:rsidRPr="00FD36E3">
        <w:rPr>
          <w:b/>
          <w:bCs/>
        </w:rPr>
        <w:t>AMA</w:t>
      </w:r>
      <w:r w:rsidR="00592914" w:rsidRPr="00FD36E3">
        <w:t>)</w:t>
      </w:r>
      <w:r w:rsidR="0023194E" w:rsidRPr="00FD36E3">
        <w:t xml:space="preserve">. </w:t>
      </w:r>
    </w:p>
    <w:p w14:paraId="59CCCF4E" w14:textId="5B6C750F" w:rsidR="0023194E" w:rsidRDefault="0026564F" w:rsidP="0026564F">
      <w:pPr>
        <w:pStyle w:val="ParaNumbering"/>
        <w:numPr>
          <w:ilvl w:val="0"/>
          <w:numId w:val="0"/>
        </w:numPr>
        <w:tabs>
          <w:tab w:val="left" w:pos="720"/>
        </w:tabs>
        <w:ind w:hanging="720"/>
      </w:pPr>
      <w:r>
        <w:rPr>
          <w:sz w:val="20"/>
        </w:rPr>
        <w:t>10</w:t>
      </w:r>
      <w:r>
        <w:rPr>
          <w:sz w:val="20"/>
        </w:rPr>
        <w:tab/>
      </w:r>
      <w:r w:rsidR="00BD1D12" w:rsidRPr="00FD36E3">
        <w:t>As at 23 August 2023, over 65 million Covi</w:t>
      </w:r>
      <w:r w:rsidR="00BD1D12" w:rsidRPr="00BD1D12">
        <w:t xml:space="preserve">d-19 vaccine doses had been administered in Australia and a large proportion of those vaccines </w:t>
      </w:r>
      <w:r w:rsidR="00592914">
        <w:t>were</w:t>
      </w:r>
      <w:r w:rsidR="00BD1D12" w:rsidRPr="00BD1D12">
        <w:t xml:space="preserve"> </w:t>
      </w:r>
      <w:r w:rsidR="00BD1D12">
        <w:t xml:space="preserve">either </w:t>
      </w:r>
      <w:r w:rsidR="00BD1D12" w:rsidRPr="00BD1D12">
        <w:t>Pfizer vaccines</w:t>
      </w:r>
      <w:r w:rsidR="00BD1D12">
        <w:t xml:space="preserve"> or Moderna vaccines. </w:t>
      </w:r>
    </w:p>
    <w:p w14:paraId="511656E2" w14:textId="0F7D77E0" w:rsidR="003D7667" w:rsidRDefault="0026564F" w:rsidP="0026564F">
      <w:pPr>
        <w:pStyle w:val="ParaNumbering"/>
        <w:numPr>
          <w:ilvl w:val="0"/>
          <w:numId w:val="0"/>
        </w:numPr>
        <w:tabs>
          <w:tab w:val="left" w:pos="720"/>
        </w:tabs>
        <w:ind w:hanging="720"/>
      </w:pPr>
      <w:r>
        <w:rPr>
          <w:sz w:val="20"/>
        </w:rPr>
        <w:t>11</w:t>
      </w:r>
      <w:r>
        <w:rPr>
          <w:sz w:val="20"/>
        </w:rPr>
        <w:tab/>
      </w:r>
      <w:r w:rsidR="006D4C1F">
        <w:t xml:space="preserve">Dr Fidge is a practicing </w:t>
      </w:r>
      <w:r w:rsidR="003E541A" w:rsidRPr="007D696C">
        <w:t>GP</w:t>
      </w:r>
      <w:r w:rsidR="006D4C1F">
        <w:t xml:space="preserve"> and pharmacist. </w:t>
      </w:r>
      <w:r w:rsidR="00B46F9B">
        <w:t xml:space="preserve">He provided evidence by way of two affidavits affirmed </w:t>
      </w:r>
      <w:r w:rsidR="003D7667">
        <w:t xml:space="preserve">on 6 July 2023 and 11 September 2023. </w:t>
      </w:r>
    </w:p>
    <w:p w14:paraId="06CCF0DC" w14:textId="568034FB" w:rsidR="006B3852" w:rsidRPr="008177C0" w:rsidRDefault="0026564F" w:rsidP="0026564F">
      <w:pPr>
        <w:pStyle w:val="ParaNumbering"/>
        <w:numPr>
          <w:ilvl w:val="0"/>
          <w:numId w:val="0"/>
        </w:numPr>
        <w:tabs>
          <w:tab w:val="left" w:pos="720"/>
        </w:tabs>
        <w:ind w:hanging="720"/>
      </w:pPr>
      <w:r w:rsidRPr="008177C0">
        <w:rPr>
          <w:sz w:val="20"/>
        </w:rPr>
        <w:t>12</w:t>
      </w:r>
      <w:r w:rsidRPr="008177C0">
        <w:rPr>
          <w:sz w:val="20"/>
        </w:rPr>
        <w:tab/>
      </w:r>
      <w:r w:rsidR="003D7667" w:rsidRPr="008177C0">
        <w:t>Dr Fidge</w:t>
      </w:r>
      <w:r w:rsidR="005909A6" w:rsidRPr="008177C0">
        <w:t xml:space="preserve"> </w:t>
      </w:r>
      <w:r w:rsidR="003D7667" w:rsidRPr="008177C0">
        <w:t xml:space="preserve">gave evidence that </w:t>
      </w:r>
      <w:r w:rsidR="007403A4" w:rsidRPr="008177C0">
        <w:t xml:space="preserve">he </w:t>
      </w:r>
      <w:r w:rsidR="005909A6" w:rsidRPr="008177C0">
        <w:t xml:space="preserve">received three doses of the Pfizer vaccine </w:t>
      </w:r>
      <w:r w:rsidR="00EE42A3" w:rsidRPr="008177C0">
        <w:t xml:space="preserve">and </w:t>
      </w:r>
      <w:r w:rsidR="006B3852" w:rsidRPr="008177C0">
        <w:t xml:space="preserve">his two children also received doses of the Pfizer vaccine. Neither he nor his children received doses of the Moderna vaccine. Dr Fidge also gave evidence that </w:t>
      </w:r>
      <w:r w:rsidR="00AE6F2B" w:rsidRPr="008177C0">
        <w:t xml:space="preserve">he </w:t>
      </w:r>
      <w:r w:rsidR="00446BD3" w:rsidRPr="008177C0">
        <w:t xml:space="preserve">personally provided, or oversaw, the administration of more than 10,000 </w:t>
      </w:r>
      <w:r w:rsidR="007D696C">
        <w:t>doses</w:t>
      </w:r>
      <w:r w:rsidR="003C3B07" w:rsidRPr="008177C0">
        <w:t xml:space="preserve"> of Covid-19 vaccines to patients. </w:t>
      </w:r>
    </w:p>
    <w:p w14:paraId="7B1BA470" w14:textId="1CA73A9C" w:rsidR="003C5DDA" w:rsidRDefault="0026564F" w:rsidP="0026564F">
      <w:pPr>
        <w:pStyle w:val="ParaNumbering"/>
        <w:numPr>
          <w:ilvl w:val="0"/>
          <w:numId w:val="0"/>
        </w:numPr>
        <w:tabs>
          <w:tab w:val="left" w:pos="720"/>
        </w:tabs>
        <w:ind w:hanging="720"/>
      </w:pPr>
      <w:r>
        <w:rPr>
          <w:sz w:val="20"/>
        </w:rPr>
        <w:t>13</w:t>
      </w:r>
      <w:r>
        <w:rPr>
          <w:sz w:val="20"/>
        </w:rPr>
        <w:tab/>
      </w:r>
      <w:r w:rsidR="000709B1">
        <w:t xml:space="preserve">By way of summary, the applicant </w:t>
      </w:r>
      <w:r w:rsidR="003C5DDA">
        <w:t>seeks</w:t>
      </w:r>
      <w:r w:rsidR="000709B1">
        <w:t xml:space="preserve"> interlocutory</w:t>
      </w:r>
      <w:r w:rsidR="003C5DDA">
        <w:t xml:space="preserve"> relief upon the bases that:</w:t>
      </w:r>
    </w:p>
    <w:p w14:paraId="24213E4C" w14:textId="11D7BE2B" w:rsidR="00077A5B" w:rsidRDefault="0026564F" w:rsidP="0026564F">
      <w:pPr>
        <w:pStyle w:val="ListNo1alt"/>
        <w:numPr>
          <w:ilvl w:val="0"/>
          <w:numId w:val="0"/>
        </w:numPr>
        <w:tabs>
          <w:tab w:val="left" w:pos="720"/>
        </w:tabs>
        <w:ind w:left="720" w:hanging="720"/>
      </w:pPr>
      <w:r>
        <w:t>(a)</w:t>
      </w:r>
      <w:r>
        <w:tab/>
      </w:r>
      <w:r w:rsidR="003C5DDA">
        <w:t xml:space="preserve">each of the </w:t>
      </w:r>
      <w:r w:rsidR="000709B1">
        <w:t>v</w:t>
      </w:r>
      <w:r w:rsidR="003C5DDA">
        <w:t>accines are</w:t>
      </w:r>
      <w:r w:rsidR="00783442">
        <w:t>,</w:t>
      </w:r>
      <w:r w:rsidR="003C5DDA">
        <w:t xml:space="preserve"> or contain</w:t>
      </w:r>
      <w:r w:rsidR="00783442">
        <w:t>,</w:t>
      </w:r>
      <w:r w:rsidR="003C5DDA">
        <w:t xml:space="preserve"> GMOs as defined by s 10 of the Act;</w:t>
      </w:r>
    </w:p>
    <w:p w14:paraId="15B129B3" w14:textId="5500916C" w:rsidR="00077A5B" w:rsidRDefault="0026564F" w:rsidP="0026564F">
      <w:pPr>
        <w:pStyle w:val="ListNo1alt"/>
        <w:numPr>
          <w:ilvl w:val="0"/>
          <w:numId w:val="0"/>
        </w:numPr>
        <w:tabs>
          <w:tab w:val="left" w:pos="720"/>
        </w:tabs>
        <w:ind w:left="720" w:hanging="720"/>
      </w:pPr>
      <w:r>
        <w:t>(b)</w:t>
      </w:r>
      <w:r>
        <w:tab/>
      </w:r>
      <w:r w:rsidR="003C5DDA">
        <w:t xml:space="preserve">in order to </w:t>
      </w:r>
      <w:r w:rsidR="00CE55E7">
        <w:t>“</w:t>
      </w:r>
      <w:r w:rsidR="003C5DDA">
        <w:t>deal with</w:t>
      </w:r>
      <w:r w:rsidR="00CE55E7">
        <w:t>”</w:t>
      </w:r>
      <w:r w:rsidR="003C5DDA">
        <w:t xml:space="preserve"> the </w:t>
      </w:r>
      <w:r w:rsidR="000709B1">
        <w:t>v</w:t>
      </w:r>
      <w:r w:rsidR="003C5DDA">
        <w:t>accines</w:t>
      </w:r>
      <w:r w:rsidR="00B96AAE">
        <w:t xml:space="preserve"> as defined in s 10 of the Act</w:t>
      </w:r>
      <w:r w:rsidR="003C5DDA">
        <w:t xml:space="preserve">, </w:t>
      </w:r>
      <w:r w:rsidR="00CF192B">
        <w:t>the</w:t>
      </w:r>
      <w:r w:rsidR="003C5DDA">
        <w:t xml:space="preserve"> </w:t>
      </w:r>
      <w:r w:rsidR="00BD1D12">
        <w:t>r</w:t>
      </w:r>
      <w:r w:rsidR="003C5DDA">
        <w:t xml:space="preserve">espondents were required by s 40 of the Act to obtain licences from the </w:t>
      </w:r>
      <w:r w:rsidR="0045648D" w:rsidRPr="0045648D">
        <w:t>OGTR</w:t>
      </w:r>
      <w:r w:rsidR="00432AB7">
        <w:t xml:space="preserve"> </w:t>
      </w:r>
      <w:r w:rsidR="003C5DDA">
        <w:t>but have failed or refused to do so;</w:t>
      </w:r>
    </w:p>
    <w:p w14:paraId="2F427EFD" w14:textId="533C8D2B" w:rsidR="003C5DDA" w:rsidRDefault="0026564F" w:rsidP="0026564F">
      <w:pPr>
        <w:pStyle w:val="ListNo1alt"/>
        <w:numPr>
          <w:ilvl w:val="0"/>
          <w:numId w:val="0"/>
        </w:numPr>
        <w:tabs>
          <w:tab w:val="left" w:pos="720"/>
        </w:tabs>
        <w:ind w:left="720" w:hanging="720"/>
      </w:pPr>
      <w:r>
        <w:t>(c)</w:t>
      </w:r>
      <w:r>
        <w:tab/>
      </w:r>
      <w:r w:rsidR="003C5DDA">
        <w:t xml:space="preserve">the </w:t>
      </w:r>
      <w:r w:rsidR="0045648D">
        <w:t>r</w:t>
      </w:r>
      <w:r w:rsidR="003C5DDA">
        <w:t>espondents knew at the relevant times that:</w:t>
      </w:r>
    </w:p>
    <w:p w14:paraId="250E8122" w14:textId="087D8AA5" w:rsidR="003C5DDA" w:rsidRDefault="0026564F" w:rsidP="0026564F">
      <w:pPr>
        <w:pStyle w:val="ListNo2alt"/>
        <w:numPr>
          <w:ilvl w:val="0"/>
          <w:numId w:val="0"/>
        </w:numPr>
        <w:tabs>
          <w:tab w:val="left" w:pos="1440"/>
        </w:tabs>
        <w:ind w:left="1440" w:hanging="720"/>
      </w:pPr>
      <w:r>
        <w:t>(</w:t>
      </w:r>
      <w:proofErr w:type="spellStart"/>
      <w:r>
        <w:t>i</w:t>
      </w:r>
      <w:proofErr w:type="spellEnd"/>
      <w:r>
        <w:t>)</w:t>
      </w:r>
      <w:r>
        <w:tab/>
      </w:r>
      <w:r w:rsidR="003C5DDA">
        <w:t xml:space="preserve">the </w:t>
      </w:r>
      <w:r w:rsidR="0045648D">
        <w:t>v</w:t>
      </w:r>
      <w:r w:rsidR="003C5DDA">
        <w:t>accines are</w:t>
      </w:r>
      <w:r w:rsidR="00783442">
        <w:t>,</w:t>
      </w:r>
      <w:r w:rsidR="003C5DDA">
        <w:t xml:space="preserve"> or contain</w:t>
      </w:r>
      <w:r w:rsidR="00783442">
        <w:t>,</w:t>
      </w:r>
      <w:r w:rsidR="003C5DDA">
        <w:t xml:space="preserve"> GMO</w:t>
      </w:r>
      <w:r w:rsidR="0045648D">
        <w:t>s</w:t>
      </w:r>
      <w:r w:rsidR="003C5DDA">
        <w:t>;</w:t>
      </w:r>
      <w:r w:rsidR="00F71675">
        <w:t xml:space="preserve"> and</w:t>
      </w:r>
    </w:p>
    <w:p w14:paraId="4F462AB8" w14:textId="3A9886F0" w:rsidR="00077A5B" w:rsidRDefault="0026564F" w:rsidP="0026564F">
      <w:pPr>
        <w:pStyle w:val="ListNo2alt"/>
        <w:numPr>
          <w:ilvl w:val="0"/>
          <w:numId w:val="0"/>
        </w:numPr>
        <w:tabs>
          <w:tab w:val="left" w:pos="1440"/>
        </w:tabs>
        <w:ind w:left="1440" w:hanging="720"/>
      </w:pPr>
      <w:r>
        <w:t>(ii)</w:t>
      </w:r>
      <w:r>
        <w:tab/>
      </w:r>
      <w:r w:rsidR="003C5DDA">
        <w:t xml:space="preserve">the </w:t>
      </w:r>
      <w:r w:rsidR="0045648D">
        <w:t>v</w:t>
      </w:r>
      <w:r w:rsidR="003C5DDA">
        <w:t>accines were not licensed pursuant to s 40 of the Act</w:t>
      </w:r>
      <w:r w:rsidR="00F71675">
        <w:t>.</w:t>
      </w:r>
    </w:p>
    <w:p w14:paraId="1A2F25A1" w14:textId="4654B45F" w:rsidR="00077A5B" w:rsidRDefault="0026564F" w:rsidP="0026564F">
      <w:pPr>
        <w:pStyle w:val="ListNo1alt"/>
        <w:numPr>
          <w:ilvl w:val="0"/>
          <w:numId w:val="0"/>
        </w:numPr>
        <w:tabs>
          <w:tab w:val="left" w:pos="720"/>
        </w:tabs>
        <w:ind w:left="720" w:hanging="720"/>
      </w:pPr>
      <w:r>
        <w:t>(d)</w:t>
      </w:r>
      <w:r>
        <w:tab/>
      </w:r>
      <w:r w:rsidR="003C5DDA">
        <w:t xml:space="preserve">the </w:t>
      </w:r>
      <w:r w:rsidR="008D2F68">
        <w:t>r</w:t>
      </w:r>
      <w:r w:rsidR="003C5DDA">
        <w:t xml:space="preserve">espondents dealt with and continue to deal with the </w:t>
      </w:r>
      <w:r w:rsidR="0045648D">
        <w:t>v</w:t>
      </w:r>
      <w:r w:rsidR="003C5DDA">
        <w:t xml:space="preserve">accines in Australia </w:t>
      </w:r>
      <w:r w:rsidR="0045648D">
        <w:t>by</w:t>
      </w:r>
      <w:r w:rsidR="00B96AAE">
        <w:t xml:space="preserve">, among other things, </w:t>
      </w:r>
      <w:r w:rsidR="00405238">
        <w:t>importing</w:t>
      </w:r>
      <w:r w:rsidR="0045648D">
        <w:t>, distributing and transporting the vaccines</w:t>
      </w:r>
      <w:r w:rsidR="00EF4258">
        <w:t xml:space="preserve"> (</w:t>
      </w:r>
      <w:r w:rsidR="00EF4258" w:rsidRPr="00077A5B">
        <w:rPr>
          <w:b/>
          <w:bCs/>
        </w:rPr>
        <w:t>Vaccine Dealings</w:t>
      </w:r>
      <w:r w:rsidR="00EF4258">
        <w:t>)</w:t>
      </w:r>
      <w:r w:rsidR="003C5DDA">
        <w:t>;</w:t>
      </w:r>
    </w:p>
    <w:p w14:paraId="315CD1A8" w14:textId="29553EBD" w:rsidR="00077A5B" w:rsidRDefault="0026564F" w:rsidP="0026564F">
      <w:pPr>
        <w:pStyle w:val="ListNo1alt"/>
        <w:numPr>
          <w:ilvl w:val="0"/>
          <w:numId w:val="0"/>
        </w:numPr>
        <w:tabs>
          <w:tab w:val="left" w:pos="720"/>
        </w:tabs>
        <w:ind w:left="720" w:hanging="720"/>
      </w:pPr>
      <w:r>
        <w:t>(e)</w:t>
      </w:r>
      <w:r>
        <w:tab/>
      </w:r>
      <w:r w:rsidR="003E5525">
        <w:t>these</w:t>
      </w:r>
      <w:r w:rsidR="003C5DDA">
        <w:t xml:space="preserve"> </w:t>
      </w:r>
      <w:r w:rsidR="00B44A07">
        <w:t>V</w:t>
      </w:r>
      <w:r w:rsidR="003C5DDA">
        <w:t xml:space="preserve">accine </w:t>
      </w:r>
      <w:r w:rsidR="00B44A07">
        <w:t>D</w:t>
      </w:r>
      <w:r w:rsidR="003C5DDA">
        <w:t>ealings</w:t>
      </w:r>
      <w:r w:rsidR="00B96AAE">
        <w:t xml:space="preserve"> in the absence of a licence</w:t>
      </w:r>
      <w:r w:rsidR="003C5DDA">
        <w:t xml:space="preserve"> are unlawful pursuant to s 32 and s 33 of the Act</w:t>
      </w:r>
      <w:r w:rsidR="000E6889">
        <w:t xml:space="preserve"> (the </w:t>
      </w:r>
      <w:r w:rsidR="000E6889" w:rsidRPr="00077A5B">
        <w:rPr>
          <w:b/>
          <w:bCs/>
        </w:rPr>
        <w:t>Breaches</w:t>
      </w:r>
      <w:r w:rsidR="000E6889">
        <w:t>)</w:t>
      </w:r>
      <w:r w:rsidR="003C5DDA">
        <w:t>;</w:t>
      </w:r>
    </w:p>
    <w:p w14:paraId="288E6DEB" w14:textId="527D3B35" w:rsidR="003C5DDA" w:rsidRDefault="0026564F" w:rsidP="0026564F">
      <w:pPr>
        <w:pStyle w:val="ListNo1alt"/>
        <w:numPr>
          <w:ilvl w:val="0"/>
          <w:numId w:val="0"/>
        </w:numPr>
        <w:tabs>
          <w:tab w:val="left" w:pos="720"/>
        </w:tabs>
        <w:ind w:left="720" w:hanging="720"/>
      </w:pPr>
      <w:r>
        <w:lastRenderedPageBreak/>
        <w:t>(f)</w:t>
      </w:r>
      <w:r>
        <w:tab/>
      </w:r>
      <w:r w:rsidR="003C5DDA">
        <w:t xml:space="preserve">Dr Fidge is an “aggrieved person” </w:t>
      </w:r>
      <w:r w:rsidR="006649CF">
        <w:t xml:space="preserve">within the meaning of s </w:t>
      </w:r>
      <w:r w:rsidR="003C5DDA">
        <w:t xml:space="preserve">147(1) of the Act in respect of the </w:t>
      </w:r>
      <w:r w:rsidR="00815E10">
        <w:t>B</w:t>
      </w:r>
      <w:r w:rsidR="003C5DDA">
        <w:t xml:space="preserve">reaches </w:t>
      </w:r>
      <w:r w:rsidR="006649CF">
        <w:t>because</w:t>
      </w:r>
      <w:r w:rsidR="005E705A">
        <w:t>, as stated in his first affidavit,</w:t>
      </w:r>
      <w:r w:rsidR="006649CF">
        <w:t xml:space="preserve"> he </w:t>
      </w:r>
      <w:r w:rsidR="00B96AAE">
        <w:t>“</w:t>
      </w:r>
      <w:r w:rsidR="006649CF">
        <w:t xml:space="preserve">recommended to patients, and received these Products </w:t>
      </w:r>
      <w:r w:rsidR="00FD04C3">
        <w:t>[himself]</w:t>
      </w:r>
      <w:r w:rsidR="005E705A">
        <w:t xml:space="preserve">, </w:t>
      </w:r>
      <w:r w:rsidR="006649CF">
        <w:t>without being fully informed that this new class of drugs is capable of transferring genetic material</w:t>
      </w:r>
      <w:r w:rsidR="00B96AAE">
        <w:t xml:space="preserve">” </w:t>
      </w:r>
      <w:r w:rsidR="0040355A">
        <w:t>(</w:t>
      </w:r>
      <w:r w:rsidR="00B96AAE">
        <w:t xml:space="preserve">which </w:t>
      </w:r>
      <w:r w:rsidR="00AA304E">
        <w:t xml:space="preserve">he considers </w:t>
      </w:r>
      <w:r w:rsidR="00B96AAE">
        <w:t>pose</w:t>
      </w:r>
      <w:r w:rsidR="00BF313C">
        <w:t>s significant adverse health risks</w:t>
      </w:r>
      <w:r w:rsidR="0040355A">
        <w:t>)</w:t>
      </w:r>
      <w:r w:rsidR="006649CF">
        <w:t>.</w:t>
      </w:r>
      <w:r w:rsidR="003C5DDA">
        <w:t xml:space="preserve"> </w:t>
      </w:r>
    </w:p>
    <w:p w14:paraId="1DEB397C" w14:textId="7A1353A8" w:rsidR="003E0BB0" w:rsidRDefault="0026564F" w:rsidP="0026564F">
      <w:pPr>
        <w:pStyle w:val="ParaNumbering"/>
        <w:numPr>
          <w:ilvl w:val="0"/>
          <w:numId w:val="0"/>
        </w:numPr>
        <w:tabs>
          <w:tab w:val="left" w:pos="720"/>
        </w:tabs>
        <w:ind w:hanging="720"/>
      </w:pPr>
      <w:r>
        <w:rPr>
          <w:sz w:val="20"/>
        </w:rPr>
        <w:t>14</w:t>
      </w:r>
      <w:r>
        <w:rPr>
          <w:sz w:val="20"/>
        </w:rPr>
        <w:tab/>
      </w:r>
      <w:r w:rsidR="003E0BB0">
        <w:t>The respondents deny that the vaccines are</w:t>
      </w:r>
      <w:r w:rsidR="009E7A84">
        <w:t xml:space="preserve"> </w:t>
      </w:r>
      <w:r w:rsidR="003E0BB0">
        <w:t>GMOs</w:t>
      </w:r>
      <w:r w:rsidR="005376C4">
        <w:t xml:space="preserve"> </w:t>
      </w:r>
      <w:r w:rsidR="009E7A84">
        <w:t xml:space="preserve">or that they have committed any wrongdoing under the Act. </w:t>
      </w:r>
      <w:r w:rsidR="00D74C9B">
        <w:t>In summary</w:t>
      </w:r>
      <w:r w:rsidR="005E705A">
        <w:t>,</w:t>
      </w:r>
      <w:r w:rsidR="00D74C9B">
        <w:t xml:space="preserve"> Pfizer’s position is that</w:t>
      </w:r>
      <w:r w:rsidR="00EA0C1F">
        <w:t>:</w:t>
      </w:r>
    </w:p>
    <w:p w14:paraId="6D045740" w14:textId="48121DF0" w:rsidR="00EA0C1F" w:rsidRDefault="0026564F" w:rsidP="0026564F">
      <w:pPr>
        <w:pStyle w:val="ListNo1alt"/>
        <w:numPr>
          <w:ilvl w:val="0"/>
          <w:numId w:val="0"/>
        </w:numPr>
        <w:tabs>
          <w:tab w:val="left" w:pos="720"/>
        </w:tabs>
        <w:ind w:left="720" w:hanging="720"/>
      </w:pPr>
      <w:r>
        <w:t>(a)</w:t>
      </w:r>
      <w:r>
        <w:tab/>
      </w:r>
      <w:r w:rsidR="002B08D9">
        <w:t>t</w:t>
      </w:r>
      <w:r w:rsidR="00EA0C1F">
        <w:t>he vaccines are not GMOs because they do not satisfy the definition of “organism” under the GTA;</w:t>
      </w:r>
      <w:r w:rsidR="00E37EA9">
        <w:t xml:space="preserve"> and</w:t>
      </w:r>
    </w:p>
    <w:p w14:paraId="5EFCF13F" w14:textId="62BB5754" w:rsidR="00EA0C1F" w:rsidRDefault="0026564F" w:rsidP="0026564F">
      <w:pPr>
        <w:pStyle w:val="ListNo1alt"/>
        <w:numPr>
          <w:ilvl w:val="0"/>
          <w:numId w:val="0"/>
        </w:numPr>
        <w:tabs>
          <w:tab w:val="left" w:pos="720"/>
        </w:tabs>
        <w:ind w:left="720" w:hanging="720"/>
      </w:pPr>
      <w:r>
        <w:t>(b)</w:t>
      </w:r>
      <w:r>
        <w:tab/>
      </w:r>
      <w:r w:rsidR="002B08D9">
        <w:t>t</w:t>
      </w:r>
      <w:r w:rsidR="00EA0C1F">
        <w:t xml:space="preserve">he position of the </w:t>
      </w:r>
      <w:r w:rsidR="00C916D2">
        <w:t>O</w:t>
      </w:r>
      <w:r w:rsidR="00EA0C1F">
        <w:t>GTR is that the vaccines are not GMO</w:t>
      </w:r>
      <w:r w:rsidR="00387A5F">
        <w:t>s</w:t>
      </w:r>
      <w:r w:rsidR="00E37EA9">
        <w:t>.</w:t>
      </w:r>
    </w:p>
    <w:p w14:paraId="70AB5450" w14:textId="74830DF5" w:rsidR="00E079CC" w:rsidRPr="003E33F4" w:rsidRDefault="0026564F" w:rsidP="0026564F">
      <w:pPr>
        <w:pStyle w:val="ParaNumbering"/>
        <w:numPr>
          <w:ilvl w:val="0"/>
          <w:numId w:val="0"/>
        </w:numPr>
        <w:tabs>
          <w:tab w:val="left" w:pos="720"/>
        </w:tabs>
        <w:ind w:hanging="720"/>
      </w:pPr>
      <w:r w:rsidRPr="003E33F4">
        <w:rPr>
          <w:sz w:val="20"/>
        </w:rPr>
        <w:t>15</w:t>
      </w:r>
      <w:r w:rsidRPr="003E33F4">
        <w:rPr>
          <w:sz w:val="20"/>
        </w:rPr>
        <w:tab/>
      </w:r>
      <w:r w:rsidR="00726AFA" w:rsidRPr="00C40659">
        <w:t>The parties agreed</w:t>
      </w:r>
      <w:r w:rsidR="006121B6">
        <w:t xml:space="preserve"> </w:t>
      </w:r>
      <w:r w:rsidR="00726AFA" w:rsidRPr="00C40659">
        <w:t xml:space="preserve">that the question of whether Dr Fidge has standing is premised on the assumption </w:t>
      </w:r>
      <w:r w:rsidR="00CB75F9" w:rsidRPr="00C40659">
        <w:t>(for the purposes of the respondents’ application</w:t>
      </w:r>
      <w:r w:rsidR="002A06F0">
        <w:t>s</w:t>
      </w:r>
      <w:r w:rsidR="00CB75F9" w:rsidRPr="00C40659">
        <w:t xml:space="preserve">) </w:t>
      </w:r>
      <w:r w:rsidR="00726AFA" w:rsidRPr="00C40659">
        <w:t>that the vaccines are GMOs and the respondents therefore breached the Act by dealing with the vaccines.</w:t>
      </w:r>
      <w:r w:rsidR="00726AFA" w:rsidRPr="003E33F4">
        <w:t xml:space="preserve"> </w:t>
      </w:r>
      <w:r w:rsidR="00D969FD" w:rsidRPr="003E33F4">
        <w:t>Thus</w:t>
      </w:r>
      <w:r w:rsidR="003E33F4">
        <w:t>,</w:t>
      </w:r>
      <w:r w:rsidR="00D969FD" w:rsidRPr="003E33F4">
        <w:t xml:space="preserve"> f</w:t>
      </w:r>
      <w:r w:rsidR="00610F84" w:rsidRPr="003E33F4">
        <w:t>or the purposes of this sum</w:t>
      </w:r>
      <w:r w:rsidR="001A249C" w:rsidRPr="003E33F4">
        <w:t>mary judgment application,</w:t>
      </w:r>
      <w:r w:rsidR="00F264AE" w:rsidRPr="003E33F4">
        <w:t xml:space="preserve"> I do not </w:t>
      </w:r>
      <w:r w:rsidR="00282D86" w:rsidRPr="003E33F4">
        <w:t>need to determine whether the vaccines are GMOs</w:t>
      </w:r>
      <w:r w:rsidR="001A249C" w:rsidRPr="003E33F4">
        <w:t xml:space="preserve"> o</w:t>
      </w:r>
      <w:r w:rsidR="00424B02" w:rsidRPr="003E33F4">
        <w:t>r</w:t>
      </w:r>
      <w:r w:rsidR="00C8524B" w:rsidRPr="003E33F4">
        <w:t xml:space="preserve"> the resulting question of </w:t>
      </w:r>
      <w:r w:rsidR="001A249C" w:rsidRPr="003E33F4">
        <w:t xml:space="preserve">whether Pfizer and Moderna </w:t>
      </w:r>
      <w:r w:rsidR="00424B02" w:rsidRPr="003E33F4">
        <w:t xml:space="preserve">breached the Act by failing to obtain licences for the Vaccine Dealings. </w:t>
      </w:r>
      <w:r w:rsidR="009233D0" w:rsidRPr="003E33F4">
        <w:t xml:space="preserve">I </w:t>
      </w:r>
      <w:r w:rsidR="00D969FD" w:rsidRPr="003E33F4">
        <w:t xml:space="preserve">have </w:t>
      </w:r>
      <w:r w:rsidR="009233D0" w:rsidRPr="003E33F4">
        <w:t xml:space="preserve">therefore </w:t>
      </w:r>
      <w:r w:rsidR="005E0A4C" w:rsidRPr="003E33F4">
        <w:t xml:space="preserve">disregarded any evidence filed by the parties that address whether the vaccines </w:t>
      </w:r>
      <w:r w:rsidR="006121B6">
        <w:t>are</w:t>
      </w:r>
      <w:r w:rsidR="006121B6" w:rsidRPr="003E33F4">
        <w:t xml:space="preserve"> </w:t>
      </w:r>
      <w:r w:rsidR="005E0A4C" w:rsidRPr="003E33F4">
        <w:t xml:space="preserve">GMOs. </w:t>
      </w:r>
    </w:p>
    <w:p w14:paraId="58F64E61" w14:textId="63D4C47E" w:rsidR="00516F06" w:rsidRDefault="0026564F" w:rsidP="0026564F">
      <w:pPr>
        <w:pStyle w:val="Heading5"/>
        <w:numPr>
          <w:ilvl w:val="0"/>
          <w:numId w:val="0"/>
        </w:numPr>
        <w:tabs>
          <w:tab w:val="left" w:pos="1134"/>
        </w:tabs>
        <w:ind w:left="1134" w:hanging="1134"/>
      </w:pPr>
      <w:r>
        <w:t>3.</w:t>
      </w:r>
      <w:r>
        <w:tab/>
      </w:r>
      <w:r w:rsidR="00796FC0">
        <w:t xml:space="preserve">SUMMARY JUDGMENT </w:t>
      </w:r>
    </w:p>
    <w:p w14:paraId="6ACA9EA5" w14:textId="38E27CA6" w:rsidR="00516F06" w:rsidRDefault="0026564F" w:rsidP="0026564F">
      <w:pPr>
        <w:pStyle w:val="ParaNumbering"/>
        <w:numPr>
          <w:ilvl w:val="0"/>
          <w:numId w:val="0"/>
        </w:numPr>
        <w:tabs>
          <w:tab w:val="left" w:pos="720"/>
        </w:tabs>
        <w:ind w:hanging="720"/>
      </w:pPr>
      <w:r>
        <w:rPr>
          <w:sz w:val="20"/>
        </w:rPr>
        <w:t>16</w:t>
      </w:r>
      <w:r>
        <w:rPr>
          <w:sz w:val="20"/>
        </w:rPr>
        <w:tab/>
      </w:r>
      <w:r w:rsidR="00516F06">
        <w:t xml:space="preserve">The </w:t>
      </w:r>
      <w:r w:rsidR="002D43BF">
        <w:t>respondents</w:t>
      </w:r>
      <w:r w:rsidR="00516F06">
        <w:t xml:space="preserve"> seek summary judgment under s 31A(2) of the FCA Act </w:t>
      </w:r>
      <w:r w:rsidR="00530F75">
        <w:t xml:space="preserve">and </w:t>
      </w:r>
      <w:r w:rsidR="00516F06">
        <w:t>r 26.01(1) of the Rules</w:t>
      </w:r>
      <w:r w:rsidR="002D43BF">
        <w:t xml:space="preserve"> on the basis that the applicant </w:t>
      </w:r>
      <w:r w:rsidR="00DC35E1">
        <w:t>lacks standing to seek relief under s 147(1) of the Act</w:t>
      </w:r>
      <w:r w:rsidR="00516F06">
        <w:t xml:space="preserve">. </w:t>
      </w:r>
    </w:p>
    <w:p w14:paraId="5525F173" w14:textId="23316453" w:rsidR="00516F06" w:rsidRDefault="0026564F" w:rsidP="0026564F">
      <w:pPr>
        <w:pStyle w:val="ParaNumbering"/>
        <w:numPr>
          <w:ilvl w:val="0"/>
          <w:numId w:val="0"/>
        </w:numPr>
        <w:tabs>
          <w:tab w:val="left" w:pos="720"/>
        </w:tabs>
        <w:ind w:hanging="720"/>
      </w:pPr>
      <w:r>
        <w:rPr>
          <w:sz w:val="20"/>
        </w:rPr>
        <w:t>17</w:t>
      </w:r>
      <w:r>
        <w:rPr>
          <w:sz w:val="20"/>
        </w:rPr>
        <w:tab/>
      </w:r>
      <w:r w:rsidR="00516F06">
        <w:t>Section 31A of the FCA Act provides:</w:t>
      </w:r>
    </w:p>
    <w:p w14:paraId="151FDA5F" w14:textId="77777777" w:rsidR="00B24860" w:rsidRPr="00AF66FA" w:rsidRDefault="00B24860" w:rsidP="00B24860">
      <w:pPr>
        <w:pStyle w:val="Quote1"/>
        <w:ind w:left="0"/>
        <w:rPr>
          <w:b/>
          <w:bCs/>
          <w:color w:val="000000"/>
          <w:shd w:val="clear" w:color="auto" w:fill="FFFFFF"/>
        </w:rPr>
      </w:pPr>
      <w:bookmarkStart w:id="22" w:name="_Toc98416700"/>
      <w:r>
        <w:rPr>
          <w:rStyle w:val="charsectno"/>
          <w:b/>
          <w:bCs/>
          <w:color w:val="000000"/>
          <w:shd w:val="clear" w:color="auto" w:fill="FFFFFF"/>
        </w:rPr>
        <w:t>31A</w:t>
      </w:r>
      <w:r>
        <w:rPr>
          <w:b/>
          <w:bCs/>
          <w:color w:val="000000"/>
          <w:shd w:val="clear" w:color="auto" w:fill="FFFFFF"/>
        </w:rPr>
        <w:t xml:space="preserve"> Summary judgment</w:t>
      </w:r>
    </w:p>
    <w:p w14:paraId="02092A02" w14:textId="2E851465" w:rsidR="00B24860" w:rsidRDefault="0026564F" w:rsidP="0026564F">
      <w:pPr>
        <w:pStyle w:val="Quote1"/>
        <w:ind w:left="1097" w:hanging="360"/>
        <w:rPr>
          <w:lang w:eastAsia="en-AU"/>
        </w:rPr>
      </w:pPr>
      <w:r>
        <w:rPr>
          <w:lang w:eastAsia="en-AU"/>
        </w:rPr>
        <w:t>(1)</w:t>
      </w:r>
      <w:r>
        <w:rPr>
          <w:lang w:eastAsia="en-AU"/>
        </w:rPr>
        <w:tab/>
      </w:r>
      <w:r w:rsidR="00B24860">
        <w:t>The Court may give judgment for one party against another in relation to the whole or any part of a proceeding if:</w:t>
      </w:r>
    </w:p>
    <w:p w14:paraId="349D4ABF" w14:textId="2B3F17E9" w:rsidR="00B24860" w:rsidRDefault="0026564F" w:rsidP="0026564F">
      <w:pPr>
        <w:pStyle w:val="Quote2"/>
        <w:ind w:left="1817" w:hanging="360"/>
      </w:pPr>
      <w:r>
        <w:t>(a)</w:t>
      </w:r>
      <w:r>
        <w:tab/>
      </w:r>
      <w:r w:rsidR="00B24860">
        <w:t>the first party is prosecuting the proceeding or that part of the proceeding; and</w:t>
      </w:r>
    </w:p>
    <w:p w14:paraId="114947D3" w14:textId="68193CD1" w:rsidR="00B24860" w:rsidRDefault="0026564F" w:rsidP="0026564F">
      <w:pPr>
        <w:pStyle w:val="Quote2"/>
        <w:ind w:left="1817" w:hanging="360"/>
      </w:pPr>
      <w:r>
        <w:t>(b)</w:t>
      </w:r>
      <w:r>
        <w:tab/>
      </w:r>
      <w:r w:rsidR="00B24860">
        <w:t>the Court is satisfied that the other party has no reasonable prospect of successfully defending the proceeding or that part of the proceeding.</w:t>
      </w:r>
    </w:p>
    <w:p w14:paraId="43552A3E" w14:textId="602AE17C" w:rsidR="00B24860" w:rsidRDefault="0026564F" w:rsidP="0026564F">
      <w:pPr>
        <w:pStyle w:val="Quote1"/>
        <w:ind w:left="1097" w:hanging="360"/>
      </w:pPr>
      <w:r>
        <w:t>(2)</w:t>
      </w:r>
      <w:r>
        <w:tab/>
      </w:r>
      <w:r w:rsidR="00B24860">
        <w:t>The Court may give judgment for one party against another in relation to the whole or any part of a proceeding if:</w:t>
      </w:r>
    </w:p>
    <w:p w14:paraId="35425607" w14:textId="4D3E0AA3" w:rsidR="00B24860" w:rsidRDefault="0026564F" w:rsidP="0026564F">
      <w:pPr>
        <w:pStyle w:val="Quote2"/>
        <w:ind w:left="1817" w:hanging="360"/>
      </w:pPr>
      <w:r>
        <w:t>(a)</w:t>
      </w:r>
      <w:r>
        <w:tab/>
      </w:r>
      <w:r w:rsidR="00B24860">
        <w:t>the first party is defending the proceeding or that part of the proceeding; and</w:t>
      </w:r>
    </w:p>
    <w:p w14:paraId="4CEB2BA6" w14:textId="20CF56B4" w:rsidR="00B24860" w:rsidRDefault="0026564F" w:rsidP="0026564F">
      <w:pPr>
        <w:pStyle w:val="Quote2"/>
        <w:ind w:left="1817" w:hanging="360"/>
      </w:pPr>
      <w:r>
        <w:lastRenderedPageBreak/>
        <w:t>(b)</w:t>
      </w:r>
      <w:r>
        <w:tab/>
      </w:r>
      <w:r w:rsidR="00B24860">
        <w:t>the Court is satisfied that the other party has no reasonable prospect of successfully prosecuting the proceeding or that part of the proceeding.</w:t>
      </w:r>
    </w:p>
    <w:p w14:paraId="74F668BA" w14:textId="309A0C1C" w:rsidR="00B24860" w:rsidRDefault="0026564F" w:rsidP="0026564F">
      <w:pPr>
        <w:pStyle w:val="Quote1"/>
        <w:ind w:left="1097" w:hanging="360"/>
      </w:pPr>
      <w:r>
        <w:t>(3)</w:t>
      </w:r>
      <w:r>
        <w:tab/>
      </w:r>
      <w:r w:rsidR="00B24860">
        <w:t>For the purposes of this section, a defence or a proceeding or part of a proceeding need not be:</w:t>
      </w:r>
    </w:p>
    <w:p w14:paraId="2C1C9737" w14:textId="502EDB25" w:rsidR="00B24860" w:rsidRDefault="0026564F" w:rsidP="0026564F">
      <w:pPr>
        <w:pStyle w:val="Quote2"/>
        <w:ind w:left="1817" w:hanging="360"/>
      </w:pPr>
      <w:r>
        <w:t>(a)</w:t>
      </w:r>
      <w:r>
        <w:tab/>
      </w:r>
      <w:r w:rsidR="00B24860">
        <w:t>hopeless; or</w:t>
      </w:r>
    </w:p>
    <w:p w14:paraId="5FE1E555" w14:textId="4B2E7442" w:rsidR="00B24860" w:rsidRDefault="0026564F" w:rsidP="0026564F">
      <w:pPr>
        <w:pStyle w:val="Quote2"/>
        <w:ind w:left="1817" w:hanging="360"/>
      </w:pPr>
      <w:r>
        <w:t>(b)</w:t>
      </w:r>
      <w:r>
        <w:tab/>
      </w:r>
      <w:r w:rsidR="00B24860">
        <w:t>bound to fail;</w:t>
      </w:r>
    </w:p>
    <w:p w14:paraId="6884FAC1" w14:textId="7E848133" w:rsidR="00845B78" w:rsidRDefault="00B24860" w:rsidP="00845B78">
      <w:pPr>
        <w:pStyle w:val="Quote1"/>
        <w:ind w:left="227" w:firstLine="703"/>
      </w:pPr>
      <w:r>
        <w:t>for it to have no reasonable prospect of success.</w:t>
      </w:r>
      <w:bookmarkEnd w:id="22"/>
    </w:p>
    <w:p w14:paraId="31403729" w14:textId="77777777" w:rsidR="00A71019" w:rsidRPr="00A71019" w:rsidRDefault="00A71019" w:rsidP="004678EE">
      <w:pPr>
        <w:pStyle w:val="Quote1"/>
      </w:pPr>
      <w:r w:rsidRPr="00A71019">
        <w:t xml:space="preserve">(4) This section does not limit any powers that the Court has apart from this section. </w:t>
      </w:r>
    </w:p>
    <w:p w14:paraId="2E599085" w14:textId="0790DCAA" w:rsidR="00A71019" w:rsidRDefault="00A71019" w:rsidP="004678EE">
      <w:pPr>
        <w:pStyle w:val="Quote1"/>
      </w:pPr>
      <w:r w:rsidRPr="00A71019">
        <w:t>(5) This section does not apply to criminal proceedings.</w:t>
      </w:r>
    </w:p>
    <w:p w14:paraId="6595D66C" w14:textId="3AC8FA13" w:rsidR="00415402" w:rsidRDefault="0026564F" w:rsidP="0026564F">
      <w:pPr>
        <w:pStyle w:val="ParaNumbering"/>
        <w:numPr>
          <w:ilvl w:val="0"/>
          <w:numId w:val="0"/>
        </w:numPr>
        <w:tabs>
          <w:tab w:val="left" w:pos="720"/>
        </w:tabs>
        <w:ind w:hanging="720"/>
      </w:pPr>
      <w:r>
        <w:rPr>
          <w:sz w:val="20"/>
        </w:rPr>
        <w:t>18</w:t>
      </w:r>
      <w:r>
        <w:rPr>
          <w:sz w:val="20"/>
        </w:rPr>
        <w:tab/>
      </w:r>
      <w:r w:rsidR="00415402">
        <w:t>Rule 26.01</w:t>
      </w:r>
      <w:r w:rsidR="00D33F33">
        <w:t>(1)</w:t>
      </w:r>
      <w:r w:rsidR="00415402">
        <w:t xml:space="preserve"> of the Rules provides:</w:t>
      </w:r>
    </w:p>
    <w:p w14:paraId="632D9679" w14:textId="77777777" w:rsidR="00C20E12" w:rsidRPr="00FD66DB" w:rsidRDefault="00C20E12" w:rsidP="00C20E12">
      <w:pPr>
        <w:pStyle w:val="Quote1"/>
        <w:ind w:left="0"/>
        <w:rPr>
          <w:b/>
          <w:bCs/>
          <w:sz w:val="24"/>
          <w:lang w:eastAsia="en-AU"/>
        </w:rPr>
      </w:pPr>
      <w:bookmarkStart w:id="23" w:name="_Toc126745024"/>
      <w:r w:rsidRPr="00FD66DB">
        <w:rPr>
          <w:rStyle w:val="charsectno"/>
          <w:b/>
          <w:bCs/>
          <w:color w:val="000000"/>
        </w:rPr>
        <w:t>26.01</w:t>
      </w:r>
      <w:r>
        <w:rPr>
          <w:b/>
          <w:bCs/>
        </w:rPr>
        <w:t xml:space="preserve"> </w:t>
      </w:r>
      <w:r w:rsidRPr="00FD66DB">
        <w:rPr>
          <w:b/>
          <w:bCs/>
        </w:rPr>
        <w:t>Summary judgment</w:t>
      </w:r>
    </w:p>
    <w:p w14:paraId="66F29B36" w14:textId="071C7354" w:rsidR="00C20E12" w:rsidRDefault="0026564F" w:rsidP="0026564F">
      <w:pPr>
        <w:pStyle w:val="Quote1"/>
        <w:ind w:left="1097" w:hanging="360"/>
        <w:rPr>
          <w:szCs w:val="22"/>
        </w:rPr>
      </w:pPr>
      <w:r>
        <w:rPr>
          <w:szCs w:val="22"/>
        </w:rPr>
        <w:t>(1)</w:t>
      </w:r>
      <w:r>
        <w:rPr>
          <w:szCs w:val="22"/>
        </w:rPr>
        <w:tab/>
      </w:r>
      <w:r w:rsidR="00C20E12">
        <w:rPr>
          <w:szCs w:val="22"/>
        </w:rPr>
        <w:t>A party may apply to the Court for an order that judgment be given against another party because:</w:t>
      </w:r>
    </w:p>
    <w:p w14:paraId="04395F1B" w14:textId="1007678E" w:rsidR="00C20E12" w:rsidRDefault="0026564F" w:rsidP="0026564F">
      <w:pPr>
        <w:pStyle w:val="Quote2"/>
        <w:ind w:left="1817" w:hanging="360"/>
      </w:pPr>
      <w:r>
        <w:t>(a)</w:t>
      </w:r>
      <w:r>
        <w:tab/>
      </w:r>
      <w:r w:rsidR="00C20E12">
        <w:t>the applicant has no reasonable prospect of successfully prosecuting the proceeding or part of the proceeding; or</w:t>
      </w:r>
    </w:p>
    <w:p w14:paraId="28024549" w14:textId="17F0E82B" w:rsidR="00C20E12" w:rsidRDefault="0026564F" w:rsidP="0026564F">
      <w:pPr>
        <w:pStyle w:val="Quote2"/>
        <w:ind w:left="1817" w:hanging="360"/>
      </w:pPr>
      <w:r>
        <w:t>(b)</w:t>
      </w:r>
      <w:r>
        <w:tab/>
      </w:r>
      <w:r w:rsidR="00C20E12">
        <w:t>the proceeding is frivolous or vexatious; or</w:t>
      </w:r>
    </w:p>
    <w:p w14:paraId="7A28B704" w14:textId="354E4D1C" w:rsidR="00C20E12" w:rsidRDefault="0026564F" w:rsidP="0026564F">
      <w:pPr>
        <w:pStyle w:val="Quote2"/>
        <w:ind w:left="1817" w:hanging="360"/>
      </w:pPr>
      <w:r>
        <w:t>(c)</w:t>
      </w:r>
      <w:r>
        <w:tab/>
      </w:r>
      <w:r w:rsidR="00C20E12">
        <w:t>no reasonable cause of action is disclosed; or</w:t>
      </w:r>
    </w:p>
    <w:p w14:paraId="070208D2" w14:textId="66932062" w:rsidR="00C20E12" w:rsidRDefault="0026564F" w:rsidP="0026564F">
      <w:pPr>
        <w:pStyle w:val="Quote2"/>
        <w:ind w:left="1817" w:hanging="360"/>
      </w:pPr>
      <w:r>
        <w:t>(d)</w:t>
      </w:r>
      <w:r>
        <w:tab/>
      </w:r>
      <w:r w:rsidR="00C20E12">
        <w:t>the proceeding is an abuse of the process of the Court; or</w:t>
      </w:r>
    </w:p>
    <w:p w14:paraId="7D70C887" w14:textId="7B402332" w:rsidR="00616231" w:rsidRPr="00616231" w:rsidRDefault="0026564F" w:rsidP="0026564F">
      <w:pPr>
        <w:pStyle w:val="Quote2"/>
        <w:ind w:left="1817" w:hanging="360"/>
        <w:rPr>
          <w:szCs w:val="22"/>
        </w:rPr>
      </w:pPr>
      <w:r w:rsidRPr="00616231">
        <w:rPr>
          <w:szCs w:val="22"/>
        </w:rPr>
        <w:t>(e)</w:t>
      </w:r>
      <w:r w:rsidRPr="00616231">
        <w:rPr>
          <w:szCs w:val="22"/>
        </w:rPr>
        <w:tab/>
      </w:r>
      <w:r w:rsidR="00C20E12">
        <w:t>the respondent has no reasonable prospect of successfully defending the proceeding or part of the proceeding.</w:t>
      </w:r>
      <w:bookmarkEnd w:id="23"/>
    </w:p>
    <w:p w14:paraId="6AEAAAAF" w14:textId="2841B16B" w:rsidR="00C15EFA" w:rsidRPr="00E317F5" w:rsidRDefault="0026564F" w:rsidP="0026564F">
      <w:pPr>
        <w:pStyle w:val="ParaNumbering"/>
        <w:numPr>
          <w:ilvl w:val="0"/>
          <w:numId w:val="0"/>
        </w:numPr>
        <w:tabs>
          <w:tab w:val="left" w:pos="720"/>
        </w:tabs>
        <w:ind w:hanging="720"/>
      </w:pPr>
      <w:r w:rsidRPr="00E317F5">
        <w:rPr>
          <w:sz w:val="20"/>
        </w:rPr>
        <w:t>19</w:t>
      </w:r>
      <w:r w:rsidRPr="00E317F5">
        <w:rPr>
          <w:sz w:val="20"/>
        </w:rPr>
        <w:tab/>
      </w:r>
      <w:r w:rsidR="002D5ACB">
        <w:t>I</w:t>
      </w:r>
      <w:r w:rsidR="002D5ACB" w:rsidRPr="00E317F5">
        <w:t xml:space="preserve">n </w:t>
      </w:r>
      <w:r w:rsidR="00877D6D" w:rsidRPr="00C77296">
        <w:rPr>
          <w:b/>
          <w:bCs/>
          <w:i/>
          <w:iCs/>
        </w:rPr>
        <w:t>Unions NSW</w:t>
      </w:r>
      <w:r w:rsidR="00877D6D" w:rsidRPr="00C77296">
        <w:rPr>
          <w:i/>
          <w:iCs/>
        </w:rPr>
        <w:t xml:space="preserve"> v New South Wales </w:t>
      </w:r>
      <w:r w:rsidR="00877D6D" w:rsidRPr="00C77296">
        <w:t>(2023) 407 ALR 277</w:t>
      </w:r>
      <w:r w:rsidR="00877D6D" w:rsidRPr="00E317F5">
        <w:t xml:space="preserve">, </w:t>
      </w:r>
      <w:r w:rsidR="00C15EFA" w:rsidRPr="00E317F5">
        <w:t xml:space="preserve">Kiefel CJ, </w:t>
      </w:r>
      <w:proofErr w:type="spellStart"/>
      <w:r w:rsidR="00C15EFA" w:rsidRPr="00E317F5">
        <w:t>Gageler</w:t>
      </w:r>
      <w:proofErr w:type="spellEnd"/>
      <w:r w:rsidR="00C15EFA" w:rsidRPr="00E317F5">
        <w:t xml:space="preserve">, Gordon, Gleeson and </w:t>
      </w:r>
      <w:proofErr w:type="spellStart"/>
      <w:r w:rsidR="00C15EFA" w:rsidRPr="00E317F5">
        <w:t>Jagot</w:t>
      </w:r>
      <w:proofErr w:type="spellEnd"/>
      <w:r w:rsidR="00C15EFA" w:rsidRPr="00E317F5">
        <w:t xml:space="preserve"> JJ stated</w:t>
      </w:r>
      <w:r w:rsidR="00CF4C96" w:rsidRPr="00E317F5">
        <w:t xml:space="preserve"> at [15]</w:t>
      </w:r>
      <w:r w:rsidR="00C15EFA" w:rsidRPr="00E317F5">
        <w:t>:</w:t>
      </w:r>
    </w:p>
    <w:p w14:paraId="319EF790" w14:textId="45ED7C8E" w:rsidR="00FD6564" w:rsidRPr="00E317F5" w:rsidRDefault="00A22AA1" w:rsidP="00A22AA1">
      <w:pPr>
        <w:pStyle w:val="Quote1"/>
      </w:pPr>
      <w:r w:rsidRPr="00E317F5">
        <w:t>Exceptional categories aside, there can be no “matter</w:t>
      </w:r>
      <w:r w:rsidR="003E5525" w:rsidRPr="00E317F5">
        <w:t>”</w:t>
      </w:r>
      <w:r w:rsidRPr="00E317F5">
        <w:t xml:space="preserve"> within the meaning of Ch III of the Constitution unless “there is some immediate right, duty or liability to be established by the determination of the Court” in the administration of a law and unless the determination can result in the Court granting relief which both quells a controversy between parties and is available at the suit of the party seeking that relief. Standing to seek relief is in that way “subsumed within the constitutional requirement of a ‘matter</w:t>
      </w:r>
      <w:r w:rsidR="003B2992" w:rsidRPr="00E317F5">
        <w:t>’”.</w:t>
      </w:r>
    </w:p>
    <w:p w14:paraId="741A687C" w14:textId="2EBCE533" w:rsidR="008000C1" w:rsidRPr="00E317F5" w:rsidRDefault="003B2992" w:rsidP="00616231">
      <w:pPr>
        <w:pStyle w:val="Quote1"/>
      </w:pPr>
      <w:r w:rsidRPr="00E317F5">
        <w:t>(Citations omitted.)</w:t>
      </w:r>
      <w:r w:rsidR="008000C1" w:rsidRPr="00E317F5">
        <w:t xml:space="preserve"> </w:t>
      </w:r>
    </w:p>
    <w:p w14:paraId="342754C9" w14:textId="3F407E7F" w:rsidR="008000C1" w:rsidRPr="00E317F5" w:rsidRDefault="0026564F" w:rsidP="0026564F">
      <w:pPr>
        <w:pStyle w:val="ParaNumbering"/>
        <w:numPr>
          <w:ilvl w:val="0"/>
          <w:numId w:val="0"/>
        </w:numPr>
        <w:tabs>
          <w:tab w:val="left" w:pos="720"/>
        </w:tabs>
        <w:ind w:hanging="720"/>
      </w:pPr>
      <w:r w:rsidRPr="00E317F5">
        <w:rPr>
          <w:sz w:val="20"/>
        </w:rPr>
        <w:t>20</w:t>
      </w:r>
      <w:r w:rsidRPr="00E317F5">
        <w:rPr>
          <w:sz w:val="20"/>
        </w:rPr>
        <w:tab/>
      </w:r>
      <w:r w:rsidR="008000C1" w:rsidRPr="00E317F5">
        <w:t xml:space="preserve">In expressing the same principle, </w:t>
      </w:r>
      <w:proofErr w:type="spellStart"/>
      <w:r w:rsidR="008000C1" w:rsidRPr="00E317F5">
        <w:t>Gageler</w:t>
      </w:r>
      <w:proofErr w:type="spellEnd"/>
      <w:r w:rsidR="008000C1" w:rsidRPr="00E317F5">
        <w:t xml:space="preserve"> and Gleeson JJ in </w:t>
      </w:r>
      <w:r w:rsidR="008000C1" w:rsidRPr="00C77296">
        <w:rPr>
          <w:b/>
          <w:bCs/>
          <w:i/>
          <w:iCs/>
        </w:rPr>
        <w:t>Hobart International</w:t>
      </w:r>
      <w:r w:rsidR="008000C1" w:rsidRPr="00C77296">
        <w:rPr>
          <w:i/>
          <w:iCs/>
        </w:rPr>
        <w:t xml:space="preserve"> Airport</w:t>
      </w:r>
      <w:r w:rsidR="00EE76D1" w:rsidRPr="00C77296">
        <w:rPr>
          <w:i/>
          <w:iCs/>
        </w:rPr>
        <w:t xml:space="preserve"> Pty Ltd v Clarence City Council </w:t>
      </w:r>
      <w:r w:rsidR="00EE76D1" w:rsidRPr="00C77296">
        <w:t>(2022) 399 ALR 214</w:t>
      </w:r>
      <w:r w:rsidR="00EE76D1" w:rsidRPr="00E317F5">
        <w:rPr>
          <w:i/>
          <w:iCs/>
        </w:rPr>
        <w:t xml:space="preserve"> </w:t>
      </w:r>
      <w:r w:rsidR="008000C1" w:rsidRPr="00E317F5">
        <w:t xml:space="preserve">at [49] </w:t>
      </w:r>
      <w:r w:rsidR="00B651E3">
        <w:t>explained</w:t>
      </w:r>
      <w:r w:rsidR="008000C1" w:rsidRPr="00E317F5">
        <w:t xml:space="preserve"> the concept of standing: </w:t>
      </w:r>
    </w:p>
    <w:p w14:paraId="7E460637" w14:textId="5E9EA6FC" w:rsidR="008000C1" w:rsidRPr="00E317F5" w:rsidRDefault="008000C1" w:rsidP="00616231">
      <w:pPr>
        <w:pStyle w:val="Quote1"/>
      </w:pPr>
      <w:r w:rsidRPr="00E317F5">
        <w:t xml:space="preserve">Standing, in the sense of a right to seek from a court an order that would operate to resolve the controversy, is in that way inseparable from justiciability and, therefore, is intrinsic to the existence of the matter without which the federal jurisdiction of the court to make the order cannot exist. That is what has been meant when it has often been said that standing is “subsumed within the constitutional requirement of a matter”. </w:t>
      </w:r>
    </w:p>
    <w:p w14:paraId="0BBF9D79" w14:textId="31B9C828" w:rsidR="00505150" w:rsidRPr="00E317F5" w:rsidRDefault="0026564F" w:rsidP="0026564F">
      <w:pPr>
        <w:pStyle w:val="ParaNumbering"/>
        <w:numPr>
          <w:ilvl w:val="0"/>
          <w:numId w:val="0"/>
        </w:numPr>
        <w:tabs>
          <w:tab w:val="left" w:pos="720"/>
        </w:tabs>
        <w:ind w:hanging="720"/>
      </w:pPr>
      <w:r w:rsidRPr="00E317F5">
        <w:rPr>
          <w:sz w:val="20"/>
        </w:rPr>
        <w:lastRenderedPageBreak/>
        <w:t>21</w:t>
      </w:r>
      <w:r w:rsidRPr="00E317F5">
        <w:rPr>
          <w:sz w:val="20"/>
        </w:rPr>
        <w:tab/>
      </w:r>
      <w:r w:rsidR="00616231" w:rsidRPr="00E317F5">
        <w:t xml:space="preserve">If </w:t>
      </w:r>
      <w:r w:rsidR="00586F5D" w:rsidRPr="00E317F5">
        <w:t>an applicant</w:t>
      </w:r>
      <w:r w:rsidR="00616231" w:rsidRPr="00E317F5">
        <w:t xml:space="preserve"> lack</w:t>
      </w:r>
      <w:r w:rsidR="00586F5D" w:rsidRPr="00E317F5">
        <w:t>s</w:t>
      </w:r>
      <w:r w:rsidR="00616231" w:rsidRPr="00E317F5">
        <w:t xml:space="preserve"> standing to </w:t>
      </w:r>
      <w:r w:rsidR="00586F5D" w:rsidRPr="00E317F5">
        <w:t xml:space="preserve">bring </w:t>
      </w:r>
      <w:r w:rsidR="00C9774A" w:rsidRPr="00E317F5">
        <w:t>th</w:t>
      </w:r>
      <w:r w:rsidR="00CB75F9" w:rsidRPr="00E317F5">
        <w:t>e</w:t>
      </w:r>
      <w:r w:rsidR="00C9774A" w:rsidRPr="00E317F5">
        <w:t xml:space="preserve"> </w:t>
      </w:r>
      <w:r w:rsidR="00E73503" w:rsidRPr="00E317F5">
        <w:t>proceeding</w:t>
      </w:r>
      <w:r w:rsidR="00616231" w:rsidRPr="00E317F5">
        <w:t>, then there can be no matter before the Court</w:t>
      </w:r>
      <w:r w:rsidR="00C9774A" w:rsidRPr="00E317F5">
        <w:t xml:space="preserve"> and therefore there can </w:t>
      </w:r>
      <w:r w:rsidR="00A8456B" w:rsidRPr="00E317F5">
        <w:t>be</w:t>
      </w:r>
      <w:r w:rsidR="00E73503" w:rsidRPr="00E317F5">
        <w:t xml:space="preserve"> </w:t>
      </w:r>
      <w:r w:rsidR="00C9774A" w:rsidRPr="00E317F5">
        <w:t>no pro</w:t>
      </w:r>
      <w:r w:rsidR="00A8456B" w:rsidRPr="00E317F5">
        <w:t xml:space="preserve">spects of </w:t>
      </w:r>
      <w:r w:rsidR="009A3917" w:rsidRPr="00E317F5">
        <w:t>succeeding in that application.</w:t>
      </w:r>
      <w:r w:rsidR="00E73503" w:rsidRPr="00E317F5">
        <w:t xml:space="preserve"> Relatedly, a</w:t>
      </w:r>
      <w:r w:rsidR="008000C1" w:rsidRPr="00E317F5">
        <w:t xml:space="preserve">n abuse of process </w:t>
      </w:r>
      <w:r w:rsidR="00E73503" w:rsidRPr="00E317F5">
        <w:t xml:space="preserve">arises </w:t>
      </w:r>
      <w:r w:rsidR="008000C1" w:rsidRPr="00E317F5">
        <w:t>where the applicant</w:t>
      </w:r>
      <w:r w:rsidR="00AC7721" w:rsidRPr="00E317F5">
        <w:t>’</w:t>
      </w:r>
      <w:r w:rsidR="00AD4379" w:rsidRPr="00E317F5">
        <w:t>s case is</w:t>
      </w:r>
      <w:r w:rsidR="00B73A87" w:rsidRPr="00E317F5">
        <w:t xml:space="preserve"> </w:t>
      </w:r>
      <w:r w:rsidR="008000C1" w:rsidRPr="00E317F5">
        <w:t>“foredoomed to fail”</w:t>
      </w:r>
      <w:r w:rsidR="00AE57E8" w:rsidRPr="00E317F5">
        <w:t xml:space="preserve"> which will always be the case where the applicant lacks standing</w:t>
      </w:r>
      <w:r w:rsidR="00B73A87" w:rsidRPr="00E317F5">
        <w:t xml:space="preserve">: </w:t>
      </w:r>
      <w:r w:rsidR="0071493F" w:rsidRPr="00E317F5">
        <w:t xml:space="preserve">see </w:t>
      </w:r>
      <w:r w:rsidR="00B73A87" w:rsidRPr="00C77296">
        <w:rPr>
          <w:i/>
          <w:iCs/>
        </w:rPr>
        <w:t xml:space="preserve">Miller v Cimic Group Ltd </w:t>
      </w:r>
      <w:r w:rsidR="00B73A87" w:rsidRPr="00C77296">
        <w:t>[2015] FCA 587</w:t>
      </w:r>
      <w:r w:rsidR="00CF4D74" w:rsidRPr="00C77296">
        <w:t xml:space="preserve"> </w:t>
      </w:r>
      <w:r w:rsidR="00CF4D74" w:rsidRPr="00E317F5">
        <w:t xml:space="preserve">at </w:t>
      </w:r>
      <w:r w:rsidR="00B73A87" w:rsidRPr="00E317F5">
        <w:t>[14] (</w:t>
      </w:r>
      <w:r w:rsidR="00693136" w:rsidRPr="00E317F5">
        <w:t xml:space="preserve">per </w:t>
      </w:r>
      <w:r w:rsidR="00B73A87" w:rsidRPr="00E317F5">
        <w:t xml:space="preserve">Reeves J) referring to the High Court decision of </w:t>
      </w:r>
      <w:r w:rsidR="00B73A87" w:rsidRPr="00C77296">
        <w:rPr>
          <w:i/>
          <w:iCs/>
        </w:rPr>
        <w:t xml:space="preserve">Walton v Gardiner </w:t>
      </w:r>
      <w:r w:rsidR="00B73A87" w:rsidRPr="00C77296">
        <w:t>(1993) 177 CLR 378</w:t>
      </w:r>
      <w:r w:rsidR="00CF4D74" w:rsidRPr="00E317F5">
        <w:t xml:space="preserve"> at </w:t>
      </w:r>
      <w:r w:rsidR="00B73A87" w:rsidRPr="00E317F5">
        <w:t>393 (</w:t>
      </w:r>
      <w:r w:rsidR="00693136" w:rsidRPr="00E317F5">
        <w:t xml:space="preserve">per </w:t>
      </w:r>
      <w:r w:rsidR="00B73A87" w:rsidRPr="00E317F5">
        <w:t>Mason CJ, Deane and Dawson JJ).</w:t>
      </w:r>
      <w:r w:rsidR="00AD4379" w:rsidRPr="00E317F5">
        <w:t xml:space="preserve"> </w:t>
      </w:r>
    </w:p>
    <w:p w14:paraId="3AA3A211" w14:textId="3F300EEF" w:rsidR="00221E58" w:rsidRPr="00202FD0" w:rsidRDefault="0026564F" w:rsidP="0026564F">
      <w:pPr>
        <w:pStyle w:val="ParaNumbering"/>
        <w:numPr>
          <w:ilvl w:val="0"/>
          <w:numId w:val="0"/>
        </w:numPr>
        <w:tabs>
          <w:tab w:val="left" w:pos="720"/>
        </w:tabs>
        <w:ind w:hanging="720"/>
      </w:pPr>
      <w:r w:rsidRPr="00202FD0">
        <w:rPr>
          <w:sz w:val="20"/>
        </w:rPr>
        <w:t>22</w:t>
      </w:r>
      <w:r w:rsidRPr="00202FD0">
        <w:rPr>
          <w:sz w:val="20"/>
        </w:rPr>
        <w:tab/>
      </w:r>
      <w:r w:rsidR="00FD66DB">
        <w:t>It is clear that</w:t>
      </w:r>
      <w:r w:rsidR="00845B78">
        <w:t xml:space="preserve"> </w:t>
      </w:r>
      <w:r w:rsidR="00505150">
        <w:t>without standing</w:t>
      </w:r>
      <w:r w:rsidR="00693136">
        <w:t xml:space="preserve"> </w:t>
      </w:r>
      <w:r w:rsidR="00505150">
        <w:t>an</w:t>
      </w:r>
      <w:r w:rsidR="00AB03B8">
        <w:t xml:space="preserve"> applicant has </w:t>
      </w:r>
      <w:r w:rsidR="00845B78">
        <w:t>no prospe</w:t>
      </w:r>
      <w:r w:rsidR="00845B78" w:rsidRPr="00E317F5">
        <w:t xml:space="preserve">ct of </w:t>
      </w:r>
      <w:r w:rsidR="00AB03B8" w:rsidRPr="00E317F5">
        <w:t>success</w:t>
      </w:r>
      <w:r w:rsidR="002F269F" w:rsidRPr="00E317F5">
        <w:t>, no reasonable cause of action</w:t>
      </w:r>
      <w:r w:rsidR="00074D7F" w:rsidRPr="00E317F5">
        <w:t xml:space="preserve"> </w:t>
      </w:r>
      <w:r w:rsidR="00AB03B8" w:rsidRPr="00E317F5">
        <w:t xml:space="preserve">and </w:t>
      </w:r>
      <w:r w:rsidR="00030C2D" w:rsidRPr="00E317F5">
        <w:t>the p</w:t>
      </w:r>
      <w:r w:rsidR="00845B78" w:rsidRPr="00E317F5">
        <w:t>roceeding is an abuse of process</w:t>
      </w:r>
      <w:r w:rsidR="00FD66DB" w:rsidRPr="00E317F5">
        <w:t xml:space="preserve">. </w:t>
      </w:r>
      <w:r w:rsidR="00221E58" w:rsidRPr="00E317F5">
        <w:t xml:space="preserve">The </w:t>
      </w:r>
      <w:r w:rsidR="00030C2D" w:rsidRPr="00E317F5">
        <w:t xml:space="preserve">question of standing </w:t>
      </w:r>
      <w:r w:rsidR="00221E58" w:rsidRPr="00E317F5">
        <w:t xml:space="preserve">therefore </w:t>
      </w:r>
      <w:r w:rsidR="00030C2D" w:rsidRPr="00E317F5">
        <w:t>entirely resolves the question of whether summary judgment is available</w:t>
      </w:r>
      <w:r w:rsidR="00BB2658" w:rsidRPr="00E317F5">
        <w:t xml:space="preserve">, irrespective of where the bar is set for </w:t>
      </w:r>
      <w:r w:rsidR="00AE57E8" w:rsidRPr="00E317F5">
        <w:t xml:space="preserve">assessing </w:t>
      </w:r>
      <w:r w:rsidR="00BB2658" w:rsidRPr="00E317F5">
        <w:t>the prospects of the applicant</w:t>
      </w:r>
      <w:r w:rsidR="00FD6564" w:rsidRPr="00E317F5">
        <w:t>’</w:t>
      </w:r>
      <w:r w:rsidR="00BB2658" w:rsidRPr="00E317F5">
        <w:t>s success on the substantive matter</w:t>
      </w:r>
      <w:r w:rsidR="00030C2D" w:rsidRPr="00E317F5">
        <w:t xml:space="preserve">. </w:t>
      </w:r>
      <w:r w:rsidR="00221E58" w:rsidRPr="00E317F5">
        <w:t xml:space="preserve">As such, it is unnecessary to address the dispute that arose between </w:t>
      </w:r>
      <w:r w:rsidR="00A16456" w:rsidRPr="00E317F5">
        <w:t>the respondents</w:t>
      </w:r>
      <w:r w:rsidR="00221E58" w:rsidRPr="00E317F5">
        <w:t xml:space="preserve"> and the applicant </w:t>
      </w:r>
      <w:r w:rsidR="003E377B" w:rsidRPr="00E317F5">
        <w:t xml:space="preserve">regarding </w:t>
      </w:r>
      <w:r w:rsidR="00467EA8" w:rsidRPr="00E317F5">
        <w:t>the construction of s 31A of the FCA Act and whether the cases relied upon by the applicant that pre-dated the insertion of s 31A</w:t>
      </w:r>
      <w:r w:rsidR="00B722A9" w:rsidRPr="00E317F5">
        <w:t xml:space="preserve">, such as </w:t>
      </w:r>
      <w:r w:rsidR="00493823" w:rsidRPr="00C77296">
        <w:rPr>
          <w:i/>
          <w:iCs/>
        </w:rPr>
        <w:t xml:space="preserve">Dey v Victorian Railways Commissioners </w:t>
      </w:r>
      <w:r w:rsidR="00493823" w:rsidRPr="00C77296">
        <w:t>(1949) 78 CLR 62</w:t>
      </w:r>
      <w:r w:rsidR="00493823" w:rsidRPr="00E317F5">
        <w:t xml:space="preserve"> and </w:t>
      </w:r>
      <w:r w:rsidR="00493823" w:rsidRPr="00C77296">
        <w:rPr>
          <w:i/>
          <w:iCs/>
        </w:rPr>
        <w:t xml:space="preserve">General Steel Industries Ltd v Commissioner for Railways </w:t>
      </w:r>
      <w:r w:rsidR="00493823" w:rsidRPr="00C77296">
        <w:t>(1964) 112 CLR 125</w:t>
      </w:r>
      <w:r w:rsidR="00493823" w:rsidRPr="00E317F5">
        <w:t>,</w:t>
      </w:r>
      <w:r w:rsidR="00467EA8" w:rsidRPr="00E317F5">
        <w:t xml:space="preserve"> remained good law</w:t>
      </w:r>
      <w:r w:rsidR="00493823" w:rsidRPr="00E317F5">
        <w:t xml:space="preserve"> after </w:t>
      </w:r>
      <w:r w:rsidR="005B603A" w:rsidRPr="00C77296">
        <w:rPr>
          <w:i/>
          <w:iCs/>
        </w:rPr>
        <w:t xml:space="preserve">Spencer v Commonwealth </w:t>
      </w:r>
      <w:r w:rsidR="005B603A" w:rsidRPr="00C77296">
        <w:t>(2010)</w:t>
      </w:r>
      <w:r w:rsidR="005B603A" w:rsidRPr="00C77296">
        <w:rPr>
          <w:i/>
          <w:iCs/>
        </w:rPr>
        <w:t xml:space="preserve"> </w:t>
      </w:r>
      <w:r w:rsidR="005B603A" w:rsidRPr="00C77296">
        <w:t>241 CLR 118</w:t>
      </w:r>
      <w:r w:rsidR="005B603A" w:rsidRPr="00E317F5">
        <w:t>.</w:t>
      </w:r>
      <w:r w:rsidR="008B058F">
        <w:t xml:space="preserve"> </w:t>
      </w:r>
    </w:p>
    <w:p w14:paraId="2A96466F" w14:textId="21DD3B13" w:rsidR="002F40DE" w:rsidRDefault="0026564F" w:rsidP="0026564F">
      <w:pPr>
        <w:pStyle w:val="Heading5"/>
        <w:numPr>
          <w:ilvl w:val="0"/>
          <w:numId w:val="0"/>
        </w:numPr>
        <w:tabs>
          <w:tab w:val="left" w:pos="1134"/>
        </w:tabs>
        <w:ind w:left="1134" w:hanging="1134"/>
      </w:pPr>
      <w:r>
        <w:t>4.</w:t>
      </w:r>
      <w:r>
        <w:tab/>
      </w:r>
      <w:r w:rsidR="00A559C7">
        <w:t xml:space="preserve">STANDING </w:t>
      </w:r>
    </w:p>
    <w:p w14:paraId="07948635" w14:textId="51D635DD" w:rsidR="00796FC0" w:rsidRDefault="0026564F" w:rsidP="0026564F">
      <w:pPr>
        <w:pStyle w:val="ParaNumbering"/>
        <w:numPr>
          <w:ilvl w:val="0"/>
          <w:numId w:val="0"/>
        </w:numPr>
        <w:tabs>
          <w:tab w:val="left" w:pos="720"/>
        </w:tabs>
        <w:ind w:hanging="720"/>
      </w:pPr>
      <w:r>
        <w:rPr>
          <w:sz w:val="20"/>
        </w:rPr>
        <w:t>23</w:t>
      </w:r>
      <w:r>
        <w:rPr>
          <w:sz w:val="20"/>
        </w:rPr>
        <w:tab/>
      </w:r>
      <w:r w:rsidR="00322ADD" w:rsidRPr="008000C1">
        <w:t>What is required to establish standing varies depending upon the relief sought.</w:t>
      </w:r>
      <w:r w:rsidR="0014528F">
        <w:t xml:space="preserve"> </w:t>
      </w:r>
      <w:r w:rsidR="00322ADD" w:rsidRPr="008000C1">
        <w:t xml:space="preserve">Where the source of relief is </w:t>
      </w:r>
      <w:r w:rsidR="0004568F">
        <w:t xml:space="preserve">a </w:t>
      </w:r>
      <w:r w:rsidR="00322ADD" w:rsidRPr="008000C1">
        <w:t>statute</w:t>
      </w:r>
      <w:r w:rsidR="002B7F7E">
        <w:t xml:space="preserve">, </w:t>
      </w:r>
      <w:r w:rsidR="00FC33BE">
        <w:t xml:space="preserve">the </w:t>
      </w:r>
      <w:r w:rsidR="00322ADD" w:rsidRPr="008000C1">
        <w:t>requirements</w:t>
      </w:r>
      <w:r w:rsidR="00FC33BE">
        <w:t xml:space="preserve"> for standing </w:t>
      </w:r>
      <w:r w:rsidR="00B8560A">
        <w:t xml:space="preserve">will be </w:t>
      </w:r>
      <w:r w:rsidR="00E95E5D">
        <w:t xml:space="preserve">expressly or implicitly </w:t>
      </w:r>
      <w:r w:rsidR="00B8560A">
        <w:t>provided by the statute</w:t>
      </w:r>
      <w:r w:rsidR="002B7F7E">
        <w:t xml:space="preserve">: </w:t>
      </w:r>
      <w:r w:rsidR="002B7F7E">
        <w:rPr>
          <w:i/>
          <w:iCs/>
        </w:rPr>
        <w:t xml:space="preserve">Hobart International </w:t>
      </w:r>
      <w:r w:rsidR="002B7F7E">
        <w:t>at</w:t>
      </w:r>
      <w:r w:rsidR="00B8560A">
        <w:t xml:space="preserve"> </w:t>
      </w:r>
      <w:r w:rsidR="00F03CC8">
        <w:t>[56] (</w:t>
      </w:r>
      <w:r w:rsidR="00F80893">
        <w:t xml:space="preserve">per </w:t>
      </w:r>
      <w:proofErr w:type="spellStart"/>
      <w:r w:rsidR="00F03CC8">
        <w:t>Gageler</w:t>
      </w:r>
      <w:proofErr w:type="spellEnd"/>
      <w:r w:rsidR="00F03CC8">
        <w:t xml:space="preserve"> and Gleeson JJ)</w:t>
      </w:r>
      <w:r w:rsidR="00E76AC4">
        <w:t>.</w:t>
      </w:r>
    </w:p>
    <w:p w14:paraId="23B64BDA" w14:textId="218A4DC5" w:rsidR="006C21EE" w:rsidRDefault="0026564F" w:rsidP="0026564F">
      <w:pPr>
        <w:pStyle w:val="ParaNumbering"/>
        <w:numPr>
          <w:ilvl w:val="0"/>
          <w:numId w:val="0"/>
        </w:numPr>
        <w:tabs>
          <w:tab w:val="left" w:pos="720"/>
        </w:tabs>
        <w:ind w:hanging="720"/>
      </w:pPr>
      <w:r>
        <w:rPr>
          <w:sz w:val="20"/>
        </w:rPr>
        <w:t>24</w:t>
      </w:r>
      <w:r>
        <w:rPr>
          <w:sz w:val="20"/>
        </w:rPr>
        <w:tab/>
      </w:r>
      <w:r w:rsidR="006C21EE">
        <w:t>Although the requirements for standing for relief under a</w:t>
      </w:r>
      <w:r w:rsidR="00F03338">
        <w:t xml:space="preserve"> statute</w:t>
      </w:r>
      <w:r w:rsidR="006C21EE">
        <w:t xml:space="preserve"> are </w:t>
      </w:r>
      <w:r w:rsidR="00490BD4">
        <w:t xml:space="preserve">provided for by that </w:t>
      </w:r>
      <w:r w:rsidR="001814C4">
        <w:t>a</w:t>
      </w:r>
      <w:r w:rsidR="00490BD4">
        <w:t>ct, the authorities on standing more broadly are nonetheless relevant</w:t>
      </w:r>
      <w:r w:rsidR="00F03338">
        <w:t xml:space="preserve"> to provide guidance on those requirements</w:t>
      </w:r>
      <w:r w:rsidR="007A2D93">
        <w:t>.</w:t>
      </w:r>
    </w:p>
    <w:p w14:paraId="040A56BF" w14:textId="37A7202E" w:rsidR="00254DCE" w:rsidRDefault="0026564F" w:rsidP="0026564F">
      <w:pPr>
        <w:pStyle w:val="ParaNumbering"/>
        <w:numPr>
          <w:ilvl w:val="0"/>
          <w:numId w:val="0"/>
        </w:numPr>
        <w:tabs>
          <w:tab w:val="left" w:pos="720"/>
        </w:tabs>
        <w:ind w:hanging="720"/>
      </w:pPr>
      <w:r>
        <w:rPr>
          <w:sz w:val="20"/>
        </w:rPr>
        <w:t>25</w:t>
      </w:r>
      <w:r>
        <w:rPr>
          <w:sz w:val="20"/>
        </w:rPr>
        <w:tab/>
      </w:r>
      <w:r w:rsidR="002035CF">
        <w:t>I</w:t>
      </w:r>
      <w:r w:rsidR="00254DCE">
        <w:t xml:space="preserve">n </w:t>
      </w:r>
      <w:r w:rsidR="00254DCE">
        <w:rPr>
          <w:i/>
          <w:iCs/>
        </w:rPr>
        <w:t>Hobart International</w:t>
      </w:r>
      <w:r w:rsidR="002035CF">
        <w:t xml:space="preserve">, </w:t>
      </w:r>
      <w:proofErr w:type="spellStart"/>
      <w:r w:rsidR="002035CF">
        <w:t>Gageler</w:t>
      </w:r>
      <w:proofErr w:type="spellEnd"/>
      <w:r w:rsidR="002035CF">
        <w:t xml:space="preserve"> and Gleeson JJ</w:t>
      </w:r>
      <w:r w:rsidR="00254DCE" w:rsidRPr="002035CF">
        <w:rPr>
          <w:i/>
          <w:iCs/>
        </w:rPr>
        <w:t xml:space="preserve"> </w:t>
      </w:r>
      <w:r w:rsidR="00254DCE">
        <w:t xml:space="preserve">at </w:t>
      </w:r>
      <w:r w:rsidR="00254DCE" w:rsidRPr="00254DCE">
        <w:t>[65]</w:t>
      </w:r>
      <w:r w:rsidR="002035CF">
        <w:t xml:space="preserve"> explained the basic concept of standing</w:t>
      </w:r>
      <w:r w:rsidR="0021296D">
        <w:t xml:space="preserve"> and clarified that </w:t>
      </w:r>
      <w:r w:rsidR="003D7A0C">
        <w:t>the different expressions of standing</w:t>
      </w:r>
      <w:r w:rsidR="00AA71BD">
        <w:t xml:space="preserve"> reflected in the case law</w:t>
      </w:r>
      <w:r w:rsidR="003D7A0C">
        <w:t xml:space="preserve"> are, in fact, one consistent test</w:t>
      </w:r>
      <w:r w:rsidR="00254DCE">
        <w:t>:</w:t>
      </w:r>
    </w:p>
    <w:p w14:paraId="3E16DA55" w14:textId="531CFD7B" w:rsidR="00211D7D" w:rsidRPr="00211D7D" w:rsidRDefault="00254DCE" w:rsidP="00211D7D">
      <w:pPr>
        <w:pStyle w:val="Quote1"/>
      </w:pPr>
      <w:r w:rsidRPr="00254DCE">
        <w:t>Though the expression of standing has been</w:t>
      </w:r>
      <w:r w:rsidR="00100F4E">
        <w:t xml:space="preserve"> </w:t>
      </w:r>
      <w:r w:rsidR="00100F4E" w:rsidRPr="00511BDD">
        <w:t>[</w:t>
      </w:r>
      <w:r w:rsidR="00100F4E" w:rsidRPr="00B651E3">
        <w:t>described</w:t>
      </w:r>
      <w:r w:rsidR="00100F4E" w:rsidRPr="00511BDD">
        <w:t>]</w:t>
      </w:r>
      <w:r w:rsidRPr="00254DCE">
        <w:t xml:space="preserve"> </w:t>
      </w:r>
      <w:r w:rsidRPr="00277473">
        <w:t>variously</w:t>
      </w:r>
      <w:r w:rsidRPr="00254DCE">
        <w:t xml:space="preserve"> in terms of a “sufficient interest”, a “sufficient material interest”, a “special interest” or a “real interest”, the conception of standing developed through that body of case law has been consistent. That conception of standing has involved recognition that a person who does not claim to have a legal right or equitable interest to be vindicated by a declaration or other order that would resolve a controversy about a right or obligation may yet have a material interest in seeking the order. In this context, an interest will be “material” if the person “is likely to gain some advantage, other than the satisfaction </w:t>
      </w:r>
      <w:r w:rsidRPr="00254DCE">
        <w:lastRenderedPageBreak/>
        <w:t>of righting a wrong, upholding a principle or winning a contest, if [the order is made] or to suffer some disadvantage, other than a sense of grievance or a debt for costs, if [the order is not made]</w:t>
      </w:r>
      <w:r w:rsidR="009E018A">
        <w:t>”</w:t>
      </w:r>
      <w:r w:rsidRPr="00254DCE">
        <w:t>. Depending on the totality of the circumstances, the material interest that the person has in seeking the order may be sufficient to justify a court entertaining the proceeding in which the order is sought.</w:t>
      </w:r>
    </w:p>
    <w:p w14:paraId="0DC2B8B0" w14:textId="49FE30E8" w:rsidR="00211D7D" w:rsidRPr="00E317F5" w:rsidRDefault="0026564F" w:rsidP="0026564F">
      <w:pPr>
        <w:pStyle w:val="ParaNumbering"/>
        <w:numPr>
          <w:ilvl w:val="0"/>
          <w:numId w:val="0"/>
        </w:numPr>
        <w:tabs>
          <w:tab w:val="left" w:pos="720"/>
        </w:tabs>
        <w:ind w:hanging="720"/>
      </w:pPr>
      <w:r w:rsidRPr="00E317F5">
        <w:rPr>
          <w:sz w:val="20"/>
        </w:rPr>
        <w:t>26</w:t>
      </w:r>
      <w:r w:rsidRPr="00E317F5">
        <w:rPr>
          <w:sz w:val="20"/>
        </w:rPr>
        <w:tab/>
      </w:r>
      <w:r w:rsidR="00211D7D" w:rsidRPr="00211D7D">
        <w:t xml:space="preserve">In </w:t>
      </w:r>
      <w:r w:rsidR="00211D7D" w:rsidRPr="00C77296">
        <w:rPr>
          <w:b/>
          <w:bCs/>
          <w:i/>
          <w:iCs/>
        </w:rPr>
        <w:t xml:space="preserve">Onus v Alcoa </w:t>
      </w:r>
      <w:r w:rsidR="00211D7D" w:rsidRPr="00C77296">
        <w:rPr>
          <w:i/>
          <w:iCs/>
        </w:rPr>
        <w:t>of Australia Ltd</w:t>
      </w:r>
      <w:r w:rsidR="00211D7D" w:rsidRPr="00C77296">
        <w:t xml:space="preserve"> (1981) 149 CLR 27</w:t>
      </w:r>
      <w:r w:rsidR="00211D7D" w:rsidRPr="00E317F5">
        <w:t xml:space="preserve"> at 35, Gibbs CJ identified the conflicting considerations when considering questions of standing: </w:t>
      </w:r>
    </w:p>
    <w:p w14:paraId="1AE4DFE8" w14:textId="608C1F47" w:rsidR="0026145F" w:rsidRPr="00E317F5" w:rsidRDefault="00211D7D" w:rsidP="0026145F">
      <w:pPr>
        <w:pStyle w:val="Quote1"/>
      </w:pPr>
      <w:r w:rsidRPr="00E317F5">
        <w:t>On the one hand it may be thought that in a community which professes to live by the rule of law the courts should be open to anyone who genuinely seeks to prevent the law from being ignored or violated. On the other hand, if standing is accorded to any citizen to sue to prevent breaches of the law by another, there exists the possibility, not only that the processes of the law will be abused by busybodies and cranks and persons actuated by malice, but also that persons or groups who feel strongly enough about an issue will be prepared to put some other citizen, with whom they have had no relationship, and whose actions have not affected them except by causing them intellectual or</w:t>
      </w:r>
      <w:r w:rsidR="009E6295" w:rsidRPr="00E317F5">
        <w:t xml:space="preserve"> emotional concern, to very great cost and inconvenience in defending the legality of his actions.</w:t>
      </w:r>
    </w:p>
    <w:p w14:paraId="7EED8867" w14:textId="616A66FF" w:rsidR="007A42AD" w:rsidRPr="00E317F5" w:rsidRDefault="0026564F" w:rsidP="0026564F">
      <w:pPr>
        <w:pStyle w:val="ParaNumbering"/>
        <w:numPr>
          <w:ilvl w:val="0"/>
          <w:numId w:val="0"/>
        </w:numPr>
        <w:tabs>
          <w:tab w:val="left" w:pos="720"/>
        </w:tabs>
        <w:ind w:hanging="720"/>
      </w:pPr>
      <w:r w:rsidRPr="00E317F5">
        <w:rPr>
          <w:sz w:val="20"/>
        </w:rPr>
        <w:t>27</w:t>
      </w:r>
      <w:r w:rsidRPr="00E317F5">
        <w:rPr>
          <w:sz w:val="20"/>
        </w:rPr>
        <w:tab/>
      </w:r>
      <w:r w:rsidR="007A42AD" w:rsidRPr="00E317F5">
        <w:t xml:space="preserve">Most recently in </w:t>
      </w:r>
      <w:r w:rsidR="007A42AD" w:rsidRPr="00C77296">
        <w:rPr>
          <w:i/>
          <w:iCs/>
        </w:rPr>
        <w:t>Australian Vaccination-Risks Network Inc</w:t>
      </w:r>
      <w:r w:rsidR="00620443" w:rsidRPr="00C77296">
        <w:rPr>
          <w:i/>
          <w:iCs/>
        </w:rPr>
        <w:t xml:space="preserve"> v Secretary, Department of Health</w:t>
      </w:r>
      <w:r w:rsidR="008B058F">
        <w:rPr>
          <w:i/>
          <w:iCs/>
        </w:rPr>
        <w:t xml:space="preserve"> </w:t>
      </w:r>
      <w:r w:rsidR="00900FC7" w:rsidRPr="00C77296">
        <w:t>(2022) 292 FCR 1</w:t>
      </w:r>
      <w:r w:rsidR="00B77365" w:rsidRPr="00E317F5">
        <w:t xml:space="preserve"> (</w:t>
      </w:r>
      <w:r w:rsidR="00B77365" w:rsidRPr="00E317F5">
        <w:rPr>
          <w:b/>
          <w:bCs/>
          <w:i/>
          <w:iCs/>
        </w:rPr>
        <w:t>AVN</w:t>
      </w:r>
      <w:r w:rsidR="00AA1948" w:rsidRPr="00E317F5">
        <w:rPr>
          <w:b/>
          <w:bCs/>
          <w:i/>
          <w:iCs/>
        </w:rPr>
        <w:t xml:space="preserve"> FC</w:t>
      </w:r>
      <w:r w:rsidR="00B77365" w:rsidRPr="00E317F5">
        <w:t>)</w:t>
      </w:r>
      <w:r w:rsidR="00900FC7" w:rsidRPr="00E317F5">
        <w:t xml:space="preserve">, </w:t>
      </w:r>
      <w:r w:rsidR="005D09DB" w:rsidRPr="00E317F5">
        <w:t>Rares J</w:t>
      </w:r>
      <w:r w:rsidR="004D3A30" w:rsidRPr="00E317F5">
        <w:t xml:space="preserve"> at [30]</w:t>
      </w:r>
      <w:r w:rsidR="006A5580" w:rsidRPr="00E317F5">
        <w:t>-</w:t>
      </w:r>
      <w:r w:rsidR="004D3A30" w:rsidRPr="00E317F5">
        <w:t>[32]</w:t>
      </w:r>
      <w:r w:rsidR="0071755E" w:rsidRPr="00E317F5">
        <w:t xml:space="preserve"> </w:t>
      </w:r>
      <w:r w:rsidR="005D09DB" w:rsidRPr="00E317F5">
        <w:t>(</w:t>
      </w:r>
      <w:r w:rsidR="0071755E" w:rsidRPr="00E317F5">
        <w:t xml:space="preserve">Katzmann </w:t>
      </w:r>
      <w:r w:rsidR="005D09DB" w:rsidRPr="00E317F5">
        <w:t xml:space="preserve">J </w:t>
      </w:r>
      <w:r w:rsidR="0071755E" w:rsidRPr="00E317F5">
        <w:t xml:space="preserve">and </w:t>
      </w:r>
      <w:proofErr w:type="spellStart"/>
      <w:r w:rsidR="0071755E" w:rsidRPr="00E317F5">
        <w:t>Wigney</w:t>
      </w:r>
      <w:proofErr w:type="spellEnd"/>
      <w:r w:rsidR="0071755E" w:rsidRPr="00E317F5">
        <w:t xml:space="preserve"> J</w:t>
      </w:r>
      <w:r w:rsidR="005D09DB" w:rsidRPr="00E317F5">
        <w:t xml:space="preserve"> agreeing</w:t>
      </w:r>
      <w:r w:rsidR="0071755E" w:rsidRPr="00E317F5">
        <w:t xml:space="preserve">) </w:t>
      </w:r>
      <w:r w:rsidR="00900FC7" w:rsidRPr="00E317F5">
        <w:t xml:space="preserve">summarised the </w:t>
      </w:r>
      <w:r w:rsidR="004D3A30" w:rsidRPr="00E317F5">
        <w:t xml:space="preserve">requirements of the </w:t>
      </w:r>
      <w:r w:rsidR="00E17263" w:rsidRPr="00E317F5">
        <w:t>special interest test</w:t>
      </w:r>
      <w:r w:rsidR="0026145F" w:rsidRPr="00E317F5">
        <w:t>:</w:t>
      </w:r>
    </w:p>
    <w:p w14:paraId="5CB19912" w14:textId="218E72B8" w:rsidR="005E526F" w:rsidRPr="005E526F" w:rsidRDefault="005E526F" w:rsidP="005E526F">
      <w:pPr>
        <w:pStyle w:val="Quote1"/>
      </w:pPr>
      <w:r w:rsidRPr="00E317F5">
        <w:t>[30] While there are many case</w:t>
      </w:r>
      <w:r w:rsidRPr="005E526F">
        <w:t>s dealing with what is a sufficient basis to sue, a leading authority is </w:t>
      </w:r>
      <w:r w:rsidRPr="005E526F">
        <w:rPr>
          <w:i/>
          <w:iCs/>
        </w:rPr>
        <w:t>Australian Conservation Foundation Incorporated v The Commonwealth</w:t>
      </w:r>
      <w:r w:rsidRPr="005E526F">
        <w:t> (1980) 146 CLR 493. Gibbs J, with whom Mason J substantially agreed in concurring reasons (at 547) and Stephen J formed the majority. Gibbs J noted (at 519) that there the plaintiff, the </w:t>
      </w:r>
      <w:r w:rsidRPr="00F667FB">
        <w:rPr>
          <w:b/>
          <w:bCs/>
        </w:rPr>
        <w:t>Foundation</w:t>
      </w:r>
      <w:r w:rsidRPr="005E526F">
        <w:t>, had about 6,500 members drawn from around the Commonwealth, received annual grants from the Commonwealth as a contribution to its administrative expenses that formed a not insubstantial proportion of its income, and endeavoured to influence national policy on matters affecting the environment, for which purpose it had made submissions to governments and public authorities in respect of environmental matters, including under the statute the subject of the proceeding in the High Court.</w:t>
      </w:r>
    </w:p>
    <w:p w14:paraId="244A1D7C" w14:textId="635FDBC8" w:rsidR="005E526F" w:rsidRPr="005E526F" w:rsidRDefault="005E526F" w:rsidP="005E526F">
      <w:pPr>
        <w:pStyle w:val="Quote1"/>
      </w:pPr>
      <w:r w:rsidRPr="0000448D">
        <w:t>[31]</w:t>
      </w:r>
      <w:r w:rsidR="008B058F">
        <w:t xml:space="preserve"> </w:t>
      </w:r>
      <w:r w:rsidRPr="005E526F">
        <w:t xml:space="preserve">The majority affirmed the decision of </w:t>
      </w:r>
      <w:proofErr w:type="spellStart"/>
      <w:r w:rsidRPr="005E526F">
        <w:t>Aickin</w:t>
      </w:r>
      <w:proofErr w:type="spellEnd"/>
      <w:r w:rsidRPr="005E526F">
        <w:t xml:space="preserve"> J at trial that the Foundation lacked standing to bring the proceeding, </w:t>
      </w:r>
      <w:r w:rsidRPr="005E526F">
        <w:rPr>
          <w:i/>
          <w:iCs/>
        </w:rPr>
        <w:t>first</w:t>
      </w:r>
      <w:r w:rsidRPr="005E526F">
        <w:t>, because nothing in the statutory scheme envisaged that a person other than those whom the statute recognised as having an interest should be able to challenge decisions made under it (at 524–525 per Gibbs J, 547 per Mason J and see at 546 per Stephen J) and, </w:t>
      </w:r>
      <w:r w:rsidRPr="005E526F">
        <w:rPr>
          <w:i/>
          <w:iCs/>
        </w:rPr>
        <w:t>secondly</w:t>
      </w:r>
      <w:r w:rsidRPr="005E526F">
        <w:t>, on the basis that, as Gibbs J held at 526 (and see too 547 per Mason J and at 539 per Stephen J):</w:t>
      </w:r>
    </w:p>
    <w:p w14:paraId="4A59DEA2" w14:textId="77777777" w:rsidR="005E526F" w:rsidRPr="005E526F" w:rsidRDefault="005E526F" w:rsidP="0000448D">
      <w:pPr>
        <w:pStyle w:val="Quote2"/>
      </w:pPr>
      <w:r w:rsidRPr="005E526F">
        <w:t>It is quite clear that </w:t>
      </w:r>
      <w:r w:rsidRPr="00F667FB">
        <w:rPr>
          <w:b/>
          <w:bCs/>
        </w:rPr>
        <w:t>an ordinary member of the public, who has no interest other than that which any member of the public has in upholding the law, has no standing to sue to prevent the violation of the public right, or to enforce the performance of a public duty</w:t>
      </w:r>
      <w:r w:rsidRPr="005E526F">
        <w:t>. There is no difference, in this respect, between the making of the declaration and the grant of an injunction. The assertion of public rights and the prevention of public wrongs by means of those remedies is the responsibility of the Attorney-General who may proceed either ex officio or on the relation of a private individual. </w:t>
      </w:r>
      <w:r w:rsidRPr="00F667FB">
        <w:rPr>
          <w:b/>
          <w:bCs/>
        </w:rPr>
        <w:t>A private citizen who has no special interest is incapable of bringing proceedings for that purpose, unless of course, he is permitted by statute to do so.</w:t>
      </w:r>
    </w:p>
    <w:p w14:paraId="74BEDCB7" w14:textId="22BAB390" w:rsidR="005E526F" w:rsidRPr="005E526F" w:rsidRDefault="005E526F" w:rsidP="0000448D">
      <w:pPr>
        <w:pStyle w:val="Quote2"/>
      </w:pPr>
      <w:r w:rsidRPr="005E526F">
        <w:lastRenderedPageBreak/>
        <w:t>(</w:t>
      </w:r>
      <w:r w:rsidR="00CB4187">
        <w:t>E</w:t>
      </w:r>
      <w:r w:rsidRPr="005E526F">
        <w:t>mphasis added</w:t>
      </w:r>
      <w:r w:rsidR="00CB4187">
        <w:t>.</w:t>
      </w:r>
      <w:r w:rsidRPr="005E526F">
        <w:t>)</w:t>
      </w:r>
    </w:p>
    <w:p w14:paraId="59265FF3" w14:textId="3DE10FCE" w:rsidR="005E526F" w:rsidRPr="005E526F" w:rsidRDefault="005E526F" w:rsidP="005E526F">
      <w:pPr>
        <w:pStyle w:val="Quote1"/>
      </w:pPr>
      <w:r w:rsidRPr="0000448D">
        <w:t>[32] </w:t>
      </w:r>
      <w:r w:rsidRPr="005E526F">
        <w:t>In addition, Gibbs J said (at 530) and Mason J expressly agreed (at 548) that:</w:t>
      </w:r>
    </w:p>
    <w:p w14:paraId="303BD6B4" w14:textId="77777777" w:rsidR="005E526F" w:rsidRPr="005E526F" w:rsidRDefault="005E526F" w:rsidP="0000448D">
      <w:pPr>
        <w:pStyle w:val="Quote2"/>
      </w:pPr>
      <w:r w:rsidRPr="005E526F">
        <w:t>A belief, however strongly felt, that the law generally or a particular law, should be observed, or that the conduct of a particular kind should be prevented does not suffice to give its possessor locus standi.</w:t>
      </w:r>
    </w:p>
    <w:p w14:paraId="0C726134" w14:textId="65B4BAAD" w:rsidR="00ED237C" w:rsidRPr="00E317F5" w:rsidRDefault="0026564F" w:rsidP="0026564F">
      <w:pPr>
        <w:pStyle w:val="ParaNumbering"/>
        <w:numPr>
          <w:ilvl w:val="0"/>
          <w:numId w:val="0"/>
        </w:numPr>
        <w:tabs>
          <w:tab w:val="left" w:pos="720"/>
        </w:tabs>
        <w:ind w:hanging="720"/>
      </w:pPr>
      <w:r w:rsidRPr="00E317F5">
        <w:rPr>
          <w:sz w:val="20"/>
        </w:rPr>
        <w:t>28</w:t>
      </w:r>
      <w:r w:rsidRPr="00E317F5">
        <w:rPr>
          <w:sz w:val="20"/>
        </w:rPr>
        <w:tab/>
      </w:r>
      <w:r w:rsidR="00ED237C">
        <w:t xml:space="preserve">In </w:t>
      </w:r>
      <w:r w:rsidR="001C5A34" w:rsidRPr="00C77296">
        <w:rPr>
          <w:i/>
          <w:iCs/>
        </w:rPr>
        <w:t xml:space="preserve">Australian Vaccination-Risks Network Inc v Secretary, Department of Health </w:t>
      </w:r>
      <w:r w:rsidR="001C5A34" w:rsidRPr="00C77296">
        <w:t>[2022] FCA 320</w:t>
      </w:r>
      <w:r w:rsidR="001C5A34" w:rsidRPr="00E317F5">
        <w:t xml:space="preserve"> </w:t>
      </w:r>
      <w:r w:rsidR="001C5A34">
        <w:t>(</w:t>
      </w:r>
      <w:r w:rsidR="00ED237C" w:rsidRPr="004678EE">
        <w:rPr>
          <w:b/>
          <w:bCs/>
          <w:i/>
          <w:iCs/>
        </w:rPr>
        <w:t>AVN</w:t>
      </w:r>
      <w:r w:rsidR="001C5A34" w:rsidRPr="004678EE">
        <w:t>)</w:t>
      </w:r>
      <w:r w:rsidR="006F5ECA">
        <w:t xml:space="preserve">, </w:t>
      </w:r>
      <w:r w:rsidR="00BB5F9F">
        <w:t xml:space="preserve">the applicant </w:t>
      </w:r>
      <w:r w:rsidR="005200ED" w:rsidRPr="005200ED">
        <w:t>commenced proceedings</w:t>
      </w:r>
      <w:r w:rsidR="00BB5F9F">
        <w:t xml:space="preserve"> seeking</w:t>
      </w:r>
      <w:r w:rsidR="005200ED" w:rsidRPr="005200ED">
        <w:t xml:space="preserve"> </w:t>
      </w:r>
      <w:r w:rsidR="00BB5F9F">
        <w:t>mandamus to require the</w:t>
      </w:r>
      <w:r w:rsidR="005200ED" w:rsidRPr="005200ED">
        <w:t xml:space="preserve"> Secretary of the Department of Health to consider whether to exercise his powers under ss 29D, 30(1)(a) and (2)(a) of the </w:t>
      </w:r>
      <w:r w:rsidR="005200ED" w:rsidRPr="0020063A">
        <w:t>Therapeutic Goods Act</w:t>
      </w:r>
      <w:r w:rsidR="005200ED" w:rsidRPr="005200ED">
        <w:t xml:space="preserve"> to cancel or suspend the provisional registration of three C</w:t>
      </w:r>
      <w:r w:rsidR="004E192A" w:rsidRPr="005200ED">
        <w:t>ovid</w:t>
      </w:r>
      <w:r w:rsidR="005200ED" w:rsidRPr="005200ED">
        <w:t xml:space="preserve">-19 vaccines, </w:t>
      </w:r>
      <w:r w:rsidR="00BB5F9F">
        <w:t>including the</w:t>
      </w:r>
      <w:r w:rsidR="005200ED" w:rsidRPr="005200ED">
        <w:t xml:space="preserve"> Pfizer and Moderna</w:t>
      </w:r>
      <w:r w:rsidR="00CB49C9">
        <w:t xml:space="preserve"> </w:t>
      </w:r>
      <w:r w:rsidR="005200ED" w:rsidRPr="005200ED">
        <w:t>vaccines</w:t>
      </w:r>
      <w:r w:rsidR="005200ED">
        <w:t xml:space="preserve">. </w:t>
      </w:r>
      <w:r w:rsidR="00EB08AC">
        <w:t>Mr Neu</w:t>
      </w:r>
      <w:r w:rsidR="0057157B">
        <w:t>gebau</w:t>
      </w:r>
      <w:r w:rsidR="001E2A06">
        <w:t>e</w:t>
      </w:r>
      <w:r w:rsidR="0057157B">
        <w:t>r, who was not a member of AVN, sought to be joined to the proceeding.</w:t>
      </w:r>
      <w:r w:rsidR="001E2A06">
        <w:t xml:space="preserve"> The primary judge and the Full Court held that </w:t>
      </w:r>
      <w:r w:rsidR="00C6588E">
        <w:t xml:space="preserve">neither </w:t>
      </w:r>
      <w:r w:rsidR="001E2A06">
        <w:t xml:space="preserve">AVN </w:t>
      </w:r>
      <w:r w:rsidR="00C6588E">
        <w:t>nor</w:t>
      </w:r>
      <w:r w:rsidR="001E2A06">
        <w:t xml:space="preserve"> Mr Neugebauer</w:t>
      </w:r>
      <w:r w:rsidR="00C60E91" w:rsidRPr="00C60E91">
        <w:t> </w:t>
      </w:r>
      <w:r w:rsidR="00C6588E">
        <w:t>had</w:t>
      </w:r>
      <w:r w:rsidR="00C60E91" w:rsidRPr="00C60E91">
        <w:t xml:space="preserve"> standing to bring the proceeding either under s 3</w:t>
      </w:r>
      <w:r w:rsidR="00C60E91" w:rsidRPr="00E317F5">
        <w:t xml:space="preserve">9B of the </w:t>
      </w:r>
      <w:r w:rsidR="00C60E91" w:rsidRPr="00C77296">
        <w:rPr>
          <w:i/>
          <w:iCs/>
        </w:rPr>
        <w:t xml:space="preserve">Judiciary Act </w:t>
      </w:r>
      <w:r w:rsidR="00417D40" w:rsidRPr="00C77296">
        <w:rPr>
          <w:i/>
          <w:iCs/>
        </w:rPr>
        <w:t xml:space="preserve">1903 </w:t>
      </w:r>
      <w:r w:rsidR="00417D40" w:rsidRPr="00C77296">
        <w:t>(</w:t>
      </w:r>
      <w:proofErr w:type="spellStart"/>
      <w:r w:rsidR="00417D40" w:rsidRPr="00C77296">
        <w:t>Cth</w:t>
      </w:r>
      <w:proofErr w:type="spellEnd"/>
      <w:r w:rsidR="00417D40" w:rsidRPr="00C77296">
        <w:t>)</w:t>
      </w:r>
      <w:r w:rsidR="00637267" w:rsidRPr="00E317F5">
        <w:t xml:space="preserve"> </w:t>
      </w:r>
      <w:r w:rsidR="00C60E91" w:rsidRPr="00E317F5">
        <w:t xml:space="preserve">or as a </w:t>
      </w:r>
      <w:r w:rsidR="00C10D17" w:rsidRPr="00E317F5">
        <w:t>“</w:t>
      </w:r>
      <w:r w:rsidR="00C60E91" w:rsidRPr="00E317F5">
        <w:t>person aggrieved</w:t>
      </w:r>
      <w:r w:rsidR="00C10D17" w:rsidRPr="00E317F5">
        <w:t>”</w:t>
      </w:r>
      <w:r w:rsidR="00C60E91" w:rsidRPr="00E317F5">
        <w:t xml:space="preserve"> under the </w:t>
      </w:r>
      <w:r w:rsidR="00637267" w:rsidRPr="00C77296">
        <w:rPr>
          <w:i/>
          <w:iCs/>
        </w:rPr>
        <w:t xml:space="preserve">Administrative Decisions (Judicial Review) Act 1977 </w:t>
      </w:r>
      <w:r w:rsidR="00637267" w:rsidRPr="00C77296">
        <w:t>(</w:t>
      </w:r>
      <w:proofErr w:type="spellStart"/>
      <w:r w:rsidR="00637267" w:rsidRPr="00C77296">
        <w:t>Cth</w:t>
      </w:r>
      <w:proofErr w:type="spellEnd"/>
      <w:r w:rsidR="00637267" w:rsidRPr="00C77296">
        <w:t>)</w:t>
      </w:r>
      <w:r w:rsidR="00637267" w:rsidRPr="00E317F5">
        <w:t xml:space="preserve"> (</w:t>
      </w:r>
      <w:r w:rsidR="00637267" w:rsidRPr="00E317F5">
        <w:rPr>
          <w:b/>
          <w:bCs/>
        </w:rPr>
        <w:t>ADJR Act</w:t>
      </w:r>
      <w:r w:rsidR="00637267" w:rsidRPr="00E317F5">
        <w:t xml:space="preserve">). </w:t>
      </w:r>
    </w:p>
    <w:p w14:paraId="42489B11" w14:textId="12FF42DC" w:rsidR="000D614C" w:rsidRDefault="0026564F" w:rsidP="0026564F">
      <w:pPr>
        <w:pStyle w:val="ParaNumbering"/>
        <w:numPr>
          <w:ilvl w:val="0"/>
          <w:numId w:val="0"/>
        </w:numPr>
        <w:tabs>
          <w:tab w:val="left" w:pos="720"/>
        </w:tabs>
        <w:ind w:hanging="720"/>
      </w:pPr>
      <w:r>
        <w:rPr>
          <w:sz w:val="20"/>
        </w:rPr>
        <w:t>29</w:t>
      </w:r>
      <w:r>
        <w:rPr>
          <w:sz w:val="20"/>
        </w:rPr>
        <w:tab/>
      </w:r>
      <w:r w:rsidR="00970902" w:rsidRPr="00E317F5">
        <w:t xml:space="preserve">The </w:t>
      </w:r>
      <w:r w:rsidR="00496D88" w:rsidRPr="00E317F5">
        <w:t>AVN</w:t>
      </w:r>
      <w:r w:rsidR="00970902" w:rsidRPr="00E317F5">
        <w:t xml:space="preserve"> asserted standing on the basis that, among other things, its objectives</w:t>
      </w:r>
      <w:r w:rsidR="00496D88" w:rsidRPr="00E317F5">
        <w:t xml:space="preserve"> are to </w:t>
      </w:r>
      <w:r w:rsidR="000F54C3" w:rsidRPr="00E317F5">
        <w:t>facilitate discussion</w:t>
      </w:r>
      <w:r w:rsidR="00970902" w:rsidRPr="00E317F5">
        <w:t>, represent members and lobby governments with respect to concerns abo</w:t>
      </w:r>
      <w:r w:rsidR="00970902">
        <w:t>ut the</w:t>
      </w:r>
      <w:r w:rsidR="00496D88">
        <w:t xml:space="preserve"> safety and efficacy of vaccines</w:t>
      </w:r>
      <w:r w:rsidR="00970902">
        <w:t>. Mr Neug</w:t>
      </w:r>
      <w:r w:rsidR="00C97C13">
        <w:t>e</w:t>
      </w:r>
      <w:r w:rsidR="00970902">
        <w:t xml:space="preserve">bauer asserted standing on the basis that </w:t>
      </w:r>
      <w:r w:rsidR="00D86CDA">
        <w:t xml:space="preserve">his employment had been terminated for failing to comply with a vaccine mandate and that he held strong views about the risks posed by vaccines. </w:t>
      </w:r>
    </w:p>
    <w:p w14:paraId="0E0EE74E" w14:textId="238DD3B3" w:rsidR="00F00912" w:rsidRDefault="0026564F" w:rsidP="0026564F">
      <w:pPr>
        <w:pStyle w:val="ParaNumbering"/>
        <w:numPr>
          <w:ilvl w:val="0"/>
          <w:numId w:val="0"/>
        </w:numPr>
        <w:tabs>
          <w:tab w:val="left" w:pos="720"/>
        </w:tabs>
        <w:ind w:hanging="720"/>
      </w:pPr>
      <w:r>
        <w:rPr>
          <w:sz w:val="20"/>
        </w:rPr>
        <w:t>30</w:t>
      </w:r>
      <w:r>
        <w:rPr>
          <w:sz w:val="20"/>
        </w:rPr>
        <w:tab/>
      </w:r>
      <w:r w:rsidR="00E149F4">
        <w:t xml:space="preserve">In </w:t>
      </w:r>
      <w:r w:rsidR="00E149F4">
        <w:rPr>
          <w:i/>
          <w:iCs/>
        </w:rPr>
        <w:t>AVN FC</w:t>
      </w:r>
      <w:r w:rsidR="00E149F4">
        <w:t xml:space="preserve">, </w:t>
      </w:r>
      <w:r w:rsidR="00F00912">
        <w:t xml:space="preserve">Rares J held </w:t>
      </w:r>
      <w:r w:rsidR="00E57645">
        <w:t>at [41]:</w:t>
      </w:r>
    </w:p>
    <w:p w14:paraId="3E9FE308" w14:textId="523837A7" w:rsidR="00E57645" w:rsidRPr="00CB49C9" w:rsidRDefault="00E50E7D" w:rsidP="00E50E7D">
      <w:pPr>
        <w:pStyle w:val="Quote1"/>
        <w:rPr>
          <w:shd w:val="clear" w:color="auto" w:fill="FFFFFF"/>
        </w:rPr>
      </w:pPr>
      <w:r w:rsidRPr="00E50E7D">
        <w:rPr>
          <w:shd w:val="clear" w:color="auto" w:fill="FFFFFF"/>
        </w:rPr>
        <w:t xml:space="preserve">As happened in </w:t>
      </w:r>
      <w:r w:rsidRPr="00E50E7D">
        <w:rPr>
          <w:i/>
          <w:iCs/>
          <w:shd w:val="clear" w:color="auto" w:fill="FFFFFF"/>
        </w:rPr>
        <w:t xml:space="preserve">Australian Conservation Foundation </w:t>
      </w:r>
      <w:r w:rsidRPr="00E50E7D">
        <w:rPr>
          <w:shd w:val="clear" w:color="auto" w:fill="FFFFFF"/>
        </w:rPr>
        <w:t>146 CLR</w:t>
      </w:r>
      <w:r>
        <w:rPr>
          <w:shd w:val="clear" w:color="auto" w:fill="FFFFFF"/>
        </w:rPr>
        <w:t xml:space="preserve"> </w:t>
      </w:r>
      <w:r w:rsidRPr="00E50E7D">
        <w:rPr>
          <w:shd w:val="clear" w:color="auto" w:fill="FFFFFF"/>
        </w:rPr>
        <w:t>493,</w:t>
      </w:r>
      <w:r>
        <w:rPr>
          <w:shd w:val="clear" w:color="auto" w:fill="FFFFFF"/>
        </w:rPr>
        <w:t xml:space="preserve"> </w:t>
      </w:r>
      <w:r w:rsidR="00E57645">
        <w:rPr>
          <w:shd w:val="clear" w:color="auto" w:fill="FFFFFF"/>
        </w:rPr>
        <w:t xml:space="preserve">AVN was seeking to enforce public law remedies, to prevent or correct what it asserted was a public wrong, in respect of the duties which the Secretary had under the </w:t>
      </w:r>
      <w:r w:rsidR="00E57645" w:rsidRPr="00CB49C9">
        <w:rPr>
          <w:i/>
          <w:iCs/>
          <w:shd w:val="clear" w:color="auto" w:fill="FFFFFF"/>
        </w:rPr>
        <w:t>Therapeutic Goods Act</w:t>
      </w:r>
      <w:r w:rsidR="00E57645">
        <w:rPr>
          <w:shd w:val="clear" w:color="auto" w:fill="FFFFFF"/>
        </w:rPr>
        <w:t xml:space="preserve">, as a matter of principle and as part of an endeavour to achieve its objects and uphold the values which it was formed to promote: </w:t>
      </w:r>
      <w:proofErr w:type="spellStart"/>
      <w:r w:rsidR="00E57645">
        <w:rPr>
          <w:shd w:val="clear" w:color="auto" w:fill="FFFFFF"/>
        </w:rPr>
        <w:t>cf</w:t>
      </w:r>
      <w:proofErr w:type="spellEnd"/>
      <w:r w:rsidR="00E57645">
        <w:rPr>
          <w:shd w:val="clear" w:color="auto" w:fill="FFFFFF"/>
        </w:rPr>
        <w:t xml:space="preserve"> 146 CLR at 530. It follows that, as her Honour correctly found, AVN had no special interest, other than that of any member of the public, and, therefore, did not have standing to challenge the decisions the subject of its application below.</w:t>
      </w:r>
    </w:p>
    <w:p w14:paraId="61F4D351" w14:textId="3428FD65" w:rsidR="004F3B71" w:rsidRPr="00E317F5" w:rsidRDefault="0026564F" w:rsidP="0026564F">
      <w:pPr>
        <w:pStyle w:val="ParaNumbering"/>
        <w:numPr>
          <w:ilvl w:val="0"/>
          <w:numId w:val="0"/>
        </w:numPr>
        <w:tabs>
          <w:tab w:val="left" w:pos="720"/>
        </w:tabs>
        <w:ind w:hanging="720"/>
      </w:pPr>
      <w:r w:rsidRPr="00E317F5">
        <w:rPr>
          <w:sz w:val="20"/>
        </w:rPr>
        <w:t>31</w:t>
      </w:r>
      <w:r w:rsidRPr="00E317F5">
        <w:rPr>
          <w:sz w:val="20"/>
        </w:rPr>
        <w:tab/>
      </w:r>
      <w:r w:rsidR="004D2F16">
        <w:t>Further, the prim</w:t>
      </w:r>
      <w:r w:rsidR="004D2F16" w:rsidRPr="00E317F5">
        <w:t>ary judge concluded</w:t>
      </w:r>
      <w:r w:rsidR="004F3B71" w:rsidRPr="00E317F5">
        <w:t xml:space="preserve"> </w:t>
      </w:r>
      <w:r w:rsidR="00AB3BD8" w:rsidRPr="00E317F5">
        <w:t>that Mr Neug</w:t>
      </w:r>
      <w:r w:rsidR="006F5356" w:rsidRPr="00E317F5">
        <w:t>e</w:t>
      </w:r>
      <w:r w:rsidR="00AB3BD8" w:rsidRPr="00E317F5">
        <w:t xml:space="preserve">bauer lacked standing because </w:t>
      </w:r>
      <w:r w:rsidR="004F3B71" w:rsidRPr="00E317F5">
        <w:t>his interest was “properly characterised as emotional in nature and its connection with the subject matter of the Judicial Review Case is too remote”</w:t>
      </w:r>
      <w:r w:rsidR="005817E7" w:rsidRPr="00E317F5">
        <w:t xml:space="preserve">: </w:t>
      </w:r>
      <w:r w:rsidR="00081381">
        <w:rPr>
          <w:i/>
          <w:iCs/>
        </w:rPr>
        <w:t>AVN</w:t>
      </w:r>
      <w:r w:rsidR="005817E7" w:rsidRPr="00E317F5">
        <w:t xml:space="preserve"> </w:t>
      </w:r>
      <w:r w:rsidR="006F5356" w:rsidRPr="00E317F5">
        <w:t xml:space="preserve">at [144] </w:t>
      </w:r>
      <w:r w:rsidR="005817E7" w:rsidRPr="00E317F5">
        <w:t>(per Perry J)</w:t>
      </w:r>
      <w:r w:rsidR="00952FD8" w:rsidRPr="00E317F5">
        <w:t xml:space="preserve">. </w:t>
      </w:r>
    </w:p>
    <w:p w14:paraId="7A5B7AA1" w14:textId="644B3479" w:rsidR="00BB5F9F" w:rsidRDefault="0026564F" w:rsidP="0026564F">
      <w:pPr>
        <w:pStyle w:val="ParaNumbering"/>
        <w:numPr>
          <w:ilvl w:val="0"/>
          <w:numId w:val="0"/>
        </w:numPr>
        <w:tabs>
          <w:tab w:val="left" w:pos="720"/>
        </w:tabs>
        <w:ind w:hanging="720"/>
      </w:pPr>
      <w:r>
        <w:rPr>
          <w:sz w:val="20"/>
        </w:rPr>
        <w:t>32</w:t>
      </w:r>
      <w:r>
        <w:rPr>
          <w:sz w:val="20"/>
        </w:rPr>
        <w:tab/>
      </w:r>
      <w:r w:rsidR="001B650E" w:rsidRPr="00E317F5">
        <w:t xml:space="preserve">Although </w:t>
      </w:r>
      <w:r w:rsidR="00BB5F9F" w:rsidRPr="00E317F5">
        <w:rPr>
          <w:i/>
          <w:iCs/>
        </w:rPr>
        <w:t xml:space="preserve">AVN </w:t>
      </w:r>
      <w:r w:rsidR="00BB5F9F" w:rsidRPr="00E317F5">
        <w:t>has some parallels to the present case</w:t>
      </w:r>
      <w:r w:rsidR="001B650E" w:rsidRPr="00E317F5">
        <w:t xml:space="preserve">, </w:t>
      </w:r>
      <w:r w:rsidR="002D7754" w:rsidRPr="00E317F5">
        <w:t>it did not concern standing under the G</w:t>
      </w:r>
      <w:r w:rsidR="00570BB7" w:rsidRPr="00E317F5">
        <w:t xml:space="preserve">TA </w:t>
      </w:r>
      <w:r w:rsidR="005E20CF" w:rsidRPr="00E317F5">
        <w:t xml:space="preserve">and the applicant’s primary </w:t>
      </w:r>
      <w:r w:rsidR="0016737A" w:rsidRPr="00E317F5">
        <w:t xml:space="preserve">asserted </w:t>
      </w:r>
      <w:r w:rsidR="00503FDE" w:rsidRPr="00E317F5">
        <w:t>basis for standing</w:t>
      </w:r>
      <w:r w:rsidR="00A96ED6" w:rsidRPr="00E317F5">
        <w:t xml:space="preserve"> in this case</w:t>
      </w:r>
      <w:r w:rsidR="00503FDE" w:rsidRPr="00E317F5">
        <w:t xml:space="preserve">, his vocation as a medical practitioner, </w:t>
      </w:r>
      <w:r w:rsidR="00BD0152" w:rsidRPr="00E317F5">
        <w:t>is different to that of</w:t>
      </w:r>
      <w:r w:rsidR="00503FDE" w:rsidRPr="00E317F5">
        <w:t xml:space="preserve"> both the applicants</w:t>
      </w:r>
      <w:r w:rsidR="00A96ED6" w:rsidRPr="00E317F5">
        <w:t xml:space="preserve"> i</w:t>
      </w:r>
      <w:r w:rsidR="00A96ED6">
        <w:t xml:space="preserve">n </w:t>
      </w:r>
      <w:r w:rsidR="00A96ED6">
        <w:rPr>
          <w:i/>
          <w:iCs/>
        </w:rPr>
        <w:t>AVN</w:t>
      </w:r>
      <w:r w:rsidR="00503FDE">
        <w:t xml:space="preserve">. </w:t>
      </w:r>
    </w:p>
    <w:p w14:paraId="5BD0ABCB" w14:textId="55DEED87" w:rsidR="00F16518" w:rsidRDefault="0026564F" w:rsidP="0026564F">
      <w:pPr>
        <w:pStyle w:val="ParaNumbering"/>
        <w:numPr>
          <w:ilvl w:val="0"/>
          <w:numId w:val="0"/>
        </w:numPr>
        <w:tabs>
          <w:tab w:val="left" w:pos="720"/>
        </w:tabs>
        <w:ind w:hanging="720"/>
      </w:pPr>
      <w:r>
        <w:rPr>
          <w:sz w:val="20"/>
        </w:rPr>
        <w:lastRenderedPageBreak/>
        <w:t>33</w:t>
      </w:r>
      <w:r>
        <w:rPr>
          <w:sz w:val="20"/>
        </w:rPr>
        <w:tab/>
      </w:r>
      <w:r w:rsidR="007B0828">
        <w:t>There are two</w:t>
      </w:r>
      <w:r w:rsidR="00B46B3A">
        <w:t xml:space="preserve"> principles </w:t>
      </w:r>
      <w:r w:rsidR="007B0828">
        <w:t xml:space="preserve">that emerge from the case law that are highly relevant to whether the applicant has standing under the </w:t>
      </w:r>
      <w:r w:rsidR="00D3638B">
        <w:t>GTA</w:t>
      </w:r>
      <w:r w:rsidR="007B0828">
        <w:t xml:space="preserve"> to bring this proceeding:</w:t>
      </w:r>
    </w:p>
    <w:p w14:paraId="7E80A581" w14:textId="6FD83E67" w:rsidR="00464AA7" w:rsidRPr="00E317F5" w:rsidRDefault="0026564F" w:rsidP="0026564F">
      <w:pPr>
        <w:pStyle w:val="ListNo1alt"/>
        <w:numPr>
          <w:ilvl w:val="0"/>
          <w:numId w:val="0"/>
        </w:numPr>
        <w:tabs>
          <w:tab w:val="left" w:pos="720"/>
        </w:tabs>
        <w:ind w:left="720" w:hanging="720"/>
      </w:pPr>
      <w:r w:rsidRPr="00E317F5">
        <w:t>(a)</w:t>
      </w:r>
      <w:r w:rsidRPr="00E317F5">
        <w:tab/>
      </w:r>
      <w:r w:rsidR="00464AA7" w:rsidRPr="00464AA7">
        <w:t>An aggrieved person must be able to “show a grievance which will be suffered as a result of the decision complained of beyond that which he or she has as an ordinary member of the public</w:t>
      </w:r>
      <w:r w:rsidR="005531E5">
        <w:t>”</w:t>
      </w:r>
      <w:r w:rsidR="00464AA7">
        <w:t xml:space="preserve">: </w:t>
      </w:r>
      <w:r w:rsidR="005817E7" w:rsidRPr="00077A5B">
        <w:rPr>
          <w:i/>
          <w:iCs/>
        </w:rPr>
        <w:t>AVN</w:t>
      </w:r>
      <w:r w:rsidR="00AA1948" w:rsidRPr="00E317F5">
        <w:t xml:space="preserve"> at</w:t>
      </w:r>
      <w:r w:rsidR="005531E5" w:rsidRPr="00E317F5">
        <w:t xml:space="preserve"> [106]</w:t>
      </w:r>
      <w:r w:rsidR="00AA1948" w:rsidRPr="00E317F5">
        <w:t xml:space="preserve"> (per Perry J)</w:t>
      </w:r>
      <w:r w:rsidR="005531E5" w:rsidRPr="00E317F5">
        <w:t xml:space="preserve">, </w:t>
      </w:r>
      <w:r w:rsidR="000C1EFA" w:rsidRPr="00E317F5">
        <w:t xml:space="preserve">quoting </w:t>
      </w:r>
      <w:proofErr w:type="spellStart"/>
      <w:r w:rsidR="005531E5" w:rsidRPr="00077A5B">
        <w:rPr>
          <w:i/>
          <w:iCs/>
        </w:rPr>
        <w:t>Tooheys</w:t>
      </w:r>
      <w:proofErr w:type="spellEnd"/>
      <w:r w:rsidR="005531E5" w:rsidRPr="00077A5B">
        <w:rPr>
          <w:i/>
          <w:iCs/>
        </w:rPr>
        <w:t xml:space="preserve"> Ltd v Minister for Business and Consumer </w:t>
      </w:r>
      <w:r w:rsidR="005531E5" w:rsidRPr="00C77296">
        <w:t>(1981) 36 ALR 64</w:t>
      </w:r>
      <w:r w:rsidR="005531E5" w:rsidRPr="00E317F5">
        <w:t xml:space="preserve"> at 79 </w:t>
      </w:r>
      <w:r w:rsidR="00443F31" w:rsidRPr="00E317F5">
        <w:t>(</w:t>
      </w:r>
      <w:r w:rsidR="005531E5" w:rsidRPr="00E317F5">
        <w:t>per Ellicott J</w:t>
      </w:r>
      <w:r w:rsidR="00443F31" w:rsidRPr="00E317F5">
        <w:t>)</w:t>
      </w:r>
      <w:r w:rsidR="005531E5" w:rsidRPr="00E317F5">
        <w:t xml:space="preserve"> (cited with approval in</w:t>
      </w:r>
      <w:r w:rsidR="00F54312" w:rsidRPr="00E317F5">
        <w:t xml:space="preserve"> </w:t>
      </w:r>
      <w:r w:rsidR="00F33E23" w:rsidRPr="00077A5B">
        <w:rPr>
          <w:i/>
          <w:iCs/>
        </w:rPr>
        <w:t xml:space="preserve">Argos Pty Ltd v </w:t>
      </w:r>
      <w:r w:rsidR="002D00F5" w:rsidRPr="00077A5B">
        <w:rPr>
          <w:i/>
          <w:iCs/>
        </w:rPr>
        <w:t>Corbell</w:t>
      </w:r>
      <w:r w:rsidR="00F33E23" w:rsidRPr="00077A5B">
        <w:rPr>
          <w:i/>
          <w:iCs/>
        </w:rPr>
        <w:t xml:space="preserve"> </w:t>
      </w:r>
      <w:r w:rsidR="00F33E23" w:rsidRPr="00C77296">
        <w:t>(2014) 254 CLR 394</w:t>
      </w:r>
      <w:r w:rsidR="00F33E23" w:rsidRPr="00E317F5">
        <w:t xml:space="preserve"> </w:t>
      </w:r>
      <w:r w:rsidR="005531E5" w:rsidRPr="00E317F5">
        <w:t>at [28] (</w:t>
      </w:r>
      <w:r w:rsidR="00F33E23" w:rsidRPr="00E317F5">
        <w:t xml:space="preserve">per </w:t>
      </w:r>
      <w:r w:rsidR="005531E5" w:rsidRPr="00E317F5">
        <w:t>French CJ and Keane J)</w:t>
      </w:r>
      <w:r w:rsidR="009F41C1">
        <w:t>,</w:t>
      </w:r>
      <w:r w:rsidR="005531E5" w:rsidRPr="00E317F5">
        <w:t xml:space="preserve"> [61] (</w:t>
      </w:r>
      <w:r w:rsidR="00F33E23" w:rsidRPr="00E317F5">
        <w:t xml:space="preserve">per </w:t>
      </w:r>
      <w:r w:rsidR="005531E5" w:rsidRPr="00E317F5">
        <w:t>Hayne and Bell JJ)</w:t>
      </w:r>
      <w:r w:rsidR="00CC6102" w:rsidRPr="00E317F5">
        <w:t>)</w:t>
      </w:r>
      <w:r w:rsidR="00F54312" w:rsidRPr="00E317F5">
        <w:t>.</w:t>
      </w:r>
    </w:p>
    <w:p w14:paraId="56D9E5B7" w14:textId="7FBF7AD5" w:rsidR="00946062" w:rsidRDefault="0026564F" w:rsidP="0026564F">
      <w:pPr>
        <w:pStyle w:val="ListNo1alt"/>
        <w:numPr>
          <w:ilvl w:val="0"/>
          <w:numId w:val="0"/>
        </w:numPr>
        <w:tabs>
          <w:tab w:val="left" w:pos="720"/>
        </w:tabs>
        <w:ind w:left="720" w:hanging="720"/>
      </w:pPr>
      <w:r>
        <w:t>(b)</w:t>
      </w:r>
      <w:r>
        <w:tab/>
      </w:r>
      <w:r w:rsidR="004033C4" w:rsidRPr="00E317F5">
        <w:t>An e</w:t>
      </w:r>
      <w:r w:rsidR="00296FC0" w:rsidRPr="00E317F5">
        <w:t>motional, moral or intellectual</w:t>
      </w:r>
      <w:r w:rsidR="004033C4" w:rsidRPr="00E317F5">
        <w:t xml:space="preserve"> interest in the decision, however strong, is not sufficient </w:t>
      </w:r>
      <w:r w:rsidR="00AA1948" w:rsidRPr="00E317F5">
        <w:t xml:space="preserve">to constitute a special interest: </w:t>
      </w:r>
      <w:r w:rsidR="0089609B" w:rsidRPr="00077A5B">
        <w:rPr>
          <w:i/>
          <w:iCs/>
        </w:rPr>
        <w:t xml:space="preserve">Onus v Alcoa </w:t>
      </w:r>
      <w:r w:rsidR="0089609B" w:rsidRPr="00E317F5">
        <w:t xml:space="preserve">at 35 (per Gibbs CJ); </w:t>
      </w:r>
      <w:r w:rsidR="0072027B" w:rsidRPr="00077A5B">
        <w:rPr>
          <w:i/>
          <w:iCs/>
        </w:rPr>
        <w:t>Australian Conservation Foundation Inc v Commonwealth </w:t>
      </w:r>
      <w:r w:rsidR="0072027B" w:rsidRPr="00C77296">
        <w:t>(1980) 146 CLR 493</w:t>
      </w:r>
      <w:r w:rsidR="002B786C" w:rsidRPr="00C77296">
        <w:t xml:space="preserve"> </w:t>
      </w:r>
      <w:r w:rsidR="002B786C" w:rsidRPr="00E317F5">
        <w:t>at 530 (</w:t>
      </w:r>
      <w:r w:rsidR="00F959A3">
        <w:t xml:space="preserve">per </w:t>
      </w:r>
      <w:r w:rsidR="002B786C" w:rsidRPr="00E317F5">
        <w:t xml:space="preserve">Gibbs J), </w:t>
      </w:r>
      <w:r w:rsidR="002B786C" w:rsidRPr="002B786C">
        <w:t>548 (</w:t>
      </w:r>
      <w:r w:rsidR="00F959A3">
        <w:t xml:space="preserve">per </w:t>
      </w:r>
      <w:r w:rsidR="002B786C" w:rsidRPr="002B786C">
        <w:t>Mason J)</w:t>
      </w:r>
      <w:r w:rsidR="00436BB7">
        <w:t xml:space="preserve"> (</w:t>
      </w:r>
      <w:r w:rsidR="00436BB7" w:rsidRPr="00077A5B">
        <w:rPr>
          <w:b/>
          <w:bCs/>
          <w:i/>
          <w:iCs/>
        </w:rPr>
        <w:t>ACF</w:t>
      </w:r>
      <w:r w:rsidR="00436BB7">
        <w:t>)</w:t>
      </w:r>
      <w:r w:rsidR="005A4BB2">
        <w:t xml:space="preserve">. </w:t>
      </w:r>
    </w:p>
    <w:p w14:paraId="09479DF7" w14:textId="3CB82711" w:rsidR="002035CF" w:rsidRPr="00491AC2" w:rsidRDefault="0026564F" w:rsidP="0026564F">
      <w:pPr>
        <w:pStyle w:val="ParaNumbering"/>
        <w:numPr>
          <w:ilvl w:val="0"/>
          <w:numId w:val="0"/>
        </w:numPr>
        <w:tabs>
          <w:tab w:val="left" w:pos="720"/>
        </w:tabs>
        <w:ind w:hanging="720"/>
      </w:pPr>
      <w:r w:rsidRPr="00491AC2">
        <w:rPr>
          <w:sz w:val="20"/>
        </w:rPr>
        <w:t>34</w:t>
      </w:r>
      <w:r w:rsidRPr="00491AC2">
        <w:rPr>
          <w:sz w:val="20"/>
        </w:rPr>
        <w:tab/>
      </w:r>
      <w:r w:rsidR="004278C9" w:rsidRPr="00491AC2">
        <w:t xml:space="preserve">Accordingly, the applicant must establish that </w:t>
      </w:r>
      <w:r w:rsidR="008528CC" w:rsidRPr="00491AC2">
        <w:t>the</w:t>
      </w:r>
      <w:r w:rsidR="004278C9" w:rsidRPr="00491AC2">
        <w:t xml:space="preserve"> </w:t>
      </w:r>
      <w:r w:rsidR="00946062" w:rsidRPr="00491AC2">
        <w:t xml:space="preserve">grievance </w:t>
      </w:r>
      <w:r w:rsidR="00D72959" w:rsidRPr="00491AC2">
        <w:t xml:space="preserve">he will suffer as a result of the </w:t>
      </w:r>
      <w:r w:rsidR="004D1576" w:rsidRPr="00491AC2">
        <w:t>Breaches</w:t>
      </w:r>
      <w:r w:rsidR="00D72959" w:rsidRPr="00491AC2">
        <w:t xml:space="preserve"> </w:t>
      </w:r>
      <w:r w:rsidR="008528CC" w:rsidRPr="00491AC2">
        <w:t>is b</w:t>
      </w:r>
      <w:r w:rsidR="00D72959" w:rsidRPr="00491AC2">
        <w:t xml:space="preserve">eyond that </w:t>
      </w:r>
      <w:r w:rsidR="008528CC" w:rsidRPr="00491AC2">
        <w:t>of an</w:t>
      </w:r>
      <w:r w:rsidR="00D72959" w:rsidRPr="00491AC2">
        <w:t xml:space="preserve"> ordinary member of the public</w:t>
      </w:r>
      <w:r w:rsidR="008528CC" w:rsidRPr="00491AC2">
        <w:t xml:space="preserve"> and is more than a mere emotional or intellectual concern</w:t>
      </w:r>
      <w:r w:rsidR="008528CC" w:rsidRPr="00966BBA">
        <w:t xml:space="preserve">. </w:t>
      </w:r>
      <w:r w:rsidR="00AC0DC2" w:rsidRPr="00966BBA">
        <w:t xml:space="preserve">What is required to </w:t>
      </w:r>
      <w:r w:rsidR="005F3771" w:rsidRPr="00966BBA">
        <w:t>demonstrate</w:t>
      </w:r>
      <w:r w:rsidR="00870A1A" w:rsidRPr="00966BBA">
        <w:t xml:space="preserve"> </w:t>
      </w:r>
      <w:r w:rsidR="00DB20B6" w:rsidRPr="00966BBA">
        <w:t xml:space="preserve">that Dr Fidge has </w:t>
      </w:r>
      <w:r w:rsidR="00870A1A" w:rsidRPr="00966BBA">
        <w:t xml:space="preserve">a sufficient interest </w:t>
      </w:r>
      <w:r w:rsidR="00076856" w:rsidRPr="00966BBA">
        <w:t xml:space="preserve">beyond that of </w:t>
      </w:r>
      <w:r w:rsidR="001204B6" w:rsidRPr="00966BBA">
        <w:t>a</w:t>
      </w:r>
      <w:r w:rsidR="00076856" w:rsidRPr="00966BBA">
        <w:t>n ordinary member of the public</w:t>
      </w:r>
      <w:r w:rsidR="00A145A7" w:rsidRPr="00966BBA">
        <w:t xml:space="preserve"> will depend on what the GTA expressly or implicitly </w:t>
      </w:r>
      <w:r w:rsidR="00B8261D" w:rsidRPr="00966BBA">
        <w:t>requires to be established</w:t>
      </w:r>
      <w:r w:rsidR="00B30C06">
        <w:t>:</w:t>
      </w:r>
      <w:r w:rsidR="009E069B" w:rsidRPr="00966BBA">
        <w:t xml:space="preserve"> </w:t>
      </w:r>
      <w:r w:rsidR="009E069B" w:rsidRPr="00966BBA">
        <w:rPr>
          <w:i/>
          <w:iCs/>
        </w:rPr>
        <w:t>Hobart</w:t>
      </w:r>
      <w:r w:rsidR="00B30C06">
        <w:t xml:space="preserve"> </w:t>
      </w:r>
      <w:r w:rsidR="00026376">
        <w:rPr>
          <w:i/>
          <w:iCs/>
        </w:rPr>
        <w:t xml:space="preserve">International </w:t>
      </w:r>
      <w:r w:rsidR="00B30C06">
        <w:t>at</w:t>
      </w:r>
      <w:r w:rsidR="009E069B" w:rsidRPr="00966BBA">
        <w:t xml:space="preserve"> [56]</w:t>
      </w:r>
      <w:r w:rsidR="00491AC2" w:rsidRPr="00491AC2">
        <w:t xml:space="preserve"> (per </w:t>
      </w:r>
      <w:proofErr w:type="spellStart"/>
      <w:r w:rsidR="00491AC2" w:rsidRPr="00491AC2">
        <w:t>Gageler</w:t>
      </w:r>
      <w:proofErr w:type="spellEnd"/>
      <w:r w:rsidR="00491AC2" w:rsidRPr="00491AC2">
        <w:t xml:space="preserve"> and Gleeson JJ)</w:t>
      </w:r>
      <w:r w:rsidR="00B8261D" w:rsidRPr="00491AC2">
        <w:t>.</w:t>
      </w:r>
      <w:r w:rsidR="00076856" w:rsidRPr="00491AC2">
        <w:t xml:space="preserve"> This requires an examination of the text, scope and purpose of the GTA.</w:t>
      </w:r>
    </w:p>
    <w:p w14:paraId="65272517" w14:textId="18F2FBF2" w:rsidR="00967B06" w:rsidRDefault="0026564F" w:rsidP="0026564F">
      <w:pPr>
        <w:pStyle w:val="Heading5"/>
        <w:numPr>
          <w:ilvl w:val="0"/>
          <w:numId w:val="0"/>
        </w:numPr>
        <w:tabs>
          <w:tab w:val="left" w:pos="1134"/>
        </w:tabs>
        <w:ind w:left="1134" w:hanging="1134"/>
      </w:pPr>
      <w:r>
        <w:t>5.</w:t>
      </w:r>
      <w:r>
        <w:tab/>
      </w:r>
      <w:r w:rsidR="004277C7">
        <w:t xml:space="preserve">THE </w:t>
      </w:r>
      <w:r w:rsidR="00B40795">
        <w:t>GTA</w:t>
      </w:r>
    </w:p>
    <w:p w14:paraId="304C738C" w14:textId="44DE2309" w:rsidR="00083731" w:rsidRPr="00F11807" w:rsidRDefault="0026564F" w:rsidP="0026564F">
      <w:pPr>
        <w:pStyle w:val="ParaNumbering"/>
        <w:numPr>
          <w:ilvl w:val="0"/>
          <w:numId w:val="0"/>
        </w:numPr>
        <w:tabs>
          <w:tab w:val="left" w:pos="720"/>
        </w:tabs>
        <w:ind w:hanging="720"/>
      </w:pPr>
      <w:r w:rsidRPr="00F11807">
        <w:rPr>
          <w:sz w:val="20"/>
        </w:rPr>
        <w:t>35</w:t>
      </w:r>
      <w:r w:rsidRPr="00F11807">
        <w:rPr>
          <w:sz w:val="20"/>
        </w:rPr>
        <w:tab/>
      </w:r>
      <w:r w:rsidR="00083731" w:rsidRPr="00F11807">
        <w:t xml:space="preserve">The applicant relies on s 147(1) of the </w:t>
      </w:r>
      <w:r w:rsidR="00083731">
        <w:t>Act</w:t>
      </w:r>
      <w:r w:rsidR="00083731" w:rsidRPr="00F11807">
        <w:t>, which states:</w:t>
      </w:r>
    </w:p>
    <w:p w14:paraId="7FF97C26" w14:textId="77777777" w:rsidR="00083731" w:rsidRDefault="00083731" w:rsidP="00083731">
      <w:pPr>
        <w:pStyle w:val="Quote1"/>
      </w:pPr>
      <w:r w:rsidRPr="00F11807">
        <w:t xml:space="preserve">If a person has engaged, is engaging, or is about to engage in any conduct that is or would be an offence against this Act or the regulations, the Federal Court of Australia (the </w:t>
      </w:r>
      <w:r w:rsidRPr="00097B1C">
        <w:rPr>
          <w:b/>
          <w:bCs/>
          <w:i/>
          <w:iCs/>
        </w:rPr>
        <w:t>Court</w:t>
      </w:r>
      <w:r w:rsidRPr="00F11807">
        <w:t xml:space="preserve">) may, on the application of the Regulator or </w:t>
      </w:r>
      <w:r w:rsidRPr="00F11807">
        <w:rPr>
          <w:i/>
          <w:iCs/>
        </w:rPr>
        <w:t>any other aggrieved person</w:t>
      </w:r>
      <w:r w:rsidRPr="00F11807">
        <w:t>, grant an injunction restraining the person from engaging in the conduct.</w:t>
      </w:r>
    </w:p>
    <w:p w14:paraId="211CCA26" w14:textId="77777777" w:rsidR="00083731" w:rsidRPr="00594474" w:rsidRDefault="00083731" w:rsidP="00083731">
      <w:pPr>
        <w:pStyle w:val="Quote1"/>
      </w:pPr>
      <w:r>
        <w:t>(Emphasis added.)</w:t>
      </w:r>
    </w:p>
    <w:p w14:paraId="4D20E9BB" w14:textId="6646CAC7" w:rsidR="00083731" w:rsidRPr="00E317F5" w:rsidRDefault="0026564F" w:rsidP="0026564F">
      <w:pPr>
        <w:pStyle w:val="ParaNumbering"/>
        <w:numPr>
          <w:ilvl w:val="0"/>
          <w:numId w:val="0"/>
        </w:numPr>
        <w:tabs>
          <w:tab w:val="left" w:pos="720"/>
        </w:tabs>
        <w:ind w:hanging="720"/>
      </w:pPr>
      <w:r w:rsidRPr="00E317F5">
        <w:rPr>
          <w:sz w:val="20"/>
        </w:rPr>
        <w:t>36</w:t>
      </w:r>
      <w:r w:rsidRPr="00E317F5">
        <w:rPr>
          <w:sz w:val="20"/>
        </w:rPr>
        <w:tab/>
      </w:r>
      <w:r w:rsidR="00083731" w:rsidRPr="00A26DD0">
        <w:rPr>
          <w:szCs w:val="24"/>
        </w:rPr>
        <w:t xml:space="preserve">There are no decided cases on s 147(1) </w:t>
      </w:r>
      <w:r w:rsidR="00083731" w:rsidRPr="00E317F5">
        <w:rPr>
          <w:szCs w:val="24"/>
        </w:rPr>
        <w:t xml:space="preserve">and the phrase “any other aggrieved person” is not defined in the Act. The High Court said in </w:t>
      </w:r>
      <w:r w:rsidR="00083731" w:rsidRPr="00C77296">
        <w:rPr>
          <w:b/>
          <w:bCs/>
          <w:i/>
          <w:iCs/>
          <w:szCs w:val="24"/>
          <w:lang w:eastAsia="en-AU"/>
        </w:rPr>
        <w:t xml:space="preserve">Health World </w:t>
      </w:r>
      <w:r w:rsidR="00083731" w:rsidRPr="00C77296">
        <w:rPr>
          <w:i/>
          <w:iCs/>
          <w:szCs w:val="24"/>
          <w:lang w:eastAsia="en-AU"/>
        </w:rPr>
        <w:t xml:space="preserve">Ltd v Shin-Sun Australia Pty Ltd </w:t>
      </w:r>
      <w:r w:rsidR="00083731" w:rsidRPr="00C77296">
        <w:rPr>
          <w:szCs w:val="24"/>
          <w:lang w:eastAsia="en-AU"/>
        </w:rPr>
        <w:t>(2010) 240 CLR 590</w:t>
      </w:r>
      <w:r w:rsidR="00083731" w:rsidRPr="00E317F5">
        <w:rPr>
          <w:szCs w:val="24"/>
          <w:lang w:eastAsia="en-AU"/>
        </w:rPr>
        <w:t xml:space="preserve"> at [21] (per </w:t>
      </w:r>
      <w:r w:rsidR="00083731" w:rsidRPr="00E317F5">
        <w:rPr>
          <w:lang w:eastAsia="en-AU"/>
        </w:rPr>
        <w:t xml:space="preserve">French CJ, Gummow, </w:t>
      </w:r>
      <w:proofErr w:type="spellStart"/>
      <w:r w:rsidR="00083731" w:rsidRPr="00E317F5">
        <w:rPr>
          <w:lang w:eastAsia="en-AU"/>
        </w:rPr>
        <w:t>Heydon</w:t>
      </w:r>
      <w:proofErr w:type="spellEnd"/>
      <w:r w:rsidR="00083731" w:rsidRPr="00E317F5">
        <w:rPr>
          <w:lang w:eastAsia="en-AU"/>
        </w:rPr>
        <w:t xml:space="preserve"> and Bell JJ)</w:t>
      </w:r>
      <w:r w:rsidR="007D23DC" w:rsidRPr="00E317F5">
        <w:rPr>
          <w:szCs w:val="24"/>
          <w:lang w:eastAsia="en-AU"/>
        </w:rPr>
        <w:t xml:space="preserve"> that</w:t>
      </w:r>
      <w:r w:rsidR="00083731" w:rsidRPr="00E317F5">
        <w:rPr>
          <w:szCs w:val="24"/>
          <w:lang w:eastAsia="en-AU"/>
        </w:rPr>
        <w:t xml:space="preserve"> </w:t>
      </w:r>
      <w:r w:rsidR="00083731" w:rsidRPr="00E317F5">
        <w:rPr>
          <w:szCs w:val="24"/>
          <w:shd w:val="clear" w:color="auto" w:fill="FFFFFF"/>
        </w:rPr>
        <w:t xml:space="preserve">the “meaning of a general expression like ‘aggrieved’ will depend on an examination of the language of the particular statute in which it appears”. </w:t>
      </w:r>
      <w:r w:rsidR="00083731" w:rsidRPr="00E317F5">
        <w:rPr>
          <w:szCs w:val="24"/>
        </w:rPr>
        <w:t xml:space="preserve">Therefore, </w:t>
      </w:r>
      <w:r w:rsidR="00966BBA">
        <w:rPr>
          <w:szCs w:val="24"/>
        </w:rPr>
        <w:t xml:space="preserve">whether the applicant is </w:t>
      </w:r>
      <w:r w:rsidR="00DC32A1">
        <w:rPr>
          <w:szCs w:val="24"/>
        </w:rPr>
        <w:t>an “any other aggrieved person”</w:t>
      </w:r>
      <w:r w:rsidR="00083731" w:rsidRPr="00E317F5">
        <w:rPr>
          <w:szCs w:val="24"/>
        </w:rPr>
        <w:t xml:space="preserve"> turns on the proper construction of the Act according to ordinary principles of statutory construction.</w:t>
      </w:r>
      <w:r w:rsidR="008B058F">
        <w:rPr>
          <w:szCs w:val="24"/>
        </w:rPr>
        <w:t xml:space="preserve"> </w:t>
      </w:r>
    </w:p>
    <w:p w14:paraId="28B49A5D" w14:textId="61F3EFE3" w:rsidR="00624950" w:rsidRPr="00782257" w:rsidRDefault="0026564F" w:rsidP="0026564F">
      <w:pPr>
        <w:pStyle w:val="Heading6"/>
        <w:numPr>
          <w:ilvl w:val="0"/>
          <w:numId w:val="0"/>
        </w:numPr>
        <w:tabs>
          <w:tab w:val="left" w:pos="1134"/>
        </w:tabs>
        <w:ind w:left="1134" w:hanging="1134"/>
      </w:pPr>
      <w:r w:rsidRPr="00782257">
        <w:lastRenderedPageBreak/>
        <w:t>5.1</w:t>
      </w:r>
      <w:r w:rsidRPr="00782257">
        <w:tab/>
      </w:r>
      <w:r w:rsidR="00624950" w:rsidRPr="00782257">
        <w:t xml:space="preserve">Principles of </w:t>
      </w:r>
      <w:r w:rsidR="00211980" w:rsidRPr="00782257">
        <w:t xml:space="preserve">statutory </w:t>
      </w:r>
      <w:r w:rsidR="00624950" w:rsidRPr="00782257">
        <w:t xml:space="preserve">construction </w:t>
      </w:r>
    </w:p>
    <w:p w14:paraId="580048F9" w14:textId="4A4C08A1" w:rsidR="00624950" w:rsidRPr="00E317F5" w:rsidRDefault="0026564F" w:rsidP="0026564F">
      <w:pPr>
        <w:pStyle w:val="ParaNumbering"/>
        <w:numPr>
          <w:ilvl w:val="0"/>
          <w:numId w:val="0"/>
        </w:numPr>
        <w:tabs>
          <w:tab w:val="left" w:pos="720"/>
        </w:tabs>
        <w:ind w:hanging="720"/>
        <w:rPr>
          <w:sz w:val="13"/>
          <w:szCs w:val="13"/>
        </w:rPr>
      </w:pPr>
      <w:r w:rsidRPr="00E317F5">
        <w:rPr>
          <w:sz w:val="20"/>
          <w:szCs w:val="13"/>
        </w:rPr>
        <w:t>37</w:t>
      </w:r>
      <w:r w:rsidRPr="00E317F5">
        <w:rPr>
          <w:sz w:val="20"/>
          <w:szCs w:val="13"/>
        </w:rPr>
        <w:tab/>
      </w:r>
      <w:r w:rsidR="00624950" w:rsidRPr="00E317F5">
        <w:t xml:space="preserve">The applicable principles of statutory construction were not in dispute. </w:t>
      </w:r>
    </w:p>
    <w:p w14:paraId="66647AF6" w14:textId="35E9180A" w:rsidR="00665385" w:rsidRPr="00E317F5" w:rsidRDefault="0026564F" w:rsidP="0026564F">
      <w:pPr>
        <w:pStyle w:val="ParaNumbering"/>
        <w:numPr>
          <w:ilvl w:val="0"/>
          <w:numId w:val="0"/>
        </w:numPr>
        <w:tabs>
          <w:tab w:val="left" w:pos="720"/>
        </w:tabs>
        <w:ind w:hanging="720"/>
        <w:rPr>
          <w:szCs w:val="24"/>
        </w:rPr>
      </w:pPr>
      <w:r w:rsidRPr="00E317F5">
        <w:rPr>
          <w:sz w:val="20"/>
          <w:szCs w:val="24"/>
        </w:rPr>
        <w:t>38</w:t>
      </w:r>
      <w:r w:rsidRPr="00E317F5">
        <w:rPr>
          <w:sz w:val="20"/>
          <w:szCs w:val="24"/>
        </w:rPr>
        <w:tab/>
      </w:r>
      <w:r w:rsidR="00211980" w:rsidRPr="00E317F5">
        <w:rPr>
          <w:szCs w:val="24"/>
        </w:rPr>
        <w:t>The correct approach was set out by Kiefel CJ, Nettle and Gordon JJ in</w:t>
      </w:r>
      <w:r w:rsidR="00665385" w:rsidRPr="00E317F5">
        <w:rPr>
          <w:szCs w:val="24"/>
        </w:rPr>
        <w:t xml:space="preserve"> </w:t>
      </w:r>
      <w:r w:rsidR="00665385" w:rsidRPr="00C77296">
        <w:rPr>
          <w:b/>
          <w:bCs/>
          <w:i/>
          <w:iCs/>
          <w:color w:val="000000"/>
          <w:szCs w:val="24"/>
          <w:shd w:val="clear" w:color="auto" w:fill="FFFFFF"/>
        </w:rPr>
        <w:t>SZTAL</w:t>
      </w:r>
      <w:r w:rsidR="00665385" w:rsidRPr="00C77296">
        <w:rPr>
          <w:i/>
          <w:iCs/>
          <w:color w:val="000000"/>
          <w:szCs w:val="24"/>
          <w:shd w:val="clear" w:color="auto" w:fill="FFFFFF"/>
        </w:rPr>
        <w:t> v Minister for Immigration and Border Protection</w:t>
      </w:r>
      <w:r w:rsidR="00665385" w:rsidRPr="00C77296">
        <w:rPr>
          <w:color w:val="000000"/>
          <w:szCs w:val="24"/>
          <w:shd w:val="clear" w:color="auto" w:fill="FFFFFF"/>
        </w:rPr>
        <w:t xml:space="preserve"> (2017) 262 CLR 362 </w:t>
      </w:r>
      <w:r w:rsidR="00665385" w:rsidRPr="00E317F5">
        <w:rPr>
          <w:color w:val="000000"/>
          <w:szCs w:val="24"/>
          <w:shd w:val="clear" w:color="auto" w:fill="FFFFFF"/>
        </w:rPr>
        <w:t>at [14]:</w:t>
      </w:r>
    </w:p>
    <w:p w14:paraId="092AA078" w14:textId="2803F556" w:rsidR="00211980" w:rsidRPr="00E317F5" w:rsidRDefault="00665385" w:rsidP="00211980">
      <w:pPr>
        <w:pStyle w:val="Quote1"/>
      </w:pPr>
      <w:r w:rsidRPr="00665385">
        <w:t xml:space="preserve">The starting point for the ascertainment of the meaning of a statutory provision is the text of the statute whilst, at the same time, regard is </w:t>
      </w:r>
      <w:proofErr w:type="spellStart"/>
      <w:r w:rsidRPr="00665385">
        <w:t>had</w:t>
      </w:r>
      <w:proofErr w:type="spellEnd"/>
      <w:r w:rsidRPr="00665385">
        <w:t xml:space="preserve">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its ordinary meaning is not consistent with the statuto</w:t>
      </w:r>
      <w:r w:rsidRPr="00E317F5">
        <w:t>ry purpose, that meaning must be rejected.</w:t>
      </w:r>
    </w:p>
    <w:p w14:paraId="43924248" w14:textId="4DD31568" w:rsidR="00211980" w:rsidRPr="00E317F5" w:rsidRDefault="0026564F" w:rsidP="0026564F">
      <w:pPr>
        <w:pStyle w:val="ParaNumbering"/>
        <w:numPr>
          <w:ilvl w:val="0"/>
          <w:numId w:val="0"/>
        </w:numPr>
        <w:tabs>
          <w:tab w:val="left" w:pos="720"/>
        </w:tabs>
        <w:ind w:hanging="720"/>
        <w:rPr>
          <w:sz w:val="13"/>
          <w:szCs w:val="13"/>
        </w:rPr>
      </w:pPr>
      <w:r w:rsidRPr="00E317F5">
        <w:rPr>
          <w:sz w:val="20"/>
          <w:szCs w:val="13"/>
        </w:rPr>
        <w:t>39</w:t>
      </w:r>
      <w:r w:rsidRPr="00E317F5">
        <w:rPr>
          <w:sz w:val="20"/>
          <w:szCs w:val="13"/>
        </w:rPr>
        <w:tab/>
      </w:r>
      <w:r w:rsidR="00211980" w:rsidRPr="00E317F5">
        <w:t xml:space="preserve">Their Honours cited </w:t>
      </w:r>
      <w:r w:rsidR="00211980" w:rsidRPr="00C77296">
        <w:rPr>
          <w:i/>
          <w:iCs/>
        </w:rPr>
        <w:t xml:space="preserve">CIC Insurance Ltd v </w:t>
      </w:r>
      <w:r w:rsidR="00211980" w:rsidRPr="00C77296">
        <w:rPr>
          <w:b/>
          <w:bCs/>
          <w:i/>
          <w:iCs/>
        </w:rPr>
        <w:t>Bankstown</w:t>
      </w:r>
      <w:r w:rsidR="00211980" w:rsidRPr="00C77296">
        <w:rPr>
          <w:i/>
          <w:iCs/>
        </w:rPr>
        <w:t xml:space="preserve"> Football Club</w:t>
      </w:r>
      <w:r w:rsidR="00A628C0" w:rsidRPr="00C77296">
        <w:rPr>
          <w:i/>
          <w:iCs/>
        </w:rPr>
        <w:t xml:space="preserve"> Ltd</w:t>
      </w:r>
      <w:r w:rsidR="00211980" w:rsidRPr="00C77296">
        <w:rPr>
          <w:i/>
          <w:iCs/>
        </w:rPr>
        <w:t xml:space="preserve"> </w:t>
      </w:r>
      <w:r w:rsidR="00211980" w:rsidRPr="00C77296">
        <w:t>(1997) 187 CLR 384 at 408</w:t>
      </w:r>
      <w:r w:rsidR="00211980" w:rsidRPr="00E317F5">
        <w:t xml:space="preserve"> (per Brennan CJ, Dawson, Toohey and Gummow JJ), </w:t>
      </w:r>
      <w:r w:rsidR="00211980" w:rsidRPr="00C77296">
        <w:rPr>
          <w:i/>
          <w:iCs/>
        </w:rPr>
        <w:t>Project Blue Sky Inc v Australian Broadcasting Authority</w:t>
      </w:r>
      <w:r w:rsidR="00211980" w:rsidRPr="00C77296">
        <w:t> (1998) 194 CLR 355</w:t>
      </w:r>
      <w:r w:rsidR="00211980" w:rsidRPr="00E317F5">
        <w:t> at [69]</w:t>
      </w:r>
      <w:r w:rsidR="00501264">
        <w:t>-</w:t>
      </w:r>
      <w:r w:rsidR="00211980" w:rsidRPr="00E317F5">
        <w:t xml:space="preserve">[71] (per McHugh, Gummow, Kirby and Hayne JJ) and </w:t>
      </w:r>
      <w:r w:rsidR="00211980" w:rsidRPr="00C77296">
        <w:rPr>
          <w:i/>
          <w:iCs/>
        </w:rPr>
        <w:t>Alcan (NT) Alumina Pty Ltd v C</w:t>
      </w:r>
      <w:r w:rsidR="00082FB0" w:rsidRPr="00C77296">
        <w:rPr>
          <w:i/>
          <w:iCs/>
        </w:rPr>
        <w:t>o</w:t>
      </w:r>
      <w:r w:rsidR="00211980" w:rsidRPr="00C77296">
        <w:rPr>
          <w:i/>
          <w:iCs/>
        </w:rPr>
        <w:t>m</w:t>
      </w:r>
      <w:r w:rsidR="00082FB0" w:rsidRPr="00C77296">
        <w:rPr>
          <w:i/>
          <w:iCs/>
        </w:rPr>
        <w:t>missione</w:t>
      </w:r>
      <w:r w:rsidR="00211980" w:rsidRPr="00C77296">
        <w:rPr>
          <w:i/>
          <w:iCs/>
        </w:rPr>
        <w:t>r of Territory Revenue</w:t>
      </w:r>
      <w:r w:rsidR="00211980" w:rsidRPr="00C77296">
        <w:t> (2009) 239 CLR 27</w:t>
      </w:r>
      <w:r w:rsidR="00211980" w:rsidRPr="00E317F5">
        <w:t> at [47] (per</w:t>
      </w:r>
      <w:r w:rsidR="0061192F" w:rsidRPr="00E317F5">
        <w:t xml:space="preserve"> </w:t>
      </w:r>
      <w:r w:rsidR="00211980" w:rsidRPr="00E317F5">
        <w:t>Hayne, </w:t>
      </w:r>
      <w:proofErr w:type="spellStart"/>
      <w:r w:rsidR="00211980" w:rsidRPr="00E317F5">
        <w:t>Heydon</w:t>
      </w:r>
      <w:proofErr w:type="spellEnd"/>
      <w:r w:rsidR="00211980" w:rsidRPr="00E317F5">
        <w:t xml:space="preserve">, Crennan and Kiefel JJ). Pfizer put particular emphasis on the following observations in </w:t>
      </w:r>
      <w:r w:rsidR="00211980" w:rsidRPr="00E317F5">
        <w:rPr>
          <w:i/>
          <w:iCs/>
        </w:rPr>
        <w:t>Bankstown</w:t>
      </w:r>
      <w:r w:rsidR="00211980" w:rsidRPr="00E317F5">
        <w:t xml:space="preserve"> at 408:</w:t>
      </w:r>
    </w:p>
    <w:p w14:paraId="267E28BC" w14:textId="773BBCF9" w:rsidR="00211980" w:rsidRDefault="00F80054" w:rsidP="00F80054">
      <w:pPr>
        <w:pStyle w:val="Quote1"/>
        <w:rPr>
          <w:lang w:eastAsia="en-AU"/>
        </w:rPr>
      </w:pPr>
      <w:r w:rsidRPr="00E317F5">
        <w:rPr>
          <w:lang w:eastAsia="en-AU"/>
        </w:rPr>
        <w:t>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w:t>
      </w:r>
      <w:r>
        <w:rPr>
          <w:lang w:eastAsia="en-AU"/>
        </w:rPr>
        <w:t xml:space="preserve">ained by their context are numerous. In particular, as McHugh JA pointed out in </w:t>
      </w:r>
      <w:r>
        <w:rPr>
          <w:i/>
          <w:iCs/>
          <w:lang w:eastAsia="en-AU"/>
        </w:rPr>
        <w:t>Isherwood v Butler Pollnow</w:t>
      </w:r>
      <w:r>
        <w:rPr>
          <w:lang w:eastAsia="en-AU"/>
        </w:rPr>
        <w:t xml:space="preserve"> </w:t>
      </w:r>
      <w:r>
        <w:rPr>
          <w:i/>
          <w:iCs/>
          <w:lang w:eastAsia="en-AU"/>
        </w:rPr>
        <w:t>Pty Ltd</w:t>
      </w:r>
      <w:r>
        <w:rPr>
          <w:lang w:eastAsia="en-AU"/>
        </w:rPr>
        <w:t>,</w:t>
      </w:r>
      <w:r w:rsidRPr="003C6227">
        <w:rPr>
          <w:b/>
          <w:bCs/>
          <w:lang w:eastAsia="en-AU"/>
        </w:rPr>
        <w:t xml:space="preserve"> </w:t>
      </w:r>
      <w:r w:rsidRPr="00DC32A1">
        <w:rPr>
          <w:i/>
          <w:iCs/>
          <w:lang w:eastAsia="en-AU"/>
        </w:rPr>
        <w:t>if the apparently plain words of a provision are read in the light of the mischief which the statute was designed to overcome and of the objects of the legislation, they may wear a very different appearance.</w:t>
      </w:r>
      <w:r>
        <w:rPr>
          <w:lang w:eastAsia="en-AU"/>
        </w:rPr>
        <w:t xml:space="preserve"> Further, inconvenience or improbability of result may assist the court in preferring to the literal meaning an alternative construction which, by the steps identified above, is reasonably open and more closely conforms to the legislative intent.</w:t>
      </w:r>
    </w:p>
    <w:p w14:paraId="6DA42C4C" w14:textId="7705BB4C" w:rsidR="00F80054" w:rsidRDefault="00F80054" w:rsidP="00F80054">
      <w:pPr>
        <w:pStyle w:val="Quote1"/>
        <w:rPr>
          <w:lang w:eastAsia="en-AU"/>
        </w:rPr>
      </w:pPr>
      <w:r>
        <w:rPr>
          <w:lang w:eastAsia="en-AU"/>
        </w:rPr>
        <w:t>(Citations omitted.) (Emphasis added by Pfizer.)</w:t>
      </w:r>
    </w:p>
    <w:p w14:paraId="3E75EDBF" w14:textId="28A7F0F1" w:rsidR="005B3279" w:rsidRPr="005B3279" w:rsidRDefault="0026564F" w:rsidP="0026564F">
      <w:pPr>
        <w:pStyle w:val="ParaNumbering"/>
        <w:numPr>
          <w:ilvl w:val="0"/>
          <w:numId w:val="0"/>
        </w:numPr>
        <w:tabs>
          <w:tab w:val="left" w:pos="720"/>
        </w:tabs>
        <w:ind w:hanging="720"/>
        <w:rPr>
          <w:sz w:val="22"/>
          <w:lang w:eastAsia="en-AU"/>
        </w:rPr>
      </w:pPr>
      <w:r w:rsidRPr="005B3279">
        <w:rPr>
          <w:sz w:val="20"/>
          <w:lang w:eastAsia="en-AU"/>
        </w:rPr>
        <w:t>40</w:t>
      </w:r>
      <w:r w:rsidRPr="005B3279">
        <w:rPr>
          <w:sz w:val="20"/>
          <w:lang w:eastAsia="en-AU"/>
        </w:rPr>
        <w:tab/>
      </w:r>
      <w:r w:rsidR="003657FD">
        <w:t>In an already cited passaged, t</w:t>
      </w:r>
      <w:r w:rsidR="005B3279">
        <w:t xml:space="preserve">he </w:t>
      </w:r>
      <w:r w:rsidR="003657FD">
        <w:t xml:space="preserve">High </w:t>
      </w:r>
      <w:r w:rsidR="005B3279">
        <w:t xml:space="preserve">Court in </w:t>
      </w:r>
      <w:r w:rsidR="005B3279">
        <w:rPr>
          <w:i/>
          <w:iCs/>
        </w:rPr>
        <w:t xml:space="preserve">Health World </w:t>
      </w:r>
      <w:r w:rsidR="005B3279">
        <w:t>said at [21]:</w:t>
      </w:r>
    </w:p>
    <w:p w14:paraId="4681AC4F" w14:textId="204D506B" w:rsidR="005B3279" w:rsidRDefault="00E02665" w:rsidP="00E02665">
      <w:pPr>
        <w:pStyle w:val="Quote1"/>
        <w:rPr>
          <w:lang w:eastAsia="en-AU"/>
        </w:rPr>
      </w:pPr>
      <w:r>
        <w:rPr>
          <w:lang w:eastAsia="en-AU"/>
        </w:rPr>
        <w:t>th</w:t>
      </w:r>
      <w:r w:rsidR="005B3279" w:rsidRPr="005B3279">
        <w:rPr>
          <w:lang w:eastAsia="en-AU"/>
        </w:rPr>
        <w:t>e meaning of a general expression like “aggrieved” will depend on an examination of the language of the particular statute in which it appears. That examination will reveal the subject, scope and purpose of the statute, and the meaning of “aggrieved” may vary as the subject, scope and purpose vari</w:t>
      </w:r>
      <w:r>
        <w:rPr>
          <w:lang w:eastAsia="en-AU"/>
        </w:rPr>
        <w:t>es.</w:t>
      </w:r>
    </w:p>
    <w:p w14:paraId="5E15CBE0" w14:textId="1167EBEF" w:rsidR="00E02665" w:rsidRDefault="00E02665" w:rsidP="00E02665">
      <w:pPr>
        <w:pStyle w:val="Quote1"/>
        <w:rPr>
          <w:lang w:eastAsia="en-AU"/>
        </w:rPr>
      </w:pPr>
      <w:r>
        <w:rPr>
          <w:lang w:eastAsia="en-AU"/>
        </w:rPr>
        <w:t>(Citations omitted.)</w:t>
      </w:r>
    </w:p>
    <w:p w14:paraId="697D7A96" w14:textId="25C24398" w:rsidR="00E02665" w:rsidRPr="00290A74" w:rsidRDefault="0026564F" w:rsidP="0026564F">
      <w:pPr>
        <w:pStyle w:val="ParaNumbering"/>
        <w:numPr>
          <w:ilvl w:val="0"/>
          <w:numId w:val="0"/>
        </w:numPr>
        <w:tabs>
          <w:tab w:val="left" w:pos="720"/>
        </w:tabs>
        <w:ind w:hanging="720"/>
        <w:rPr>
          <w:sz w:val="22"/>
          <w:lang w:eastAsia="en-AU"/>
        </w:rPr>
      </w:pPr>
      <w:r w:rsidRPr="00290A74">
        <w:rPr>
          <w:sz w:val="20"/>
          <w:lang w:eastAsia="en-AU"/>
        </w:rPr>
        <w:lastRenderedPageBreak/>
        <w:t>41</w:t>
      </w:r>
      <w:r w:rsidRPr="00290A74">
        <w:rPr>
          <w:sz w:val="20"/>
          <w:lang w:eastAsia="en-AU"/>
        </w:rPr>
        <w:tab/>
      </w:r>
      <w:r w:rsidR="00E02665">
        <w:t>The Court went on to examine at [2</w:t>
      </w:r>
      <w:r w:rsidR="00E02665" w:rsidRPr="00E317F5">
        <w:t>2]</w:t>
      </w:r>
      <w:r w:rsidR="009D1FA7" w:rsidRPr="00E317F5">
        <w:t>-</w:t>
      </w:r>
      <w:r w:rsidR="00E02665" w:rsidRPr="00E317F5">
        <w:t xml:space="preserve">[27] the “concern” or purpose revealed by the </w:t>
      </w:r>
      <w:r w:rsidR="00E02665" w:rsidRPr="00C77296">
        <w:rPr>
          <w:b/>
          <w:bCs/>
          <w:i/>
          <w:iCs/>
        </w:rPr>
        <w:t>Trade Marks Act</w:t>
      </w:r>
      <w:r w:rsidR="00A138DA" w:rsidRPr="00C77296">
        <w:rPr>
          <w:i/>
          <w:iCs/>
        </w:rPr>
        <w:t xml:space="preserve"> 1995 </w:t>
      </w:r>
      <w:r w:rsidR="00A138DA" w:rsidRPr="00C77296">
        <w:t>(</w:t>
      </w:r>
      <w:proofErr w:type="spellStart"/>
      <w:r w:rsidR="00A138DA" w:rsidRPr="00C77296">
        <w:t>Cth</w:t>
      </w:r>
      <w:proofErr w:type="spellEnd"/>
      <w:r w:rsidR="00A138DA" w:rsidRPr="00C77296">
        <w:t>)</w:t>
      </w:r>
      <w:r w:rsidR="00E02665" w:rsidRPr="00E317F5">
        <w:t>, and how the legislative schem</w:t>
      </w:r>
      <w:r w:rsidR="00E02665">
        <w:t xml:space="preserve">e sought to achieve that purpose. </w:t>
      </w:r>
      <w:r w:rsidR="0051357B">
        <w:t>That is the enquiry that must now be undertaken for the GTA</w:t>
      </w:r>
      <w:r w:rsidR="0054753C">
        <w:t>:</w:t>
      </w:r>
      <w:r w:rsidR="001C2CB9">
        <w:t xml:space="preserve"> assessing the subject</w:t>
      </w:r>
      <w:r w:rsidR="0054753C">
        <w:t>,</w:t>
      </w:r>
      <w:r w:rsidR="001C2CB9">
        <w:t xml:space="preserve"> scope and purpose of the GTA and how the legislative scheme seeks to achieve that purpose</w:t>
      </w:r>
      <w:r w:rsidR="0051357B">
        <w:t>.</w:t>
      </w:r>
      <w:r w:rsidR="008B058F">
        <w:t xml:space="preserve"> </w:t>
      </w:r>
    </w:p>
    <w:p w14:paraId="0331C23F" w14:textId="4DD5FFC7" w:rsidR="00CD358F" w:rsidRDefault="0026564F" w:rsidP="0026564F">
      <w:pPr>
        <w:pStyle w:val="Heading6"/>
        <w:numPr>
          <w:ilvl w:val="0"/>
          <w:numId w:val="0"/>
        </w:numPr>
        <w:tabs>
          <w:tab w:val="left" w:pos="1134"/>
        </w:tabs>
        <w:ind w:left="1134" w:hanging="1134"/>
      </w:pPr>
      <w:r>
        <w:t>5.2</w:t>
      </w:r>
      <w:r>
        <w:tab/>
      </w:r>
      <w:r w:rsidR="00C652A2">
        <w:t>Submissions as to p</w:t>
      </w:r>
      <w:r w:rsidR="004D2E7D">
        <w:t xml:space="preserve">urpose </w:t>
      </w:r>
      <w:r w:rsidR="00712FCE">
        <w:t xml:space="preserve">and scope </w:t>
      </w:r>
      <w:r w:rsidR="00FA32FF">
        <w:t>of the Act</w:t>
      </w:r>
    </w:p>
    <w:p w14:paraId="26F5A063" w14:textId="39D224AE" w:rsidR="00CD358F" w:rsidRDefault="0026564F" w:rsidP="0026564F">
      <w:pPr>
        <w:pStyle w:val="ParaNumbering"/>
        <w:numPr>
          <w:ilvl w:val="0"/>
          <w:numId w:val="0"/>
        </w:numPr>
        <w:tabs>
          <w:tab w:val="left" w:pos="720"/>
        </w:tabs>
        <w:ind w:hanging="720"/>
      </w:pPr>
      <w:r>
        <w:rPr>
          <w:sz w:val="20"/>
        </w:rPr>
        <w:t>42</w:t>
      </w:r>
      <w:r>
        <w:rPr>
          <w:sz w:val="20"/>
        </w:rPr>
        <w:tab/>
      </w:r>
      <w:r w:rsidR="00CD358F">
        <w:t xml:space="preserve">Pfizer contends that the purpose of the Act is </w:t>
      </w:r>
      <w:r w:rsidR="00CD358F" w:rsidRPr="006E1F5A">
        <w:t xml:space="preserve">to confine standing to persons aggrieved by the specific conduct regulated by the GTA which could constitute an offence </w:t>
      </w:r>
      <w:r w:rsidR="00882DB1">
        <w:t>against</w:t>
      </w:r>
      <w:r w:rsidR="00882DB1" w:rsidRPr="006E1F5A">
        <w:t xml:space="preserve"> </w:t>
      </w:r>
      <w:r w:rsidR="00CD358F" w:rsidRPr="006E1F5A">
        <w:t>that legislation</w:t>
      </w:r>
      <w:r w:rsidR="00CD358F">
        <w:t xml:space="preserve">. </w:t>
      </w:r>
      <w:r w:rsidR="008D69AE">
        <w:t>Pfizer</w:t>
      </w:r>
      <w:r w:rsidR="00CD358F">
        <w:t xml:space="preserve"> says that s 147(1) </w:t>
      </w:r>
      <w:r w:rsidR="00CD358F" w:rsidRPr="00DE7A00">
        <w:t xml:space="preserve">is not intended to afford a broad remedy for any person with either general or specific grievances with GMOs arising from activities, uses or conduct not regulated </w:t>
      </w:r>
      <w:r w:rsidR="008D69AE">
        <w:t>by</w:t>
      </w:r>
      <w:r w:rsidR="008D69AE" w:rsidRPr="00DE7A00">
        <w:t xml:space="preserve"> </w:t>
      </w:r>
      <w:r w:rsidR="00CD358F" w:rsidRPr="00DE7A00">
        <w:t>the GTA</w:t>
      </w:r>
      <w:r w:rsidR="00146AB5">
        <w:t>. This</w:t>
      </w:r>
      <w:r w:rsidR="00CD358F">
        <w:t xml:space="preserve"> includ</w:t>
      </w:r>
      <w:r w:rsidR="00146AB5">
        <w:t>es</w:t>
      </w:r>
      <w:r w:rsidR="00CD358F">
        <w:t xml:space="preserve"> health and safety risks to consume</w:t>
      </w:r>
      <w:r w:rsidR="00AB380F">
        <w:t>r</w:t>
      </w:r>
      <w:r w:rsidR="00CD358F">
        <w:t xml:space="preserve">s that may only be indirectly related to dealings under the Act, especially where </w:t>
      </w:r>
      <w:r w:rsidR="008D69AE">
        <w:t xml:space="preserve">such </w:t>
      </w:r>
      <w:r w:rsidR="00CD358F">
        <w:t xml:space="preserve">risks are specifically regulated by other statutory regimes or bodies. </w:t>
      </w:r>
      <w:r w:rsidR="00CD5E57">
        <w:t xml:space="preserve">Moderna did not make submissions on the construction of the Act. </w:t>
      </w:r>
    </w:p>
    <w:p w14:paraId="5DC25488" w14:textId="6375D0A5" w:rsidR="00CD358F" w:rsidRDefault="0026564F" w:rsidP="0026564F">
      <w:pPr>
        <w:pStyle w:val="ParaNumbering"/>
        <w:numPr>
          <w:ilvl w:val="0"/>
          <w:numId w:val="0"/>
        </w:numPr>
        <w:tabs>
          <w:tab w:val="left" w:pos="720"/>
        </w:tabs>
        <w:ind w:hanging="720"/>
      </w:pPr>
      <w:r>
        <w:rPr>
          <w:sz w:val="20"/>
        </w:rPr>
        <w:t>43</w:t>
      </w:r>
      <w:r>
        <w:rPr>
          <w:sz w:val="20"/>
        </w:rPr>
        <w:tab/>
      </w:r>
      <w:r w:rsidR="00CD358F">
        <w:t xml:space="preserve">The applicant contends that the Act has a far broader purpose which includes the general protection of the health and safety of the public. The applicant’s asserted bases for standing all depend on a concern that by being or containing GMOs, the vaccines have the potential to harm patients who are administered a dose of the vaccine. This is a concern with the </w:t>
      </w:r>
      <w:r w:rsidR="009522A4">
        <w:t xml:space="preserve">health of the </w:t>
      </w:r>
      <w:r w:rsidR="00CD358F">
        <w:t xml:space="preserve">consumer of a vaccine. Thus, the critical question to determine with respect to the Act is the extent to which, if any, it regulates </w:t>
      </w:r>
      <w:r w:rsidR="008D69AE">
        <w:t xml:space="preserve">risks to </w:t>
      </w:r>
      <w:r w:rsidR="00CD358F">
        <w:t xml:space="preserve">the end </w:t>
      </w:r>
      <w:r w:rsidR="00CD358F" w:rsidRPr="009522A4">
        <w:t xml:space="preserve">user or </w:t>
      </w:r>
      <w:r w:rsidR="00900F5B" w:rsidRPr="009522A4">
        <w:t>recipient</w:t>
      </w:r>
      <w:r w:rsidR="00CD358F" w:rsidRPr="009522A4">
        <w:t xml:space="preserve"> of a GMO product</w:t>
      </w:r>
      <w:r w:rsidR="005217D4" w:rsidRPr="009522A4">
        <w:t xml:space="preserve">, </w:t>
      </w:r>
      <w:r w:rsidR="00C31F24" w:rsidRPr="009522A4">
        <w:t>in particular</w:t>
      </w:r>
      <w:r w:rsidR="005217D4" w:rsidRPr="009522A4">
        <w:t xml:space="preserve"> the safety</w:t>
      </w:r>
      <w:r w:rsidR="00C31F24" w:rsidRPr="009522A4">
        <w:t xml:space="preserve"> and</w:t>
      </w:r>
      <w:r w:rsidR="006826F7" w:rsidRPr="009522A4">
        <w:t xml:space="preserve"> efficacy</w:t>
      </w:r>
      <w:r w:rsidR="00264327" w:rsidRPr="009522A4">
        <w:t xml:space="preserve"> </w:t>
      </w:r>
      <w:r w:rsidR="00B439D7" w:rsidRPr="009522A4">
        <w:t>of a therapeutic</w:t>
      </w:r>
      <w:r w:rsidR="00264327" w:rsidRPr="009522A4">
        <w:t xml:space="preserve"> GMO product</w:t>
      </w:r>
      <w:r w:rsidR="00CD358F" w:rsidRPr="00AA45CA">
        <w:t>.</w:t>
      </w:r>
      <w:r w:rsidR="00CD358F">
        <w:t xml:space="preserve"> The answer to that question will largely resolve whether the applicant is an “aggrieved person” within the meaning of s 147</w:t>
      </w:r>
      <w:r w:rsidR="00A64513">
        <w:t>(1)</w:t>
      </w:r>
      <w:r w:rsidR="00CD358F">
        <w:t xml:space="preserve"> of the Act or, put differently, has a special interest in the subject matter of the proceeding such </w:t>
      </w:r>
      <w:r w:rsidR="00EF5528">
        <w:t xml:space="preserve">as </w:t>
      </w:r>
      <w:r w:rsidR="00CD358F">
        <w:t>to have standing.</w:t>
      </w:r>
    </w:p>
    <w:p w14:paraId="133191E8" w14:textId="7711083C" w:rsidR="00C652A2" w:rsidRDefault="0026564F" w:rsidP="0026564F">
      <w:pPr>
        <w:pStyle w:val="Heading6"/>
        <w:numPr>
          <w:ilvl w:val="0"/>
          <w:numId w:val="0"/>
        </w:numPr>
        <w:tabs>
          <w:tab w:val="left" w:pos="1134"/>
        </w:tabs>
        <w:ind w:left="1134" w:hanging="1134"/>
      </w:pPr>
      <w:r>
        <w:t>5.3</w:t>
      </w:r>
      <w:r>
        <w:tab/>
      </w:r>
      <w:r w:rsidR="009C2BF8" w:rsidRPr="009C2BF8">
        <w:t>Sc</w:t>
      </w:r>
      <w:r w:rsidR="00C652A2">
        <w:t>heme</w:t>
      </w:r>
      <w:r w:rsidR="009C2BF8" w:rsidRPr="009C2BF8">
        <w:t xml:space="preserve"> and operation of the Act</w:t>
      </w:r>
    </w:p>
    <w:p w14:paraId="04D6EC14" w14:textId="58DED151" w:rsidR="00BD104F" w:rsidRDefault="0026564F" w:rsidP="0026564F">
      <w:pPr>
        <w:pStyle w:val="ParaNumbering"/>
        <w:numPr>
          <w:ilvl w:val="0"/>
          <w:numId w:val="0"/>
        </w:numPr>
        <w:tabs>
          <w:tab w:val="left" w:pos="720"/>
        </w:tabs>
        <w:ind w:hanging="720"/>
      </w:pPr>
      <w:r>
        <w:rPr>
          <w:sz w:val="20"/>
        </w:rPr>
        <w:t>44</w:t>
      </w:r>
      <w:r>
        <w:rPr>
          <w:sz w:val="20"/>
        </w:rPr>
        <w:tab/>
      </w:r>
      <w:r w:rsidR="00BD104F">
        <w:t xml:space="preserve">The object of the Act is set out in s 3: </w:t>
      </w:r>
    </w:p>
    <w:p w14:paraId="29823FD1" w14:textId="21C92017" w:rsidR="00BD104F" w:rsidRDefault="00BD104F" w:rsidP="00BD104F">
      <w:pPr>
        <w:pStyle w:val="Quote1"/>
      </w:pPr>
      <w:r w:rsidRPr="001D3549">
        <w:t>The object of this Act is to protect the health and safety of people, and to protect the environment, by identifying risks posed by or as a result of gene technology, and by managing those risks through regulating certain dealings with GMOs</w:t>
      </w:r>
      <w:r>
        <w:t xml:space="preserve">. </w:t>
      </w:r>
    </w:p>
    <w:p w14:paraId="1F4A6FC9" w14:textId="673434EA" w:rsidR="00BD104F" w:rsidRDefault="0026564F" w:rsidP="0026564F">
      <w:pPr>
        <w:pStyle w:val="ParaNumbering"/>
        <w:numPr>
          <w:ilvl w:val="0"/>
          <w:numId w:val="0"/>
        </w:numPr>
        <w:ind w:hanging="720"/>
      </w:pPr>
      <w:r>
        <w:rPr>
          <w:sz w:val="20"/>
        </w:rPr>
        <w:t>45</w:t>
      </w:r>
      <w:r>
        <w:rPr>
          <w:sz w:val="20"/>
        </w:rPr>
        <w:tab/>
      </w:r>
      <w:r w:rsidR="00BD104F">
        <w:t>Section 4 provides that the object of the Act is to be achieved through a regulatory framework which:</w:t>
      </w:r>
    </w:p>
    <w:p w14:paraId="713E862D" w14:textId="1F5CB220" w:rsidR="00B33A47" w:rsidRDefault="00B33A47" w:rsidP="00A7446E">
      <w:pPr>
        <w:pStyle w:val="Quote1"/>
        <w:ind w:left="1440" w:hanging="703"/>
      </w:pPr>
      <w:r>
        <w:t xml:space="preserve">(aa) </w:t>
      </w:r>
      <w:r>
        <w:tab/>
        <w:t>provides that where there are threats of serious or irreversible environmental damage,</w:t>
      </w:r>
      <w:r w:rsidR="007D1808">
        <w:t xml:space="preserve"> </w:t>
      </w:r>
      <w:r>
        <w:t xml:space="preserve">a lack of full scientific certainty should not be used as a reason for </w:t>
      </w:r>
      <w:r>
        <w:lastRenderedPageBreak/>
        <w:t>postponing cost-effective measures to prevent environmental degradation; and</w:t>
      </w:r>
    </w:p>
    <w:p w14:paraId="22E58ADB" w14:textId="2E5D9811" w:rsidR="006E3971" w:rsidRPr="006E3971" w:rsidRDefault="006E3971" w:rsidP="00A7446E">
      <w:pPr>
        <w:pStyle w:val="Quote1"/>
        <w:ind w:left="1440" w:hanging="703"/>
        <w:rPr>
          <w:color w:val="000000"/>
          <w:lang w:eastAsia="en-AU"/>
        </w:rPr>
      </w:pPr>
      <w:r w:rsidRPr="006E3971">
        <w:rPr>
          <w:color w:val="000000"/>
          <w:lang w:eastAsia="en-AU"/>
        </w:rPr>
        <w:t xml:space="preserve">(a) </w:t>
      </w:r>
      <w:r>
        <w:rPr>
          <w:color w:val="000000"/>
          <w:lang w:eastAsia="en-AU"/>
        </w:rPr>
        <w:tab/>
      </w:r>
      <w:r w:rsidRPr="006E3971">
        <w:rPr>
          <w:color w:val="000000"/>
          <w:lang w:eastAsia="en-AU"/>
        </w:rPr>
        <w:t xml:space="preserve">provides an efficient and effective system for the application of gene technologies; and </w:t>
      </w:r>
    </w:p>
    <w:p w14:paraId="5B0CB306" w14:textId="579F7FF8" w:rsidR="006E3971" w:rsidRDefault="006E3971" w:rsidP="00A7446E">
      <w:pPr>
        <w:pStyle w:val="Quote1"/>
        <w:ind w:left="1440" w:hanging="703"/>
        <w:rPr>
          <w:color w:val="000000"/>
          <w:lang w:eastAsia="en-AU"/>
        </w:rPr>
      </w:pPr>
      <w:r w:rsidRPr="006E3971">
        <w:rPr>
          <w:color w:val="000000"/>
          <w:lang w:eastAsia="en-AU"/>
        </w:rPr>
        <w:t xml:space="preserve">(b) </w:t>
      </w:r>
      <w:r>
        <w:rPr>
          <w:color w:val="000000"/>
          <w:lang w:eastAsia="en-AU"/>
        </w:rPr>
        <w:tab/>
      </w:r>
      <w:r w:rsidRPr="006E3971">
        <w:rPr>
          <w:color w:val="000000"/>
          <w:lang w:eastAsia="en-AU"/>
        </w:rPr>
        <w:t xml:space="preserve">operates in conjunction with other Commonwealth and State regulatory schemes relevant to GMOs and GM products. </w:t>
      </w:r>
    </w:p>
    <w:p w14:paraId="5ECBCC0B" w14:textId="1C3BE8F1" w:rsidR="00992175" w:rsidRPr="006E3971" w:rsidRDefault="00992175" w:rsidP="00A7446E">
      <w:pPr>
        <w:pStyle w:val="Quote1"/>
        <w:ind w:left="1440"/>
        <w:rPr>
          <w:color w:val="000000"/>
          <w:lang w:eastAsia="en-AU"/>
        </w:rPr>
      </w:pPr>
      <w:r>
        <w:t>Note: Examples of the schemes mentioned in paragraph (b) are those that regulate food, agricultural and veterinary chemicals, industrial chemicals and therapeutic goods.</w:t>
      </w:r>
    </w:p>
    <w:p w14:paraId="4A0FED3D" w14:textId="114034BF" w:rsidR="00463E77" w:rsidRDefault="0026564F" w:rsidP="0026564F">
      <w:pPr>
        <w:pStyle w:val="ParaNumbering"/>
        <w:numPr>
          <w:ilvl w:val="0"/>
          <w:numId w:val="0"/>
        </w:numPr>
        <w:ind w:hanging="720"/>
      </w:pPr>
      <w:r>
        <w:rPr>
          <w:sz w:val="20"/>
        </w:rPr>
        <w:t>46</w:t>
      </w:r>
      <w:r>
        <w:rPr>
          <w:sz w:val="20"/>
        </w:rPr>
        <w:tab/>
      </w:r>
      <w:r w:rsidR="003A1423">
        <w:t xml:space="preserve">A number of definitions of terms used in the Act are </w:t>
      </w:r>
      <w:r w:rsidR="005F7808">
        <w:t xml:space="preserve">set out in s 10. </w:t>
      </w:r>
      <w:r w:rsidR="00685796">
        <w:t>Section</w:t>
      </w:r>
      <w:r w:rsidR="00463E77">
        <w:t xml:space="preserve"> 10 defines the phrase “deal with”</w:t>
      </w:r>
      <w:r w:rsidR="00685796">
        <w:t xml:space="preserve"> </w:t>
      </w:r>
      <w:r w:rsidR="00463E77">
        <w:t xml:space="preserve">exhaustively: </w:t>
      </w:r>
    </w:p>
    <w:p w14:paraId="600D07B6" w14:textId="04799C9A" w:rsidR="00463E77" w:rsidRDefault="00463E77" w:rsidP="00DB5F6D">
      <w:pPr>
        <w:pStyle w:val="Quote1"/>
      </w:pPr>
      <w:r w:rsidRPr="00846AB3">
        <w:rPr>
          <w:b/>
          <w:bCs/>
          <w:i/>
          <w:iCs/>
        </w:rPr>
        <w:t>deal with</w:t>
      </w:r>
      <w:r>
        <w:t xml:space="preserve">, in relation to a GMO, means the following: </w:t>
      </w:r>
    </w:p>
    <w:p w14:paraId="6EEDC70D" w14:textId="745032EB" w:rsidR="00463E77" w:rsidRDefault="00463E77" w:rsidP="004D2E7D">
      <w:pPr>
        <w:pStyle w:val="Quote1"/>
      </w:pPr>
      <w:r>
        <w:t xml:space="preserve">(a) conduct experiments with the GMO; </w:t>
      </w:r>
    </w:p>
    <w:p w14:paraId="32FA3A2E" w14:textId="77777777" w:rsidR="00463E77" w:rsidRDefault="00463E77" w:rsidP="004D2E7D">
      <w:pPr>
        <w:pStyle w:val="Quote1"/>
      </w:pPr>
      <w:r>
        <w:t xml:space="preserve">(b) make, develop, produce or manufacture the GMO; </w:t>
      </w:r>
    </w:p>
    <w:p w14:paraId="4496C550" w14:textId="77777777" w:rsidR="00463E77" w:rsidRDefault="00463E77" w:rsidP="004D2E7D">
      <w:pPr>
        <w:pStyle w:val="Quote1"/>
      </w:pPr>
      <w:r>
        <w:t xml:space="preserve">(c) breed the GMO; </w:t>
      </w:r>
    </w:p>
    <w:p w14:paraId="671C564B" w14:textId="77777777" w:rsidR="00463E77" w:rsidRDefault="00463E77" w:rsidP="004D2E7D">
      <w:pPr>
        <w:pStyle w:val="Quote1"/>
      </w:pPr>
      <w:r>
        <w:t xml:space="preserve">(d) propagate the GMO; </w:t>
      </w:r>
    </w:p>
    <w:p w14:paraId="452758FB" w14:textId="77777777" w:rsidR="00463E77" w:rsidRDefault="00463E77" w:rsidP="004D2E7D">
      <w:pPr>
        <w:pStyle w:val="Quote1"/>
      </w:pPr>
      <w:r>
        <w:t xml:space="preserve">(e) use the GMO in the course of manufacture of a thing that is not the GMO; </w:t>
      </w:r>
    </w:p>
    <w:p w14:paraId="118D77F1" w14:textId="77777777" w:rsidR="00463E77" w:rsidRDefault="00463E77" w:rsidP="004D2E7D">
      <w:pPr>
        <w:pStyle w:val="Quote1"/>
      </w:pPr>
      <w:r>
        <w:t xml:space="preserve">(f) grow, raise or culture the GMO; </w:t>
      </w:r>
    </w:p>
    <w:p w14:paraId="7B3F1B75" w14:textId="77777777" w:rsidR="00463E77" w:rsidRDefault="00463E77" w:rsidP="004D2E7D">
      <w:pPr>
        <w:pStyle w:val="Quote1"/>
      </w:pPr>
      <w:r>
        <w:t xml:space="preserve">(g) import the GMO; </w:t>
      </w:r>
    </w:p>
    <w:p w14:paraId="3F0D5F93" w14:textId="77777777" w:rsidR="00463E77" w:rsidRDefault="00463E77" w:rsidP="004D2E7D">
      <w:pPr>
        <w:pStyle w:val="Quote1"/>
      </w:pPr>
      <w:r>
        <w:t xml:space="preserve">(h) transport the GMO; </w:t>
      </w:r>
    </w:p>
    <w:p w14:paraId="7F185ED8" w14:textId="77777777" w:rsidR="00463E77" w:rsidRDefault="00463E77" w:rsidP="004D2E7D">
      <w:pPr>
        <w:pStyle w:val="Quote1"/>
      </w:pPr>
      <w:r>
        <w:t>(</w:t>
      </w:r>
      <w:proofErr w:type="spellStart"/>
      <w:r>
        <w:t>i</w:t>
      </w:r>
      <w:proofErr w:type="spellEnd"/>
      <w:r>
        <w:t xml:space="preserve">) dispose of the GMO; </w:t>
      </w:r>
    </w:p>
    <w:p w14:paraId="64FB7981" w14:textId="77777777" w:rsidR="00463E77" w:rsidRDefault="00463E77" w:rsidP="004D2E7D">
      <w:pPr>
        <w:pStyle w:val="Quote1"/>
      </w:pPr>
      <w:r>
        <w:t>and includes the possession, supply or use of the GMO for the purposes of, or in the course of, a dealing mentioned in any of paragraphs (a) to (</w:t>
      </w:r>
      <w:proofErr w:type="spellStart"/>
      <w:r>
        <w:t>i</w:t>
      </w:r>
      <w:proofErr w:type="spellEnd"/>
      <w:r>
        <w:t xml:space="preserve">). </w:t>
      </w:r>
    </w:p>
    <w:p w14:paraId="5E74F01F" w14:textId="253F878F" w:rsidR="00553CEA" w:rsidRDefault="0026564F" w:rsidP="0026564F">
      <w:pPr>
        <w:pStyle w:val="ParaNumbering"/>
        <w:numPr>
          <w:ilvl w:val="0"/>
          <w:numId w:val="0"/>
        </w:numPr>
        <w:tabs>
          <w:tab w:val="left" w:pos="720"/>
        </w:tabs>
        <w:ind w:hanging="720"/>
      </w:pPr>
      <w:r>
        <w:rPr>
          <w:sz w:val="20"/>
        </w:rPr>
        <w:t>47</w:t>
      </w:r>
      <w:r>
        <w:rPr>
          <w:sz w:val="20"/>
        </w:rPr>
        <w:tab/>
      </w:r>
      <w:r w:rsidR="00553CEA">
        <w:t xml:space="preserve">Part 3 of the Act establishes the </w:t>
      </w:r>
      <w:r w:rsidR="00B42D32">
        <w:t>OGTR</w:t>
      </w:r>
      <w:r w:rsidR="00553CEA">
        <w:t xml:space="preserve"> and sets out </w:t>
      </w:r>
      <w:r w:rsidR="005908D5">
        <w:t xml:space="preserve">its </w:t>
      </w:r>
      <w:r w:rsidR="00553CEA">
        <w:t xml:space="preserve">functions and powers </w:t>
      </w:r>
      <w:r w:rsidR="00E24509">
        <w:t xml:space="preserve">in s 27 and </w:t>
      </w:r>
      <w:r w:rsidR="004C135D">
        <w:t xml:space="preserve">s </w:t>
      </w:r>
      <w:r w:rsidR="00E24509">
        <w:t>28.</w:t>
      </w:r>
    </w:p>
    <w:p w14:paraId="65BE89E7" w14:textId="3D594882" w:rsidR="00AF10AC" w:rsidRDefault="0026564F" w:rsidP="0026564F">
      <w:pPr>
        <w:pStyle w:val="ParaNumbering"/>
        <w:numPr>
          <w:ilvl w:val="0"/>
          <w:numId w:val="0"/>
        </w:numPr>
        <w:tabs>
          <w:tab w:val="left" w:pos="720"/>
        </w:tabs>
        <w:ind w:hanging="720"/>
      </w:pPr>
      <w:r>
        <w:rPr>
          <w:sz w:val="20"/>
        </w:rPr>
        <w:t>48</w:t>
      </w:r>
      <w:r>
        <w:rPr>
          <w:sz w:val="20"/>
        </w:rPr>
        <w:tab/>
      </w:r>
      <w:r w:rsidR="00DC7480">
        <w:t>“Dealings with GMOs” are regulated in P</w:t>
      </w:r>
      <w:r w:rsidR="00252D85">
        <w:t>t</w:t>
      </w:r>
      <w:r w:rsidR="00DC7480">
        <w:t xml:space="preserve"> 4 of the Act. </w:t>
      </w:r>
      <w:r w:rsidR="00803127">
        <w:t xml:space="preserve">In relation to the “dealings” with GMOs that the GTA seeks to regulate for the purposes of managing risks posed by gene technology, the word “dealing” is not defined. </w:t>
      </w:r>
    </w:p>
    <w:p w14:paraId="34CC04A3" w14:textId="37C5E119" w:rsidR="00712FCE" w:rsidRDefault="0026564F" w:rsidP="0026564F">
      <w:pPr>
        <w:pStyle w:val="ParaNumbering"/>
        <w:numPr>
          <w:ilvl w:val="0"/>
          <w:numId w:val="0"/>
        </w:numPr>
        <w:tabs>
          <w:tab w:val="left" w:pos="720"/>
        </w:tabs>
        <w:ind w:hanging="720"/>
      </w:pPr>
      <w:r>
        <w:rPr>
          <w:sz w:val="20"/>
        </w:rPr>
        <w:t>49</w:t>
      </w:r>
      <w:r>
        <w:rPr>
          <w:sz w:val="20"/>
        </w:rPr>
        <w:tab/>
      </w:r>
      <w:r w:rsidR="00CF17F2">
        <w:t>However, t</w:t>
      </w:r>
      <w:r w:rsidR="00F47275">
        <w:t xml:space="preserve">he definition of “deal with” </w:t>
      </w:r>
      <w:r w:rsidR="00463E77">
        <w:t>covers various categories of conduct or activities involving the handling of GMOs in research, agricultural and commercial settings. It is directed to conduct or activities which could give rise to occupational health and safety risks for individuals who are handling a GMO</w:t>
      </w:r>
      <w:r w:rsidR="00AF10AC">
        <w:t>,</w:t>
      </w:r>
      <w:r w:rsidR="00463E77">
        <w:t xml:space="preserve"> or conduct or activities which could lead to the release of a GMO into the environment. Those matters fall within the general category of biosafety risks. </w:t>
      </w:r>
    </w:p>
    <w:p w14:paraId="0E5518ED" w14:textId="61E20AD1" w:rsidR="00712FCE" w:rsidRDefault="0026564F" w:rsidP="0026564F">
      <w:pPr>
        <w:pStyle w:val="ParaNumbering"/>
        <w:numPr>
          <w:ilvl w:val="0"/>
          <w:numId w:val="0"/>
        </w:numPr>
        <w:tabs>
          <w:tab w:val="left" w:pos="720"/>
        </w:tabs>
        <w:ind w:hanging="720"/>
      </w:pPr>
      <w:r>
        <w:rPr>
          <w:sz w:val="20"/>
        </w:rPr>
        <w:t>50</w:t>
      </w:r>
      <w:r>
        <w:rPr>
          <w:sz w:val="20"/>
        </w:rPr>
        <w:tab/>
      </w:r>
      <w:r w:rsidR="00712FCE">
        <w:t xml:space="preserve">The GTA regulates the dealings defined in s 10 in four main ways: </w:t>
      </w:r>
    </w:p>
    <w:p w14:paraId="71A9EC33" w14:textId="582A17DB" w:rsidR="00712FCE" w:rsidRDefault="0026564F" w:rsidP="0026564F">
      <w:pPr>
        <w:pStyle w:val="ListNo1alt"/>
        <w:numPr>
          <w:ilvl w:val="0"/>
          <w:numId w:val="0"/>
        </w:numPr>
        <w:tabs>
          <w:tab w:val="left" w:pos="720"/>
        </w:tabs>
        <w:ind w:left="720" w:hanging="720"/>
      </w:pPr>
      <w:r>
        <w:lastRenderedPageBreak/>
        <w:t>(a)</w:t>
      </w:r>
      <w:r>
        <w:tab/>
      </w:r>
      <w:r w:rsidR="00712FCE">
        <w:t xml:space="preserve">by a </w:t>
      </w:r>
      <w:r w:rsidR="00B040A0">
        <w:t>licensing system</w:t>
      </w:r>
      <w:r w:rsidR="00614570">
        <w:t xml:space="preserve"> established in Pt 5</w:t>
      </w:r>
      <w:r w:rsidR="00712FCE">
        <w:t xml:space="preserve">; </w:t>
      </w:r>
    </w:p>
    <w:p w14:paraId="1ED751E5" w14:textId="1C8FEAA9" w:rsidR="00712FCE" w:rsidRDefault="0026564F" w:rsidP="0026564F">
      <w:pPr>
        <w:pStyle w:val="ListNo1alt"/>
        <w:numPr>
          <w:ilvl w:val="0"/>
          <w:numId w:val="0"/>
        </w:numPr>
        <w:tabs>
          <w:tab w:val="left" w:pos="720"/>
        </w:tabs>
        <w:ind w:left="720" w:hanging="720"/>
      </w:pPr>
      <w:r>
        <w:t>(b)</w:t>
      </w:r>
      <w:r>
        <w:tab/>
      </w:r>
      <w:r w:rsidR="00712FCE">
        <w:t>by inclusion of dealing</w:t>
      </w:r>
      <w:r w:rsidR="00B54E74">
        <w:t>s</w:t>
      </w:r>
      <w:r w:rsidR="00712FCE">
        <w:t xml:space="preserve"> on the GMO register, together with </w:t>
      </w:r>
      <w:r w:rsidR="0080547A">
        <w:t xml:space="preserve">any applicable licence </w:t>
      </w:r>
      <w:r w:rsidR="00712FCE">
        <w:t>conditions</w:t>
      </w:r>
      <w:r w:rsidR="00E02661">
        <w:t xml:space="preserve"> (</w:t>
      </w:r>
      <w:r w:rsidR="00255AA8">
        <w:t>Pt 6, Div 3)</w:t>
      </w:r>
      <w:r w:rsidR="00712FCE">
        <w:t>;</w:t>
      </w:r>
    </w:p>
    <w:p w14:paraId="456D9149" w14:textId="1444557A" w:rsidR="00712FCE" w:rsidRDefault="0026564F" w:rsidP="0026564F">
      <w:pPr>
        <w:pStyle w:val="ListNo1alt"/>
        <w:numPr>
          <w:ilvl w:val="0"/>
          <w:numId w:val="0"/>
        </w:numPr>
        <w:tabs>
          <w:tab w:val="left" w:pos="720"/>
        </w:tabs>
        <w:ind w:left="720" w:hanging="720"/>
      </w:pPr>
      <w:r>
        <w:t>(c)</w:t>
      </w:r>
      <w:r>
        <w:tab/>
      </w:r>
      <w:r w:rsidR="00712FCE">
        <w:t xml:space="preserve">by designation of a dealing as a </w:t>
      </w:r>
      <w:r w:rsidR="00712FCE" w:rsidRPr="004D2E7D">
        <w:t xml:space="preserve">notifiable low risk dealing which might have certain requirements set out in the </w:t>
      </w:r>
      <w:r w:rsidR="00712FCE" w:rsidRPr="00FF09BF">
        <w:rPr>
          <w:i/>
          <w:iCs/>
        </w:rPr>
        <w:t>Gene Technology Regulations 2001</w:t>
      </w:r>
      <w:r w:rsidR="00712FCE" w:rsidRPr="004D7318">
        <w:rPr>
          <w:i/>
          <w:iCs/>
        </w:rPr>
        <w:t xml:space="preserve"> </w:t>
      </w:r>
      <w:r w:rsidR="00712FCE" w:rsidRPr="004D2E7D">
        <w:t>(</w:t>
      </w:r>
      <w:proofErr w:type="spellStart"/>
      <w:r w:rsidR="00712FCE" w:rsidRPr="004D2E7D">
        <w:t>Cth</w:t>
      </w:r>
      <w:proofErr w:type="spellEnd"/>
      <w:r w:rsidR="00712FCE" w:rsidRPr="004D2E7D">
        <w:t>)</w:t>
      </w:r>
      <w:r w:rsidR="00255AA8">
        <w:t xml:space="preserve"> (Pt 6, Div 2)</w:t>
      </w:r>
      <w:r w:rsidR="00712FCE" w:rsidRPr="004D2E7D">
        <w:t xml:space="preserve">; and </w:t>
      </w:r>
    </w:p>
    <w:p w14:paraId="176B8838" w14:textId="4E14EFE7" w:rsidR="00712FCE" w:rsidRPr="004D2E7D" w:rsidRDefault="0026564F" w:rsidP="0026564F">
      <w:pPr>
        <w:pStyle w:val="ListNo1alt"/>
        <w:numPr>
          <w:ilvl w:val="0"/>
          <w:numId w:val="0"/>
        </w:numPr>
        <w:tabs>
          <w:tab w:val="left" w:pos="720"/>
        </w:tabs>
        <w:ind w:left="720" w:hanging="720"/>
      </w:pPr>
      <w:r w:rsidRPr="004D2E7D">
        <w:t>(d)</w:t>
      </w:r>
      <w:r w:rsidRPr="004D2E7D">
        <w:tab/>
      </w:r>
      <w:r w:rsidR="00712FCE" w:rsidRPr="004D2E7D">
        <w:t>by an emergency dealing determination issued by the Minister for the Department of Health and Aged Care</w:t>
      </w:r>
      <w:r w:rsidR="008C001D">
        <w:t xml:space="preserve"> (Pt 5A)</w:t>
      </w:r>
      <w:r w:rsidR="00712FCE" w:rsidRPr="004D2E7D">
        <w:t xml:space="preserve">. </w:t>
      </w:r>
    </w:p>
    <w:p w14:paraId="13559900" w14:textId="03221890" w:rsidR="00712FCE" w:rsidRPr="004D2E7D" w:rsidRDefault="0026564F" w:rsidP="0026564F">
      <w:pPr>
        <w:pStyle w:val="ParaNumbering"/>
        <w:numPr>
          <w:ilvl w:val="0"/>
          <w:numId w:val="0"/>
        </w:numPr>
        <w:tabs>
          <w:tab w:val="left" w:pos="720"/>
        </w:tabs>
        <w:ind w:hanging="720"/>
      </w:pPr>
      <w:r w:rsidRPr="004D2E7D">
        <w:rPr>
          <w:sz w:val="20"/>
        </w:rPr>
        <w:t>51</w:t>
      </w:r>
      <w:r w:rsidRPr="004D2E7D">
        <w:rPr>
          <w:sz w:val="20"/>
        </w:rPr>
        <w:tab/>
      </w:r>
      <w:r w:rsidR="00712FCE" w:rsidRPr="004D2E7D">
        <w:t>Part 4 of the GTA sets out the offence provisions</w:t>
      </w:r>
      <w:r w:rsidR="00712FCE">
        <w:t>, the titles of which are set out below:</w:t>
      </w:r>
    </w:p>
    <w:p w14:paraId="55DB4182" w14:textId="77777777" w:rsidR="00712FCE" w:rsidRPr="004D2E7D" w:rsidRDefault="00712FCE" w:rsidP="00712FCE">
      <w:pPr>
        <w:pStyle w:val="Quote1"/>
      </w:pPr>
      <w:r w:rsidRPr="004D2E7D">
        <w:t xml:space="preserve">32. Person not to deal with a GMO without a licence </w:t>
      </w:r>
    </w:p>
    <w:p w14:paraId="576CEE05" w14:textId="77777777" w:rsidR="00712FCE" w:rsidRPr="004D2E7D" w:rsidRDefault="00712FCE" w:rsidP="00712FCE">
      <w:pPr>
        <w:pStyle w:val="Quote1"/>
      </w:pPr>
      <w:r w:rsidRPr="004D2E7D">
        <w:t xml:space="preserve">33. Person not to deal with a GMO without a licence – strict liability offence </w:t>
      </w:r>
    </w:p>
    <w:p w14:paraId="08F40ED6" w14:textId="77777777" w:rsidR="00712FCE" w:rsidRPr="004D2E7D" w:rsidRDefault="00712FCE" w:rsidP="00712FCE">
      <w:pPr>
        <w:pStyle w:val="Quote1"/>
      </w:pPr>
      <w:r w:rsidRPr="004D2E7D">
        <w:t xml:space="preserve">34. Person must not breach conditions of a GMO licence </w:t>
      </w:r>
    </w:p>
    <w:p w14:paraId="15E9D321" w14:textId="77777777" w:rsidR="00712FCE" w:rsidRPr="004D2E7D" w:rsidRDefault="00712FCE" w:rsidP="00712FCE">
      <w:pPr>
        <w:pStyle w:val="Quote1"/>
      </w:pPr>
      <w:r w:rsidRPr="004D2E7D">
        <w:t xml:space="preserve">35. Person must not breach conditions of a GMO licence – strict liability offence </w:t>
      </w:r>
    </w:p>
    <w:p w14:paraId="465552FC" w14:textId="77777777" w:rsidR="00712FCE" w:rsidRPr="004D2E7D" w:rsidRDefault="00712FCE" w:rsidP="00712FCE">
      <w:pPr>
        <w:pStyle w:val="Quote1"/>
      </w:pPr>
      <w:r w:rsidRPr="004D2E7D">
        <w:t xml:space="preserve">35A. Person must not breach conditions of emergency dealing determination </w:t>
      </w:r>
    </w:p>
    <w:p w14:paraId="525D57A6" w14:textId="77777777" w:rsidR="00712FCE" w:rsidRPr="004D2E7D" w:rsidRDefault="00712FCE" w:rsidP="00712FCE">
      <w:pPr>
        <w:pStyle w:val="Quote1"/>
      </w:pPr>
      <w:r w:rsidRPr="004D2E7D">
        <w:t xml:space="preserve">35B. Person must not breach conditions of emergency dealing determination – strict liability offence. </w:t>
      </w:r>
    </w:p>
    <w:p w14:paraId="61F86DCB" w14:textId="77777777" w:rsidR="00712FCE" w:rsidRPr="004D2E7D" w:rsidRDefault="00712FCE" w:rsidP="00712FCE">
      <w:pPr>
        <w:pStyle w:val="Quote1"/>
      </w:pPr>
      <w:r w:rsidRPr="004D2E7D">
        <w:t xml:space="preserve">36. Person must not breach conditions on GMO Register </w:t>
      </w:r>
    </w:p>
    <w:p w14:paraId="1298F391" w14:textId="77777777" w:rsidR="00712FCE" w:rsidRPr="004D2E7D" w:rsidRDefault="00712FCE" w:rsidP="00712FCE">
      <w:pPr>
        <w:pStyle w:val="Quote1"/>
      </w:pPr>
      <w:r w:rsidRPr="004D2E7D">
        <w:t xml:space="preserve">37. Offence relating to notifiable low risk dealings </w:t>
      </w:r>
    </w:p>
    <w:p w14:paraId="719F4168" w14:textId="727FA6A4" w:rsidR="00487DFC" w:rsidRDefault="00712FCE" w:rsidP="00C75B4B">
      <w:pPr>
        <w:pStyle w:val="Quote1"/>
      </w:pPr>
      <w:r w:rsidRPr="004D2E7D">
        <w:t xml:space="preserve">38. Aggravated offences – significant damage to health or safety of people or to the environment </w:t>
      </w:r>
    </w:p>
    <w:p w14:paraId="691DE008" w14:textId="7227FD02" w:rsidR="00712FCE" w:rsidRDefault="0026564F" w:rsidP="0026564F">
      <w:pPr>
        <w:pStyle w:val="ParaNumbering"/>
        <w:numPr>
          <w:ilvl w:val="0"/>
          <w:numId w:val="0"/>
        </w:numPr>
        <w:tabs>
          <w:tab w:val="left" w:pos="720"/>
        </w:tabs>
        <w:ind w:hanging="720"/>
      </w:pPr>
      <w:r>
        <w:rPr>
          <w:sz w:val="20"/>
        </w:rPr>
        <w:t>52</w:t>
      </w:r>
      <w:r>
        <w:rPr>
          <w:sz w:val="20"/>
        </w:rPr>
        <w:tab/>
      </w:r>
      <w:r w:rsidR="00712FCE">
        <w:t xml:space="preserve">As noted above, the applicant alleges that the respondents have contravened s 32 and s 33 by dealing with the vaccines without a licence. </w:t>
      </w:r>
    </w:p>
    <w:p w14:paraId="3A287D4E" w14:textId="757A5BFD" w:rsidR="00712FCE" w:rsidRDefault="0026564F" w:rsidP="0026564F">
      <w:pPr>
        <w:pStyle w:val="ParaNumbering"/>
        <w:numPr>
          <w:ilvl w:val="0"/>
          <w:numId w:val="0"/>
        </w:numPr>
        <w:tabs>
          <w:tab w:val="left" w:pos="720"/>
        </w:tabs>
        <w:ind w:hanging="720"/>
      </w:pPr>
      <w:r>
        <w:rPr>
          <w:sz w:val="20"/>
        </w:rPr>
        <w:t>53</w:t>
      </w:r>
      <w:r>
        <w:rPr>
          <w:sz w:val="20"/>
        </w:rPr>
        <w:tab/>
      </w:r>
      <w:r w:rsidR="00712FCE">
        <w:t>Section 32(1) relevantly provide</w:t>
      </w:r>
      <w:r w:rsidR="008C001D">
        <w:t>s</w:t>
      </w:r>
      <w:r w:rsidR="00712FCE">
        <w:t xml:space="preserve"> that a person commits an offence if </w:t>
      </w:r>
      <w:r w:rsidR="00A432C9">
        <w:t xml:space="preserve">(a) </w:t>
      </w:r>
      <w:r w:rsidR="00712FCE">
        <w:t>“the person deals with a GMO, knowing that it is a GMO</w:t>
      </w:r>
      <w:r w:rsidR="00A432C9">
        <w:t>”</w:t>
      </w:r>
      <w:r w:rsidR="00712FCE">
        <w:t xml:space="preserve"> and</w:t>
      </w:r>
      <w:r w:rsidR="00A432C9">
        <w:t xml:space="preserve"> (b)</w:t>
      </w:r>
      <w:r w:rsidR="00712FCE" w:rsidRPr="002E794F">
        <w:t xml:space="preserve"> </w:t>
      </w:r>
      <w:r w:rsidR="00A432C9">
        <w:t>“</w:t>
      </w:r>
      <w:r w:rsidR="00712FCE" w:rsidRPr="002E794F">
        <w:t>the dealing with the GMO by the person is not authorised by a GMO licence, and the person knows or is reckless as to that fact</w:t>
      </w:r>
      <w:r w:rsidR="00712FCE">
        <w:t xml:space="preserve">” and then specifies a number of further requirements. Section 33 is worded in similar terms but is a strict liability offence. </w:t>
      </w:r>
    </w:p>
    <w:p w14:paraId="6C05BCF4" w14:textId="747CDEC0" w:rsidR="00346CAF" w:rsidRDefault="0026564F" w:rsidP="0026564F">
      <w:pPr>
        <w:pStyle w:val="ParaNumbering"/>
        <w:numPr>
          <w:ilvl w:val="0"/>
          <w:numId w:val="0"/>
        </w:numPr>
        <w:tabs>
          <w:tab w:val="left" w:pos="720"/>
        </w:tabs>
        <w:ind w:hanging="720"/>
      </w:pPr>
      <w:r>
        <w:rPr>
          <w:sz w:val="20"/>
        </w:rPr>
        <w:t>54</w:t>
      </w:r>
      <w:r>
        <w:rPr>
          <w:sz w:val="20"/>
        </w:rPr>
        <w:tab/>
      </w:r>
      <w:r w:rsidR="00712FCE">
        <w:t xml:space="preserve">Sections 32 and 33 only make it </w:t>
      </w:r>
      <w:r w:rsidR="00D97DCD">
        <w:t xml:space="preserve">an </w:t>
      </w:r>
      <w:r w:rsidR="00712FCE">
        <w:t xml:space="preserve">offence for specified dealings to be undertaken without a licence. That is, s 32 and s 33, like all the other offences provided by the Act, are confined to the specified dealings defined in s 10. </w:t>
      </w:r>
      <w:r w:rsidR="00346CAF">
        <w:t>Part 5, which sets out the licensing system under the Act, and Div 3 of Pt 6, which sets out the GMO register, is similarly confined to “dealings” as defined by s 10.</w:t>
      </w:r>
    </w:p>
    <w:p w14:paraId="3E5BF07A" w14:textId="3312D4DD" w:rsidR="00712FCE" w:rsidRDefault="0026564F" w:rsidP="0026564F">
      <w:pPr>
        <w:pStyle w:val="ParaNumbering"/>
        <w:numPr>
          <w:ilvl w:val="0"/>
          <w:numId w:val="0"/>
        </w:numPr>
        <w:tabs>
          <w:tab w:val="left" w:pos="720"/>
        </w:tabs>
        <w:ind w:hanging="720"/>
      </w:pPr>
      <w:r>
        <w:rPr>
          <w:sz w:val="20"/>
        </w:rPr>
        <w:lastRenderedPageBreak/>
        <w:t>55</w:t>
      </w:r>
      <w:r>
        <w:rPr>
          <w:sz w:val="20"/>
        </w:rPr>
        <w:tab/>
      </w:r>
      <w:r w:rsidR="00712FCE" w:rsidRPr="004D2E7D">
        <w:t xml:space="preserve">It is not an offence </w:t>
      </w:r>
      <w:r w:rsidR="009152EB">
        <w:t>against</w:t>
      </w:r>
      <w:r w:rsidR="009152EB" w:rsidRPr="004D2E7D">
        <w:t xml:space="preserve"> </w:t>
      </w:r>
      <w:r w:rsidR="00712FCE" w:rsidRPr="004D2E7D">
        <w:t xml:space="preserve">the GTA for anyone to administer, supply for administration, or facilitate the administration of a GMO without a licence. </w:t>
      </w:r>
      <w:r w:rsidR="00712FCE">
        <w:t xml:space="preserve">That is because the </w:t>
      </w:r>
      <w:r w:rsidR="00712FCE" w:rsidRPr="00463E77">
        <w:t>definition</w:t>
      </w:r>
      <w:r w:rsidR="00712FCE">
        <w:t xml:space="preserve"> of “deal with” in s 10</w:t>
      </w:r>
      <w:r w:rsidR="00712FCE" w:rsidRPr="00463E77">
        <w:t xml:space="preserve"> makes no reference to the use or administration of a GMO for its ultimate intended purpose</w:t>
      </w:r>
      <w:r w:rsidR="00722F75">
        <w:t>,</w:t>
      </w:r>
      <w:r w:rsidR="00712FCE" w:rsidRPr="00463E77">
        <w:t xml:space="preserve"> such as consumption or ingestion</w:t>
      </w:r>
      <w:r w:rsidR="00712FCE">
        <w:t xml:space="preserve"> in the case of GMO food</w:t>
      </w:r>
      <w:r w:rsidR="00676F3A">
        <w:t>,</w:t>
      </w:r>
      <w:r w:rsidR="00712FCE" w:rsidRPr="00463E77">
        <w:t xml:space="preserve"> or administration of GMO products to patients</w:t>
      </w:r>
      <w:r w:rsidR="00346CAF">
        <w:t xml:space="preserve"> </w:t>
      </w:r>
      <w:r w:rsidR="00346CAF" w:rsidRPr="00463E77">
        <w:t>in the case of medication</w:t>
      </w:r>
      <w:r w:rsidR="00712FCE" w:rsidRPr="00463E77">
        <w:t xml:space="preserve">. </w:t>
      </w:r>
      <w:r w:rsidR="00712FCE">
        <w:t>That observation is critical because</w:t>
      </w:r>
      <w:r w:rsidR="001127FB">
        <w:t>, as will be discussed below,</w:t>
      </w:r>
      <w:r w:rsidR="00712FCE">
        <w:t xml:space="preserve"> the applicant’s </w:t>
      </w:r>
      <w:r w:rsidR="001127FB">
        <w:t xml:space="preserve">various </w:t>
      </w:r>
      <w:r w:rsidR="00712FCE">
        <w:t>bas</w:t>
      </w:r>
      <w:r w:rsidR="0099549B">
        <w:t>es</w:t>
      </w:r>
      <w:r w:rsidR="00712FCE">
        <w:t xml:space="preserve"> for standing </w:t>
      </w:r>
      <w:r w:rsidR="001127FB">
        <w:t xml:space="preserve">all </w:t>
      </w:r>
      <w:r w:rsidR="00712FCE">
        <w:t>depend on concerns regarding the safety of administering GMO vaccines to patients</w:t>
      </w:r>
      <w:r w:rsidR="00722F75">
        <w:t xml:space="preserve"> and</w:t>
      </w:r>
      <w:r w:rsidR="00712FCE">
        <w:t xml:space="preserve"> not, for example, the risks posed by the transportation and disposal of GMO vaccines. The applicant nonetheless contends that the Act is concerned with the ultimate intended purpose of the GMO and the risks posed to consumers. </w:t>
      </w:r>
    </w:p>
    <w:p w14:paraId="0E38363D" w14:textId="5A56128F" w:rsidR="008E25E5" w:rsidRDefault="0026564F" w:rsidP="0026564F">
      <w:pPr>
        <w:pStyle w:val="Heading6"/>
        <w:numPr>
          <w:ilvl w:val="0"/>
          <w:numId w:val="0"/>
        </w:numPr>
        <w:tabs>
          <w:tab w:val="left" w:pos="1134"/>
        </w:tabs>
        <w:ind w:left="1134" w:hanging="1134"/>
      </w:pPr>
      <w:r>
        <w:t>5.4</w:t>
      </w:r>
      <w:r>
        <w:tab/>
      </w:r>
      <w:r w:rsidR="0054753C">
        <w:t>Purpose</w:t>
      </w:r>
      <w:r w:rsidR="000F3034">
        <w:t xml:space="preserve"> of the Act</w:t>
      </w:r>
    </w:p>
    <w:p w14:paraId="7FA52E31" w14:textId="63554C1E" w:rsidR="000B2CC1" w:rsidRDefault="0026564F" w:rsidP="0026564F">
      <w:pPr>
        <w:pStyle w:val="ParaNumbering"/>
        <w:numPr>
          <w:ilvl w:val="0"/>
          <w:numId w:val="0"/>
        </w:numPr>
        <w:ind w:hanging="720"/>
      </w:pPr>
      <w:r>
        <w:rPr>
          <w:sz w:val="20"/>
        </w:rPr>
        <w:t>56</w:t>
      </w:r>
      <w:r>
        <w:rPr>
          <w:sz w:val="20"/>
        </w:rPr>
        <w:tab/>
      </w:r>
      <w:r w:rsidR="005C4D9A">
        <w:t xml:space="preserve">The </w:t>
      </w:r>
      <w:r w:rsidR="00A14CE4">
        <w:t xml:space="preserve">object of the </w:t>
      </w:r>
      <w:r w:rsidR="005C4D9A" w:rsidRPr="00C32445">
        <w:t xml:space="preserve">Act </w:t>
      </w:r>
      <w:r w:rsidR="00355FAC">
        <w:t>in s 3</w:t>
      </w:r>
      <w:r w:rsidR="005C4D9A" w:rsidRPr="00C32445">
        <w:t xml:space="preserve"> </w:t>
      </w:r>
      <w:r w:rsidR="00A14CE4">
        <w:t>makes clear that the Act</w:t>
      </w:r>
      <w:r w:rsidR="007E263A">
        <w:t xml:space="preserve"> </w:t>
      </w:r>
      <w:r w:rsidR="005C4D9A">
        <w:t xml:space="preserve">is </w:t>
      </w:r>
      <w:r w:rsidR="00713BB1">
        <w:t>intended</w:t>
      </w:r>
      <w:r w:rsidR="00713BB1" w:rsidRPr="00C32445">
        <w:t xml:space="preserve"> </w:t>
      </w:r>
      <w:r w:rsidR="005C4D9A" w:rsidRPr="00C32445">
        <w:t xml:space="preserve">to protect </w:t>
      </w:r>
      <w:r w:rsidR="005C4D9A">
        <w:t xml:space="preserve">the </w:t>
      </w:r>
      <w:r w:rsidR="005C4D9A" w:rsidRPr="00C32445">
        <w:t xml:space="preserve">health and safety </w:t>
      </w:r>
      <w:r w:rsidR="005C4D9A">
        <w:t xml:space="preserve">of people </w:t>
      </w:r>
      <w:r w:rsidR="005C4D9A" w:rsidRPr="00C32445">
        <w:t>and the environment</w:t>
      </w:r>
      <w:r w:rsidR="005C4D9A">
        <w:t xml:space="preserve">. Many acts seek to protect the health and safety of the public or the environment in a general sense, such as various state road safety acts, environmental legislation and occupational health and safety legislation. However, </w:t>
      </w:r>
      <w:r w:rsidR="005C4D9A" w:rsidRPr="00AD387E">
        <w:t>that</w:t>
      </w:r>
      <w:r w:rsidR="005C4D9A">
        <w:t xml:space="preserve"> general objective of protecting health and safety or the environment is typically qualified in these acts by some particular risk and specific means of managing that risk —</w:t>
      </w:r>
      <w:r w:rsidR="005C4D9A" w:rsidRPr="00C32445">
        <w:t xml:space="preserve"> </w:t>
      </w:r>
      <w:r w:rsidR="00794DAC">
        <w:t>they are</w:t>
      </w:r>
      <w:r w:rsidR="005C4D9A" w:rsidRPr="00C32445">
        <w:t xml:space="preserve"> not </w:t>
      </w:r>
      <w:r w:rsidR="005C4D9A">
        <w:t xml:space="preserve">concerned with protecting health and safety </w:t>
      </w:r>
      <w:r w:rsidR="005C4D9A" w:rsidRPr="00C32445">
        <w:t xml:space="preserve">at large. </w:t>
      </w:r>
    </w:p>
    <w:p w14:paraId="6481986D" w14:textId="5173D23D" w:rsidR="005C4D9A" w:rsidRDefault="0026564F" w:rsidP="0026564F">
      <w:pPr>
        <w:pStyle w:val="ParaNumbering"/>
        <w:numPr>
          <w:ilvl w:val="0"/>
          <w:numId w:val="0"/>
        </w:numPr>
        <w:ind w:hanging="720"/>
      </w:pPr>
      <w:r>
        <w:rPr>
          <w:sz w:val="20"/>
        </w:rPr>
        <w:t>57</w:t>
      </w:r>
      <w:r>
        <w:rPr>
          <w:sz w:val="20"/>
        </w:rPr>
        <w:tab/>
      </w:r>
      <w:r w:rsidR="0058173D">
        <w:t>I consider that t</w:t>
      </w:r>
      <w:r w:rsidR="005C4D9A">
        <w:t>he GTA seeks to protect the</w:t>
      </w:r>
      <w:r w:rsidR="005C4D9A" w:rsidRPr="00C32445">
        <w:t xml:space="preserve"> health and safety of people</w:t>
      </w:r>
      <w:r w:rsidR="005C4D9A">
        <w:t xml:space="preserve"> in a limited sense only, </w:t>
      </w:r>
      <w:r w:rsidR="005C4D9A" w:rsidRPr="00C32445">
        <w:t xml:space="preserve">by identifying certain risks posed by gene technology </w:t>
      </w:r>
      <w:r w:rsidR="00794DAC">
        <w:t>(</w:t>
      </w:r>
      <w:r w:rsidR="005C4D9A" w:rsidRPr="00C32445">
        <w:t>not all risks</w:t>
      </w:r>
      <w:r w:rsidR="00794DAC">
        <w:t>)</w:t>
      </w:r>
      <w:r w:rsidR="005C4D9A" w:rsidRPr="00C32445">
        <w:t xml:space="preserve"> and managing those risks through regulating certain dealings with GMOs.</w:t>
      </w:r>
      <w:r w:rsidR="005C4D9A">
        <w:t xml:space="preserve"> The </w:t>
      </w:r>
      <w:r w:rsidR="005C4D9A" w:rsidRPr="004236E8">
        <w:rPr>
          <w:lang w:eastAsia="en-AU"/>
        </w:rPr>
        <w:t xml:space="preserve">mischief which the statute was designed to overcome </w:t>
      </w:r>
      <w:r w:rsidR="00355FAC">
        <w:rPr>
          <w:lang w:eastAsia="en-AU"/>
        </w:rPr>
        <w:t>was</w:t>
      </w:r>
      <w:r w:rsidR="005C4D9A">
        <w:t>, as explained below, to fill gaps with respect to the regulation of GMOs as part of a broader regulatory scheme</w:t>
      </w:r>
      <w:r w:rsidR="009D7C59">
        <w:t>.</w:t>
      </w:r>
      <w:r w:rsidR="005C4D9A">
        <w:t xml:space="preserve"> </w:t>
      </w:r>
      <w:r w:rsidR="00355FAC">
        <w:t>The Act was</w:t>
      </w:r>
      <w:r w:rsidR="005C4D9A">
        <w:t xml:space="preserve"> not</w:t>
      </w:r>
      <w:r w:rsidR="00355FAC">
        <w:t>, and</w:t>
      </w:r>
      <w:r w:rsidR="005C4D9A">
        <w:t xml:space="preserve"> is not</w:t>
      </w:r>
      <w:r w:rsidR="00355FAC">
        <w:t>,</w:t>
      </w:r>
      <w:r w:rsidR="005C4D9A">
        <w:t xml:space="preserve"> intended to operate as the sole statute that regulates each and every issue with respect to GMOs. </w:t>
      </w:r>
    </w:p>
    <w:p w14:paraId="5AC18AF4" w14:textId="5F8020B6" w:rsidR="005C4D9A" w:rsidRDefault="0026564F" w:rsidP="0026564F">
      <w:pPr>
        <w:pStyle w:val="ParaNumbering"/>
        <w:numPr>
          <w:ilvl w:val="0"/>
          <w:numId w:val="0"/>
        </w:numPr>
        <w:ind w:hanging="720"/>
      </w:pPr>
      <w:r>
        <w:rPr>
          <w:sz w:val="20"/>
        </w:rPr>
        <w:t>58</w:t>
      </w:r>
      <w:r>
        <w:rPr>
          <w:sz w:val="20"/>
        </w:rPr>
        <w:tab/>
      </w:r>
      <w:r w:rsidR="005C4D9A">
        <w:t>The applicant contends</w:t>
      </w:r>
      <w:r w:rsidR="0058173D">
        <w:t xml:space="preserve"> </w:t>
      </w:r>
      <w:r w:rsidR="005C4D9A">
        <w:t>that the object in s 3 to “protect the health and safety of people” is unlimited and not qualified by the means sought to achieve that purpose. The thrust of much of the applicant’s submissions proceeded on the basis that</w:t>
      </w:r>
      <w:r w:rsidR="00DB68E9">
        <w:t xml:space="preserve"> his</w:t>
      </w:r>
      <w:r w:rsidR="005C4D9A">
        <w:t xml:space="preserve"> standing could be established merely because Dr Fidge’s purpose as a doctor aligns with the purpose of the Act. As the applicant’s counsel</w:t>
      </w:r>
      <w:r w:rsidR="00961F2D">
        <w:t>,</w:t>
      </w:r>
      <w:r w:rsidR="005C4D9A">
        <w:t xml:space="preserve"> Mr Manner</w:t>
      </w:r>
      <w:r w:rsidR="00961F2D">
        <w:t>,</w:t>
      </w:r>
      <w:r w:rsidR="005C4D9A">
        <w:t xml:space="preserve"> put it: “</w:t>
      </w:r>
      <w:r w:rsidR="005C4D9A" w:rsidRPr="00527327">
        <w:t>The Act is directed towards the health and safety of Australians, and so is Dr Fidge</w:t>
      </w:r>
      <w:r w:rsidR="005C4D9A">
        <w:t>”</w:t>
      </w:r>
      <w:r w:rsidR="00DB68E9">
        <w:t>.</w:t>
      </w:r>
    </w:p>
    <w:p w14:paraId="4DFC880F" w14:textId="772B9F03" w:rsidR="005C4D9A" w:rsidRPr="00FD36E3" w:rsidRDefault="0026564F" w:rsidP="0026564F">
      <w:pPr>
        <w:pStyle w:val="ParaNumbering"/>
        <w:numPr>
          <w:ilvl w:val="0"/>
          <w:numId w:val="0"/>
        </w:numPr>
        <w:ind w:hanging="720"/>
      </w:pPr>
      <w:r w:rsidRPr="00FD36E3">
        <w:rPr>
          <w:sz w:val="20"/>
        </w:rPr>
        <w:t>59</w:t>
      </w:r>
      <w:r w:rsidRPr="00FD36E3">
        <w:rPr>
          <w:sz w:val="20"/>
        </w:rPr>
        <w:tab/>
      </w:r>
      <w:r w:rsidR="005C4D9A" w:rsidRPr="00FD36E3">
        <w:t xml:space="preserve">However, even if I were to accept that the purpose of the Act was simply to “protect the health and safety of people” in an unqualified sense, that does not take the applicant very far. Standing </w:t>
      </w:r>
      <w:r w:rsidR="005C4D9A" w:rsidRPr="00FD36E3">
        <w:lastRenderedPageBreak/>
        <w:t xml:space="preserve">under the Act is not derived from a person being able to identify that their interests align with the general purpose of the Act. Standing is conferred by s 147(1) which requires that a person show they are aggrieved by “conduct that is or would be an offence </w:t>
      </w:r>
      <w:r w:rsidR="00DC19FE">
        <w:t>against</w:t>
      </w:r>
      <w:r w:rsidR="00DC19FE" w:rsidRPr="00FD36E3">
        <w:t xml:space="preserve"> </w:t>
      </w:r>
      <w:r w:rsidR="00DC19FE">
        <w:t>this</w:t>
      </w:r>
      <w:r w:rsidR="005C4D9A" w:rsidRPr="00FD36E3">
        <w:t xml:space="preserve"> Act”. </w:t>
      </w:r>
    </w:p>
    <w:p w14:paraId="69D28B4B" w14:textId="06E415F9" w:rsidR="00D864F2" w:rsidRDefault="0026564F" w:rsidP="0026564F">
      <w:pPr>
        <w:pStyle w:val="ParaNumbering"/>
        <w:numPr>
          <w:ilvl w:val="0"/>
          <w:numId w:val="0"/>
        </w:numPr>
        <w:tabs>
          <w:tab w:val="left" w:pos="720"/>
        </w:tabs>
        <w:ind w:hanging="720"/>
      </w:pPr>
      <w:r>
        <w:rPr>
          <w:sz w:val="20"/>
        </w:rPr>
        <w:t>60</w:t>
      </w:r>
      <w:r>
        <w:rPr>
          <w:sz w:val="20"/>
        </w:rPr>
        <w:tab/>
      </w:r>
      <w:r w:rsidR="00D864F2">
        <w:t>The fact that there are activities or conduct relating to GMOs that do not fall within the scope of the “dealings” regulated by the GTA is no legislative oversight. Section 4</w:t>
      </w:r>
      <w:r w:rsidR="00E94206">
        <w:t>(b) and its accompanying note</w:t>
      </w:r>
      <w:r w:rsidR="00D864F2">
        <w:t xml:space="preserve"> (set out above) explains that the GTA is not the exclusive regulatory regime applicable to GMOs but is intended to operate in conjunction with other statutory schemes, including the scheme to regulate therapeutic goods</w:t>
      </w:r>
      <w:r w:rsidR="00D7716B">
        <w:t>,</w:t>
      </w:r>
      <w:r w:rsidR="00D864F2">
        <w:t xml:space="preserve"> such as vaccines, established under the </w:t>
      </w:r>
      <w:r w:rsidR="00D864F2" w:rsidRPr="003D3252">
        <w:t>Therapeutic Goods Act</w:t>
      </w:r>
      <w:r w:rsidR="00D864F2">
        <w:t>.</w:t>
      </w:r>
    </w:p>
    <w:p w14:paraId="549EB022" w14:textId="2ED04497" w:rsidR="00867699" w:rsidRDefault="0026564F" w:rsidP="0026564F">
      <w:pPr>
        <w:pStyle w:val="ParaNumbering"/>
        <w:numPr>
          <w:ilvl w:val="0"/>
          <w:numId w:val="0"/>
        </w:numPr>
        <w:tabs>
          <w:tab w:val="left" w:pos="720"/>
        </w:tabs>
        <w:ind w:hanging="720"/>
      </w:pPr>
      <w:r>
        <w:rPr>
          <w:sz w:val="20"/>
        </w:rPr>
        <w:t>61</w:t>
      </w:r>
      <w:r>
        <w:rPr>
          <w:sz w:val="20"/>
        </w:rPr>
        <w:tab/>
      </w:r>
      <w:r w:rsidR="00D864F2">
        <w:t xml:space="preserve">Section 4(b) is a clear recognition that </w:t>
      </w:r>
      <w:r w:rsidR="00D864F2" w:rsidRPr="00A54D91">
        <w:t>the Act does not cover the field in respect of GMOs.</w:t>
      </w:r>
      <w:r w:rsidR="00D864F2">
        <w:t xml:space="preserve"> The legislative history and mischief that the Act was intended to address, as identified in the Explanatory Memorandum, strongly supports this conception of the Act as one piece in a broader regulatory approach to GMOs, not a one stop shop for all issues related to GMOs.</w:t>
      </w:r>
    </w:p>
    <w:p w14:paraId="6F8A6E4A" w14:textId="54B7EB72" w:rsidR="001413D6" w:rsidRPr="00E715BC" w:rsidRDefault="0026564F" w:rsidP="0026564F">
      <w:pPr>
        <w:pStyle w:val="Heading6"/>
        <w:numPr>
          <w:ilvl w:val="0"/>
          <w:numId w:val="0"/>
        </w:numPr>
        <w:tabs>
          <w:tab w:val="left" w:pos="1134"/>
        </w:tabs>
        <w:ind w:left="1134" w:hanging="1134"/>
      </w:pPr>
      <w:r w:rsidRPr="00E715BC">
        <w:t>5.5</w:t>
      </w:r>
      <w:r w:rsidRPr="00E715BC">
        <w:tab/>
      </w:r>
      <w:r w:rsidR="001413D6">
        <w:t xml:space="preserve">Context </w:t>
      </w:r>
    </w:p>
    <w:p w14:paraId="2CB5FCE7" w14:textId="59DED5AB" w:rsidR="001413D6" w:rsidRDefault="0026564F" w:rsidP="0026564F">
      <w:pPr>
        <w:pStyle w:val="ParaNumbering"/>
        <w:numPr>
          <w:ilvl w:val="0"/>
          <w:numId w:val="0"/>
        </w:numPr>
        <w:ind w:hanging="720"/>
      </w:pPr>
      <w:r>
        <w:rPr>
          <w:sz w:val="20"/>
        </w:rPr>
        <w:t>62</w:t>
      </w:r>
      <w:r>
        <w:rPr>
          <w:sz w:val="20"/>
        </w:rPr>
        <w:tab/>
      </w:r>
      <w:r w:rsidR="001413D6">
        <w:t>The</w:t>
      </w:r>
      <w:r w:rsidR="00724C6F" w:rsidRPr="00E10E08">
        <w:rPr>
          <w:i/>
          <w:iCs/>
          <w:lang w:eastAsia="en-AU"/>
        </w:rPr>
        <w:t xml:space="preserve"> </w:t>
      </w:r>
      <w:r w:rsidR="00724C6F">
        <w:rPr>
          <w:lang w:eastAsia="en-AU"/>
        </w:rPr>
        <w:t xml:space="preserve">context </w:t>
      </w:r>
      <w:r w:rsidR="001413D6">
        <w:t>in which the GTA was introduced confirms the confined scope of dealings intended to give rise to an offence under the legislation, which may in turn provide an aggrieved person with standing under s 147</w:t>
      </w:r>
      <w:r w:rsidR="00792BC7">
        <w:t>(1)</w:t>
      </w:r>
      <w:r w:rsidR="001413D6">
        <w:t>.</w:t>
      </w:r>
    </w:p>
    <w:p w14:paraId="7E7198A2" w14:textId="2796A904" w:rsidR="001413D6" w:rsidRPr="00463E77" w:rsidRDefault="0026564F" w:rsidP="0026564F">
      <w:pPr>
        <w:pStyle w:val="ParaNumbering"/>
        <w:numPr>
          <w:ilvl w:val="0"/>
          <w:numId w:val="0"/>
        </w:numPr>
        <w:ind w:hanging="720"/>
      </w:pPr>
      <w:r w:rsidRPr="00463E77">
        <w:rPr>
          <w:sz w:val="20"/>
        </w:rPr>
        <w:t>63</w:t>
      </w:r>
      <w:r w:rsidRPr="00463E77">
        <w:rPr>
          <w:sz w:val="20"/>
        </w:rPr>
        <w:tab/>
      </w:r>
      <w:r w:rsidR="001413D6">
        <w:t xml:space="preserve">Gene technology has been utilised in research and commercial applications in Australia for several decades. When the </w:t>
      </w:r>
      <w:r w:rsidR="001413D6" w:rsidRPr="0064011A">
        <w:t xml:space="preserve">Gene Technology </w:t>
      </w:r>
      <w:r w:rsidR="001413D6" w:rsidRPr="004678EE">
        <w:rPr>
          <w:b/>
          <w:bCs/>
        </w:rPr>
        <w:t>Bill</w:t>
      </w:r>
      <w:r w:rsidR="001413D6" w:rsidRPr="0064011A">
        <w:t xml:space="preserve"> 2000</w:t>
      </w:r>
      <w:r w:rsidR="001413D6">
        <w:t xml:space="preserve"> (</w:t>
      </w:r>
      <w:proofErr w:type="spellStart"/>
      <w:r w:rsidR="001413D6">
        <w:t>Cth</w:t>
      </w:r>
      <w:proofErr w:type="spellEnd"/>
      <w:r w:rsidR="001413D6">
        <w:t>) was introduced, gene technology was already regulated by the following statutory regulators:</w:t>
      </w:r>
    </w:p>
    <w:tbl>
      <w:tblPr>
        <w:tblStyle w:val="PlainTable2"/>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000" w:firstRow="0" w:lastRow="0" w:firstColumn="0" w:lastColumn="0" w:noHBand="0" w:noVBand="0"/>
      </w:tblPr>
      <w:tblGrid>
        <w:gridCol w:w="4195"/>
        <w:gridCol w:w="4195"/>
      </w:tblGrid>
      <w:tr w:rsidR="001413D6" w14:paraId="5ED17DD2" w14:textId="77777777" w:rsidTr="00077A5B">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66F96B1F"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b/>
                <w:bCs/>
              </w:rPr>
              <w:t xml:space="preserve">Application </w:t>
            </w:r>
          </w:p>
        </w:tc>
        <w:tc>
          <w:tcPr>
            <w:cnfStyle w:val="000001000000" w:firstRow="0" w:lastRow="0" w:firstColumn="0" w:lastColumn="0" w:oddVBand="0" w:evenVBand="1"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098F703D"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b/>
                <w:bCs/>
              </w:rPr>
              <w:t xml:space="preserve">Statutory regulator </w:t>
            </w:r>
          </w:p>
        </w:tc>
      </w:tr>
      <w:tr w:rsidR="001413D6" w14:paraId="21882F39" w14:textId="77777777" w:rsidTr="00077A5B">
        <w:trPr>
          <w:trHeight w:val="80"/>
        </w:trPr>
        <w:tc>
          <w:tcPr>
            <w:cnfStyle w:val="000010000000" w:firstRow="0" w:lastRow="0" w:firstColumn="0" w:lastColumn="0" w:oddVBand="1" w:evenVBand="0" w:oddHBand="0" w:evenHBand="0" w:firstRowFirstColumn="0" w:firstRowLastColumn="0" w:lastRowFirstColumn="0" w:lastRowLastColumn="0"/>
            <w:tcW w:w="4195" w:type="dxa"/>
            <w:tcBorders>
              <w:left w:val="none" w:sz="0" w:space="0" w:color="auto"/>
              <w:right w:val="none" w:sz="0" w:space="0" w:color="auto"/>
            </w:tcBorders>
          </w:tcPr>
          <w:p w14:paraId="25D4BAD5"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Foods </w:t>
            </w:r>
          </w:p>
        </w:tc>
        <w:tc>
          <w:tcPr>
            <w:cnfStyle w:val="000001000000" w:firstRow="0" w:lastRow="0" w:firstColumn="0" w:lastColumn="0" w:oddVBand="0" w:evenVBand="1" w:oddHBand="0" w:evenHBand="0" w:firstRowFirstColumn="0" w:firstRowLastColumn="0" w:lastRowFirstColumn="0" w:lastRowLastColumn="0"/>
            <w:tcW w:w="4195" w:type="dxa"/>
            <w:tcBorders>
              <w:left w:val="none" w:sz="0" w:space="0" w:color="auto"/>
              <w:right w:val="none" w:sz="0" w:space="0" w:color="auto"/>
            </w:tcBorders>
          </w:tcPr>
          <w:p w14:paraId="6D10332D" w14:textId="6CEE8BB7" w:rsidR="001413D6" w:rsidRPr="004D2E7D" w:rsidRDefault="001413D6">
            <w:pPr>
              <w:pStyle w:val="Default"/>
              <w:rPr>
                <w:rFonts w:ascii="Times New Roman" w:hAnsi="Times New Roman" w:cs="Times New Roman"/>
              </w:rPr>
            </w:pPr>
            <w:r w:rsidRPr="004D2E7D">
              <w:rPr>
                <w:rFonts w:ascii="Times New Roman" w:hAnsi="Times New Roman" w:cs="Times New Roman"/>
              </w:rPr>
              <w:t>Australia New Zealand Food Authority</w:t>
            </w:r>
            <w:r w:rsidR="00315C4D">
              <w:rPr>
                <w:rFonts w:ascii="Times New Roman" w:hAnsi="Times New Roman" w:cs="Times New Roman"/>
              </w:rPr>
              <w:t xml:space="preserve"> (</w:t>
            </w:r>
            <w:r w:rsidR="00315C4D">
              <w:rPr>
                <w:rFonts w:ascii="Times New Roman" w:hAnsi="Times New Roman" w:cs="Times New Roman"/>
                <w:b/>
                <w:bCs/>
              </w:rPr>
              <w:t>ANZFA</w:t>
            </w:r>
            <w:r w:rsidR="00315C4D" w:rsidRPr="003D3252">
              <w:rPr>
                <w:rFonts w:ascii="Times New Roman" w:hAnsi="Times New Roman" w:cs="Times New Roman"/>
              </w:rPr>
              <w:t>)</w:t>
            </w:r>
          </w:p>
        </w:tc>
      </w:tr>
      <w:tr w:rsidR="001413D6" w14:paraId="7AD4CCD1" w14:textId="77777777" w:rsidTr="00077A5B">
        <w:trPr>
          <w:cnfStyle w:val="000000100000" w:firstRow="0" w:lastRow="0" w:firstColumn="0" w:lastColumn="0" w:oddVBand="0" w:evenVBand="0" w:oddHBand="1" w:evenHBand="0" w:firstRowFirstColumn="0" w:firstRowLastColumn="0" w:lastRowFirstColumn="0" w:lastRowLastColumn="0"/>
          <w:trHeight w:val="179"/>
        </w:trPr>
        <w:tc>
          <w:tcPr>
            <w:cnfStyle w:val="000010000000" w:firstRow="0" w:lastRow="0" w:firstColumn="0" w:lastColumn="0" w:oddVBand="1" w:evenVBand="0"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00886A83"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Therapeutic goods and human gene therapy </w:t>
            </w:r>
          </w:p>
        </w:tc>
        <w:tc>
          <w:tcPr>
            <w:cnfStyle w:val="000001000000" w:firstRow="0" w:lastRow="0" w:firstColumn="0" w:lastColumn="0" w:oddVBand="0" w:evenVBand="1"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0C6ADE0A" w14:textId="30FFE1F9" w:rsidR="001413D6" w:rsidRPr="004678EE" w:rsidRDefault="001413D6">
            <w:pPr>
              <w:pStyle w:val="Default"/>
              <w:rPr>
                <w:rFonts w:ascii="Times New Roman" w:hAnsi="Times New Roman" w:cs="Times New Roman"/>
                <w:u w:val="words"/>
              </w:rPr>
            </w:pPr>
            <w:r w:rsidRPr="004D2E7D">
              <w:rPr>
                <w:rFonts w:ascii="Times New Roman" w:hAnsi="Times New Roman" w:cs="Times New Roman"/>
              </w:rPr>
              <w:t>Therapeutic Goods Administration</w:t>
            </w:r>
          </w:p>
        </w:tc>
      </w:tr>
      <w:tr w:rsidR="001413D6" w14:paraId="4A5DE60C" w14:textId="77777777" w:rsidTr="00077A5B">
        <w:trPr>
          <w:trHeight w:val="80"/>
        </w:trPr>
        <w:tc>
          <w:tcPr>
            <w:cnfStyle w:val="000010000000" w:firstRow="0" w:lastRow="0" w:firstColumn="0" w:lastColumn="0" w:oddVBand="1" w:evenVBand="0" w:oddHBand="0" w:evenHBand="0" w:firstRowFirstColumn="0" w:firstRowLastColumn="0" w:lastRowFirstColumn="0" w:lastRowLastColumn="0"/>
            <w:tcW w:w="4195" w:type="dxa"/>
            <w:tcBorders>
              <w:left w:val="none" w:sz="0" w:space="0" w:color="auto"/>
              <w:right w:val="none" w:sz="0" w:space="0" w:color="auto"/>
            </w:tcBorders>
          </w:tcPr>
          <w:p w14:paraId="50C2798E"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Agricultural and veterinary chemicals </w:t>
            </w:r>
          </w:p>
        </w:tc>
        <w:tc>
          <w:tcPr>
            <w:cnfStyle w:val="000001000000" w:firstRow="0" w:lastRow="0" w:firstColumn="0" w:lastColumn="0" w:oddVBand="0" w:evenVBand="1" w:oddHBand="0" w:evenHBand="0" w:firstRowFirstColumn="0" w:firstRowLastColumn="0" w:lastRowFirstColumn="0" w:lastRowLastColumn="0"/>
            <w:tcW w:w="4195" w:type="dxa"/>
            <w:tcBorders>
              <w:left w:val="none" w:sz="0" w:space="0" w:color="auto"/>
              <w:right w:val="none" w:sz="0" w:space="0" w:color="auto"/>
            </w:tcBorders>
          </w:tcPr>
          <w:p w14:paraId="4FBE15FA"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National Registration Authority </w:t>
            </w:r>
          </w:p>
        </w:tc>
      </w:tr>
      <w:tr w:rsidR="001413D6" w14:paraId="49E56C79" w14:textId="77777777" w:rsidTr="00077A5B">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0F4F261D"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Industrial chemicals </w:t>
            </w:r>
          </w:p>
        </w:tc>
        <w:tc>
          <w:tcPr>
            <w:cnfStyle w:val="000001000000" w:firstRow="0" w:lastRow="0" w:firstColumn="0" w:lastColumn="0" w:oddVBand="0" w:evenVBand="1" w:oddHBand="0" w:evenHBand="0" w:firstRowFirstColumn="0" w:firstRowLastColumn="0" w:lastRowFirstColumn="0" w:lastRowLastColumn="0"/>
            <w:tcW w:w="4195" w:type="dxa"/>
            <w:tcBorders>
              <w:top w:val="none" w:sz="0" w:space="0" w:color="auto"/>
              <w:left w:val="none" w:sz="0" w:space="0" w:color="auto"/>
              <w:bottom w:val="none" w:sz="0" w:space="0" w:color="auto"/>
              <w:right w:val="none" w:sz="0" w:space="0" w:color="auto"/>
            </w:tcBorders>
          </w:tcPr>
          <w:p w14:paraId="6A75F283" w14:textId="7777777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National Industrial Chemicals Notification and Assessment Scheme </w:t>
            </w:r>
          </w:p>
        </w:tc>
      </w:tr>
      <w:tr w:rsidR="001413D6" w14:paraId="769599CF" w14:textId="77777777" w:rsidTr="00077A5B">
        <w:trPr>
          <w:trHeight w:val="180"/>
        </w:trPr>
        <w:tc>
          <w:tcPr>
            <w:cnfStyle w:val="000010000000" w:firstRow="0" w:lastRow="0" w:firstColumn="0" w:lastColumn="0" w:oddVBand="1" w:evenVBand="0" w:oddHBand="0" w:evenHBand="0" w:firstRowFirstColumn="0" w:firstRowLastColumn="0" w:lastRowFirstColumn="0" w:lastRowLastColumn="0"/>
            <w:tcW w:w="4195" w:type="dxa"/>
            <w:tcBorders>
              <w:left w:val="none" w:sz="0" w:space="0" w:color="auto"/>
              <w:right w:val="none" w:sz="0" w:space="0" w:color="auto"/>
            </w:tcBorders>
          </w:tcPr>
          <w:p w14:paraId="017F327B" w14:textId="7786AEC7"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Imports/exports </w:t>
            </w:r>
          </w:p>
        </w:tc>
        <w:tc>
          <w:tcPr>
            <w:cnfStyle w:val="000001000000" w:firstRow="0" w:lastRow="0" w:firstColumn="0" w:lastColumn="0" w:oddVBand="0" w:evenVBand="1" w:oddHBand="0" w:evenHBand="0" w:firstRowFirstColumn="0" w:firstRowLastColumn="0" w:lastRowFirstColumn="0" w:lastRowLastColumn="0"/>
            <w:tcW w:w="4195" w:type="dxa"/>
            <w:tcBorders>
              <w:left w:val="none" w:sz="0" w:space="0" w:color="auto"/>
              <w:right w:val="none" w:sz="0" w:space="0" w:color="auto"/>
            </w:tcBorders>
          </w:tcPr>
          <w:p w14:paraId="07C047F8" w14:textId="372B0014" w:rsidR="001413D6" w:rsidRPr="004D2E7D" w:rsidRDefault="001413D6">
            <w:pPr>
              <w:pStyle w:val="Default"/>
              <w:rPr>
                <w:rFonts w:ascii="Times New Roman" w:hAnsi="Times New Roman" w:cs="Times New Roman"/>
              </w:rPr>
            </w:pPr>
            <w:r w:rsidRPr="004D2E7D">
              <w:rPr>
                <w:rFonts w:ascii="Times New Roman" w:hAnsi="Times New Roman" w:cs="Times New Roman"/>
              </w:rPr>
              <w:t xml:space="preserve">Australian Quarantine and Inspection Service and the Australian Customs Service </w:t>
            </w:r>
          </w:p>
        </w:tc>
      </w:tr>
    </w:tbl>
    <w:p w14:paraId="643A7FB0" w14:textId="4F69C425" w:rsidR="001413D6" w:rsidRPr="00463E77" w:rsidRDefault="0026564F" w:rsidP="0026564F">
      <w:pPr>
        <w:pStyle w:val="ParaNumbering"/>
        <w:numPr>
          <w:ilvl w:val="0"/>
          <w:numId w:val="0"/>
        </w:numPr>
        <w:tabs>
          <w:tab w:val="left" w:pos="720"/>
        </w:tabs>
        <w:ind w:hanging="720"/>
      </w:pPr>
      <w:r w:rsidRPr="00463E77">
        <w:rPr>
          <w:sz w:val="20"/>
        </w:rPr>
        <w:t>64</w:t>
      </w:r>
      <w:r w:rsidRPr="00463E77">
        <w:rPr>
          <w:sz w:val="20"/>
        </w:rPr>
        <w:tab/>
      </w:r>
      <w:r w:rsidR="001413D6" w:rsidRPr="00463E77">
        <w:t>A non-statutory advisory body, the Genetic Manipulation Advisory Committee (</w:t>
      </w:r>
      <w:r w:rsidR="001413D6" w:rsidRPr="00463E77">
        <w:rPr>
          <w:b/>
          <w:bCs/>
        </w:rPr>
        <w:t>GMAC</w:t>
      </w:r>
      <w:r w:rsidR="001413D6" w:rsidRPr="00463E77">
        <w:t xml:space="preserve">), also provided support to the statutory regulators. Section 2 of the Explanatory Memorandum is titled “Problem” and explains that there were concerns GMAC was not adequately empowered to </w:t>
      </w:r>
      <w:r w:rsidR="001413D6" w:rsidRPr="00463E77">
        <w:lastRenderedPageBreak/>
        <w:t>regulate the growth in gene technology. The Explanatory Memorandum explained the choice of regulatory model:</w:t>
      </w:r>
    </w:p>
    <w:p w14:paraId="3341714F" w14:textId="77777777" w:rsidR="001413D6" w:rsidRPr="00463E77" w:rsidRDefault="001413D6" w:rsidP="001413D6">
      <w:pPr>
        <w:pStyle w:val="Quote1"/>
      </w:pPr>
      <w:r w:rsidRPr="00463E77">
        <w:t xml:space="preserve">When established, the GMAC administrative system was designed to deal with research into GMOs, or utilisation of GMOs, conducted within contained facilities. </w:t>
      </w:r>
    </w:p>
    <w:p w14:paraId="429A5E7F" w14:textId="77777777" w:rsidR="00090705" w:rsidRDefault="001413D6" w:rsidP="001413D6">
      <w:pPr>
        <w:pStyle w:val="Quote1"/>
      </w:pPr>
      <w:r w:rsidRPr="00463E77">
        <w:t>Currently in Australia, the application of gene technology is quite different, as there has been an emergence of GMOs which do not fall within the legislative mandate of existing regulators. Also, there is an increasing shift from work being conducted in laboratories to GMOs being released into the environment either for the purposes of field trials or for commercial release</w:t>
      </w:r>
      <w:r w:rsidR="00090705">
        <w:t>.</w:t>
      </w:r>
    </w:p>
    <w:p w14:paraId="70A4AC87" w14:textId="15B457D6" w:rsidR="001413D6" w:rsidRPr="00463E77" w:rsidRDefault="001413D6" w:rsidP="001413D6">
      <w:pPr>
        <w:pStyle w:val="Quote1"/>
      </w:pPr>
      <w:r w:rsidRPr="00463E77">
        <w:t xml:space="preserve">… </w:t>
      </w:r>
    </w:p>
    <w:p w14:paraId="787BA629" w14:textId="77777777" w:rsidR="001413D6" w:rsidRPr="00463E77" w:rsidRDefault="001413D6" w:rsidP="001413D6">
      <w:pPr>
        <w:pStyle w:val="Quote1"/>
        <w:rPr>
          <w:u w:val="single"/>
        </w:rPr>
      </w:pPr>
      <w:r w:rsidRPr="00463E77">
        <w:rPr>
          <w:u w:val="single"/>
        </w:rPr>
        <w:t>Activities with GMOs and GM products that are currently unregulated</w:t>
      </w:r>
    </w:p>
    <w:p w14:paraId="3AA25B1F" w14:textId="77777777" w:rsidR="001413D6" w:rsidRDefault="001413D6" w:rsidP="003D3252">
      <w:pPr>
        <w:pStyle w:val="Quote1"/>
        <w:spacing w:after="60"/>
      </w:pPr>
      <w:r>
        <w:t xml:space="preserve">Examples of ‘gap’ GMOs which are currently overseen by GMAC under administrative arrangements but which are not regulated under any existing legislation include: </w:t>
      </w:r>
    </w:p>
    <w:p w14:paraId="018E8138" w14:textId="4056DBD1" w:rsidR="001413D6" w:rsidRDefault="001413D6" w:rsidP="00A909AD">
      <w:pPr>
        <w:pStyle w:val="Quote1Bullet"/>
      </w:pPr>
      <w:r>
        <w:t xml:space="preserve">the growing of GM agricultural crops; </w:t>
      </w:r>
    </w:p>
    <w:p w14:paraId="52FFE35C" w14:textId="0E48679B" w:rsidR="001413D6" w:rsidRDefault="001413D6" w:rsidP="00A909AD">
      <w:pPr>
        <w:pStyle w:val="Quote1Bullet"/>
      </w:pPr>
      <w:r>
        <w:t xml:space="preserve">the growing or breeding of GM animals or fish; </w:t>
      </w:r>
    </w:p>
    <w:p w14:paraId="3DC22C18" w14:textId="532407D7" w:rsidR="001413D6" w:rsidRDefault="001413D6" w:rsidP="00A909AD">
      <w:pPr>
        <w:pStyle w:val="Quote1Bullet"/>
      </w:pPr>
      <w:r>
        <w:t xml:space="preserve">the use of GM micro-organisms designed to decompose toxic substances (bioremediation); </w:t>
      </w:r>
    </w:p>
    <w:p w14:paraId="5D227AB2" w14:textId="343131FD" w:rsidR="001413D6" w:rsidRPr="00FE41E6" w:rsidRDefault="001413D6" w:rsidP="00A909AD">
      <w:pPr>
        <w:pStyle w:val="Quote1Bullet"/>
        <w:rPr>
          <w:i/>
          <w:iCs/>
        </w:rPr>
      </w:pPr>
      <w:r w:rsidRPr="00FE41E6">
        <w:rPr>
          <w:i/>
          <w:iCs/>
        </w:rPr>
        <w:t>the use of GM viruses and GM vaccines.</w:t>
      </w:r>
      <w:r w:rsidRPr="00FE41E6">
        <w:rPr>
          <w:i/>
          <w:iCs/>
          <w:vertAlign w:val="superscript"/>
        </w:rPr>
        <w:t>3</w:t>
      </w:r>
    </w:p>
    <w:p w14:paraId="0EC9E0AC" w14:textId="77777777" w:rsidR="001413D6" w:rsidRDefault="001413D6" w:rsidP="001413D6">
      <w:pPr>
        <w:pStyle w:val="Quote1"/>
      </w:pPr>
      <w:r>
        <w:t xml:space="preserve">(Emphasis added.) </w:t>
      </w:r>
    </w:p>
    <w:p w14:paraId="71BCF070" w14:textId="3BE98D68" w:rsidR="001413D6" w:rsidRDefault="0026564F" w:rsidP="0026564F">
      <w:pPr>
        <w:pStyle w:val="ParaNumbering"/>
        <w:numPr>
          <w:ilvl w:val="0"/>
          <w:numId w:val="0"/>
        </w:numPr>
        <w:tabs>
          <w:tab w:val="left" w:pos="720"/>
        </w:tabs>
        <w:ind w:hanging="720"/>
      </w:pPr>
      <w:r>
        <w:rPr>
          <w:sz w:val="20"/>
        </w:rPr>
        <w:t>65</w:t>
      </w:r>
      <w:r>
        <w:rPr>
          <w:sz w:val="20"/>
        </w:rPr>
        <w:tab/>
      </w:r>
      <w:r w:rsidR="001413D6">
        <w:t>Footnote 3 states:</w:t>
      </w:r>
    </w:p>
    <w:p w14:paraId="7860DD3D" w14:textId="77777777" w:rsidR="001413D6" w:rsidRDefault="001413D6" w:rsidP="001413D6">
      <w:pPr>
        <w:pStyle w:val="Quote1"/>
      </w:pPr>
      <w:r>
        <w:t xml:space="preserve">While the TGA regulates the </w:t>
      </w:r>
      <w:r w:rsidRPr="00974B0C">
        <w:t>safety, quality and efficacy of vaccines</w:t>
      </w:r>
      <w:r>
        <w:t xml:space="preserve"> (and GTRAP also oversees clinical trials utilising viruses), </w:t>
      </w:r>
      <w:r w:rsidRPr="00822100">
        <w:rPr>
          <w:i/>
          <w:iCs/>
        </w:rPr>
        <w:t xml:space="preserve">they do not regulate occupational health and safety risks to the producer of the vaccine or virus. Nor do they examine any environmental risk which may be associated with the use of the GM vaccine. </w:t>
      </w:r>
      <w:r>
        <w:t xml:space="preserve">At present advice on these issues is provided by GMAC. </w:t>
      </w:r>
    </w:p>
    <w:p w14:paraId="3714645F" w14:textId="77777777" w:rsidR="001413D6" w:rsidRDefault="001413D6" w:rsidP="001413D6">
      <w:pPr>
        <w:pStyle w:val="Quote1"/>
      </w:pPr>
      <w:r>
        <w:t xml:space="preserve">(Emphasis added.) </w:t>
      </w:r>
    </w:p>
    <w:p w14:paraId="245B6A0E" w14:textId="11D88EC3" w:rsidR="001413D6" w:rsidRDefault="0026564F" w:rsidP="0026564F">
      <w:pPr>
        <w:pStyle w:val="ParaNumbering"/>
        <w:numPr>
          <w:ilvl w:val="0"/>
          <w:numId w:val="0"/>
        </w:numPr>
        <w:tabs>
          <w:tab w:val="left" w:pos="720"/>
        </w:tabs>
        <w:ind w:hanging="720"/>
      </w:pPr>
      <w:r>
        <w:rPr>
          <w:sz w:val="20"/>
        </w:rPr>
        <w:t>66</w:t>
      </w:r>
      <w:r>
        <w:rPr>
          <w:sz w:val="20"/>
        </w:rPr>
        <w:tab/>
      </w:r>
      <w:r w:rsidR="001413D6">
        <w:t xml:space="preserve">To address the problem identified, the Commonwealth Parliament adopted a legislative model which expressly preserved the functions of the existing statutory regulators and created a further statutory regulator, the </w:t>
      </w:r>
      <w:r w:rsidR="00822100">
        <w:t>O</w:t>
      </w:r>
      <w:r w:rsidR="001413D6">
        <w:t>GTR, to regulate the gaps</w:t>
      </w:r>
      <w:r w:rsidR="00200FCC">
        <w:t>,</w:t>
      </w:r>
      <w:r w:rsidR="001413D6">
        <w:t xml:space="preserve"> referred to as “dealings”. The Explanatory Memorandum explained the policy choice of regulatory model</w:t>
      </w:r>
      <w:r w:rsidR="00113824">
        <w:t xml:space="preserve">, which </w:t>
      </w:r>
      <w:r w:rsidR="00A81286">
        <w:t>is a clear expression of</w:t>
      </w:r>
      <w:r w:rsidR="00A81286" w:rsidRPr="00A81286">
        <w:t xml:space="preserve"> </w:t>
      </w:r>
      <w:r w:rsidR="00113824" w:rsidRPr="00A81286">
        <w:rPr>
          <w:lang w:eastAsia="en-AU"/>
        </w:rPr>
        <w:t>the mischief which the statute was designed to overcome and of the objects of the legislation</w:t>
      </w:r>
      <w:r w:rsidR="001413D6">
        <w:t>:</w:t>
      </w:r>
    </w:p>
    <w:p w14:paraId="620050E2" w14:textId="77777777" w:rsidR="001413D6" w:rsidRDefault="001413D6" w:rsidP="001413D6">
      <w:pPr>
        <w:pStyle w:val="Quote1"/>
      </w:pPr>
      <w:r w:rsidRPr="004D2E7D">
        <w:rPr>
          <w:b/>
          <w:bCs/>
        </w:rPr>
        <w:t>Option 1 -</w:t>
      </w:r>
      <w:r>
        <w:t xml:space="preserve"> the Bill operates as a ‘gap filler’ regulating all dealings with live, viable GMOs and also GM products not regulated by existing regulators. </w:t>
      </w:r>
    </w:p>
    <w:p w14:paraId="412BD7FA" w14:textId="01567F48" w:rsidR="001413D6" w:rsidRDefault="001413D6" w:rsidP="001413D6">
      <w:pPr>
        <w:pStyle w:val="Quote1"/>
      </w:pPr>
      <w:r>
        <w:t xml:space="preserve">The proposed Bill regulates all “dealings” (including research, manufacture, production, propagation, commercial release and import) with live viable GMOs that have been modified by techniques of gene technology, including the progeny (or </w:t>
      </w:r>
      <w:r>
        <w:lastRenderedPageBreak/>
        <w:t xml:space="preserve">descendants) of such GMOs which also share a genetically modified trait. This recognises that at present most of the “gaps” in legislative oversight exist in relation to dealings with live viable organisms. Examples include laboratory research involving the genetic modification of animals, plants, bacteria and viruses and the growing of crops, animals and fish. </w:t>
      </w:r>
    </w:p>
    <w:p w14:paraId="4A095E8C" w14:textId="77777777" w:rsidR="001413D6" w:rsidRDefault="001413D6" w:rsidP="001413D6">
      <w:pPr>
        <w:pStyle w:val="Quote1"/>
      </w:pPr>
      <w:r>
        <w:t xml:space="preserve">The legislation will also regulate GM products (non-live or non-viable products) where they are not regulated by an existing regulatory scheme. This recognises that most GM products are regulated by existing regulatory agencies (for example, GM medicines, foods and chemicals) but that there may be some products that are not currently regulated (for example, stock feed). </w:t>
      </w:r>
    </w:p>
    <w:p w14:paraId="647CFAB2" w14:textId="77777777" w:rsidR="001413D6" w:rsidRDefault="001413D6" w:rsidP="001413D6">
      <w:pPr>
        <w:pStyle w:val="Quote1"/>
      </w:pPr>
      <w:r w:rsidRPr="004D2E7D">
        <w:rPr>
          <w:b/>
          <w:bCs/>
        </w:rPr>
        <w:t>Option 2 -</w:t>
      </w:r>
      <w:r>
        <w:t xml:space="preserve"> The Bill creating a ‘super-regulator’ or ‘one stop shop’ </w:t>
      </w:r>
    </w:p>
    <w:p w14:paraId="5273916E" w14:textId="77777777" w:rsidR="00ED4876" w:rsidRDefault="001413D6" w:rsidP="001413D6">
      <w:pPr>
        <w:pStyle w:val="Quote1"/>
      </w:pPr>
      <w:r>
        <w:t>Under this approach, the legislation would establish a ‘one stop shop’ for the regulation of GMOs and GM products. All GMOs and GM products would be comprehensively regulated by a single agency regardless of whether the GMOs or GM products were also therapeutic goods, foods, agricultural and veterinary chemicals or industrial chemicals</w:t>
      </w:r>
      <w:r w:rsidR="00ED4876">
        <w:t>.</w:t>
      </w:r>
    </w:p>
    <w:p w14:paraId="29AA76B3" w14:textId="0253586A" w:rsidR="001413D6" w:rsidRDefault="001413D6" w:rsidP="001413D6">
      <w:pPr>
        <w:pStyle w:val="Quote1"/>
      </w:pPr>
      <w:r>
        <w:t xml:space="preserve">… </w:t>
      </w:r>
    </w:p>
    <w:p w14:paraId="0B988A6C" w14:textId="77777777" w:rsidR="001413D6" w:rsidRPr="00E317F5" w:rsidRDefault="001413D6" w:rsidP="001413D6">
      <w:pPr>
        <w:pStyle w:val="Quote1"/>
        <w:rPr>
          <w:b/>
          <w:bCs/>
        </w:rPr>
      </w:pPr>
      <w:r w:rsidRPr="004D2E7D">
        <w:rPr>
          <w:b/>
          <w:bCs/>
        </w:rPr>
        <w:t xml:space="preserve">Conclusion and recommended option: </w:t>
      </w:r>
    </w:p>
    <w:p w14:paraId="7602F918" w14:textId="71040025" w:rsidR="001413D6" w:rsidRPr="00E317F5" w:rsidRDefault="001413D6" w:rsidP="001413D6">
      <w:pPr>
        <w:pStyle w:val="Quote1"/>
      </w:pPr>
      <w:r w:rsidRPr="00E317F5">
        <w:t>The Bill reflects a preference for Option 1</w:t>
      </w:r>
      <w:r w:rsidR="00ED4876" w:rsidRPr="00E317F5">
        <w:t xml:space="preserve">. </w:t>
      </w:r>
    </w:p>
    <w:p w14:paraId="1C5744DA" w14:textId="0CC8E3D1" w:rsidR="001413D6" w:rsidRPr="00833267" w:rsidRDefault="0026564F" w:rsidP="0026564F">
      <w:pPr>
        <w:pStyle w:val="ParaNumbering"/>
        <w:numPr>
          <w:ilvl w:val="0"/>
          <w:numId w:val="0"/>
        </w:numPr>
        <w:tabs>
          <w:tab w:val="left" w:pos="720"/>
        </w:tabs>
        <w:ind w:hanging="720"/>
      </w:pPr>
      <w:r w:rsidRPr="00833267">
        <w:rPr>
          <w:sz w:val="20"/>
        </w:rPr>
        <w:t>67</w:t>
      </w:r>
      <w:r w:rsidRPr="00833267">
        <w:rPr>
          <w:sz w:val="20"/>
        </w:rPr>
        <w:tab/>
      </w:r>
      <w:r w:rsidR="001413D6" w:rsidRPr="00E317F5">
        <w:t xml:space="preserve">After the Bill was passed, a further Act was introduced, being the </w:t>
      </w:r>
      <w:r w:rsidR="001413D6" w:rsidRPr="00C77296">
        <w:rPr>
          <w:i/>
          <w:iCs/>
        </w:rPr>
        <w:t>Gene Technology (Consequential Amendments) Act 2000</w:t>
      </w:r>
      <w:r w:rsidR="001413D6" w:rsidRPr="00C77296">
        <w:t xml:space="preserve"> (</w:t>
      </w:r>
      <w:proofErr w:type="spellStart"/>
      <w:r w:rsidR="001413D6" w:rsidRPr="00C77296">
        <w:t>Cth</w:t>
      </w:r>
      <w:proofErr w:type="spellEnd"/>
      <w:r w:rsidR="001413D6" w:rsidRPr="00C77296">
        <w:t>)</w:t>
      </w:r>
      <w:r w:rsidR="001413D6" w:rsidRPr="00E317F5">
        <w:t xml:space="preserve">. That Act amended the statutes governing the existing regulators to </w:t>
      </w:r>
      <w:r w:rsidR="00EE0F3B" w:rsidRPr="00E317F5">
        <w:t xml:space="preserve">ensure cooperation with the </w:t>
      </w:r>
      <w:r w:rsidR="001413D6" w:rsidRPr="00E317F5">
        <w:t>OGTR</w:t>
      </w:r>
      <w:r w:rsidR="00EE0F3B" w:rsidRPr="00E317F5">
        <w:t xml:space="preserve"> with respect to gene technology</w:t>
      </w:r>
      <w:r w:rsidR="001413D6" w:rsidRPr="00E317F5">
        <w:t>. Amendments were made to the Therapeutic Goods Act</w:t>
      </w:r>
      <w:r w:rsidR="00852751">
        <w:t>,</w:t>
      </w:r>
      <w:r w:rsidR="001413D6" w:rsidRPr="00E317F5">
        <w:t xml:space="preserve"> inclu</w:t>
      </w:r>
      <w:r w:rsidR="001413D6" w:rsidRPr="00833267">
        <w:t>ding the insertion of ss 30C</w:t>
      </w:r>
      <w:r w:rsidR="001F03F9">
        <w:t xml:space="preserve">, 30D and </w:t>
      </w:r>
      <w:r w:rsidR="004F6733">
        <w:t>30</w:t>
      </w:r>
      <w:r w:rsidR="001413D6" w:rsidRPr="00833267">
        <w:t xml:space="preserve">E regarding consultation with the </w:t>
      </w:r>
      <w:r w:rsidR="00833267" w:rsidRPr="00833267">
        <w:t>O</w:t>
      </w:r>
      <w:r w:rsidR="001413D6" w:rsidRPr="00833267">
        <w:t xml:space="preserve">GTR. </w:t>
      </w:r>
    </w:p>
    <w:p w14:paraId="6987C05E" w14:textId="4C69AAC3" w:rsidR="00997C79" w:rsidRDefault="0026564F" w:rsidP="0026564F">
      <w:pPr>
        <w:pStyle w:val="ParaNumbering"/>
        <w:numPr>
          <w:ilvl w:val="0"/>
          <w:numId w:val="0"/>
        </w:numPr>
        <w:tabs>
          <w:tab w:val="left" w:pos="720"/>
        </w:tabs>
        <w:ind w:hanging="720"/>
      </w:pPr>
      <w:r>
        <w:rPr>
          <w:sz w:val="20"/>
        </w:rPr>
        <w:t>68</w:t>
      </w:r>
      <w:r>
        <w:rPr>
          <w:sz w:val="20"/>
        </w:rPr>
        <w:tab/>
      </w:r>
      <w:r w:rsidR="00404445">
        <w:t xml:space="preserve">The applicant </w:t>
      </w:r>
      <w:r w:rsidR="00EE0F3B">
        <w:t xml:space="preserve">points out that </w:t>
      </w:r>
      <w:r w:rsidR="00EE0F3B" w:rsidRPr="00833267">
        <w:t>ss 30C</w:t>
      </w:r>
      <w:r w:rsidR="001F03F9">
        <w:t xml:space="preserve">, 30D and </w:t>
      </w:r>
      <w:r w:rsidR="004F6733">
        <w:t>30</w:t>
      </w:r>
      <w:r w:rsidR="00EE0F3B" w:rsidRPr="00833267">
        <w:t xml:space="preserve">E </w:t>
      </w:r>
      <w:r w:rsidR="00EE0F3B">
        <w:t xml:space="preserve">of the Therapeutic Goods Act </w:t>
      </w:r>
      <w:r w:rsidR="001413D6">
        <w:t>“require” that the TGA refer a GMO vaccine to the OG</w:t>
      </w:r>
      <w:r w:rsidR="00331F2D">
        <w:t>T</w:t>
      </w:r>
      <w:r w:rsidR="001413D6">
        <w:t>R</w:t>
      </w:r>
      <w:r w:rsidR="00BB0B35">
        <w:t xml:space="preserve"> for advice</w:t>
      </w:r>
      <w:r w:rsidR="001413D6">
        <w:t xml:space="preserve"> before approving it. </w:t>
      </w:r>
      <w:r w:rsidR="002F6354">
        <w:t>According to the applicant, t</w:t>
      </w:r>
      <w:r w:rsidR="001413D6">
        <w:t>his shows that the OG</w:t>
      </w:r>
      <w:r w:rsidR="00331F2D">
        <w:t>T</w:t>
      </w:r>
      <w:r w:rsidR="001413D6">
        <w:t>R</w:t>
      </w:r>
      <w:r w:rsidR="00EE0F3B">
        <w:t xml:space="preserve"> has absolute control over the regulation of GMOs in Australia, </w:t>
      </w:r>
      <w:r w:rsidR="001413D6">
        <w:t xml:space="preserve">including </w:t>
      </w:r>
      <w:r w:rsidR="00EE0F3B">
        <w:t xml:space="preserve">as to </w:t>
      </w:r>
      <w:r w:rsidR="001413D6">
        <w:t>the safety and efficacy of GMO vaccines.</w:t>
      </w:r>
      <w:r w:rsidR="00BB0B35">
        <w:t xml:space="preserve"> I reject that construction.</w:t>
      </w:r>
    </w:p>
    <w:p w14:paraId="7526CDC5" w14:textId="398F602F" w:rsidR="001413D6" w:rsidRPr="00FD36E3" w:rsidRDefault="0026564F" w:rsidP="0026564F">
      <w:pPr>
        <w:pStyle w:val="ParaNumbering"/>
        <w:numPr>
          <w:ilvl w:val="0"/>
          <w:numId w:val="0"/>
        </w:numPr>
        <w:tabs>
          <w:tab w:val="left" w:pos="720"/>
        </w:tabs>
        <w:ind w:hanging="720"/>
      </w:pPr>
      <w:r w:rsidRPr="00FD36E3">
        <w:rPr>
          <w:sz w:val="20"/>
        </w:rPr>
        <w:t>69</w:t>
      </w:r>
      <w:r w:rsidRPr="00FD36E3">
        <w:rPr>
          <w:sz w:val="20"/>
        </w:rPr>
        <w:tab/>
      </w:r>
      <w:r w:rsidR="0080200A" w:rsidRPr="00FD36E3">
        <w:t xml:space="preserve">The </w:t>
      </w:r>
      <w:r w:rsidR="004F6733" w:rsidRPr="00FD36E3">
        <w:t>insertion</w:t>
      </w:r>
      <w:r w:rsidR="0080200A" w:rsidRPr="00FD36E3">
        <w:t xml:space="preserve"> of ss 30C</w:t>
      </w:r>
      <w:r w:rsidR="001F03F9">
        <w:t xml:space="preserve">, 30D and </w:t>
      </w:r>
      <w:r w:rsidR="004F6733" w:rsidRPr="00FD36E3">
        <w:t>30</w:t>
      </w:r>
      <w:r w:rsidR="0080200A" w:rsidRPr="00FD36E3">
        <w:t xml:space="preserve">E in the Therapeutic Goods Act </w:t>
      </w:r>
      <w:r w:rsidR="004F6733" w:rsidRPr="00FD36E3">
        <w:t>did</w:t>
      </w:r>
      <w:r w:rsidR="0080200A" w:rsidRPr="00FD36E3">
        <w:t xml:space="preserve"> not expand the powers of the OG</w:t>
      </w:r>
      <w:r w:rsidR="00DA72AB" w:rsidRPr="00FD36E3">
        <w:t>T</w:t>
      </w:r>
      <w:r w:rsidR="0080200A" w:rsidRPr="00FD36E3">
        <w:t xml:space="preserve">R and </w:t>
      </w:r>
      <w:r w:rsidR="00DA72AB" w:rsidRPr="00FD36E3">
        <w:t xml:space="preserve">broaden </w:t>
      </w:r>
      <w:r w:rsidR="0080200A" w:rsidRPr="00FD36E3">
        <w:t xml:space="preserve">the reach of the GTA </w:t>
      </w:r>
      <w:r w:rsidR="00DA72AB" w:rsidRPr="00FD36E3">
        <w:t>beyond</w:t>
      </w:r>
      <w:r w:rsidR="0080200A" w:rsidRPr="00FD36E3">
        <w:t xml:space="preserve"> that provided by the text of the GTA. </w:t>
      </w:r>
      <w:r w:rsidR="00B665A0" w:rsidRPr="00FD36E3">
        <w:t xml:space="preserve">It is entirely </w:t>
      </w:r>
      <w:r w:rsidR="00852751">
        <w:t>reasonable</w:t>
      </w:r>
      <w:r w:rsidR="00852751" w:rsidRPr="00FD36E3">
        <w:t xml:space="preserve"> </w:t>
      </w:r>
      <w:r w:rsidR="00B665A0" w:rsidRPr="00FD36E3">
        <w:t xml:space="preserve">that the </w:t>
      </w:r>
      <w:r w:rsidR="001E2269" w:rsidRPr="00FD36E3">
        <w:t xml:space="preserve">TGA should obtain advice and information about the safety and efficacy of vaccines from every </w:t>
      </w:r>
      <w:r w:rsidR="0029626E" w:rsidRPr="00FD36E3">
        <w:t>possible source.</w:t>
      </w:r>
      <w:r w:rsidR="00611865">
        <w:t xml:space="preserve"> </w:t>
      </w:r>
      <w:r w:rsidR="00B665A0" w:rsidRPr="00FD36E3">
        <w:t>However, t</w:t>
      </w:r>
      <w:r w:rsidR="0029626E" w:rsidRPr="00FD36E3">
        <w:t xml:space="preserve">he OGTR’s expertise </w:t>
      </w:r>
      <w:r w:rsidR="00852751">
        <w:t>about</w:t>
      </w:r>
      <w:r w:rsidR="0029626E" w:rsidRPr="00FD36E3">
        <w:t xml:space="preserve"> GMOs</w:t>
      </w:r>
      <w:r w:rsidR="00784871" w:rsidRPr="00FD36E3">
        <w:t xml:space="preserve"> and</w:t>
      </w:r>
      <w:r w:rsidR="002A0F1D">
        <w:t xml:space="preserve"> its</w:t>
      </w:r>
      <w:r w:rsidR="00784871" w:rsidRPr="00FD36E3">
        <w:t xml:space="preserve"> role in providing advice to the TGA under the Therapeutic Goods Act </w:t>
      </w:r>
      <w:r w:rsidR="0029626E" w:rsidRPr="00FD36E3">
        <w:t xml:space="preserve">does not mean </w:t>
      </w:r>
      <w:r w:rsidR="00C12A78" w:rsidRPr="00FD36E3">
        <w:t xml:space="preserve">that it is ultimately responsible for determining the safety and efficacy of therapeutic goods. </w:t>
      </w:r>
      <w:r w:rsidR="00B665A0" w:rsidRPr="00FD36E3">
        <w:t xml:space="preserve">To suggest otherwise is directly </w:t>
      </w:r>
      <w:r w:rsidR="00D3142F" w:rsidRPr="00FD36E3">
        <w:t xml:space="preserve">contrary </w:t>
      </w:r>
      <w:r w:rsidR="00D1311F" w:rsidRPr="00FD36E3">
        <w:t>to the clear legislative intention arising from the text</w:t>
      </w:r>
      <w:r w:rsidR="00D3142F" w:rsidRPr="00FD36E3">
        <w:t xml:space="preserve">s </w:t>
      </w:r>
      <w:r w:rsidR="00D1311F" w:rsidRPr="00FD36E3">
        <w:t xml:space="preserve">of </w:t>
      </w:r>
      <w:r w:rsidR="00D3142F" w:rsidRPr="00FD36E3">
        <w:t xml:space="preserve">both </w:t>
      </w:r>
      <w:r w:rsidR="00D1311F" w:rsidRPr="00FD36E3">
        <w:t xml:space="preserve">the </w:t>
      </w:r>
      <w:r w:rsidR="00D1311F" w:rsidRPr="003D3252">
        <w:t xml:space="preserve">Therapeutic </w:t>
      </w:r>
      <w:r w:rsidR="00D3142F" w:rsidRPr="003D3252">
        <w:t>Goods Act</w:t>
      </w:r>
      <w:r w:rsidR="00D3142F" w:rsidRPr="00FD36E3">
        <w:t xml:space="preserve"> and the GTA</w:t>
      </w:r>
      <w:r w:rsidR="00AA139F">
        <w:t>:</w:t>
      </w:r>
      <w:r w:rsidR="00D1311F" w:rsidRPr="00FD36E3">
        <w:t xml:space="preserve"> </w:t>
      </w:r>
      <w:r w:rsidR="0022334B">
        <w:t xml:space="preserve">namely, </w:t>
      </w:r>
      <w:r w:rsidR="00D1311F" w:rsidRPr="00FD36E3">
        <w:t>that the</w:t>
      </w:r>
      <w:r w:rsidR="00D3142F" w:rsidRPr="00FD36E3">
        <w:t xml:space="preserve"> TGA is </w:t>
      </w:r>
      <w:r w:rsidR="005C22FB">
        <w:t>the entity</w:t>
      </w:r>
      <w:r w:rsidR="00D3142F" w:rsidRPr="00FD36E3">
        <w:t xml:space="preserve"> responsible</w:t>
      </w:r>
      <w:r w:rsidR="009F7881">
        <w:t xml:space="preserve"> for regulating therapeutic goods</w:t>
      </w:r>
      <w:r w:rsidR="00D3142F" w:rsidRPr="00FD36E3">
        <w:t xml:space="preserve">. </w:t>
      </w:r>
      <w:r w:rsidR="0074047F" w:rsidRPr="00FD36E3">
        <w:t>Sections 30C</w:t>
      </w:r>
      <w:r w:rsidR="001F03F9">
        <w:t xml:space="preserve">, 30D and </w:t>
      </w:r>
      <w:r w:rsidR="0074047F" w:rsidRPr="00FD36E3">
        <w:t xml:space="preserve">30E of the Therapeutic </w:t>
      </w:r>
      <w:r w:rsidR="0074047F" w:rsidRPr="00FD36E3">
        <w:lastRenderedPageBreak/>
        <w:t>Goods Act</w:t>
      </w:r>
      <w:r w:rsidR="008E7AEC" w:rsidRPr="00FD36E3">
        <w:t xml:space="preserve"> </w:t>
      </w:r>
      <w:r w:rsidR="00784871" w:rsidRPr="00FD36E3">
        <w:rPr>
          <w:szCs w:val="24"/>
        </w:rPr>
        <w:t xml:space="preserve">simply reflect a sensible collaboration between two regulators </w:t>
      </w:r>
      <w:r w:rsidR="008E7AEC" w:rsidRPr="00FD36E3">
        <w:rPr>
          <w:szCs w:val="24"/>
        </w:rPr>
        <w:t>i</w:t>
      </w:r>
      <w:r w:rsidR="001413D6" w:rsidRPr="00FD36E3">
        <w:rPr>
          <w:szCs w:val="24"/>
        </w:rPr>
        <w:t xml:space="preserve">n the context of </w:t>
      </w:r>
      <w:r w:rsidR="00784871" w:rsidRPr="00FD36E3">
        <w:rPr>
          <w:szCs w:val="24"/>
        </w:rPr>
        <w:t>two</w:t>
      </w:r>
      <w:r w:rsidR="001413D6" w:rsidRPr="00FD36E3">
        <w:rPr>
          <w:szCs w:val="24"/>
        </w:rPr>
        <w:t xml:space="preserve"> broader regulatory </w:t>
      </w:r>
      <w:r w:rsidR="00784871" w:rsidRPr="00FD36E3">
        <w:rPr>
          <w:szCs w:val="24"/>
        </w:rPr>
        <w:t xml:space="preserve">regimes. </w:t>
      </w:r>
    </w:p>
    <w:p w14:paraId="40C2882C" w14:textId="04EAAA2E" w:rsidR="001D4304" w:rsidRDefault="0026564F" w:rsidP="0026564F">
      <w:pPr>
        <w:pStyle w:val="ParaNumbering"/>
        <w:numPr>
          <w:ilvl w:val="0"/>
          <w:numId w:val="0"/>
        </w:numPr>
        <w:tabs>
          <w:tab w:val="left" w:pos="720"/>
        </w:tabs>
        <w:ind w:hanging="720"/>
      </w:pPr>
      <w:r>
        <w:rPr>
          <w:sz w:val="20"/>
        </w:rPr>
        <w:t>70</w:t>
      </w:r>
      <w:r>
        <w:rPr>
          <w:sz w:val="20"/>
        </w:rPr>
        <w:tab/>
      </w:r>
      <w:r w:rsidR="001D4304">
        <w:t xml:space="preserve">Perry J summarised the key features of the </w:t>
      </w:r>
      <w:r w:rsidR="001D4304" w:rsidRPr="003215CA">
        <w:t xml:space="preserve">Therapeutic Goods Act </w:t>
      </w:r>
      <w:r w:rsidR="001D4304">
        <w:t xml:space="preserve">in </w:t>
      </w:r>
      <w:r w:rsidR="001D4304" w:rsidRPr="00A944A7">
        <w:rPr>
          <w:i/>
          <w:iCs/>
        </w:rPr>
        <w:t xml:space="preserve">AVN </w:t>
      </w:r>
      <w:r w:rsidR="001D4304">
        <w:t>at [49]</w:t>
      </w:r>
      <w:r w:rsidR="00852751">
        <w:t>-</w:t>
      </w:r>
      <w:r w:rsidR="001D4304">
        <w:t xml:space="preserve">[63]. The objects of the </w:t>
      </w:r>
      <w:r w:rsidR="001D4304" w:rsidRPr="003D3252">
        <w:t>Therapeutic Goods Act</w:t>
      </w:r>
      <w:r w:rsidR="001D4304" w:rsidRPr="003215CA">
        <w:t xml:space="preserve"> </w:t>
      </w:r>
      <w:r w:rsidR="001D4304">
        <w:t xml:space="preserve">are set out in s 4 and include “the establishment and maintenance of a national system of controls relating to the quality, safety, efficacy and timely availability of therapeutic goods” that are used in Australia or exported from Australia. </w:t>
      </w:r>
    </w:p>
    <w:p w14:paraId="6544CC5D" w14:textId="7B5B9EDE" w:rsidR="00EE5F63" w:rsidRDefault="0026564F" w:rsidP="0026564F">
      <w:pPr>
        <w:pStyle w:val="ParaNumbering"/>
        <w:numPr>
          <w:ilvl w:val="0"/>
          <w:numId w:val="0"/>
        </w:numPr>
        <w:tabs>
          <w:tab w:val="left" w:pos="720"/>
        </w:tabs>
        <w:ind w:hanging="720"/>
      </w:pPr>
      <w:r>
        <w:rPr>
          <w:sz w:val="20"/>
        </w:rPr>
        <w:t>71</w:t>
      </w:r>
      <w:r>
        <w:rPr>
          <w:sz w:val="20"/>
        </w:rPr>
        <w:tab/>
      </w:r>
      <w:r w:rsidR="00EE5F63">
        <w:t xml:space="preserve">In the specific context of </w:t>
      </w:r>
      <w:r w:rsidR="00713421">
        <w:t>C</w:t>
      </w:r>
      <w:r w:rsidR="004E192A">
        <w:t>ovid</w:t>
      </w:r>
      <w:r w:rsidR="00713421">
        <w:t xml:space="preserve">-19 </w:t>
      </w:r>
      <w:r w:rsidR="00EE5F63">
        <w:t>vaccines, the OGT</w:t>
      </w:r>
      <w:r w:rsidR="00AD36B9">
        <w:t>R</w:t>
      </w:r>
      <w:r w:rsidR="00EE5F63">
        <w:t xml:space="preserve"> recently described the different spheres of regulation by the GTA and the </w:t>
      </w:r>
      <w:r w:rsidR="00EE5F63" w:rsidRPr="003D3252">
        <w:t>Therapeutic Goods Act</w:t>
      </w:r>
      <w:r w:rsidR="00EE5F63" w:rsidRPr="003215CA">
        <w:t xml:space="preserve"> </w:t>
      </w:r>
      <w:r w:rsidR="005976BB">
        <w:t>at [9]</w:t>
      </w:r>
      <w:r w:rsidR="00453BA6">
        <w:t>, [10] and [13] of</w:t>
      </w:r>
      <w:r w:rsidR="00916C9D">
        <w:t xml:space="preserve"> </w:t>
      </w:r>
      <w:r w:rsidR="00C16905">
        <w:t>the “</w:t>
      </w:r>
      <w:r w:rsidR="00916C9D">
        <w:t>S</w:t>
      </w:r>
      <w:r w:rsidR="00C16905">
        <w:t xml:space="preserve">ummary of the Risk Assessment and Risk Management Plan” for </w:t>
      </w:r>
      <w:r w:rsidR="00991DDF">
        <w:t>AstraZeneca</w:t>
      </w:r>
      <w:r w:rsidR="0060602B">
        <w:t>’s</w:t>
      </w:r>
      <w:r w:rsidR="00991DDF">
        <w:t xml:space="preserve"> </w:t>
      </w:r>
      <w:r w:rsidR="00651998">
        <w:t>(modified chimpanzee ad</w:t>
      </w:r>
      <w:r w:rsidR="001E4F4C">
        <w:t xml:space="preserve">enovirus Y25) </w:t>
      </w:r>
      <w:r w:rsidR="00991DDF">
        <w:t>vaccine</w:t>
      </w:r>
      <w:r w:rsidR="002D19A0">
        <w:t xml:space="preserve"> </w:t>
      </w:r>
      <w:r w:rsidR="0071444D">
        <w:t>licence application</w:t>
      </w:r>
      <w:r w:rsidR="00E11985">
        <w:t xml:space="preserve"> </w:t>
      </w:r>
      <w:r w:rsidR="00EE5F63">
        <w:t>as follows:</w:t>
      </w:r>
    </w:p>
    <w:p w14:paraId="1B610732" w14:textId="7AE8F2E3" w:rsidR="00EE5F63" w:rsidRDefault="00EE5F63" w:rsidP="00EE5F63">
      <w:pPr>
        <w:pStyle w:val="Quote1"/>
      </w:pPr>
      <w:r>
        <w:t xml:space="preserve">The TGA provides a national system of controls for therapeutic goods. It administers the provisions of the </w:t>
      </w:r>
      <w:r w:rsidRPr="004142B2">
        <w:rPr>
          <w:i/>
          <w:iCs/>
        </w:rPr>
        <w:t>Therapeutic Goods Act</w:t>
      </w:r>
      <w:r>
        <w:t xml:space="preserve"> </w:t>
      </w:r>
      <w:r w:rsidRPr="003D3252">
        <w:rPr>
          <w:i/>
          <w:iCs/>
        </w:rPr>
        <w:t>1989</w:t>
      </w:r>
      <w:r>
        <w:t xml:space="preserve"> which specifies the standards that must be met before a vaccine can be registered on the Australian Register of Therapeutic Goods (ARTG). Inclusion in ARTG is required before a vaccine can be lawfully supplied in Australia. As part of this process, the TGA would assess the quality, safety and efficacy of the vaccine. Quality aspects could include batch-to-batch consistency in vaccine composition, purity and potency. Safety aspects could include toxicological and allergenicity profile of the vaccine, including any excipients, by-products and impurities from manufacture. </w:t>
      </w:r>
    </w:p>
    <w:p w14:paraId="24C75E91" w14:textId="77777777" w:rsidR="004E192A" w:rsidRDefault="00EE5F63" w:rsidP="00EE5F63">
      <w:pPr>
        <w:pStyle w:val="Quote1"/>
      </w:pPr>
      <w:r>
        <w:t>The administration or use of GMOs as therapeutics is not regulated under gene technology legislation. The Regulator does not assess vaccine excipients and does not assess manufacturing by-products and impurities unless they are themselves GM products.</w:t>
      </w:r>
      <w:r w:rsidR="00EF6E18">
        <w:t xml:space="preserve"> </w:t>
      </w:r>
    </w:p>
    <w:p w14:paraId="745DC2DB" w14:textId="1862E3BC" w:rsidR="00EE5F63" w:rsidRDefault="00EF6E18" w:rsidP="00EE5F63">
      <w:pPr>
        <w:pStyle w:val="Quote1"/>
      </w:pPr>
      <w:r>
        <w:t>…</w:t>
      </w:r>
    </w:p>
    <w:p w14:paraId="025CA8EC" w14:textId="644A8A31" w:rsidR="000710A2" w:rsidRDefault="00EF6E18" w:rsidP="00E341B2">
      <w:pPr>
        <w:pStyle w:val="Quote1"/>
      </w:pPr>
      <w:r>
        <w:t>For the commercial supply of a GM COVID-19 vaccine, dealings regulated under the Act include the import, transport, storage and disposal of GMO’s. The regulator has assessed risks to people as a consequence of conducting these activities and risks from persistence of the GMO’s in the environment.</w:t>
      </w:r>
    </w:p>
    <w:p w14:paraId="4C094684" w14:textId="2BE49602" w:rsidR="00EE5F63" w:rsidRDefault="0026564F" w:rsidP="0026564F">
      <w:pPr>
        <w:pStyle w:val="ParaNumbering"/>
        <w:numPr>
          <w:ilvl w:val="0"/>
          <w:numId w:val="0"/>
        </w:numPr>
        <w:tabs>
          <w:tab w:val="left" w:pos="720"/>
        </w:tabs>
        <w:ind w:hanging="720"/>
      </w:pPr>
      <w:r>
        <w:rPr>
          <w:sz w:val="20"/>
        </w:rPr>
        <w:t>72</w:t>
      </w:r>
      <w:r>
        <w:rPr>
          <w:sz w:val="20"/>
        </w:rPr>
        <w:tab/>
      </w:r>
      <w:r w:rsidR="00EE5F63">
        <w:t xml:space="preserve">The process for consideration of the approvals AstraZeneca sought for its Covid-19 vaccine (which is a GMO, based on different vaccine technology to the Pfizer and Moderna vaccines) illustrate the different conduct regulated by the GTA and the Therapeutic Goods Act and the corresponding division of regulatory responsibility between the OGTR and the TGA. AstraZeneca has sought and obtained three licences from the OGTR: </w:t>
      </w:r>
    </w:p>
    <w:p w14:paraId="1AE312A4" w14:textId="70C76117" w:rsidR="00EE5F63" w:rsidRDefault="0026564F" w:rsidP="0026564F">
      <w:pPr>
        <w:pStyle w:val="ListNo1alt"/>
        <w:numPr>
          <w:ilvl w:val="0"/>
          <w:numId w:val="0"/>
        </w:numPr>
        <w:tabs>
          <w:tab w:val="left" w:pos="720"/>
        </w:tabs>
        <w:ind w:left="720" w:hanging="720"/>
      </w:pPr>
      <w:r>
        <w:t>(a)</w:t>
      </w:r>
      <w:r>
        <w:tab/>
      </w:r>
      <w:r w:rsidR="00EE5F63">
        <w:t xml:space="preserve">two licences “to manufacture, supply frozen bulk drug substance, formulate and fill/finish the GM vaccine”. Those licences are for dealings not involving intentional release of a GMO into the environment; and </w:t>
      </w:r>
    </w:p>
    <w:p w14:paraId="144EEB82" w14:textId="276535A2" w:rsidR="00EE5F63" w:rsidRDefault="0026564F" w:rsidP="0026564F">
      <w:pPr>
        <w:pStyle w:val="ListNo1alt"/>
        <w:numPr>
          <w:ilvl w:val="0"/>
          <w:numId w:val="0"/>
        </w:numPr>
        <w:tabs>
          <w:tab w:val="left" w:pos="720"/>
        </w:tabs>
        <w:ind w:left="720" w:hanging="720"/>
      </w:pPr>
      <w:r>
        <w:lastRenderedPageBreak/>
        <w:t>(b)</w:t>
      </w:r>
      <w:r>
        <w:tab/>
      </w:r>
      <w:r w:rsidR="00EE5F63">
        <w:t>a further licence for the commercial supply of its Covid-19 vaccine including the import, transport, storage and disposal of GMOs. That licence is for dealings involving intentional release of a GMO into the environment</w:t>
      </w:r>
      <w:r w:rsidR="00F223A2">
        <w:t>.</w:t>
      </w:r>
      <w:r w:rsidR="00545E76">
        <w:t xml:space="preserve"> In response to that application</w:t>
      </w:r>
      <w:r w:rsidR="00EE5F63">
        <w:t>,</w:t>
      </w:r>
      <w:r w:rsidR="008B058F">
        <w:t xml:space="preserve"> </w:t>
      </w:r>
      <w:r w:rsidR="00EE5F63">
        <w:t xml:space="preserve">the </w:t>
      </w:r>
      <w:r w:rsidR="00D40923">
        <w:t>O</w:t>
      </w:r>
      <w:r w:rsidR="00EE5F63">
        <w:t>GTR prepared a Risk Assessment and Risk Management Plan (</w:t>
      </w:r>
      <w:r w:rsidR="00EE5F63" w:rsidRPr="00C32445">
        <w:rPr>
          <w:b/>
          <w:bCs/>
        </w:rPr>
        <w:t>RARMP</w:t>
      </w:r>
      <w:r w:rsidR="00EE5F63">
        <w:t>)</w:t>
      </w:r>
      <w:r w:rsidR="00545E76">
        <w:t xml:space="preserve"> pursuant to s 50 of the GTA</w:t>
      </w:r>
      <w:r w:rsidR="00EE5F63">
        <w:t xml:space="preserve">. </w:t>
      </w:r>
    </w:p>
    <w:p w14:paraId="32AD8A1B" w14:textId="75C5268F" w:rsidR="00EE5F63" w:rsidRDefault="0026564F" w:rsidP="0026564F">
      <w:pPr>
        <w:pStyle w:val="ParaNumbering"/>
        <w:numPr>
          <w:ilvl w:val="0"/>
          <w:numId w:val="0"/>
        </w:numPr>
        <w:tabs>
          <w:tab w:val="left" w:pos="720"/>
        </w:tabs>
        <w:ind w:hanging="720"/>
      </w:pPr>
      <w:r>
        <w:rPr>
          <w:sz w:val="20"/>
        </w:rPr>
        <w:t>73</w:t>
      </w:r>
      <w:r>
        <w:rPr>
          <w:sz w:val="20"/>
        </w:rPr>
        <w:tab/>
      </w:r>
      <w:r w:rsidR="00EE5F63">
        <w:t xml:space="preserve">The RARMP explains the scope of the </w:t>
      </w:r>
      <w:r w:rsidR="00F43EF9">
        <w:t>O</w:t>
      </w:r>
      <w:r w:rsidR="00EE5F63">
        <w:t>GTR’s assessment as follows:</w:t>
      </w:r>
    </w:p>
    <w:p w14:paraId="46980A45" w14:textId="77777777" w:rsidR="00EE5F63" w:rsidRDefault="00EE5F63" w:rsidP="00EE5F63">
      <w:pPr>
        <w:pStyle w:val="Quote1"/>
      </w:pPr>
      <w:r>
        <w:t xml:space="preserve">The current assessment focused on risks posed to people other than the intended vaccine recipient and to the environment, including long term persistence of the GMOs, which may arise from the import, transport, storage or disposal of the GMO. </w:t>
      </w:r>
    </w:p>
    <w:p w14:paraId="51CED873" w14:textId="5BD0D696" w:rsidR="00EE5F63" w:rsidRDefault="0026564F" w:rsidP="0026564F">
      <w:pPr>
        <w:pStyle w:val="ParaNumbering"/>
        <w:numPr>
          <w:ilvl w:val="0"/>
          <w:numId w:val="0"/>
        </w:numPr>
        <w:tabs>
          <w:tab w:val="left" w:pos="720"/>
        </w:tabs>
        <w:ind w:hanging="720"/>
      </w:pPr>
      <w:r>
        <w:rPr>
          <w:sz w:val="20"/>
        </w:rPr>
        <w:t>74</w:t>
      </w:r>
      <w:r>
        <w:rPr>
          <w:sz w:val="20"/>
        </w:rPr>
        <w:tab/>
      </w:r>
      <w:r w:rsidR="00EE5F63">
        <w:t>The RARMP concluded that:</w:t>
      </w:r>
    </w:p>
    <w:p w14:paraId="55C0C761" w14:textId="77777777" w:rsidR="001E6150" w:rsidRDefault="00EE5F63" w:rsidP="00EE5F63">
      <w:pPr>
        <w:pStyle w:val="Quote1"/>
      </w:pPr>
      <w:r>
        <w:t xml:space="preserve">Before the GM vaccine can be used, </w:t>
      </w:r>
      <w:r w:rsidR="001E6150">
        <w:t>[</w:t>
      </w:r>
      <w:r>
        <w:t>AstraZeneca</w:t>
      </w:r>
      <w:r w:rsidR="001E6150">
        <w:t>]</w:t>
      </w:r>
      <w:r>
        <w:t xml:space="preserve"> must also obtain regulatory approval from the Therapeutic Goods Administration (TGA). Therapeutic goods for sale in Australia must be included in the Australian Register of Therapeutic Goods (ARTG) under the Therapeutic Goods Act 1989</w:t>
      </w:r>
      <w:r w:rsidR="001E6150">
        <w:t>.</w:t>
      </w:r>
    </w:p>
    <w:p w14:paraId="07529663" w14:textId="03A7C1C1" w:rsidR="00EE5F63" w:rsidRDefault="00EE5F63" w:rsidP="00EE5F63">
      <w:pPr>
        <w:pStyle w:val="Quote1"/>
      </w:pPr>
      <w:r>
        <w:t xml:space="preserve">… </w:t>
      </w:r>
    </w:p>
    <w:p w14:paraId="066008F1" w14:textId="77777777" w:rsidR="00EE5F63" w:rsidRDefault="00EE5F63" w:rsidP="00EE5F63">
      <w:pPr>
        <w:pStyle w:val="Quote1"/>
      </w:pPr>
      <w:r>
        <w:t>The Regulator has prepared a Risk Assessment and Risk Management Plan (RARMP) for this application, which concludes that the proposed supply of the GM vaccine poses negligible risks to human health and safety and the environment and no specific risk treatment measures are imposed. However, general licence conditions have been imposed to ensure that there is ongoing oversight of the proposed supply.</w:t>
      </w:r>
    </w:p>
    <w:p w14:paraId="2D43C923" w14:textId="4CB87798" w:rsidR="00EE5F63" w:rsidRDefault="0026564F" w:rsidP="0026564F">
      <w:pPr>
        <w:pStyle w:val="ParaNumbering"/>
        <w:numPr>
          <w:ilvl w:val="0"/>
          <w:numId w:val="0"/>
        </w:numPr>
        <w:tabs>
          <w:tab w:val="left" w:pos="720"/>
        </w:tabs>
        <w:ind w:hanging="720"/>
      </w:pPr>
      <w:r>
        <w:rPr>
          <w:sz w:val="20"/>
        </w:rPr>
        <w:t>75</w:t>
      </w:r>
      <w:r>
        <w:rPr>
          <w:sz w:val="20"/>
        </w:rPr>
        <w:tab/>
      </w:r>
      <w:r w:rsidR="00EE5F63">
        <w:t xml:space="preserve">The </w:t>
      </w:r>
      <w:r w:rsidR="00C06307">
        <w:t xml:space="preserve">approach of a regulator </w:t>
      </w:r>
      <w:r w:rsidR="00F50665">
        <w:t>in interpreting and implementing a</w:t>
      </w:r>
      <w:r w:rsidR="00EE5F63">
        <w:t xml:space="preserve"> statute</w:t>
      </w:r>
      <w:r w:rsidR="00F50665">
        <w:t xml:space="preserve"> carries little weight </w:t>
      </w:r>
      <w:r w:rsidR="00EE5F63">
        <w:t xml:space="preserve">as a means of construing that statute. However, </w:t>
      </w:r>
      <w:r w:rsidR="00F50665">
        <w:t xml:space="preserve">in this case, </w:t>
      </w:r>
      <w:r w:rsidR="00EE5F63">
        <w:t>the approach of the OG</w:t>
      </w:r>
      <w:r w:rsidR="00B25916">
        <w:t>TR in</w:t>
      </w:r>
      <w:r w:rsidR="00E8397B">
        <w:t xml:space="preserve"> explaining and</w:t>
      </w:r>
      <w:r w:rsidR="00B25916">
        <w:t xml:space="preserve"> executing its functions under the GTA</w:t>
      </w:r>
      <w:r w:rsidR="00EE5F63">
        <w:t xml:space="preserve"> reflects the conclusions I have independently drawn from the text and context of the statute </w:t>
      </w:r>
      <w:r w:rsidR="00B25916">
        <w:t xml:space="preserve">that </w:t>
      </w:r>
      <w:r w:rsidR="00F15E57">
        <w:t xml:space="preserve">the GTA’s </w:t>
      </w:r>
      <w:r w:rsidR="002E5222">
        <w:t>purpose is to regulate GMOs through a</w:t>
      </w:r>
      <w:r w:rsidR="00EE5F63">
        <w:t xml:space="preserve"> “gap-filling” model</w:t>
      </w:r>
      <w:r w:rsidR="002E5222">
        <w:t>, leaving some areas of GMO regulation to other regulators</w:t>
      </w:r>
      <w:r w:rsidR="00577F8E">
        <w:t>, including the TGA</w:t>
      </w:r>
      <w:r w:rsidR="002E5222">
        <w:t xml:space="preserve">. </w:t>
      </w:r>
    </w:p>
    <w:p w14:paraId="493CE874" w14:textId="5BF47850" w:rsidR="0044663E" w:rsidRPr="00EE5F63" w:rsidRDefault="0026564F" w:rsidP="0026564F">
      <w:pPr>
        <w:pStyle w:val="Heading7"/>
        <w:numPr>
          <w:ilvl w:val="0"/>
          <w:numId w:val="0"/>
        </w:numPr>
        <w:tabs>
          <w:tab w:val="left" w:pos="1134"/>
        </w:tabs>
        <w:ind w:left="1134" w:hanging="1134"/>
      </w:pPr>
      <w:r w:rsidRPr="00EE5F63">
        <w:t>5.5.1</w:t>
      </w:r>
      <w:r w:rsidRPr="00EE5F63">
        <w:tab/>
      </w:r>
      <w:r w:rsidR="00EE5F63" w:rsidRPr="00EE5F63">
        <w:t>Applicant</w:t>
      </w:r>
      <w:r w:rsidR="006E59CF">
        <w:t>’</w:t>
      </w:r>
      <w:r w:rsidR="00EE5F63" w:rsidRPr="00EE5F63">
        <w:t xml:space="preserve">s submissions on </w:t>
      </w:r>
      <w:r w:rsidR="00315B4F">
        <w:t>context</w:t>
      </w:r>
    </w:p>
    <w:p w14:paraId="1B01802A" w14:textId="7CAEE0D6" w:rsidR="00015800" w:rsidRDefault="0026564F" w:rsidP="0026564F">
      <w:pPr>
        <w:pStyle w:val="ParaNumbering"/>
        <w:numPr>
          <w:ilvl w:val="0"/>
          <w:numId w:val="0"/>
        </w:numPr>
        <w:ind w:hanging="720"/>
      </w:pPr>
      <w:r>
        <w:rPr>
          <w:sz w:val="20"/>
        </w:rPr>
        <w:t>76</w:t>
      </w:r>
      <w:r>
        <w:rPr>
          <w:sz w:val="20"/>
        </w:rPr>
        <w:tab/>
      </w:r>
      <w:r w:rsidR="003D3252">
        <w:t>T</w:t>
      </w:r>
      <w:r w:rsidR="00015800">
        <w:t xml:space="preserve">he applicant primarily relied on the </w:t>
      </w:r>
      <w:r w:rsidR="00185DFE">
        <w:t>E</w:t>
      </w:r>
      <w:r w:rsidR="00015800">
        <w:t xml:space="preserve">xplanatory </w:t>
      </w:r>
      <w:r w:rsidR="00185DFE">
        <w:t>M</w:t>
      </w:r>
      <w:r w:rsidR="00015800">
        <w:t xml:space="preserve">emorandum to the Act, not the text of the Act, to support </w:t>
      </w:r>
      <w:r w:rsidR="006259A9">
        <w:t xml:space="preserve">his </w:t>
      </w:r>
      <w:r w:rsidR="00015800">
        <w:t xml:space="preserve">construction of the purported purpose of the Act. </w:t>
      </w:r>
    </w:p>
    <w:p w14:paraId="5BE5A01E" w14:textId="1CE4481A" w:rsidR="00D072CE" w:rsidRDefault="0026564F" w:rsidP="0026564F">
      <w:pPr>
        <w:pStyle w:val="ParaNumbering"/>
        <w:numPr>
          <w:ilvl w:val="0"/>
          <w:numId w:val="0"/>
        </w:numPr>
        <w:tabs>
          <w:tab w:val="left" w:pos="720"/>
        </w:tabs>
        <w:ind w:hanging="720"/>
      </w:pPr>
      <w:r>
        <w:rPr>
          <w:sz w:val="20"/>
        </w:rPr>
        <w:t>77</w:t>
      </w:r>
      <w:r>
        <w:rPr>
          <w:sz w:val="20"/>
        </w:rPr>
        <w:tab/>
      </w:r>
      <w:r w:rsidR="00DA336C">
        <w:t>According to t</w:t>
      </w:r>
      <w:r w:rsidR="00D072CE" w:rsidRPr="00512BAE">
        <w:t>he applicant</w:t>
      </w:r>
      <w:r w:rsidR="00DA336C">
        <w:t>,</w:t>
      </w:r>
      <w:r w:rsidR="00D072CE" w:rsidRPr="00512BAE">
        <w:t xml:space="preserve"> the </w:t>
      </w:r>
      <w:r w:rsidR="00267D60">
        <w:t>E</w:t>
      </w:r>
      <w:r w:rsidR="00D072CE" w:rsidRPr="00512BAE">
        <w:t xml:space="preserve">xplanatory Memorandum indicates that the intended scope of </w:t>
      </w:r>
      <w:r w:rsidR="00DA336C">
        <w:t xml:space="preserve">the </w:t>
      </w:r>
      <w:r w:rsidR="00D072CE" w:rsidRPr="00512BAE">
        <w:t xml:space="preserve">Act extends to regulating risks to consumers from GMOs. </w:t>
      </w:r>
    </w:p>
    <w:p w14:paraId="18A402D1" w14:textId="08040298" w:rsidR="007B5596" w:rsidRDefault="0026564F" w:rsidP="0026564F">
      <w:pPr>
        <w:pStyle w:val="ParaNumbering"/>
        <w:numPr>
          <w:ilvl w:val="0"/>
          <w:numId w:val="0"/>
        </w:numPr>
        <w:tabs>
          <w:tab w:val="left" w:pos="720"/>
        </w:tabs>
        <w:ind w:hanging="720"/>
      </w:pPr>
      <w:r>
        <w:rPr>
          <w:sz w:val="20"/>
        </w:rPr>
        <w:t>78</w:t>
      </w:r>
      <w:r>
        <w:rPr>
          <w:sz w:val="20"/>
        </w:rPr>
        <w:tab/>
      </w:r>
      <w:r w:rsidR="001413D6" w:rsidRPr="0044663E">
        <w:t xml:space="preserve">First, </w:t>
      </w:r>
      <w:r w:rsidR="00FE41E6">
        <w:t>the applicant contends</w:t>
      </w:r>
      <w:r w:rsidR="001413D6" w:rsidRPr="0044663E">
        <w:t xml:space="preserve"> that the reference</w:t>
      </w:r>
      <w:r w:rsidR="00267D60">
        <w:t xml:space="preserve"> in the E</w:t>
      </w:r>
      <w:r w:rsidR="00267D60" w:rsidRPr="00512BAE">
        <w:t>xplanatory Memorandum</w:t>
      </w:r>
      <w:r w:rsidR="001413D6" w:rsidRPr="0044663E">
        <w:t xml:space="preserve"> to “the use of GM viruses and GM vaccines”</w:t>
      </w:r>
      <w:r w:rsidR="00267D60">
        <w:t xml:space="preserve"> </w:t>
      </w:r>
      <w:r w:rsidR="001413D6" w:rsidRPr="0044663E">
        <w:t xml:space="preserve">not being “regulated under any existing legislation” confirms </w:t>
      </w:r>
      <w:r w:rsidR="00267D60">
        <w:t xml:space="preserve">that </w:t>
      </w:r>
      <w:r w:rsidR="001413D6" w:rsidRPr="0044663E">
        <w:t xml:space="preserve">the Act is intended to regulate the safety of GMO vaccines which </w:t>
      </w:r>
      <w:r w:rsidR="00352B18">
        <w:t xml:space="preserve">he submits </w:t>
      </w:r>
      <w:r w:rsidR="001413D6" w:rsidRPr="0044663E">
        <w:t xml:space="preserve">are outside </w:t>
      </w:r>
      <w:r w:rsidR="001413D6" w:rsidRPr="0044663E">
        <w:lastRenderedPageBreak/>
        <w:t>the purview of the TGA. The applicant says that footnote 3</w:t>
      </w:r>
      <w:r w:rsidR="00FE41E6">
        <w:t xml:space="preserve"> (extracted above)</w:t>
      </w:r>
      <w:r w:rsidR="001413D6" w:rsidRPr="0044663E">
        <w:t xml:space="preserve"> only refers to </w:t>
      </w:r>
      <w:r w:rsidR="00D969E7">
        <w:t xml:space="preserve">the </w:t>
      </w:r>
      <w:r w:rsidR="001413D6" w:rsidRPr="0044663E">
        <w:t xml:space="preserve">TGA’s role in regulating “the safety, quality and efficacy of vaccines” simpliciter, not GMO vaccines, which supports </w:t>
      </w:r>
      <w:r w:rsidR="007B5596">
        <w:t>his</w:t>
      </w:r>
      <w:r w:rsidR="007B5596" w:rsidRPr="0044663E">
        <w:t xml:space="preserve"> </w:t>
      </w:r>
      <w:r w:rsidR="001413D6" w:rsidRPr="0044663E">
        <w:t xml:space="preserve">construction that the GTA is designed to fill this gap and regulate GMO vaccines. </w:t>
      </w:r>
    </w:p>
    <w:p w14:paraId="6CB0EB96" w14:textId="43C21748" w:rsidR="001413D6" w:rsidRPr="0044663E" w:rsidRDefault="0026564F" w:rsidP="0026564F">
      <w:pPr>
        <w:pStyle w:val="ParaNumbering"/>
        <w:numPr>
          <w:ilvl w:val="0"/>
          <w:numId w:val="0"/>
        </w:numPr>
        <w:tabs>
          <w:tab w:val="left" w:pos="720"/>
        </w:tabs>
        <w:ind w:hanging="720"/>
      </w:pPr>
      <w:r w:rsidRPr="0044663E">
        <w:rPr>
          <w:sz w:val="20"/>
        </w:rPr>
        <w:t>79</w:t>
      </w:r>
      <w:r w:rsidRPr="0044663E">
        <w:rPr>
          <w:sz w:val="20"/>
        </w:rPr>
        <w:tab/>
      </w:r>
      <w:r w:rsidR="001413D6" w:rsidRPr="0044663E">
        <w:t xml:space="preserve">The applicant’s interpretation of footnote 3 </w:t>
      </w:r>
      <w:r w:rsidR="005A16A9">
        <w:t>cannot be sustained.</w:t>
      </w:r>
      <w:r w:rsidR="001413D6" w:rsidRPr="0044663E">
        <w:t xml:space="preserve"> </w:t>
      </w:r>
      <w:r w:rsidR="005A16A9">
        <w:t>H</w:t>
      </w:r>
      <w:r w:rsidR="001413D6" w:rsidRPr="0044663E">
        <w:t xml:space="preserve">is broader contention is inconsistent with how the Act regulates GMOs through defined dealings, and the complete absence of any intention to regulate the administration of GMOs to consumers. The suggestion that the legislature intended for the GTA, not the </w:t>
      </w:r>
      <w:r w:rsidR="00D969E7">
        <w:t>Therapeutic Goods Act</w:t>
      </w:r>
      <w:r w:rsidR="001413D6" w:rsidRPr="0044663E">
        <w:t xml:space="preserve">, to regulate the </w:t>
      </w:r>
      <w:r w:rsidR="00D910C1">
        <w:t>safet</w:t>
      </w:r>
      <w:r w:rsidR="00CE1F19">
        <w:t xml:space="preserve">y, </w:t>
      </w:r>
      <w:r w:rsidR="00D910C1">
        <w:t xml:space="preserve">efficacy </w:t>
      </w:r>
      <w:r w:rsidR="00CE1F19">
        <w:t xml:space="preserve">and </w:t>
      </w:r>
      <w:r w:rsidR="001413D6" w:rsidRPr="0044663E">
        <w:t xml:space="preserve">administration of GMO vaccines is </w:t>
      </w:r>
      <w:r w:rsidR="0055216C">
        <w:t xml:space="preserve">simply </w:t>
      </w:r>
      <w:r w:rsidR="001413D6" w:rsidRPr="0044663E">
        <w:t xml:space="preserve">inconsistent with the </w:t>
      </w:r>
      <w:r w:rsidR="00D31D96">
        <w:t xml:space="preserve">text and purpose </w:t>
      </w:r>
      <w:r w:rsidR="001413D6" w:rsidRPr="0044663E">
        <w:t xml:space="preserve">of both </w:t>
      </w:r>
      <w:r w:rsidR="00F85EB7">
        <w:t>acts</w:t>
      </w:r>
      <w:r w:rsidR="001413D6" w:rsidRPr="0044663E">
        <w:t>.</w:t>
      </w:r>
      <w:r w:rsidR="008B058F">
        <w:t xml:space="preserve"> </w:t>
      </w:r>
    </w:p>
    <w:p w14:paraId="5A4ABE6B" w14:textId="1F881CB5" w:rsidR="001413D6" w:rsidRDefault="0026564F" w:rsidP="0026564F">
      <w:pPr>
        <w:pStyle w:val="ParaNumbering"/>
        <w:numPr>
          <w:ilvl w:val="0"/>
          <w:numId w:val="0"/>
        </w:numPr>
        <w:tabs>
          <w:tab w:val="left" w:pos="720"/>
        </w:tabs>
        <w:ind w:hanging="720"/>
      </w:pPr>
      <w:r>
        <w:rPr>
          <w:sz w:val="20"/>
        </w:rPr>
        <w:t>80</w:t>
      </w:r>
      <w:r>
        <w:rPr>
          <w:sz w:val="20"/>
        </w:rPr>
        <w:tab/>
      </w:r>
      <w:r w:rsidR="001413D6">
        <w:t>Second, the applicant</w:t>
      </w:r>
      <w:r w:rsidR="00B600C8">
        <w:t xml:space="preserve"> </w:t>
      </w:r>
      <w:r w:rsidR="001413D6" w:rsidRPr="00512BAE">
        <w:t>relies upon the following</w:t>
      </w:r>
      <w:r w:rsidR="001413D6">
        <w:t xml:space="preserve"> </w:t>
      </w:r>
      <w:r w:rsidR="00D31D96">
        <w:t xml:space="preserve">parts of </w:t>
      </w:r>
      <w:r w:rsidR="001413D6" w:rsidRPr="00512BAE">
        <w:t xml:space="preserve">the </w:t>
      </w:r>
      <w:r w:rsidR="00BC33B7">
        <w:t>Explanatory Memorandum</w:t>
      </w:r>
      <w:r w:rsidR="00D31D96">
        <w:t xml:space="preserve"> to support </w:t>
      </w:r>
      <w:r w:rsidR="00831CA4">
        <w:t>his</w:t>
      </w:r>
      <w:r w:rsidR="00D31D96">
        <w:t xml:space="preserve"> argument that the Act is ultimately concerned with the end use of GMOs for consumers</w:t>
      </w:r>
      <w:r w:rsidR="001413D6" w:rsidRPr="00512BAE">
        <w:t>:</w:t>
      </w:r>
    </w:p>
    <w:p w14:paraId="0078027D" w14:textId="77777777" w:rsidR="001413D6" w:rsidRPr="004A4C24" w:rsidRDefault="001413D6" w:rsidP="001413D6">
      <w:pPr>
        <w:pStyle w:val="Quote1"/>
        <w:rPr>
          <w:b/>
          <w:bCs/>
          <w:u w:val="single"/>
        </w:rPr>
      </w:pPr>
      <w:r w:rsidRPr="004A4C24">
        <w:rPr>
          <w:b/>
          <w:bCs/>
          <w:u w:val="single"/>
        </w:rPr>
        <w:t>2. Problem</w:t>
      </w:r>
    </w:p>
    <w:p w14:paraId="03D429EE" w14:textId="77777777" w:rsidR="00A6595B" w:rsidRDefault="001413D6" w:rsidP="001413D6">
      <w:pPr>
        <w:pStyle w:val="Quote1"/>
      </w:pPr>
      <w:r w:rsidRPr="00535679">
        <w:rPr>
          <w:i/>
          <w:iCs/>
        </w:rPr>
        <w:t>GMOs and GM products present a range of possible health and environmental risks to the community</w:t>
      </w:r>
      <w:r>
        <w:t xml:space="preserve">. These risks vary depending on the particular activity proposed to be undertaken and the particular GMO or GM product. </w:t>
      </w:r>
    </w:p>
    <w:p w14:paraId="1704334E" w14:textId="53B93933" w:rsidR="001413D6" w:rsidRPr="00535679" w:rsidRDefault="001413D6" w:rsidP="001413D6">
      <w:pPr>
        <w:pStyle w:val="Quote1"/>
        <w:rPr>
          <w:i/>
          <w:iCs/>
        </w:rPr>
      </w:pPr>
      <w:r w:rsidRPr="00535679">
        <w:rPr>
          <w:i/>
          <w:iCs/>
        </w:rPr>
        <w:t>While the level of knowledge about possible risks is growing in the community, there remains inadequate information available to the community and consumers. Individuals may also have difficulty in assessing and processing available information to help them make informed choices about what levels of possible risk they consider to be acceptable to their health and safety.</w:t>
      </w:r>
    </w:p>
    <w:p w14:paraId="1730EC2A" w14:textId="77777777" w:rsidR="001413D6" w:rsidRDefault="001413D6" w:rsidP="001413D6">
      <w:pPr>
        <w:pStyle w:val="Quote1"/>
      </w:pPr>
      <w:r w:rsidRPr="00B600C8">
        <w:rPr>
          <w:i/>
          <w:iCs/>
        </w:rPr>
        <w:t>In addition, there are possible risks to public health</w:t>
      </w:r>
      <w:r w:rsidRPr="00B71428">
        <w:rPr>
          <w:b/>
          <w:bCs/>
        </w:rPr>
        <w:t xml:space="preserve"> </w:t>
      </w:r>
      <w:r>
        <w:t xml:space="preserve">and the environment that may not be properly taken into account by either the industry involved with GMOs or GM products, or </w:t>
      </w:r>
      <w:r w:rsidRPr="00B600C8">
        <w:rPr>
          <w:i/>
          <w:iCs/>
        </w:rPr>
        <w:t>the consumers, or users of GMOs or GM products</w:t>
      </w:r>
      <w:r>
        <w:t>.</w:t>
      </w:r>
    </w:p>
    <w:p w14:paraId="6D2D38DF" w14:textId="77777777" w:rsidR="00BF3815" w:rsidRDefault="001413D6" w:rsidP="001413D6">
      <w:pPr>
        <w:pStyle w:val="Quote1"/>
        <w:rPr>
          <w:i/>
          <w:iCs/>
        </w:rPr>
      </w:pPr>
      <w:r>
        <w:t xml:space="preserve">There are difficulties in relying upon industry to provide the necessary information and </w:t>
      </w:r>
      <w:r w:rsidRPr="00FD36E3">
        <w:t xml:space="preserve">make appropriate risk assessment and management decisions. This is because, in an objective aggregate sense, </w:t>
      </w:r>
      <w:r w:rsidRPr="00FD36E3">
        <w:rPr>
          <w:i/>
          <w:iCs/>
        </w:rPr>
        <w:t xml:space="preserve">it may not be in their best interests to draw the possibility of risk to the attention of prospective consumers and the community generally. Equally, consumers might discount the usefulness of industry provided information on that basis. </w:t>
      </w:r>
    </w:p>
    <w:p w14:paraId="174CB666" w14:textId="77777777" w:rsidR="00367359" w:rsidRDefault="001413D6" w:rsidP="001413D6">
      <w:pPr>
        <w:pStyle w:val="Quote1"/>
      </w:pPr>
      <w:r w:rsidRPr="00FD36E3">
        <w:rPr>
          <w:i/>
          <w:iCs/>
        </w:rPr>
        <w:t>There is, therefore, a case for government intervention to assess and manage the risks and to provide information to consumers and the community</w:t>
      </w:r>
      <w:r w:rsidRPr="00FD36E3">
        <w:t xml:space="preserve">. </w:t>
      </w:r>
    </w:p>
    <w:p w14:paraId="4AE0C868" w14:textId="714C4DAC" w:rsidR="001413D6" w:rsidRPr="00FD36E3" w:rsidRDefault="001413D6" w:rsidP="001413D6">
      <w:pPr>
        <w:pStyle w:val="Quote1"/>
      </w:pPr>
      <w:r w:rsidRPr="00FD36E3">
        <w:t xml:space="preserve">Given the growth in gene technology, </w:t>
      </w:r>
      <w:r w:rsidRPr="00FD36E3">
        <w:rPr>
          <w:i/>
          <w:iCs/>
        </w:rPr>
        <w:t>the current government intervention is, however, inadequate.</w:t>
      </w:r>
    </w:p>
    <w:p w14:paraId="2C75285E" w14:textId="77777777" w:rsidR="001413D6" w:rsidRPr="00FD36E3" w:rsidRDefault="001413D6" w:rsidP="001413D6">
      <w:pPr>
        <w:pStyle w:val="Quote1"/>
      </w:pPr>
      <w:r w:rsidRPr="00FD36E3">
        <w:t>(Emphasis added by the applicant.)</w:t>
      </w:r>
    </w:p>
    <w:p w14:paraId="259A7392" w14:textId="2E5F77EA" w:rsidR="001413D6" w:rsidRPr="004A4C24" w:rsidRDefault="0026564F" w:rsidP="0026564F">
      <w:pPr>
        <w:pStyle w:val="ParaNumbering"/>
        <w:numPr>
          <w:ilvl w:val="0"/>
          <w:numId w:val="0"/>
        </w:numPr>
        <w:tabs>
          <w:tab w:val="left" w:pos="720"/>
        </w:tabs>
        <w:ind w:hanging="720"/>
      </w:pPr>
      <w:r w:rsidRPr="004A4C24">
        <w:rPr>
          <w:sz w:val="20"/>
        </w:rPr>
        <w:t>81</w:t>
      </w:r>
      <w:r w:rsidRPr="004A4C24">
        <w:rPr>
          <w:sz w:val="20"/>
        </w:rPr>
        <w:tab/>
      </w:r>
      <w:r w:rsidR="005C4AB1">
        <w:t>T</w:t>
      </w:r>
      <w:r w:rsidR="001413D6" w:rsidRPr="00367359">
        <w:t xml:space="preserve">he </w:t>
      </w:r>
      <w:r w:rsidR="00BC33B7" w:rsidRPr="00367359">
        <w:t>Explanatory Memorandum</w:t>
      </w:r>
      <w:r w:rsidR="001413D6" w:rsidRPr="00367359">
        <w:t xml:space="preserve"> </w:t>
      </w:r>
      <w:r w:rsidR="00C77B69">
        <w:t>assesses</w:t>
      </w:r>
      <w:r w:rsidR="00C77B69" w:rsidRPr="00367359">
        <w:t xml:space="preserve"> </w:t>
      </w:r>
      <w:r w:rsidR="001413D6" w:rsidRPr="00367359">
        <w:t>the impact on consumers (in addition to government, business and the community) of various options considered by the Bill</w:t>
      </w:r>
      <w:r w:rsidR="00070B7A">
        <w:t>,</w:t>
      </w:r>
      <w:r w:rsidR="001413D6" w:rsidRPr="00367359">
        <w:t xml:space="preserve"> such as the </w:t>
      </w:r>
      <w:r w:rsidR="003312FC" w:rsidRPr="00367359">
        <w:t xml:space="preserve">preferred </w:t>
      </w:r>
      <w:r w:rsidR="003312FC" w:rsidRPr="00367359">
        <w:lastRenderedPageBreak/>
        <w:t>regulatory model to be adopted</w:t>
      </w:r>
      <w:r w:rsidR="001413D6" w:rsidRPr="00367359">
        <w:t xml:space="preserve"> </w:t>
      </w:r>
      <w:r w:rsidR="003312FC" w:rsidRPr="00367359">
        <w:t>by</w:t>
      </w:r>
      <w:r w:rsidR="001413D6" w:rsidRPr="00367359">
        <w:t xml:space="preserve"> the Act,</w:t>
      </w:r>
      <w:r w:rsidR="003312FC" w:rsidRPr="00367359">
        <w:t xml:space="preserve"> the</w:t>
      </w:r>
      <w:r w:rsidR="001413D6" w:rsidRPr="00367359">
        <w:t xml:space="preserve"> provision of expert advice to the regulator and </w:t>
      </w:r>
      <w:r w:rsidR="003312FC" w:rsidRPr="00367359">
        <w:t xml:space="preserve">the </w:t>
      </w:r>
      <w:r w:rsidR="001413D6" w:rsidRPr="00367359">
        <w:t>regulation of dealings of GMO</w:t>
      </w:r>
      <w:r w:rsidR="00064852" w:rsidRPr="00367359">
        <w:t>s</w:t>
      </w:r>
      <w:r w:rsidR="001413D6" w:rsidRPr="00367359">
        <w:t xml:space="preserve">. </w:t>
      </w:r>
      <w:r w:rsidR="0029105D">
        <w:t xml:space="preserve">The </w:t>
      </w:r>
      <w:r w:rsidR="005C4AB1">
        <w:t xml:space="preserve">applicant is </w:t>
      </w:r>
      <w:r w:rsidR="0029105D">
        <w:t xml:space="preserve">therefore </w:t>
      </w:r>
      <w:r w:rsidR="005C4AB1">
        <w:t>correct that t</w:t>
      </w:r>
      <w:r w:rsidR="001413D6" w:rsidRPr="00367359">
        <w:t xml:space="preserve">he </w:t>
      </w:r>
      <w:r w:rsidR="00BC33B7" w:rsidRPr="00367359">
        <w:t>Explanatory Memorandum</w:t>
      </w:r>
      <w:r w:rsidR="001413D6" w:rsidRPr="00367359">
        <w:t xml:space="preserve"> is</w:t>
      </w:r>
      <w:r w:rsidR="003312FC" w:rsidRPr="00367359">
        <w:t xml:space="preserve"> </w:t>
      </w:r>
      <w:r w:rsidR="001413D6" w:rsidRPr="00367359">
        <w:t>concerned with the consumer, or end user</w:t>
      </w:r>
      <w:r w:rsidR="0029105D">
        <w:t>,</w:t>
      </w:r>
      <w:r w:rsidR="001413D6" w:rsidRPr="00367359">
        <w:t xml:space="preserve"> of GMO products to some extent. But that can be explained this way: the health and safety of </w:t>
      </w:r>
      <w:r w:rsidR="00603018">
        <w:t>those who</w:t>
      </w:r>
      <w:r w:rsidR="00603018" w:rsidRPr="00367359">
        <w:t xml:space="preserve"> </w:t>
      </w:r>
      <w:r w:rsidR="00603018">
        <w:t>consume or use</w:t>
      </w:r>
      <w:r w:rsidR="001413D6" w:rsidRPr="00367359">
        <w:t xml:space="preserve"> GMO food, medicines or agricultural products is potentially impacted by the dealings regulated by the Act. For example, GMO food or medicine</w:t>
      </w:r>
      <w:r w:rsidR="00590804" w:rsidRPr="00367359">
        <w:t xml:space="preserve">, which </w:t>
      </w:r>
      <w:r w:rsidR="001413D6" w:rsidRPr="00367359">
        <w:t>might be approved for consumption by ANZ</w:t>
      </w:r>
      <w:r w:rsidR="00315C4D" w:rsidRPr="00367359">
        <w:t>F</w:t>
      </w:r>
      <w:r w:rsidR="001413D6" w:rsidRPr="00367359">
        <w:t>A or the TGA</w:t>
      </w:r>
      <w:r w:rsidR="00315C4D" w:rsidRPr="00367359" w:rsidDel="00BD256C">
        <w:t>,</w:t>
      </w:r>
      <w:r w:rsidR="001413D6" w:rsidRPr="00367359">
        <w:t xml:space="preserve"> respectively, may impact </w:t>
      </w:r>
      <w:r w:rsidR="00E53DBF" w:rsidRPr="00367359">
        <w:t>consumers</w:t>
      </w:r>
      <w:r w:rsidR="00590804" w:rsidRPr="00367359">
        <w:t>’</w:t>
      </w:r>
      <w:r w:rsidR="001413D6" w:rsidRPr="00367359">
        <w:t xml:space="preserve"> health and safety</w:t>
      </w:r>
      <w:r w:rsidR="00590804" w:rsidRPr="00367359">
        <w:t xml:space="preserve"> if those products are contaminated or mishandled during </w:t>
      </w:r>
      <w:r w:rsidR="00362402">
        <w:t>importation</w:t>
      </w:r>
      <w:r w:rsidR="00590804" w:rsidRPr="00367359">
        <w:t>, storage or transport</w:t>
      </w:r>
      <w:r w:rsidR="00BD256C">
        <w:t>ation</w:t>
      </w:r>
      <w:r w:rsidR="001413D6" w:rsidRPr="00367359">
        <w:t>.</w:t>
      </w:r>
      <w:r w:rsidR="00E53DBF" w:rsidRPr="00367359">
        <w:t xml:space="preserve"> </w:t>
      </w:r>
      <w:r w:rsidR="00712DB4" w:rsidRPr="00367359">
        <w:t xml:space="preserve">Those potential risks to the consumer are distinct from the risks directly arising from the safety of </w:t>
      </w:r>
      <w:r w:rsidR="003F3D32" w:rsidRPr="00367359">
        <w:t>GMO foods or medicines</w:t>
      </w:r>
      <w:r w:rsidR="00712DB4" w:rsidRPr="00367359">
        <w:t xml:space="preserve">. </w:t>
      </w:r>
    </w:p>
    <w:p w14:paraId="31505E37" w14:textId="7BEF821C" w:rsidR="001413D6" w:rsidRDefault="0026564F" w:rsidP="0026564F">
      <w:pPr>
        <w:pStyle w:val="ParaNumbering"/>
        <w:numPr>
          <w:ilvl w:val="0"/>
          <w:numId w:val="0"/>
        </w:numPr>
        <w:tabs>
          <w:tab w:val="left" w:pos="720"/>
        </w:tabs>
        <w:ind w:hanging="720"/>
      </w:pPr>
      <w:r>
        <w:rPr>
          <w:sz w:val="20"/>
        </w:rPr>
        <w:t>82</w:t>
      </w:r>
      <w:r>
        <w:rPr>
          <w:sz w:val="20"/>
        </w:rPr>
        <w:tab/>
      </w:r>
      <w:r w:rsidR="001413D6">
        <w:t xml:space="preserve">The applicant </w:t>
      </w:r>
      <w:r w:rsidR="00AD3B67">
        <w:t>contends that</w:t>
      </w:r>
      <w:r w:rsidR="001413D6">
        <w:t xml:space="preserve"> the</w:t>
      </w:r>
      <w:r w:rsidR="003F3D32">
        <w:t xml:space="preserve"> Act’s</w:t>
      </w:r>
      <w:r w:rsidR="001413D6">
        <w:t xml:space="preserve"> focus on consumers is also evident from the fact that the </w:t>
      </w:r>
      <w:r w:rsidR="00BC33B7">
        <w:t>Explanatory Memorandum</w:t>
      </w:r>
      <w:r w:rsidR="001413D6">
        <w:t xml:space="preserve"> refers to the OG</w:t>
      </w:r>
      <w:r w:rsidR="00331F2D">
        <w:t>T</w:t>
      </w:r>
      <w:r w:rsidR="001413D6">
        <w:t>R having the function of providing advice to members of the public in relation to the genetic safety of end use</w:t>
      </w:r>
      <w:r w:rsidR="001444C3">
        <w:t>r</w:t>
      </w:r>
      <w:r w:rsidR="001413D6">
        <w:t xml:space="preserve">s of GMO products. That function and purpose is evidenced by the emphasised text above discussing the </w:t>
      </w:r>
      <w:r w:rsidR="00795F5E">
        <w:t xml:space="preserve">limited </w:t>
      </w:r>
      <w:r w:rsidR="001413D6">
        <w:t>level of knowledge about GMOs in the community and the lack of reliability or utility of industry provided information.</w:t>
      </w:r>
    </w:p>
    <w:p w14:paraId="733B23F7" w14:textId="78A20D92" w:rsidR="001413D6" w:rsidRDefault="0026564F" w:rsidP="0026564F">
      <w:pPr>
        <w:pStyle w:val="ParaNumbering"/>
        <w:numPr>
          <w:ilvl w:val="0"/>
          <w:numId w:val="0"/>
        </w:numPr>
        <w:tabs>
          <w:tab w:val="left" w:pos="720"/>
        </w:tabs>
        <w:ind w:hanging="720"/>
      </w:pPr>
      <w:r>
        <w:rPr>
          <w:sz w:val="20"/>
        </w:rPr>
        <w:t>83</w:t>
      </w:r>
      <w:r>
        <w:rPr>
          <w:sz w:val="20"/>
        </w:rPr>
        <w:tab/>
      </w:r>
      <w:r w:rsidR="004E68C8">
        <w:t>I accept that t</w:t>
      </w:r>
      <w:r w:rsidR="001413D6">
        <w:t xml:space="preserve">he </w:t>
      </w:r>
      <w:r w:rsidR="007F13C1">
        <w:t>O</w:t>
      </w:r>
      <w:r w:rsidR="001413D6">
        <w:t xml:space="preserve">GTR </w:t>
      </w:r>
      <w:r w:rsidR="0072763E">
        <w:t xml:space="preserve">has </w:t>
      </w:r>
      <w:r w:rsidR="001413D6">
        <w:t xml:space="preserve">advisory functions, but the nature of the advice it is required to provide to the general public is confined. The </w:t>
      </w:r>
      <w:r w:rsidR="00795F5E">
        <w:t>O</w:t>
      </w:r>
      <w:r w:rsidR="001413D6">
        <w:t>GTR’s advisory functions are defined in s 27(e)</w:t>
      </w:r>
      <w:r w:rsidR="007D4B53">
        <w:t>, (f) and</w:t>
      </w:r>
      <w:r w:rsidR="001413D6">
        <w:t xml:space="preserve"> (g) of the GTA as follows:</w:t>
      </w:r>
    </w:p>
    <w:p w14:paraId="596DFAF3" w14:textId="2FA3D08F" w:rsidR="00B62750" w:rsidRPr="00C5303A" w:rsidRDefault="00B62750" w:rsidP="00C5303A">
      <w:pPr>
        <w:pStyle w:val="Quote1"/>
        <w:rPr>
          <w:b/>
          <w:bCs/>
        </w:rPr>
      </w:pPr>
      <w:r w:rsidRPr="00C5303A">
        <w:rPr>
          <w:b/>
          <w:bCs/>
        </w:rPr>
        <w:t>27 Functions of the Regulator</w:t>
      </w:r>
    </w:p>
    <w:p w14:paraId="64EF1860" w14:textId="464DFC90" w:rsidR="00ED3AAF" w:rsidRDefault="00ED3AAF" w:rsidP="00C5303A">
      <w:pPr>
        <w:pStyle w:val="Quote1"/>
      </w:pPr>
      <w:r w:rsidRPr="00ED3AAF">
        <w:t>The Regulator has the following functions:</w:t>
      </w:r>
    </w:p>
    <w:p w14:paraId="108074CA" w14:textId="4F7CD631" w:rsidR="00ED3AAF" w:rsidRPr="00ED3AAF" w:rsidRDefault="00ED3AAF" w:rsidP="00ED3AAF">
      <w:pPr>
        <w:rPr>
          <w:sz w:val="22"/>
        </w:rPr>
      </w:pPr>
      <w:r>
        <w:rPr>
          <w:sz w:val="22"/>
        </w:rPr>
        <w:tab/>
        <w:t>…</w:t>
      </w:r>
    </w:p>
    <w:p w14:paraId="3EDFBF94" w14:textId="07CA5817" w:rsidR="001413D6" w:rsidRDefault="0026564F" w:rsidP="0026564F">
      <w:pPr>
        <w:pStyle w:val="Quote2"/>
        <w:ind w:left="1418" w:hanging="709"/>
      </w:pPr>
      <w:r>
        <w:t>(e)</w:t>
      </w:r>
      <w:r>
        <w:tab/>
      </w:r>
      <w:r w:rsidR="001413D6">
        <w:t xml:space="preserve">to provide information and advice to other regulatory agencies about GMOs and GM products; </w:t>
      </w:r>
    </w:p>
    <w:p w14:paraId="28C56C8E" w14:textId="3403907A" w:rsidR="001413D6" w:rsidRDefault="0026564F" w:rsidP="0026564F">
      <w:pPr>
        <w:pStyle w:val="Quote2"/>
        <w:ind w:left="1418" w:hanging="709"/>
      </w:pPr>
      <w:r>
        <w:t>(f)</w:t>
      </w:r>
      <w:r>
        <w:tab/>
      </w:r>
      <w:r w:rsidR="001413D6">
        <w:t xml:space="preserve">to provide information and advice to the public about the regulation of GMOs; </w:t>
      </w:r>
    </w:p>
    <w:p w14:paraId="38E24A9E" w14:textId="69E291E3" w:rsidR="001413D6" w:rsidRDefault="0026564F" w:rsidP="0026564F">
      <w:pPr>
        <w:pStyle w:val="Quote2"/>
        <w:ind w:left="1418" w:hanging="709"/>
      </w:pPr>
      <w:r>
        <w:t>(g)</w:t>
      </w:r>
      <w:r>
        <w:tab/>
      </w:r>
      <w:r w:rsidR="001413D6">
        <w:t xml:space="preserve">to provide advice to the Ministerial Council about: </w:t>
      </w:r>
    </w:p>
    <w:p w14:paraId="5C5570BB" w14:textId="0C2105A7" w:rsidR="001413D6" w:rsidRDefault="0026564F" w:rsidP="0026564F">
      <w:pPr>
        <w:pStyle w:val="Quote3"/>
        <w:ind w:left="2127" w:hanging="709"/>
      </w:pPr>
      <w:r>
        <w:t>(</w:t>
      </w:r>
      <w:proofErr w:type="spellStart"/>
      <w:r>
        <w:t>i</w:t>
      </w:r>
      <w:proofErr w:type="spellEnd"/>
      <w:r>
        <w:t>)</w:t>
      </w:r>
      <w:r>
        <w:tab/>
      </w:r>
      <w:r w:rsidR="001413D6">
        <w:t xml:space="preserve">the operations of the Regulator and the Gene Technology Technical Advisory Committee; and </w:t>
      </w:r>
    </w:p>
    <w:p w14:paraId="54D28DE6" w14:textId="15A8E9E0" w:rsidR="001413D6" w:rsidRDefault="0026564F" w:rsidP="0026564F">
      <w:pPr>
        <w:pStyle w:val="Quote3"/>
        <w:ind w:left="2127" w:hanging="709"/>
      </w:pPr>
      <w:r>
        <w:t>(ii)</w:t>
      </w:r>
      <w:r>
        <w:tab/>
      </w:r>
      <w:r w:rsidR="001413D6">
        <w:t xml:space="preserve">(ii) the effectiveness of the legislative framework for the regulation of GMOs, including in relation to possible amendments of relevant legislation; </w:t>
      </w:r>
    </w:p>
    <w:p w14:paraId="2C9A93D6" w14:textId="2EDDFFBE" w:rsidR="001413D6" w:rsidRDefault="0026564F" w:rsidP="0026564F">
      <w:pPr>
        <w:pStyle w:val="ParaNumbering"/>
        <w:numPr>
          <w:ilvl w:val="0"/>
          <w:numId w:val="0"/>
        </w:numPr>
        <w:tabs>
          <w:tab w:val="left" w:pos="720"/>
        </w:tabs>
        <w:ind w:hanging="720"/>
      </w:pPr>
      <w:r>
        <w:rPr>
          <w:sz w:val="20"/>
        </w:rPr>
        <w:t>84</w:t>
      </w:r>
      <w:r>
        <w:rPr>
          <w:sz w:val="20"/>
        </w:rPr>
        <w:tab/>
      </w:r>
      <w:r w:rsidR="007F13C1">
        <w:t>As s 27(e) makes clear, the</w:t>
      </w:r>
      <w:r w:rsidR="001413D6">
        <w:t xml:space="preserve"> advice to be provided to the public is “about the regulation of GMOs”</w:t>
      </w:r>
      <w:r w:rsidR="007F13C1">
        <w:t xml:space="preserve">, </w:t>
      </w:r>
      <w:r w:rsidR="001413D6">
        <w:t xml:space="preserve">whereas the </w:t>
      </w:r>
      <w:r w:rsidR="007F13C1">
        <w:t>O</w:t>
      </w:r>
      <w:r w:rsidR="001413D6">
        <w:t xml:space="preserve">GTR is required to provide advice to other regulatory agencies “about GMOs and GM products” (s 27(f)). Consequently, the </w:t>
      </w:r>
      <w:r w:rsidR="005557D9">
        <w:t>O</w:t>
      </w:r>
      <w:r w:rsidR="001413D6">
        <w:t xml:space="preserve">GTR’s defined advisory function </w:t>
      </w:r>
      <w:r w:rsidR="000A33F2">
        <w:t>does</w:t>
      </w:r>
      <w:r w:rsidR="001413D6">
        <w:t xml:space="preserve"> </w:t>
      </w:r>
      <w:r w:rsidR="001413D6">
        <w:lastRenderedPageBreak/>
        <w:t xml:space="preserve">not extend to providing information and advice about </w:t>
      </w:r>
      <w:r w:rsidR="001413D6" w:rsidRPr="00D518DD">
        <w:t xml:space="preserve">the efficacy of GMO vaccines to the general public. That is a matter expressly dealt with by s 61(5A) and (5C) of the Therapeutic Goods Act. </w:t>
      </w:r>
    </w:p>
    <w:p w14:paraId="41264612" w14:textId="388DB177" w:rsidR="001413D6" w:rsidRDefault="0026564F" w:rsidP="0026564F">
      <w:pPr>
        <w:pStyle w:val="ParaNumbering"/>
        <w:numPr>
          <w:ilvl w:val="0"/>
          <w:numId w:val="0"/>
        </w:numPr>
        <w:tabs>
          <w:tab w:val="left" w:pos="720"/>
        </w:tabs>
        <w:ind w:hanging="720"/>
      </w:pPr>
      <w:r>
        <w:rPr>
          <w:sz w:val="20"/>
        </w:rPr>
        <w:t>85</w:t>
      </w:r>
      <w:r>
        <w:rPr>
          <w:sz w:val="20"/>
        </w:rPr>
        <w:tab/>
      </w:r>
      <w:r w:rsidR="001413D6">
        <w:t xml:space="preserve">Further, while the </w:t>
      </w:r>
      <w:r w:rsidR="00747547">
        <w:t>O</w:t>
      </w:r>
      <w:r w:rsidR="001413D6">
        <w:t xml:space="preserve">GTR has an advisory function, that function is separate from the dealings which give rise to </w:t>
      </w:r>
      <w:r w:rsidR="000749E0">
        <w:t xml:space="preserve">the </w:t>
      </w:r>
      <w:r w:rsidR="001413D6">
        <w:t xml:space="preserve">offences under the Act </w:t>
      </w:r>
      <w:r w:rsidR="00C62EE2">
        <w:t xml:space="preserve">that </w:t>
      </w:r>
      <w:r w:rsidR="009005B2">
        <w:t>may be restrained by an injunction</w:t>
      </w:r>
      <w:r w:rsidR="001413D6">
        <w:t xml:space="preserve"> under s 147. That is, the advisory function in s 27 is not caught by the offence provisions in P</w:t>
      </w:r>
      <w:r w:rsidR="00653F69">
        <w:t>t</w:t>
      </w:r>
      <w:r w:rsidR="001413D6">
        <w:t xml:space="preserve"> 4 to which s 147 is tethered. </w:t>
      </w:r>
      <w:r w:rsidR="003C4DAF">
        <w:t>Therefore, the references in the Explanatory Memorandum to the OG</w:t>
      </w:r>
      <w:r w:rsidR="00331F2D">
        <w:t>T</w:t>
      </w:r>
      <w:r w:rsidR="003C4DAF">
        <w:t xml:space="preserve">R’s role </w:t>
      </w:r>
      <w:r w:rsidR="0062746B">
        <w:t>in advising consumers about the risks of GMOs does not assist the applicant’s construction of the Act</w:t>
      </w:r>
      <w:r w:rsidR="00BF6F38">
        <w:t xml:space="preserve"> with respect to standing</w:t>
      </w:r>
      <w:r w:rsidR="0062746B">
        <w:t xml:space="preserve">. </w:t>
      </w:r>
    </w:p>
    <w:p w14:paraId="6EB7AF2D" w14:textId="0DF62F9F" w:rsidR="00E66602" w:rsidRDefault="0026564F" w:rsidP="0026564F">
      <w:pPr>
        <w:pStyle w:val="Heading6"/>
        <w:numPr>
          <w:ilvl w:val="0"/>
          <w:numId w:val="0"/>
        </w:numPr>
        <w:tabs>
          <w:tab w:val="left" w:pos="1134"/>
        </w:tabs>
        <w:ind w:left="1134" w:hanging="1134"/>
      </w:pPr>
      <w:r>
        <w:t>5.6</w:t>
      </w:r>
      <w:r>
        <w:tab/>
      </w:r>
      <w:r w:rsidR="00E66602">
        <w:t>Meaning of “</w:t>
      </w:r>
      <w:r w:rsidR="00B716C8">
        <w:t xml:space="preserve">any </w:t>
      </w:r>
      <w:r w:rsidR="00E66602">
        <w:t>other aggrieved person” in s 147(1)</w:t>
      </w:r>
    </w:p>
    <w:p w14:paraId="0B91D928" w14:textId="5EE83997" w:rsidR="00E715BC" w:rsidRDefault="0026564F" w:rsidP="0026564F">
      <w:pPr>
        <w:pStyle w:val="ParaNumbering"/>
        <w:numPr>
          <w:ilvl w:val="0"/>
          <w:numId w:val="0"/>
        </w:numPr>
        <w:tabs>
          <w:tab w:val="left" w:pos="720"/>
        </w:tabs>
        <w:ind w:hanging="720"/>
      </w:pPr>
      <w:r>
        <w:rPr>
          <w:sz w:val="20"/>
        </w:rPr>
        <w:t>86</w:t>
      </w:r>
      <w:r>
        <w:rPr>
          <w:sz w:val="20"/>
        </w:rPr>
        <w:tab/>
      </w:r>
      <w:r w:rsidR="00E715BC" w:rsidRPr="004D2E7D">
        <w:t xml:space="preserve">Section 147 sits within Pt 10 which is </w:t>
      </w:r>
      <w:r w:rsidR="00366F0D">
        <w:t>en</w:t>
      </w:r>
      <w:r w:rsidR="00E715BC" w:rsidRPr="004D2E7D">
        <w:t xml:space="preserve">titled “Enforcement”. Section 147, together with the other provisions which make up Pt 10, are directed to the entirety of </w:t>
      </w:r>
      <w:r w:rsidR="00E715BC">
        <w:t xml:space="preserve">Pt </w:t>
      </w:r>
      <w:r w:rsidR="00E715BC" w:rsidRPr="004D2E7D">
        <w:t xml:space="preserve">4. The </w:t>
      </w:r>
      <w:r w:rsidR="00E715BC">
        <w:t>words</w:t>
      </w:r>
      <w:r w:rsidR="00E715BC" w:rsidRPr="004D2E7D">
        <w:t xml:space="preserve"> of s 147(1) expressly adopt the scope of dealings regulated by the GTA</w:t>
      </w:r>
      <w:r w:rsidR="00247E81">
        <w:t xml:space="preserve"> reflected in</w:t>
      </w:r>
      <w:r w:rsidR="00E715BC" w:rsidRPr="004D2E7D">
        <w:t xml:space="preserve"> the offence provisions</w:t>
      </w:r>
      <w:r w:rsidR="00E715BC">
        <w:t>:</w:t>
      </w:r>
    </w:p>
    <w:p w14:paraId="75447FF6" w14:textId="77777777" w:rsidR="00E715BC" w:rsidRDefault="00E715BC" w:rsidP="00E715BC">
      <w:pPr>
        <w:pStyle w:val="Quote1"/>
      </w:pPr>
      <w:r w:rsidRPr="00B161FE">
        <w:t xml:space="preserve">If a person has engaged, is engaging, or is about to engage in any conduct </w:t>
      </w:r>
      <w:r w:rsidRPr="00AD1EC4">
        <w:rPr>
          <w:i/>
          <w:iCs/>
        </w:rPr>
        <w:t>that is or would be an offence against this Act</w:t>
      </w:r>
      <w:r w:rsidRPr="00B161FE">
        <w:t xml:space="preserve"> or the regulations, the Federal Court of Australia (the </w:t>
      </w:r>
      <w:r w:rsidRPr="00B161FE">
        <w:rPr>
          <w:b/>
          <w:bCs/>
          <w:i/>
          <w:iCs/>
        </w:rPr>
        <w:t>Court</w:t>
      </w:r>
      <w:r w:rsidRPr="00B161FE">
        <w:t>) may, on the application of the Regulator or any other aggrieved person, grant an injunction restraining the person from engaging in the conduct.</w:t>
      </w:r>
    </w:p>
    <w:p w14:paraId="05EA289B" w14:textId="50FD3B2F" w:rsidR="00AD1EC4" w:rsidRDefault="00AD1EC4" w:rsidP="00E715BC">
      <w:pPr>
        <w:pStyle w:val="Quote1"/>
      </w:pPr>
      <w:r>
        <w:t>(Emphasis added.)</w:t>
      </w:r>
    </w:p>
    <w:p w14:paraId="74137F68" w14:textId="100D0793" w:rsidR="002D2D15" w:rsidRDefault="0026564F" w:rsidP="0026564F">
      <w:pPr>
        <w:pStyle w:val="ParaNumbering"/>
        <w:numPr>
          <w:ilvl w:val="0"/>
          <w:numId w:val="0"/>
        </w:numPr>
        <w:tabs>
          <w:tab w:val="left" w:pos="720"/>
        </w:tabs>
        <w:ind w:hanging="720"/>
      </w:pPr>
      <w:r>
        <w:rPr>
          <w:sz w:val="20"/>
        </w:rPr>
        <w:t>87</w:t>
      </w:r>
      <w:r>
        <w:rPr>
          <w:sz w:val="20"/>
        </w:rPr>
        <w:tab/>
      </w:r>
      <w:r w:rsidR="00E715BC" w:rsidRPr="004D2E7D">
        <w:t xml:space="preserve">An injunction may be granted “on the application of the Regulator or any other aggrieved person” but only to restrain “the conduct”, being “conduct that is or would be an offence under this Act”. </w:t>
      </w:r>
      <w:r w:rsidR="00E02931">
        <w:t xml:space="preserve">I have set out all the offence provisions above. </w:t>
      </w:r>
      <w:r w:rsidR="00244235">
        <w:t xml:space="preserve">The applicant has only </w:t>
      </w:r>
      <w:r w:rsidR="00322C25">
        <w:t>alleged that</w:t>
      </w:r>
      <w:r w:rsidR="00244235">
        <w:t xml:space="preserve"> the respondents contraven</w:t>
      </w:r>
      <w:r w:rsidR="00322C25">
        <w:t>ed</w:t>
      </w:r>
      <w:r w:rsidR="00244235">
        <w:t xml:space="preserve"> the offence</w:t>
      </w:r>
      <w:r w:rsidR="00FC7644">
        <w:t>s</w:t>
      </w:r>
      <w:r w:rsidR="00244235">
        <w:t xml:space="preserve"> in s 32 and s 33 of the Act by </w:t>
      </w:r>
      <w:r w:rsidR="00E715BC">
        <w:t>deal</w:t>
      </w:r>
      <w:r w:rsidR="00244235">
        <w:t>ing</w:t>
      </w:r>
      <w:r w:rsidR="00E715BC">
        <w:t xml:space="preserve"> with a GMO product in one of the ways set out in s 10 without a licence. </w:t>
      </w:r>
      <w:r w:rsidR="00CB00EB">
        <w:t xml:space="preserve">The other offence provisions </w:t>
      </w:r>
      <w:r w:rsidR="00A444A3">
        <w:t xml:space="preserve">dealing with the GMO register, notifiable low risk dealings and emergency dealings </w:t>
      </w:r>
      <w:r w:rsidR="00CB00EB">
        <w:t>are not rele</w:t>
      </w:r>
      <w:r w:rsidR="000E6127">
        <w:t xml:space="preserve">vant. </w:t>
      </w:r>
    </w:p>
    <w:p w14:paraId="3AE37067" w14:textId="64FE6F9F" w:rsidR="0097150B" w:rsidRPr="00FD36E3" w:rsidRDefault="0026564F" w:rsidP="0026564F">
      <w:pPr>
        <w:pStyle w:val="ParaNumbering"/>
        <w:numPr>
          <w:ilvl w:val="0"/>
          <w:numId w:val="0"/>
        </w:numPr>
        <w:tabs>
          <w:tab w:val="left" w:pos="720"/>
        </w:tabs>
        <w:ind w:hanging="720"/>
      </w:pPr>
      <w:r w:rsidRPr="00FD36E3">
        <w:rPr>
          <w:sz w:val="20"/>
        </w:rPr>
        <w:t>88</w:t>
      </w:r>
      <w:r w:rsidRPr="00FD36E3">
        <w:rPr>
          <w:sz w:val="20"/>
        </w:rPr>
        <w:tab/>
      </w:r>
      <w:r w:rsidR="00D304FA" w:rsidRPr="00247E81">
        <w:t xml:space="preserve">The applicant </w:t>
      </w:r>
      <w:r w:rsidR="00353BA2">
        <w:t>contends</w:t>
      </w:r>
      <w:r w:rsidR="00D304FA" w:rsidRPr="00247E81">
        <w:t xml:space="preserve"> that the specific dealings regulated by the Act are essential to the </w:t>
      </w:r>
      <w:r w:rsidR="009A3840">
        <w:t>administration</w:t>
      </w:r>
      <w:r w:rsidR="00D304FA" w:rsidRPr="00247E81">
        <w:t xml:space="preserve"> of GMO products to consumers </w:t>
      </w:r>
      <w:r w:rsidR="00A444A3">
        <w:t>—</w:t>
      </w:r>
      <w:r w:rsidR="00D304FA" w:rsidRPr="00247E81">
        <w:t xml:space="preserve"> specifically, </w:t>
      </w:r>
      <w:r w:rsidR="00DF2334">
        <w:t xml:space="preserve">the </w:t>
      </w:r>
      <w:r w:rsidR="00D304FA" w:rsidRPr="00247E81">
        <w:t>importation, transportation and disposal</w:t>
      </w:r>
      <w:r w:rsidR="00DF2334">
        <w:t xml:space="preserve"> of GMO products</w:t>
      </w:r>
      <w:r w:rsidR="00D304FA" w:rsidRPr="00247E81">
        <w:t>. The applicant says that “but for” these types of dealings, there could be no lawful consumption of GMO products by any person in Australia</w:t>
      </w:r>
      <w:r w:rsidR="00FC7644">
        <w:t>.</w:t>
      </w:r>
      <w:r w:rsidR="00D304FA" w:rsidRPr="00247E81">
        <w:t xml:space="preserve"> </w:t>
      </w:r>
      <w:r w:rsidR="00FC7644">
        <w:t xml:space="preserve">As such, </w:t>
      </w:r>
      <w:r w:rsidR="00D304FA" w:rsidRPr="00247E81">
        <w:t>the GTA, and by extension the OG</w:t>
      </w:r>
      <w:r w:rsidR="00331F2D">
        <w:t>T</w:t>
      </w:r>
      <w:r w:rsidR="00D304FA" w:rsidRPr="00247E81">
        <w:t xml:space="preserve">R, has “absolute control” over </w:t>
      </w:r>
      <w:r w:rsidR="00B92852" w:rsidRPr="00FD36E3">
        <w:t xml:space="preserve">the regulation of </w:t>
      </w:r>
      <w:r w:rsidR="00D304FA" w:rsidRPr="00FD36E3">
        <w:t>GM</w:t>
      </w:r>
      <w:r w:rsidR="00DF2334" w:rsidRPr="00FD36E3">
        <w:t>O</w:t>
      </w:r>
      <w:r w:rsidR="00D304FA" w:rsidRPr="00FD36E3">
        <w:t xml:space="preserve"> products in Australia. The applicant submits that but for the respondents</w:t>
      </w:r>
      <w:r w:rsidR="00A02544">
        <w:t>’</w:t>
      </w:r>
      <w:r w:rsidR="00D304FA" w:rsidRPr="00FD36E3">
        <w:t xml:space="preserve"> alleged </w:t>
      </w:r>
      <w:r w:rsidR="00AB26F4">
        <w:t>B</w:t>
      </w:r>
      <w:r w:rsidR="00D304FA" w:rsidRPr="00FD36E3">
        <w:t xml:space="preserve">reaches, the vaccines could </w:t>
      </w:r>
      <w:r w:rsidR="00D304FA" w:rsidRPr="00010906">
        <w:t xml:space="preserve">never have been </w:t>
      </w:r>
      <w:r w:rsidR="002A1DCB" w:rsidRPr="00010906">
        <w:t>imported</w:t>
      </w:r>
      <w:r w:rsidR="00F62735" w:rsidRPr="00F62735">
        <w:t>, transported</w:t>
      </w:r>
      <w:r w:rsidR="00D304FA" w:rsidRPr="00F62735">
        <w:t xml:space="preserve"> and ulti</w:t>
      </w:r>
      <w:r w:rsidR="00D304FA" w:rsidRPr="00FD36E3">
        <w:t xml:space="preserve">mately distributed to Dr Fidge and therefore he could not have administered the vaccines to patients or received the vaccine </w:t>
      </w:r>
      <w:r w:rsidR="00D304FA" w:rsidRPr="00FD36E3">
        <w:lastRenderedPageBreak/>
        <w:t>himself.</w:t>
      </w:r>
      <w:r w:rsidR="003F79E4" w:rsidRPr="00FD36E3">
        <w:t xml:space="preserve"> On this basis, the applicant concludes that </w:t>
      </w:r>
      <w:r w:rsidR="00561816">
        <w:t>he</w:t>
      </w:r>
      <w:r w:rsidR="003F79E4" w:rsidRPr="00FD36E3">
        <w:t xml:space="preserve"> is </w:t>
      </w:r>
      <w:r w:rsidR="008279AB" w:rsidRPr="00FD36E3">
        <w:t xml:space="preserve">an “aggrieved person” within the meaning of s 147(1). </w:t>
      </w:r>
    </w:p>
    <w:p w14:paraId="6B9AF52E" w14:textId="0E621CFB" w:rsidR="004B4423" w:rsidRPr="00FD36E3" w:rsidRDefault="0026564F" w:rsidP="0026564F">
      <w:pPr>
        <w:pStyle w:val="ParaNumbering"/>
        <w:numPr>
          <w:ilvl w:val="0"/>
          <w:numId w:val="0"/>
        </w:numPr>
        <w:tabs>
          <w:tab w:val="left" w:pos="720"/>
        </w:tabs>
        <w:ind w:hanging="720"/>
      </w:pPr>
      <w:r w:rsidRPr="00FD36E3">
        <w:rPr>
          <w:sz w:val="20"/>
        </w:rPr>
        <w:t>89</w:t>
      </w:r>
      <w:r w:rsidRPr="00FD36E3">
        <w:rPr>
          <w:sz w:val="20"/>
        </w:rPr>
        <w:tab/>
      </w:r>
      <w:r w:rsidR="004B4423" w:rsidRPr="00FD36E3">
        <w:t xml:space="preserve">I accept that </w:t>
      </w:r>
      <w:r w:rsidR="00F00B34" w:rsidRPr="00FD36E3">
        <w:t xml:space="preserve">the </w:t>
      </w:r>
      <w:r w:rsidR="004B4423" w:rsidRPr="00FD36E3">
        <w:t xml:space="preserve">purpose of Act is </w:t>
      </w:r>
      <w:r w:rsidR="004A674D" w:rsidRPr="00FD36E3">
        <w:t xml:space="preserve">slightly </w:t>
      </w:r>
      <w:r w:rsidR="004B4423" w:rsidRPr="00FD36E3">
        <w:t xml:space="preserve">broader than that posited by Pfizer. The Act indirectly regulates the administration of GMO vaccines to patients </w:t>
      </w:r>
      <w:r w:rsidR="00B36A9C">
        <w:t>by regulating the</w:t>
      </w:r>
      <w:r w:rsidR="004B4423" w:rsidRPr="00FD36E3">
        <w:t xml:space="preserve"> process </w:t>
      </w:r>
      <w:r w:rsidR="002F4702">
        <w:t>of importation</w:t>
      </w:r>
      <w:r w:rsidR="00070C41">
        <w:t>,</w:t>
      </w:r>
      <w:r w:rsidR="0053437D">
        <w:t xml:space="preserve"> distribution </w:t>
      </w:r>
      <w:r w:rsidR="00572EC5">
        <w:t>and supply</w:t>
      </w:r>
      <w:r w:rsidR="004B4423" w:rsidRPr="00FD36E3">
        <w:t xml:space="preserve"> of a GMO</w:t>
      </w:r>
      <w:r w:rsidR="00572EC5">
        <w:t xml:space="preserve"> product</w:t>
      </w:r>
      <w:r w:rsidR="004B4423" w:rsidRPr="00FD36E3">
        <w:t xml:space="preserve">. However, </w:t>
      </w:r>
      <w:r w:rsidR="0053437D">
        <w:t xml:space="preserve">I do not consider </w:t>
      </w:r>
      <w:r w:rsidR="00070C41">
        <w:t xml:space="preserve">that </w:t>
      </w:r>
      <w:r w:rsidR="006F2A2A">
        <w:t xml:space="preserve">that </w:t>
      </w:r>
      <w:r w:rsidR="00070C41">
        <w:t>con</w:t>
      </w:r>
      <w:r w:rsidR="00874FF9">
        <w:t>clusion assists the applicant</w:t>
      </w:r>
      <w:r w:rsidR="004B4423" w:rsidRPr="00FD36E3">
        <w:t xml:space="preserve">. </w:t>
      </w:r>
    </w:p>
    <w:p w14:paraId="42B48DAA" w14:textId="68AB4AD1" w:rsidR="00442BC6" w:rsidRPr="00FD36E3" w:rsidRDefault="0026564F" w:rsidP="0026564F">
      <w:pPr>
        <w:pStyle w:val="ParaNumbering"/>
        <w:numPr>
          <w:ilvl w:val="0"/>
          <w:numId w:val="0"/>
        </w:numPr>
        <w:tabs>
          <w:tab w:val="left" w:pos="720"/>
        </w:tabs>
        <w:ind w:hanging="720"/>
      </w:pPr>
      <w:r w:rsidRPr="00FD36E3">
        <w:rPr>
          <w:sz w:val="20"/>
        </w:rPr>
        <w:t>90</w:t>
      </w:r>
      <w:r w:rsidRPr="00FD36E3">
        <w:rPr>
          <w:sz w:val="20"/>
        </w:rPr>
        <w:tab/>
      </w:r>
      <w:r w:rsidR="00442BC6" w:rsidRPr="00FD36E3">
        <w:t>The GTA should not be viewed in isolation.</w:t>
      </w:r>
      <w:r w:rsidR="00551267" w:rsidRPr="00FD36E3">
        <w:t xml:space="preserve"> As s 4</w:t>
      </w:r>
      <w:r w:rsidR="006F2A2A">
        <w:t>(b)</w:t>
      </w:r>
      <w:r w:rsidR="00551267" w:rsidRPr="00FD36E3">
        <w:t xml:space="preserve"> of the Act and the Explanatory Memorandum make clear, </w:t>
      </w:r>
      <w:r w:rsidR="00874FF9">
        <w:t>the</w:t>
      </w:r>
      <w:r w:rsidR="00090D3B">
        <w:t xml:space="preserve"> </w:t>
      </w:r>
      <w:r w:rsidR="00874FF9">
        <w:t>GTA</w:t>
      </w:r>
      <w:r w:rsidR="00442BC6" w:rsidRPr="00FD36E3">
        <w:t xml:space="preserve"> is one statute in a broader regulatory framework that regulates GMOs. The legislature is clearly concerned with the</w:t>
      </w:r>
      <w:r w:rsidR="001E7F9C" w:rsidRPr="00FD36E3">
        <w:t xml:space="preserve"> risks posed to consumers from the</w:t>
      </w:r>
      <w:r w:rsidR="00442BC6" w:rsidRPr="00FD36E3">
        <w:t xml:space="preserve"> consumption or use of GMOs (in whatever form). However, </w:t>
      </w:r>
      <w:r w:rsidR="00551267" w:rsidRPr="00FD36E3">
        <w:t xml:space="preserve">the legislature has </w:t>
      </w:r>
      <w:r w:rsidR="009B0167" w:rsidRPr="00FD36E3">
        <w:t xml:space="preserve">made a clear choice </w:t>
      </w:r>
      <w:r w:rsidR="00551267" w:rsidRPr="00FD36E3">
        <w:t xml:space="preserve">that </w:t>
      </w:r>
      <w:r w:rsidR="00442BC6" w:rsidRPr="00FD36E3">
        <w:t xml:space="preserve">regulators </w:t>
      </w:r>
      <w:r w:rsidR="009B0167" w:rsidRPr="00FD36E3">
        <w:t xml:space="preserve">other than the OGTR </w:t>
      </w:r>
      <w:r w:rsidR="00442BC6" w:rsidRPr="00FD36E3">
        <w:t>are responsible for managing those risks</w:t>
      </w:r>
      <w:r w:rsidR="007606C9" w:rsidRPr="00FD36E3">
        <w:t xml:space="preserve"> even if, as the applicant </w:t>
      </w:r>
      <w:r w:rsidR="00F67F10">
        <w:t>contends</w:t>
      </w:r>
      <w:r w:rsidR="007606C9" w:rsidRPr="00FD36E3">
        <w:t>, GMO products could not lawfully reach the point of</w:t>
      </w:r>
      <w:r w:rsidR="00010906">
        <w:t xml:space="preserve"> administration or</w:t>
      </w:r>
      <w:r w:rsidR="007606C9" w:rsidRPr="00FD36E3">
        <w:t xml:space="preserve"> consumption </w:t>
      </w:r>
      <w:r w:rsidR="00F67F10">
        <w:t xml:space="preserve">in Australia </w:t>
      </w:r>
      <w:r w:rsidR="007606C9" w:rsidRPr="00FD36E3">
        <w:t xml:space="preserve">without </w:t>
      </w:r>
      <w:r w:rsidR="00636524" w:rsidRPr="00FD36E3">
        <w:t>a licence under the GTA</w:t>
      </w:r>
      <w:r w:rsidR="00442BC6" w:rsidRPr="00FD36E3">
        <w:t>.</w:t>
      </w:r>
    </w:p>
    <w:p w14:paraId="01A837F8" w14:textId="45019483" w:rsidR="00E25E6C" w:rsidRPr="00FD36E3" w:rsidRDefault="0026564F" w:rsidP="0026564F">
      <w:pPr>
        <w:pStyle w:val="ParaNumbering"/>
        <w:numPr>
          <w:ilvl w:val="0"/>
          <w:numId w:val="0"/>
        </w:numPr>
        <w:ind w:hanging="720"/>
        <w:rPr>
          <w:szCs w:val="22"/>
        </w:rPr>
      </w:pPr>
      <w:r w:rsidRPr="00FD36E3">
        <w:rPr>
          <w:sz w:val="20"/>
          <w:szCs w:val="22"/>
        </w:rPr>
        <w:t>91</w:t>
      </w:r>
      <w:r w:rsidRPr="00FD36E3">
        <w:rPr>
          <w:sz w:val="20"/>
          <w:szCs w:val="22"/>
        </w:rPr>
        <w:tab/>
      </w:r>
      <w:r w:rsidR="00D71705" w:rsidRPr="00FD36E3">
        <w:t>The applicant</w:t>
      </w:r>
      <w:r w:rsidR="00091934" w:rsidRPr="00FD36E3">
        <w:t>’s submission</w:t>
      </w:r>
      <w:r w:rsidR="0005294B" w:rsidRPr="00FD36E3">
        <w:t xml:space="preserve"> </w:t>
      </w:r>
      <w:r w:rsidR="00D71705" w:rsidRPr="00FD36E3">
        <w:t xml:space="preserve">that the </w:t>
      </w:r>
      <w:r w:rsidR="00551267" w:rsidRPr="00FD36E3">
        <w:t>O</w:t>
      </w:r>
      <w:r w:rsidR="00D71705" w:rsidRPr="00FD36E3">
        <w:t>GTR has “absolute control over the distribution of GMO vaccines in Australia”</w:t>
      </w:r>
      <w:r w:rsidR="001A108D" w:rsidRPr="00FD36E3">
        <w:t xml:space="preserve"> </w:t>
      </w:r>
      <w:r w:rsidR="00F24C5E" w:rsidRPr="00FD36E3">
        <w:t xml:space="preserve">is based on </w:t>
      </w:r>
      <w:r w:rsidR="000E74C6" w:rsidRPr="00FD36E3">
        <w:t>a</w:t>
      </w:r>
      <w:r w:rsidR="00B0160A">
        <w:t xml:space="preserve">n </w:t>
      </w:r>
      <w:r w:rsidR="00B0160A" w:rsidRPr="00010906">
        <w:t>expansive</w:t>
      </w:r>
      <w:r w:rsidR="000E74C6" w:rsidRPr="00FD36E3">
        <w:t xml:space="preserve"> view of t</w:t>
      </w:r>
      <w:r w:rsidR="00D71705" w:rsidRPr="00FD36E3">
        <w:t>he types of activities within the definition of “deal with”</w:t>
      </w:r>
      <w:r w:rsidR="00802A18">
        <w:t xml:space="preserve"> in s 10</w:t>
      </w:r>
      <w:r w:rsidR="000E74C6" w:rsidRPr="00FD36E3">
        <w:t xml:space="preserve">. </w:t>
      </w:r>
      <w:r w:rsidR="00316D76">
        <w:t>T</w:t>
      </w:r>
      <w:r w:rsidR="000E74C6" w:rsidRPr="00FD36E3">
        <w:t>he applicant’s construction fails to</w:t>
      </w:r>
      <w:r w:rsidR="00D71705" w:rsidRPr="00FD36E3">
        <w:t xml:space="preserve"> read those activities together with the other parts of the Act that explain how the </w:t>
      </w:r>
      <w:r w:rsidR="00551267" w:rsidRPr="00FD36E3">
        <w:t>O</w:t>
      </w:r>
      <w:r w:rsidR="00D71705" w:rsidRPr="00FD36E3">
        <w:t>GTR is</w:t>
      </w:r>
      <w:r w:rsidR="000E74C6" w:rsidRPr="00FD36E3">
        <w:t xml:space="preserve"> actually</w:t>
      </w:r>
      <w:r w:rsidR="00D71705" w:rsidRPr="00FD36E3">
        <w:t xml:space="preserve"> empowered to regulate those particular activities</w:t>
      </w:r>
      <w:r w:rsidR="00E25E6C" w:rsidRPr="00FD36E3">
        <w:t xml:space="preserve">. </w:t>
      </w:r>
      <w:r w:rsidR="00FA0A54" w:rsidRPr="00FD36E3">
        <w:t>The</w:t>
      </w:r>
      <w:r w:rsidR="00E25E6C" w:rsidRPr="00FD36E3">
        <w:t xml:space="preserve"> OGTR regulates only particular aspects of importation and transport</w:t>
      </w:r>
      <w:r w:rsidR="00316D76">
        <w:t>ation</w:t>
      </w:r>
      <w:r w:rsidR="00E25E6C" w:rsidRPr="00FD36E3">
        <w:t>, being those presenting biosafety risks. For example,</w:t>
      </w:r>
      <w:r w:rsidR="00D71705" w:rsidRPr="00FD36E3">
        <w:t xml:space="preserve"> s 6</w:t>
      </w:r>
      <w:r w:rsidR="00E82490" w:rsidRPr="00FD36E3">
        <w:t xml:space="preserve">2(2) sets </w:t>
      </w:r>
      <w:r w:rsidR="00D71705" w:rsidRPr="00FD36E3">
        <w:t>out licence condition</w:t>
      </w:r>
      <w:r w:rsidR="00671CA4">
        <w:t>s</w:t>
      </w:r>
      <w:r w:rsidR="00E8643B" w:rsidRPr="00FD36E3">
        <w:t xml:space="preserve"> that may be imposed</w:t>
      </w:r>
      <w:bookmarkStart w:id="24" w:name="paragraph"/>
      <w:r w:rsidR="00CF0EA5" w:rsidRPr="00FD36E3">
        <w:t xml:space="preserve"> on dealings</w:t>
      </w:r>
      <w:r w:rsidR="00152E8D" w:rsidRPr="00FD36E3">
        <w:t xml:space="preserve">, including those relating to </w:t>
      </w:r>
      <w:r w:rsidR="00833CEB" w:rsidRPr="00FD36E3">
        <w:t xml:space="preserve">the required level of containment in facilities </w:t>
      </w:r>
      <w:r w:rsidR="006372C2">
        <w:t xml:space="preserve">(subs </w:t>
      </w:r>
      <w:r w:rsidR="00833CEB" w:rsidRPr="00FD36E3">
        <w:t>(e)</w:t>
      </w:r>
      <w:r w:rsidR="006372C2">
        <w:t>)</w:t>
      </w:r>
      <w:r w:rsidR="00833CEB" w:rsidRPr="00FD36E3">
        <w:t xml:space="preserve">, waste disposal requirements (f), </w:t>
      </w:r>
      <w:r w:rsidR="006372C2">
        <w:t>“</w:t>
      </w:r>
      <w:r w:rsidR="005C2442" w:rsidRPr="00FD36E3">
        <w:rPr>
          <w:szCs w:val="22"/>
        </w:rPr>
        <w:t>actions to be taken in case of the release of a GMO from a contained environment</w:t>
      </w:r>
      <w:r w:rsidR="006372C2">
        <w:rPr>
          <w:szCs w:val="22"/>
        </w:rPr>
        <w:t>”</w:t>
      </w:r>
      <w:r w:rsidR="00833CEB" w:rsidRPr="00FD36E3">
        <w:rPr>
          <w:szCs w:val="22"/>
        </w:rPr>
        <w:t xml:space="preserve"> (j), “</w:t>
      </w:r>
      <w:r w:rsidR="005C2442" w:rsidRPr="00FD36E3">
        <w:rPr>
          <w:szCs w:val="22"/>
        </w:rPr>
        <w:t>supervision by, and monitoring by, Institutional Biosafety Committees</w:t>
      </w:r>
      <w:r w:rsidR="00833CEB" w:rsidRPr="00FD36E3">
        <w:rPr>
          <w:szCs w:val="22"/>
        </w:rPr>
        <w:t>” (m) and</w:t>
      </w:r>
      <w:bookmarkEnd w:id="24"/>
      <w:r w:rsidR="00833CEB" w:rsidRPr="00FD36E3">
        <w:rPr>
          <w:szCs w:val="22"/>
        </w:rPr>
        <w:t xml:space="preserve"> </w:t>
      </w:r>
      <w:r w:rsidR="006372C2">
        <w:rPr>
          <w:szCs w:val="22"/>
        </w:rPr>
        <w:t>“</w:t>
      </w:r>
      <w:r w:rsidR="005C2442" w:rsidRPr="00FD36E3">
        <w:rPr>
          <w:szCs w:val="22"/>
        </w:rPr>
        <w:t>limiting the dissemination or persistence of the GMO or its genetic material in the environment</w:t>
      </w:r>
      <w:r w:rsidR="006372C2">
        <w:rPr>
          <w:szCs w:val="22"/>
        </w:rPr>
        <w:t>”</w:t>
      </w:r>
      <w:r w:rsidR="00833CEB" w:rsidRPr="00FD36E3">
        <w:rPr>
          <w:szCs w:val="22"/>
        </w:rPr>
        <w:t xml:space="preserve"> (o)</w:t>
      </w:r>
      <w:r w:rsidR="005C2442" w:rsidRPr="00FD36E3">
        <w:rPr>
          <w:szCs w:val="22"/>
        </w:rPr>
        <w:t>.</w:t>
      </w:r>
    </w:p>
    <w:p w14:paraId="558CD40A" w14:textId="7821D552" w:rsidR="00D71705" w:rsidRPr="00FD36E3" w:rsidRDefault="0026564F" w:rsidP="0026564F">
      <w:pPr>
        <w:pStyle w:val="ParaNumbering"/>
        <w:numPr>
          <w:ilvl w:val="0"/>
          <w:numId w:val="0"/>
        </w:numPr>
        <w:tabs>
          <w:tab w:val="left" w:pos="720"/>
        </w:tabs>
        <w:ind w:hanging="720"/>
      </w:pPr>
      <w:r w:rsidRPr="00FD36E3">
        <w:rPr>
          <w:sz w:val="20"/>
        </w:rPr>
        <w:t>92</w:t>
      </w:r>
      <w:r w:rsidRPr="00FD36E3">
        <w:rPr>
          <w:sz w:val="20"/>
        </w:rPr>
        <w:tab/>
      </w:r>
      <w:r w:rsidR="00D71705" w:rsidRPr="00FD36E3">
        <w:t xml:space="preserve">By contrast, the TGA </w:t>
      </w:r>
      <w:r w:rsidR="00A5142D">
        <w:t>regulates the safety, efficacy and quality of therapeutic goods</w:t>
      </w:r>
      <w:r w:rsidR="008A660E">
        <w:t>,</w:t>
      </w:r>
      <w:r w:rsidR="00A5142D">
        <w:t xml:space="preserve"> and </w:t>
      </w:r>
      <w:r w:rsidR="00D71705" w:rsidRPr="00FD36E3">
        <w:t>controls which therapeutic goods can be imported and supplied in Australia. The applicant’s submission, in effect, assumes the “super-regulator” model which the legislature expressly disavowed when it adopted the gap-filler model proposed in the Bill.</w:t>
      </w:r>
    </w:p>
    <w:p w14:paraId="2C02343E" w14:textId="31DFF75F" w:rsidR="004B4423" w:rsidRPr="00247E81" w:rsidRDefault="0026564F" w:rsidP="0026564F">
      <w:pPr>
        <w:pStyle w:val="ParaNumbering"/>
        <w:numPr>
          <w:ilvl w:val="0"/>
          <w:numId w:val="0"/>
        </w:numPr>
        <w:tabs>
          <w:tab w:val="left" w:pos="720"/>
        </w:tabs>
        <w:ind w:hanging="720"/>
      </w:pPr>
      <w:r w:rsidRPr="00247E81">
        <w:rPr>
          <w:sz w:val="20"/>
        </w:rPr>
        <w:t>93</w:t>
      </w:r>
      <w:r w:rsidRPr="00247E81">
        <w:rPr>
          <w:sz w:val="20"/>
        </w:rPr>
        <w:tab/>
      </w:r>
      <w:r w:rsidR="007E6F6C" w:rsidRPr="00FD36E3">
        <w:t>Further, t</w:t>
      </w:r>
      <w:r w:rsidR="00636524" w:rsidRPr="00FD36E3">
        <w:t xml:space="preserve">he use of the words “or any other” </w:t>
      </w:r>
      <w:r w:rsidR="006C4290" w:rsidRPr="00FD36E3">
        <w:t xml:space="preserve">in s 147(1) </w:t>
      </w:r>
      <w:r w:rsidR="00636524" w:rsidRPr="00FD36E3">
        <w:t>suggest</w:t>
      </w:r>
      <w:r w:rsidR="00B81D24">
        <w:t xml:space="preserve"> that</w:t>
      </w:r>
      <w:r w:rsidR="00636524" w:rsidRPr="00FD36E3">
        <w:t xml:space="preserve"> standing of the “other aggrieved person” could be no wider than that of “the Regulator”. </w:t>
      </w:r>
      <w:r w:rsidR="006C4290" w:rsidRPr="00FD36E3">
        <w:t xml:space="preserve">The </w:t>
      </w:r>
      <w:r w:rsidR="00636524" w:rsidRPr="00FD36E3">
        <w:t xml:space="preserve">standing of the Regulator must necessarily be confined to preventing “dealings” prohibited </w:t>
      </w:r>
      <w:r w:rsidR="00B81D24">
        <w:t>by</w:t>
      </w:r>
      <w:r w:rsidR="00B81D24" w:rsidRPr="00FD36E3">
        <w:t xml:space="preserve"> </w:t>
      </w:r>
      <w:r w:rsidR="00636524" w:rsidRPr="00FD36E3">
        <w:t xml:space="preserve">the Act. </w:t>
      </w:r>
      <w:r w:rsidR="00303B09" w:rsidRPr="00FD36E3">
        <w:t xml:space="preserve">The Regulator </w:t>
      </w:r>
      <w:r w:rsidR="00303B09" w:rsidRPr="00FD36E3">
        <w:lastRenderedPageBreak/>
        <w:t>cannot seek injunctions under the GTA to prevent conduct that is regulated by another act</w:t>
      </w:r>
      <w:r w:rsidR="009463FD" w:rsidRPr="00FD36E3">
        <w:t xml:space="preserve"> for which another regulator is responsible. </w:t>
      </w:r>
      <w:r w:rsidR="003D013D" w:rsidRPr="00FD36E3">
        <w:t xml:space="preserve">The </w:t>
      </w:r>
      <w:r w:rsidR="00636524" w:rsidRPr="00FD36E3">
        <w:t xml:space="preserve">legislature </w:t>
      </w:r>
      <w:r w:rsidR="005152CA" w:rsidRPr="00FD36E3">
        <w:t>therefore cannot have intended</w:t>
      </w:r>
      <w:r w:rsidR="00636524" w:rsidRPr="00FD36E3">
        <w:t xml:space="preserve"> that </w:t>
      </w:r>
      <w:r w:rsidR="00DF7156">
        <w:t xml:space="preserve">a </w:t>
      </w:r>
      <w:r w:rsidR="00636524" w:rsidRPr="00FD36E3">
        <w:t>person aggrieved by conduct regulated by other</w:t>
      </w:r>
      <w:r w:rsidR="00636524" w:rsidRPr="00FD36E3">
        <w:rPr>
          <w:i/>
          <w:iCs/>
        </w:rPr>
        <w:t xml:space="preserve"> </w:t>
      </w:r>
      <w:r w:rsidR="00636524" w:rsidRPr="00FD36E3">
        <w:t>statutory regulators (here</w:t>
      </w:r>
      <w:r w:rsidR="007B0EB6">
        <w:t>,</w:t>
      </w:r>
      <w:r w:rsidR="00636524" w:rsidRPr="00FD36E3">
        <w:t xml:space="preserve"> the approval of vaccines by the TGA) would be able to seek an injunction under the GTA</w:t>
      </w:r>
      <w:r w:rsidR="00DF7156">
        <w:t xml:space="preserve"> to restrain that conduct</w:t>
      </w:r>
      <w:r w:rsidR="00636524" w:rsidRPr="00FD36E3">
        <w:t>.</w:t>
      </w:r>
      <w:r w:rsidR="00E61157" w:rsidRPr="00FD36E3">
        <w:t xml:space="preserve"> </w:t>
      </w:r>
      <w:r w:rsidR="00EC29F3">
        <w:t>Accordingly</w:t>
      </w:r>
      <w:r w:rsidR="001A33F3" w:rsidRPr="00FD36E3">
        <w:t>, a</w:t>
      </w:r>
      <w:r w:rsidR="00E61157" w:rsidRPr="00FD36E3">
        <w:t>n injunction under s 147(1) cannot be sought by a person who is aggrieved by the use of a GMO where that use is not one of the exhaustively defined dealings regulated by the Act.</w:t>
      </w:r>
      <w:r w:rsidR="00E61157">
        <w:t xml:space="preserve"> </w:t>
      </w:r>
    </w:p>
    <w:p w14:paraId="66CD3CD2" w14:textId="659C2262" w:rsidR="00D304FA" w:rsidRPr="00E317F5" w:rsidRDefault="0026564F" w:rsidP="0026564F">
      <w:pPr>
        <w:pStyle w:val="ParaNumbering"/>
        <w:numPr>
          <w:ilvl w:val="0"/>
          <w:numId w:val="0"/>
        </w:numPr>
        <w:tabs>
          <w:tab w:val="left" w:pos="720"/>
        </w:tabs>
        <w:ind w:hanging="720"/>
      </w:pPr>
      <w:r w:rsidRPr="00E317F5">
        <w:rPr>
          <w:sz w:val="20"/>
        </w:rPr>
        <w:t>94</w:t>
      </w:r>
      <w:r w:rsidRPr="00E317F5">
        <w:rPr>
          <w:sz w:val="20"/>
        </w:rPr>
        <w:tab/>
      </w:r>
      <w:r w:rsidR="00D304FA">
        <w:t xml:space="preserve">The applicant </w:t>
      </w:r>
      <w:r w:rsidR="0003676E">
        <w:t xml:space="preserve">further </w:t>
      </w:r>
      <w:r w:rsidR="004B4423">
        <w:t xml:space="preserve">submits </w:t>
      </w:r>
      <w:r w:rsidR="00D304FA">
        <w:t xml:space="preserve">that </w:t>
      </w:r>
      <w:r w:rsidR="0097150B">
        <w:t>he</w:t>
      </w:r>
      <w:r w:rsidR="00D304FA">
        <w:t xml:space="preserve"> does not need to be directly aggrieved by the </w:t>
      </w:r>
      <w:r w:rsidR="00202A3C">
        <w:t>conduct that may be an offence against the Act</w:t>
      </w:r>
      <w:r w:rsidR="00D304FA">
        <w:t xml:space="preserve"> but may establish standing if he is indirectly aggrieved</w:t>
      </w:r>
      <w:r w:rsidR="009463FD">
        <w:t>,</w:t>
      </w:r>
      <w:r w:rsidR="00B5400E" w:rsidRPr="00E317F5">
        <w:t xml:space="preserve"> in the sense that but for </w:t>
      </w:r>
      <w:r w:rsidR="00CE10D4" w:rsidRPr="00E317F5">
        <w:t xml:space="preserve">the </w:t>
      </w:r>
      <w:r w:rsidR="008E6524" w:rsidRPr="00E317F5">
        <w:t>r</w:t>
      </w:r>
      <w:r w:rsidR="009463FD" w:rsidRPr="00E317F5">
        <w:t>espondents</w:t>
      </w:r>
      <w:r w:rsidR="008E6524" w:rsidRPr="00E317F5">
        <w:t>’</w:t>
      </w:r>
      <w:r w:rsidR="009463FD" w:rsidRPr="00E317F5">
        <w:t xml:space="preserve"> Vaccine</w:t>
      </w:r>
      <w:r w:rsidR="00B5400E" w:rsidRPr="00E317F5">
        <w:t xml:space="preserve"> </w:t>
      </w:r>
      <w:r w:rsidR="009463FD" w:rsidRPr="00E317F5">
        <w:t>D</w:t>
      </w:r>
      <w:r w:rsidR="00B5400E" w:rsidRPr="00E317F5">
        <w:t>ealings</w:t>
      </w:r>
      <w:r w:rsidR="009463FD" w:rsidRPr="00E317F5">
        <w:t xml:space="preserve"> and Breaches</w:t>
      </w:r>
      <w:r w:rsidR="00B5400E" w:rsidRPr="00E317F5">
        <w:t xml:space="preserve"> he would never have administered </w:t>
      </w:r>
      <w:r w:rsidR="00F279E4" w:rsidRPr="00E317F5">
        <w:t>the vaccines or received them himself</w:t>
      </w:r>
      <w:r w:rsidR="00D304FA" w:rsidRPr="00E317F5">
        <w:t xml:space="preserve">. </w:t>
      </w:r>
      <w:r w:rsidR="009463FD" w:rsidRPr="00E317F5">
        <w:t>The applicant</w:t>
      </w:r>
      <w:r w:rsidR="00D304FA" w:rsidRPr="00E317F5">
        <w:t xml:space="preserve"> cites Brennan J’s comments in </w:t>
      </w:r>
      <w:r w:rsidR="00D304FA" w:rsidRPr="00C77296">
        <w:rPr>
          <w:i/>
          <w:iCs/>
        </w:rPr>
        <w:t xml:space="preserve">Re </w:t>
      </w:r>
      <w:proofErr w:type="spellStart"/>
      <w:r w:rsidR="00D304FA" w:rsidRPr="00C77296">
        <w:rPr>
          <w:b/>
          <w:bCs/>
          <w:i/>
          <w:iCs/>
        </w:rPr>
        <w:t>McHattan</w:t>
      </w:r>
      <w:proofErr w:type="spellEnd"/>
      <w:r w:rsidR="00D304FA" w:rsidRPr="00C77296">
        <w:rPr>
          <w:i/>
          <w:iCs/>
        </w:rPr>
        <w:t xml:space="preserve"> </w:t>
      </w:r>
      <w:r w:rsidR="00B423EF" w:rsidRPr="00C77296">
        <w:rPr>
          <w:i/>
          <w:iCs/>
        </w:rPr>
        <w:t>and</w:t>
      </w:r>
      <w:r w:rsidR="00D304FA" w:rsidRPr="00C77296">
        <w:rPr>
          <w:i/>
          <w:iCs/>
        </w:rPr>
        <w:t xml:space="preserve"> Collector of Customs</w:t>
      </w:r>
      <w:r w:rsidR="00D304FA" w:rsidRPr="00C77296">
        <w:t xml:space="preserve"> (1977) 18 ALR 154</w:t>
      </w:r>
      <w:r w:rsidR="00D304FA" w:rsidRPr="00E317F5">
        <w:t xml:space="preserve"> at 157, an Administrative Appeals Tribunal decision, for that proposition:</w:t>
      </w:r>
    </w:p>
    <w:p w14:paraId="6AA33B7F" w14:textId="25DC5E3F" w:rsidR="00D304FA" w:rsidRPr="00E317F5" w:rsidRDefault="00652116" w:rsidP="00D304FA">
      <w:pPr>
        <w:pStyle w:val="Quote1"/>
      </w:pPr>
      <w:r w:rsidRPr="00E317F5">
        <w:t>a decision</w:t>
      </w:r>
      <w:r w:rsidR="00D304FA" w:rsidRPr="00E317F5">
        <w:t xml:space="preserve"> which affects</w:t>
      </w:r>
      <w:r w:rsidR="000557EE" w:rsidRPr="00E317F5">
        <w:t xml:space="preserve"> the</w:t>
      </w:r>
      <w:r w:rsidR="00D304FA" w:rsidRPr="00E317F5">
        <w:t xml:space="preserve"> interest</w:t>
      </w:r>
      <w:r w:rsidR="000557EE" w:rsidRPr="00E317F5">
        <w:t>s</w:t>
      </w:r>
      <w:r w:rsidR="00D304FA" w:rsidRPr="00E317F5">
        <w:t xml:space="preserve"> of one person directly may affect the interest of others indirectly</w:t>
      </w:r>
      <w:r w:rsidR="00BD4416" w:rsidRPr="00E317F5">
        <w:t>.</w:t>
      </w:r>
      <w:r w:rsidR="008B058F">
        <w:t xml:space="preserve"> </w:t>
      </w:r>
      <w:r w:rsidR="00BD4416" w:rsidRPr="00E317F5">
        <w:t>A</w:t>
      </w:r>
      <w:r w:rsidR="00D304FA" w:rsidRPr="00E317F5">
        <w:t>cross the pool of sundry interest</w:t>
      </w:r>
      <w:r w:rsidR="00BD4416" w:rsidRPr="00E317F5">
        <w:t>s</w:t>
      </w:r>
      <w:r w:rsidR="00D304FA" w:rsidRPr="00E317F5">
        <w:t>, the ripples of affectation may widely extend.</w:t>
      </w:r>
    </w:p>
    <w:p w14:paraId="3C9B163F" w14:textId="625B5A17" w:rsidR="00FC7644" w:rsidRDefault="0026564F" w:rsidP="0026564F">
      <w:pPr>
        <w:pStyle w:val="ParaNumbering"/>
        <w:numPr>
          <w:ilvl w:val="0"/>
          <w:numId w:val="0"/>
        </w:numPr>
        <w:tabs>
          <w:tab w:val="left" w:pos="720"/>
        </w:tabs>
        <w:ind w:hanging="720"/>
      </w:pPr>
      <w:r>
        <w:rPr>
          <w:sz w:val="20"/>
        </w:rPr>
        <w:t>95</w:t>
      </w:r>
      <w:r>
        <w:rPr>
          <w:sz w:val="20"/>
        </w:rPr>
        <w:tab/>
      </w:r>
      <w:r w:rsidR="00D304FA" w:rsidRPr="00E317F5">
        <w:t xml:space="preserve">The applicant did not refer to any other authority that established that standing may derive from an indirect “aggrievement” or “special interest”. The applicant’s reliance on </w:t>
      </w:r>
      <w:proofErr w:type="spellStart"/>
      <w:r w:rsidR="00D304FA" w:rsidRPr="00E317F5">
        <w:rPr>
          <w:i/>
          <w:iCs/>
        </w:rPr>
        <w:t>McHattan</w:t>
      </w:r>
      <w:proofErr w:type="spellEnd"/>
      <w:r w:rsidR="00D304FA" w:rsidRPr="00E317F5">
        <w:rPr>
          <w:i/>
          <w:iCs/>
        </w:rPr>
        <w:t xml:space="preserve"> </w:t>
      </w:r>
      <w:r w:rsidR="00D304FA" w:rsidRPr="00E317F5">
        <w:t xml:space="preserve">is ill-conceived for two reasons. First, </w:t>
      </w:r>
      <w:proofErr w:type="spellStart"/>
      <w:r w:rsidR="00D304FA" w:rsidRPr="00E317F5">
        <w:rPr>
          <w:i/>
          <w:iCs/>
        </w:rPr>
        <w:t>McHattan</w:t>
      </w:r>
      <w:proofErr w:type="spellEnd"/>
      <w:r w:rsidR="00D304FA" w:rsidRPr="00E317F5">
        <w:rPr>
          <w:i/>
          <w:iCs/>
        </w:rPr>
        <w:t xml:space="preserve"> </w:t>
      </w:r>
      <w:r w:rsidR="00D304FA" w:rsidRPr="00E317F5">
        <w:t>has limited preced</w:t>
      </w:r>
      <w:r w:rsidR="001F01A9" w:rsidRPr="00E317F5">
        <w:t>en</w:t>
      </w:r>
      <w:r w:rsidR="00D304FA" w:rsidRPr="00E317F5">
        <w:t>tial authority as Brennan J</w:t>
      </w:r>
      <w:r w:rsidR="00D304FA">
        <w:t xml:space="preserve"> explicitly stated at 156 that “</w:t>
      </w:r>
      <w:r w:rsidR="00D304FA" w:rsidRPr="003E2BD8">
        <w:t>I should wish to restrict</w:t>
      </w:r>
      <w:r w:rsidR="00D304FA">
        <w:t xml:space="preserve"> </w:t>
      </w:r>
      <w:r w:rsidR="00D304FA" w:rsidRPr="003E2BD8">
        <w:t>the ambit of this decision so far as it may be restricted to the precise</w:t>
      </w:r>
      <w:r w:rsidR="00D304FA">
        <w:t xml:space="preserve"> </w:t>
      </w:r>
      <w:r w:rsidR="00D304FA" w:rsidRPr="003E2BD8">
        <w:t>circumstances of the present case</w:t>
      </w:r>
      <w:r w:rsidR="00D304FA">
        <w:t>”</w:t>
      </w:r>
      <w:r w:rsidR="00FC7644">
        <w:t>. The</w:t>
      </w:r>
      <w:r w:rsidR="00D304FA">
        <w:t xml:space="preserve"> </w:t>
      </w:r>
      <w:r w:rsidR="00FC7644">
        <w:t xml:space="preserve">case </w:t>
      </w:r>
      <w:r w:rsidR="00D304FA">
        <w:t xml:space="preserve">concerned judicial review under the </w:t>
      </w:r>
      <w:r w:rsidR="00D304FA" w:rsidRPr="00C77296">
        <w:rPr>
          <w:i/>
          <w:iCs/>
        </w:rPr>
        <w:t>Administrative Appeal Tribunal Act 1975</w:t>
      </w:r>
      <w:r w:rsidR="00D304FA" w:rsidRPr="00C77296">
        <w:t xml:space="preserve"> (</w:t>
      </w:r>
      <w:proofErr w:type="spellStart"/>
      <w:r w:rsidR="00D304FA" w:rsidRPr="00C77296">
        <w:t>Cth</w:t>
      </w:r>
      <w:proofErr w:type="spellEnd"/>
      <w:r w:rsidR="00D304FA" w:rsidRPr="00C77296">
        <w:t>)</w:t>
      </w:r>
      <w:r w:rsidR="00D304FA">
        <w:t xml:space="preserve"> of a decision of the Collector of Customs under the </w:t>
      </w:r>
      <w:r w:rsidR="00D304FA" w:rsidRPr="00C77296">
        <w:rPr>
          <w:i/>
          <w:iCs/>
        </w:rPr>
        <w:t xml:space="preserve">Customs Act 1901 </w:t>
      </w:r>
      <w:r w:rsidR="00D304FA" w:rsidRPr="00C77296">
        <w:t>(</w:t>
      </w:r>
      <w:proofErr w:type="spellStart"/>
      <w:r w:rsidR="00D304FA" w:rsidRPr="00C77296">
        <w:t>Cth</w:t>
      </w:r>
      <w:proofErr w:type="spellEnd"/>
      <w:r w:rsidR="00D304FA" w:rsidRPr="00C77296">
        <w:t>)</w:t>
      </w:r>
      <w:r w:rsidR="00D304FA" w:rsidRPr="003E2BD8">
        <w:t>.</w:t>
      </w:r>
      <w:r w:rsidR="00D304FA">
        <w:t xml:space="preserve"> </w:t>
      </w:r>
    </w:p>
    <w:p w14:paraId="132E76F8" w14:textId="4C1525E3" w:rsidR="00D304FA" w:rsidRDefault="0026564F" w:rsidP="0026564F">
      <w:pPr>
        <w:pStyle w:val="ParaNumbering"/>
        <w:numPr>
          <w:ilvl w:val="0"/>
          <w:numId w:val="0"/>
        </w:numPr>
        <w:tabs>
          <w:tab w:val="left" w:pos="720"/>
        </w:tabs>
        <w:ind w:hanging="720"/>
      </w:pPr>
      <w:r>
        <w:rPr>
          <w:sz w:val="20"/>
        </w:rPr>
        <w:t>96</w:t>
      </w:r>
      <w:r>
        <w:rPr>
          <w:sz w:val="20"/>
        </w:rPr>
        <w:tab/>
      </w:r>
      <w:r w:rsidR="00D304FA">
        <w:t xml:space="preserve">Second, the applicant has quoted Brennan J out of context. </w:t>
      </w:r>
      <w:r w:rsidR="000C68D7">
        <w:t>I</w:t>
      </w:r>
      <w:r w:rsidR="00D304FA">
        <w:t>mmediately following the passage</w:t>
      </w:r>
      <w:r w:rsidR="00D97A35">
        <w:t xml:space="preserve"> quoted by the applicant</w:t>
      </w:r>
      <w:r w:rsidR="000C68D7">
        <w:t>, Brennan J states (at 157)</w:t>
      </w:r>
      <w:r w:rsidR="00D304FA">
        <w:t>:</w:t>
      </w:r>
    </w:p>
    <w:p w14:paraId="7896B6EC" w14:textId="77777777" w:rsidR="00D304FA" w:rsidRPr="0075312E" w:rsidRDefault="00D304FA" w:rsidP="00D304FA">
      <w:pPr>
        <w:pStyle w:val="Quote1"/>
        <w:rPr>
          <w:shd w:val="clear" w:color="auto" w:fill="FFFFFF"/>
        </w:rPr>
      </w:pPr>
      <w:r>
        <w:rPr>
          <w:shd w:val="clear" w:color="auto" w:fill="FFFFFF"/>
        </w:rPr>
        <w:t>The problem which is inherent in the language of the statute is the determination of the point beyond which the affection of interests by a decision should be regarded as too remote for the purposes of s 27(1). The character of the decision is relevant, for if the interests relied on are of such a kind that a decision of the given character could not affect them directly, there must be some evidence to show that the interests are in truth affected. </w:t>
      </w:r>
    </w:p>
    <w:p w14:paraId="2EE4C4D7" w14:textId="6E6C4EBA" w:rsidR="00505C48" w:rsidRDefault="0026564F" w:rsidP="0026564F">
      <w:pPr>
        <w:pStyle w:val="ParaNumbering"/>
        <w:numPr>
          <w:ilvl w:val="0"/>
          <w:numId w:val="0"/>
        </w:numPr>
        <w:tabs>
          <w:tab w:val="left" w:pos="720"/>
        </w:tabs>
        <w:ind w:hanging="720"/>
      </w:pPr>
      <w:r>
        <w:rPr>
          <w:sz w:val="20"/>
        </w:rPr>
        <w:t>97</w:t>
      </w:r>
      <w:r>
        <w:rPr>
          <w:sz w:val="20"/>
        </w:rPr>
        <w:tab/>
      </w:r>
      <w:r w:rsidR="00D304FA">
        <w:t xml:space="preserve">Brennan J concluded that the applicant, who was a customs agent, did not have standing to challenge a decision of the Customs Collector to demand payment from one of his clients </w:t>
      </w:r>
      <w:r w:rsidR="00D304FA">
        <w:lastRenderedPageBreak/>
        <w:t>because the applicant’s commercial and reputational interests in his advice being shown to be erroneous by the decision was too tenuous or remote</w:t>
      </w:r>
      <w:r w:rsidR="00920036">
        <w:t xml:space="preserve"> to be affected </w:t>
      </w:r>
      <w:r w:rsidR="00FC7644">
        <w:t>“</w:t>
      </w:r>
      <w:r w:rsidR="00920036">
        <w:t>in truth</w:t>
      </w:r>
      <w:r w:rsidR="00FC7644">
        <w:t>”</w:t>
      </w:r>
      <w:r w:rsidR="00D304FA">
        <w:t xml:space="preserve">. </w:t>
      </w:r>
    </w:p>
    <w:p w14:paraId="48F469BB" w14:textId="34C7C20D" w:rsidR="00D304FA" w:rsidRDefault="0026564F" w:rsidP="0026564F">
      <w:pPr>
        <w:pStyle w:val="ParaNumbering"/>
        <w:numPr>
          <w:ilvl w:val="0"/>
          <w:numId w:val="0"/>
        </w:numPr>
        <w:tabs>
          <w:tab w:val="left" w:pos="720"/>
        </w:tabs>
        <w:ind w:hanging="720"/>
      </w:pPr>
      <w:r>
        <w:rPr>
          <w:sz w:val="20"/>
        </w:rPr>
        <w:t>98</w:t>
      </w:r>
      <w:r>
        <w:rPr>
          <w:sz w:val="20"/>
        </w:rPr>
        <w:tab/>
      </w:r>
      <w:r w:rsidR="00B061C1">
        <w:t xml:space="preserve">As such, </w:t>
      </w:r>
      <w:r w:rsidR="00D304FA">
        <w:t xml:space="preserve">the applicant has not pointed me to any relevant authority that supports </w:t>
      </w:r>
      <w:r w:rsidR="00246A5B">
        <w:t>his</w:t>
      </w:r>
      <w:r w:rsidR="00D304FA">
        <w:t xml:space="preserve"> submission that </w:t>
      </w:r>
      <w:r w:rsidR="009A55AF">
        <w:t xml:space="preserve">he </w:t>
      </w:r>
      <w:r w:rsidR="00D304FA">
        <w:t xml:space="preserve">need not be directly aggrieved by the “conduct that is an offence </w:t>
      </w:r>
      <w:r w:rsidR="002060FA">
        <w:t xml:space="preserve">against </w:t>
      </w:r>
      <w:r w:rsidR="00D304FA">
        <w:t>the Act” but may be indirectly impacted in some</w:t>
      </w:r>
      <w:r w:rsidR="00AB4B1C">
        <w:t xml:space="preserve"> remote</w:t>
      </w:r>
      <w:r w:rsidR="00D304FA">
        <w:t xml:space="preserve"> way. </w:t>
      </w:r>
    </w:p>
    <w:p w14:paraId="38270BEA" w14:textId="05840530" w:rsidR="001413D6" w:rsidRPr="004D2E7D" w:rsidRDefault="0026564F" w:rsidP="0026564F">
      <w:pPr>
        <w:pStyle w:val="ParaNumbering"/>
        <w:numPr>
          <w:ilvl w:val="0"/>
          <w:numId w:val="0"/>
        </w:numPr>
        <w:tabs>
          <w:tab w:val="left" w:pos="720"/>
        </w:tabs>
        <w:ind w:hanging="720"/>
      </w:pPr>
      <w:r w:rsidRPr="004D2E7D">
        <w:rPr>
          <w:sz w:val="20"/>
        </w:rPr>
        <w:t>99</w:t>
      </w:r>
      <w:r w:rsidRPr="004D2E7D">
        <w:rPr>
          <w:sz w:val="20"/>
        </w:rPr>
        <w:tab/>
      </w:r>
      <w:r w:rsidR="00057E1A">
        <w:t>Finally, t</w:t>
      </w:r>
      <w:r w:rsidR="005B3733">
        <w:t>he applicant</w:t>
      </w:r>
      <w:r w:rsidR="00AB4B1C">
        <w:t xml:space="preserve"> </w:t>
      </w:r>
      <w:r w:rsidR="00A712FB">
        <w:t>criticised Pfizer’s narrow construction of the Act. He</w:t>
      </w:r>
      <w:r w:rsidR="005B3733">
        <w:t xml:space="preserve"> essentially asked: if </w:t>
      </w:r>
      <w:r w:rsidR="00AD6F92">
        <w:t>I</w:t>
      </w:r>
      <w:r w:rsidR="00057E1A">
        <w:t xml:space="preserve"> do not have standing</w:t>
      </w:r>
      <w:r w:rsidR="005B3733">
        <w:t>, then who could possibly qualify as an aggrieved person under the Act</w:t>
      </w:r>
      <w:r w:rsidR="00860203">
        <w:t xml:space="preserve">? </w:t>
      </w:r>
      <w:r w:rsidR="00A712FB">
        <w:t xml:space="preserve">In response, </w:t>
      </w:r>
      <w:r w:rsidR="001413D6">
        <w:t>Pfizer gave</w:t>
      </w:r>
      <w:r w:rsidR="001413D6" w:rsidRPr="004D2E7D">
        <w:t xml:space="preserve"> two general categories of persons who may qualify as an aggrieved person for the purpose of s 147(1). </w:t>
      </w:r>
    </w:p>
    <w:p w14:paraId="4D00D7F0" w14:textId="7B0B8F43" w:rsidR="001413D6" w:rsidRPr="004D2E7D" w:rsidRDefault="0026564F" w:rsidP="0026564F">
      <w:pPr>
        <w:pStyle w:val="ParaNumbering"/>
        <w:numPr>
          <w:ilvl w:val="0"/>
          <w:numId w:val="0"/>
        </w:numPr>
        <w:tabs>
          <w:tab w:val="left" w:pos="720"/>
        </w:tabs>
        <w:ind w:hanging="720"/>
      </w:pPr>
      <w:r w:rsidRPr="004D2E7D">
        <w:rPr>
          <w:sz w:val="20"/>
        </w:rPr>
        <w:t>100</w:t>
      </w:r>
      <w:r w:rsidRPr="004D2E7D">
        <w:rPr>
          <w:sz w:val="20"/>
        </w:rPr>
        <w:tab/>
      </w:r>
      <w:r w:rsidR="001413D6" w:rsidRPr="004D2E7D">
        <w:t>First, a person may be aggrieved by conduct which is in breach of a condition, whether that be a breach of a licence condition, an emergency dealing determination condition, a condition included on the GMO Register or one of the conditions set out in the regulations in relation to notifiable low risk dealings. By way of example, ss 62 to 65 set out the various conditions which may be included in a licence. Section 62(2)</w:t>
      </w:r>
      <w:r w:rsidR="00707FCE">
        <w:t xml:space="preserve"> </w:t>
      </w:r>
      <w:r w:rsidR="001413D6" w:rsidRPr="004D2E7D">
        <w:t xml:space="preserve">states: </w:t>
      </w:r>
    </w:p>
    <w:p w14:paraId="3468FA6A" w14:textId="77777777" w:rsidR="001413D6" w:rsidRDefault="001413D6" w:rsidP="008D357A">
      <w:pPr>
        <w:pStyle w:val="Quote1"/>
        <w:ind w:left="1440" w:hanging="703"/>
      </w:pPr>
      <w:r>
        <w:t>(2) Licence conditions may relate to, but are not limited to, the following:</w:t>
      </w:r>
    </w:p>
    <w:p w14:paraId="103D2A3A" w14:textId="77777777" w:rsidR="007515FF" w:rsidRPr="007515FF" w:rsidRDefault="007515FF" w:rsidP="008D357A">
      <w:pPr>
        <w:pStyle w:val="Quote2"/>
      </w:pPr>
      <w:r w:rsidRPr="007515FF">
        <w:t>(a) the scope of the dealings authorised by the licence;</w:t>
      </w:r>
    </w:p>
    <w:p w14:paraId="1589B742" w14:textId="0510CFFA" w:rsidR="007515FF" w:rsidRPr="007515FF" w:rsidRDefault="007515FF" w:rsidP="008D357A">
      <w:pPr>
        <w:pStyle w:val="Quote2"/>
      </w:pPr>
      <w:r w:rsidRPr="007515FF">
        <w:t>(b) the purposes for which the dealings may be undertaken;</w:t>
      </w:r>
    </w:p>
    <w:p w14:paraId="5F481DB1" w14:textId="746D3173" w:rsidR="007515FF" w:rsidRPr="007515FF" w:rsidRDefault="007515FF" w:rsidP="008D357A">
      <w:pPr>
        <w:pStyle w:val="Quote2"/>
      </w:pPr>
      <w:r w:rsidRPr="007515FF">
        <w:t>(c) variations to the scope or purposes of the dealings;</w:t>
      </w:r>
    </w:p>
    <w:p w14:paraId="2BA076AB" w14:textId="1C0EF66F" w:rsidR="001413D6" w:rsidRDefault="007515FF" w:rsidP="008D357A">
      <w:pPr>
        <w:pStyle w:val="Quote2"/>
      </w:pPr>
      <w:r w:rsidRPr="007515FF">
        <w:t>(d) documentation and record</w:t>
      </w:r>
      <w:r w:rsidRPr="007515FF">
        <w:noBreakHyphen/>
        <w:t>keeping requirements;</w:t>
      </w:r>
      <w:r w:rsidR="001413D6">
        <w:t>(e) the required level of containment in respect of the dealings, including requirements relating to</w:t>
      </w:r>
      <w:r w:rsidR="00F3532D">
        <w:t xml:space="preserve"> </w:t>
      </w:r>
      <w:r w:rsidR="001413D6">
        <w:t>the certification of facilities to specified containment levels;</w:t>
      </w:r>
    </w:p>
    <w:p w14:paraId="45F55843" w14:textId="77777777" w:rsidR="001413D6" w:rsidRDefault="001413D6" w:rsidP="008D357A">
      <w:pPr>
        <w:pStyle w:val="Quote2"/>
      </w:pPr>
      <w:r>
        <w:t>(f) waste disposal requirements;</w:t>
      </w:r>
    </w:p>
    <w:p w14:paraId="7047C985" w14:textId="77777777" w:rsidR="001413D6" w:rsidRDefault="001413D6" w:rsidP="008D357A">
      <w:pPr>
        <w:pStyle w:val="Quote2"/>
      </w:pPr>
      <w:r>
        <w:t>(g) measures to manage risks posed to the health and safety of people, or to the environment;</w:t>
      </w:r>
    </w:p>
    <w:p w14:paraId="5261D7D1" w14:textId="555811B0" w:rsidR="0018549C" w:rsidRPr="0018549C" w:rsidRDefault="009A3840" w:rsidP="008D357A">
      <w:pPr>
        <w:pStyle w:val="Quote2"/>
      </w:pPr>
      <w:r>
        <w:t>(</w:t>
      </w:r>
      <w:r w:rsidR="0018549C" w:rsidRPr="0018549C">
        <w:t>h) data collection, including studies to be conducted;</w:t>
      </w:r>
    </w:p>
    <w:p w14:paraId="0D0AE297" w14:textId="00FC91AC" w:rsidR="001413D6" w:rsidRDefault="0018549C" w:rsidP="009A3840">
      <w:pPr>
        <w:pStyle w:val="Quote2"/>
      </w:pPr>
      <w:r w:rsidRPr="0018549C">
        <w:t>(</w:t>
      </w:r>
      <w:proofErr w:type="spellStart"/>
      <w:r w:rsidRPr="0018549C">
        <w:t>i</w:t>
      </w:r>
      <w:proofErr w:type="spellEnd"/>
      <w:r w:rsidRPr="0018549C">
        <w:t>) auditing and reporting;</w:t>
      </w:r>
    </w:p>
    <w:p w14:paraId="75A3644A" w14:textId="77777777" w:rsidR="001413D6" w:rsidRDefault="001413D6" w:rsidP="008D357A">
      <w:pPr>
        <w:pStyle w:val="Quote2"/>
      </w:pPr>
      <w:r>
        <w:t>(j) actions to be taken in case of the release of a GMO from a contained environment;</w:t>
      </w:r>
    </w:p>
    <w:p w14:paraId="184B55E2" w14:textId="77777777" w:rsidR="001413D6" w:rsidRDefault="001413D6" w:rsidP="008D357A">
      <w:pPr>
        <w:pStyle w:val="Quote2"/>
      </w:pPr>
      <w:r>
        <w:t>(k) the geographic area in which the dealings authorised by the licence may occur;</w:t>
      </w:r>
    </w:p>
    <w:p w14:paraId="1D2A8144" w14:textId="6B05ADE8" w:rsidR="001413D6" w:rsidRDefault="0018549C" w:rsidP="008D357A">
      <w:pPr>
        <w:pStyle w:val="Quote2"/>
      </w:pPr>
      <w:r w:rsidRPr="0018549C">
        <w:t>(l) requiring compliance with a code of practice issued under section 24, or a technical or procedural guideline issued under section 27;</w:t>
      </w:r>
    </w:p>
    <w:p w14:paraId="02ADD018" w14:textId="77777777" w:rsidR="001413D6" w:rsidRDefault="001413D6" w:rsidP="008D357A">
      <w:pPr>
        <w:pStyle w:val="Quote2"/>
      </w:pPr>
      <w:r>
        <w:t>(m) supervision by, and monitoring by, Institutional Biosafety Committees;</w:t>
      </w:r>
    </w:p>
    <w:p w14:paraId="6114D9A5" w14:textId="77777777" w:rsidR="001413D6" w:rsidRDefault="001413D6" w:rsidP="008D357A">
      <w:pPr>
        <w:pStyle w:val="Quote2"/>
      </w:pPr>
      <w:r>
        <w:t xml:space="preserve">(n) contingency planning in respect of unintended effects of the dealings </w:t>
      </w:r>
      <w:r>
        <w:lastRenderedPageBreak/>
        <w:t>authorised by the licence;</w:t>
      </w:r>
    </w:p>
    <w:p w14:paraId="723F389F" w14:textId="440A7CAC" w:rsidR="002060FA" w:rsidRDefault="001413D6" w:rsidP="00EC1B6B">
      <w:pPr>
        <w:pStyle w:val="Quote2"/>
      </w:pPr>
      <w:r>
        <w:t>(o) limiting the dissemination or persistence of the GMO or its genetic material in the environment.</w:t>
      </w:r>
    </w:p>
    <w:p w14:paraId="13BA60DB" w14:textId="08C14F4A" w:rsidR="001413D6" w:rsidRDefault="0026564F" w:rsidP="0026564F">
      <w:pPr>
        <w:pStyle w:val="ParaNumbering"/>
        <w:numPr>
          <w:ilvl w:val="0"/>
          <w:numId w:val="0"/>
        </w:numPr>
        <w:tabs>
          <w:tab w:val="left" w:pos="720"/>
        </w:tabs>
        <w:ind w:hanging="720"/>
      </w:pPr>
      <w:r>
        <w:rPr>
          <w:sz w:val="20"/>
        </w:rPr>
        <w:t>101</w:t>
      </w:r>
      <w:r>
        <w:rPr>
          <w:sz w:val="20"/>
        </w:rPr>
        <w:tab/>
      </w:r>
      <w:r w:rsidR="001413D6">
        <w:t xml:space="preserve">These are examples of conditions </w:t>
      </w:r>
      <w:r w:rsidR="005C60C7">
        <w:t xml:space="preserve">the </w:t>
      </w:r>
      <w:r w:rsidR="001413D6">
        <w:t>breach of which may cause grievance to either individuals directly interacting with a GMO, or people at locations which are adjacent to the location where the GMO is used or released. Individuals directly interacting with a GMO could include laboratory technicians, individuals involved in manufacturing GMO</w:t>
      </w:r>
      <w:r w:rsidR="002060FA">
        <w:t>s</w:t>
      </w:r>
      <w:r w:rsidR="001413D6">
        <w:t xml:space="preserve"> or individuals responsible for transporting GMO</w:t>
      </w:r>
      <w:r w:rsidR="002060FA">
        <w:t>s</w:t>
      </w:r>
      <w:r w:rsidR="001413D6">
        <w:t xml:space="preserve">. </w:t>
      </w:r>
    </w:p>
    <w:p w14:paraId="466882F5" w14:textId="434D54F7" w:rsidR="001413D6" w:rsidRDefault="0026564F" w:rsidP="0026564F">
      <w:pPr>
        <w:pStyle w:val="ParaNumbering"/>
        <w:numPr>
          <w:ilvl w:val="0"/>
          <w:numId w:val="0"/>
        </w:numPr>
        <w:tabs>
          <w:tab w:val="left" w:pos="720"/>
        </w:tabs>
        <w:ind w:hanging="720"/>
        <w:rPr>
          <w:szCs w:val="24"/>
        </w:rPr>
      </w:pPr>
      <w:r>
        <w:rPr>
          <w:sz w:val="20"/>
          <w:szCs w:val="24"/>
        </w:rPr>
        <w:t>102</w:t>
      </w:r>
      <w:r>
        <w:rPr>
          <w:sz w:val="20"/>
          <w:szCs w:val="24"/>
        </w:rPr>
        <w:tab/>
      </w:r>
      <w:r w:rsidR="001413D6" w:rsidRPr="0044667C">
        <w:rPr>
          <w:szCs w:val="24"/>
        </w:rPr>
        <w:t>The second categor</w:t>
      </w:r>
      <w:r w:rsidR="0044667C" w:rsidRPr="0044667C">
        <w:rPr>
          <w:szCs w:val="24"/>
        </w:rPr>
        <w:t>y</w:t>
      </w:r>
      <w:r w:rsidR="001413D6" w:rsidRPr="0044667C">
        <w:rPr>
          <w:szCs w:val="24"/>
        </w:rPr>
        <w:t xml:space="preserve"> encompasses persons who may be aggrieved by the biosafety risks arising from conduct that constitutes a dealing but for which no licence was sought and for which no conditions have been imposed to mitigate biosafety risks. </w:t>
      </w:r>
      <w:r w:rsidR="0044667C" w:rsidRPr="0044667C">
        <w:rPr>
          <w:szCs w:val="24"/>
        </w:rPr>
        <w:t xml:space="preserve">Such a person may include </w:t>
      </w:r>
      <w:r w:rsidR="001413D6" w:rsidRPr="0044667C">
        <w:rPr>
          <w:szCs w:val="24"/>
        </w:rPr>
        <w:t xml:space="preserve">a transport worker who was handling vials of </w:t>
      </w:r>
      <w:r w:rsidR="003A0B53">
        <w:rPr>
          <w:szCs w:val="24"/>
        </w:rPr>
        <w:t>GMO products</w:t>
      </w:r>
      <w:r w:rsidR="001413D6" w:rsidRPr="0044667C">
        <w:rPr>
          <w:szCs w:val="24"/>
        </w:rPr>
        <w:t xml:space="preserve"> that were unlicenced </w:t>
      </w:r>
      <w:r w:rsidR="0044667C" w:rsidRPr="0044667C">
        <w:rPr>
          <w:szCs w:val="24"/>
        </w:rPr>
        <w:t>and therefore did not know</w:t>
      </w:r>
      <w:r w:rsidR="003A0B53">
        <w:rPr>
          <w:szCs w:val="24"/>
        </w:rPr>
        <w:t xml:space="preserve"> of</w:t>
      </w:r>
      <w:r w:rsidR="0044667C" w:rsidRPr="0044667C">
        <w:rPr>
          <w:szCs w:val="24"/>
        </w:rPr>
        <w:t>, and did not take relevant precautions to deal with</w:t>
      </w:r>
      <w:r w:rsidR="00F232C7">
        <w:rPr>
          <w:szCs w:val="24"/>
        </w:rPr>
        <w:t>,</w:t>
      </w:r>
      <w:r w:rsidR="0044667C" w:rsidRPr="0044667C">
        <w:rPr>
          <w:szCs w:val="24"/>
        </w:rPr>
        <w:t xml:space="preserve"> the relevant risks. A further example </w:t>
      </w:r>
      <w:r w:rsidR="001413D6" w:rsidRPr="0044667C">
        <w:rPr>
          <w:szCs w:val="24"/>
        </w:rPr>
        <w:t xml:space="preserve">might be someone who owned land upon which </w:t>
      </w:r>
      <w:r w:rsidR="0044667C" w:rsidRPr="0044667C">
        <w:rPr>
          <w:szCs w:val="24"/>
        </w:rPr>
        <w:t>GMO products</w:t>
      </w:r>
      <w:r w:rsidR="001413D6" w:rsidRPr="0044667C">
        <w:rPr>
          <w:szCs w:val="24"/>
        </w:rPr>
        <w:t xml:space="preserve"> were being disposed of </w:t>
      </w:r>
      <w:r w:rsidR="0056015F">
        <w:rPr>
          <w:szCs w:val="24"/>
        </w:rPr>
        <w:t xml:space="preserve">and </w:t>
      </w:r>
      <w:r w:rsidR="001413D6" w:rsidRPr="0044667C">
        <w:rPr>
          <w:szCs w:val="24"/>
        </w:rPr>
        <w:t>where there were occupational risks and environmental risks</w:t>
      </w:r>
      <w:r w:rsidR="0044667C" w:rsidRPr="0044667C">
        <w:rPr>
          <w:szCs w:val="24"/>
        </w:rPr>
        <w:t xml:space="preserve"> associated with the </w:t>
      </w:r>
      <w:r w:rsidR="0056015F">
        <w:rPr>
          <w:szCs w:val="24"/>
        </w:rPr>
        <w:t xml:space="preserve">disposal and </w:t>
      </w:r>
      <w:r w:rsidR="0044667C" w:rsidRPr="0044667C">
        <w:rPr>
          <w:szCs w:val="24"/>
        </w:rPr>
        <w:t>storage of those material</w:t>
      </w:r>
      <w:r w:rsidR="00080ED3">
        <w:rPr>
          <w:szCs w:val="24"/>
        </w:rPr>
        <w:t>s</w:t>
      </w:r>
      <w:r w:rsidR="0044667C" w:rsidRPr="0044667C">
        <w:rPr>
          <w:szCs w:val="24"/>
        </w:rPr>
        <w:t xml:space="preserve">. </w:t>
      </w:r>
    </w:p>
    <w:p w14:paraId="264D8A5F" w14:textId="75AE85BB" w:rsidR="005F61D1" w:rsidRPr="0044667C" w:rsidRDefault="0026564F" w:rsidP="0026564F">
      <w:pPr>
        <w:pStyle w:val="ParaNumbering"/>
        <w:numPr>
          <w:ilvl w:val="0"/>
          <w:numId w:val="0"/>
        </w:numPr>
        <w:tabs>
          <w:tab w:val="left" w:pos="720"/>
        </w:tabs>
        <w:ind w:hanging="720"/>
        <w:rPr>
          <w:szCs w:val="24"/>
        </w:rPr>
      </w:pPr>
      <w:r w:rsidRPr="0044667C">
        <w:rPr>
          <w:sz w:val="20"/>
          <w:szCs w:val="24"/>
        </w:rPr>
        <w:t>103</w:t>
      </w:r>
      <w:r w:rsidRPr="0044667C">
        <w:rPr>
          <w:sz w:val="20"/>
          <w:szCs w:val="24"/>
        </w:rPr>
        <w:tab/>
      </w:r>
      <w:r w:rsidR="005F61D1">
        <w:rPr>
          <w:szCs w:val="24"/>
        </w:rPr>
        <w:t xml:space="preserve">I accept that these are </w:t>
      </w:r>
      <w:r w:rsidR="009B6F7C">
        <w:rPr>
          <w:szCs w:val="24"/>
        </w:rPr>
        <w:t>plausible</w:t>
      </w:r>
      <w:r w:rsidR="005F61D1">
        <w:rPr>
          <w:szCs w:val="24"/>
        </w:rPr>
        <w:t xml:space="preserve"> examples of persons who may constitute “any other aggrieved </w:t>
      </w:r>
      <w:r w:rsidR="009B6F7C">
        <w:rPr>
          <w:szCs w:val="24"/>
        </w:rPr>
        <w:t>person” under the Act. I therefore reject the applicant’s</w:t>
      </w:r>
      <w:r w:rsidR="000D4D1C">
        <w:rPr>
          <w:szCs w:val="24"/>
        </w:rPr>
        <w:t xml:space="preserve"> assertion that Pfizer’s construction of the Act is so </w:t>
      </w:r>
      <w:r w:rsidR="002B3EE4">
        <w:rPr>
          <w:szCs w:val="24"/>
        </w:rPr>
        <w:t>“</w:t>
      </w:r>
      <w:r w:rsidR="000D4D1C">
        <w:rPr>
          <w:szCs w:val="24"/>
        </w:rPr>
        <w:t>narrow</w:t>
      </w:r>
      <w:r w:rsidR="002B3EE4">
        <w:rPr>
          <w:szCs w:val="24"/>
        </w:rPr>
        <w:t xml:space="preserve">, </w:t>
      </w:r>
      <w:r w:rsidR="000D4D1C">
        <w:rPr>
          <w:szCs w:val="24"/>
        </w:rPr>
        <w:t>myopic</w:t>
      </w:r>
      <w:r w:rsidR="002B3EE4">
        <w:rPr>
          <w:szCs w:val="24"/>
        </w:rPr>
        <w:t xml:space="preserve"> and restrictive”</w:t>
      </w:r>
      <w:r w:rsidR="000D4D1C">
        <w:rPr>
          <w:szCs w:val="24"/>
        </w:rPr>
        <w:t xml:space="preserve"> that </w:t>
      </w:r>
      <w:r w:rsidR="00DD6F09">
        <w:rPr>
          <w:szCs w:val="24"/>
        </w:rPr>
        <w:t xml:space="preserve">it prevents </w:t>
      </w:r>
      <w:r w:rsidR="00DB59FA">
        <w:rPr>
          <w:szCs w:val="24"/>
        </w:rPr>
        <w:t xml:space="preserve">basically anyone, or at least </w:t>
      </w:r>
      <w:r w:rsidR="00DD6F09">
        <w:rPr>
          <w:szCs w:val="24"/>
        </w:rPr>
        <w:t>those with a real interest</w:t>
      </w:r>
      <w:r w:rsidR="00DB59FA">
        <w:rPr>
          <w:szCs w:val="24"/>
        </w:rPr>
        <w:t>,</w:t>
      </w:r>
      <w:r w:rsidR="00DD6F09">
        <w:rPr>
          <w:szCs w:val="24"/>
        </w:rPr>
        <w:t xml:space="preserve"> </w:t>
      </w:r>
      <w:r w:rsidR="00DB59FA">
        <w:rPr>
          <w:szCs w:val="24"/>
        </w:rPr>
        <w:t>from having</w:t>
      </w:r>
      <w:r w:rsidR="007D2973">
        <w:rPr>
          <w:szCs w:val="24"/>
        </w:rPr>
        <w:t xml:space="preserve"> </w:t>
      </w:r>
      <w:r w:rsidR="00DD6F09">
        <w:rPr>
          <w:szCs w:val="24"/>
        </w:rPr>
        <w:t>standing to challenge breaches of the Act</w:t>
      </w:r>
      <w:r w:rsidR="00DB59FA">
        <w:rPr>
          <w:szCs w:val="24"/>
        </w:rPr>
        <w:t>.</w:t>
      </w:r>
    </w:p>
    <w:p w14:paraId="47A203EE" w14:textId="3F09CA9C" w:rsidR="00A2719C" w:rsidRPr="00A2719C" w:rsidRDefault="0026564F" w:rsidP="0026564F">
      <w:pPr>
        <w:pStyle w:val="Heading6"/>
        <w:numPr>
          <w:ilvl w:val="0"/>
          <w:numId w:val="0"/>
        </w:numPr>
        <w:tabs>
          <w:tab w:val="left" w:pos="1134"/>
        </w:tabs>
        <w:ind w:left="1134" w:hanging="1134"/>
      </w:pPr>
      <w:r w:rsidRPr="00A2719C">
        <w:t>5.7</w:t>
      </w:r>
      <w:r w:rsidRPr="00A2719C">
        <w:tab/>
      </w:r>
      <w:r w:rsidR="00A2719C" w:rsidRPr="00A2719C">
        <w:t xml:space="preserve">Conclusion </w:t>
      </w:r>
    </w:p>
    <w:p w14:paraId="7960EA0D" w14:textId="001EF781" w:rsidR="006F641A" w:rsidRDefault="0026564F" w:rsidP="0026564F">
      <w:pPr>
        <w:pStyle w:val="ParaNumbering"/>
        <w:numPr>
          <w:ilvl w:val="0"/>
          <w:numId w:val="0"/>
        </w:numPr>
        <w:tabs>
          <w:tab w:val="left" w:pos="720"/>
        </w:tabs>
        <w:ind w:hanging="720"/>
      </w:pPr>
      <w:r>
        <w:rPr>
          <w:sz w:val="20"/>
        </w:rPr>
        <w:t>104</w:t>
      </w:r>
      <w:r>
        <w:rPr>
          <w:sz w:val="20"/>
        </w:rPr>
        <w:tab/>
      </w:r>
      <w:r w:rsidR="002B0340">
        <w:t xml:space="preserve">The scope of </w:t>
      </w:r>
      <w:r w:rsidR="00AB7991">
        <w:t xml:space="preserve">GTA </w:t>
      </w:r>
      <w:r w:rsidR="002B0340">
        <w:t xml:space="preserve">is confined and intended to operate in a broader regulatory landscape </w:t>
      </w:r>
      <w:r w:rsidR="003D6D8A">
        <w:t xml:space="preserve">with </w:t>
      </w:r>
      <w:r w:rsidR="00F564AD">
        <w:t>other statutes</w:t>
      </w:r>
      <w:r w:rsidR="00AB4ACC">
        <w:t xml:space="preserve">, </w:t>
      </w:r>
      <w:r w:rsidR="0009785B">
        <w:t>including</w:t>
      </w:r>
      <w:r w:rsidR="002B0340">
        <w:t xml:space="preserve"> the </w:t>
      </w:r>
      <w:r w:rsidR="002B0340" w:rsidRPr="008D357A">
        <w:t>Therapeutic Goods Act</w:t>
      </w:r>
      <w:r w:rsidR="002B0340">
        <w:t xml:space="preserve">. </w:t>
      </w:r>
      <w:r w:rsidR="00307B4A">
        <w:t xml:space="preserve">The GTA </w:t>
      </w:r>
      <w:r w:rsidR="0009785B">
        <w:t>regulates specific dealings</w:t>
      </w:r>
      <w:r w:rsidR="008D357A">
        <w:t xml:space="preserve"> with GMOs</w:t>
      </w:r>
      <w:r w:rsidR="0009785B">
        <w:t xml:space="preserve"> that pose a biosafety risk to people or the environment. The Act </w:t>
      </w:r>
      <w:r w:rsidR="00307B4A">
        <w:t xml:space="preserve">does not regulate the quality, efficacy and safety of GMO vaccines </w:t>
      </w:r>
      <w:r w:rsidR="00DA2E55">
        <w:t>for</w:t>
      </w:r>
      <w:r w:rsidR="00307B4A">
        <w:t xml:space="preserve"> administration to </w:t>
      </w:r>
      <w:r w:rsidR="00242103">
        <w:t>humans</w:t>
      </w:r>
      <w:r w:rsidR="00F564AD">
        <w:t>;</w:t>
      </w:r>
      <w:r w:rsidR="00DA2E55">
        <w:t xml:space="preserve"> th</w:t>
      </w:r>
      <w:r w:rsidR="00242103">
        <w:t xml:space="preserve">at is the role of the </w:t>
      </w:r>
      <w:r w:rsidR="00242103" w:rsidRPr="008D357A">
        <w:t>Therapeutic Goods Act</w:t>
      </w:r>
      <w:r w:rsidR="00242103">
        <w:t>.</w:t>
      </w:r>
      <w:r w:rsidR="00307B4A">
        <w:t xml:space="preserve"> </w:t>
      </w:r>
      <w:r w:rsidR="002B0340">
        <w:t xml:space="preserve">The applicant’s construction of the Act as a </w:t>
      </w:r>
      <w:r w:rsidR="00FF7027">
        <w:t>“</w:t>
      </w:r>
      <w:r w:rsidR="002B0340">
        <w:t>one stop shop</w:t>
      </w:r>
      <w:r w:rsidR="00FF7027">
        <w:t>”</w:t>
      </w:r>
      <w:r w:rsidR="002B0340">
        <w:t xml:space="preserve"> for GMOs</w:t>
      </w:r>
      <w:r w:rsidR="009D7A9E">
        <w:t xml:space="preserve"> that provides a recourse for individuals to raise concerns about any risks associated with GMOs is simply not supported by the text or context of the Act.</w:t>
      </w:r>
      <w:r w:rsidR="00B72766">
        <w:t xml:space="preserve"> </w:t>
      </w:r>
      <w:r w:rsidR="00E2004B">
        <w:t>I consider that s</w:t>
      </w:r>
      <w:r w:rsidR="00B72766">
        <w:t>tanding for the purposes of s</w:t>
      </w:r>
      <w:r w:rsidR="00401B64">
        <w:t xml:space="preserve"> </w:t>
      </w:r>
      <w:r w:rsidR="00B72766">
        <w:t>147</w:t>
      </w:r>
      <w:r w:rsidR="00426B8E">
        <w:t>(1)</w:t>
      </w:r>
      <w:r w:rsidR="00B72766">
        <w:t xml:space="preserve"> is </w:t>
      </w:r>
      <w:r w:rsidR="00F87D70">
        <w:t xml:space="preserve">confined to </w:t>
      </w:r>
      <w:r w:rsidR="00F87D70" w:rsidRPr="006E1F5A">
        <w:t xml:space="preserve">persons aggrieved by the specific conduct regulated by the GTA which could constitute an offence </w:t>
      </w:r>
      <w:r w:rsidR="00426B8E">
        <w:t>against</w:t>
      </w:r>
      <w:r w:rsidR="00426B8E" w:rsidRPr="006E1F5A">
        <w:t xml:space="preserve"> </w:t>
      </w:r>
      <w:r w:rsidR="00F87D70" w:rsidRPr="006E1F5A">
        <w:t>that legislation</w:t>
      </w:r>
      <w:r w:rsidR="00F87D70">
        <w:t>.</w:t>
      </w:r>
      <w:r w:rsidR="002E02A1">
        <w:t xml:space="preserve"> </w:t>
      </w:r>
      <w:r w:rsidR="0009785B">
        <w:t>This includes</w:t>
      </w:r>
      <w:r w:rsidR="00C332F1">
        <w:t xml:space="preserve"> “deal[</w:t>
      </w:r>
      <w:proofErr w:type="spellStart"/>
      <w:r w:rsidR="00C332F1">
        <w:t>ing</w:t>
      </w:r>
      <w:proofErr w:type="spellEnd"/>
      <w:r w:rsidR="00C332F1">
        <w:t xml:space="preserve">] with” a GMO (as defined in s 10) without a </w:t>
      </w:r>
      <w:r w:rsidR="00F1463C">
        <w:t>licence</w:t>
      </w:r>
      <w:r w:rsidR="00C332F1">
        <w:t>.</w:t>
      </w:r>
      <w:r w:rsidR="0009785B">
        <w:t xml:space="preserve"> </w:t>
      </w:r>
    </w:p>
    <w:p w14:paraId="75CEFA4B" w14:textId="063A280C" w:rsidR="00413ACB" w:rsidRPr="008E72DF" w:rsidRDefault="0026564F" w:rsidP="0026564F">
      <w:pPr>
        <w:pStyle w:val="ParaNumbering"/>
        <w:numPr>
          <w:ilvl w:val="0"/>
          <w:numId w:val="0"/>
        </w:numPr>
        <w:tabs>
          <w:tab w:val="left" w:pos="720"/>
        </w:tabs>
        <w:ind w:hanging="720"/>
      </w:pPr>
      <w:r w:rsidRPr="008E72DF">
        <w:rPr>
          <w:sz w:val="20"/>
        </w:rPr>
        <w:lastRenderedPageBreak/>
        <w:t>105</w:t>
      </w:r>
      <w:r w:rsidRPr="008E72DF">
        <w:rPr>
          <w:sz w:val="20"/>
        </w:rPr>
        <w:tab/>
      </w:r>
      <w:r w:rsidR="001F5C21">
        <w:t>In any event,</w:t>
      </w:r>
      <w:r w:rsidR="00D53E2E">
        <w:t xml:space="preserve"> e</w:t>
      </w:r>
      <w:r w:rsidR="00FF0DA8">
        <w:t xml:space="preserve">ven if I </w:t>
      </w:r>
      <w:r w:rsidR="009E7989">
        <w:t xml:space="preserve">were to </w:t>
      </w:r>
      <w:r w:rsidR="00FF0DA8">
        <w:t xml:space="preserve">accept the applicant’s construction of the Act, namely that the Act seeks to capture the ultimate intended end use of GMOs, </w:t>
      </w:r>
      <w:r w:rsidR="00DC3563">
        <w:t>I do not consider that the applicant</w:t>
      </w:r>
      <w:r w:rsidR="00FF0DA8">
        <w:t xml:space="preserve"> </w:t>
      </w:r>
      <w:r w:rsidR="004A640F">
        <w:t xml:space="preserve">is an </w:t>
      </w:r>
      <w:r w:rsidR="00F06DED">
        <w:t>aggrieved person for the purposes of s</w:t>
      </w:r>
      <w:r w:rsidR="00A06D3F">
        <w:t xml:space="preserve"> </w:t>
      </w:r>
      <w:r w:rsidR="00F06DED">
        <w:t>147</w:t>
      </w:r>
      <w:r w:rsidR="00426B8E">
        <w:t>(1)</w:t>
      </w:r>
      <w:r w:rsidR="00FF0DA8">
        <w:t>.</w:t>
      </w:r>
      <w:r w:rsidR="00801FC8">
        <w:t xml:space="preserve"> </w:t>
      </w:r>
      <w:r w:rsidR="00486CFB">
        <w:t xml:space="preserve">This is addressed below. </w:t>
      </w:r>
    </w:p>
    <w:p w14:paraId="7A71638A" w14:textId="4DB72603" w:rsidR="00A57A13" w:rsidRPr="00A57A13" w:rsidRDefault="0026564F" w:rsidP="0026564F">
      <w:pPr>
        <w:pStyle w:val="Heading5"/>
        <w:numPr>
          <w:ilvl w:val="0"/>
          <w:numId w:val="0"/>
        </w:numPr>
        <w:tabs>
          <w:tab w:val="left" w:pos="1134"/>
        </w:tabs>
        <w:ind w:left="1134" w:hanging="1134"/>
      </w:pPr>
      <w:r w:rsidRPr="00A57A13">
        <w:t>6.</w:t>
      </w:r>
      <w:r w:rsidRPr="00A57A13">
        <w:tab/>
      </w:r>
      <w:r w:rsidR="00FE7FC5">
        <w:t>IS THE APPLICANT “ANY OTHER AGGRIEVED PERSON”?</w:t>
      </w:r>
      <w:bookmarkStart w:id="25" w:name="_Ref155783000"/>
    </w:p>
    <w:p w14:paraId="2DA491AC" w14:textId="0EA43CA4" w:rsidR="00EB2F5D" w:rsidRPr="00472666" w:rsidRDefault="0026564F" w:rsidP="0026564F">
      <w:pPr>
        <w:pStyle w:val="ParaNumbering"/>
        <w:numPr>
          <w:ilvl w:val="0"/>
          <w:numId w:val="0"/>
        </w:numPr>
        <w:tabs>
          <w:tab w:val="left" w:pos="720"/>
        </w:tabs>
        <w:ind w:hanging="720"/>
        <w:rPr>
          <w:sz w:val="13"/>
          <w:szCs w:val="13"/>
        </w:rPr>
      </w:pPr>
      <w:bookmarkStart w:id="26" w:name="_Ref159407892"/>
      <w:r w:rsidRPr="00472666">
        <w:rPr>
          <w:sz w:val="20"/>
          <w:szCs w:val="13"/>
        </w:rPr>
        <w:t>106</w:t>
      </w:r>
      <w:r w:rsidRPr="00472666">
        <w:rPr>
          <w:sz w:val="20"/>
          <w:szCs w:val="13"/>
        </w:rPr>
        <w:tab/>
      </w:r>
      <w:r w:rsidR="00F9016D">
        <w:t>Th</w:t>
      </w:r>
      <w:r w:rsidR="00F9016D" w:rsidRPr="00AD387E">
        <w:t>e applicant a</w:t>
      </w:r>
      <w:r w:rsidR="00F9016D">
        <w:t xml:space="preserve">sserts that he has standing to seek relief under s 147(1) because he is affected by the </w:t>
      </w:r>
      <w:r w:rsidR="00DF07E8">
        <w:t>V</w:t>
      </w:r>
      <w:r w:rsidR="00F9016D">
        <w:t>accine</w:t>
      </w:r>
      <w:r w:rsidR="00DF07E8">
        <w:t xml:space="preserve"> Dealings and Breaches</w:t>
      </w:r>
      <w:r w:rsidR="00F9016D">
        <w:t xml:space="preserve"> in various capacities, which are summarised below:</w:t>
      </w:r>
      <w:bookmarkEnd w:id="25"/>
      <w:bookmarkEnd w:id="26"/>
      <w:r w:rsidR="00F9016D">
        <w:t xml:space="preserve"> </w:t>
      </w:r>
    </w:p>
    <w:p w14:paraId="32AB3B4C" w14:textId="02C65B2B" w:rsidR="00472666" w:rsidRPr="00472666" w:rsidRDefault="0026564F" w:rsidP="0026564F">
      <w:pPr>
        <w:pStyle w:val="ListNo1alt"/>
        <w:numPr>
          <w:ilvl w:val="0"/>
          <w:numId w:val="0"/>
        </w:numPr>
        <w:tabs>
          <w:tab w:val="left" w:pos="720"/>
        </w:tabs>
        <w:ind w:left="720" w:hanging="720"/>
      </w:pPr>
      <w:r w:rsidRPr="00472666">
        <w:t>(a)</w:t>
      </w:r>
      <w:r w:rsidRPr="00472666">
        <w:tab/>
      </w:r>
      <w:r w:rsidR="00472666">
        <w:t>“</w:t>
      </w:r>
      <w:r w:rsidR="005C5077">
        <w:t>professional capacity</w:t>
      </w:r>
      <w:r w:rsidR="00472666">
        <w:t xml:space="preserve">”: </w:t>
      </w:r>
      <w:r w:rsidR="00472666" w:rsidRPr="00472666">
        <w:t xml:space="preserve">the applicant refers to having overseen the administration of more than 10,000 Covid-19 </w:t>
      </w:r>
      <w:r w:rsidR="005B0209">
        <w:t>doses</w:t>
      </w:r>
      <w:r w:rsidR="00472666" w:rsidRPr="00472666">
        <w:t xml:space="preserve">. </w:t>
      </w:r>
      <w:r w:rsidR="00DA72C8">
        <w:t>He says that he</w:t>
      </w:r>
      <w:r w:rsidR="00472666" w:rsidRPr="00472666">
        <w:t xml:space="preserve"> is personally exposed to legal claims from his patients and future patients in relation to the </w:t>
      </w:r>
      <w:r w:rsidR="00DA72C8">
        <w:t>vaccines</w:t>
      </w:r>
      <w:r w:rsidR="00BC4C0E">
        <w:t xml:space="preserve"> </w:t>
      </w:r>
      <w:r w:rsidR="009B0615">
        <w:t>because, by being unable to advise them that the vaccines are</w:t>
      </w:r>
      <w:r w:rsidR="004619F7">
        <w:t>,</w:t>
      </w:r>
      <w:r w:rsidR="009B0615">
        <w:t xml:space="preserve"> or contain</w:t>
      </w:r>
      <w:r w:rsidR="004619F7">
        <w:t>,</w:t>
      </w:r>
      <w:r w:rsidR="009B0615">
        <w:t xml:space="preserve"> GMOs</w:t>
      </w:r>
      <w:r w:rsidR="007600F7">
        <w:t>, he is</w:t>
      </w:r>
      <w:r w:rsidR="009B0615">
        <w:t xml:space="preserve"> </w:t>
      </w:r>
      <w:r w:rsidR="00BC4C0E">
        <w:t xml:space="preserve">depriving them of fully informed consent </w:t>
      </w:r>
      <w:r w:rsidR="007600F7">
        <w:t>of</w:t>
      </w:r>
      <w:r w:rsidR="00B32E18">
        <w:t xml:space="preserve"> the associated risks</w:t>
      </w:r>
      <w:r w:rsidR="00BC4C0E">
        <w:t xml:space="preserve">. He also says that he abrogated his duty as a doctor to do no harm </w:t>
      </w:r>
      <w:r w:rsidR="00F8263B">
        <w:t>by administering vaccines which he now believes to be unsafe because they are</w:t>
      </w:r>
      <w:r w:rsidR="004619F7">
        <w:t xml:space="preserve">, </w:t>
      </w:r>
      <w:r w:rsidR="00F8263B">
        <w:t>or contain</w:t>
      </w:r>
      <w:r w:rsidR="004619F7">
        <w:t>,</w:t>
      </w:r>
      <w:r w:rsidR="00F8263B">
        <w:t xml:space="preserve"> GMOs</w:t>
      </w:r>
      <w:r w:rsidR="007600F7">
        <w:t>;</w:t>
      </w:r>
    </w:p>
    <w:p w14:paraId="0033CBD1" w14:textId="1DA94B9C" w:rsidR="00BA6B5A" w:rsidRDefault="0026564F" w:rsidP="0026564F">
      <w:pPr>
        <w:pStyle w:val="ListNo1alt"/>
        <w:numPr>
          <w:ilvl w:val="0"/>
          <w:numId w:val="0"/>
        </w:numPr>
        <w:tabs>
          <w:tab w:val="left" w:pos="720"/>
        </w:tabs>
        <w:ind w:left="720" w:hanging="720"/>
      </w:pPr>
      <w:r>
        <w:t>(b)</w:t>
      </w:r>
      <w:r>
        <w:tab/>
      </w:r>
      <w:r w:rsidR="00472666" w:rsidRPr="00472666">
        <w:t>“personal capacity”: the applicant refers to having received three Pfizer vaccines and having administered the Pfizer vaccines to his children;</w:t>
      </w:r>
    </w:p>
    <w:p w14:paraId="21E17C24" w14:textId="42965E37" w:rsidR="009F229E" w:rsidRDefault="0026564F" w:rsidP="0026564F">
      <w:pPr>
        <w:pStyle w:val="ListNo1alt"/>
        <w:numPr>
          <w:ilvl w:val="0"/>
          <w:numId w:val="0"/>
        </w:numPr>
        <w:tabs>
          <w:tab w:val="left" w:pos="720"/>
        </w:tabs>
        <w:ind w:left="720" w:hanging="720"/>
      </w:pPr>
      <w:r>
        <w:t>(c)</w:t>
      </w:r>
      <w:r>
        <w:tab/>
      </w:r>
      <w:r w:rsidR="00472666" w:rsidRPr="00472666">
        <w:t>“private capacity”: the applicant states that he is experiencing “a severe moral injury, mental harm and suffering” by reason of the large number of “deaths, illnesses and injuries reported to the TGA to date”</w:t>
      </w:r>
      <w:r w:rsidR="009C0366">
        <w:t>; and</w:t>
      </w:r>
      <w:r w:rsidR="00BA6B5A">
        <w:t xml:space="preserve"> </w:t>
      </w:r>
    </w:p>
    <w:p w14:paraId="3DFAA323" w14:textId="34539CF7" w:rsidR="00413860" w:rsidRDefault="0026564F" w:rsidP="0026564F">
      <w:pPr>
        <w:pStyle w:val="ListNo1alt"/>
        <w:numPr>
          <w:ilvl w:val="0"/>
          <w:numId w:val="0"/>
        </w:numPr>
        <w:tabs>
          <w:tab w:val="left" w:pos="720"/>
        </w:tabs>
        <w:ind w:left="720" w:hanging="720"/>
      </w:pPr>
      <w:bookmarkStart w:id="27" w:name="_Ref155783004"/>
      <w:r>
        <w:t>(d)</w:t>
      </w:r>
      <w:r>
        <w:tab/>
      </w:r>
      <w:r w:rsidR="00472666" w:rsidRPr="00472666">
        <w:t>“</w:t>
      </w:r>
      <w:r w:rsidR="005C5077">
        <w:t>public</w:t>
      </w:r>
      <w:r w:rsidR="00472666">
        <w:t xml:space="preserve"> capacity</w:t>
      </w:r>
      <w:r w:rsidR="00472666" w:rsidRPr="00472666">
        <w:t xml:space="preserve">”: </w:t>
      </w:r>
      <w:r w:rsidR="00BA6B5A">
        <w:t>T</w:t>
      </w:r>
      <w:r w:rsidR="00472666" w:rsidRPr="00472666">
        <w:t>his capacity</w:t>
      </w:r>
      <w:r w:rsidR="00472666">
        <w:t xml:space="preserve"> is based on </w:t>
      </w:r>
      <w:r w:rsidR="00472666" w:rsidRPr="00472666">
        <w:t>the applicant</w:t>
      </w:r>
      <w:r w:rsidR="00472666">
        <w:t>’s alleged</w:t>
      </w:r>
      <w:r w:rsidR="00472666" w:rsidRPr="00472666">
        <w:t xml:space="preserve"> duty </w:t>
      </w:r>
      <w:r w:rsidR="00472666">
        <w:t xml:space="preserve">as a doctor </w:t>
      </w:r>
      <w:r w:rsidR="00472666" w:rsidRPr="00472666">
        <w:t>to preserve human life</w:t>
      </w:r>
      <w:r w:rsidR="00472666">
        <w:t xml:space="preserve"> and protect the health and safety of the public. </w:t>
      </w:r>
      <w:r w:rsidR="00BA6B5A">
        <w:t xml:space="preserve">It is evidently derived from his vocation as a doctor and therefore </w:t>
      </w:r>
      <w:r w:rsidR="00DE4096">
        <w:t>closely tied to the “professional capacity</w:t>
      </w:r>
      <w:r w:rsidR="002E7AD2">
        <w:t>”</w:t>
      </w:r>
      <w:r w:rsidR="00DE4096">
        <w:t>. The applicant</w:t>
      </w:r>
      <w:r w:rsidR="00472666">
        <w:t xml:space="preserve"> </w:t>
      </w:r>
      <w:r w:rsidR="00472666" w:rsidRPr="00472666">
        <w:t>states that he is “compelled to speak for all members of the Australian community” who</w:t>
      </w:r>
      <w:r w:rsidR="00D74160">
        <w:t>,</w:t>
      </w:r>
      <w:r w:rsidR="00472666" w:rsidRPr="00472666">
        <w:t xml:space="preserve"> for various reasons</w:t>
      </w:r>
      <w:r w:rsidR="00D74160">
        <w:t>,</w:t>
      </w:r>
      <w:r w:rsidR="00472666" w:rsidRPr="00472666">
        <w:t xml:space="preserve"> are not in his position regarding education, training, experience, skills and resources</w:t>
      </w:r>
      <w:r w:rsidR="00472666">
        <w:t xml:space="preserve">. </w:t>
      </w:r>
      <w:r w:rsidR="00472666" w:rsidRPr="00472666">
        <w:t xml:space="preserve">The applicant also refers to </w:t>
      </w:r>
      <w:r w:rsidR="002E7AD2">
        <w:t xml:space="preserve">the </w:t>
      </w:r>
      <w:r w:rsidR="008E0214" w:rsidRPr="008E0214">
        <w:t>Australian Health Practitioner Regulation Agency</w:t>
      </w:r>
      <w:r w:rsidR="008E0214">
        <w:t>’s (</w:t>
      </w:r>
      <w:r w:rsidR="00472666" w:rsidRPr="008E0214">
        <w:rPr>
          <w:b/>
          <w:bCs/>
        </w:rPr>
        <w:t>AHPRA</w:t>
      </w:r>
      <w:r w:rsidR="008E0214">
        <w:t>)</w:t>
      </w:r>
      <w:r w:rsidR="00472666" w:rsidRPr="00472666">
        <w:t xml:space="preserve"> Code of Conduct and the duties set out in that document regarding the provision of information to patients</w:t>
      </w:r>
      <w:r w:rsidR="009F0440">
        <w:t>, the Hippocratic Oath</w:t>
      </w:r>
      <w:r w:rsidR="002E7AD2">
        <w:t xml:space="preserve"> and</w:t>
      </w:r>
      <w:r w:rsidR="009F0440">
        <w:t xml:space="preserve"> the </w:t>
      </w:r>
      <w:r w:rsidR="008E0214" w:rsidRPr="00592914">
        <w:t>AMA</w:t>
      </w:r>
      <w:r w:rsidR="0045408F">
        <w:t xml:space="preserve"> Code of Ethics. He says that these codes of conduct </w:t>
      </w:r>
      <w:r w:rsidR="00007273">
        <w:t>impose an obligation on him to provide</w:t>
      </w:r>
      <w:r w:rsidR="00007273" w:rsidRPr="00007273">
        <w:t xml:space="preserve"> patients</w:t>
      </w:r>
      <w:r w:rsidR="00007273">
        <w:t xml:space="preserve"> fully informed consent</w:t>
      </w:r>
      <w:r w:rsidR="00007273" w:rsidRPr="00007273">
        <w:t xml:space="preserve"> </w:t>
      </w:r>
      <w:r w:rsidR="00007273">
        <w:t xml:space="preserve">about any issues that may impact their health and safety </w:t>
      </w:r>
      <w:r w:rsidR="008A160E">
        <w:t>which would include whether vaccines contain GMOs</w:t>
      </w:r>
      <w:r w:rsidR="00413860">
        <w:t xml:space="preserve"> (which he believes renders </w:t>
      </w:r>
      <w:r w:rsidR="00F37E60">
        <w:t xml:space="preserve">the </w:t>
      </w:r>
      <w:r w:rsidR="00413860">
        <w:t>vaccines unsafe)</w:t>
      </w:r>
      <w:bookmarkEnd w:id="27"/>
      <w:r w:rsidR="00F37E60">
        <w:t>.</w:t>
      </w:r>
    </w:p>
    <w:p w14:paraId="382E5E00" w14:textId="23ACB976" w:rsidR="009F229E" w:rsidRDefault="0026564F" w:rsidP="0026564F">
      <w:pPr>
        <w:pStyle w:val="ParaNumbering"/>
        <w:numPr>
          <w:ilvl w:val="0"/>
          <w:numId w:val="0"/>
        </w:numPr>
        <w:tabs>
          <w:tab w:val="left" w:pos="720"/>
        </w:tabs>
        <w:ind w:hanging="720"/>
      </w:pPr>
      <w:r>
        <w:rPr>
          <w:sz w:val="20"/>
        </w:rPr>
        <w:t>107</w:t>
      </w:r>
      <w:r>
        <w:rPr>
          <w:sz w:val="20"/>
        </w:rPr>
        <w:tab/>
      </w:r>
      <w:r w:rsidR="009F229E">
        <w:t>At the outset, the applicant’s “private capacity” can be dismissed as a basis for standing as it evidently relates to a</w:t>
      </w:r>
      <w:r w:rsidR="004B3689">
        <w:t>n</w:t>
      </w:r>
      <w:r w:rsidR="00F32504">
        <w:t xml:space="preserve"> </w:t>
      </w:r>
      <w:r w:rsidR="009F229E">
        <w:t>emotional or moral concern</w:t>
      </w:r>
      <w:r w:rsidR="00F32504">
        <w:t xml:space="preserve"> about deaths or injuries </w:t>
      </w:r>
      <w:r w:rsidR="001948EF">
        <w:t xml:space="preserve">caused by the </w:t>
      </w:r>
      <w:r w:rsidR="001948EF">
        <w:lastRenderedPageBreak/>
        <w:t>vaccine</w:t>
      </w:r>
      <w:r w:rsidR="001948EF" w:rsidDel="001948EF">
        <w:t xml:space="preserve"> </w:t>
      </w:r>
      <w:r w:rsidR="001948EF">
        <w:t>suffered by members of the community</w:t>
      </w:r>
      <w:r w:rsidR="009F229E">
        <w:t xml:space="preserve">. </w:t>
      </w:r>
      <w:r w:rsidR="00DE0A56">
        <w:t xml:space="preserve">An emotional, moral </w:t>
      </w:r>
      <w:r w:rsidR="007B025A">
        <w:t>or intellectual interest, however strong, is not sufficient to constitute a special interest</w:t>
      </w:r>
      <w:r w:rsidR="00DB24DE">
        <w:t>:</w:t>
      </w:r>
      <w:r w:rsidR="007B025A" w:rsidRPr="00DB24DE">
        <w:t xml:space="preserve"> </w:t>
      </w:r>
      <w:r w:rsidR="007B025A" w:rsidRPr="006173FA">
        <w:rPr>
          <w:i/>
          <w:iCs/>
        </w:rPr>
        <w:t>Onus</w:t>
      </w:r>
      <w:r w:rsidR="00CF1B57">
        <w:rPr>
          <w:i/>
          <w:iCs/>
        </w:rPr>
        <w:t xml:space="preserve"> v Alcoa</w:t>
      </w:r>
      <w:r w:rsidR="007B025A" w:rsidRPr="006173FA">
        <w:t xml:space="preserve"> </w:t>
      </w:r>
      <w:r w:rsidR="006946B2" w:rsidRPr="006173FA">
        <w:t>at 35 (</w:t>
      </w:r>
      <w:r w:rsidR="007B025A" w:rsidRPr="006173FA">
        <w:t>per Gibbs CJ</w:t>
      </w:r>
      <w:r w:rsidR="006946B2" w:rsidRPr="006173FA">
        <w:t>)</w:t>
      </w:r>
      <w:r w:rsidR="007150EE" w:rsidRPr="006173FA">
        <w:t xml:space="preserve">; </w:t>
      </w:r>
      <w:r w:rsidR="007150EE" w:rsidRPr="006173FA">
        <w:rPr>
          <w:i/>
          <w:iCs/>
        </w:rPr>
        <w:t>ACF</w:t>
      </w:r>
      <w:r w:rsidR="006946B2" w:rsidRPr="006173FA">
        <w:rPr>
          <w:i/>
          <w:iCs/>
        </w:rPr>
        <w:t xml:space="preserve"> </w:t>
      </w:r>
      <w:r w:rsidR="006946B2" w:rsidRPr="006173FA">
        <w:t>at 530</w:t>
      </w:r>
      <w:r w:rsidR="007150EE" w:rsidRPr="006173FA">
        <w:t xml:space="preserve"> </w:t>
      </w:r>
      <w:r w:rsidR="006946B2" w:rsidRPr="006173FA">
        <w:t>(</w:t>
      </w:r>
      <w:r w:rsidR="007150EE" w:rsidRPr="006173FA">
        <w:t>per Gibbs J</w:t>
      </w:r>
      <w:r w:rsidR="00DB24DE" w:rsidRPr="006173FA">
        <w:t>)</w:t>
      </w:r>
      <w:r w:rsidR="005E26C4">
        <w:t>,</w:t>
      </w:r>
      <w:r w:rsidR="007150EE" w:rsidRPr="006173FA">
        <w:t xml:space="preserve"> </w:t>
      </w:r>
      <w:r w:rsidR="00DB24DE" w:rsidRPr="006173FA">
        <w:t xml:space="preserve">548 (per </w:t>
      </w:r>
      <w:r w:rsidR="007150EE" w:rsidRPr="006173FA">
        <w:t>Mason J</w:t>
      </w:r>
      <w:r w:rsidR="00DB24DE" w:rsidRPr="006173FA">
        <w:t>)</w:t>
      </w:r>
      <w:r w:rsidR="007150EE" w:rsidRPr="006173FA">
        <w:t>.</w:t>
      </w:r>
    </w:p>
    <w:p w14:paraId="410D8086" w14:textId="4F0F93FA" w:rsidR="009F229E" w:rsidRDefault="0026564F" w:rsidP="0026564F">
      <w:pPr>
        <w:pStyle w:val="ParaNumbering"/>
        <w:numPr>
          <w:ilvl w:val="0"/>
          <w:numId w:val="0"/>
        </w:numPr>
        <w:ind w:hanging="720"/>
      </w:pPr>
      <w:r>
        <w:rPr>
          <w:sz w:val="20"/>
        </w:rPr>
        <w:t>108</w:t>
      </w:r>
      <w:r>
        <w:rPr>
          <w:sz w:val="20"/>
        </w:rPr>
        <w:tab/>
      </w:r>
      <w:r w:rsidR="009F229E">
        <w:t>The applicant’s “</w:t>
      </w:r>
      <w:r w:rsidR="005C5077">
        <w:t>professional</w:t>
      </w:r>
      <w:r w:rsidR="009F229E">
        <w:t xml:space="preserve">” and “personal” capacities can also be readily dismissed for at least two reasons. </w:t>
      </w:r>
    </w:p>
    <w:p w14:paraId="5AD2D8F9" w14:textId="57D986A7" w:rsidR="0093033E" w:rsidRPr="0093033E" w:rsidRDefault="0026564F" w:rsidP="0026564F">
      <w:pPr>
        <w:pStyle w:val="ParaNumbering"/>
        <w:numPr>
          <w:ilvl w:val="0"/>
          <w:numId w:val="0"/>
        </w:numPr>
        <w:ind w:hanging="720"/>
        <w:rPr>
          <w:szCs w:val="24"/>
        </w:rPr>
      </w:pPr>
      <w:r w:rsidRPr="0093033E">
        <w:rPr>
          <w:sz w:val="20"/>
          <w:szCs w:val="24"/>
        </w:rPr>
        <w:t>109</w:t>
      </w:r>
      <w:r w:rsidRPr="0093033E">
        <w:rPr>
          <w:sz w:val="20"/>
          <w:szCs w:val="24"/>
        </w:rPr>
        <w:tab/>
      </w:r>
      <w:r w:rsidR="009F229E">
        <w:t xml:space="preserve">First, </w:t>
      </w:r>
      <w:r w:rsidR="00386C4F">
        <w:t>the applicant’s standing</w:t>
      </w:r>
      <w:r w:rsidR="003C20E0">
        <w:t xml:space="preserve"> based on these capacities,</w:t>
      </w:r>
      <w:r w:rsidR="00386C4F">
        <w:t xml:space="preserve"> if it did exist, has now dissolved.</w:t>
      </w:r>
      <w:r w:rsidR="003C20E0">
        <w:t xml:space="preserve"> </w:t>
      </w:r>
      <w:r w:rsidR="005C5077">
        <w:t>I infer from Dr Fidge’s affidavits that h</w:t>
      </w:r>
      <w:r w:rsidR="002A4B96">
        <w:t xml:space="preserve">e is no longer administering </w:t>
      </w:r>
      <w:r w:rsidR="00E0253A">
        <w:t xml:space="preserve">Covid-19 </w:t>
      </w:r>
      <w:r w:rsidR="002A4B96">
        <w:t>vaccines to patients, his children or receiving them himself</w:t>
      </w:r>
      <w:r w:rsidR="00E0253A">
        <w:t>,</w:t>
      </w:r>
      <w:r w:rsidR="005C5077">
        <w:t xml:space="preserve"> and has no intention to do so in the future</w:t>
      </w:r>
      <w:r w:rsidR="002A4B96">
        <w:t xml:space="preserve">. </w:t>
      </w:r>
      <w:r w:rsidR="00311B63" w:rsidRPr="00311B63">
        <w:t xml:space="preserve">Consequently, there is no utility in the relief he </w:t>
      </w:r>
      <w:r w:rsidR="00E0253A">
        <w:t xml:space="preserve">now </w:t>
      </w:r>
      <w:r w:rsidR="00311B63" w:rsidRPr="00311B63">
        <w:t xml:space="preserve">seeks, being an injunction. </w:t>
      </w:r>
      <w:r w:rsidR="00813601">
        <w:t xml:space="preserve">That is, even if we assume Dr Fidge, his children or his patients suffered harm as a result of receiving the vaccines, there is nothing an injunction can do to remedy that harm. </w:t>
      </w:r>
      <w:r w:rsidR="0093033E">
        <w:t>With respect to his “professional capacity”, e</w:t>
      </w:r>
      <w:r w:rsidR="0093033E" w:rsidRPr="00311B63">
        <w:t>ven if the applicant had legal exposure to claims from patients for administering the vaccines (which is denied</w:t>
      </w:r>
      <w:r w:rsidR="0093033E">
        <w:t xml:space="preserve"> by the respondents</w:t>
      </w:r>
      <w:r w:rsidR="0093033E" w:rsidRPr="00311B63">
        <w:t xml:space="preserve">), an injunction against </w:t>
      </w:r>
      <w:r w:rsidR="0093033E">
        <w:t>the respondents now</w:t>
      </w:r>
      <w:r w:rsidR="0093033E" w:rsidRPr="00311B63">
        <w:t xml:space="preserve"> would not diminish his legal liability</w:t>
      </w:r>
      <w:r w:rsidR="0093033E">
        <w:t>.</w:t>
      </w:r>
    </w:p>
    <w:p w14:paraId="5D2524ED" w14:textId="33B23CF6" w:rsidR="002A4B96" w:rsidRPr="003C20E0" w:rsidRDefault="0026564F" w:rsidP="0026564F">
      <w:pPr>
        <w:pStyle w:val="ParaNumbering"/>
        <w:numPr>
          <w:ilvl w:val="0"/>
          <w:numId w:val="0"/>
        </w:numPr>
        <w:ind w:hanging="720"/>
        <w:rPr>
          <w:szCs w:val="24"/>
        </w:rPr>
      </w:pPr>
      <w:r w:rsidRPr="003C20E0">
        <w:rPr>
          <w:sz w:val="20"/>
          <w:szCs w:val="24"/>
        </w:rPr>
        <w:t>110</w:t>
      </w:r>
      <w:r w:rsidRPr="003C20E0">
        <w:rPr>
          <w:sz w:val="20"/>
          <w:szCs w:val="24"/>
        </w:rPr>
        <w:tab/>
      </w:r>
      <w:r w:rsidR="002A4B96" w:rsidRPr="003C20E0">
        <w:rPr>
          <w:szCs w:val="24"/>
        </w:rPr>
        <w:t xml:space="preserve">Kiefel CJ, </w:t>
      </w:r>
      <w:proofErr w:type="spellStart"/>
      <w:r w:rsidR="002A4B96" w:rsidRPr="003C20E0">
        <w:rPr>
          <w:szCs w:val="24"/>
        </w:rPr>
        <w:t>Gageler</w:t>
      </w:r>
      <w:proofErr w:type="spellEnd"/>
      <w:r w:rsidR="002A4B96" w:rsidRPr="003C20E0">
        <w:rPr>
          <w:szCs w:val="24"/>
        </w:rPr>
        <w:t xml:space="preserve">, Gordon, Gleeson and </w:t>
      </w:r>
      <w:proofErr w:type="spellStart"/>
      <w:r w:rsidR="002A4B96" w:rsidRPr="003C20E0">
        <w:rPr>
          <w:szCs w:val="24"/>
        </w:rPr>
        <w:t>Jagot</w:t>
      </w:r>
      <w:proofErr w:type="spellEnd"/>
      <w:r w:rsidR="002A4B96" w:rsidRPr="003C20E0">
        <w:rPr>
          <w:szCs w:val="24"/>
        </w:rPr>
        <w:t xml:space="preserve"> JJ</w:t>
      </w:r>
      <w:r w:rsidR="003E5525" w:rsidRPr="003C20E0">
        <w:rPr>
          <w:szCs w:val="24"/>
        </w:rPr>
        <w:t xml:space="preserve"> in </w:t>
      </w:r>
      <w:r w:rsidR="003E5525" w:rsidRPr="003C20E0">
        <w:rPr>
          <w:i/>
          <w:iCs/>
          <w:szCs w:val="24"/>
        </w:rPr>
        <w:t xml:space="preserve">Unions NSW </w:t>
      </w:r>
      <w:r w:rsidR="002A4B96" w:rsidRPr="003C20E0">
        <w:rPr>
          <w:szCs w:val="24"/>
        </w:rPr>
        <w:t>held</w:t>
      </w:r>
      <w:r w:rsidR="003E5525" w:rsidRPr="003C20E0">
        <w:rPr>
          <w:szCs w:val="24"/>
        </w:rPr>
        <w:t xml:space="preserve"> at [18]</w:t>
      </w:r>
      <w:r w:rsidR="002A4B96" w:rsidRPr="003C20E0">
        <w:rPr>
          <w:szCs w:val="24"/>
        </w:rPr>
        <w:t xml:space="preserve"> that “[a]s the standing of a party to seek declaratory relief depends on the sufficiency of the interest of that party in obtaining that relief, a sufficient interest must continue to subsist up until the time at which relief is granted or refused”. Further, as </w:t>
      </w:r>
      <w:proofErr w:type="spellStart"/>
      <w:r w:rsidR="002A4B96" w:rsidRPr="003C20E0">
        <w:rPr>
          <w:szCs w:val="24"/>
        </w:rPr>
        <w:t>Gaudron</w:t>
      </w:r>
      <w:proofErr w:type="spellEnd"/>
      <w:r w:rsidR="002A4B96" w:rsidRPr="003C20E0">
        <w:rPr>
          <w:szCs w:val="24"/>
        </w:rPr>
        <w:t xml:space="preserve"> J observed in </w:t>
      </w:r>
      <w:r w:rsidR="002A4B96" w:rsidRPr="00C77296">
        <w:rPr>
          <w:i/>
          <w:iCs/>
          <w:szCs w:val="24"/>
        </w:rPr>
        <w:t xml:space="preserve">Truth About Motorways Pty Ltd v Macquarie Infrastructure Investment Management Ltd </w:t>
      </w:r>
      <w:r w:rsidR="002A4B96" w:rsidRPr="00C77296">
        <w:rPr>
          <w:szCs w:val="24"/>
        </w:rPr>
        <w:t>(2000) 200 CLR 591</w:t>
      </w:r>
      <w:r w:rsidR="002A4B96" w:rsidRPr="003C20E0">
        <w:rPr>
          <w:szCs w:val="24"/>
        </w:rPr>
        <w:t xml:space="preserve"> at [52]:</w:t>
      </w:r>
    </w:p>
    <w:p w14:paraId="745BE466" w14:textId="784033B2" w:rsidR="002A4B96" w:rsidRDefault="002A4B96" w:rsidP="002A4B96">
      <w:pPr>
        <w:pStyle w:val="Quote1"/>
      </w:pPr>
      <w:r w:rsidRPr="002A4B96">
        <w:t>a declaration cannot be made if it “will produce no foreseeable consequences for the parties”. That is not simply a matter of discretion. Rather, a declaration that produces no foreseeable consequences is so divorced from the administration of the law as not to involve a matter for the purposes of Ch III of the Constitution. And as it is not a matter for those purposes, it cannot engage the judicial power of the Commonwealth</w:t>
      </w:r>
      <w:r w:rsidR="007C6031">
        <w:t>.</w:t>
      </w:r>
    </w:p>
    <w:p w14:paraId="61E39FDD" w14:textId="43BE05B2" w:rsidR="007C6031" w:rsidRPr="002A4B96" w:rsidRDefault="007C6031" w:rsidP="002A4B96">
      <w:pPr>
        <w:pStyle w:val="Quote1"/>
      </w:pPr>
      <w:r>
        <w:t>(Citations omitted.)</w:t>
      </w:r>
    </w:p>
    <w:p w14:paraId="6D7ADC86" w14:textId="527D805C" w:rsidR="00311B63" w:rsidRPr="002A4B96" w:rsidRDefault="0026564F" w:rsidP="0026564F">
      <w:pPr>
        <w:pStyle w:val="ParaNumbering"/>
        <w:numPr>
          <w:ilvl w:val="0"/>
          <w:numId w:val="0"/>
        </w:numPr>
        <w:ind w:hanging="720"/>
        <w:rPr>
          <w:szCs w:val="24"/>
        </w:rPr>
      </w:pPr>
      <w:r w:rsidRPr="002A4B96">
        <w:rPr>
          <w:sz w:val="20"/>
          <w:szCs w:val="24"/>
        </w:rPr>
        <w:t>111</w:t>
      </w:r>
      <w:r w:rsidRPr="002A4B96">
        <w:rPr>
          <w:sz w:val="20"/>
          <w:szCs w:val="24"/>
        </w:rPr>
        <w:tab/>
      </w:r>
      <w:r w:rsidR="00472666">
        <w:t xml:space="preserve">As such, Dr Fidge cannot assert standing on the basis of his </w:t>
      </w:r>
      <w:r w:rsidR="00086768">
        <w:t>“</w:t>
      </w:r>
      <w:r w:rsidR="00472666">
        <w:t>professional</w:t>
      </w:r>
      <w:r w:rsidR="00086768">
        <w:t>”</w:t>
      </w:r>
      <w:r w:rsidR="00472666">
        <w:t xml:space="preserve"> or </w:t>
      </w:r>
      <w:r w:rsidR="00086768">
        <w:t>“</w:t>
      </w:r>
      <w:r w:rsidR="00472666">
        <w:t>personal</w:t>
      </w:r>
      <w:r w:rsidR="00C15C8E">
        <w:t>”</w:t>
      </w:r>
      <w:r w:rsidR="00472666">
        <w:t xml:space="preserve"> capacit</w:t>
      </w:r>
      <w:r w:rsidR="00C15C8E">
        <w:t>ies</w:t>
      </w:r>
      <w:r w:rsidR="002A4B96">
        <w:t xml:space="preserve"> as the injunction sought would have no </w:t>
      </w:r>
      <w:r w:rsidR="0025096D">
        <w:t>“</w:t>
      </w:r>
      <w:r w:rsidR="002A4B96">
        <w:t>foreseeable consequences</w:t>
      </w:r>
      <w:r w:rsidR="0025096D">
        <w:t>”</w:t>
      </w:r>
      <w:r w:rsidR="002A4B96">
        <w:t xml:space="preserve"> for </w:t>
      </w:r>
      <w:r w:rsidR="00125352">
        <w:t xml:space="preserve">him </w:t>
      </w:r>
      <w:r w:rsidR="002A4B96">
        <w:t xml:space="preserve">with respect to those </w:t>
      </w:r>
      <w:r w:rsidR="006F3C27">
        <w:t>capacities</w:t>
      </w:r>
      <w:r w:rsidR="00472666">
        <w:t>.</w:t>
      </w:r>
      <w:r w:rsidR="0078069A">
        <w:t xml:space="preserve"> Given this conclusion, it is unnecessary to </w:t>
      </w:r>
      <w:r w:rsidR="00136AA4">
        <w:t>resolve</w:t>
      </w:r>
      <w:r w:rsidR="0078069A">
        <w:t xml:space="preserve"> the dispute that arose between Moderna and the applicant regarding whether the</w:t>
      </w:r>
      <w:r w:rsidR="00136AA4">
        <w:t xml:space="preserve"> evidence established that the</w:t>
      </w:r>
      <w:r w:rsidR="0078069A">
        <w:t xml:space="preserve"> applicant</w:t>
      </w:r>
      <w:r w:rsidR="00093EE4">
        <w:t xml:space="preserve"> had</w:t>
      </w:r>
      <w:r w:rsidR="0078069A">
        <w:t xml:space="preserve"> administered the Moderna vaccine to patients. </w:t>
      </w:r>
    </w:p>
    <w:p w14:paraId="3BCBFF4E" w14:textId="5E82943B" w:rsidR="005C5077" w:rsidRPr="009F229E" w:rsidRDefault="0026564F" w:rsidP="0026564F">
      <w:pPr>
        <w:pStyle w:val="ParaNumbering"/>
        <w:numPr>
          <w:ilvl w:val="0"/>
          <w:numId w:val="0"/>
        </w:numPr>
        <w:ind w:hanging="720"/>
      </w:pPr>
      <w:r w:rsidRPr="009F229E">
        <w:rPr>
          <w:sz w:val="20"/>
        </w:rPr>
        <w:t>112</w:t>
      </w:r>
      <w:r w:rsidRPr="009F229E">
        <w:rPr>
          <w:sz w:val="20"/>
        </w:rPr>
        <w:tab/>
      </w:r>
      <w:r w:rsidR="0090289C">
        <w:t xml:space="preserve">The second reason why </w:t>
      </w:r>
      <w:r w:rsidR="00F32504">
        <w:t>the “</w:t>
      </w:r>
      <w:r w:rsidR="005C5077">
        <w:t>professional</w:t>
      </w:r>
      <w:r w:rsidR="00F32504">
        <w:t>”</w:t>
      </w:r>
      <w:r w:rsidR="005C5077">
        <w:t xml:space="preserve"> and </w:t>
      </w:r>
      <w:r w:rsidR="00F32504">
        <w:t>“</w:t>
      </w:r>
      <w:r w:rsidR="005C5077">
        <w:t>personal</w:t>
      </w:r>
      <w:r w:rsidR="00F32504">
        <w:t>”</w:t>
      </w:r>
      <w:r w:rsidR="005C5077">
        <w:t xml:space="preserve"> </w:t>
      </w:r>
      <w:r w:rsidR="00F32504">
        <w:t>capacities</w:t>
      </w:r>
      <w:r w:rsidR="005C5077">
        <w:t xml:space="preserve"> </w:t>
      </w:r>
      <w:r w:rsidR="0090289C">
        <w:t xml:space="preserve">are not bases for standing is because they both </w:t>
      </w:r>
      <w:r w:rsidR="005C5077">
        <w:t xml:space="preserve">relate </w:t>
      </w:r>
      <w:r w:rsidR="006F3C27">
        <w:t xml:space="preserve">to </w:t>
      </w:r>
      <w:r w:rsidR="00133CDF">
        <w:t xml:space="preserve">interests or concerns held by the applicant </w:t>
      </w:r>
      <w:r w:rsidR="006F3C27">
        <w:t xml:space="preserve">about </w:t>
      </w:r>
      <w:r w:rsidR="00133CDF">
        <w:t xml:space="preserve">the </w:t>
      </w:r>
      <w:r w:rsidR="006F3C27">
        <w:t xml:space="preserve">safety of </w:t>
      </w:r>
      <w:r w:rsidR="00133CDF">
        <w:t xml:space="preserve">the </w:t>
      </w:r>
      <w:r w:rsidR="006F3C27">
        <w:t>vaccine</w:t>
      </w:r>
      <w:r w:rsidR="00133CDF">
        <w:t>s</w:t>
      </w:r>
      <w:r w:rsidR="006F3C27">
        <w:t xml:space="preserve">. </w:t>
      </w:r>
      <w:r w:rsidR="00133CDF">
        <w:t xml:space="preserve">The applicant has not identified </w:t>
      </w:r>
      <w:r w:rsidR="00330A93">
        <w:t>any dealing</w:t>
      </w:r>
      <w:r w:rsidR="00133CDF">
        <w:t xml:space="preserve"> </w:t>
      </w:r>
      <w:r w:rsidR="001F2068">
        <w:t xml:space="preserve">or offence under the Act for which he is </w:t>
      </w:r>
      <w:r w:rsidR="001F2068">
        <w:lastRenderedPageBreak/>
        <w:t xml:space="preserve">aggrieved. </w:t>
      </w:r>
      <w:r w:rsidR="0093411D">
        <w:t xml:space="preserve">He has not said, for example, that the risks posed to </w:t>
      </w:r>
      <w:r w:rsidR="00D44A1C">
        <w:t>his</w:t>
      </w:r>
      <w:r w:rsidR="0093411D">
        <w:t xml:space="preserve">, his </w:t>
      </w:r>
      <w:r w:rsidR="00995C9B">
        <w:t>children’s</w:t>
      </w:r>
      <w:r w:rsidR="0093411D">
        <w:t xml:space="preserve"> or his patients</w:t>
      </w:r>
      <w:r w:rsidR="00D44A1C">
        <w:t>’ safety</w:t>
      </w:r>
      <w:r w:rsidR="0093411D">
        <w:t xml:space="preserve"> from the vaccines arise from </w:t>
      </w:r>
      <w:r w:rsidR="007F2222">
        <w:t xml:space="preserve">the </w:t>
      </w:r>
      <w:r w:rsidR="00753D4F">
        <w:t>importation</w:t>
      </w:r>
      <w:r w:rsidR="007F2222">
        <w:t>, distribution or transport</w:t>
      </w:r>
      <w:r w:rsidR="002354C0">
        <w:t>ation</w:t>
      </w:r>
      <w:r w:rsidR="007F2222">
        <w:t xml:space="preserve"> of the vaccines. </w:t>
      </w:r>
      <w:r w:rsidR="00653A7F">
        <w:t xml:space="preserve">Therefore, </w:t>
      </w:r>
      <w:r w:rsidR="00481A6C">
        <w:t>the applicant is not “any other aggrieved person” within the meaning of s 147(1) of the Act in either his “professional” or “personal” capacity.</w:t>
      </w:r>
    </w:p>
    <w:p w14:paraId="7E67D661" w14:textId="3C92959E" w:rsidR="00653A7F" w:rsidRPr="00427C36" w:rsidRDefault="0026564F" w:rsidP="0026564F">
      <w:pPr>
        <w:pStyle w:val="ParaNumbering"/>
        <w:numPr>
          <w:ilvl w:val="0"/>
          <w:numId w:val="0"/>
        </w:numPr>
        <w:tabs>
          <w:tab w:val="left" w:pos="720"/>
        </w:tabs>
        <w:ind w:hanging="720"/>
      </w:pPr>
      <w:r w:rsidRPr="00427C36">
        <w:rPr>
          <w:sz w:val="20"/>
        </w:rPr>
        <w:t>113</w:t>
      </w:r>
      <w:r w:rsidRPr="00427C36">
        <w:rPr>
          <w:sz w:val="20"/>
        </w:rPr>
        <w:tab/>
      </w:r>
      <w:r w:rsidR="00896EDB" w:rsidRPr="00427C36">
        <w:t>The</w:t>
      </w:r>
      <w:r w:rsidR="00653A7F" w:rsidRPr="00427C36">
        <w:t xml:space="preserve"> respondents raised</w:t>
      </w:r>
      <w:r w:rsidR="00896EDB" w:rsidRPr="00427C36">
        <w:t xml:space="preserve"> as a third reason why the applicant’s “professional” capacity was not a basis for standing</w:t>
      </w:r>
      <w:r w:rsidR="00DF4B47" w:rsidRPr="00427C36">
        <w:t>: that</w:t>
      </w:r>
      <w:r w:rsidR="00653A7F" w:rsidRPr="00427C36">
        <w:t xml:space="preserve"> he was just one of many hundreds of thousands of medical practitioners who administered the vaccine or who ha</w:t>
      </w:r>
      <w:r w:rsidR="00C03762" w:rsidRPr="00427C36">
        <w:t>d</w:t>
      </w:r>
      <w:r w:rsidR="00653A7F" w:rsidRPr="00427C36">
        <w:t xml:space="preserve"> a professional obligation to protect </w:t>
      </w:r>
      <w:r w:rsidR="00FA2BEA">
        <w:t xml:space="preserve">the </w:t>
      </w:r>
      <w:r w:rsidR="00653A7F" w:rsidRPr="00427C36">
        <w:t>health and safety</w:t>
      </w:r>
      <w:r w:rsidR="009F015C" w:rsidRPr="00427C36">
        <w:t xml:space="preserve"> of the public</w:t>
      </w:r>
      <w:r w:rsidR="00653A7F" w:rsidRPr="00427C36">
        <w:t xml:space="preserve">. </w:t>
      </w:r>
      <w:r w:rsidR="00AF4172" w:rsidRPr="00427C36">
        <w:t>There is nothing in the GTA or</w:t>
      </w:r>
      <w:r w:rsidR="00CA1390" w:rsidRPr="00427C36">
        <w:t xml:space="preserve"> in</w:t>
      </w:r>
      <w:r w:rsidR="00AF4172" w:rsidRPr="00427C36">
        <w:t xml:space="preserve"> any of the </w:t>
      </w:r>
      <w:r w:rsidR="00EE28B2" w:rsidRPr="00427C36">
        <w:t>authorities</w:t>
      </w:r>
      <w:r w:rsidR="00AF4172" w:rsidRPr="00427C36">
        <w:t xml:space="preserve"> on standing </w:t>
      </w:r>
      <w:r w:rsidR="00EE28B2" w:rsidRPr="00427C36">
        <w:t xml:space="preserve">discussed above </w:t>
      </w:r>
      <w:r w:rsidR="00AF4172" w:rsidRPr="00427C36">
        <w:t xml:space="preserve">that precludes </w:t>
      </w:r>
      <w:r w:rsidR="00EE28B2" w:rsidRPr="00427C36">
        <w:t>a person</w:t>
      </w:r>
      <w:r w:rsidR="00AF4172" w:rsidRPr="00427C36">
        <w:t xml:space="preserve"> from having standing merely because the class of people who may have a special interest is very large</w:t>
      </w:r>
      <w:r w:rsidR="009E6A4F" w:rsidRPr="00427C36">
        <w:t xml:space="preserve">. </w:t>
      </w:r>
      <w:r w:rsidR="00E92658" w:rsidRPr="00427C36">
        <w:t xml:space="preserve">As the applicant’s counsel noted, the Court in </w:t>
      </w:r>
      <w:r w:rsidR="00E92658" w:rsidRPr="004678EE">
        <w:rPr>
          <w:b/>
          <w:bCs/>
          <w:i/>
          <w:iCs/>
        </w:rPr>
        <w:t>Ogle</w:t>
      </w:r>
      <w:r w:rsidR="00E92658" w:rsidRPr="00C77296">
        <w:rPr>
          <w:i/>
          <w:iCs/>
        </w:rPr>
        <w:t xml:space="preserve"> v Strickland </w:t>
      </w:r>
      <w:r w:rsidR="00E317F2" w:rsidRPr="00C77296">
        <w:rPr>
          <w:lang w:eastAsia="en-AU"/>
        </w:rPr>
        <w:t>(1987) 13 FCR 306</w:t>
      </w:r>
      <w:r w:rsidR="00E317F2">
        <w:rPr>
          <w:lang w:eastAsia="en-AU"/>
        </w:rPr>
        <w:t xml:space="preserve"> (discussed below) </w:t>
      </w:r>
      <w:r w:rsidR="00E92658" w:rsidRPr="00427C36">
        <w:t xml:space="preserve">did not consider the number of priests in the country. </w:t>
      </w:r>
      <w:r w:rsidR="007E043B" w:rsidRPr="00427C36">
        <w:t>The focus is</w:t>
      </w:r>
      <w:r w:rsidR="00F50CE7" w:rsidRPr="00427C36">
        <w:t xml:space="preserve"> on</w:t>
      </w:r>
      <w:r w:rsidR="007E043B" w:rsidRPr="00427C36">
        <w:t xml:space="preserve"> whether a person has a special interest in the proceeding beyond that of an ordinary member of the public</w:t>
      </w:r>
      <w:r w:rsidR="00406277">
        <w:t xml:space="preserve">. That is </w:t>
      </w:r>
      <w:r w:rsidR="00C47D53">
        <w:t>not a mathematical enquiry.</w:t>
      </w:r>
    </w:p>
    <w:p w14:paraId="5AEEECC6" w14:textId="631BCCF4" w:rsidR="003F0729" w:rsidRPr="009F229E" w:rsidRDefault="0026564F" w:rsidP="0026564F">
      <w:pPr>
        <w:pStyle w:val="ParaNumbering"/>
        <w:numPr>
          <w:ilvl w:val="0"/>
          <w:numId w:val="0"/>
        </w:numPr>
        <w:tabs>
          <w:tab w:val="left" w:pos="720"/>
        </w:tabs>
        <w:ind w:hanging="720"/>
        <w:rPr>
          <w:sz w:val="13"/>
          <w:szCs w:val="13"/>
        </w:rPr>
      </w:pPr>
      <w:r w:rsidRPr="009F229E">
        <w:rPr>
          <w:sz w:val="20"/>
          <w:szCs w:val="13"/>
        </w:rPr>
        <w:t>114</w:t>
      </w:r>
      <w:r w:rsidRPr="009F229E">
        <w:rPr>
          <w:sz w:val="20"/>
          <w:szCs w:val="13"/>
        </w:rPr>
        <w:tab/>
      </w:r>
      <w:r w:rsidR="002C64C7">
        <w:t xml:space="preserve">The applicant primarily relied upon his </w:t>
      </w:r>
      <w:r w:rsidR="003610F9">
        <w:t>“</w:t>
      </w:r>
      <w:r w:rsidR="00481A6C">
        <w:t>public</w:t>
      </w:r>
      <w:r w:rsidR="00742B13">
        <w:t>”</w:t>
      </w:r>
      <w:r w:rsidR="002C64C7">
        <w:t xml:space="preserve"> capacity to establish standing</w:t>
      </w:r>
      <w:r w:rsidR="00431774">
        <w:t xml:space="preserve"> and relied upon </w:t>
      </w:r>
      <w:r w:rsidR="00DD5987">
        <w:t>several cases i</w:t>
      </w:r>
      <w:r w:rsidR="0060431C">
        <w:t>n doing so</w:t>
      </w:r>
      <w:r w:rsidR="00645181">
        <w:t xml:space="preserve">. </w:t>
      </w:r>
      <w:r w:rsidR="00DD5987">
        <w:t>Most of the cases relied upon by the applicant were not applicable to his circumstances, save for a few exceptions discussed below.</w:t>
      </w:r>
    </w:p>
    <w:p w14:paraId="0805D95B" w14:textId="299F6614" w:rsidR="009F229E" w:rsidRPr="009F229E" w:rsidRDefault="0026564F" w:rsidP="0026564F">
      <w:pPr>
        <w:pStyle w:val="ParaNumbering"/>
        <w:numPr>
          <w:ilvl w:val="0"/>
          <w:numId w:val="0"/>
        </w:numPr>
        <w:ind w:hanging="720"/>
      </w:pPr>
      <w:r w:rsidRPr="009F229E">
        <w:rPr>
          <w:sz w:val="20"/>
        </w:rPr>
        <w:t>115</w:t>
      </w:r>
      <w:r w:rsidRPr="009F229E">
        <w:rPr>
          <w:sz w:val="20"/>
        </w:rPr>
        <w:tab/>
      </w:r>
      <w:r w:rsidR="009F229E">
        <w:t xml:space="preserve">Contrary to Pfizer’s submissions, I do not consider that </w:t>
      </w:r>
      <w:r w:rsidR="0033425D">
        <w:t>the applicant’s standing based on his</w:t>
      </w:r>
      <w:r w:rsidR="009F229E">
        <w:t xml:space="preserve"> </w:t>
      </w:r>
      <w:r w:rsidR="00742B13">
        <w:t>“</w:t>
      </w:r>
      <w:r w:rsidR="007650E7">
        <w:t>public</w:t>
      </w:r>
      <w:r w:rsidR="00742B13">
        <w:t>”</w:t>
      </w:r>
      <w:r w:rsidR="009F229E">
        <w:t xml:space="preserve"> capacity </w:t>
      </w:r>
      <w:r w:rsidR="004101AD">
        <w:t>fa</w:t>
      </w:r>
      <w:r w:rsidR="00C1320A">
        <w:t>ils along</w:t>
      </w:r>
      <w:r w:rsidR="00397020">
        <w:t xml:space="preserve">side </w:t>
      </w:r>
      <w:r w:rsidR="004101AD">
        <w:t xml:space="preserve">his standing based on his </w:t>
      </w:r>
      <w:r w:rsidR="00742B13">
        <w:t>“</w:t>
      </w:r>
      <w:r w:rsidR="004101AD">
        <w:t>professional</w:t>
      </w:r>
      <w:r w:rsidR="00742B13">
        <w:t>”</w:t>
      </w:r>
      <w:r w:rsidR="004101AD">
        <w:t xml:space="preserve"> and </w:t>
      </w:r>
      <w:r w:rsidR="00742B13">
        <w:t>“</w:t>
      </w:r>
      <w:r w:rsidR="004101AD">
        <w:t>personal</w:t>
      </w:r>
      <w:r w:rsidR="00742B13">
        <w:t>”</w:t>
      </w:r>
      <w:r w:rsidR="004101AD">
        <w:t xml:space="preserve"> capacities. His </w:t>
      </w:r>
      <w:r w:rsidR="00742B13">
        <w:t>“</w:t>
      </w:r>
      <w:r w:rsidR="004101AD">
        <w:t>public</w:t>
      </w:r>
      <w:r w:rsidR="00742B13">
        <w:t>”</w:t>
      </w:r>
      <w:r w:rsidR="004101AD">
        <w:t xml:space="preserve"> capacity</w:t>
      </w:r>
      <w:r w:rsidR="009F229E">
        <w:t xml:space="preserve"> relates to </w:t>
      </w:r>
      <w:r w:rsidR="00C550F2">
        <w:t>his</w:t>
      </w:r>
      <w:r w:rsidR="009F229E">
        <w:t xml:space="preserve"> ongoing obligation as a doctor to protect the health and safety of the public. As these vaccines continue to be administered, an injunction would have utility in preventing patients from receiving what Dr Fidge considers </w:t>
      </w:r>
      <w:r w:rsidR="003D07BD">
        <w:t xml:space="preserve">to be </w:t>
      </w:r>
      <w:r w:rsidR="009F229E">
        <w:t xml:space="preserve">an unsafe vaccine. </w:t>
      </w:r>
    </w:p>
    <w:p w14:paraId="309A3F80" w14:textId="069BFF57" w:rsidR="000E6A19" w:rsidRDefault="0026564F" w:rsidP="0026564F">
      <w:pPr>
        <w:pStyle w:val="ParaNumbering"/>
        <w:numPr>
          <w:ilvl w:val="0"/>
          <w:numId w:val="0"/>
        </w:numPr>
        <w:tabs>
          <w:tab w:val="left" w:pos="720"/>
        </w:tabs>
        <w:ind w:hanging="720"/>
        <w:rPr>
          <w:lang w:eastAsia="en-AU"/>
        </w:rPr>
      </w:pPr>
      <w:r>
        <w:rPr>
          <w:sz w:val="20"/>
          <w:lang w:eastAsia="en-AU"/>
        </w:rPr>
        <w:t>116</w:t>
      </w:r>
      <w:r>
        <w:rPr>
          <w:sz w:val="20"/>
          <w:lang w:eastAsia="en-AU"/>
        </w:rPr>
        <w:tab/>
      </w:r>
      <w:r w:rsidR="001E1895">
        <w:rPr>
          <w:lang w:eastAsia="en-AU"/>
        </w:rPr>
        <w:t xml:space="preserve">The </w:t>
      </w:r>
      <w:r w:rsidR="008C6E63">
        <w:rPr>
          <w:lang w:eastAsia="en-AU"/>
        </w:rPr>
        <w:t>a</w:t>
      </w:r>
      <w:r w:rsidR="003F0729" w:rsidRPr="003F0729">
        <w:rPr>
          <w:lang w:eastAsia="en-AU"/>
        </w:rPr>
        <w:t>pplicant</w:t>
      </w:r>
      <w:r w:rsidR="003F0729">
        <w:rPr>
          <w:lang w:eastAsia="en-AU"/>
        </w:rPr>
        <w:t xml:space="preserve"> relied upon</w:t>
      </w:r>
      <w:r w:rsidR="003F0729" w:rsidRPr="003F0729">
        <w:rPr>
          <w:lang w:eastAsia="en-AU"/>
        </w:rPr>
        <w:t xml:space="preserve"> numerous authorities where the question of standing depended on the existence of a relevant commercial interest, either in the form of a competitor or a related business</w:t>
      </w:r>
      <w:r w:rsidR="003F0729">
        <w:rPr>
          <w:lang w:eastAsia="en-AU"/>
        </w:rPr>
        <w:t xml:space="preserve">, </w:t>
      </w:r>
      <w:r w:rsidR="003F0729" w:rsidRPr="003F0729">
        <w:rPr>
          <w:lang w:eastAsia="en-AU"/>
        </w:rPr>
        <w:t xml:space="preserve">such that there was a close and direction connection with the potential to cause serious financial detriment. </w:t>
      </w:r>
      <w:r w:rsidR="00A84059">
        <w:rPr>
          <w:lang w:eastAsia="en-AU"/>
        </w:rPr>
        <w:t xml:space="preserve">These cases included </w:t>
      </w:r>
      <w:r w:rsidR="00A84059" w:rsidRPr="00C77296">
        <w:rPr>
          <w:i/>
          <w:iCs/>
          <w:lang w:eastAsia="en-AU"/>
        </w:rPr>
        <w:t xml:space="preserve">Bateman’s Bay Local Council Aboriginal Land Council v Aboriginal Community Benefit Fund </w:t>
      </w:r>
      <w:r w:rsidR="00A84059" w:rsidRPr="00C77296">
        <w:rPr>
          <w:lang w:eastAsia="en-AU"/>
        </w:rPr>
        <w:t>(1998) 194 CLR 247</w:t>
      </w:r>
      <w:r w:rsidR="00A84059" w:rsidRPr="00A84059">
        <w:rPr>
          <w:lang w:eastAsia="en-AU"/>
        </w:rPr>
        <w:t xml:space="preserve">; </w:t>
      </w:r>
      <w:r w:rsidR="00A84059" w:rsidRPr="00C77296">
        <w:rPr>
          <w:i/>
          <w:iCs/>
          <w:lang w:eastAsia="en-AU"/>
        </w:rPr>
        <w:t xml:space="preserve">SmithKline Beecham (Australia) Pty Ltd v Chapman </w:t>
      </w:r>
      <w:r w:rsidR="00A84059" w:rsidRPr="00C77296">
        <w:rPr>
          <w:lang w:eastAsia="en-AU"/>
        </w:rPr>
        <w:t>[2002] FCA 674</w:t>
      </w:r>
      <w:r w:rsidR="00A84059" w:rsidRPr="00A84059">
        <w:rPr>
          <w:lang w:eastAsia="en-AU"/>
        </w:rPr>
        <w:t xml:space="preserve">; </w:t>
      </w:r>
      <w:proofErr w:type="spellStart"/>
      <w:r w:rsidR="00A84059" w:rsidRPr="00C77296">
        <w:rPr>
          <w:i/>
          <w:iCs/>
          <w:lang w:eastAsia="en-AU"/>
        </w:rPr>
        <w:t>Assa</w:t>
      </w:r>
      <w:proofErr w:type="spellEnd"/>
      <w:r w:rsidR="00A84059" w:rsidRPr="00C77296">
        <w:rPr>
          <w:i/>
          <w:iCs/>
          <w:lang w:eastAsia="en-AU"/>
        </w:rPr>
        <w:t xml:space="preserve"> Abloy Australia Pty Ltd v Australian Lock Company Pty Ltd </w:t>
      </w:r>
      <w:r w:rsidR="00A84059" w:rsidRPr="00C77296">
        <w:rPr>
          <w:lang w:eastAsia="en-AU"/>
        </w:rPr>
        <w:t>(2005) 147 FCR 12</w:t>
      </w:r>
      <w:r w:rsidR="00025B94" w:rsidRPr="00C77296">
        <w:rPr>
          <w:lang w:eastAsia="en-AU"/>
        </w:rPr>
        <w:t>6</w:t>
      </w:r>
      <w:r w:rsidR="00A84059" w:rsidRPr="00C77296">
        <w:rPr>
          <w:lang w:eastAsia="en-AU"/>
        </w:rPr>
        <w:t>;</w:t>
      </w:r>
      <w:r w:rsidR="00A84059" w:rsidRPr="00A84059">
        <w:rPr>
          <w:lang w:eastAsia="en-AU"/>
        </w:rPr>
        <w:t xml:space="preserve"> </w:t>
      </w:r>
      <w:r w:rsidR="00A84059" w:rsidRPr="000E17C4">
        <w:rPr>
          <w:i/>
          <w:iCs/>
          <w:lang w:eastAsia="en-AU"/>
        </w:rPr>
        <w:t>Health World.</w:t>
      </w:r>
    </w:p>
    <w:p w14:paraId="161EB577" w14:textId="77C9750A" w:rsidR="00BC651D" w:rsidRPr="00FD36E3" w:rsidRDefault="0026564F" w:rsidP="0026564F">
      <w:pPr>
        <w:pStyle w:val="ParaNumbering"/>
        <w:numPr>
          <w:ilvl w:val="0"/>
          <w:numId w:val="0"/>
        </w:numPr>
        <w:tabs>
          <w:tab w:val="left" w:pos="720"/>
        </w:tabs>
        <w:ind w:hanging="720"/>
        <w:rPr>
          <w:lang w:eastAsia="en-AU"/>
        </w:rPr>
      </w:pPr>
      <w:r w:rsidRPr="00FD36E3">
        <w:rPr>
          <w:sz w:val="20"/>
          <w:lang w:eastAsia="en-AU"/>
        </w:rPr>
        <w:lastRenderedPageBreak/>
        <w:t>117</w:t>
      </w:r>
      <w:r w:rsidRPr="00FD36E3">
        <w:rPr>
          <w:sz w:val="20"/>
          <w:lang w:eastAsia="en-AU"/>
        </w:rPr>
        <w:tab/>
      </w:r>
      <w:r w:rsidR="002F235D">
        <w:rPr>
          <w:lang w:eastAsia="en-AU"/>
        </w:rPr>
        <w:t xml:space="preserve">The applicant placed great emphasis on </w:t>
      </w:r>
      <w:r w:rsidR="002F235D" w:rsidRPr="000E17C4">
        <w:rPr>
          <w:i/>
          <w:iCs/>
          <w:lang w:eastAsia="en-AU"/>
        </w:rPr>
        <w:t>Health World</w:t>
      </w:r>
      <w:r w:rsidR="002F235D">
        <w:rPr>
          <w:lang w:eastAsia="en-AU"/>
        </w:rPr>
        <w:t xml:space="preserve"> in particular</w:t>
      </w:r>
      <w:r w:rsidR="00243E02">
        <w:rPr>
          <w:lang w:eastAsia="en-AU"/>
        </w:rPr>
        <w:t xml:space="preserve">. </w:t>
      </w:r>
      <w:r w:rsidR="00DA3829">
        <w:rPr>
          <w:lang w:eastAsia="en-AU"/>
        </w:rPr>
        <w:t xml:space="preserve">In that case, </w:t>
      </w:r>
      <w:r w:rsidR="00A26DD0" w:rsidRPr="00243E02">
        <w:rPr>
          <w:lang w:eastAsia="en-AU"/>
        </w:rPr>
        <w:t xml:space="preserve">French CJ, Gummow, </w:t>
      </w:r>
      <w:proofErr w:type="spellStart"/>
      <w:r w:rsidR="00A26DD0" w:rsidRPr="00243E02">
        <w:rPr>
          <w:lang w:eastAsia="en-AU"/>
        </w:rPr>
        <w:t>Heydon</w:t>
      </w:r>
      <w:proofErr w:type="spellEnd"/>
      <w:r w:rsidR="00A26DD0" w:rsidRPr="00243E02">
        <w:rPr>
          <w:lang w:eastAsia="en-AU"/>
        </w:rPr>
        <w:t xml:space="preserve"> and Bell JJ</w:t>
      </w:r>
      <w:r w:rsidR="00DA3829">
        <w:rPr>
          <w:lang w:eastAsia="en-AU"/>
        </w:rPr>
        <w:t xml:space="preserve"> held</w:t>
      </w:r>
      <w:r w:rsidR="00DA3A25">
        <w:rPr>
          <w:lang w:eastAsia="en-AU"/>
        </w:rPr>
        <w:t xml:space="preserve"> at [45]</w:t>
      </w:r>
      <w:r w:rsidR="00DA3829">
        <w:rPr>
          <w:lang w:eastAsia="en-AU"/>
        </w:rPr>
        <w:t xml:space="preserve"> that </w:t>
      </w:r>
      <w:r w:rsidR="000C1B89">
        <w:rPr>
          <w:lang w:eastAsia="en-AU"/>
        </w:rPr>
        <w:t xml:space="preserve">Health World was an aggrieved </w:t>
      </w:r>
      <w:r w:rsidR="000C1B89" w:rsidRPr="00FD36E3">
        <w:rPr>
          <w:lang w:eastAsia="en-AU"/>
        </w:rPr>
        <w:t>person under the Trade Marks Act</w:t>
      </w:r>
      <w:r w:rsidR="008508BA" w:rsidRPr="00FD36E3">
        <w:rPr>
          <w:lang w:eastAsia="en-AU"/>
        </w:rPr>
        <w:t xml:space="preserve"> on the basis that “Health World and Shin-Sun are rivals in selling the health products in question. They are in the same trade, and they each trade in the class of goods in respect of which the challenged mark is registered”.</w:t>
      </w:r>
      <w:r w:rsidR="006922EA" w:rsidRPr="00FD36E3">
        <w:rPr>
          <w:lang w:eastAsia="en-AU"/>
        </w:rPr>
        <w:t xml:space="preserve"> The High Court’s analysis was based on the unique attributes of the </w:t>
      </w:r>
      <w:r w:rsidR="00FE4E75" w:rsidRPr="00FD36E3">
        <w:rPr>
          <w:lang w:eastAsia="en-AU"/>
        </w:rPr>
        <w:t>T</w:t>
      </w:r>
      <w:r w:rsidR="006922EA" w:rsidRPr="00FD36E3">
        <w:rPr>
          <w:lang w:eastAsia="en-AU"/>
        </w:rPr>
        <w:t xml:space="preserve">rade </w:t>
      </w:r>
      <w:r w:rsidR="00FE4E75" w:rsidRPr="00FD36E3">
        <w:rPr>
          <w:lang w:eastAsia="en-AU"/>
        </w:rPr>
        <w:t>M</w:t>
      </w:r>
      <w:r w:rsidR="006922EA" w:rsidRPr="00FD36E3">
        <w:rPr>
          <w:lang w:eastAsia="en-AU"/>
        </w:rPr>
        <w:t>arks</w:t>
      </w:r>
      <w:r w:rsidR="00FE4E75" w:rsidRPr="00FD36E3">
        <w:rPr>
          <w:lang w:eastAsia="en-AU"/>
        </w:rPr>
        <w:t xml:space="preserve"> Act</w:t>
      </w:r>
      <w:r w:rsidR="00211980" w:rsidRPr="00FD36E3">
        <w:rPr>
          <w:lang w:eastAsia="en-AU"/>
        </w:rPr>
        <w:t>.</w:t>
      </w:r>
    </w:p>
    <w:p w14:paraId="4F613A35" w14:textId="6D9B3EE9" w:rsidR="006922EA" w:rsidRPr="00FD36E3" w:rsidRDefault="0026564F" w:rsidP="0026564F">
      <w:pPr>
        <w:pStyle w:val="ParaNumbering"/>
        <w:numPr>
          <w:ilvl w:val="0"/>
          <w:numId w:val="0"/>
        </w:numPr>
        <w:tabs>
          <w:tab w:val="left" w:pos="720"/>
        </w:tabs>
        <w:ind w:hanging="720"/>
        <w:rPr>
          <w:lang w:eastAsia="en-AU"/>
        </w:rPr>
      </w:pPr>
      <w:r w:rsidRPr="00FD36E3">
        <w:rPr>
          <w:sz w:val="20"/>
          <w:lang w:eastAsia="en-AU"/>
        </w:rPr>
        <w:t>118</w:t>
      </w:r>
      <w:r w:rsidRPr="00FD36E3">
        <w:rPr>
          <w:sz w:val="20"/>
          <w:lang w:eastAsia="en-AU"/>
        </w:rPr>
        <w:tab/>
      </w:r>
      <w:r w:rsidR="004E376E" w:rsidRPr="00FD36E3">
        <w:rPr>
          <w:lang w:eastAsia="en-AU"/>
        </w:rPr>
        <w:t xml:space="preserve"> </w:t>
      </w:r>
      <w:r w:rsidR="00122A3F" w:rsidRPr="00FD36E3">
        <w:rPr>
          <w:lang w:eastAsia="en-AU"/>
        </w:rPr>
        <w:t>The applicant</w:t>
      </w:r>
      <w:r w:rsidR="006922EA" w:rsidRPr="00FD36E3">
        <w:rPr>
          <w:lang w:eastAsia="en-AU"/>
        </w:rPr>
        <w:t xml:space="preserve"> also</w:t>
      </w:r>
      <w:r w:rsidR="00122A3F" w:rsidRPr="00FD36E3">
        <w:rPr>
          <w:lang w:eastAsia="en-AU"/>
        </w:rPr>
        <w:t xml:space="preserve"> cited </w:t>
      </w:r>
      <w:r w:rsidR="00122A3F" w:rsidRPr="00FD36E3">
        <w:rPr>
          <w:i/>
          <w:iCs/>
          <w:lang w:eastAsia="en-AU"/>
        </w:rPr>
        <w:t>Health World</w:t>
      </w:r>
      <w:r w:rsidR="00122A3F" w:rsidRPr="00FD36E3">
        <w:rPr>
          <w:lang w:eastAsia="en-AU"/>
        </w:rPr>
        <w:t xml:space="preserve"> at [26] </w:t>
      </w:r>
      <w:r w:rsidR="00BC651D" w:rsidRPr="00FD36E3">
        <w:rPr>
          <w:lang w:eastAsia="en-AU"/>
        </w:rPr>
        <w:t xml:space="preserve">and [30] </w:t>
      </w:r>
      <w:r w:rsidR="00122A3F" w:rsidRPr="00FD36E3">
        <w:rPr>
          <w:lang w:eastAsia="en-AU"/>
        </w:rPr>
        <w:t xml:space="preserve">for the proposition that </w:t>
      </w:r>
      <w:r w:rsidR="00BC651D" w:rsidRPr="00FD36E3">
        <w:rPr>
          <w:lang w:eastAsia="en-AU"/>
        </w:rPr>
        <w:t xml:space="preserve">the meaning of “aggrieved person” should be construed liberally. However, </w:t>
      </w:r>
      <w:r w:rsidR="00280F62" w:rsidRPr="00FD36E3">
        <w:rPr>
          <w:lang w:eastAsia="en-AU"/>
        </w:rPr>
        <w:t xml:space="preserve">when those paragraphs are read in full, and understood in the context of the Court’s detailed </w:t>
      </w:r>
      <w:r w:rsidR="00CD2BD2" w:rsidRPr="00FD36E3">
        <w:rPr>
          <w:lang w:eastAsia="en-AU"/>
        </w:rPr>
        <w:t xml:space="preserve">discussion of the construction of the Trade Marks Act, it is evident that </w:t>
      </w:r>
      <w:r w:rsidR="008A1375">
        <w:rPr>
          <w:lang w:eastAsia="en-AU"/>
        </w:rPr>
        <w:t>the Court’s</w:t>
      </w:r>
      <w:r w:rsidR="008A1375" w:rsidRPr="00FD36E3">
        <w:rPr>
          <w:lang w:eastAsia="en-AU"/>
        </w:rPr>
        <w:t xml:space="preserve"> </w:t>
      </w:r>
      <w:r w:rsidR="004B1B25" w:rsidRPr="00FD36E3">
        <w:rPr>
          <w:lang w:eastAsia="en-AU"/>
        </w:rPr>
        <w:t xml:space="preserve">statement of principle (at [30]) was merely that “the word ‘aggrieved’ in the trade mark legislation </w:t>
      </w:r>
      <w:r w:rsidR="001E38A4" w:rsidRPr="00FD36E3">
        <w:rPr>
          <w:lang w:eastAsia="en-AU"/>
        </w:rPr>
        <w:t xml:space="preserve">is </w:t>
      </w:r>
      <w:r w:rsidR="004B1B25" w:rsidRPr="00FD36E3">
        <w:rPr>
          <w:lang w:eastAsia="en-AU"/>
        </w:rPr>
        <w:t>to be ‘liberally construed’”, not that the word should</w:t>
      </w:r>
      <w:r w:rsidR="00CF1B57">
        <w:rPr>
          <w:lang w:eastAsia="en-AU"/>
        </w:rPr>
        <w:t xml:space="preserve"> be,</w:t>
      </w:r>
      <w:r w:rsidR="004B1B25" w:rsidRPr="00FD36E3">
        <w:rPr>
          <w:lang w:eastAsia="en-AU"/>
        </w:rPr>
        <w:t xml:space="preserve"> as a general proposition</w:t>
      </w:r>
      <w:r w:rsidR="00CF1B57">
        <w:rPr>
          <w:lang w:eastAsia="en-AU"/>
        </w:rPr>
        <w:t>,</w:t>
      </w:r>
      <w:r w:rsidR="004B1B25" w:rsidRPr="00FD36E3">
        <w:rPr>
          <w:lang w:eastAsia="en-AU"/>
        </w:rPr>
        <w:t xml:space="preserve"> construed liberally</w:t>
      </w:r>
      <w:r w:rsidR="00CF1B57" w:rsidRPr="00CF1B57">
        <w:rPr>
          <w:lang w:eastAsia="en-AU"/>
        </w:rPr>
        <w:t xml:space="preserve"> </w:t>
      </w:r>
      <w:r w:rsidR="00CF1B57" w:rsidRPr="00FD36E3">
        <w:rPr>
          <w:lang w:eastAsia="en-AU"/>
        </w:rPr>
        <w:t>in all statutes</w:t>
      </w:r>
      <w:r w:rsidR="004B1B25" w:rsidRPr="00FD36E3">
        <w:rPr>
          <w:lang w:eastAsia="en-AU"/>
        </w:rPr>
        <w:t xml:space="preserve">. </w:t>
      </w:r>
    </w:p>
    <w:p w14:paraId="2830A89A" w14:textId="18436C37" w:rsidR="003F0729" w:rsidRPr="00FD36E3" w:rsidRDefault="0026564F" w:rsidP="0026564F">
      <w:pPr>
        <w:pStyle w:val="ParaNumbering"/>
        <w:numPr>
          <w:ilvl w:val="0"/>
          <w:numId w:val="0"/>
        </w:numPr>
        <w:tabs>
          <w:tab w:val="left" w:pos="720"/>
        </w:tabs>
        <w:ind w:hanging="720"/>
        <w:rPr>
          <w:lang w:eastAsia="en-AU"/>
        </w:rPr>
      </w:pPr>
      <w:r w:rsidRPr="00FD36E3">
        <w:rPr>
          <w:sz w:val="20"/>
          <w:lang w:eastAsia="en-AU"/>
        </w:rPr>
        <w:t>119</w:t>
      </w:r>
      <w:r w:rsidRPr="00FD36E3">
        <w:rPr>
          <w:sz w:val="20"/>
          <w:lang w:eastAsia="en-AU"/>
        </w:rPr>
        <w:tab/>
      </w:r>
      <w:r w:rsidR="006922EA" w:rsidRPr="00FD36E3">
        <w:rPr>
          <w:lang w:eastAsia="en-AU"/>
        </w:rPr>
        <w:t xml:space="preserve">The applicant contends that because the High Court in </w:t>
      </w:r>
      <w:r w:rsidR="006922EA" w:rsidRPr="00FD36E3">
        <w:rPr>
          <w:i/>
          <w:iCs/>
          <w:lang w:eastAsia="en-AU"/>
        </w:rPr>
        <w:t>Health World</w:t>
      </w:r>
      <w:r w:rsidR="006922EA" w:rsidRPr="00FD36E3">
        <w:rPr>
          <w:lang w:eastAsia="en-AU"/>
        </w:rPr>
        <w:t xml:space="preserve"> considered that the mere possibility of matters constituting aggrievement were sufficient, </w:t>
      </w:r>
      <w:r w:rsidR="006571CF" w:rsidRPr="00FD36E3">
        <w:rPr>
          <w:lang w:eastAsia="en-AU"/>
        </w:rPr>
        <w:t>the applicant</w:t>
      </w:r>
      <w:r w:rsidR="006922EA" w:rsidRPr="00FD36E3">
        <w:rPr>
          <w:lang w:eastAsia="en-AU"/>
        </w:rPr>
        <w:t xml:space="preserve"> must be aggrieved because his “matters of aggrievement</w:t>
      </w:r>
      <w:r w:rsidR="000E17C4" w:rsidRPr="00FD36E3">
        <w:rPr>
          <w:lang w:eastAsia="en-AU"/>
        </w:rPr>
        <w:t xml:space="preserve"> </w:t>
      </w:r>
      <w:r w:rsidR="006922EA" w:rsidRPr="00FD36E3">
        <w:rPr>
          <w:lang w:eastAsia="en-AU"/>
        </w:rPr>
        <w:t xml:space="preserve">… are real and made manifest”. This analogy fails </w:t>
      </w:r>
      <w:r w:rsidR="006571CF" w:rsidRPr="00FD36E3">
        <w:rPr>
          <w:lang w:eastAsia="en-AU"/>
        </w:rPr>
        <w:t xml:space="preserve">for two reasons. First, </w:t>
      </w:r>
      <w:r w:rsidR="000E17C4" w:rsidRPr="00FD36E3">
        <w:rPr>
          <w:lang w:eastAsia="en-AU"/>
        </w:rPr>
        <w:t xml:space="preserve">the </w:t>
      </w:r>
      <w:r w:rsidR="006922EA" w:rsidRPr="00FD36E3">
        <w:rPr>
          <w:lang w:eastAsia="en-AU"/>
        </w:rPr>
        <w:t>meaning of the phrase “aggrieved” depend</w:t>
      </w:r>
      <w:r w:rsidR="009A29BB" w:rsidRPr="00FD36E3">
        <w:rPr>
          <w:lang w:eastAsia="en-AU"/>
        </w:rPr>
        <w:t>s</w:t>
      </w:r>
      <w:r w:rsidR="006922EA" w:rsidRPr="00FD36E3">
        <w:rPr>
          <w:lang w:eastAsia="en-AU"/>
        </w:rPr>
        <w:t xml:space="preserve"> on the subject, scope and purpose of the </w:t>
      </w:r>
      <w:r w:rsidR="006F6713" w:rsidRPr="00FD36E3">
        <w:rPr>
          <w:lang w:eastAsia="en-AU"/>
        </w:rPr>
        <w:t>relevant</w:t>
      </w:r>
      <w:r w:rsidR="006571CF" w:rsidRPr="00FD36E3">
        <w:rPr>
          <w:lang w:eastAsia="en-AU"/>
        </w:rPr>
        <w:t xml:space="preserve"> </w:t>
      </w:r>
      <w:r w:rsidR="006922EA" w:rsidRPr="00FD36E3">
        <w:rPr>
          <w:lang w:eastAsia="en-AU"/>
        </w:rPr>
        <w:t>statute and</w:t>
      </w:r>
      <w:r w:rsidR="006571CF" w:rsidRPr="00FD36E3">
        <w:rPr>
          <w:lang w:eastAsia="en-AU"/>
        </w:rPr>
        <w:t xml:space="preserve">, as I have said, </w:t>
      </w:r>
      <w:r w:rsidR="006922EA" w:rsidRPr="00FD36E3">
        <w:rPr>
          <w:lang w:eastAsia="en-AU"/>
        </w:rPr>
        <w:t>the subject, scope and purpose of the GTA and the Trade Marks Act are not comparable.</w:t>
      </w:r>
      <w:r w:rsidR="006F6713" w:rsidRPr="00FD36E3">
        <w:rPr>
          <w:lang w:eastAsia="en-AU"/>
        </w:rPr>
        <w:t xml:space="preserve"> Second, </w:t>
      </w:r>
      <w:r w:rsidR="00ED7FCB" w:rsidRPr="00FD36E3">
        <w:rPr>
          <w:lang w:eastAsia="en-AU"/>
        </w:rPr>
        <w:t xml:space="preserve">the Court’s </w:t>
      </w:r>
      <w:r w:rsidR="009F143D" w:rsidRPr="00FD36E3">
        <w:rPr>
          <w:lang w:eastAsia="en-AU"/>
        </w:rPr>
        <w:t>discussion at [35]</w:t>
      </w:r>
      <w:r w:rsidR="00CF1B57">
        <w:rPr>
          <w:lang w:eastAsia="en-AU"/>
        </w:rPr>
        <w:t>-</w:t>
      </w:r>
      <w:r w:rsidR="009F143D" w:rsidRPr="00FD36E3">
        <w:rPr>
          <w:lang w:eastAsia="en-AU"/>
        </w:rPr>
        <w:t>[38]</w:t>
      </w:r>
      <w:r w:rsidR="00CF1B57">
        <w:rPr>
          <w:lang w:eastAsia="en-AU"/>
        </w:rPr>
        <w:t xml:space="preserve"> in </w:t>
      </w:r>
      <w:r w:rsidR="00CF1B57">
        <w:rPr>
          <w:i/>
          <w:iCs/>
          <w:lang w:eastAsia="en-AU"/>
        </w:rPr>
        <w:t>Health World</w:t>
      </w:r>
      <w:r w:rsidR="009F143D" w:rsidRPr="00FD36E3">
        <w:rPr>
          <w:lang w:eastAsia="en-AU"/>
        </w:rPr>
        <w:t xml:space="preserve">, referencing </w:t>
      </w:r>
      <w:r w:rsidR="009F143D" w:rsidRPr="00C77296">
        <w:rPr>
          <w:i/>
          <w:iCs/>
          <w:lang w:eastAsia="en-AU"/>
        </w:rPr>
        <w:t>Powell v Birmingham Vinegar Brewery Co Ltd</w:t>
      </w:r>
      <w:r w:rsidR="005E5C43" w:rsidRPr="00C77296">
        <w:rPr>
          <w:i/>
          <w:iCs/>
          <w:lang w:eastAsia="en-AU"/>
        </w:rPr>
        <w:t xml:space="preserve"> </w:t>
      </w:r>
      <w:r w:rsidR="005E5C43" w:rsidRPr="00C77296">
        <w:rPr>
          <w:lang w:eastAsia="en-AU"/>
        </w:rPr>
        <w:t>[1894] AC 8</w:t>
      </w:r>
      <w:r w:rsidR="005E5C43" w:rsidRPr="00FD36E3">
        <w:rPr>
          <w:lang w:eastAsia="en-AU"/>
        </w:rPr>
        <w:t xml:space="preserve">, concerned a commercial interest and the mere possibility </w:t>
      </w:r>
      <w:r w:rsidR="000A6F8A" w:rsidRPr="00FD36E3">
        <w:rPr>
          <w:lang w:eastAsia="en-AU"/>
        </w:rPr>
        <w:t xml:space="preserve">that a competitor may </w:t>
      </w:r>
      <w:r w:rsidR="008F6B46" w:rsidRPr="00FD36E3">
        <w:rPr>
          <w:lang w:eastAsia="en-AU"/>
        </w:rPr>
        <w:t>intend to trade in the article in question</w:t>
      </w:r>
      <w:r w:rsidR="007A2264" w:rsidRPr="00FD36E3">
        <w:rPr>
          <w:lang w:eastAsia="en-AU"/>
        </w:rPr>
        <w:t xml:space="preserve">, even where there is no evidence of actual desire or intention to use that mark. </w:t>
      </w:r>
      <w:r w:rsidR="00213AFE" w:rsidRPr="00FD36E3">
        <w:rPr>
          <w:lang w:eastAsia="en-AU"/>
        </w:rPr>
        <w:t>T</w:t>
      </w:r>
      <w:r w:rsidR="003F0729" w:rsidRPr="00FD36E3">
        <w:rPr>
          <w:lang w:eastAsia="en-AU"/>
        </w:rPr>
        <w:t xml:space="preserve">he </w:t>
      </w:r>
      <w:r w:rsidR="00B23B66" w:rsidRPr="00FD36E3">
        <w:rPr>
          <w:lang w:eastAsia="en-AU"/>
        </w:rPr>
        <w:t>a</w:t>
      </w:r>
      <w:r w:rsidR="003F0729" w:rsidRPr="00FD36E3">
        <w:rPr>
          <w:lang w:eastAsia="en-AU"/>
        </w:rPr>
        <w:t>pplicant does not assert any commercial interest</w:t>
      </w:r>
      <w:r w:rsidR="00213AFE" w:rsidRPr="00FD36E3">
        <w:rPr>
          <w:lang w:eastAsia="en-AU"/>
        </w:rPr>
        <w:t xml:space="preserve"> in relation to the alleged </w:t>
      </w:r>
      <w:r w:rsidR="00BB6232">
        <w:rPr>
          <w:lang w:eastAsia="en-AU"/>
        </w:rPr>
        <w:t>B</w:t>
      </w:r>
      <w:r w:rsidR="00213AFE" w:rsidRPr="00FD36E3">
        <w:rPr>
          <w:lang w:eastAsia="en-AU"/>
        </w:rPr>
        <w:t xml:space="preserve">reaches of the </w:t>
      </w:r>
      <w:r w:rsidR="00B23B66" w:rsidRPr="00FD36E3">
        <w:rPr>
          <w:lang w:eastAsia="en-AU"/>
        </w:rPr>
        <w:t>GTA</w:t>
      </w:r>
      <w:r w:rsidR="003F0729" w:rsidRPr="00FD36E3">
        <w:rPr>
          <w:lang w:eastAsia="en-AU"/>
        </w:rPr>
        <w:t xml:space="preserve"> or</w:t>
      </w:r>
      <w:r w:rsidR="00213AFE" w:rsidRPr="00FD36E3">
        <w:rPr>
          <w:lang w:eastAsia="en-AU"/>
        </w:rPr>
        <w:t xml:space="preserve"> assert</w:t>
      </w:r>
      <w:r w:rsidR="003F0729" w:rsidRPr="00FD36E3">
        <w:rPr>
          <w:lang w:eastAsia="en-AU"/>
        </w:rPr>
        <w:t xml:space="preserve"> that</w:t>
      </w:r>
      <w:r w:rsidR="00ED7FCB" w:rsidRPr="00FD36E3">
        <w:rPr>
          <w:lang w:eastAsia="en-AU"/>
        </w:rPr>
        <w:t>,</w:t>
      </w:r>
      <w:r w:rsidR="003F0729" w:rsidRPr="00FD36E3">
        <w:rPr>
          <w:lang w:eastAsia="en-AU"/>
        </w:rPr>
        <w:t xml:space="preserve"> if not restrained, the respondents would cause financial detriment to his business</w:t>
      </w:r>
      <w:r w:rsidR="00213AFE" w:rsidRPr="00FD36E3">
        <w:rPr>
          <w:lang w:eastAsia="en-AU"/>
        </w:rPr>
        <w:t>.</w:t>
      </w:r>
      <w:r w:rsidR="003F0729" w:rsidRPr="00FD36E3">
        <w:rPr>
          <w:lang w:eastAsia="en-AU"/>
        </w:rPr>
        <w:t xml:space="preserve"> </w:t>
      </w:r>
      <w:r w:rsidR="004E376E" w:rsidRPr="00FD36E3">
        <w:rPr>
          <w:lang w:eastAsia="en-AU"/>
        </w:rPr>
        <w:t xml:space="preserve">Therefore, the analogy based on </w:t>
      </w:r>
      <w:r w:rsidR="004E376E" w:rsidRPr="00FD36E3">
        <w:rPr>
          <w:i/>
          <w:iCs/>
          <w:lang w:eastAsia="en-AU"/>
        </w:rPr>
        <w:t xml:space="preserve">Health World </w:t>
      </w:r>
      <w:r w:rsidR="004E376E" w:rsidRPr="00FD36E3">
        <w:rPr>
          <w:lang w:eastAsia="en-AU"/>
        </w:rPr>
        <w:t>fails.</w:t>
      </w:r>
      <w:r w:rsidR="008B058F">
        <w:rPr>
          <w:lang w:eastAsia="en-AU"/>
        </w:rPr>
        <w:t xml:space="preserve"> </w:t>
      </w:r>
    </w:p>
    <w:p w14:paraId="5211D459" w14:textId="5E1CF72D" w:rsidR="00F00BCD" w:rsidRPr="00FD36E3" w:rsidRDefault="0026564F" w:rsidP="0026564F">
      <w:pPr>
        <w:pStyle w:val="ParaNumbering"/>
        <w:numPr>
          <w:ilvl w:val="0"/>
          <w:numId w:val="0"/>
        </w:numPr>
        <w:tabs>
          <w:tab w:val="left" w:pos="720"/>
        </w:tabs>
        <w:ind w:hanging="720"/>
        <w:rPr>
          <w:lang w:eastAsia="en-AU"/>
        </w:rPr>
      </w:pPr>
      <w:r w:rsidRPr="00FD36E3">
        <w:rPr>
          <w:sz w:val="20"/>
          <w:lang w:eastAsia="en-AU"/>
        </w:rPr>
        <w:t>120</w:t>
      </w:r>
      <w:r w:rsidRPr="00FD36E3">
        <w:rPr>
          <w:sz w:val="20"/>
          <w:lang w:eastAsia="en-AU"/>
        </w:rPr>
        <w:tab/>
      </w:r>
      <w:r w:rsidR="00002FA4" w:rsidRPr="00FD36E3">
        <w:rPr>
          <w:lang w:eastAsia="en-AU"/>
        </w:rPr>
        <w:t>The applicant primarily relied upon</w:t>
      </w:r>
      <w:r w:rsidR="000F67D0" w:rsidRPr="00FD36E3">
        <w:rPr>
          <w:lang w:eastAsia="en-AU"/>
        </w:rPr>
        <w:t xml:space="preserve"> </w:t>
      </w:r>
      <w:r w:rsidR="000F67D0" w:rsidRPr="00FD36E3">
        <w:rPr>
          <w:i/>
          <w:iCs/>
          <w:lang w:eastAsia="en-AU"/>
        </w:rPr>
        <w:t xml:space="preserve">Onus v Alcoa </w:t>
      </w:r>
      <w:r w:rsidR="000F67D0" w:rsidRPr="00FD36E3">
        <w:rPr>
          <w:lang w:eastAsia="en-AU"/>
        </w:rPr>
        <w:t xml:space="preserve">and </w:t>
      </w:r>
      <w:r w:rsidR="000F67D0" w:rsidRPr="00B67DC4">
        <w:rPr>
          <w:i/>
          <w:iCs/>
          <w:lang w:eastAsia="en-AU"/>
        </w:rPr>
        <w:t>Ogle</w:t>
      </w:r>
      <w:r w:rsidR="000F67D0" w:rsidRPr="00FD36E3">
        <w:rPr>
          <w:i/>
          <w:iCs/>
          <w:lang w:eastAsia="en-AU"/>
        </w:rPr>
        <w:t xml:space="preserve"> </w:t>
      </w:r>
      <w:r w:rsidR="008115A5" w:rsidRPr="00FD36E3">
        <w:rPr>
          <w:lang w:eastAsia="en-AU"/>
        </w:rPr>
        <w:t xml:space="preserve">to support his claim </w:t>
      </w:r>
      <w:r w:rsidR="00AA1C85">
        <w:rPr>
          <w:lang w:eastAsia="en-AU"/>
        </w:rPr>
        <w:t>for</w:t>
      </w:r>
      <w:r w:rsidR="008115A5" w:rsidRPr="00FD36E3">
        <w:rPr>
          <w:lang w:eastAsia="en-AU"/>
        </w:rPr>
        <w:t xml:space="preserve"> standing </w:t>
      </w:r>
      <w:r w:rsidR="00AF395A" w:rsidRPr="00FD36E3">
        <w:rPr>
          <w:lang w:eastAsia="en-AU"/>
        </w:rPr>
        <w:t>by drawing an analogy between</w:t>
      </w:r>
      <w:r w:rsidR="00A01FEB" w:rsidRPr="00FD36E3">
        <w:rPr>
          <w:lang w:eastAsia="en-AU"/>
        </w:rPr>
        <w:t xml:space="preserve"> himself</w:t>
      </w:r>
      <w:r w:rsidR="00AF395A" w:rsidRPr="00FD36E3">
        <w:rPr>
          <w:lang w:eastAsia="en-AU"/>
        </w:rPr>
        <w:t xml:space="preserve"> </w:t>
      </w:r>
      <w:r w:rsidR="00AA1C85">
        <w:rPr>
          <w:lang w:eastAsia="en-AU"/>
        </w:rPr>
        <w:t xml:space="preserve">and </w:t>
      </w:r>
      <w:r w:rsidR="00AF395A" w:rsidRPr="00FD36E3">
        <w:rPr>
          <w:lang w:eastAsia="en-AU"/>
        </w:rPr>
        <w:t>the parties who were held to have standing in those cases</w:t>
      </w:r>
      <w:r w:rsidR="008115A5" w:rsidRPr="00FD36E3">
        <w:rPr>
          <w:lang w:eastAsia="en-AU"/>
        </w:rPr>
        <w:t xml:space="preserve">. </w:t>
      </w:r>
    </w:p>
    <w:p w14:paraId="6C5334FB" w14:textId="1BE93EDA" w:rsidR="00B8093E" w:rsidRPr="00115700" w:rsidRDefault="0026564F" w:rsidP="0026564F">
      <w:pPr>
        <w:pStyle w:val="ParaNumbering"/>
        <w:numPr>
          <w:ilvl w:val="0"/>
          <w:numId w:val="0"/>
        </w:numPr>
        <w:tabs>
          <w:tab w:val="left" w:pos="720"/>
        </w:tabs>
        <w:ind w:hanging="720"/>
        <w:rPr>
          <w:i/>
          <w:iCs/>
          <w:lang w:eastAsia="en-AU"/>
        </w:rPr>
      </w:pPr>
      <w:r w:rsidRPr="00115700">
        <w:rPr>
          <w:sz w:val="20"/>
          <w:lang w:eastAsia="en-AU"/>
        </w:rPr>
        <w:t>121</w:t>
      </w:r>
      <w:r w:rsidRPr="00115700">
        <w:rPr>
          <w:sz w:val="20"/>
          <w:lang w:eastAsia="en-AU"/>
        </w:rPr>
        <w:tab/>
      </w:r>
      <w:r w:rsidR="009C6414" w:rsidRPr="00FD36E3">
        <w:rPr>
          <w:lang w:eastAsia="en-AU"/>
        </w:rPr>
        <w:t xml:space="preserve">In </w:t>
      </w:r>
      <w:r w:rsidR="009C6414" w:rsidRPr="00FD36E3">
        <w:rPr>
          <w:i/>
          <w:iCs/>
          <w:lang w:eastAsia="en-AU"/>
        </w:rPr>
        <w:t>Onus v Alcoa</w:t>
      </w:r>
      <w:r w:rsidR="009C6414" w:rsidRPr="00FD36E3">
        <w:rPr>
          <w:lang w:eastAsia="en-AU"/>
        </w:rPr>
        <w:t xml:space="preserve">, </w:t>
      </w:r>
      <w:r w:rsidR="00933CBD" w:rsidRPr="00FD36E3">
        <w:rPr>
          <w:lang w:eastAsia="en-AU"/>
        </w:rPr>
        <w:t>s</w:t>
      </w:r>
      <w:r w:rsidR="00115700" w:rsidRPr="00FD36E3">
        <w:rPr>
          <w:lang w:eastAsia="en-AU"/>
        </w:rPr>
        <w:t xml:space="preserve"> 21 of the </w:t>
      </w:r>
      <w:r w:rsidR="00115700" w:rsidRPr="00C77296">
        <w:rPr>
          <w:i/>
          <w:iCs/>
          <w:lang w:eastAsia="en-AU"/>
        </w:rPr>
        <w:t>Archaeological and Aboriginal</w:t>
      </w:r>
      <w:r w:rsidR="00115700" w:rsidRPr="00C77296">
        <w:rPr>
          <w:b/>
          <w:bCs/>
          <w:i/>
          <w:iCs/>
          <w:lang w:eastAsia="en-AU"/>
        </w:rPr>
        <w:t xml:space="preserve"> Relics Preservation Act </w:t>
      </w:r>
      <w:r w:rsidR="00115700" w:rsidRPr="00C77296">
        <w:rPr>
          <w:i/>
          <w:iCs/>
          <w:lang w:eastAsia="en-AU"/>
        </w:rPr>
        <w:t>1972</w:t>
      </w:r>
      <w:r w:rsidR="00115700" w:rsidRPr="00C77296">
        <w:rPr>
          <w:lang w:eastAsia="en-AU"/>
        </w:rPr>
        <w:t xml:space="preserve"> (Vic) </w:t>
      </w:r>
      <w:r w:rsidR="00115700" w:rsidRPr="00FD36E3">
        <w:rPr>
          <w:lang w:eastAsia="en-AU"/>
        </w:rPr>
        <w:t xml:space="preserve">provided that a person </w:t>
      </w:r>
      <w:r w:rsidR="00280CF9">
        <w:rPr>
          <w:lang w:eastAsia="en-AU"/>
        </w:rPr>
        <w:t>“</w:t>
      </w:r>
      <w:r w:rsidR="00115700" w:rsidRPr="00FD36E3">
        <w:rPr>
          <w:lang w:eastAsia="en-AU"/>
        </w:rPr>
        <w:t>who wilfully or negligently deface</w:t>
      </w:r>
      <w:r w:rsidR="004C0A41">
        <w:rPr>
          <w:lang w:eastAsia="en-AU"/>
        </w:rPr>
        <w:t>s</w:t>
      </w:r>
      <w:r w:rsidR="00115700" w:rsidRPr="00FD36E3">
        <w:rPr>
          <w:lang w:eastAsia="en-AU"/>
        </w:rPr>
        <w:t xml:space="preserve"> or damage</w:t>
      </w:r>
      <w:r w:rsidR="004C0A41">
        <w:rPr>
          <w:lang w:eastAsia="en-AU"/>
        </w:rPr>
        <w:t>s</w:t>
      </w:r>
      <w:r w:rsidR="00115700" w:rsidRPr="00FD36E3">
        <w:rPr>
          <w:lang w:eastAsia="en-AU"/>
        </w:rPr>
        <w:t xml:space="preserve"> or otherwise interfere</w:t>
      </w:r>
      <w:r w:rsidR="004C0A41">
        <w:rPr>
          <w:lang w:eastAsia="en-AU"/>
        </w:rPr>
        <w:t>s</w:t>
      </w:r>
      <w:r w:rsidR="00115700" w:rsidRPr="00FD36E3">
        <w:rPr>
          <w:lang w:eastAsia="en-AU"/>
        </w:rPr>
        <w:t xml:space="preserve"> with a relic or ca</w:t>
      </w:r>
      <w:r w:rsidR="00115700" w:rsidRPr="00115700">
        <w:rPr>
          <w:lang w:eastAsia="en-AU"/>
        </w:rPr>
        <w:t>rrie</w:t>
      </w:r>
      <w:r w:rsidR="004C0A41">
        <w:rPr>
          <w:lang w:eastAsia="en-AU"/>
        </w:rPr>
        <w:t>s</w:t>
      </w:r>
      <w:r w:rsidR="00115700" w:rsidRPr="00115700">
        <w:rPr>
          <w:lang w:eastAsia="en-AU"/>
        </w:rPr>
        <w:t xml:space="preserve"> out an act likely to</w:t>
      </w:r>
      <w:r w:rsidR="00115700">
        <w:rPr>
          <w:i/>
          <w:iCs/>
          <w:lang w:eastAsia="en-AU"/>
        </w:rPr>
        <w:t xml:space="preserve"> </w:t>
      </w:r>
      <w:r w:rsidR="00115700" w:rsidRPr="00115700">
        <w:rPr>
          <w:lang w:eastAsia="en-AU"/>
        </w:rPr>
        <w:t>endanger a relic sh</w:t>
      </w:r>
      <w:r w:rsidR="004C0A41">
        <w:rPr>
          <w:lang w:eastAsia="en-AU"/>
        </w:rPr>
        <w:t>all</w:t>
      </w:r>
      <w:r w:rsidR="00115700" w:rsidRPr="00115700">
        <w:rPr>
          <w:lang w:eastAsia="en-AU"/>
        </w:rPr>
        <w:t xml:space="preserve"> be guilty of an offence</w:t>
      </w:r>
      <w:r w:rsidR="004C0A41">
        <w:rPr>
          <w:lang w:eastAsia="en-AU"/>
        </w:rPr>
        <w:t xml:space="preserve"> against this Act”</w:t>
      </w:r>
      <w:r w:rsidR="00115700" w:rsidRPr="00115700">
        <w:rPr>
          <w:lang w:eastAsia="en-AU"/>
        </w:rPr>
        <w:t>.</w:t>
      </w:r>
    </w:p>
    <w:p w14:paraId="35D7B2E8" w14:textId="6934713E" w:rsidR="00135FAD" w:rsidRDefault="0026564F" w:rsidP="0026564F">
      <w:pPr>
        <w:pStyle w:val="ParaNumbering"/>
        <w:numPr>
          <w:ilvl w:val="0"/>
          <w:numId w:val="0"/>
        </w:numPr>
        <w:tabs>
          <w:tab w:val="left" w:pos="720"/>
        </w:tabs>
        <w:ind w:hanging="720"/>
        <w:rPr>
          <w:lang w:eastAsia="en-AU"/>
        </w:rPr>
      </w:pPr>
      <w:r>
        <w:rPr>
          <w:sz w:val="20"/>
          <w:lang w:eastAsia="en-AU"/>
        </w:rPr>
        <w:lastRenderedPageBreak/>
        <w:t>122</w:t>
      </w:r>
      <w:r>
        <w:rPr>
          <w:sz w:val="20"/>
          <w:lang w:eastAsia="en-AU"/>
        </w:rPr>
        <w:tab/>
      </w:r>
      <w:r w:rsidR="00933CBD">
        <w:rPr>
          <w:lang w:eastAsia="en-AU"/>
        </w:rPr>
        <w:t>T</w:t>
      </w:r>
      <w:r w:rsidR="009C6414">
        <w:rPr>
          <w:lang w:eastAsia="en-AU"/>
        </w:rPr>
        <w:t>he</w:t>
      </w:r>
      <w:r w:rsidR="006917CF">
        <w:rPr>
          <w:lang w:eastAsia="en-AU"/>
        </w:rPr>
        <w:t xml:space="preserve"> </w:t>
      </w:r>
      <w:r w:rsidR="00430377">
        <w:rPr>
          <w:lang w:eastAsia="en-AU"/>
        </w:rPr>
        <w:t>appellants</w:t>
      </w:r>
      <w:r w:rsidR="006917CF">
        <w:rPr>
          <w:lang w:eastAsia="en-AU"/>
        </w:rPr>
        <w:t xml:space="preserve"> </w:t>
      </w:r>
      <w:r w:rsidR="006917CF" w:rsidRPr="006917CF">
        <w:rPr>
          <w:lang w:eastAsia="en-AU"/>
        </w:rPr>
        <w:t xml:space="preserve">were members of the </w:t>
      </w:r>
      <w:proofErr w:type="spellStart"/>
      <w:r w:rsidR="006917CF" w:rsidRPr="006917CF">
        <w:rPr>
          <w:lang w:eastAsia="en-AU"/>
        </w:rPr>
        <w:t>Gournditch-jmara</w:t>
      </w:r>
      <w:proofErr w:type="spellEnd"/>
      <w:r w:rsidR="006917CF" w:rsidRPr="006917CF">
        <w:rPr>
          <w:lang w:eastAsia="en-AU"/>
        </w:rPr>
        <w:t xml:space="preserve"> people </w:t>
      </w:r>
      <w:r w:rsidR="00135FAD">
        <w:rPr>
          <w:lang w:eastAsia="en-AU"/>
        </w:rPr>
        <w:t>who</w:t>
      </w:r>
      <w:r w:rsidR="0007790A">
        <w:rPr>
          <w:lang w:eastAsia="en-AU"/>
        </w:rPr>
        <w:t xml:space="preserve">, according to their laws and customs, were the custodians of the relics </w:t>
      </w:r>
      <w:r w:rsidR="00C42FCD">
        <w:rPr>
          <w:lang w:eastAsia="en-AU"/>
        </w:rPr>
        <w:t>on the respondent’s property</w:t>
      </w:r>
      <w:r w:rsidR="00755AE7">
        <w:rPr>
          <w:lang w:eastAsia="en-AU"/>
        </w:rPr>
        <w:t>.</w:t>
      </w:r>
      <w:r w:rsidR="00C42FCD">
        <w:rPr>
          <w:lang w:eastAsia="en-AU"/>
        </w:rPr>
        <w:t xml:space="preserve"> The Court unanimously held that they had a special interest </w:t>
      </w:r>
      <w:r w:rsidR="009B1DA4">
        <w:rPr>
          <w:lang w:eastAsia="en-AU"/>
        </w:rPr>
        <w:t>in restraining persons from contravening s 21 of the</w:t>
      </w:r>
      <w:r w:rsidR="009B1DA4" w:rsidRPr="00782CE8">
        <w:rPr>
          <w:lang w:eastAsia="en-AU"/>
        </w:rPr>
        <w:t xml:space="preserve"> Relics Preservation Act</w:t>
      </w:r>
      <w:r w:rsidR="001E1D89">
        <w:rPr>
          <w:lang w:eastAsia="en-AU"/>
        </w:rPr>
        <w:t xml:space="preserve"> that was “</w:t>
      </w:r>
      <w:r w:rsidR="00EC511A" w:rsidRPr="00EC511A">
        <w:rPr>
          <w:lang w:eastAsia="en-AU"/>
        </w:rPr>
        <w:t>greater than that of other</w:t>
      </w:r>
      <w:r w:rsidR="00EC511A">
        <w:rPr>
          <w:lang w:eastAsia="en-AU"/>
        </w:rPr>
        <w:t xml:space="preserve"> </w:t>
      </w:r>
      <w:r w:rsidR="00EC511A" w:rsidRPr="00EC511A">
        <w:rPr>
          <w:lang w:eastAsia="en-AU"/>
        </w:rPr>
        <w:t>members of the public and indeed greater than that of other persons</w:t>
      </w:r>
      <w:r w:rsidR="00EC511A">
        <w:rPr>
          <w:lang w:eastAsia="en-AU"/>
        </w:rPr>
        <w:t xml:space="preserve"> </w:t>
      </w:r>
      <w:r w:rsidR="00EC511A" w:rsidRPr="00EC511A">
        <w:rPr>
          <w:lang w:eastAsia="en-AU"/>
        </w:rPr>
        <w:t xml:space="preserve">of aboriginal descent who are not members of the </w:t>
      </w:r>
      <w:proofErr w:type="spellStart"/>
      <w:r w:rsidR="00EC511A" w:rsidRPr="00EC511A">
        <w:rPr>
          <w:lang w:eastAsia="en-AU"/>
        </w:rPr>
        <w:t>Gournditch-jmara</w:t>
      </w:r>
      <w:proofErr w:type="spellEnd"/>
      <w:r w:rsidR="00EC511A">
        <w:rPr>
          <w:lang w:eastAsia="en-AU"/>
        </w:rPr>
        <w:t xml:space="preserve"> </w:t>
      </w:r>
      <w:r w:rsidR="00EC511A" w:rsidRPr="00EC511A">
        <w:rPr>
          <w:lang w:eastAsia="en-AU"/>
        </w:rPr>
        <w:t>people</w:t>
      </w:r>
      <w:r w:rsidR="00C42FCD">
        <w:rPr>
          <w:lang w:eastAsia="en-AU"/>
        </w:rPr>
        <w:t>”</w:t>
      </w:r>
      <w:r w:rsidR="00C84853">
        <w:rPr>
          <w:lang w:eastAsia="en-AU"/>
        </w:rPr>
        <w:t xml:space="preserve">: </w:t>
      </w:r>
      <w:r w:rsidR="00E91BCE">
        <w:rPr>
          <w:lang w:eastAsia="en-AU"/>
        </w:rPr>
        <w:t>Gibbs CJ at 36</w:t>
      </w:r>
      <w:r w:rsidR="00C42FCD">
        <w:rPr>
          <w:lang w:eastAsia="en-AU"/>
        </w:rPr>
        <w:t xml:space="preserve">. </w:t>
      </w:r>
      <w:r w:rsidR="001E1D89">
        <w:rPr>
          <w:lang w:eastAsia="en-AU"/>
        </w:rPr>
        <w:t>Gibbs CJ observed at 36</w:t>
      </w:r>
      <w:r w:rsidR="00E91BCE">
        <w:rPr>
          <w:lang w:eastAsia="en-AU"/>
        </w:rPr>
        <w:t>-</w:t>
      </w:r>
      <w:r w:rsidR="001E1D89">
        <w:rPr>
          <w:lang w:eastAsia="en-AU"/>
        </w:rPr>
        <w:t>37:</w:t>
      </w:r>
    </w:p>
    <w:p w14:paraId="26439514" w14:textId="77777777" w:rsidR="007D036F" w:rsidRDefault="00EC511A" w:rsidP="00593E0B">
      <w:pPr>
        <w:pStyle w:val="Quote1"/>
        <w:rPr>
          <w:lang w:eastAsia="en-AU"/>
        </w:rPr>
      </w:pPr>
      <w:r w:rsidRPr="00EC511A">
        <w:rPr>
          <w:lang w:eastAsia="en-AU"/>
        </w:rPr>
        <w:t>They claim</w:t>
      </w:r>
      <w:r>
        <w:rPr>
          <w:lang w:eastAsia="en-AU"/>
        </w:rPr>
        <w:t xml:space="preserve"> </w:t>
      </w:r>
      <w:r w:rsidRPr="00EC511A">
        <w:rPr>
          <w:lang w:eastAsia="en-AU"/>
        </w:rPr>
        <w:t>that the relics are of cultural and spiritual importance to them, and</w:t>
      </w:r>
      <w:r>
        <w:rPr>
          <w:lang w:eastAsia="en-AU"/>
        </w:rPr>
        <w:t xml:space="preserve"> </w:t>
      </w:r>
      <w:r w:rsidRPr="00EC511A">
        <w:rPr>
          <w:lang w:eastAsia="en-AU"/>
        </w:rPr>
        <w:t>that they have used the relics to teach their children the culture of</w:t>
      </w:r>
      <w:r>
        <w:rPr>
          <w:lang w:eastAsia="en-AU"/>
        </w:rPr>
        <w:t xml:space="preserve"> </w:t>
      </w:r>
      <w:r w:rsidRPr="00EC511A">
        <w:rPr>
          <w:lang w:eastAsia="en-AU"/>
        </w:rPr>
        <w:t>their people</w:t>
      </w:r>
      <w:r w:rsidR="00593E0B">
        <w:rPr>
          <w:lang w:eastAsia="en-AU"/>
        </w:rPr>
        <w:t>.</w:t>
      </w:r>
    </w:p>
    <w:p w14:paraId="41DF7265" w14:textId="3C63CE32" w:rsidR="00DD3487" w:rsidRDefault="00DD3487" w:rsidP="00593E0B">
      <w:pPr>
        <w:pStyle w:val="Quote1"/>
        <w:rPr>
          <w:lang w:eastAsia="en-AU"/>
        </w:rPr>
      </w:pPr>
      <w:r>
        <w:rPr>
          <w:lang w:eastAsia="en-AU"/>
        </w:rPr>
        <w:t>…</w:t>
      </w:r>
    </w:p>
    <w:p w14:paraId="69FB6516" w14:textId="5BEA39EA" w:rsidR="00593E0B" w:rsidRPr="001E1D89" w:rsidRDefault="00DD3487" w:rsidP="00DD3487">
      <w:pPr>
        <w:pStyle w:val="Quote1"/>
        <w:rPr>
          <w:lang w:eastAsia="en-AU"/>
        </w:rPr>
      </w:pPr>
      <w:r w:rsidRPr="00DD3487">
        <w:rPr>
          <w:lang w:eastAsia="en-AU"/>
        </w:rPr>
        <w:t>The present</w:t>
      </w:r>
      <w:r>
        <w:rPr>
          <w:lang w:eastAsia="en-AU"/>
        </w:rPr>
        <w:t xml:space="preserve"> </w:t>
      </w:r>
      <w:r w:rsidRPr="00DD3487">
        <w:rPr>
          <w:lang w:eastAsia="en-AU"/>
        </w:rPr>
        <w:t>is not a case in which a plaintiff sues in an attempt to give effect to</w:t>
      </w:r>
      <w:r>
        <w:rPr>
          <w:lang w:eastAsia="en-AU"/>
        </w:rPr>
        <w:t xml:space="preserve"> </w:t>
      </w:r>
      <w:r w:rsidRPr="00DD3487">
        <w:rPr>
          <w:lang w:eastAsia="en-AU"/>
        </w:rPr>
        <w:t>his beliefs or opinions on a matter which does not affect him</w:t>
      </w:r>
      <w:r>
        <w:rPr>
          <w:lang w:eastAsia="en-AU"/>
        </w:rPr>
        <w:t xml:space="preserve"> </w:t>
      </w:r>
      <w:r w:rsidRPr="00DD3487">
        <w:rPr>
          <w:lang w:eastAsia="en-AU"/>
        </w:rPr>
        <w:t>personally except in so far as he holds beliefs or opinions about</w:t>
      </w:r>
      <w:r>
        <w:rPr>
          <w:lang w:eastAsia="en-AU"/>
        </w:rPr>
        <w:t xml:space="preserve"> </w:t>
      </w:r>
      <w:r w:rsidRPr="00DD3487">
        <w:rPr>
          <w:lang w:eastAsia="en-AU"/>
        </w:rPr>
        <w:t>it. The appellants claim</w:t>
      </w:r>
      <w:r>
        <w:rPr>
          <w:lang w:eastAsia="en-AU"/>
        </w:rPr>
        <w:t xml:space="preserve"> </w:t>
      </w:r>
      <w:r w:rsidR="007D036F" w:rsidRPr="007D036F">
        <w:rPr>
          <w:lang w:eastAsia="en-AU"/>
        </w:rPr>
        <w:t>not only that their relics have a cultural</w:t>
      </w:r>
      <w:r w:rsidR="007D036F">
        <w:rPr>
          <w:lang w:eastAsia="en-AU"/>
        </w:rPr>
        <w:t xml:space="preserve"> </w:t>
      </w:r>
      <w:r w:rsidR="007D036F" w:rsidRPr="007D036F">
        <w:rPr>
          <w:lang w:eastAsia="en-AU"/>
        </w:rPr>
        <w:t>and spiritual significance, but that they are custodians of them</w:t>
      </w:r>
      <w:r w:rsidR="007D036F">
        <w:rPr>
          <w:lang w:eastAsia="en-AU"/>
        </w:rPr>
        <w:t xml:space="preserve"> </w:t>
      </w:r>
      <w:r w:rsidR="007D036F" w:rsidRPr="007D036F">
        <w:rPr>
          <w:lang w:eastAsia="en-AU"/>
        </w:rPr>
        <w:t>according to the laws and customs of their people, and that they</w:t>
      </w:r>
      <w:r w:rsidR="007D036F">
        <w:rPr>
          <w:lang w:eastAsia="en-AU"/>
        </w:rPr>
        <w:t xml:space="preserve"> </w:t>
      </w:r>
      <w:r w:rsidR="007D036F" w:rsidRPr="007D036F">
        <w:rPr>
          <w:lang w:eastAsia="en-AU"/>
        </w:rPr>
        <w:t>actually use them. The position of a small community of aboriginal</w:t>
      </w:r>
      <w:r w:rsidR="007D036F">
        <w:rPr>
          <w:lang w:eastAsia="en-AU"/>
        </w:rPr>
        <w:t xml:space="preserve"> </w:t>
      </w:r>
      <w:r w:rsidR="007D036F" w:rsidRPr="007D036F">
        <w:rPr>
          <w:lang w:eastAsia="en-AU"/>
        </w:rPr>
        <w:t>people of a particular group living in a particular area which that</w:t>
      </w:r>
      <w:r w:rsidR="007D036F">
        <w:rPr>
          <w:lang w:eastAsia="en-AU"/>
        </w:rPr>
        <w:t xml:space="preserve"> </w:t>
      </w:r>
      <w:r w:rsidR="007D036F" w:rsidRPr="007D036F">
        <w:rPr>
          <w:lang w:eastAsia="en-AU"/>
        </w:rPr>
        <w:t>group has traditionally occupied, and which claims an interest in</w:t>
      </w:r>
      <w:r w:rsidR="007D036F">
        <w:rPr>
          <w:lang w:eastAsia="en-AU"/>
        </w:rPr>
        <w:t xml:space="preserve"> </w:t>
      </w:r>
      <w:r w:rsidR="007D036F" w:rsidRPr="007D036F">
        <w:rPr>
          <w:lang w:eastAsia="en-AU"/>
        </w:rPr>
        <w:t>relics of their ancestors found in that area, is very different indeed</w:t>
      </w:r>
      <w:r w:rsidR="007D036F">
        <w:rPr>
          <w:lang w:eastAsia="en-AU"/>
        </w:rPr>
        <w:t xml:space="preserve"> </w:t>
      </w:r>
      <w:r w:rsidR="007D036F" w:rsidRPr="007D036F">
        <w:rPr>
          <w:lang w:eastAsia="en-AU"/>
        </w:rPr>
        <w:t>from that of a diverse group of white Australians associated by some</w:t>
      </w:r>
      <w:r w:rsidR="007D036F">
        <w:rPr>
          <w:lang w:eastAsia="en-AU"/>
        </w:rPr>
        <w:t xml:space="preserve"> </w:t>
      </w:r>
      <w:r w:rsidR="007D036F" w:rsidRPr="007D036F">
        <w:rPr>
          <w:lang w:eastAsia="en-AU"/>
        </w:rPr>
        <w:t>common opinion on a matter of social policy which might equally</w:t>
      </w:r>
      <w:r w:rsidR="001E1D89">
        <w:rPr>
          <w:lang w:eastAsia="en-AU"/>
        </w:rPr>
        <w:t xml:space="preserve"> </w:t>
      </w:r>
      <w:r w:rsidR="007D036F" w:rsidRPr="007D036F">
        <w:rPr>
          <w:lang w:eastAsia="en-AU"/>
        </w:rPr>
        <w:t>concern any other Australian.</w:t>
      </w:r>
      <w:r w:rsidR="005E3F4D">
        <w:rPr>
          <w:lang w:eastAsia="en-AU"/>
        </w:rPr>
        <w:t xml:space="preserve"> </w:t>
      </w:r>
    </w:p>
    <w:p w14:paraId="2641EDF5" w14:textId="7F4DDD6C" w:rsidR="000242E2" w:rsidRDefault="0026564F" w:rsidP="0026564F">
      <w:pPr>
        <w:pStyle w:val="ParaNumbering"/>
        <w:numPr>
          <w:ilvl w:val="0"/>
          <w:numId w:val="0"/>
        </w:numPr>
        <w:tabs>
          <w:tab w:val="left" w:pos="720"/>
        </w:tabs>
        <w:ind w:hanging="720"/>
        <w:rPr>
          <w:lang w:eastAsia="en-AU"/>
        </w:rPr>
      </w:pPr>
      <w:r>
        <w:rPr>
          <w:sz w:val="20"/>
          <w:lang w:eastAsia="en-AU"/>
        </w:rPr>
        <w:t>123</w:t>
      </w:r>
      <w:r>
        <w:rPr>
          <w:sz w:val="20"/>
          <w:lang w:eastAsia="en-AU"/>
        </w:rPr>
        <w:tab/>
      </w:r>
      <w:r w:rsidR="00C17511">
        <w:rPr>
          <w:lang w:eastAsia="en-AU"/>
        </w:rPr>
        <w:t>The applicant contends</w:t>
      </w:r>
      <w:r w:rsidR="00D45B8F">
        <w:rPr>
          <w:lang w:eastAsia="en-AU"/>
        </w:rPr>
        <w:t xml:space="preserve"> </w:t>
      </w:r>
      <w:r w:rsidR="00C17511">
        <w:rPr>
          <w:lang w:eastAsia="en-AU"/>
        </w:rPr>
        <w:t xml:space="preserve">that </w:t>
      </w:r>
      <w:r w:rsidR="00B52653">
        <w:rPr>
          <w:lang w:eastAsia="en-AU"/>
        </w:rPr>
        <w:t>the traditional law</w:t>
      </w:r>
      <w:r w:rsidR="00782CE8">
        <w:rPr>
          <w:lang w:eastAsia="en-AU"/>
        </w:rPr>
        <w:t>s</w:t>
      </w:r>
      <w:r w:rsidR="00B52653">
        <w:rPr>
          <w:lang w:eastAsia="en-AU"/>
        </w:rPr>
        <w:t xml:space="preserve"> and customs of the </w:t>
      </w:r>
      <w:proofErr w:type="spellStart"/>
      <w:r w:rsidR="00B52653" w:rsidRPr="006917CF">
        <w:rPr>
          <w:lang w:eastAsia="en-AU"/>
        </w:rPr>
        <w:t>Gournditch-jmara</w:t>
      </w:r>
      <w:proofErr w:type="spellEnd"/>
      <w:r w:rsidR="00B52653" w:rsidRPr="006917CF">
        <w:rPr>
          <w:lang w:eastAsia="en-AU"/>
        </w:rPr>
        <w:t xml:space="preserve"> people</w:t>
      </w:r>
      <w:r w:rsidR="008B058F">
        <w:rPr>
          <w:lang w:eastAsia="en-AU"/>
        </w:rPr>
        <w:t xml:space="preserve"> </w:t>
      </w:r>
      <w:r w:rsidR="00C17511">
        <w:rPr>
          <w:lang w:eastAsia="en-AU"/>
        </w:rPr>
        <w:t xml:space="preserve">are </w:t>
      </w:r>
      <w:r w:rsidR="009C6414">
        <w:rPr>
          <w:lang w:eastAsia="en-AU"/>
        </w:rPr>
        <w:t>analogous to the special regulations and rules of</w:t>
      </w:r>
      <w:r w:rsidR="00C17511">
        <w:rPr>
          <w:lang w:eastAsia="en-AU"/>
        </w:rPr>
        <w:t xml:space="preserve"> </w:t>
      </w:r>
      <w:r w:rsidR="009C6414">
        <w:rPr>
          <w:lang w:eastAsia="en-AU"/>
        </w:rPr>
        <w:t>conduct applicable to Dr Fidge as a practicing medical doctor</w:t>
      </w:r>
      <w:r w:rsidR="00782CE8">
        <w:rPr>
          <w:lang w:eastAsia="en-AU"/>
        </w:rPr>
        <w:t xml:space="preserve"> (referred to above at [</w:t>
      </w:r>
      <w:r w:rsidR="00C5236F">
        <w:rPr>
          <w:lang w:eastAsia="en-AU"/>
        </w:rPr>
        <w:fldChar w:fldCharType="begin"/>
      </w:r>
      <w:r w:rsidR="00C5236F">
        <w:rPr>
          <w:lang w:eastAsia="en-AU"/>
        </w:rPr>
        <w:instrText xml:space="preserve"> REF _Ref159407892 \r \h </w:instrText>
      </w:r>
      <w:r w:rsidR="00C5236F">
        <w:rPr>
          <w:lang w:eastAsia="en-AU"/>
        </w:rPr>
      </w:r>
      <w:r w:rsidR="00C5236F">
        <w:rPr>
          <w:lang w:eastAsia="en-AU"/>
        </w:rPr>
        <w:fldChar w:fldCharType="separate"/>
      </w:r>
      <w:r w:rsidR="002C206D">
        <w:rPr>
          <w:lang w:eastAsia="en-AU"/>
        </w:rPr>
        <w:t>106</w:t>
      </w:r>
      <w:r w:rsidR="00C5236F">
        <w:rPr>
          <w:lang w:eastAsia="en-AU"/>
        </w:rPr>
        <w:fldChar w:fldCharType="end"/>
      </w:r>
      <w:r w:rsidR="006C36EF">
        <w:rPr>
          <w:lang w:eastAsia="en-AU"/>
        </w:rPr>
        <w:t>]</w:t>
      </w:r>
      <w:r w:rsidR="006C36EF">
        <w:rPr>
          <w:lang w:eastAsia="en-AU"/>
        </w:rPr>
        <w:fldChar w:fldCharType="begin"/>
      </w:r>
      <w:r w:rsidR="006C36EF">
        <w:rPr>
          <w:lang w:eastAsia="en-AU"/>
        </w:rPr>
        <w:instrText xml:space="preserve"> REF _Ref155783004 \r \h </w:instrText>
      </w:r>
      <w:r w:rsidR="006C36EF">
        <w:rPr>
          <w:lang w:eastAsia="en-AU"/>
        </w:rPr>
      </w:r>
      <w:r w:rsidR="006C36EF">
        <w:rPr>
          <w:lang w:eastAsia="en-AU"/>
        </w:rPr>
        <w:fldChar w:fldCharType="separate"/>
      </w:r>
      <w:r w:rsidR="002C206D">
        <w:rPr>
          <w:lang w:eastAsia="en-AU"/>
        </w:rPr>
        <w:t>(d)</w:t>
      </w:r>
      <w:r w:rsidR="006C36EF">
        <w:rPr>
          <w:lang w:eastAsia="en-AU"/>
        </w:rPr>
        <w:fldChar w:fldCharType="end"/>
      </w:r>
      <w:r w:rsidR="006C36EF">
        <w:rPr>
          <w:lang w:eastAsia="en-AU"/>
        </w:rPr>
        <w:t>)</w:t>
      </w:r>
      <w:r w:rsidR="009C6414">
        <w:rPr>
          <w:lang w:eastAsia="en-AU"/>
        </w:rPr>
        <w:t>.</w:t>
      </w:r>
      <w:r w:rsidR="009B1DA4">
        <w:rPr>
          <w:lang w:eastAsia="en-AU"/>
        </w:rPr>
        <w:t xml:space="preserve"> </w:t>
      </w:r>
    </w:p>
    <w:p w14:paraId="6C4BE499" w14:textId="244828B1" w:rsidR="000E17C4" w:rsidRPr="009A410D" w:rsidRDefault="0026564F" w:rsidP="0026564F">
      <w:pPr>
        <w:pStyle w:val="ParaNumbering"/>
        <w:numPr>
          <w:ilvl w:val="0"/>
          <w:numId w:val="0"/>
        </w:numPr>
        <w:tabs>
          <w:tab w:val="left" w:pos="720"/>
        </w:tabs>
        <w:ind w:hanging="720"/>
        <w:rPr>
          <w:lang w:eastAsia="en-AU"/>
        </w:rPr>
      </w:pPr>
      <w:r w:rsidRPr="009A410D">
        <w:rPr>
          <w:sz w:val="20"/>
          <w:lang w:eastAsia="en-AU"/>
        </w:rPr>
        <w:t>124</w:t>
      </w:r>
      <w:r w:rsidRPr="009A410D">
        <w:rPr>
          <w:sz w:val="20"/>
          <w:lang w:eastAsia="en-AU"/>
        </w:rPr>
        <w:tab/>
      </w:r>
      <w:r w:rsidR="00617B57" w:rsidRPr="009A410D">
        <w:rPr>
          <w:lang w:eastAsia="en-AU"/>
        </w:rPr>
        <w:t>That a</w:t>
      </w:r>
      <w:r w:rsidR="00F52D0A" w:rsidRPr="009A410D">
        <w:rPr>
          <w:lang w:eastAsia="en-AU"/>
        </w:rPr>
        <w:t>nalogy cannot be sustaine</w:t>
      </w:r>
      <w:r w:rsidR="00617B57" w:rsidRPr="009A410D">
        <w:rPr>
          <w:lang w:eastAsia="en-AU"/>
        </w:rPr>
        <w:t xml:space="preserve">d. The </w:t>
      </w:r>
      <w:proofErr w:type="spellStart"/>
      <w:r w:rsidR="00617B57" w:rsidRPr="009A410D">
        <w:rPr>
          <w:lang w:eastAsia="en-AU"/>
        </w:rPr>
        <w:t>Gournditch-jmara</w:t>
      </w:r>
      <w:proofErr w:type="spellEnd"/>
      <w:r w:rsidR="00617B57" w:rsidRPr="009A410D">
        <w:rPr>
          <w:lang w:eastAsia="en-AU"/>
        </w:rPr>
        <w:t xml:space="preserve"> people </w:t>
      </w:r>
      <w:r w:rsidR="004E568F" w:rsidRPr="009A410D">
        <w:rPr>
          <w:lang w:eastAsia="en-AU"/>
        </w:rPr>
        <w:t>were the custodians of the relics and therefore directly impacted by the destruction of the relics</w:t>
      </w:r>
      <w:r w:rsidR="000242E2" w:rsidRPr="009A410D">
        <w:rPr>
          <w:lang w:eastAsia="en-AU"/>
        </w:rPr>
        <w:t>. This</w:t>
      </w:r>
      <w:r w:rsidR="004E568F" w:rsidRPr="009A410D">
        <w:rPr>
          <w:lang w:eastAsia="en-AU"/>
        </w:rPr>
        <w:t xml:space="preserve"> meant they were more particularly affected than other members of the Australian community, including other indigenous Australians. </w:t>
      </w:r>
      <w:r w:rsidR="00DD79C1" w:rsidRPr="009A410D">
        <w:rPr>
          <w:lang w:eastAsia="en-AU"/>
        </w:rPr>
        <w:t xml:space="preserve">Dr Fidge </w:t>
      </w:r>
      <w:r w:rsidR="00E811A7">
        <w:rPr>
          <w:lang w:eastAsia="en-AU"/>
        </w:rPr>
        <w:t>(</w:t>
      </w:r>
      <w:r w:rsidR="00DD79C1" w:rsidRPr="009A410D">
        <w:rPr>
          <w:lang w:eastAsia="en-AU"/>
        </w:rPr>
        <w:t xml:space="preserve">or any other medical practitioner </w:t>
      </w:r>
      <w:r w:rsidR="00EE440D" w:rsidRPr="009A410D">
        <w:rPr>
          <w:lang w:eastAsia="en-AU"/>
        </w:rPr>
        <w:t>for that matter</w:t>
      </w:r>
      <w:r w:rsidR="00E811A7">
        <w:rPr>
          <w:lang w:eastAsia="en-AU"/>
        </w:rPr>
        <w:t xml:space="preserve">) </w:t>
      </w:r>
      <w:r w:rsidR="00430377">
        <w:rPr>
          <w:lang w:eastAsia="en-AU"/>
        </w:rPr>
        <w:t>is</w:t>
      </w:r>
      <w:r w:rsidR="00430377" w:rsidRPr="009A410D">
        <w:rPr>
          <w:lang w:eastAsia="en-AU"/>
        </w:rPr>
        <w:t xml:space="preserve"> </w:t>
      </w:r>
      <w:r w:rsidR="00BC1EAF" w:rsidRPr="009A410D">
        <w:rPr>
          <w:lang w:eastAsia="en-AU"/>
        </w:rPr>
        <w:t>not directly impacted by</w:t>
      </w:r>
      <w:r w:rsidR="005D3C27" w:rsidRPr="009A410D">
        <w:rPr>
          <w:lang w:eastAsia="en-AU"/>
        </w:rPr>
        <w:t xml:space="preserve"> whether the respondents may have </w:t>
      </w:r>
      <w:r w:rsidR="0043415C">
        <w:rPr>
          <w:lang w:eastAsia="en-AU"/>
        </w:rPr>
        <w:t xml:space="preserve">imported, </w:t>
      </w:r>
      <w:r w:rsidR="00BD2E69" w:rsidRPr="009A410D">
        <w:rPr>
          <w:lang w:eastAsia="en-AU"/>
        </w:rPr>
        <w:t xml:space="preserve">distributed or transported GMO vaccines without a licence. </w:t>
      </w:r>
      <w:r w:rsidR="00430377">
        <w:rPr>
          <w:lang w:eastAsia="en-AU"/>
        </w:rPr>
        <w:t>Dr Fidge is</w:t>
      </w:r>
      <w:r w:rsidR="00BC1EAF" w:rsidRPr="009A410D">
        <w:rPr>
          <w:lang w:eastAsia="en-AU"/>
        </w:rPr>
        <w:t xml:space="preserve"> not, for example, a factory or transport worker who may have been exposed to </w:t>
      </w:r>
      <w:r w:rsidR="00BD4E5B">
        <w:rPr>
          <w:lang w:eastAsia="en-AU"/>
        </w:rPr>
        <w:t>biosafety risks</w:t>
      </w:r>
      <w:r w:rsidR="00BC1EAF" w:rsidRPr="009A410D">
        <w:rPr>
          <w:lang w:eastAsia="en-AU"/>
        </w:rPr>
        <w:t xml:space="preserve"> associated with </w:t>
      </w:r>
      <w:r w:rsidR="0087449E" w:rsidRPr="009A410D">
        <w:rPr>
          <w:lang w:eastAsia="en-AU"/>
        </w:rPr>
        <w:t xml:space="preserve">GMOs that have not been properly managed due to an unlicenced dealing. </w:t>
      </w:r>
    </w:p>
    <w:p w14:paraId="768994FC" w14:textId="58DCA8E4" w:rsidR="001931AC" w:rsidRDefault="0026564F" w:rsidP="0026564F">
      <w:pPr>
        <w:pStyle w:val="ParaNumbering"/>
        <w:numPr>
          <w:ilvl w:val="0"/>
          <w:numId w:val="0"/>
        </w:numPr>
        <w:tabs>
          <w:tab w:val="left" w:pos="720"/>
        </w:tabs>
        <w:ind w:hanging="720"/>
        <w:rPr>
          <w:lang w:eastAsia="en-AU"/>
        </w:rPr>
      </w:pPr>
      <w:r>
        <w:rPr>
          <w:sz w:val="20"/>
          <w:lang w:eastAsia="en-AU"/>
        </w:rPr>
        <w:t>125</w:t>
      </w:r>
      <w:r>
        <w:rPr>
          <w:sz w:val="20"/>
          <w:lang w:eastAsia="en-AU"/>
        </w:rPr>
        <w:tab/>
      </w:r>
      <w:r w:rsidR="008A15DE">
        <w:rPr>
          <w:lang w:eastAsia="en-AU"/>
        </w:rPr>
        <w:t xml:space="preserve">In my view, the case most analogous to the applicant’s </w:t>
      </w:r>
      <w:r w:rsidR="005760A3">
        <w:rPr>
          <w:lang w:eastAsia="en-AU"/>
        </w:rPr>
        <w:t xml:space="preserve">assertion of standing is </w:t>
      </w:r>
      <w:r w:rsidR="005760A3">
        <w:rPr>
          <w:i/>
          <w:iCs/>
          <w:lang w:eastAsia="en-AU"/>
        </w:rPr>
        <w:t xml:space="preserve">Ogle. </w:t>
      </w:r>
    </w:p>
    <w:p w14:paraId="3B024FD9" w14:textId="172DF354" w:rsidR="005652DC" w:rsidRPr="005652DC" w:rsidRDefault="0026564F" w:rsidP="0026564F">
      <w:pPr>
        <w:pStyle w:val="ParaNumbering"/>
        <w:numPr>
          <w:ilvl w:val="0"/>
          <w:numId w:val="0"/>
        </w:numPr>
        <w:tabs>
          <w:tab w:val="left" w:pos="720"/>
        </w:tabs>
        <w:ind w:hanging="720"/>
        <w:rPr>
          <w:i/>
          <w:iCs/>
          <w:lang w:eastAsia="en-AU"/>
        </w:rPr>
      </w:pPr>
      <w:r w:rsidRPr="005652DC">
        <w:rPr>
          <w:sz w:val="20"/>
          <w:lang w:eastAsia="en-AU"/>
        </w:rPr>
        <w:t>126</w:t>
      </w:r>
      <w:r w:rsidRPr="005652DC">
        <w:rPr>
          <w:sz w:val="20"/>
          <w:lang w:eastAsia="en-AU"/>
        </w:rPr>
        <w:tab/>
      </w:r>
      <w:r w:rsidR="00BF3463">
        <w:rPr>
          <w:lang w:eastAsia="en-AU"/>
        </w:rPr>
        <w:t xml:space="preserve">In </w:t>
      </w:r>
      <w:r w:rsidR="00BF3463">
        <w:rPr>
          <w:i/>
          <w:iCs/>
          <w:lang w:eastAsia="en-AU"/>
        </w:rPr>
        <w:t xml:space="preserve">Ogle, </w:t>
      </w:r>
      <w:r w:rsidR="00BF3463">
        <w:rPr>
          <w:lang w:eastAsia="en-AU"/>
        </w:rPr>
        <w:t xml:space="preserve">the Full Court </w:t>
      </w:r>
      <w:r w:rsidR="00E811A7">
        <w:rPr>
          <w:lang w:eastAsia="en-AU"/>
        </w:rPr>
        <w:t xml:space="preserve">of this Court </w:t>
      </w:r>
      <w:r w:rsidR="00BF3463">
        <w:rPr>
          <w:lang w:eastAsia="en-AU"/>
        </w:rPr>
        <w:t>unanimously found that</w:t>
      </w:r>
      <w:r w:rsidR="00BF3463" w:rsidRPr="00BF3463">
        <w:rPr>
          <w:lang w:eastAsia="en-AU"/>
        </w:rPr>
        <w:t xml:space="preserve"> </w:t>
      </w:r>
      <w:r w:rsidR="00BF3463">
        <w:rPr>
          <w:lang w:eastAsia="en-AU"/>
        </w:rPr>
        <w:t>two</w:t>
      </w:r>
      <w:r w:rsidR="00BF3463" w:rsidRPr="00BF3463">
        <w:rPr>
          <w:lang w:eastAsia="en-AU"/>
        </w:rPr>
        <w:t xml:space="preserve"> Christian minister</w:t>
      </w:r>
      <w:r w:rsidR="00BF3463">
        <w:rPr>
          <w:lang w:eastAsia="en-AU"/>
        </w:rPr>
        <w:t>s</w:t>
      </w:r>
      <w:r w:rsidR="00BF3463" w:rsidRPr="00BF3463">
        <w:rPr>
          <w:lang w:eastAsia="en-AU"/>
        </w:rPr>
        <w:t xml:space="preserve"> </w:t>
      </w:r>
      <w:r w:rsidR="00BF3463">
        <w:rPr>
          <w:lang w:eastAsia="en-AU"/>
        </w:rPr>
        <w:t>were</w:t>
      </w:r>
      <w:r w:rsidR="00BF3463" w:rsidRPr="00BF3463">
        <w:rPr>
          <w:lang w:eastAsia="en-AU"/>
        </w:rPr>
        <w:t xml:space="preserve"> </w:t>
      </w:r>
      <w:r w:rsidR="00834C45">
        <w:rPr>
          <w:lang w:eastAsia="en-AU"/>
        </w:rPr>
        <w:t xml:space="preserve">both </w:t>
      </w:r>
      <w:r w:rsidR="00BF3463" w:rsidRPr="00BF3463">
        <w:rPr>
          <w:lang w:eastAsia="en-AU"/>
        </w:rPr>
        <w:t>a</w:t>
      </w:r>
      <w:r w:rsidR="00BF3463" w:rsidRPr="00BF3463">
        <w:rPr>
          <w:i/>
          <w:iCs/>
          <w:lang w:eastAsia="en-AU"/>
        </w:rPr>
        <w:t xml:space="preserve"> </w:t>
      </w:r>
      <w:r w:rsidR="00BF3463" w:rsidRPr="00BF3463">
        <w:rPr>
          <w:lang w:eastAsia="en-AU"/>
        </w:rPr>
        <w:t>"person who is aggrieve</w:t>
      </w:r>
      <w:r w:rsidR="00BF3463">
        <w:rPr>
          <w:lang w:eastAsia="en-AU"/>
        </w:rPr>
        <w:t xml:space="preserve">d” </w:t>
      </w:r>
      <w:r w:rsidR="00BF3463" w:rsidRPr="00BF3463">
        <w:rPr>
          <w:lang w:eastAsia="en-AU"/>
        </w:rPr>
        <w:t>within</w:t>
      </w:r>
      <w:r w:rsidR="00BF3463">
        <w:rPr>
          <w:lang w:eastAsia="en-AU"/>
        </w:rPr>
        <w:t xml:space="preserve"> </w:t>
      </w:r>
      <w:r w:rsidR="00BF3463" w:rsidRPr="00BF3463">
        <w:rPr>
          <w:lang w:eastAsia="en-AU"/>
        </w:rPr>
        <w:t xml:space="preserve">the meaning of s 5(1) of the </w:t>
      </w:r>
      <w:r w:rsidR="00BF3463">
        <w:rPr>
          <w:lang w:eastAsia="en-AU"/>
        </w:rPr>
        <w:t xml:space="preserve">ADJR Act </w:t>
      </w:r>
      <w:r w:rsidR="00BF3463" w:rsidRPr="00BF3463">
        <w:rPr>
          <w:lang w:eastAsia="en-AU"/>
        </w:rPr>
        <w:t xml:space="preserve">by a decision of the Censorship Board allowing the importation of </w:t>
      </w:r>
      <w:r w:rsidR="00B02187">
        <w:rPr>
          <w:lang w:eastAsia="en-AU"/>
        </w:rPr>
        <w:t xml:space="preserve">what </w:t>
      </w:r>
      <w:r w:rsidR="0034423F">
        <w:rPr>
          <w:lang w:eastAsia="en-AU"/>
        </w:rPr>
        <w:t xml:space="preserve">the </w:t>
      </w:r>
      <w:r w:rsidR="007E415C">
        <w:rPr>
          <w:lang w:eastAsia="en-AU"/>
        </w:rPr>
        <w:t>ministers</w:t>
      </w:r>
      <w:r w:rsidR="0034423F">
        <w:rPr>
          <w:lang w:eastAsia="en-AU"/>
        </w:rPr>
        <w:t xml:space="preserve"> </w:t>
      </w:r>
      <w:r w:rsidR="00B02187">
        <w:rPr>
          <w:lang w:eastAsia="en-AU"/>
        </w:rPr>
        <w:t xml:space="preserve">considered to be </w:t>
      </w:r>
      <w:r w:rsidR="00BF3463" w:rsidRPr="00BF3463">
        <w:rPr>
          <w:lang w:eastAsia="en-AU"/>
        </w:rPr>
        <w:t>a blasphemous film into Australia</w:t>
      </w:r>
      <w:r w:rsidR="00BF3463">
        <w:rPr>
          <w:lang w:eastAsia="en-AU"/>
        </w:rPr>
        <w:t xml:space="preserve">. Lockhart J and Fisher J, in separate decisions, found that the appellants had standing on the basis of their vocation. </w:t>
      </w:r>
      <w:r w:rsidR="000F7558">
        <w:rPr>
          <w:lang w:eastAsia="en-AU"/>
        </w:rPr>
        <w:t>Lockhart J said at 318:</w:t>
      </w:r>
    </w:p>
    <w:p w14:paraId="2EA7DCF4" w14:textId="569B475A" w:rsidR="005652DC" w:rsidRDefault="000F7558" w:rsidP="000F7558">
      <w:pPr>
        <w:pStyle w:val="Quote1"/>
        <w:rPr>
          <w:lang w:eastAsia="en-AU"/>
        </w:rPr>
      </w:pPr>
      <w:r w:rsidRPr="000F7558">
        <w:rPr>
          <w:lang w:eastAsia="en-AU"/>
        </w:rPr>
        <w:lastRenderedPageBreak/>
        <w:t>As</w:t>
      </w:r>
      <w:r>
        <w:rPr>
          <w:lang w:eastAsia="en-AU"/>
        </w:rPr>
        <w:t xml:space="preserve"> </w:t>
      </w:r>
      <w:r w:rsidRPr="000F7558">
        <w:rPr>
          <w:lang w:eastAsia="en-AU"/>
        </w:rPr>
        <w:t>ministers of religion they are in a special position compared with ordinary</w:t>
      </w:r>
      <w:r>
        <w:rPr>
          <w:lang w:eastAsia="en-AU"/>
        </w:rPr>
        <w:t xml:space="preserve"> </w:t>
      </w:r>
      <w:r w:rsidRPr="000F7558">
        <w:rPr>
          <w:lang w:eastAsia="en-AU"/>
        </w:rPr>
        <w:t>members of the public in that it is their duty and vocation to maintain the</w:t>
      </w:r>
      <w:r>
        <w:rPr>
          <w:lang w:eastAsia="en-AU"/>
        </w:rPr>
        <w:t xml:space="preserve"> </w:t>
      </w:r>
      <w:r w:rsidRPr="000F7558">
        <w:rPr>
          <w:lang w:eastAsia="en-AU"/>
        </w:rPr>
        <w:t>sanctity of the Scriptures, to spread</w:t>
      </w:r>
      <w:r>
        <w:rPr>
          <w:lang w:eastAsia="en-AU"/>
        </w:rPr>
        <w:t xml:space="preserve"> </w:t>
      </w:r>
      <w:r w:rsidRPr="000F7558">
        <w:rPr>
          <w:lang w:eastAsia="en-AU"/>
        </w:rPr>
        <w:t>the Gospel, to teach and foster</w:t>
      </w:r>
      <w:r>
        <w:rPr>
          <w:lang w:eastAsia="en-AU"/>
        </w:rPr>
        <w:t xml:space="preserve"> </w:t>
      </w:r>
      <w:r w:rsidRPr="000F7558">
        <w:rPr>
          <w:lang w:eastAsia="en-AU"/>
        </w:rPr>
        <w:t>Christian beliefs and to repel or oppose blasphemy.</w:t>
      </w:r>
    </w:p>
    <w:p w14:paraId="17118997" w14:textId="340D0804" w:rsidR="000F7558" w:rsidRDefault="000F7558" w:rsidP="000F7558">
      <w:pPr>
        <w:pStyle w:val="Quote1"/>
        <w:rPr>
          <w:lang w:eastAsia="en-AU"/>
        </w:rPr>
      </w:pPr>
      <w:r>
        <w:rPr>
          <w:lang w:eastAsia="en-AU"/>
        </w:rPr>
        <w:t>…</w:t>
      </w:r>
    </w:p>
    <w:p w14:paraId="6221EA13" w14:textId="7B4F2533" w:rsidR="000F7558" w:rsidRDefault="000F7558" w:rsidP="000F7558">
      <w:pPr>
        <w:pStyle w:val="Quote1"/>
        <w:rPr>
          <w:lang w:eastAsia="en-AU"/>
        </w:rPr>
      </w:pPr>
      <w:r w:rsidRPr="000F7558">
        <w:rPr>
          <w:lang w:eastAsia="en-AU"/>
        </w:rPr>
        <w:t>It is true that the appellants have no special interests</w:t>
      </w:r>
      <w:r>
        <w:rPr>
          <w:lang w:eastAsia="en-AU"/>
        </w:rPr>
        <w:t xml:space="preserve"> </w:t>
      </w:r>
      <w:r w:rsidRPr="000F7558">
        <w:rPr>
          <w:lang w:eastAsia="en-AU"/>
        </w:rPr>
        <w:t>in the subject matter of the decision in the sense of legal or equitable rights</w:t>
      </w:r>
      <w:r>
        <w:rPr>
          <w:lang w:eastAsia="en-AU"/>
        </w:rPr>
        <w:t xml:space="preserve"> </w:t>
      </w:r>
      <w:r w:rsidRPr="000F7558">
        <w:rPr>
          <w:lang w:eastAsia="en-AU"/>
        </w:rPr>
        <w:t>or proprietary or pecuniary interests; but they are persons aggrieved because</w:t>
      </w:r>
      <w:r w:rsidRPr="004A19D7">
        <w:rPr>
          <w:i/>
          <w:iCs/>
          <w:lang w:eastAsia="en-AU"/>
        </w:rPr>
        <w:t xml:space="preserve"> </w:t>
      </w:r>
      <w:r w:rsidRPr="00B67DC4">
        <w:rPr>
          <w:lang w:eastAsia="en-AU"/>
        </w:rPr>
        <w:t>to repel blasphemy is</w:t>
      </w:r>
      <w:r w:rsidRPr="004A19D7">
        <w:rPr>
          <w:i/>
          <w:iCs/>
          <w:lang w:eastAsia="en-AU"/>
        </w:rPr>
        <w:t xml:space="preserve"> a necessary incident of their vocation</w:t>
      </w:r>
      <w:r w:rsidRPr="000F7558">
        <w:rPr>
          <w:lang w:eastAsia="en-AU"/>
        </w:rPr>
        <w:t>. To deny them</w:t>
      </w:r>
      <w:r>
        <w:rPr>
          <w:lang w:eastAsia="en-AU"/>
        </w:rPr>
        <w:t xml:space="preserve"> </w:t>
      </w:r>
      <w:r w:rsidRPr="000F7558">
        <w:rPr>
          <w:lang w:eastAsia="en-AU"/>
        </w:rPr>
        <w:t>standing would deny an important class in the community an effective</w:t>
      </w:r>
      <w:r>
        <w:rPr>
          <w:lang w:eastAsia="en-AU"/>
        </w:rPr>
        <w:t xml:space="preserve"> </w:t>
      </w:r>
      <w:r w:rsidRPr="000F7558">
        <w:rPr>
          <w:lang w:eastAsia="en-AU"/>
        </w:rPr>
        <w:t>means</w:t>
      </w:r>
      <w:r>
        <w:rPr>
          <w:lang w:eastAsia="en-AU"/>
        </w:rPr>
        <w:t xml:space="preserve"> </w:t>
      </w:r>
      <w:r w:rsidRPr="000F7558">
        <w:rPr>
          <w:lang w:eastAsia="en-AU"/>
        </w:rPr>
        <w:t>and procedure for challenging decisions of the kind involved in this</w:t>
      </w:r>
      <w:r>
        <w:rPr>
          <w:lang w:eastAsia="en-AU"/>
        </w:rPr>
        <w:t xml:space="preserve"> </w:t>
      </w:r>
      <w:r w:rsidRPr="000F7558">
        <w:rPr>
          <w:lang w:eastAsia="en-AU"/>
        </w:rPr>
        <w:t>case.</w:t>
      </w:r>
    </w:p>
    <w:p w14:paraId="5B44C663" w14:textId="7F7919A1" w:rsidR="000F7558" w:rsidRPr="000F7558" w:rsidRDefault="00A06A0C" w:rsidP="000F7558">
      <w:pPr>
        <w:pStyle w:val="Quote1"/>
        <w:rPr>
          <w:lang w:eastAsia="en-AU"/>
        </w:rPr>
      </w:pPr>
      <w:r>
        <w:rPr>
          <w:lang w:eastAsia="en-AU"/>
        </w:rPr>
        <w:t>(Emphasis added.)</w:t>
      </w:r>
    </w:p>
    <w:p w14:paraId="424169EE" w14:textId="177C50A1" w:rsidR="00C50285" w:rsidRPr="008C660A" w:rsidRDefault="0026564F" w:rsidP="0026564F">
      <w:pPr>
        <w:pStyle w:val="ParaNumbering"/>
        <w:numPr>
          <w:ilvl w:val="0"/>
          <w:numId w:val="0"/>
        </w:numPr>
        <w:tabs>
          <w:tab w:val="left" w:pos="720"/>
        </w:tabs>
        <w:ind w:hanging="720"/>
        <w:rPr>
          <w:lang w:eastAsia="en-AU"/>
        </w:rPr>
      </w:pPr>
      <w:r w:rsidRPr="008C660A">
        <w:rPr>
          <w:sz w:val="20"/>
          <w:lang w:eastAsia="en-AU"/>
        </w:rPr>
        <w:t>127</w:t>
      </w:r>
      <w:r w:rsidRPr="008C660A">
        <w:rPr>
          <w:sz w:val="20"/>
          <w:lang w:eastAsia="en-AU"/>
        </w:rPr>
        <w:tab/>
      </w:r>
      <w:r w:rsidR="00BF3463">
        <w:rPr>
          <w:lang w:eastAsia="en-AU"/>
        </w:rPr>
        <w:t xml:space="preserve">Wilcox J </w:t>
      </w:r>
      <w:r w:rsidR="00160EC0">
        <w:rPr>
          <w:lang w:eastAsia="en-AU"/>
        </w:rPr>
        <w:t xml:space="preserve">found standing on the much broader basis that the </w:t>
      </w:r>
      <w:r w:rsidR="00160EC0" w:rsidRPr="00160EC0">
        <w:rPr>
          <w:lang w:eastAsia="en-AU"/>
        </w:rPr>
        <w:t>appellants were persons aggrieved</w:t>
      </w:r>
      <w:r w:rsidR="008B058F">
        <w:rPr>
          <w:lang w:eastAsia="en-AU"/>
        </w:rPr>
        <w:t xml:space="preserve"> </w:t>
      </w:r>
      <w:r w:rsidR="00160EC0" w:rsidRPr="00160EC0">
        <w:rPr>
          <w:lang w:eastAsia="en-AU"/>
        </w:rPr>
        <w:t>by reason of the outrage to their feelings as committed Christians</w:t>
      </w:r>
      <w:r w:rsidR="00160EC0">
        <w:rPr>
          <w:lang w:eastAsia="en-AU"/>
        </w:rPr>
        <w:t xml:space="preserve">. Fisher J disagreed with this broader formulation, noting at </w:t>
      </w:r>
      <w:r w:rsidR="002D4243">
        <w:rPr>
          <w:lang w:eastAsia="en-AU"/>
        </w:rPr>
        <w:t xml:space="preserve">308 </w:t>
      </w:r>
      <w:r w:rsidR="00160EC0">
        <w:rPr>
          <w:lang w:eastAsia="en-AU"/>
        </w:rPr>
        <w:t>that the appellants</w:t>
      </w:r>
      <w:r w:rsidR="00E85113">
        <w:rPr>
          <w:lang w:eastAsia="en-AU"/>
        </w:rPr>
        <w:t>’</w:t>
      </w:r>
      <w:r w:rsidR="00160EC0" w:rsidRPr="00160EC0">
        <w:rPr>
          <w:lang w:eastAsia="en-AU"/>
        </w:rPr>
        <w:t xml:space="preserve"> interest </w:t>
      </w:r>
      <w:r w:rsidR="00160EC0">
        <w:rPr>
          <w:lang w:eastAsia="en-AU"/>
        </w:rPr>
        <w:t>“</w:t>
      </w:r>
      <w:r w:rsidR="00160EC0" w:rsidRPr="00160EC0">
        <w:rPr>
          <w:lang w:eastAsia="en-AU"/>
        </w:rPr>
        <w:t xml:space="preserve">extends beyond that of other members of the Christian community whose limited concern could be fairly described as only </w:t>
      </w:r>
      <w:r w:rsidR="00160EC0">
        <w:rPr>
          <w:lang w:eastAsia="en-AU"/>
        </w:rPr>
        <w:t>‘</w:t>
      </w:r>
      <w:r w:rsidR="00160EC0" w:rsidRPr="00160EC0">
        <w:rPr>
          <w:lang w:eastAsia="en-AU"/>
        </w:rPr>
        <w:t>intellectual or emotional</w:t>
      </w:r>
      <w:r w:rsidR="00160EC0">
        <w:rPr>
          <w:lang w:eastAsia="en-AU"/>
        </w:rPr>
        <w:t xml:space="preserve">’”. Lockhart J did not express a view on this point. </w:t>
      </w:r>
    </w:p>
    <w:p w14:paraId="1B61AD4D" w14:textId="0352B87D" w:rsidR="005652DC" w:rsidRPr="00A06A0C" w:rsidRDefault="0026564F" w:rsidP="0026564F">
      <w:pPr>
        <w:pStyle w:val="ParaNumbering"/>
        <w:numPr>
          <w:ilvl w:val="0"/>
          <w:numId w:val="0"/>
        </w:numPr>
        <w:tabs>
          <w:tab w:val="left" w:pos="720"/>
        </w:tabs>
        <w:ind w:hanging="720"/>
        <w:rPr>
          <w:i/>
          <w:iCs/>
          <w:lang w:eastAsia="en-AU"/>
        </w:rPr>
      </w:pPr>
      <w:r w:rsidRPr="00A06A0C">
        <w:rPr>
          <w:sz w:val="20"/>
          <w:lang w:eastAsia="en-AU"/>
        </w:rPr>
        <w:t>128</w:t>
      </w:r>
      <w:r w:rsidRPr="00A06A0C">
        <w:rPr>
          <w:sz w:val="20"/>
          <w:lang w:eastAsia="en-AU"/>
        </w:rPr>
        <w:tab/>
      </w:r>
      <w:r w:rsidR="00160EC0">
        <w:rPr>
          <w:lang w:eastAsia="en-AU"/>
        </w:rPr>
        <w:t xml:space="preserve">Lockhart J and Fisher J’s reasoning has been applied in subsequent decisions whereas Wilcox J’s has not: see, </w:t>
      </w:r>
      <w:proofErr w:type="spellStart"/>
      <w:r w:rsidR="00160EC0">
        <w:rPr>
          <w:lang w:eastAsia="en-AU"/>
        </w:rPr>
        <w:t>eg</w:t>
      </w:r>
      <w:proofErr w:type="spellEnd"/>
      <w:r w:rsidR="00160EC0">
        <w:rPr>
          <w:lang w:eastAsia="en-AU"/>
        </w:rPr>
        <w:t xml:space="preserve">, </w:t>
      </w:r>
      <w:r w:rsidR="00160EC0" w:rsidRPr="00C77296">
        <w:rPr>
          <w:i/>
          <w:iCs/>
          <w:lang w:eastAsia="en-AU"/>
        </w:rPr>
        <w:t xml:space="preserve">Cameron v Human Rights </w:t>
      </w:r>
      <w:r w:rsidR="005B6CE2" w:rsidRPr="00C77296">
        <w:rPr>
          <w:i/>
          <w:iCs/>
          <w:lang w:eastAsia="en-AU"/>
        </w:rPr>
        <w:t>and</w:t>
      </w:r>
      <w:r w:rsidR="00160EC0" w:rsidRPr="00C77296">
        <w:rPr>
          <w:i/>
          <w:iCs/>
          <w:lang w:eastAsia="en-AU"/>
        </w:rPr>
        <w:t xml:space="preserve"> Equal Opportunity Commission </w:t>
      </w:r>
      <w:r w:rsidR="00160EC0" w:rsidRPr="00C77296">
        <w:rPr>
          <w:lang w:eastAsia="en-AU"/>
        </w:rPr>
        <w:t>(1993) 46 FCR 509</w:t>
      </w:r>
      <w:r w:rsidR="00160EC0">
        <w:rPr>
          <w:lang w:eastAsia="en-AU"/>
        </w:rPr>
        <w:t xml:space="preserve"> at 519 (</w:t>
      </w:r>
      <w:r w:rsidR="000C7267">
        <w:rPr>
          <w:lang w:eastAsia="en-AU"/>
        </w:rPr>
        <w:t xml:space="preserve">per </w:t>
      </w:r>
      <w:r w:rsidR="00160EC0">
        <w:rPr>
          <w:lang w:eastAsia="en-AU"/>
        </w:rPr>
        <w:t>Beaumont and Foster JJ, French J agreeing)</w:t>
      </w:r>
      <w:r w:rsidR="00825CF1">
        <w:rPr>
          <w:lang w:eastAsia="en-AU"/>
        </w:rPr>
        <w:t xml:space="preserve">; </w:t>
      </w:r>
      <w:r w:rsidR="00825CF1" w:rsidRPr="00C77296">
        <w:rPr>
          <w:i/>
          <w:iCs/>
          <w:lang w:eastAsia="en-AU"/>
        </w:rPr>
        <w:t xml:space="preserve">Right to Life Association (NSW) Inc v Department of Human Services </w:t>
      </w:r>
      <w:r w:rsidR="00024FC4" w:rsidRPr="00C77296">
        <w:rPr>
          <w:i/>
          <w:iCs/>
          <w:lang w:eastAsia="en-AU"/>
        </w:rPr>
        <w:t>and</w:t>
      </w:r>
      <w:r w:rsidR="00825CF1" w:rsidRPr="00C77296">
        <w:rPr>
          <w:i/>
          <w:iCs/>
          <w:lang w:eastAsia="en-AU"/>
        </w:rPr>
        <w:t xml:space="preserve"> Health </w:t>
      </w:r>
      <w:r w:rsidR="00825CF1" w:rsidRPr="00C77296">
        <w:rPr>
          <w:lang w:eastAsia="en-AU"/>
        </w:rPr>
        <w:t>(1994) 52 FCR 209</w:t>
      </w:r>
      <w:r w:rsidR="00825CF1">
        <w:rPr>
          <w:lang w:eastAsia="en-AU"/>
        </w:rPr>
        <w:t xml:space="preserve"> at 222</w:t>
      </w:r>
      <w:r w:rsidR="005E1509">
        <w:rPr>
          <w:lang w:eastAsia="en-AU"/>
        </w:rPr>
        <w:t>-</w:t>
      </w:r>
      <w:r w:rsidR="00825CF1">
        <w:rPr>
          <w:lang w:eastAsia="en-AU"/>
        </w:rPr>
        <w:t xml:space="preserve">225 (per Lindgren J); </w:t>
      </w:r>
      <w:proofErr w:type="spellStart"/>
      <w:r w:rsidR="00825CF1" w:rsidRPr="00C77296">
        <w:rPr>
          <w:b/>
          <w:bCs/>
          <w:i/>
          <w:iCs/>
          <w:lang w:eastAsia="en-AU"/>
        </w:rPr>
        <w:t>Antsis</w:t>
      </w:r>
      <w:proofErr w:type="spellEnd"/>
      <w:r w:rsidR="00825CF1" w:rsidRPr="00C77296">
        <w:rPr>
          <w:i/>
          <w:iCs/>
          <w:lang w:eastAsia="en-AU"/>
        </w:rPr>
        <w:t xml:space="preserve"> v Secretary</w:t>
      </w:r>
      <w:r w:rsidR="002877E1" w:rsidRPr="00C77296">
        <w:rPr>
          <w:i/>
          <w:iCs/>
          <w:lang w:eastAsia="en-AU"/>
        </w:rPr>
        <w:t>,</w:t>
      </w:r>
      <w:r w:rsidR="00825CF1" w:rsidRPr="00C77296">
        <w:rPr>
          <w:i/>
          <w:iCs/>
          <w:lang w:eastAsia="en-AU"/>
        </w:rPr>
        <w:t xml:space="preserve"> Department of Family and Community Services </w:t>
      </w:r>
      <w:r w:rsidR="00825CF1" w:rsidRPr="00C77296">
        <w:rPr>
          <w:lang w:eastAsia="en-AU"/>
        </w:rPr>
        <w:t xml:space="preserve">(2002) 123 FCR 536 </w:t>
      </w:r>
      <w:r w:rsidR="00825CF1">
        <w:rPr>
          <w:lang w:eastAsia="en-AU"/>
        </w:rPr>
        <w:t>at [27]</w:t>
      </w:r>
      <w:r w:rsidR="005E1509">
        <w:rPr>
          <w:lang w:eastAsia="en-AU"/>
        </w:rPr>
        <w:t>-</w:t>
      </w:r>
      <w:r w:rsidR="00825CF1">
        <w:rPr>
          <w:lang w:eastAsia="en-AU"/>
        </w:rPr>
        <w:t>[29] (per Kenny J).</w:t>
      </w:r>
    </w:p>
    <w:p w14:paraId="4CF88806" w14:textId="7B158315" w:rsidR="00641D9E" w:rsidRDefault="0026564F" w:rsidP="0026564F">
      <w:pPr>
        <w:pStyle w:val="ParaNumbering"/>
        <w:numPr>
          <w:ilvl w:val="0"/>
          <w:numId w:val="0"/>
        </w:numPr>
        <w:tabs>
          <w:tab w:val="left" w:pos="720"/>
        </w:tabs>
        <w:ind w:hanging="720"/>
        <w:rPr>
          <w:lang w:eastAsia="en-AU"/>
        </w:rPr>
      </w:pPr>
      <w:r>
        <w:rPr>
          <w:sz w:val="20"/>
          <w:lang w:eastAsia="en-AU"/>
        </w:rPr>
        <w:t>129</w:t>
      </w:r>
      <w:r>
        <w:rPr>
          <w:sz w:val="20"/>
          <w:lang w:eastAsia="en-AU"/>
        </w:rPr>
        <w:tab/>
      </w:r>
      <w:r w:rsidR="00FE4CB1">
        <w:rPr>
          <w:lang w:eastAsia="en-AU"/>
        </w:rPr>
        <w:t>However</w:t>
      </w:r>
      <w:r w:rsidR="00641D9E">
        <w:rPr>
          <w:lang w:eastAsia="en-AU"/>
        </w:rPr>
        <w:t xml:space="preserve">, the correctness of </w:t>
      </w:r>
      <w:r w:rsidR="00641D9E">
        <w:rPr>
          <w:i/>
          <w:iCs/>
          <w:lang w:eastAsia="en-AU"/>
        </w:rPr>
        <w:t xml:space="preserve">Ogle </w:t>
      </w:r>
      <w:r w:rsidR="00641D9E">
        <w:rPr>
          <w:lang w:eastAsia="en-AU"/>
        </w:rPr>
        <w:t xml:space="preserve">is not beyond doubt. As </w:t>
      </w:r>
      <w:proofErr w:type="spellStart"/>
      <w:r w:rsidR="00641D9E">
        <w:rPr>
          <w:lang w:eastAsia="en-AU"/>
        </w:rPr>
        <w:t>Jagot</w:t>
      </w:r>
      <w:proofErr w:type="spellEnd"/>
      <w:r w:rsidR="00641D9E">
        <w:rPr>
          <w:lang w:eastAsia="en-AU"/>
        </w:rPr>
        <w:t xml:space="preserve"> J summarised in</w:t>
      </w:r>
      <w:r w:rsidR="00641D9E" w:rsidRPr="00641D9E">
        <w:rPr>
          <w:i/>
          <w:iCs/>
          <w:lang w:eastAsia="en-AU"/>
        </w:rPr>
        <w:t xml:space="preserve"> </w:t>
      </w:r>
      <w:r w:rsidR="00641D9E" w:rsidRPr="00C77296">
        <w:rPr>
          <w:i/>
          <w:iCs/>
          <w:lang w:eastAsia="en-AU"/>
        </w:rPr>
        <w:t xml:space="preserve">Australian National Imams Council Ltd v Australian Communications and Media Authority </w:t>
      </w:r>
      <w:r w:rsidR="00641D9E" w:rsidRPr="00C77296">
        <w:rPr>
          <w:lang w:eastAsia="en-AU"/>
        </w:rPr>
        <w:t xml:space="preserve">(2022) 404 ALR 323 </w:t>
      </w:r>
      <w:r w:rsidR="00641D9E">
        <w:rPr>
          <w:lang w:eastAsia="en-AU"/>
        </w:rPr>
        <w:t>at [91]:</w:t>
      </w:r>
    </w:p>
    <w:p w14:paraId="23EC7F49" w14:textId="63F5CE6F" w:rsidR="00641D9E" w:rsidRPr="00FD36E3" w:rsidRDefault="00641D9E" w:rsidP="00D81312">
      <w:pPr>
        <w:pStyle w:val="Quote1"/>
        <w:rPr>
          <w:rFonts w:ascii="Times-Italic" w:hAnsi="Times-Italic" w:cs="Times-Italic"/>
          <w:i/>
          <w:iCs/>
          <w:lang w:eastAsia="en-AU"/>
        </w:rPr>
      </w:pPr>
      <w:r>
        <w:rPr>
          <w:lang w:eastAsia="en-AU"/>
        </w:rPr>
        <w:t xml:space="preserve">Doubts have been expressed about the correctness of the decision in </w:t>
      </w:r>
      <w:r>
        <w:rPr>
          <w:rFonts w:ascii="Times-Italic" w:hAnsi="Times-Italic" w:cs="Times-Italic"/>
          <w:i/>
          <w:iCs/>
          <w:lang w:eastAsia="en-AU"/>
        </w:rPr>
        <w:t xml:space="preserve">Ogle v Strickland </w:t>
      </w:r>
      <w:r>
        <w:rPr>
          <w:lang w:eastAsia="en-AU"/>
        </w:rPr>
        <w:t>(1987) 13 FCR 306; 71 ALR 41; 12 ALD 435 (</w:t>
      </w:r>
      <w:r>
        <w:rPr>
          <w:rFonts w:ascii="Times-Italic" w:hAnsi="Times-Italic" w:cs="Times-Italic"/>
          <w:i/>
          <w:iCs/>
          <w:lang w:eastAsia="en-AU"/>
        </w:rPr>
        <w:t>Ogle v Strickland</w:t>
      </w:r>
      <w:r>
        <w:rPr>
          <w:lang w:eastAsia="en-AU"/>
        </w:rPr>
        <w:t>)</w:t>
      </w:r>
      <w:r>
        <w:rPr>
          <w:rFonts w:ascii="Times-Italic" w:hAnsi="Times-Italic" w:cs="Times-Italic"/>
          <w:i/>
          <w:iCs/>
          <w:lang w:eastAsia="en-AU"/>
        </w:rPr>
        <w:t xml:space="preserve"> </w:t>
      </w:r>
      <w:r>
        <w:rPr>
          <w:lang w:eastAsia="en-AU"/>
        </w:rPr>
        <w:t>that a Christian minister of religion was a person aggrieved by a decision to allow</w:t>
      </w:r>
      <w:r>
        <w:rPr>
          <w:rFonts w:ascii="Times-Italic" w:hAnsi="Times-Italic" w:cs="Times-Italic"/>
          <w:i/>
          <w:iCs/>
          <w:lang w:eastAsia="en-AU"/>
        </w:rPr>
        <w:t xml:space="preserve"> </w:t>
      </w:r>
      <w:r>
        <w:rPr>
          <w:lang w:eastAsia="en-AU"/>
        </w:rPr>
        <w:t>the importation of an allegedly blasphemous film into Australia: see, for example,</w:t>
      </w:r>
      <w:r>
        <w:rPr>
          <w:rFonts w:ascii="Times-Italic" w:hAnsi="Times-Italic" w:cs="Times-Italic"/>
          <w:i/>
          <w:iCs/>
          <w:lang w:eastAsia="en-AU"/>
        </w:rPr>
        <w:t xml:space="preserve"> North Coast Environment Council Inc v Minister for Resources </w:t>
      </w:r>
      <w:r>
        <w:rPr>
          <w:lang w:eastAsia="en-AU"/>
        </w:rPr>
        <w:t>(1994) 55 FCR</w:t>
      </w:r>
      <w:r>
        <w:rPr>
          <w:rFonts w:ascii="Times-Italic" w:hAnsi="Times-Italic" w:cs="Times-Italic"/>
          <w:i/>
          <w:iCs/>
          <w:lang w:eastAsia="en-AU"/>
        </w:rPr>
        <w:t xml:space="preserve"> </w:t>
      </w:r>
      <w:r>
        <w:rPr>
          <w:lang w:eastAsia="en-AU"/>
        </w:rPr>
        <w:t xml:space="preserve">492; 127 ALR 617; </w:t>
      </w:r>
      <w:r w:rsidRPr="00FD36E3">
        <w:rPr>
          <w:lang w:eastAsia="en-AU"/>
        </w:rPr>
        <w:t>36 ALD 533 in which Sackville J at FCR 510; ALR 634;</w:t>
      </w:r>
      <w:r w:rsidRPr="00FD36E3">
        <w:rPr>
          <w:rFonts w:ascii="Times-Italic" w:hAnsi="Times-Italic" w:cs="Times-Italic"/>
          <w:i/>
          <w:iCs/>
          <w:lang w:eastAsia="en-AU"/>
        </w:rPr>
        <w:t xml:space="preserve"> </w:t>
      </w:r>
      <w:r w:rsidRPr="00FD36E3">
        <w:rPr>
          <w:lang w:eastAsia="en-AU"/>
        </w:rPr>
        <w:t>ALD 549 questioned the validity of a distinction between a “vocational interest</w:t>
      </w:r>
      <w:r w:rsidRPr="00FD36E3">
        <w:rPr>
          <w:rFonts w:ascii="Times-Italic" w:hAnsi="Times-Italic" w:cs="Times-Italic"/>
          <w:i/>
          <w:iCs/>
          <w:lang w:eastAsia="en-AU"/>
        </w:rPr>
        <w:t xml:space="preserve"> </w:t>
      </w:r>
      <w:r w:rsidRPr="00FD36E3">
        <w:rPr>
          <w:lang w:eastAsia="en-AU"/>
        </w:rPr>
        <w:t>in a set of values and an interest based on a deeply held but non-vocational</w:t>
      </w:r>
      <w:r w:rsidRPr="00FD36E3">
        <w:rPr>
          <w:rFonts w:ascii="Times-Italic" w:hAnsi="Times-Italic" w:cs="Times-Italic"/>
          <w:i/>
          <w:iCs/>
          <w:lang w:eastAsia="en-AU"/>
        </w:rPr>
        <w:t xml:space="preserve"> </w:t>
      </w:r>
      <w:r w:rsidRPr="00FD36E3">
        <w:rPr>
          <w:lang w:eastAsia="en-AU"/>
        </w:rPr>
        <w:t xml:space="preserve">commitment to those same values” on which the reasoning in </w:t>
      </w:r>
      <w:r w:rsidRPr="00FD36E3">
        <w:rPr>
          <w:rFonts w:ascii="Times-Italic" w:hAnsi="Times-Italic" w:cs="Times-Italic"/>
          <w:i/>
          <w:iCs/>
          <w:lang w:eastAsia="en-AU"/>
        </w:rPr>
        <w:t xml:space="preserve">Ogle v Strickland </w:t>
      </w:r>
      <w:r w:rsidRPr="00FD36E3">
        <w:rPr>
          <w:lang w:eastAsia="en-AU"/>
        </w:rPr>
        <w:t xml:space="preserve">appears to have been based. In </w:t>
      </w:r>
      <w:r w:rsidRPr="00FD36E3">
        <w:rPr>
          <w:rFonts w:ascii="Times-Italic" w:hAnsi="Times-Italic" w:cs="Times-Italic"/>
          <w:i/>
          <w:iCs/>
          <w:lang w:eastAsia="en-AU"/>
        </w:rPr>
        <w:t xml:space="preserve">Right to Life Assoc (NSW) Inc v Secretary, Department of Human Services and Health </w:t>
      </w:r>
      <w:r w:rsidRPr="00FD36E3">
        <w:rPr>
          <w:lang w:eastAsia="en-AU"/>
        </w:rPr>
        <w:t>(1995) 56 FCR 50; 37 ALD 357</w:t>
      </w:r>
      <w:r w:rsidR="00ED49F1">
        <w:rPr>
          <w:lang w:eastAsia="en-AU"/>
        </w:rPr>
        <w:t xml:space="preserve"> </w:t>
      </w:r>
      <w:r w:rsidRPr="00FD36E3">
        <w:rPr>
          <w:lang w:eastAsia="en-AU"/>
        </w:rPr>
        <w:t>(</w:t>
      </w:r>
      <w:r w:rsidRPr="00FD36E3">
        <w:rPr>
          <w:rFonts w:ascii="Times-Italic" w:hAnsi="Times-Italic" w:cs="Times-Italic"/>
          <w:i/>
          <w:iCs/>
          <w:lang w:eastAsia="en-AU"/>
        </w:rPr>
        <w:t>Right to Life</w:t>
      </w:r>
      <w:r w:rsidRPr="00FD36E3">
        <w:rPr>
          <w:lang w:eastAsia="en-AU"/>
        </w:rPr>
        <w:t xml:space="preserve">) an organisation the objects of which related directly to the challenged decision (importation and trial of a drug to terminate early pregnancy) did not have standing based on its genuine and deeply held belief in the illegality and immorality of the drug, as no “intellectual, philosophical and emotional concern” would suffice to change the legal character of a person’s interest in a decision: at FCR </w:t>
      </w:r>
      <w:r w:rsidRPr="00FD36E3">
        <w:rPr>
          <w:lang w:eastAsia="en-AU"/>
        </w:rPr>
        <w:lastRenderedPageBreak/>
        <w:t xml:space="preserve">69; ALD 375. See also </w:t>
      </w:r>
      <w:r w:rsidRPr="00FD36E3">
        <w:rPr>
          <w:rFonts w:ascii="Times-Italic" w:hAnsi="Times-Italic" w:cs="Times-Italic"/>
          <w:i/>
          <w:iCs/>
          <w:lang w:eastAsia="en-AU"/>
        </w:rPr>
        <w:t xml:space="preserve">Re McBain; Ex </w:t>
      </w:r>
      <w:proofErr w:type="spellStart"/>
      <w:r w:rsidRPr="00FD36E3">
        <w:rPr>
          <w:rFonts w:ascii="Times-Italic" w:hAnsi="Times-Italic" w:cs="Times-Italic"/>
          <w:i/>
          <w:iCs/>
          <w:lang w:eastAsia="en-AU"/>
        </w:rPr>
        <w:t>parte</w:t>
      </w:r>
      <w:proofErr w:type="spellEnd"/>
      <w:r w:rsidRPr="00FD36E3">
        <w:rPr>
          <w:rFonts w:ascii="Times-Italic" w:hAnsi="Times-Italic" w:cs="Times-Italic"/>
          <w:i/>
          <w:iCs/>
          <w:lang w:eastAsia="en-AU"/>
        </w:rPr>
        <w:t xml:space="preserve"> Australian</w:t>
      </w:r>
      <w:r w:rsidRPr="00FD36E3">
        <w:rPr>
          <w:lang w:eastAsia="en-AU"/>
        </w:rPr>
        <w:t xml:space="preserve"> </w:t>
      </w:r>
      <w:r w:rsidRPr="00FD36E3">
        <w:rPr>
          <w:rFonts w:ascii="Times-Italic" w:hAnsi="Times-Italic" w:cs="Times-Italic"/>
          <w:i/>
          <w:iCs/>
          <w:lang w:eastAsia="en-AU"/>
        </w:rPr>
        <w:t xml:space="preserve">Catholic Bishops Conference </w:t>
      </w:r>
      <w:r w:rsidRPr="00FD36E3">
        <w:rPr>
          <w:lang w:eastAsia="en-AU"/>
        </w:rPr>
        <w:t xml:space="preserve">(2002) 209 CLR 372; 188 ALR 1; [2002] HCA 16 at [115] in which McHugh J said whether </w:t>
      </w:r>
      <w:r w:rsidRPr="00FD36E3">
        <w:rPr>
          <w:rFonts w:ascii="Times-Italic" w:hAnsi="Times-Italic" w:cs="Times-Italic"/>
          <w:i/>
          <w:iCs/>
          <w:lang w:eastAsia="en-AU"/>
        </w:rPr>
        <w:t xml:space="preserve">Ogle v Strickland </w:t>
      </w:r>
      <w:r w:rsidRPr="00FD36E3">
        <w:rPr>
          <w:lang w:eastAsia="en-AU"/>
        </w:rPr>
        <w:t>was rightly decided is “debatable”.</w:t>
      </w:r>
    </w:p>
    <w:p w14:paraId="3FB3441B" w14:textId="111F5BE8" w:rsidR="00825CF1" w:rsidRPr="00FD36E3" w:rsidRDefault="0026564F" w:rsidP="0026564F">
      <w:pPr>
        <w:pStyle w:val="ParaNumbering"/>
        <w:numPr>
          <w:ilvl w:val="0"/>
          <w:numId w:val="0"/>
        </w:numPr>
        <w:tabs>
          <w:tab w:val="left" w:pos="720"/>
        </w:tabs>
        <w:ind w:hanging="720"/>
        <w:rPr>
          <w:i/>
          <w:iCs/>
          <w:lang w:eastAsia="en-AU"/>
        </w:rPr>
      </w:pPr>
      <w:r w:rsidRPr="00FD36E3">
        <w:rPr>
          <w:sz w:val="20"/>
          <w:lang w:eastAsia="en-AU"/>
        </w:rPr>
        <w:t>130</w:t>
      </w:r>
      <w:r w:rsidRPr="00FD36E3">
        <w:rPr>
          <w:sz w:val="20"/>
          <w:lang w:eastAsia="en-AU"/>
        </w:rPr>
        <w:tab/>
      </w:r>
      <w:r w:rsidR="00641D9E" w:rsidRPr="00FD36E3">
        <w:rPr>
          <w:lang w:eastAsia="en-AU"/>
        </w:rPr>
        <w:t xml:space="preserve">Neither Pfizer nor Moderna challenged the correctness of </w:t>
      </w:r>
      <w:r w:rsidR="00641D9E" w:rsidRPr="00FD36E3">
        <w:rPr>
          <w:i/>
          <w:iCs/>
          <w:lang w:eastAsia="en-AU"/>
        </w:rPr>
        <w:t>Ogle</w:t>
      </w:r>
      <w:r w:rsidR="00641D9E" w:rsidRPr="00FD36E3">
        <w:rPr>
          <w:lang w:eastAsia="en-AU"/>
        </w:rPr>
        <w:t xml:space="preserve"> and since it has not been overturned I am bound to follow it. </w:t>
      </w:r>
    </w:p>
    <w:p w14:paraId="5BD2BB5F" w14:textId="37E2C153" w:rsidR="00A06A0C" w:rsidRPr="00FD36E3" w:rsidRDefault="0026564F" w:rsidP="0026564F">
      <w:pPr>
        <w:pStyle w:val="ParaNumbering"/>
        <w:numPr>
          <w:ilvl w:val="0"/>
          <w:numId w:val="0"/>
        </w:numPr>
        <w:tabs>
          <w:tab w:val="left" w:pos="720"/>
        </w:tabs>
        <w:ind w:hanging="720"/>
        <w:rPr>
          <w:i/>
          <w:iCs/>
          <w:lang w:eastAsia="en-AU"/>
        </w:rPr>
      </w:pPr>
      <w:r w:rsidRPr="00FD36E3">
        <w:rPr>
          <w:sz w:val="20"/>
          <w:lang w:eastAsia="en-AU"/>
        </w:rPr>
        <w:t>131</w:t>
      </w:r>
      <w:r w:rsidRPr="00FD36E3">
        <w:rPr>
          <w:sz w:val="20"/>
          <w:lang w:eastAsia="en-AU"/>
        </w:rPr>
        <w:tab/>
      </w:r>
      <w:r w:rsidR="00A06A0C" w:rsidRPr="00FD36E3">
        <w:rPr>
          <w:lang w:eastAsia="en-AU"/>
        </w:rPr>
        <w:t xml:space="preserve">The relevant question arising out of </w:t>
      </w:r>
      <w:r w:rsidR="000E17C4" w:rsidRPr="00FD36E3">
        <w:rPr>
          <w:i/>
          <w:iCs/>
          <w:lang w:eastAsia="en-AU"/>
        </w:rPr>
        <w:t>Ogle</w:t>
      </w:r>
      <w:r w:rsidR="00A06A0C" w:rsidRPr="00FD36E3">
        <w:rPr>
          <w:lang w:eastAsia="en-AU"/>
        </w:rPr>
        <w:t xml:space="preserve"> is whether the matters agitated by Dr Fidge are a necessary incident of being a medical practitioner. That question, of course, </w:t>
      </w:r>
      <w:r w:rsidR="00EF5410" w:rsidRPr="00FD36E3">
        <w:rPr>
          <w:lang w:eastAsia="en-AU"/>
        </w:rPr>
        <w:t xml:space="preserve">may </w:t>
      </w:r>
      <w:r w:rsidR="00A06A0C" w:rsidRPr="00FD36E3">
        <w:rPr>
          <w:lang w:eastAsia="en-AU"/>
        </w:rPr>
        <w:t xml:space="preserve">depend on how broadly one characterises </w:t>
      </w:r>
      <w:r w:rsidR="00DD77E8" w:rsidRPr="00FD36E3">
        <w:rPr>
          <w:lang w:eastAsia="en-AU"/>
        </w:rPr>
        <w:t>the action taken by Dr Fidge: is it a necessary incident of being a medical practitioner to challenge contraventions of the G</w:t>
      </w:r>
      <w:r w:rsidR="005D073B" w:rsidRPr="00FD36E3">
        <w:rPr>
          <w:lang w:eastAsia="en-AU"/>
        </w:rPr>
        <w:t>TA</w:t>
      </w:r>
      <w:r w:rsidR="00DD77E8" w:rsidRPr="00FD36E3">
        <w:rPr>
          <w:lang w:eastAsia="en-AU"/>
        </w:rPr>
        <w:t xml:space="preserve"> or, more broadly, to challenge the breach of any </w:t>
      </w:r>
      <w:r w:rsidR="000E17C4" w:rsidRPr="00FD36E3">
        <w:rPr>
          <w:lang w:eastAsia="en-AU"/>
        </w:rPr>
        <w:t>statute</w:t>
      </w:r>
      <w:r w:rsidR="00DD77E8" w:rsidRPr="00FD36E3">
        <w:rPr>
          <w:lang w:eastAsia="en-AU"/>
        </w:rPr>
        <w:t xml:space="preserve"> if that </w:t>
      </w:r>
      <w:r w:rsidR="000E17C4" w:rsidRPr="00FD36E3">
        <w:rPr>
          <w:lang w:eastAsia="en-AU"/>
        </w:rPr>
        <w:t>statute</w:t>
      </w:r>
      <w:r w:rsidR="00DD77E8" w:rsidRPr="00FD36E3">
        <w:rPr>
          <w:lang w:eastAsia="en-AU"/>
        </w:rPr>
        <w:t xml:space="preserve"> is intended to protect the health and safety of the general public and the breaches in question </w:t>
      </w:r>
      <w:r w:rsidR="00FC4FC2" w:rsidRPr="00FD36E3">
        <w:rPr>
          <w:lang w:eastAsia="en-AU"/>
        </w:rPr>
        <w:t>may pose risks to that health and safety</w:t>
      </w:r>
      <w:r w:rsidR="007B0F7F" w:rsidRPr="00FD36E3">
        <w:rPr>
          <w:lang w:eastAsia="en-AU"/>
        </w:rPr>
        <w:t>?</w:t>
      </w:r>
    </w:p>
    <w:p w14:paraId="25764298" w14:textId="0E24E145" w:rsidR="00DD77E8" w:rsidRPr="00FD36E3" w:rsidRDefault="0026564F" w:rsidP="0026564F">
      <w:pPr>
        <w:pStyle w:val="ParaNumbering"/>
        <w:numPr>
          <w:ilvl w:val="0"/>
          <w:numId w:val="0"/>
        </w:numPr>
        <w:tabs>
          <w:tab w:val="left" w:pos="720"/>
        </w:tabs>
        <w:ind w:hanging="720"/>
        <w:rPr>
          <w:i/>
          <w:iCs/>
          <w:lang w:eastAsia="en-AU"/>
        </w:rPr>
      </w:pPr>
      <w:r w:rsidRPr="00FD36E3">
        <w:rPr>
          <w:sz w:val="20"/>
          <w:lang w:eastAsia="en-AU"/>
        </w:rPr>
        <w:t>132</w:t>
      </w:r>
      <w:r w:rsidRPr="00FD36E3">
        <w:rPr>
          <w:sz w:val="20"/>
          <w:lang w:eastAsia="en-AU"/>
        </w:rPr>
        <w:tab/>
      </w:r>
      <w:r w:rsidR="00DD77E8" w:rsidRPr="00FD36E3">
        <w:rPr>
          <w:lang w:eastAsia="en-AU"/>
        </w:rPr>
        <w:t xml:space="preserve">Kenny J said in </w:t>
      </w:r>
      <w:proofErr w:type="spellStart"/>
      <w:r w:rsidR="00DD77E8" w:rsidRPr="00FD36E3">
        <w:rPr>
          <w:i/>
          <w:iCs/>
          <w:lang w:eastAsia="en-AU"/>
        </w:rPr>
        <w:t>Antsis</w:t>
      </w:r>
      <w:proofErr w:type="spellEnd"/>
      <w:r w:rsidR="00DD77E8" w:rsidRPr="00FD36E3">
        <w:rPr>
          <w:i/>
          <w:iCs/>
          <w:lang w:eastAsia="en-AU"/>
        </w:rPr>
        <w:t xml:space="preserve"> </w:t>
      </w:r>
      <w:r w:rsidR="00DD77E8" w:rsidRPr="00FD36E3">
        <w:rPr>
          <w:lang w:eastAsia="en-AU"/>
        </w:rPr>
        <w:t>at</w:t>
      </w:r>
      <w:r w:rsidR="00FC4FC2" w:rsidRPr="00FD36E3">
        <w:rPr>
          <w:lang w:eastAsia="en-AU"/>
        </w:rPr>
        <w:t xml:space="preserve"> [28]</w:t>
      </w:r>
      <w:r w:rsidR="00DD77E8" w:rsidRPr="00FD36E3">
        <w:rPr>
          <w:lang w:eastAsia="en-AU"/>
        </w:rPr>
        <w:t>:</w:t>
      </w:r>
    </w:p>
    <w:p w14:paraId="07586F4D" w14:textId="2924E027" w:rsidR="00FC4FC2" w:rsidRPr="00FD36E3" w:rsidRDefault="00DD77E8" w:rsidP="00062E9F">
      <w:pPr>
        <w:pStyle w:val="Quote1"/>
        <w:rPr>
          <w:i/>
          <w:iCs/>
          <w:lang w:eastAsia="en-AU"/>
        </w:rPr>
      </w:pPr>
      <w:r w:rsidRPr="00FD36E3">
        <w:rPr>
          <w:lang w:eastAsia="en-AU"/>
        </w:rPr>
        <w:t>Since opposition to blasphemy was "a necessary incident of their [Christian] vocation", the appellants were, so the Full Court held, "persons aggrieved" within the meaning of s</w:t>
      </w:r>
      <w:r w:rsidR="00103411">
        <w:rPr>
          <w:lang w:eastAsia="en-AU"/>
        </w:rPr>
        <w:t xml:space="preserve"> </w:t>
      </w:r>
      <w:r w:rsidRPr="00FD36E3">
        <w:rPr>
          <w:lang w:eastAsia="en-AU"/>
        </w:rPr>
        <w:t xml:space="preserve">5(1) of the ADJR Act by a decision of the Censorship Board to allow the importation into Australia of what the appellants claimed to be a blasphemous film. The decision in </w:t>
      </w:r>
      <w:r w:rsidRPr="00143497">
        <w:rPr>
          <w:i/>
          <w:iCs/>
          <w:lang w:eastAsia="en-AU"/>
        </w:rPr>
        <w:t>Ogle v Strickland</w:t>
      </w:r>
      <w:r w:rsidRPr="00FD36E3">
        <w:rPr>
          <w:lang w:eastAsia="en-AU"/>
        </w:rPr>
        <w:t xml:space="preserve"> is, plainly enough, distinguishable from the present case. The applicant does not claim, for instance, that it is a necessary incident of his profession that he oppose every departmental statement concerning the </w:t>
      </w:r>
      <w:r w:rsidRPr="007E77EC">
        <w:rPr>
          <w:i/>
          <w:iCs/>
          <w:lang w:eastAsia="en-AU"/>
        </w:rPr>
        <w:t>Social Security Act</w:t>
      </w:r>
      <w:r w:rsidRPr="00FD36E3">
        <w:rPr>
          <w:lang w:eastAsia="en-AU"/>
        </w:rPr>
        <w:t xml:space="preserve"> which he considers to be legally erroneous.</w:t>
      </w:r>
    </w:p>
    <w:p w14:paraId="0C098269" w14:textId="5477AC96" w:rsidR="00F01843" w:rsidRPr="00EC1B6B" w:rsidRDefault="0026564F" w:rsidP="0026564F">
      <w:pPr>
        <w:pStyle w:val="ParaNumbering"/>
        <w:numPr>
          <w:ilvl w:val="0"/>
          <w:numId w:val="0"/>
        </w:numPr>
        <w:tabs>
          <w:tab w:val="left" w:pos="720"/>
        </w:tabs>
        <w:ind w:hanging="720"/>
        <w:rPr>
          <w:i/>
          <w:iCs/>
          <w:lang w:eastAsia="en-AU"/>
        </w:rPr>
      </w:pPr>
      <w:r w:rsidRPr="00EC1B6B">
        <w:rPr>
          <w:sz w:val="20"/>
          <w:lang w:eastAsia="en-AU"/>
        </w:rPr>
        <w:t>133</w:t>
      </w:r>
      <w:r w:rsidRPr="00EC1B6B">
        <w:rPr>
          <w:sz w:val="20"/>
          <w:lang w:eastAsia="en-AU"/>
        </w:rPr>
        <w:tab/>
      </w:r>
      <w:r w:rsidR="00CB726E" w:rsidRPr="00EC1B6B">
        <w:rPr>
          <w:lang w:eastAsia="en-AU"/>
        </w:rPr>
        <w:t xml:space="preserve">In the terms couched by Kenny J in </w:t>
      </w:r>
      <w:proofErr w:type="spellStart"/>
      <w:r w:rsidR="00CB726E" w:rsidRPr="00EC1B6B">
        <w:rPr>
          <w:i/>
          <w:iCs/>
          <w:lang w:eastAsia="en-AU"/>
        </w:rPr>
        <w:t>Antsis</w:t>
      </w:r>
      <w:proofErr w:type="spellEnd"/>
      <w:r w:rsidR="00CB726E" w:rsidRPr="00EC1B6B">
        <w:rPr>
          <w:lang w:eastAsia="en-AU"/>
        </w:rPr>
        <w:t>, it is not a necessary incident of</w:t>
      </w:r>
      <w:r w:rsidR="004E73DA" w:rsidRPr="00EC1B6B">
        <w:rPr>
          <w:lang w:eastAsia="en-AU"/>
        </w:rPr>
        <w:t xml:space="preserve"> the medical </w:t>
      </w:r>
      <w:r w:rsidR="00CB726E" w:rsidRPr="00EC1B6B">
        <w:rPr>
          <w:lang w:eastAsia="en-AU"/>
        </w:rPr>
        <w:t xml:space="preserve">profession that </w:t>
      </w:r>
      <w:r w:rsidR="004E73DA" w:rsidRPr="00EC1B6B">
        <w:rPr>
          <w:lang w:eastAsia="en-AU"/>
        </w:rPr>
        <w:t>doctors</w:t>
      </w:r>
      <w:r w:rsidR="00CB726E" w:rsidRPr="00EC1B6B">
        <w:rPr>
          <w:lang w:eastAsia="en-AU"/>
        </w:rPr>
        <w:t xml:space="preserve"> oppose </w:t>
      </w:r>
      <w:r w:rsidR="00D10CFA" w:rsidRPr="00EC1B6B">
        <w:rPr>
          <w:lang w:eastAsia="en-AU"/>
        </w:rPr>
        <w:t xml:space="preserve">any or every breach of legislation that may (in their view) pose a risk to the health and safety of people. </w:t>
      </w:r>
      <w:r w:rsidR="003E1F74" w:rsidRPr="00EC1B6B">
        <w:rPr>
          <w:lang w:eastAsia="en-AU"/>
        </w:rPr>
        <w:t xml:space="preserve">The sources of obligation referred to by Dr Fidge </w:t>
      </w:r>
      <w:r w:rsidR="00BC4322" w:rsidRPr="00EC1B6B">
        <w:rPr>
          <w:lang w:eastAsia="en-AU"/>
        </w:rPr>
        <w:t>—</w:t>
      </w:r>
      <w:r w:rsidR="004806D5" w:rsidRPr="00EC1B6B">
        <w:rPr>
          <w:lang w:eastAsia="en-AU"/>
        </w:rPr>
        <w:t xml:space="preserve"> </w:t>
      </w:r>
      <w:r w:rsidR="003E1F74" w:rsidRPr="00EC1B6B">
        <w:rPr>
          <w:lang w:eastAsia="en-AU"/>
        </w:rPr>
        <w:t>the A</w:t>
      </w:r>
      <w:r w:rsidR="004806D5" w:rsidRPr="00EC1B6B">
        <w:rPr>
          <w:lang w:eastAsia="en-AU"/>
        </w:rPr>
        <w:t>H</w:t>
      </w:r>
      <w:r w:rsidR="003E1F74" w:rsidRPr="00EC1B6B">
        <w:rPr>
          <w:lang w:eastAsia="en-AU"/>
        </w:rPr>
        <w:t xml:space="preserve">PRA </w:t>
      </w:r>
      <w:r w:rsidR="004806D5" w:rsidRPr="00EC1B6B">
        <w:rPr>
          <w:lang w:eastAsia="en-AU"/>
        </w:rPr>
        <w:t>Code of Conduct</w:t>
      </w:r>
      <w:r w:rsidR="003E1F74" w:rsidRPr="00EC1B6B">
        <w:rPr>
          <w:lang w:eastAsia="en-AU"/>
        </w:rPr>
        <w:t>,</w:t>
      </w:r>
      <w:r w:rsidR="004806D5" w:rsidRPr="00EC1B6B">
        <w:rPr>
          <w:lang w:eastAsia="en-AU"/>
        </w:rPr>
        <w:t xml:space="preserve"> Hippocratic O</w:t>
      </w:r>
      <w:r w:rsidR="003E1F74" w:rsidRPr="00EC1B6B">
        <w:rPr>
          <w:lang w:eastAsia="en-AU"/>
        </w:rPr>
        <w:t>ath</w:t>
      </w:r>
      <w:r w:rsidR="004806D5" w:rsidRPr="00EC1B6B">
        <w:rPr>
          <w:lang w:eastAsia="en-AU"/>
        </w:rPr>
        <w:t xml:space="preserve"> </w:t>
      </w:r>
      <w:r w:rsidR="00BC4322" w:rsidRPr="00EC1B6B">
        <w:rPr>
          <w:lang w:eastAsia="en-AU"/>
        </w:rPr>
        <w:t xml:space="preserve">and </w:t>
      </w:r>
      <w:r w:rsidR="004806D5" w:rsidRPr="00EC1B6B">
        <w:rPr>
          <w:lang w:eastAsia="en-AU"/>
        </w:rPr>
        <w:t>AMA</w:t>
      </w:r>
      <w:r w:rsidR="003E1F74" w:rsidRPr="00EC1B6B">
        <w:rPr>
          <w:lang w:eastAsia="en-AU"/>
        </w:rPr>
        <w:t xml:space="preserve"> </w:t>
      </w:r>
      <w:r w:rsidR="004806D5" w:rsidRPr="00EC1B6B">
        <w:rPr>
          <w:lang w:eastAsia="en-AU"/>
        </w:rPr>
        <w:t>C</w:t>
      </w:r>
      <w:r w:rsidR="003E1F74" w:rsidRPr="00EC1B6B">
        <w:rPr>
          <w:lang w:eastAsia="en-AU"/>
        </w:rPr>
        <w:t xml:space="preserve">ode of </w:t>
      </w:r>
      <w:r w:rsidR="004806D5" w:rsidRPr="00EC1B6B">
        <w:rPr>
          <w:lang w:eastAsia="en-AU"/>
        </w:rPr>
        <w:t>Ethics</w:t>
      </w:r>
      <w:r w:rsidR="003E1F74" w:rsidRPr="00EC1B6B">
        <w:rPr>
          <w:lang w:eastAsia="en-AU"/>
        </w:rPr>
        <w:t xml:space="preserve"> </w:t>
      </w:r>
      <w:r w:rsidR="00BC4322" w:rsidRPr="00EC1B6B">
        <w:rPr>
          <w:lang w:eastAsia="en-AU"/>
        </w:rPr>
        <w:t>—</w:t>
      </w:r>
      <w:r w:rsidR="003E1F74" w:rsidRPr="00EC1B6B">
        <w:rPr>
          <w:lang w:eastAsia="en-AU"/>
        </w:rPr>
        <w:t xml:space="preserve"> do not require doctors to challenge alleged breaches of legislation</w:t>
      </w:r>
      <w:r w:rsidR="00561A60" w:rsidRPr="00EC1B6B">
        <w:rPr>
          <w:lang w:eastAsia="en-AU"/>
        </w:rPr>
        <w:t xml:space="preserve"> in order to “do no harm” or </w:t>
      </w:r>
      <w:r w:rsidR="00804B70" w:rsidRPr="00EC1B6B">
        <w:rPr>
          <w:lang w:eastAsia="en-AU"/>
        </w:rPr>
        <w:t xml:space="preserve">properly </w:t>
      </w:r>
      <w:r w:rsidR="00561A60" w:rsidRPr="00EC1B6B">
        <w:rPr>
          <w:lang w:eastAsia="en-AU"/>
        </w:rPr>
        <w:t>inform their patients</w:t>
      </w:r>
      <w:r w:rsidR="003E1F74" w:rsidRPr="00EC1B6B">
        <w:rPr>
          <w:lang w:eastAsia="en-AU"/>
        </w:rPr>
        <w:t>. It</w:t>
      </w:r>
      <w:r w:rsidR="00D10CFA" w:rsidRPr="00EC1B6B">
        <w:rPr>
          <w:lang w:eastAsia="en-AU"/>
        </w:rPr>
        <w:t xml:space="preserve"> is certainly not </w:t>
      </w:r>
      <w:r w:rsidR="00035DC4" w:rsidRPr="00EC1B6B">
        <w:rPr>
          <w:lang w:eastAsia="en-AU"/>
        </w:rPr>
        <w:t>a</w:t>
      </w:r>
      <w:r w:rsidR="00D10CFA" w:rsidRPr="00EC1B6B">
        <w:rPr>
          <w:lang w:eastAsia="en-AU"/>
        </w:rPr>
        <w:t xml:space="preserve"> necessary incident of being a doctor </w:t>
      </w:r>
      <w:r w:rsidR="00126D87" w:rsidRPr="00EC1B6B">
        <w:rPr>
          <w:lang w:eastAsia="en-AU"/>
        </w:rPr>
        <w:t xml:space="preserve">to </w:t>
      </w:r>
      <w:r w:rsidR="00C348B7" w:rsidRPr="00EC1B6B">
        <w:rPr>
          <w:lang w:eastAsia="en-AU"/>
        </w:rPr>
        <w:t>challenge alleged breaches of the GTA.</w:t>
      </w:r>
      <w:r w:rsidR="00CB6592" w:rsidRPr="00EC1B6B">
        <w:rPr>
          <w:lang w:eastAsia="en-AU"/>
        </w:rPr>
        <w:t xml:space="preserve"> </w:t>
      </w:r>
      <w:r w:rsidR="00B9450F" w:rsidRPr="00EC1B6B">
        <w:rPr>
          <w:lang w:eastAsia="en-AU"/>
        </w:rPr>
        <w:t xml:space="preserve">Nor do doctors have a professional obligation to </w:t>
      </w:r>
      <w:r w:rsidR="006868E0" w:rsidRPr="00EC1B6B">
        <w:rPr>
          <w:lang w:eastAsia="en-AU"/>
        </w:rPr>
        <w:t>“</w:t>
      </w:r>
      <w:r w:rsidR="00B9450F" w:rsidRPr="00EC1B6B">
        <w:t>speak for all members of the Australian community</w:t>
      </w:r>
      <w:r w:rsidR="006868E0" w:rsidRPr="00EC1B6B">
        <w:t>”</w:t>
      </w:r>
      <w:r w:rsidR="00B9450F" w:rsidRPr="00EC1B6B">
        <w:t xml:space="preserve"> about potential health risks</w:t>
      </w:r>
      <w:r w:rsidR="006868E0" w:rsidRPr="00EC1B6B">
        <w:t xml:space="preserve">. </w:t>
      </w:r>
    </w:p>
    <w:p w14:paraId="1C735B18" w14:textId="55EBDC85" w:rsidR="00CB726E" w:rsidRPr="00FD36E3" w:rsidRDefault="0026564F" w:rsidP="0026564F">
      <w:pPr>
        <w:pStyle w:val="ParaNumbering"/>
        <w:numPr>
          <w:ilvl w:val="0"/>
          <w:numId w:val="0"/>
        </w:numPr>
        <w:tabs>
          <w:tab w:val="left" w:pos="720"/>
        </w:tabs>
        <w:ind w:hanging="720"/>
        <w:rPr>
          <w:i/>
          <w:iCs/>
          <w:lang w:eastAsia="en-AU"/>
        </w:rPr>
      </w:pPr>
      <w:r w:rsidRPr="00FD36E3">
        <w:rPr>
          <w:sz w:val="20"/>
          <w:lang w:eastAsia="en-AU"/>
        </w:rPr>
        <w:t>134</w:t>
      </w:r>
      <w:r w:rsidRPr="00FD36E3">
        <w:rPr>
          <w:sz w:val="20"/>
          <w:lang w:eastAsia="en-AU"/>
        </w:rPr>
        <w:tab/>
      </w:r>
      <w:r w:rsidR="00CB726E" w:rsidRPr="00FD36E3">
        <w:rPr>
          <w:lang w:eastAsia="en-AU"/>
        </w:rPr>
        <w:t xml:space="preserve">Dr Fidge’s concern </w:t>
      </w:r>
      <w:r w:rsidR="00D24F3C" w:rsidRPr="00FD36E3">
        <w:rPr>
          <w:lang w:eastAsia="en-AU"/>
        </w:rPr>
        <w:t xml:space="preserve">ultimately arises from </w:t>
      </w:r>
      <w:r w:rsidR="00CB726E" w:rsidRPr="00FD36E3">
        <w:rPr>
          <w:lang w:eastAsia="en-AU"/>
        </w:rPr>
        <w:t>a sense of moral obligation</w:t>
      </w:r>
      <w:r w:rsidR="00960A2B">
        <w:rPr>
          <w:lang w:eastAsia="en-AU"/>
        </w:rPr>
        <w:t>,</w:t>
      </w:r>
      <w:r w:rsidR="00CB726E" w:rsidRPr="00FD36E3">
        <w:rPr>
          <w:lang w:eastAsia="en-AU"/>
        </w:rPr>
        <w:t xml:space="preserve"> not professional obligation</w:t>
      </w:r>
      <w:r w:rsidR="00D24F3C" w:rsidRPr="00FD36E3">
        <w:rPr>
          <w:lang w:eastAsia="en-AU"/>
        </w:rPr>
        <w:t xml:space="preserve"> or legal duty imposed on him as a medical practitioner</w:t>
      </w:r>
      <w:r w:rsidR="00CB726E" w:rsidRPr="00FD36E3">
        <w:rPr>
          <w:lang w:eastAsia="en-AU"/>
        </w:rPr>
        <w:t xml:space="preserve">. Although the </w:t>
      </w:r>
      <w:r w:rsidR="00960A2B">
        <w:rPr>
          <w:lang w:eastAsia="en-AU"/>
        </w:rPr>
        <w:t>m</w:t>
      </w:r>
      <w:r w:rsidR="00CB726E" w:rsidRPr="00FD36E3">
        <w:rPr>
          <w:lang w:eastAsia="en-AU"/>
        </w:rPr>
        <w:t xml:space="preserve">inisters in </w:t>
      </w:r>
      <w:r w:rsidR="00CB726E" w:rsidRPr="00FD36E3">
        <w:rPr>
          <w:i/>
          <w:iCs/>
          <w:lang w:eastAsia="en-AU"/>
        </w:rPr>
        <w:t>Ogle</w:t>
      </w:r>
      <w:r w:rsidR="00CB726E" w:rsidRPr="00FD36E3">
        <w:rPr>
          <w:lang w:eastAsia="en-AU"/>
        </w:rPr>
        <w:t xml:space="preserve"> may have felt </w:t>
      </w:r>
      <w:r w:rsidR="00D24F3C" w:rsidRPr="00FD36E3">
        <w:rPr>
          <w:lang w:eastAsia="en-AU"/>
        </w:rPr>
        <w:t xml:space="preserve">that </w:t>
      </w:r>
      <w:r w:rsidR="00CB726E" w:rsidRPr="00FD36E3">
        <w:rPr>
          <w:lang w:eastAsia="en-AU"/>
        </w:rPr>
        <w:t xml:space="preserve">they had a moral obligation to challenge the decision of the </w:t>
      </w:r>
      <w:r w:rsidR="00436BB7" w:rsidRPr="00FD36E3">
        <w:rPr>
          <w:lang w:eastAsia="en-AU"/>
        </w:rPr>
        <w:t>Censorship</w:t>
      </w:r>
      <w:r w:rsidR="001200E8" w:rsidRPr="00FD36E3">
        <w:rPr>
          <w:lang w:eastAsia="en-AU"/>
        </w:rPr>
        <w:t xml:space="preserve"> </w:t>
      </w:r>
      <w:r w:rsidR="00CB726E" w:rsidRPr="00FD36E3">
        <w:rPr>
          <w:lang w:eastAsia="en-AU"/>
        </w:rPr>
        <w:t xml:space="preserve">Board, the majority in </w:t>
      </w:r>
      <w:r w:rsidR="00CB726E" w:rsidRPr="00FD36E3">
        <w:rPr>
          <w:i/>
          <w:iCs/>
          <w:lang w:eastAsia="en-AU"/>
        </w:rPr>
        <w:t>Ogle</w:t>
      </w:r>
      <w:r w:rsidR="00CB726E" w:rsidRPr="00FD36E3">
        <w:rPr>
          <w:lang w:eastAsia="en-AU"/>
        </w:rPr>
        <w:t xml:space="preserve"> did not hold that a moral obligation is sufficient to establish standing</w:t>
      </w:r>
      <w:r w:rsidR="00E8127C">
        <w:rPr>
          <w:lang w:eastAsia="en-AU"/>
        </w:rPr>
        <w:t>.</w:t>
      </w:r>
      <w:r w:rsidR="00CB726E" w:rsidRPr="00FD36E3">
        <w:rPr>
          <w:lang w:eastAsia="en-AU"/>
        </w:rPr>
        <w:t xml:space="preserve"> </w:t>
      </w:r>
      <w:r w:rsidR="00804B70">
        <w:rPr>
          <w:lang w:eastAsia="en-AU"/>
        </w:rPr>
        <w:t>Lockhart J and Fisher J’s</w:t>
      </w:r>
      <w:r w:rsidR="001200E8" w:rsidRPr="00FD36E3">
        <w:rPr>
          <w:lang w:eastAsia="en-AU"/>
        </w:rPr>
        <w:t xml:space="preserve"> decision</w:t>
      </w:r>
      <w:r w:rsidR="00804B70">
        <w:rPr>
          <w:lang w:eastAsia="en-AU"/>
        </w:rPr>
        <w:t>s</w:t>
      </w:r>
      <w:r w:rsidR="00CB726E" w:rsidRPr="00FD36E3">
        <w:rPr>
          <w:lang w:eastAsia="en-AU"/>
        </w:rPr>
        <w:t xml:space="preserve"> w</w:t>
      </w:r>
      <w:r w:rsidR="00804B70">
        <w:rPr>
          <w:lang w:eastAsia="en-AU"/>
        </w:rPr>
        <w:t>ere</w:t>
      </w:r>
      <w:r w:rsidR="00CB726E" w:rsidRPr="00FD36E3">
        <w:rPr>
          <w:lang w:eastAsia="en-AU"/>
        </w:rPr>
        <w:t xml:space="preserve"> confined </w:t>
      </w:r>
      <w:r w:rsidR="001200E8" w:rsidRPr="00FD36E3">
        <w:rPr>
          <w:lang w:eastAsia="en-AU"/>
        </w:rPr>
        <w:t xml:space="preserve">to </w:t>
      </w:r>
      <w:r w:rsidR="00B94FA7" w:rsidRPr="00FD36E3">
        <w:rPr>
          <w:lang w:eastAsia="en-AU"/>
        </w:rPr>
        <w:t xml:space="preserve">whether the interest arose as a </w:t>
      </w:r>
      <w:r w:rsidR="00CB726E" w:rsidRPr="00FD36E3">
        <w:rPr>
          <w:lang w:eastAsia="en-AU"/>
        </w:rPr>
        <w:t xml:space="preserve">necessary incident of a vocation or profession. </w:t>
      </w:r>
      <w:r w:rsidR="003778F5">
        <w:rPr>
          <w:lang w:eastAsia="en-AU"/>
        </w:rPr>
        <w:t>A</w:t>
      </w:r>
      <w:r w:rsidR="00CB726E" w:rsidRPr="00FD36E3">
        <w:rPr>
          <w:lang w:eastAsia="en-AU"/>
        </w:rPr>
        <w:t xml:space="preserve"> moral concern is not sufficient for standing</w:t>
      </w:r>
      <w:r w:rsidR="00B94FA7" w:rsidRPr="00FD36E3">
        <w:rPr>
          <w:lang w:eastAsia="en-AU"/>
        </w:rPr>
        <w:t xml:space="preserve"> and therefore the applicant lacks standing to bring this action. </w:t>
      </w:r>
    </w:p>
    <w:p w14:paraId="430A1721" w14:textId="3AFB4DFE" w:rsidR="00FE7FC5" w:rsidRPr="00FD36E3" w:rsidRDefault="0026564F" w:rsidP="0026564F">
      <w:pPr>
        <w:pStyle w:val="Heading5"/>
        <w:numPr>
          <w:ilvl w:val="0"/>
          <w:numId w:val="0"/>
        </w:numPr>
        <w:tabs>
          <w:tab w:val="left" w:pos="1134"/>
        </w:tabs>
        <w:ind w:left="1134" w:hanging="1134"/>
      </w:pPr>
      <w:r w:rsidRPr="00FD36E3">
        <w:lastRenderedPageBreak/>
        <w:t>7.</w:t>
      </w:r>
      <w:r w:rsidRPr="00FD36E3">
        <w:tab/>
      </w:r>
      <w:r w:rsidR="00B00D8C" w:rsidRPr="00FD36E3">
        <w:t xml:space="preserve">CONCLUSION </w:t>
      </w:r>
    </w:p>
    <w:p w14:paraId="678455F1" w14:textId="073297EF" w:rsidR="00116C51" w:rsidRPr="00FD36E3" w:rsidRDefault="0026564F" w:rsidP="0026564F">
      <w:pPr>
        <w:pStyle w:val="ParaNumbering"/>
        <w:numPr>
          <w:ilvl w:val="0"/>
          <w:numId w:val="0"/>
        </w:numPr>
        <w:tabs>
          <w:tab w:val="left" w:pos="720"/>
        </w:tabs>
        <w:ind w:hanging="720"/>
      </w:pPr>
      <w:r w:rsidRPr="00FD36E3">
        <w:rPr>
          <w:sz w:val="20"/>
        </w:rPr>
        <w:t>135</w:t>
      </w:r>
      <w:r w:rsidRPr="00FD36E3">
        <w:rPr>
          <w:sz w:val="20"/>
        </w:rPr>
        <w:tab/>
      </w:r>
      <w:r w:rsidR="00116C51" w:rsidRPr="00FD36E3">
        <w:t xml:space="preserve">This case essentially concerns an applicant who holds strong </w:t>
      </w:r>
      <w:r w:rsidR="00146F8D">
        <w:t xml:space="preserve">personal </w:t>
      </w:r>
      <w:r w:rsidR="00116C51" w:rsidRPr="00FD36E3">
        <w:t xml:space="preserve">beliefs that </w:t>
      </w:r>
      <w:r w:rsidR="00357D70">
        <w:t xml:space="preserve">the Pfizer and Moderna </w:t>
      </w:r>
      <w:r w:rsidR="00116C51" w:rsidRPr="00FD36E3">
        <w:t xml:space="preserve">vaccines are unsafe and seeks to have those vaccines prohibited in Australia. Instead of making an application under the relevant statute which regulates vaccines, the </w:t>
      </w:r>
      <w:r w:rsidR="00B00D8C" w:rsidRPr="00B67DC4">
        <w:t>Therapeutic Goods Act</w:t>
      </w:r>
      <w:r w:rsidR="00116C51" w:rsidRPr="00FD36E3">
        <w:t xml:space="preserve">, a path that some previous applicants who hold concerns about the safety of </w:t>
      </w:r>
      <w:r w:rsidR="006D02A9" w:rsidRPr="00FD36E3">
        <w:t>C</w:t>
      </w:r>
      <w:r w:rsidR="00116C51" w:rsidRPr="00FD36E3">
        <w:t xml:space="preserve">ovid-19 vaccines have recently </w:t>
      </w:r>
      <w:r w:rsidR="00EF302D" w:rsidRPr="00FD36E3">
        <w:t>and un</w:t>
      </w:r>
      <w:r w:rsidR="00116C51" w:rsidRPr="00FD36E3">
        <w:t xml:space="preserve">successfully pursued (see, </w:t>
      </w:r>
      <w:proofErr w:type="spellStart"/>
      <w:r w:rsidR="00116C51" w:rsidRPr="00FD36E3">
        <w:t>eg</w:t>
      </w:r>
      <w:proofErr w:type="spellEnd"/>
      <w:r w:rsidR="00116C51" w:rsidRPr="00FD36E3">
        <w:t xml:space="preserve">, </w:t>
      </w:r>
      <w:r w:rsidR="00116C51" w:rsidRPr="00FD36E3">
        <w:rPr>
          <w:i/>
          <w:iCs/>
        </w:rPr>
        <w:t>A</w:t>
      </w:r>
      <w:r w:rsidR="00EF302D" w:rsidRPr="00FD36E3">
        <w:rPr>
          <w:i/>
          <w:iCs/>
        </w:rPr>
        <w:t>V</w:t>
      </w:r>
      <w:r w:rsidR="00116C51" w:rsidRPr="00FD36E3">
        <w:rPr>
          <w:i/>
          <w:iCs/>
        </w:rPr>
        <w:t>N</w:t>
      </w:r>
      <w:r w:rsidR="00116C51" w:rsidRPr="00FD36E3">
        <w:t xml:space="preserve">), the applicant seeks an injunction under an </w:t>
      </w:r>
      <w:r w:rsidR="00EF302D" w:rsidRPr="00FD36E3">
        <w:t>a</w:t>
      </w:r>
      <w:r w:rsidR="00116C51" w:rsidRPr="00FD36E3">
        <w:t xml:space="preserve">ct that only tangentially deals with </w:t>
      </w:r>
      <w:r w:rsidR="00357D70">
        <w:t>GMO</w:t>
      </w:r>
      <w:r w:rsidR="00116C51" w:rsidRPr="00FD36E3">
        <w:t xml:space="preserve"> vaccines. That strategic decision </w:t>
      </w:r>
      <w:r w:rsidR="00EF302D" w:rsidRPr="00FD36E3">
        <w:t>may be</w:t>
      </w:r>
      <w:r w:rsidR="00116C51" w:rsidRPr="00FD36E3">
        <w:t xml:space="preserve"> understandable </w:t>
      </w:r>
      <w:r w:rsidR="00EF302D" w:rsidRPr="00FD36E3">
        <w:t>in light of the decision</w:t>
      </w:r>
      <w:r w:rsidR="00A40C43">
        <w:t>s</w:t>
      </w:r>
      <w:r w:rsidR="00EF302D" w:rsidRPr="00FD36E3">
        <w:t xml:space="preserve"> in </w:t>
      </w:r>
      <w:r w:rsidR="00EF302D" w:rsidRPr="00FD36E3">
        <w:rPr>
          <w:i/>
          <w:iCs/>
        </w:rPr>
        <w:t>AVN</w:t>
      </w:r>
      <w:r w:rsidR="00EF302D" w:rsidRPr="00FD36E3">
        <w:t xml:space="preserve"> </w:t>
      </w:r>
      <w:r w:rsidR="00A40C43">
        <w:t xml:space="preserve">and </w:t>
      </w:r>
      <w:r w:rsidR="00A40C43">
        <w:rPr>
          <w:i/>
          <w:iCs/>
        </w:rPr>
        <w:t>AVN FC</w:t>
      </w:r>
      <w:r w:rsidR="00A40C43">
        <w:t xml:space="preserve"> </w:t>
      </w:r>
      <w:r w:rsidR="00116C51" w:rsidRPr="00FD36E3">
        <w:t xml:space="preserve">but </w:t>
      </w:r>
      <w:r w:rsidR="00EF302D" w:rsidRPr="00FD36E3">
        <w:t xml:space="preserve">was </w:t>
      </w:r>
      <w:r w:rsidR="00116C51" w:rsidRPr="00FD36E3">
        <w:t xml:space="preserve">ultimately misguided. </w:t>
      </w:r>
    </w:p>
    <w:p w14:paraId="46F81C45" w14:textId="5A72F51F" w:rsidR="001802C7" w:rsidRPr="00FD36E3" w:rsidRDefault="0026564F" w:rsidP="0026564F">
      <w:pPr>
        <w:pStyle w:val="ParaNumbering"/>
        <w:numPr>
          <w:ilvl w:val="0"/>
          <w:numId w:val="0"/>
        </w:numPr>
        <w:tabs>
          <w:tab w:val="left" w:pos="720"/>
        </w:tabs>
        <w:ind w:hanging="720"/>
      </w:pPr>
      <w:r w:rsidRPr="00FD36E3">
        <w:rPr>
          <w:sz w:val="20"/>
        </w:rPr>
        <w:t>136</w:t>
      </w:r>
      <w:r w:rsidRPr="00FD36E3">
        <w:rPr>
          <w:sz w:val="20"/>
        </w:rPr>
        <w:tab/>
      </w:r>
      <w:r w:rsidR="00A85925" w:rsidRPr="00FD36E3">
        <w:t xml:space="preserve">For the reasons given above, the applicant has failed to establish that he is “any other aggrieved person” within the meaning of s 147(1) of the Act. </w:t>
      </w:r>
      <w:r w:rsidR="00151061" w:rsidRPr="00FD36E3">
        <w:t>The applicant lacks standing</w:t>
      </w:r>
      <w:r w:rsidR="006565D0" w:rsidRPr="00FD36E3">
        <w:t xml:space="preserve"> </w:t>
      </w:r>
      <w:r w:rsidR="00FE5066" w:rsidRPr="00FD36E3">
        <w:t xml:space="preserve">and therefore </w:t>
      </w:r>
      <w:r w:rsidR="002B26D0" w:rsidRPr="00FD36E3">
        <w:t xml:space="preserve">“has no reasonable prospect of successfully </w:t>
      </w:r>
      <w:r w:rsidR="001802C7" w:rsidRPr="00FD36E3">
        <w:t>prosecuting the proceeding” within the meaning of s 31A</w:t>
      </w:r>
      <w:r w:rsidR="00B651E2" w:rsidRPr="00FD36E3">
        <w:t>(2)(b) of the FCA Act and r 26.01(1)(a) of the Rules.</w:t>
      </w:r>
    </w:p>
    <w:p w14:paraId="5E205557" w14:textId="4B822284" w:rsidR="00B651E2" w:rsidRDefault="0026564F" w:rsidP="0026564F">
      <w:pPr>
        <w:pStyle w:val="ParaNumbering"/>
        <w:numPr>
          <w:ilvl w:val="0"/>
          <w:numId w:val="0"/>
        </w:numPr>
        <w:tabs>
          <w:tab w:val="left" w:pos="720"/>
        </w:tabs>
        <w:ind w:hanging="720"/>
      </w:pPr>
      <w:r>
        <w:rPr>
          <w:sz w:val="20"/>
        </w:rPr>
        <w:t>137</w:t>
      </w:r>
      <w:r>
        <w:rPr>
          <w:sz w:val="20"/>
        </w:rPr>
        <w:tab/>
      </w:r>
      <w:r w:rsidR="00B651E2" w:rsidRPr="00FD36E3">
        <w:t xml:space="preserve">Accordingly, the applicant’s application </w:t>
      </w:r>
      <w:r w:rsidR="00E13938" w:rsidRPr="00FD36E3">
        <w:t xml:space="preserve">for injunctive relief under the GTA </w:t>
      </w:r>
      <w:r w:rsidR="00B651E2" w:rsidRPr="00FD36E3">
        <w:t>is summarily dismissed.</w:t>
      </w:r>
      <w:r w:rsidR="008B058F">
        <w:t xml:space="preserve"> </w:t>
      </w:r>
    </w:p>
    <w:p w14:paraId="584E57CB" w14:textId="77777777" w:rsidR="00EC1B6B" w:rsidRDefault="00EC1B6B" w:rsidP="00815065">
      <w:pPr>
        <w:pStyle w:val="BodyText"/>
      </w:pPr>
      <w:bookmarkStart w:id="28" w:name="Certification"/>
    </w:p>
    <w:tbl>
      <w:tblPr>
        <w:tblW w:w="0" w:type="auto"/>
        <w:tblLook w:val="04A0" w:firstRow="1" w:lastRow="0" w:firstColumn="1" w:lastColumn="0" w:noHBand="0" w:noVBand="1"/>
      </w:tblPr>
      <w:tblGrid>
        <w:gridCol w:w="3794"/>
      </w:tblGrid>
      <w:tr w:rsidR="00EC1B6B" w:rsidRPr="00EC1B6B" w14:paraId="7CBC764E" w14:textId="77777777">
        <w:tc>
          <w:tcPr>
            <w:tcW w:w="3794" w:type="dxa"/>
            <w:shd w:val="clear" w:color="auto" w:fill="auto"/>
          </w:tcPr>
          <w:p w14:paraId="508AED3F" w14:textId="196B45FB" w:rsidR="00EC1B6B" w:rsidRPr="00EC1B6B" w:rsidRDefault="00EC1B6B" w:rsidP="00EC1B6B">
            <w:pPr>
              <w:pStyle w:val="Normal1linespace"/>
            </w:pPr>
            <w:r w:rsidRPr="00EC1B6B">
              <w:t xml:space="preserve">I certify that the preceding </w:t>
            </w:r>
            <w:bookmarkStart w:id="29" w:name="NumberWord"/>
            <w:r w:rsidR="00B93CB2">
              <w:t>one hundred and thirty-seven</w:t>
            </w:r>
            <w:bookmarkEnd w:id="29"/>
            <w:r w:rsidRPr="00EC1B6B">
              <w:t xml:space="preserve"> (</w:t>
            </w:r>
            <w:bookmarkStart w:id="30" w:name="NumberNumeral"/>
            <w:r w:rsidR="00B93CB2">
              <w:t>137</w:t>
            </w:r>
            <w:bookmarkEnd w:id="30"/>
            <w:r w:rsidRPr="00EC1B6B">
              <w:t xml:space="preserve">) numbered </w:t>
            </w:r>
            <w:bookmarkStart w:id="31" w:name="CertPara"/>
            <w:r w:rsidR="00B93CB2">
              <w:t>paragraphs are</w:t>
            </w:r>
            <w:bookmarkEnd w:id="31"/>
            <w:r w:rsidRPr="00EC1B6B">
              <w:t xml:space="preserve"> a true copy of the Reasons for Judgment of </w:t>
            </w:r>
            <w:bookmarkStart w:id="32" w:name="bkHonourable"/>
            <w:r w:rsidRPr="00EC1B6B">
              <w:t xml:space="preserve">the Honourable </w:t>
            </w:r>
            <w:bookmarkStart w:id="33" w:name="Justice"/>
            <w:bookmarkEnd w:id="32"/>
            <w:r>
              <w:t>Justice Rofe</w:t>
            </w:r>
            <w:bookmarkEnd w:id="33"/>
            <w:r w:rsidRPr="00EC1B6B">
              <w:t>.</w:t>
            </w:r>
          </w:p>
        </w:tc>
      </w:tr>
    </w:tbl>
    <w:p w14:paraId="6513882B" w14:textId="77777777" w:rsidR="00EC1B6B" w:rsidRDefault="00EC1B6B" w:rsidP="00815065">
      <w:pPr>
        <w:pStyle w:val="BodyText"/>
      </w:pPr>
    </w:p>
    <w:p w14:paraId="395BC0F3" w14:textId="77777777" w:rsidR="00EC1B6B" w:rsidRDefault="00EC1B6B" w:rsidP="00815065">
      <w:pPr>
        <w:pStyle w:val="BodyText"/>
      </w:pPr>
    </w:p>
    <w:p w14:paraId="1005F043" w14:textId="5EDB9056" w:rsidR="00EC1B6B" w:rsidRDefault="00EC1B6B" w:rsidP="00815065">
      <w:pPr>
        <w:pStyle w:val="BodyText"/>
      </w:pPr>
    </w:p>
    <w:p w14:paraId="4EDF06D7" w14:textId="700AB003" w:rsidR="00EC1B6B" w:rsidRDefault="00EC1B6B" w:rsidP="00815065">
      <w:pPr>
        <w:pStyle w:val="BodyText"/>
      </w:pPr>
      <w:r>
        <w:t>Associate:</w:t>
      </w:r>
    </w:p>
    <w:p w14:paraId="5D165167" w14:textId="2F3D1466" w:rsidR="00EC1B6B" w:rsidRDefault="00EC1B6B" w:rsidP="00815065">
      <w:pPr>
        <w:pStyle w:val="BodyText"/>
      </w:pPr>
    </w:p>
    <w:p w14:paraId="3C3DBA74" w14:textId="1E1C0D33" w:rsidR="00EC1B6B" w:rsidRDefault="00EC1B6B" w:rsidP="00815065">
      <w:pPr>
        <w:pStyle w:val="BodyText"/>
        <w:tabs>
          <w:tab w:val="left" w:pos="1134"/>
        </w:tabs>
      </w:pPr>
      <w:r>
        <w:t>Dated:</w:t>
      </w:r>
      <w:r>
        <w:tab/>
      </w:r>
      <w:bookmarkStart w:id="34" w:name="CertifyDated"/>
      <w:r>
        <w:t>1 March 2024</w:t>
      </w:r>
      <w:bookmarkEnd w:id="34"/>
    </w:p>
    <w:p w14:paraId="2726CC68" w14:textId="77777777" w:rsidR="00EC1B6B" w:rsidRDefault="00EC1B6B" w:rsidP="00815065">
      <w:pPr>
        <w:pStyle w:val="BodyText"/>
      </w:pPr>
    </w:p>
    <w:bookmarkEnd w:id="28"/>
    <w:p w14:paraId="2868D208" w14:textId="77777777" w:rsidR="00EC1B6B" w:rsidRDefault="00EC1B6B" w:rsidP="00EC1B6B">
      <w:pPr>
        <w:pStyle w:val="BodyText"/>
      </w:pPr>
    </w:p>
    <w:sectPr w:rsidR="00EC1B6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772A" w14:textId="77777777" w:rsidR="006254DA" w:rsidRDefault="006254DA">
      <w:pPr>
        <w:spacing w:line="20" w:lineRule="exact"/>
      </w:pPr>
    </w:p>
    <w:p w14:paraId="3BBC595B" w14:textId="77777777" w:rsidR="006254DA" w:rsidRDefault="006254DA"/>
    <w:p w14:paraId="43BCBC65" w14:textId="77777777" w:rsidR="006254DA" w:rsidRDefault="006254DA"/>
  </w:endnote>
  <w:endnote w:type="continuationSeparator" w:id="0">
    <w:p w14:paraId="63B571D6" w14:textId="77777777" w:rsidR="006254DA" w:rsidRDefault="006254DA">
      <w:r>
        <w:t xml:space="preserve"> </w:t>
      </w:r>
    </w:p>
    <w:p w14:paraId="42DD1AE6" w14:textId="77777777" w:rsidR="006254DA" w:rsidRDefault="006254DA"/>
    <w:p w14:paraId="375DC292" w14:textId="77777777" w:rsidR="006254DA" w:rsidRDefault="006254DA"/>
  </w:endnote>
  <w:endnote w:type="continuationNotice" w:id="1">
    <w:p w14:paraId="0C08FB61" w14:textId="77777777" w:rsidR="006254DA" w:rsidRDefault="006254DA">
      <w:r>
        <w:t xml:space="preserve"> </w:t>
      </w:r>
    </w:p>
    <w:p w14:paraId="4FA08257" w14:textId="77777777" w:rsidR="006254DA" w:rsidRDefault="006254DA"/>
    <w:p w14:paraId="5BB53618" w14:textId="77777777" w:rsidR="006254DA" w:rsidRDefault="0062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7435" w14:textId="77777777" w:rsidR="0026564F" w:rsidRDefault="0026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5CBE" w14:textId="4CA1A20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752" behindDoc="0" locked="0" layoutInCell="1" allowOverlap="1" wp14:anchorId="57BB030A" wp14:editId="3C708A9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F6628"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43F51">
          <w:rPr>
            <w:bCs/>
            <w:sz w:val="18"/>
            <w:szCs w:val="18"/>
          </w:rPr>
          <w:t>Fidge v Pfizer Australia Pty Ltd [2024] FCA 161</w:t>
        </w:r>
        <w:r w:rsidR="008B058F">
          <w:rPr>
            <w:bCs/>
            <w:sz w:val="18"/>
            <w:szCs w:val="1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2BEF" w14:textId="77777777" w:rsidR="0026564F" w:rsidRDefault="002656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42C6" w14:textId="5AE2BA5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728" behindDoc="0" locked="0" layoutInCell="1" allowOverlap="1" wp14:anchorId="4482D67F" wp14:editId="6A6B8CB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9564D"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CF312A2AEF14F248385FE78E4F895A6"/>
        </w:placeholder>
        <w:dataBinding w:prefixMappings="xmlns:ns0='http://schemas.globalmacros.com/FCA'" w:xpath="/ns0:root[1]/ns0:Name[1]" w:storeItemID="{687E7CCB-4AA5-44E7-B148-17BA2B6F57C0}"/>
        <w:text w:multiLine="1"/>
      </w:sdtPr>
      <w:sdtEndPr/>
      <w:sdtContent>
        <w:r w:rsidR="00943F51">
          <w:rPr>
            <w:bCs/>
            <w:sz w:val="18"/>
            <w:szCs w:val="18"/>
          </w:rPr>
          <w:t>Fidge v Pfizer Australia Pty Ltd [2024] FCA 161</w:t>
        </w:r>
        <w:r w:rsidR="008B058F">
          <w:rPr>
            <w:bCs/>
            <w:sz w:val="18"/>
            <w:szCs w:val="18"/>
          </w:rPr>
          <w:t xml:space="preserve">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8010" w14:textId="0C96F4E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656" behindDoc="0" locked="0" layoutInCell="1" allowOverlap="1" wp14:anchorId="3B024CBB" wp14:editId="62466C4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0AAFC"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642006DEDF1B4409B4F69C117FA05470"/>
        </w:placeholder>
        <w:dataBinding w:prefixMappings="xmlns:ns0='http://schemas.globalmacros.com/FCA'" w:xpath="/ns0:root[1]/ns0:Name[1]" w:storeItemID="{687E7CCB-4AA5-44E7-B148-17BA2B6F57C0}"/>
        <w:text w:multiLine="1"/>
      </w:sdtPr>
      <w:sdtEndPr/>
      <w:sdtContent>
        <w:r w:rsidR="00943F51">
          <w:rPr>
            <w:bCs/>
            <w:sz w:val="18"/>
            <w:szCs w:val="18"/>
          </w:rPr>
          <w:t>Fidge v Pfizer Australia Pty Ltd [2024] FCA 161</w:t>
        </w:r>
        <w:r w:rsidR="008B058F">
          <w:rPr>
            <w:bCs/>
            <w:sz w:val="18"/>
            <w:szCs w:val="18"/>
          </w:rPr>
          <w:t xml:space="preserve">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CA61" w14:textId="37306A2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0800" behindDoc="0" locked="0" layoutInCell="1" allowOverlap="1" wp14:anchorId="42B4275F" wp14:editId="145749F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615E"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F0F98266417F468AA267994744FB2E52"/>
        </w:placeholder>
        <w:dataBinding w:prefixMappings="xmlns:ns0='http://schemas.globalmacros.com/FCA'" w:xpath="/ns0:root[1]/ns0:Name[1]" w:storeItemID="{687E7CCB-4AA5-44E7-B148-17BA2B6F57C0}"/>
        <w:text w:multiLine="1"/>
      </w:sdtPr>
      <w:sdtEndPr/>
      <w:sdtContent>
        <w:r w:rsidR="00943F51">
          <w:rPr>
            <w:bCs/>
            <w:sz w:val="18"/>
            <w:szCs w:val="18"/>
          </w:rPr>
          <w:t>Fidge v Pfizer Australia Pty Ltd [2024] FCA 161</w:t>
        </w:r>
        <w:r w:rsidR="008B058F">
          <w:rPr>
            <w:bCs/>
            <w:sz w:val="18"/>
            <w:szCs w:val="18"/>
          </w:rPr>
          <w:t xml:space="preserve">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8154" w14:textId="6D275D6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776" behindDoc="0" locked="0" layoutInCell="1" allowOverlap="1" wp14:anchorId="73BD7C7E" wp14:editId="475DDFF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A717F"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FCEED57EEA314195A6E1C4DAE52999CA"/>
        </w:placeholder>
        <w:dataBinding w:prefixMappings="xmlns:ns0='http://schemas.globalmacros.com/FCA'" w:xpath="/ns0:root[1]/ns0:Name[1]" w:storeItemID="{687E7CCB-4AA5-44E7-B148-17BA2B6F57C0}"/>
        <w:text w:multiLine="1"/>
      </w:sdtPr>
      <w:sdtEndPr/>
      <w:sdtContent>
        <w:r w:rsidR="00943F51">
          <w:rPr>
            <w:bCs/>
            <w:sz w:val="18"/>
            <w:szCs w:val="18"/>
          </w:rPr>
          <w:t>Fidge v Pfizer Australia Pty Ltd [2024] FCA 161</w:t>
        </w:r>
        <w:r w:rsidR="008B058F">
          <w:rPr>
            <w:bCs/>
            <w:sz w:val="18"/>
            <w:szCs w:val="18"/>
          </w:rPr>
          <w:t xml:space="preserve">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14D9" w14:textId="77777777" w:rsidR="006254DA" w:rsidRDefault="006254DA"/>
  </w:footnote>
  <w:footnote w:type="continuationSeparator" w:id="0">
    <w:p w14:paraId="3F107BA8" w14:textId="77777777" w:rsidR="006254DA" w:rsidRDefault="006254DA">
      <w:r>
        <w:continuationSeparator/>
      </w:r>
    </w:p>
    <w:p w14:paraId="7664AFA6" w14:textId="77777777" w:rsidR="006254DA" w:rsidRDefault="006254DA"/>
    <w:p w14:paraId="0FB3686C" w14:textId="77777777" w:rsidR="006254DA" w:rsidRDefault="006254DA"/>
  </w:footnote>
  <w:footnote w:type="continuationNotice" w:id="1">
    <w:p w14:paraId="1D4CE000" w14:textId="77777777" w:rsidR="006254DA" w:rsidRDefault="006254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1E6B" w14:textId="77777777" w:rsidR="0026564F" w:rsidRDefault="0026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EE7" w14:textId="77777777" w:rsidR="0026564F" w:rsidRDefault="0026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E327" w14:textId="77777777" w:rsidR="0026564F" w:rsidRDefault="00265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105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83E9"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7548"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FB47"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A97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F6CA5B6C"/>
    <w:lvl w:ilvl="0" w:tplc="5B08D898">
      <w:start w:val="1"/>
      <w:numFmt w:val="lowerLetter"/>
      <w:lvlText w:val="(%1)"/>
      <w:lvlJc w:val="left"/>
      <w:pPr>
        <w:ind w:left="2160"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6962CED"/>
    <w:multiLevelType w:val="hybridMultilevel"/>
    <w:tmpl w:val="67EAD6DC"/>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D92892"/>
    <w:multiLevelType w:val="hybridMultilevel"/>
    <w:tmpl w:val="1D30283E"/>
    <w:lvl w:ilvl="0" w:tplc="E84A0BEE">
      <w:start w:val="1"/>
      <w:numFmt w:val="decimal"/>
      <w:lvlText w:val="(%1)"/>
      <w:lvlJc w:val="left"/>
      <w:pPr>
        <w:ind w:left="1097" w:hanging="360"/>
      </w:pPr>
      <w:rPr>
        <w:rFonts w:hint="default"/>
      </w:rPr>
    </w:lvl>
    <w:lvl w:ilvl="1" w:tplc="1CDC7B78">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263D3789"/>
    <w:multiLevelType w:val="hybridMultilevel"/>
    <w:tmpl w:val="59E880DA"/>
    <w:lvl w:ilvl="0" w:tplc="E84A0BEE">
      <w:start w:val="1"/>
      <w:numFmt w:val="decimal"/>
      <w:lvlText w:val="(%1)"/>
      <w:lvlJc w:val="left"/>
      <w:pPr>
        <w:ind w:left="1097" w:hanging="360"/>
      </w:pPr>
      <w:rPr>
        <w:rFonts w:hint="default"/>
      </w:rPr>
    </w:lvl>
    <w:lvl w:ilvl="1" w:tplc="CE4608CC">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7BA4806"/>
    <w:multiLevelType w:val="hybridMultilevel"/>
    <w:tmpl w:val="A5DEBA0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29AE3DD1"/>
    <w:multiLevelType w:val="singleLevel"/>
    <w:tmpl w:val="35FA3C2C"/>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2AF5380D"/>
    <w:multiLevelType w:val="hybridMultilevel"/>
    <w:tmpl w:val="28A835A8"/>
    <w:lvl w:ilvl="0" w:tplc="88A6E9B8">
      <w:start w:val="5"/>
      <w:numFmt w:val="lowerLetter"/>
      <w:lvlText w:val="(%1)"/>
      <w:lvlJc w:val="left"/>
      <w:pPr>
        <w:ind w:left="25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5135FD9"/>
    <w:multiLevelType w:val="hybridMultilevel"/>
    <w:tmpl w:val="B58E8710"/>
    <w:lvl w:ilvl="0" w:tplc="5B08D898">
      <w:start w:val="1"/>
      <w:numFmt w:val="lowerLetter"/>
      <w:lvlText w:val="(%1)"/>
      <w:lvlJc w:val="left"/>
      <w:pPr>
        <w:ind w:left="2537" w:hanging="360"/>
      </w:pPr>
      <w:rPr>
        <w:rFonts w:hint="default"/>
      </w:rPr>
    </w:lvl>
    <w:lvl w:ilvl="1" w:tplc="0C090019" w:tentative="1">
      <w:start w:val="1"/>
      <w:numFmt w:val="lowerLetter"/>
      <w:lvlText w:val="%2."/>
      <w:lvlJc w:val="left"/>
      <w:pPr>
        <w:ind w:left="3257" w:hanging="360"/>
      </w:pPr>
    </w:lvl>
    <w:lvl w:ilvl="2" w:tplc="0C09001B" w:tentative="1">
      <w:start w:val="1"/>
      <w:numFmt w:val="lowerRoman"/>
      <w:lvlText w:val="%3."/>
      <w:lvlJc w:val="right"/>
      <w:pPr>
        <w:ind w:left="3977" w:hanging="180"/>
      </w:pPr>
    </w:lvl>
    <w:lvl w:ilvl="3" w:tplc="0C09000F" w:tentative="1">
      <w:start w:val="1"/>
      <w:numFmt w:val="decimal"/>
      <w:lvlText w:val="%4."/>
      <w:lvlJc w:val="left"/>
      <w:pPr>
        <w:ind w:left="4697" w:hanging="360"/>
      </w:pPr>
    </w:lvl>
    <w:lvl w:ilvl="4" w:tplc="0C090019" w:tentative="1">
      <w:start w:val="1"/>
      <w:numFmt w:val="lowerLetter"/>
      <w:lvlText w:val="%5."/>
      <w:lvlJc w:val="left"/>
      <w:pPr>
        <w:ind w:left="5417" w:hanging="360"/>
      </w:pPr>
    </w:lvl>
    <w:lvl w:ilvl="5" w:tplc="0C09001B" w:tentative="1">
      <w:start w:val="1"/>
      <w:numFmt w:val="lowerRoman"/>
      <w:lvlText w:val="%6."/>
      <w:lvlJc w:val="right"/>
      <w:pPr>
        <w:ind w:left="6137" w:hanging="180"/>
      </w:pPr>
    </w:lvl>
    <w:lvl w:ilvl="6" w:tplc="0C09000F" w:tentative="1">
      <w:start w:val="1"/>
      <w:numFmt w:val="decimal"/>
      <w:lvlText w:val="%7."/>
      <w:lvlJc w:val="left"/>
      <w:pPr>
        <w:ind w:left="6857" w:hanging="360"/>
      </w:pPr>
    </w:lvl>
    <w:lvl w:ilvl="7" w:tplc="0C090019" w:tentative="1">
      <w:start w:val="1"/>
      <w:numFmt w:val="lowerLetter"/>
      <w:lvlText w:val="%8."/>
      <w:lvlJc w:val="left"/>
      <w:pPr>
        <w:ind w:left="7577" w:hanging="360"/>
      </w:pPr>
    </w:lvl>
    <w:lvl w:ilvl="8" w:tplc="0C09001B" w:tentative="1">
      <w:start w:val="1"/>
      <w:numFmt w:val="lowerRoman"/>
      <w:lvlText w:val="%9."/>
      <w:lvlJc w:val="right"/>
      <w:pPr>
        <w:ind w:left="8297" w:hanging="180"/>
      </w:pPr>
    </w:lvl>
  </w:abstractNum>
  <w:abstractNum w:abstractNumId="25" w15:restartNumberingAfterBreak="0">
    <w:nsid w:val="494817A7"/>
    <w:multiLevelType w:val="multilevel"/>
    <w:tmpl w:val="0F0EC90E"/>
    <w:numStyleLink w:val="FCListNo"/>
  </w:abstractNum>
  <w:abstractNum w:abstractNumId="26"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98805B8"/>
    <w:multiLevelType w:val="hybridMultilevel"/>
    <w:tmpl w:val="1E3AF6BA"/>
    <w:lvl w:ilvl="0" w:tplc="3982B48C">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D39778B"/>
    <w:multiLevelType w:val="hybridMultilevel"/>
    <w:tmpl w:val="0F9410BC"/>
    <w:lvl w:ilvl="0" w:tplc="E84A0BEE">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9E81769"/>
    <w:multiLevelType w:val="hybridMultilevel"/>
    <w:tmpl w:val="9B9895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7D0861FF"/>
    <w:multiLevelType w:val="multilevel"/>
    <w:tmpl w:val="582CF38C"/>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i w:val="0"/>
        <w:iCs w:val="0"/>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592201501">
    <w:abstractNumId w:val="18"/>
  </w:num>
  <w:num w:numId="2" w16cid:durableId="507014882">
    <w:abstractNumId w:val="9"/>
  </w:num>
  <w:num w:numId="3" w16cid:durableId="739711662">
    <w:abstractNumId w:val="7"/>
  </w:num>
  <w:num w:numId="4" w16cid:durableId="893202906">
    <w:abstractNumId w:val="6"/>
  </w:num>
  <w:num w:numId="5" w16cid:durableId="1694185755">
    <w:abstractNumId w:val="5"/>
  </w:num>
  <w:num w:numId="6" w16cid:durableId="1718971010">
    <w:abstractNumId w:val="4"/>
  </w:num>
  <w:num w:numId="7" w16cid:durableId="1500073757">
    <w:abstractNumId w:val="8"/>
  </w:num>
  <w:num w:numId="8" w16cid:durableId="759565421">
    <w:abstractNumId w:val="3"/>
  </w:num>
  <w:num w:numId="9" w16cid:durableId="676152788">
    <w:abstractNumId w:val="2"/>
  </w:num>
  <w:num w:numId="10" w16cid:durableId="462385184">
    <w:abstractNumId w:val="1"/>
  </w:num>
  <w:num w:numId="11" w16cid:durableId="1783652436">
    <w:abstractNumId w:val="0"/>
  </w:num>
  <w:num w:numId="12" w16cid:durableId="586691625">
    <w:abstractNumId w:val="29"/>
  </w:num>
  <w:num w:numId="13" w16cid:durableId="399711975">
    <w:abstractNumId w:val="26"/>
  </w:num>
  <w:num w:numId="14" w16cid:durableId="589198644">
    <w:abstractNumId w:val="27"/>
  </w:num>
  <w:num w:numId="15" w16cid:durableId="816459644">
    <w:abstractNumId w:val="33"/>
  </w:num>
  <w:num w:numId="16" w16cid:durableId="793984083">
    <w:abstractNumId w:val="14"/>
  </w:num>
  <w:num w:numId="17" w16cid:durableId="215360447">
    <w:abstractNumId w:val="31"/>
  </w:num>
  <w:num w:numId="18" w16cid:durableId="1773553782">
    <w:abstractNumId w:val="11"/>
  </w:num>
  <w:num w:numId="19" w16cid:durableId="560334406">
    <w:abstractNumId w:val="23"/>
  </w:num>
  <w:num w:numId="20" w16cid:durableId="1616592107">
    <w:abstractNumId w:val="19"/>
  </w:num>
  <w:num w:numId="21" w16cid:durableId="836578185">
    <w:abstractNumId w:val="20"/>
  </w:num>
  <w:num w:numId="22" w16cid:durableId="918518196">
    <w:abstractNumId w:val="25"/>
  </w:num>
  <w:num w:numId="23" w16cid:durableId="1562205173">
    <w:abstractNumId w:val="10"/>
  </w:num>
  <w:num w:numId="24" w16cid:durableId="174463082">
    <w:abstractNumId w:val="10"/>
  </w:num>
  <w:num w:numId="25" w16cid:durableId="577979400">
    <w:abstractNumId w:val="12"/>
  </w:num>
  <w:num w:numId="26" w16cid:durableId="1432241020">
    <w:abstractNumId w:val="22"/>
  </w:num>
  <w:num w:numId="27" w16cid:durableId="810559717">
    <w:abstractNumId w:val="22"/>
  </w:num>
  <w:num w:numId="28" w16cid:durableId="98987166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494536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030009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504587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798297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9194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10250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40258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98696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93641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3441567">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468474492">
    <w:abstractNumId w:val="13"/>
  </w:num>
  <w:num w:numId="40" w16cid:durableId="1594122893">
    <w:abstractNumId w:val="30"/>
  </w:num>
  <w:num w:numId="41" w16cid:durableId="2131317212">
    <w:abstractNumId w:val="15"/>
  </w:num>
  <w:num w:numId="42" w16cid:durableId="295449556">
    <w:abstractNumId w:val="16"/>
  </w:num>
  <w:num w:numId="43" w16cid:durableId="2017003239">
    <w:abstractNumId w:val="32"/>
  </w:num>
  <w:num w:numId="44" w16cid:durableId="686056819">
    <w:abstractNumId w:val="17"/>
  </w:num>
  <w:num w:numId="45" w16cid:durableId="1393196118">
    <w:abstractNumId w:val="24"/>
  </w:num>
  <w:num w:numId="46" w16cid:durableId="2091350208">
    <w:abstractNumId w:val="21"/>
  </w:num>
  <w:num w:numId="47" w16cid:durableId="1455754792">
    <w:abstractNumId w:val="28"/>
  </w:num>
  <w:num w:numId="48" w16cid:durableId="2972277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CE"/>
    <w:rsid w:val="00000747"/>
    <w:rsid w:val="000019C6"/>
    <w:rsid w:val="00002FA4"/>
    <w:rsid w:val="00003F96"/>
    <w:rsid w:val="0000448D"/>
    <w:rsid w:val="0000501C"/>
    <w:rsid w:val="00006688"/>
    <w:rsid w:val="00007273"/>
    <w:rsid w:val="00010906"/>
    <w:rsid w:val="000115C5"/>
    <w:rsid w:val="0001469E"/>
    <w:rsid w:val="00014BD6"/>
    <w:rsid w:val="00015800"/>
    <w:rsid w:val="00015993"/>
    <w:rsid w:val="000170A6"/>
    <w:rsid w:val="000215EB"/>
    <w:rsid w:val="00021CCB"/>
    <w:rsid w:val="00022289"/>
    <w:rsid w:val="00022A8F"/>
    <w:rsid w:val="000237E9"/>
    <w:rsid w:val="00023C4C"/>
    <w:rsid w:val="00023C59"/>
    <w:rsid w:val="000242E2"/>
    <w:rsid w:val="00024FC4"/>
    <w:rsid w:val="0002574D"/>
    <w:rsid w:val="00025B94"/>
    <w:rsid w:val="00026376"/>
    <w:rsid w:val="00027398"/>
    <w:rsid w:val="00030244"/>
    <w:rsid w:val="00030514"/>
    <w:rsid w:val="00030C2D"/>
    <w:rsid w:val="0003201A"/>
    <w:rsid w:val="0003207A"/>
    <w:rsid w:val="00032772"/>
    <w:rsid w:val="00032F9F"/>
    <w:rsid w:val="00035C2B"/>
    <w:rsid w:val="00035DC4"/>
    <w:rsid w:val="0003676E"/>
    <w:rsid w:val="00041C07"/>
    <w:rsid w:val="000426B3"/>
    <w:rsid w:val="00044512"/>
    <w:rsid w:val="0004568F"/>
    <w:rsid w:val="00045BB7"/>
    <w:rsid w:val="0005294B"/>
    <w:rsid w:val="000552B8"/>
    <w:rsid w:val="00055719"/>
    <w:rsid w:val="000557EE"/>
    <w:rsid w:val="0005641B"/>
    <w:rsid w:val="000576C1"/>
    <w:rsid w:val="00057E1A"/>
    <w:rsid w:val="0006196A"/>
    <w:rsid w:val="00062E9F"/>
    <w:rsid w:val="000642FC"/>
    <w:rsid w:val="00064852"/>
    <w:rsid w:val="00064AA8"/>
    <w:rsid w:val="000650F0"/>
    <w:rsid w:val="0006560A"/>
    <w:rsid w:val="000709B1"/>
    <w:rsid w:val="00070B7A"/>
    <w:rsid w:val="00070C41"/>
    <w:rsid w:val="000710A2"/>
    <w:rsid w:val="00071FB3"/>
    <w:rsid w:val="00073CB7"/>
    <w:rsid w:val="00074911"/>
    <w:rsid w:val="000749E0"/>
    <w:rsid w:val="00074D7F"/>
    <w:rsid w:val="00076645"/>
    <w:rsid w:val="00076856"/>
    <w:rsid w:val="00077768"/>
    <w:rsid w:val="0007790A"/>
    <w:rsid w:val="00077A5B"/>
    <w:rsid w:val="00080ED3"/>
    <w:rsid w:val="00081381"/>
    <w:rsid w:val="00081497"/>
    <w:rsid w:val="0008188E"/>
    <w:rsid w:val="00082FB0"/>
    <w:rsid w:val="000831EC"/>
    <w:rsid w:val="00083731"/>
    <w:rsid w:val="00084126"/>
    <w:rsid w:val="00085255"/>
    <w:rsid w:val="00085AF8"/>
    <w:rsid w:val="00086768"/>
    <w:rsid w:val="00090705"/>
    <w:rsid w:val="00090D3B"/>
    <w:rsid w:val="00091934"/>
    <w:rsid w:val="00093217"/>
    <w:rsid w:val="00093983"/>
    <w:rsid w:val="00093EE4"/>
    <w:rsid w:val="0009785B"/>
    <w:rsid w:val="00097B1C"/>
    <w:rsid w:val="000A22CF"/>
    <w:rsid w:val="000A2E76"/>
    <w:rsid w:val="000A33F2"/>
    <w:rsid w:val="000A4807"/>
    <w:rsid w:val="000A4BE4"/>
    <w:rsid w:val="000A6F8A"/>
    <w:rsid w:val="000B0A56"/>
    <w:rsid w:val="000B2CC1"/>
    <w:rsid w:val="000B4298"/>
    <w:rsid w:val="000B48A3"/>
    <w:rsid w:val="000B7097"/>
    <w:rsid w:val="000C023E"/>
    <w:rsid w:val="000C1B89"/>
    <w:rsid w:val="000C1EFA"/>
    <w:rsid w:val="000C37BB"/>
    <w:rsid w:val="000C405D"/>
    <w:rsid w:val="000C5195"/>
    <w:rsid w:val="000C594B"/>
    <w:rsid w:val="000C60FE"/>
    <w:rsid w:val="000C62EF"/>
    <w:rsid w:val="000C68D7"/>
    <w:rsid w:val="000C7267"/>
    <w:rsid w:val="000D2137"/>
    <w:rsid w:val="000D251C"/>
    <w:rsid w:val="000D3277"/>
    <w:rsid w:val="000D3FD2"/>
    <w:rsid w:val="000D4B2E"/>
    <w:rsid w:val="000D4C97"/>
    <w:rsid w:val="000D4D1C"/>
    <w:rsid w:val="000D4F3D"/>
    <w:rsid w:val="000D5BBA"/>
    <w:rsid w:val="000D614C"/>
    <w:rsid w:val="000E17C4"/>
    <w:rsid w:val="000E24A4"/>
    <w:rsid w:val="000E3FC8"/>
    <w:rsid w:val="000E5A77"/>
    <w:rsid w:val="000E6127"/>
    <w:rsid w:val="000E6889"/>
    <w:rsid w:val="000E6A19"/>
    <w:rsid w:val="000E70F6"/>
    <w:rsid w:val="000E74C6"/>
    <w:rsid w:val="000E7BAE"/>
    <w:rsid w:val="000F133D"/>
    <w:rsid w:val="000F21D3"/>
    <w:rsid w:val="000F23C4"/>
    <w:rsid w:val="000F3034"/>
    <w:rsid w:val="000F336B"/>
    <w:rsid w:val="000F3791"/>
    <w:rsid w:val="000F3E37"/>
    <w:rsid w:val="000F54C3"/>
    <w:rsid w:val="000F67D0"/>
    <w:rsid w:val="000F7209"/>
    <w:rsid w:val="000F7558"/>
    <w:rsid w:val="00100F4E"/>
    <w:rsid w:val="00101401"/>
    <w:rsid w:val="00103411"/>
    <w:rsid w:val="0010366A"/>
    <w:rsid w:val="0010536B"/>
    <w:rsid w:val="001073C7"/>
    <w:rsid w:val="00110B38"/>
    <w:rsid w:val="0011145C"/>
    <w:rsid w:val="001114AC"/>
    <w:rsid w:val="001127FB"/>
    <w:rsid w:val="001128BD"/>
    <w:rsid w:val="00113634"/>
    <w:rsid w:val="00113824"/>
    <w:rsid w:val="0011419D"/>
    <w:rsid w:val="00114B02"/>
    <w:rsid w:val="00115480"/>
    <w:rsid w:val="00115700"/>
    <w:rsid w:val="00116A0D"/>
    <w:rsid w:val="00116C51"/>
    <w:rsid w:val="001200E8"/>
    <w:rsid w:val="001204B6"/>
    <w:rsid w:val="001204FD"/>
    <w:rsid w:val="00121131"/>
    <w:rsid w:val="001226C0"/>
    <w:rsid w:val="00122A3F"/>
    <w:rsid w:val="00125352"/>
    <w:rsid w:val="00125B2D"/>
    <w:rsid w:val="00126D87"/>
    <w:rsid w:val="00126EC8"/>
    <w:rsid w:val="0012731C"/>
    <w:rsid w:val="001275D2"/>
    <w:rsid w:val="00132054"/>
    <w:rsid w:val="001336F0"/>
    <w:rsid w:val="00133CDF"/>
    <w:rsid w:val="00134964"/>
    <w:rsid w:val="001351B9"/>
    <w:rsid w:val="001352D4"/>
    <w:rsid w:val="001352EF"/>
    <w:rsid w:val="00135FAD"/>
    <w:rsid w:val="00136AA4"/>
    <w:rsid w:val="00141279"/>
    <w:rsid w:val="001413D6"/>
    <w:rsid w:val="00141998"/>
    <w:rsid w:val="00143497"/>
    <w:rsid w:val="001444C3"/>
    <w:rsid w:val="0014528F"/>
    <w:rsid w:val="00145E43"/>
    <w:rsid w:val="00146AB5"/>
    <w:rsid w:val="00146F8D"/>
    <w:rsid w:val="00147B03"/>
    <w:rsid w:val="00147EC5"/>
    <w:rsid w:val="00150ED5"/>
    <w:rsid w:val="00151061"/>
    <w:rsid w:val="00151881"/>
    <w:rsid w:val="00152E8D"/>
    <w:rsid w:val="00155CD2"/>
    <w:rsid w:val="00155F82"/>
    <w:rsid w:val="001560E9"/>
    <w:rsid w:val="00160EC0"/>
    <w:rsid w:val="0016737A"/>
    <w:rsid w:val="001700AF"/>
    <w:rsid w:val="001727A4"/>
    <w:rsid w:val="0017376C"/>
    <w:rsid w:val="001738AB"/>
    <w:rsid w:val="0017649D"/>
    <w:rsid w:val="001765E0"/>
    <w:rsid w:val="001767BA"/>
    <w:rsid w:val="00177759"/>
    <w:rsid w:val="001802C7"/>
    <w:rsid w:val="00180BB3"/>
    <w:rsid w:val="001814C4"/>
    <w:rsid w:val="00182657"/>
    <w:rsid w:val="00182CD1"/>
    <w:rsid w:val="00184F5C"/>
    <w:rsid w:val="0018549C"/>
    <w:rsid w:val="00185DD6"/>
    <w:rsid w:val="00185DFE"/>
    <w:rsid w:val="00185E6B"/>
    <w:rsid w:val="00186BF6"/>
    <w:rsid w:val="00187BBC"/>
    <w:rsid w:val="001904F2"/>
    <w:rsid w:val="00190B59"/>
    <w:rsid w:val="00191860"/>
    <w:rsid w:val="001931AC"/>
    <w:rsid w:val="0019320B"/>
    <w:rsid w:val="001932F3"/>
    <w:rsid w:val="001948EF"/>
    <w:rsid w:val="00194C44"/>
    <w:rsid w:val="001A108D"/>
    <w:rsid w:val="001A14D2"/>
    <w:rsid w:val="001A1C96"/>
    <w:rsid w:val="001A249C"/>
    <w:rsid w:val="001A2B1A"/>
    <w:rsid w:val="001A2B40"/>
    <w:rsid w:val="001A33F3"/>
    <w:rsid w:val="001A4309"/>
    <w:rsid w:val="001A46AE"/>
    <w:rsid w:val="001A549E"/>
    <w:rsid w:val="001A61DD"/>
    <w:rsid w:val="001A6C52"/>
    <w:rsid w:val="001A7000"/>
    <w:rsid w:val="001B1053"/>
    <w:rsid w:val="001B14AC"/>
    <w:rsid w:val="001B29E4"/>
    <w:rsid w:val="001B2A31"/>
    <w:rsid w:val="001B2D0D"/>
    <w:rsid w:val="001B3FAF"/>
    <w:rsid w:val="001B650E"/>
    <w:rsid w:val="001B7940"/>
    <w:rsid w:val="001B7C76"/>
    <w:rsid w:val="001C171A"/>
    <w:rsid w:val="001C2CB9"/>
    <w:rsid w:val="001C2FE0"/>
    <w:rsid w:val="001C37CA"/>
    <w:rsid w:val="001C4085"/>
    <w:rsid w:val="001C5A34"/>
    <w:rsid w:val="001C691E"/>
    <w:rsid w:val="001D1066"/>
    <w:rsid w:val="001D2796"/>
    <w:rsid w:val="001D2CA0"/>
    <w:rsid w:val="001D319A"/>
    <w:rsid w:val="001D3549"/>
    <w:rsid w:val="001D4303"/>
    <w:rsid w:val="001D4304"/>
    <w:rsid w:val="001D43A5"/>
    <w:rsid w:val="001D6746"/>
    <w:rsid w:val="001E0C61"/>
    <w:rsid w:val="001E1779"/>
    <w:rsid w:val="001E1895"/>
    <w:rsid w:val="001E1D89"/>
    <w:rsid w:val="001E2269"/>
    <w:rsid w:val="001E2A06"/>
    <w:rsid w:val="001E38A4"/>
    <w:rsid w:val="001E3B49"/>
    <w:rsid w:val="001E4A05"/>
    <w:rsid w:val="001E4F4C"/>
    <w:rsid w:val="001E6150"/>
    <w:rsid w:val="001E6A19"/>
    <w:rsid w:val="001E6A76"/>
    <w:rsid w:val="001E7388"/>
    <w:rsid w:val="001E7F9C"/>
    <w:rsid w:val="001F01A9"/>
    <w:rsid w:val="001F03F9"/>
    <w:rsid w:val="001F13DD"/>
    <w:rsid w:val="001F2068"/>
    <w:rsid w:val="001F2473"/>
    <w:rsid w:val="001F2DBC"/>
    <w:rsid w:val="001F464F"/>
    <w:rsid w:val="001F5C21"/>
    <w:rsid w:val="001F7263"/>
    <w:rsid w:val="001F73E8"/>
    <w:rsid w:val="0020063A"/>
    <w:rsid w:val="002009C9"/>
    <w:rsid w:val="00200E7F"/>
    <w:rsid w:val="00200FCC"/>
    <w:rsid w:val="00201FB4"/>
    <w:rsid w:val="0020262C"/>
    <w:rsid w:val="00202723"/>
    <w:rsid w:val="00202832"/>
    <w:rsid w:val="00202A3C"/>
    <w:rsid w:val="00202A58"/>
    <w:rsid w:val="00202FD0"/>
    <w:rsid w:val="002035CF"/>
    <w:rsid w:val="002060FA"/>
    <w:rsid w:val="00206FEC"/>
    <w:rsid w:val="00211980"/>
    <w:rsid w:val="00211A3E"/>
    <w:rsid w:val="00211D7D"/>
    <w:rsid w:val="0021296D"/>
    <w:rsid w:val="00212E00"/>
    <w:rsid w:val="00213AFE"/>
    <w:rsid w:val="00213F20"/>
    <w:rsid w:val="00214055"/>
    <w:rsid w:val="00214701"/>
    <w:rsid w:val="00215BCA"/>
    <w:rsid w:val="002160F5"/>
    <w:rsid w:val="00217AC4"/>
    <w:rsid w:val="00220757"/>
    <w:rsid w:val="00221461"/>
    <w:rsid w:val="002216DD"/>
    <w:rsid w:val="00221E58"/>
    <w:rsid w:val="00223145"/>
    <w:rsid w:val="0022334B"/>
    <w:rsid w:val="00223884"/>
    <w:rsid w:val="00224537"/>
    <w:rsid w:val="002252C0"/>
    <w:rsid w:val="0023034B"/>
    <w:rsid w:val="0023194E"/>
    <w:rsid w:val="002354C0"/>
    <w:rsid w:val="00235956"/>
    <w:rsid w:val="00236E38"/>
    <w:rsid w:val="00237489"/>
    <w:rsid w:val="00237D76"/>
    <w:rsid w:val="00240F6F"/>
    <w:rsid w:val="00241830"/>
    <w:rsid w:val="00242103"/>
    <w:rsid w:val="0024375F"/>
    <w:rsid w:val="00243E02"/>
    <w:rsid w:val="00243E5E"/>
    <w:rsid w:val="00244235"/>
    <w:rsid w:val="00245C4B"/>
    <w:rsid w:val="0024614C"/>
    <w:rsid w:val="002467A6"/>
    <w:rsid w:val="00246A5B"/>
    <w:rsid w:val="002476E0"/>
    <w:rsid w:val="00247C9A"/>
    <w:rsid w:val="00247E81"/>
    <w:rsid w:val="0025096D"/>
    <w:rsid w:val="0025160C"/>
    <w:rsid w:val="002524BD"/>
    <w:rsid w:val="00252D85"/>
    <w:rsid w:val="002535D0"/>
    <w:rsid w:val="002539B3"/>
    <w:rsid w:val="00254035"/>
    <w:rsid w:val="00254DCE"/>
    <w:rsid w:val="00255AA8"/>
    <w:rsid w:val="00256336"/>
    <w:rsid w:val="00256F31"/>
    <w:rsid w:val="00257C3E"/>
    <w:rsid w:val="002602C2"/>
    <w:rsid w:val="0026145F"/>
    <w:rsid w:val="00263348"/>
    <w:rsid w:val="00263D08"/>
    <w:rsid w:val="00264327"/>
    <w:rsid w:val="0026564F"/>
    <w:rsid w:val="002666C9"/>
    <w:rsid w:val="00266AAF"/>
    <w:rsid w:val="00267D60"/>
    <w:rsid w:val="00270136"/>
    <w:rsid w:val="00270FD7"/>
    <w:rsid w:val="002719CD"/>
    <w:rsid w:val="002729B4"/>
    <w:rsid w:val="00272B8A"/>
    <w:rsid w:val="00274F5B"/>
    <w:rsid w:val="00275BF7"/>
    <w:rsid w:val="00277473"/>
    <w:rsid w:val="00280836"/>
    <w:rsid w:val="00280CF9"/>
    <w:rsid w:val="00280F62"/>
    <w:rsid w:val="00281197"/>
    <w:rsid w:val="00282D86"/>
    <w:rsid w:val="00282E1A"/>
    <w:rsid w:val="0028339F"/>
    <w:rsid w:val="002840F1"/>
    <w:rsid w:val="00285176"/>
    <w:rsid w:val="00285922"/>
    <w:rsid w:val="00286914"/>
    <w:rsid w:val="002877E1"/>
    <w:rsid w:val="00290A6F"/>
    <w:rsid w:val="00290A74"/>
    <w:rsid w:val="0029105D"/>
    <w:rsid w:val="0029113B"/>
    <w:rsid w:val="002934C0"/>
    <w:rsid w:val="00293E1F"/>
    <w:rsid w:val="0029535B"/>
    <w:rsid w:val="0029626E"/>
    <w:rsid w:val="002965C5"/>
    <w:rsid w:val="00296879"/>
    <w:rsid w:val="00296FC0"/>
    <w:rsid w:val="0029764C"/>
    <w:rsid w:val="0029789A"/>
    <w:rsid w:val="002A06F0"/>
    <w:rsid w:val="002A0F1D"/>
    <w:rsid w:val="002A13CA"/>
    <w:rsid w:val="002A182F"/>
    <w:rsid w:val="002A1B50"/>
    <w:rsid w:val="002A1DCB"/>
    <w:rsid w:val="002A28FA"/>
    <w:rsid w:val="002A3E94"/>
    <w:rsid w:val="002A4B96"/>
    <w:rsid w:val="002A65EA"/>
    <w:rsid w:val="002A6CF2"/>
    <w:rsid w:val="002B0340"/>
    <w:rsid w:val="002B08D9"/>
    <w:rsid w:val="002B0E91"/>
    <w:rsid w:val="002B132C"/>
    <w:rsid w:val="002B26D0"/>
    <w:rsid w:val="002B2941"/>
    <w:rsid w:val="002B2BB9"/>
    <w:rsid w:val="002B3EE4"/>
    <w:rsid w:val="002B3F23"/>
    <w:rsid w:val="002B43F4"/>
    <w:rsid w:val="002B44E5"/>
    <w:rsid w:val="002B4EB5"/>
    <w:rsid w:val="002B5AF5"/>
    <w:rsid w:val="002B6779"/>
    <w:rsid w:val="002B71C0"/>
    <w:rsid w:val="002B786C"/>
    <w:rsid w:val="002B7A34"/>
    <w:rsid w:val="002B7F7E"/>
    <w:rsid w:val="002C077E"/>
    <w:rsid w:val="002C079F"/>
    <w:rsid w:val="002C206D"/>
    <w:rsid w:val="002C31AD"/>
    <w:rsid w:val="002C40D0"/>
    <w:rsid w:val="002C4BB2"/>
    <w:rsid w:val="002C64C7"/>
    <w:rsid w:val="002C6E29"/>
    <w:rsid w:val="002C7385"/>
    <w:rsid w:val="002D00F5"/>
    <w:rsid w:val="002D084C"/>
    <w:rsid w:val="002D19A0"/>
    <w:rsid w:val="002D1E14"/>
    <w:rsid w:val="002D2D15"/>
    <w:rsid w:val="002D2DBB"/>
    <w:rsid w:val="002D37D8"/>
    <w:rsid w:val="002D4243"/>
    <w:rsid w:val="002D43BF"/>
    <w:rsid w:val="002D54A6"/>
    <w:rsid w:val="002D5ACB"/>
    <w:rsid w:val="002D6DFB"/>
    <w:rsid w:val="002D6EF1"/>
    <w:rsid w:val="002D7754"/>
    <w:rsid w:val="002E02A1"/>
    <w:rsid w:val="002E0491"/>
    <w:rsid w:val="002E0E56"/>
    <w:rsid w:val="002E1012"/>
    <w:rsid w:val="002E3779"/>
    <w:rsid w:val="002E4B62"/>
    <w:rsid w:val="002E50CD"/>
    <w:rsid w:val="002E5222"/>
    <w:rsid w:val="002E59E7"/>
    <w:rsid w:val="002E5BF9"/>
    <w:rsid w:val="002E6A7A"/>
    <w:rsid w:val="002E74D5"/>
    <w:rsid w:val="002E794F"/>
    <w:rsid w:val="002E7AD2"/>
    <w:rsid w:val="002F13FD"/>
    <w:rsid w:val="002F1E49"/>
    <w:rsid w:val="002F235D"/>
    <w:rsid w:val="002F269F"/>
    <w:rsid w:val="002F40DE"/>
    <w:rsid w:val="002F4702"/>
    <w:rsid w:val="002F4E9C"/>
    <w:rsid w:val="002F6354"/>
    <w:rsid w:val="002F6E15"/>
    <w:rsid w:val="002F7D50"/>
    <w:rsid w:val="00302F4E"/>
    <w:rsid w:val="00303B09"/>
    <w:rsid w:val="00303CD3"/>
    <w:rsid w:val="00307B4A"/>
    <w:rsid w:val="00311B63"/>
    <w:rsid w:val="003120F7"/>
    <w:rsid w:val="0031256C"/>
    <w:rsid w:val="00314D6C"/>
    <w:rsid w:val="00315B4F"/>
    <w:rsid w:val="00315C4D"/>
    <w:rsid w:val="00316380"/>
    <w:rsid w:val="00316D2A"/>
    <w:rsid w:val="00316D76"/>
    <w:rsid w:val="003208B2"/>
    <w:rsid w:val="003215CA"/>
    <w:rsid w:val="00322A7C"/>
    <w:rsid w:val="00322ADD"/>
    <w:rsid w:val="00322C25"/>
    <w:rsid w:val="00322EEC"/>
    <w:rsid w:val="00322F5E"/>
    <w:rsid w:val="00323061"/>
    <w:rsid w:val="00324376"/>
    <w:rsid w:val="00330A93"/>
    <w:rsid w:val="003312FC"/>
    <w:rsid w:val="00331F2D"/>
    <w:rsid w:val="0033425D"/>
    <w:rsid w:val="00337DD5"/>
    <w:rsid w:val="003402D3"/>
    <w:rsid w:val="0034068E"/>
    <w:rsid w:val="003410DE"/>
    <w:rsid w:val="00343ABC"/>
    <w:rsid w:val="0034423F"/>
    <w:rsid w:val="003463FE"/>
    <w:rsid w:val="00346CAF"/>
    <w:rsid w:val="003472FC"/>
    <w:rsid w:val="00347D41"/>
    <w:rsid w:val="003508F7"/>
    <w:rsid w:val="00351D51"/>
    <w:rsid w:val="00352B18"/>
    <w:rsid w:val="00353BA2"/>
    <w:rsid w:val="003554B3"/>
    <w:rsid w:val="00355625"/>
    <w:rsid w:val="00355FAC"/>
    <w:rsid w:val="00356632"/>
    <w:rsid w:val="00357C7E"/>
    <w:rsid w:val="00357D70"/>
    <w:rsid w:val="003610F9"/>
    <w:rsid w:val="00362402"/>
    <w:rsid w:val="00364A35"/>
    <w:rsid w:val="003653B6"/>
    <w:rsid w:val="003657FD"/>
    <w:rsid w:val="00366F0D"/>
    <w:rsid w:val="00367359"/>
    <w:rsid w:val="00370327"/>
    <w:rsid w:val="00371762"/>
    <w:rsid w:val="003735E0"/>
    <w:rsid w:val="00374CC4"/>
    <w:rsid w:val="00376E65"/>
    <w:rsid w:val="003774B2"/>
    <w:rsid w:val="003778F5"/>
    <w:rsid w:val="00380558"/>
    <w:rsid w:val="00380F2D"/>
    <w:rsid w:val="0038171F"/>
    <w:rsid w:val="003842A8"/>
    <w:rsid w:val="003845A9"/>
    <w:rsid w:val="003850C9"/>
    <w:rsid w:val="00386C4F"/>
    <w:rsid w:val="00387A5F"/>
    <w:rsid w:val="00390883"/>
    <w:rsid w:val="00391CF9"/>
    <w:rsid w:val="00391FA6"/>
    <w:rsid w:val="003922F8"/>
    <w:rsid w:val="003925F6"/>
    <w:rsid w:val="00392970"/>
    <w:rsid w:val="00392B81"/>
    <w:rsid w:val="00394A00"/>
    <w:rsid w:val="0039542B"/>
    <w:rsid w:val="00395B24"/>
    <w:rsid w:val="00397020"/>
    <w:rsid w:val="003A088D"/>
    <w:rsid w:val="003A0B53"/>
    <w:rsid w:val="003A1423"/>
    <w:rsid w:val="003A1C9A"/>
    <w:rsid w:val="003A2D38"/>
    <w:rsid w:val="003A4931"/>
    <w:rsid w:val="003A4D4F"/>
    <w:rsid w:val="003A73B0"/>
    <w:rsid w:val="003A7ECC"/>
    <w:rsid w:val="003B2992"/>
    <w:rsid w:val="003B2C72"/>
    <w:rsid w:val="003B3CEC"/>
    <w:rsid w:val="003B40D7"/>
    <w:rsid w:val="003B47B2"/>
    <w:rsid w:val="003B58B4"/>
    <w:rsid w:val="003C083B"/>
    <w:rsid w:val="003C0EDB"/>
    <w:rsid w:val="003C1333"/>
    <w:rsid w:val="003C20E0"/>
    <w:rsid w:val="003C20FF"/>
    <w:rsid w:val="003C294C"/>
    <w:rsid w:val="003C36D3"/>
    <w:rsid w:val="003C3B07"/>
    <w:rsid w:val="003C3C93"/>
    <w:rsid w:val="003C4C1D"/>
    <w:rsid w:val="003C4DAF"/>
    <w:rsid w:val="003C5377"/>
    <w:rsid w:val="003C550A"/>
    <w:rsid w:val="003C5DDA"/>
    <w:rsid w:val="003C6055"/>
    <w:rsid w:val="003C6227"/>
    <w:rsid w:val="003C7926"/>
    <w:rsid w:val="003D013D"/>
    <w:rsid w:val="003D07BD"/>
    <w:rsid w:val="003D2650"/>
    <w:rsid w:val="003D3216"/>
    <w:rsid w:val="003D3252"/>
    <w:rsid w:val="003D560C"/>
    <w:rsid w:val="003D5C00"/>
    <w:rsid w:val="003D6D8A"/>
    <w:rsid w:val="003D7667"/>
    <w:rsid w:val="003D7A0C"/>
    <w:rsid w:val="003E0BB0"/>
    <w:rsid w:val="003E0BDA"/>
    <w:rsid w:val="003E1F74"/>
    <w:rsid w:val="003E2957"/>
    <w:rsid w:val="003E2A33"/>
    <w:rsid w:val="003E2BD8"/>
    <w:rsid w:val="003E3154"/>
    <w:rsid w:val="003E33F4"/>
    <w:rsid w:val="003E377B"/>
    <w:rsid w:val="003E541A"/>
    <w:rsid w:val="003E5525"/>
    <w:rsid w:val="003E5874"/>
    <w:rsid w:val="003E72D3"/>
    <w:rsid w:val="003F002E"/>
    <w:rsid w:val="003F0729"/>
    <w:rsid w:val="003F166B"/>
    <w:rsid w:val="003F193E"/>
    <w:rsid w:val="003F242C"/>
    <w:rsid w:val="003F336E"/>
    <w:rsid w:val="003F34F1"/>
    <w:rsid w:val="003F3D32"/>
    <w:rsid w:val="003F54C0"/>
    <w:rsid w:val="003F5F20"/>
    <w:rsid w:val="003F62F3"/>
    <w:rsid w:val="003F79E4"/>
    <w:rsid w:val="00401B64"/>
    <w:rsid w:val="004031D8"/>
    <w:rsid w:val="004033C4"/>
    <w:rsid w:val="0040355A"/>
    <w:rsid w:val="00404445"/>
    <w:rsid w:val="00405238"/>
    <w:rsid w:val="00406277"/>
    <w:rsid w:val="00406F5B"/>
    <w:rsid w:val="004101AD"/>
    <w:rsid w:val="004104B6"/>
    <w:rsid w:val="00410D26"/>
    <w:rsid w:val="00411AE8"/>
    <w:rsid w:val="00411FE3"/>
    <w:rsid w:val="00413682"/>
    <w:rsid w:val="00413860"/>
    <w:rsid w:val="00413ACB"/>
    <w:rsid w:val="00413B74"/>
    <w:rsid w:val="004142B2"/>
    <w:rsid w:val="00415402"/>
    <w:rsid w:val="00415614"/>
    <w:rsid w:val="00415F16"/>
    <w:rsid w:val="00417D40"/>
    <w:rsid w:val="0042125B"/>
    <w:rsid w:val="004236E8"/>
    <w:rsid w:val="00424B02"/>
    <w:rsid w:val="0042557C"/>
    <w:rsid w:val="00426441"/>
    <w:rsid w:val="00426B8E"/>
    <w:rsid w:val="004277C7"/>
    <w:rsid w:val="004278C9"/>
    <w:rsid w:val="00427C36"/>
    <w:rsid w:val="00430377"/>
    <w:rsid w:val="00431774"/>
    <w:rsid w:val="0043228A"/>
    <w:rsid w:val="00432AB7"/>
    <w:rsid w:val="0043415C"/>
    <w:rsid w:val="004342F3"/>
    <w:rsid w:val="00435748"/>
    <w:rsid w:val="00435906"/>
    <w:rsid w:val="00435C5F"/>
    <w:rsid w:val="00435D5D"/>
    <w:rsid w:val="00436155"/>
    <w:rsid w:val="00436460"/>
    <w:rsid w:val="00436A75"/>
    <w:rsid w:val="00436BB7"/>
    <w:rsid w:val="00437A18"/>
    <w:rsid w:val="00441858"/>
    <w:rsid w:val="00441E98"/>
    <w:rsid w:val="00442BC6"/>
    <w:rsid w:val="00443F31"/>
    <w:rsid w:val="004442F9"/>
    <w:rsid w:val="00446010"/>
    <w:rsid w:val="0044663E"/>
    <w:rsid w:val="0044667C"/>
    <w:rsid w:val="00446BD3"/>
    <w:rsid w:val="00450F3A"/>
    <w:rsid w:val="00452882"/>
    <w:rsid w:val="004532F7"/>
    <w:rsid w:val="00453BA6"/>
    <w:rsid w:val="00453C66"/>
    <w:rsid w:val="0045408F"/>
    <w:rsid w:val="00454F4E"/>
    <w:rsid w:val="0045648D"/>
    <w:rsid w:val="00461548"/>
    <w:rsid w:val="004619F7"/>
    <w:rsid w:val="0046299E"/>
    <w:rsid w:val="00463E77"/>
    <w:rsid w:val="00464AA7"/>
    <w:rsid w:val="00464D51"/>
    <w:rsid w:val="00465052"/>
    <w:rsid w:val="00466443"/>
    <w:rsid w:val="004678EE"/>
    <w:rsid w:val="00467EA8"/>
    <w:rsid w:val="00472027"/>
    <w:rsid w:val="00472666"/>
    <w:rsid w:val="00472CED"/>
    <w:rsid w:val="00474E55"/>
    <w:rsid w:val="004804CF"/>
    <w:rsid w:val="004806D5"/>
    <w:rsid w:val="00481A6C"/>
    <w:rsid w:val="00482B5C"/>
    <w:rsid w:val="00483314"/>
    <w:rsid w:val="00483D9C"/>
    <w:rsid w:val="00484574"/>
    <w:rsid w:val="00484962"/>
    <w:rsid w:val="00484F6D"/>
    <w:rsid w:val="00484FB7"/>
    <w:rsid w:val="0048554D"/>
    <w:rsid w:val="00486CFB"/>
    <w:rsid w:val="00487DFC"/>
    <w:rsid w:val="00490BD4"/>
    <w:rsid w:val="00491AC2"/>
    <w:rsid w:val="00492815"/>
    <w:rsid w:val="0049338A"/>
    <w:rsid w:val="00493823"/>
    <w:rsid w:val="00493E92"/>
    <w:rsid w:val="0049417F"/>
    <w:rsid w:val="00495E1F"/>
    <w:rsid w:val="00496D41"/>
    <w:rsid w:val="00496D88"/>
    <w:rsid w:val="004A07AE"/>
    <w:rsid w:val="004A19D7"/>
    <w:rsid w:val="004A2C34"/>
    <w:rsid w:val="004A35A3"/>
    <w:rsid w:val="004A4037"/>
    <w:rsid w:val="004A4C24"/>
    <w:rsid w:val="004A640F"/>
    <w:rsid w:val="004A6602"/>
    <w:rsid w:val="004A674D"/>
    <w:rsid w:val="004B1B25"/>
    <w:rsid w:val="004B3689"/>
    <w:rsid w:val="004B3EFA"/>
    <w:rsid w:val="004B4423"/>
    <w:rsid w:val="004B5690"/>
    <w:rsid w:val="004B7D79"/>
    <w:rsid w:val="004C0A41"/>
    <w:rsid w:val="004C112C"/>
    <w:rsid w:val="004C135D"/>
    <w:rsid w:val="004C2A87"/>
    <w:rsid w:val="004C4D7B"/>
    <w:rsid w:val="004C4ED3"/>
    <w:rsid w:val="004C507E"/>
    <w:rsid w:val="004C6579"/>
    <w:rsid w:val="004C667B"/>
    <w:rsid w:val="004C7ECD"/>
    <w:rsid w:val="004D1576"/>
    <w:rsid w:val="004D1647"/>
    <w:rsid w:val="004D17F4"/>
    <w:rsid w:val="004D2E7D"/>
    <w:rsid w:val="004D2EA5"/>
    <w:rsid w:val="004D2F16"/>
    <w:rsid w:val="004D31BC"/>
    <w:rsid w:val="004D32A6"/>
    <w:rsid w:val="004D34EB"/>
    <w:rsid w:val="004D3A30"/>
    <w:rsid w:val="004D48BB"/>
    <w:rsid w:val="004D53E5"/>
    <w:rsid w:val="004D6C24"/>
    <w:rsid w:val="004D7272"/>
    <w:rsid w:val="004D7318"/>
    <w:rsid w:val="004D7950"/>
    <w:rsid w:val="004E192A"/>
    <w:rsid w:val="004E1B4A"/>
    <w:rsid w:val="004E360D"/>
    <w:rsid w:val="004E376E"/>
    <w:rsid w:val="004E4458"/>
    <w:rsid w:val="004E5359"/>
    <w:rsid w:val="004E568F"/>
    <w:rsid w:val="004E5A18"/>
    <w:rsid w:val="004E68C8"/>
    <w:rsid w:val="004E6DC4"/>
    <w:rsid w:val="004E73DA"/>
    <w:rsid w:val="004F21C1"/>
    <w:rsid w:val="004F37DD"/>
    <w:rsid w:val="004F3B71"/>
    <w:rsid w:val="004F419B"/>
    <w:rsid w:val="004F580A"/>
    <w:rsid w:val="004F6733"/>
    <w:rsid w:val="004F7211"/>
    <w:rsid w:val="005008DC"/>
    <w:rsid w:val="00500C16"/>
    <w:rsid w:val="00501264"/>
    <w:rsid w:val="005013CC"/>
    <w:rsid w:val="00501A12"/>
    <w:rsid w:val="0050309C"/>
    <w:rsid w:val="00503FDE"/>
    <w:rsid w:val="00504307"/>
    <w:rsid w:val="00505150"/>
    <w:rsid w:val="00505C48"/>
    <w:rsid w:val="00507931"/>
    <w:rsid w:val="005113D1"/>
    <w:rsid w:val="00511BDD"/>
    <w:rsid w:val="00511DDD"/>
    <w:rsid w:val="00512BAE"/>
    <w:rsid w:val="0051327C"/>
    <w:rsid w:val="0051346D"/>
    <w:rsid w:val="0051357B"/>
    <w:rsid w:val="00513EAE"/>
    <w:rsid w:val="0051434F"/>
    <w:rsid w:val="005152CA"/>
    <w:rsid w:val="00516315"/>
    <w:rsid w:val="00516806"/>
    <w:rsid w:val="00516DD1"/>
    <w:rsid w:val="00516F06"/>
    <w:rsid w:val="005200ED"/>
    <w:rsid w:val="0052098C"/>
    <w:rsid w:val="005217D4"/>
    <w:rsid w:val="00523445"/>
    <w:rsid w:val="00523600"/>
    <w:rsid w:val="00523AC7"/>
    <w:rsid w:val="00524DB2"/>
    <w:rsid w:val="00525A49"/>
    <w:rsid w:val="005262D1"/>
    <w:rsid w:val="00527327"/>
    <w:rsid w:val="00530876"/>
    <w:rsid w:val="00530F75"/>
    <w:rsid w:val="00531608"/>
    <w:rsid w:val="00532643"/>
    <w:rsid w:val="0053437D"/>
    <w:rsid w:val="00535613"/>
    <w:rsid w:val="00535679"/>
    <w:rsid w:val="005358D5"/>
    <w:rsid w:val="005359EB"/>
    <w:rsid w:val="005376C4"/>
    <w:rsid w:val="0054254A"/>
    <w:rsid w:val="005442E8"/>
    <w:rsid w:val="0054500B"/>
    <w:rsid w:val="00545E76"/>
    <w:rsid w:val="005460FF"/>
    <w:rsid w:val="005466B5"/>
    <w:rsid w:val="00546B6E"/>
    <w:rsid w:val="0054753C"/>
    <w:rsid w:val="00551267"/>
    <w:rsid w:val="0055172C"/>
    <w:rsid w:val="0055216C"/>
    <w:rsid w:val="005523A3"/>
    <w:rsid w:val="005531E5"/>
    <w:rsid w:val="0055340B"/>
    <w:rsid w:val="00553CEA"/>
    <w:rsid w:val="00554314"/>
    <w:rsid w:val="005557D9"/>
    <w:rsid w:val="00555A0E"/>
    <w:rsid w:val="005577AF"/>
    <w:rsid w:val="0056015F"/>
    <w:rsid w:val="00560330"/>
    <w:rsid w:val="00560D0A"/>
    <w:rsid w:val="00560D11"/>
    <w:rsid w:val="00561816"/>
    <w:rsid w:val="00561A60"/>
    <w:rsid w:val="005622EA"/>
    <w:rsid w:val="00562829"/>
    <w:rsid w:val="005629B3"/>
    <w:rsid w:val="00564125"/>
    <w:rsid w:val="005652DC"/>
    <w:rsid w:val="00565FD5"/>
    <w:rsid w:val="0056649E"/>
    <w:rsid w:val="00570BB7"/>
    <w:rsid w:val="0057128A"/>
    <w:rsid w:val="005714AE"/>
    <w:rsid w:val="0057157B"/>
    <w:rsid w:val="005724F6"/>
    <w:rsid w:val="00572EC5"/>
    <w:rsid w:val="00573AC4"/>
    <w:rsid w:val="005760A3"/>
    <w:rsid w:val="00576B30"/>
    <w:rsid w:val="0057724A"/>
    <w:rsid w:val="00577616"/>
    <w:rsid w:val="00577F8E"/>
    <w:rsid w:val="00577FBF"/>
    <w:rsid w:val="005801FC"/>
    <w:rsid w:val="005808FF"/>
    <w:rsid w:val="00580BF6"/>
    <w:rsid w:val="00580EBF"/>
    <w:rsid w:val="0058173D"/>
    <w:rsid w:val="005817E7"/>
    <w:rsid w:val="005823E1"/>
    <w:rsid w:val="00584CC6"/>
    <w:rsid w:val="00585BA9"/>
    <w:rsid w:val="00586F5D"/>
    <w:rsid w:val="00587359"/>
    <w:rsid w:val="00590804"/>
    <w:rsid w:val="005908D5"/>
    <w:rsid w:val="005909A6"/>
    <w:rsid w:val="00590C68"/>
    <w:rsid w:val="00591051"/>
    <w:rsid w:val="00592022"/>
    <w:rsid w:val="00592914"/>
    <w:rsid w:val="00593E0B"/>
    <w:rsid w:val="00594474"/>
    <w:rsid w:val="005946EF"/>
    <w:rsid w:val="00595016"/>
    <w:rsid w:val="00595D3E"/>
    <w:rsid w:val="00595E05"/>
    <w:rsid w:val="005976BB"/>
    <w:rsid w:val="00597AAE"/>
    <w:rsid w:val="005A1478"/>
    <w:rsid w:val="005A16A9"/>
    <w:rsid w:val="005A222C"/>
    <w:rsid w:val="005A4BB2"/>
    <w:rsid w:val="005A4DF8"/>
    <w:rsid w:val="005A78C8"/>
    <w:rsid w:val="005B0209"/>
    <w:rsid w:val="005B0D9C"/>
    <w:rsid w:val="005B1426"/>
    <w:rsid w:val="005B1F01"/>
    <w:rsid w:val="005B2283"/>
    <w:rsid w:val="005B3279"/>
    <w:rsid w:val="005B3733"/>
    <w:rsid w:val="005B3759"/>
    <w:rsid w:val="005B3877"/>
    <w:rsid w:val="005B603A"/>
    <w:rsid w:val="005B6901"/>
    <w:rsid w:val="005B6CE2"/>
    <w:rsid w:val="005C04D9"/>
    <w:rsid w:val="005C0A8E"/>
    <w:rsid w:val="005C1767"/>
    <w:rsid w:val="005C185C"/>
    <w:rsid w:val="005C22FB"/>
    <w:rsid w:val="005C2442"/>
    <w:rsid w:val="005C3266"/>
    <w:rsid w:val="005C3C33"/>
    <w:rsid w:val="005C42EF"/>
    <w:rsid w:val="005C4AB1"/>
    <w:rsid w:val="005C4D9A"/>
    <w:rsid w:val="005C5077"/>
    <w:rsid w:val="005C548A"/>
    <w:rsid w:val="005C60C7"/>
    <w:rsid w:val="005C6FCA"/>
    <w:rsid w:val="005D073B"/>
    <w:rsid w:val="005D09DB"/>
    <w:rsid w:val="005D1645"/>
    <w:rsid w:val="005D1BBB"/>
    <w:rsid w:val="005D3C27"/>
    <w:rsid w:val="005D4DF2"/>
    <w:rsid w:val="005D59EB"/>
    <w:rsid w:val="005E02F5"/>
    <w:rsid w:val="005E0510"/>
    <w:rsid w:val="005E0A4C"/>
    <w:rsid w:val="005E0CDA"/>
    <w:rsid w:val="005E1509"/>
    <w:rsid w:val="005E176E"/>
    <w:rsid w:val="005E20CF"/>
    <w:rsid w:val="005E218E"/>
    <w:rsid w:val="005E26C4"/>
    <w:rsid w:val="005E35A0"/>
    <w:rsid w:val="005E3BA5"/>
    <w:rsid w:val="005E3F4D"/>
    <w:rsid w:val="005E526F"/>
    <w:rsid w:val="005E5C43"/>
    <w:rsid w:val="005E705A"/>
    <w:rsid w:val="005F0D1B"/>
    <w:rsid w:val="005F1865"/>
    <w:rsid w:val="005F3771"/>
    <w:rsid w:val="005F3E9C"/>
    <w:rsid w:val="005F4052"/>
    <w:rsid w:val="005F6180"/>
    <w:rsid w:val="005F61D1"/>
    <w:rsid w:val="005F69CF"/>
    <w:rsid w:val="005F7808"/>
    <w:rsid w:val="006007BD"/>
    <w:rsid w:val="006013C8"/>
    <w:rsid w:val="0060270D"/>
    <w:rsid w:val="00603018"/>
    <w:rsid w:val="0060431C"/>
    <w:rsid w:val="00604342"/>
    <w:rsid w:val="00604611"/>
    <w:rsid w:val="00604D57"/>
    <w:rsid w:val="00605070"/>
    <w:rsid w:val="0060602B"/>
    <w:rsid w:val="0061079D"/>
    <w:rsid w:val="00610F84"/>
    <w:rsid w:val="00611586"/>
    <w:rsid w:val="0061170F"/>
    <w:rsid w:val="00611865"/>
    <w:rsid w:val="0061192F"/>
    <w:rsid w:val="006121B6"/>
    <w:rsid w:val="00612D26"/>
    <w:rsid w:val="00614570"/>
    <w:rsid w:val="00615855"/>
    <w:rsid w:val="00616231"/>
    <w:rsid w:val="006173FA"/>
    <w:rsid w:val="00617B57"/>
    <w:rsid w:val="00620443"/>
    <w:rsid w:val="00620DA8"/>
    <w:rsid w:val="00621887"/>
    <w:rsid w:val="00624520"/>
    <w:rsid w:val="00624950"/>
    <w:rsid w:val="006254DA"/>
    <w:rsid w:val="006259A9"/>
    <w:rsid w:val="006271F5"/>
    <w:rsid w:val="0062746B"/>
    <w:rsid w:val="006309CE"/>
    <w:rsid w:val="006313A2"/>
    <w:rsid w:val="006320F0"/>
    <w:rsid w:val="00632300"/>
    <w:rsid w:val="00632BB7"/>
    <w:rsid w:val="00634DAF"/>
    <w:rsid w:val="006355B4"/>
    <w:rsid w:val="00635B36"/>
    <w:rsid w:val="00636181"/>
    <w:rsid w:val="00636187"/>
    <w:rsid w:val="00636524"/>
    <w:rsid w:val="00636871"/>
    <w:rsid w:val="00637267"/>
    <w:rsid w:val="006372C2"/>
    <w:rsid w:val="0064011A"/>
    <w:rsid w:val="00640EE1"/>
    <w:rsid w:val="00640F4E"/>
    <w:rsid w:val="00641D9E"/>
    <w:rsid w:val="00643DE0"/>
    <w:rsid w:val="0064437D"/>
    <w:rsid w:val="00644E85"/>
    <w:rsid w:val="00644F43"/>
    <w:rsid w:val="00645181"/>
    <w:rsid w:val="00645EF5"/>
    <w:rsid w:val="00647378"/>
    <w:rsid w:val="00650E8B"/>
    <w:rsid w:val="006516D8"/>
    <w:rsid w:val="00651998"/>
    <w:rsid w:val="00652116"/>
    <w:rsid w:val="00652C52"/>
    <w:rsid w:val="00652EE8"/>
    <w:rsid w:val="00653A7F"/>
    <w:rsid w:val="00653F69"/>
    <w:rsid w:val="00654E8D"/>
    <w:rsid w:val="006565D0"/>
    <w:rsid w:val="006571CF"/>
    <w:rsid w:val="00657536"/>
    <w:rsid w:val="0066063F"/>
    <w:rsid w:val="00660905"/>
    <w:rsid w:val="00661DEF"/>
    <w:rsid w:val="00662BB0"/>
    <w:rsid w:val="00663878"/>
    <w:rsid w:val="006649CF"/>
    <w:rsid w:val="00664BC6"/>
    <w:rsid w:val="00665385"/>
    <w:rsid w:val="00665B31"/>
    <w:rsid w:val="00666DE1"/>
    <w:rsid w:val="00667773"/>
    <w:rsid w:val="00667965"/>
    <w:rsid w:val="00667BD3"/>
    <w:rsid w:val="00670743"/>
    <w:rsid w:val="00671CA4"/>
    <w:rsid w:val="0067276B"/>
    <w:rsid w:val="00676F3A"/>
    <w:rsid w:val="006800B5"/>
    <w:rsid w:val="006801FE"/>
    <w:rsid w:val="00680A85"/>
    <w:rsid w:val="00681ADF"/>
    <w:rsid w:val="0068207F"/>
    <w:rsid w:val="006826F7"/>
    <w:rsid w:val="00682E41"/>
    <w:rsid w:val="00682FF2"/>
    <w:rsid w:val="00683397"/>
    <w:rsid w:val="006834FD"/>
    <w:rsid w:val="00685796"/>
    <w:rsid w:val="006857DE"/>
    <w:rsid w:val="006868E0"/>
    <w:rsid w:val="00690299"/>
    <w:rsid w:val="00690EE2"/>
    <w:rsid w:val="006917CF"/>
    <w:rsid w:val="006922EA"/>
    <w:rsid w:val="00693136"/>
    <w:rsid w:val="00693854"/>
    <w:rsid w:val="006946B2"/>
    <w:rsid w:val="00694BEB"/>
    <w:rsid w:val="00695599"/>
    <w:rsid w:val="006961F6"/>
    <w:rsid w:val="006975B8"/>
    <w:rsid w:val="006A0E20"/>
    <w:rsid w:val="006A1B7C"/>
    <w:rsid w:val="006A24E3"/>
    <w:rsid w:val="006A5580"/>
    <w:rsid w:val="006A5695"/>
    <w:rsid w:val="006A5CC3"/>
    <w:rsid w:val="006A7667"/>
    <w:rsid w:val="006A7A66"/>
    <w:rsid w:val="006B0439"/>
    <w:rsid w:val="006B3852"/>
    <w:rsid w:val="006B3904"/>
    <w:rsid w:val="006B5B7D"/>
    <w:rsid w:val="006C0A4A"/>
    <w:rsid w:val="006C0EEA"/>
    <w:rsid w:val="006C1839"/>
    <w:rsid w:val="006C1E48"/>
    <w:rsid w:val="006C21EE"/>
    <w:rsid w:val="006C36EF"/>
    <w:rsid w:val="006C4290"/>
    <w:rsid w:val="006C5392"/>
    <w:rsid w:val="006C5725"/>
    <w:rsid w:val="006C5B46"/>
    <w:rsid w:val="006C6466"/>
    <w:rsid w:val="006C6E39"/>
    <w:rsid w:val="006D02A9"/>
    <w:rsid w:val="006D0ECF"/>
    <w:rsid w:val="006D3D5B"/>
    <w:rsid w:val="006D4959"/>
    <w:rsid w:val="006D4C1F"/>
    <w:rsid w:val="006D4C92"/>
    <w:rsid w:val="006D4EB6"/>
    <w:rsid w:val="006D7FBC"/>
    <w:rsid w:val="006E1F5A"/>
    <w:rsid w:val="006E2005"/>
    <w:rsid w:val="006E35BF"/>
    <w:rsid w:val="006E3971"/>
    <w:rsid w:val="006E59CF"/>
    <w:rsid w:val="006E7850"/>
    <w:rsid w:val="006F0392"/>
    <w:rsid w:val="006F19D8"/>
    <w:rsid w:val="006F2A2A"/>
    <w:rsid w:val="006F3C27"/>
    <w:rsid w:val="006F46D6"/>
    <w:rsid w:val="006F4BBB"/>
    <w:rsid w:val="006F5356"/>
    <w:rsid w:val="006F5653"/>
    <w:rsid w:val="006F5ECA"/>
    <w:rsid w:val="006F641A"/>
    <w:rsid w:val="006F6713"/>
    <w:rsid w:val="006F7FBB"/>
    <w:rsid w:val="007028D9"/>
    <w:rsid w:val="00706265"/>
    <w:rsid w:val="00707218"/>
    <w:rsid w:val="00707D46"/>
    <w:rsid w:val="00707FCE"/>
    <w:rsid w:val="00710D04"/>
    <w:rsid w:val="00712B1D"/>
    <w:rsid w:val="00712DB4"/>
    <w:rsid w:val="00712FCE"/>
    <w:rsid w:val="00713206"/>
    <w:rsid w:val="00713421"/>
    <w:rsid w:val="00713791"/>
    <w:rsid w:val="00713BB1"/>
    <w:rsid w:val="0071444D"/>
    <w:rsid w:val="0071493F"/>
    <w:rsid w:val="007150EE"/>
    <w:rsid w:val="00715751"/>
    <w:rsid w:val="007171BA"/>
    <w:rsid w:val="0071755E"/>
    <w:rsid w:val="00717616"/>
    <w:rsid w:val="0072027B"/>
    <w:rsid w:val="007211FE"/>
    <w:rsid w:val="00722F75"/>
    <w:rsid w:val="0072486F"/>
    <w:rsid w:val="00724946"/>
    <w:rsid w:val="00724C6F"/>
    <w:rsid w:val="007260CA"/>
    <w:rsid w:val="00726558"/>
    <w:rsid w:val="00726AFA"/>
    <w:rsid w:val="0072763E"/>
    <w:rsid w:val="00727DC9"/>
    <w:rsid w:val="00731692"/>
    <w:rsid w:val="007325D9"/>
    <w:rsid w:val="00732B2D"/>
    <w:rsid w:val="00733DF8"/>
    <w:rsid w:val="0073413F"/>
    <w:rsid w:val="0073583B"/>
    <w:rsid w:val="007360CA"/>
    <w:rsid w:val="0073660C"/>
    <w:rsid w:val="007403A4"/>
    <w:rsid w:val="007403BA"/>
    <w:rsid w:val="0074047F"/>
    <w:rsid w:val="00742B13"/>
    <w:rsid w:val="0074667B"/>
    <w:rsid w:val="00746B5F"/>
    <w:rsid w:val="007470BD"/>
    <w:rsid w:val="00747547"/>
    <w:rsid w:val="007515FF"/>
    <w:rsid w:val="00752FBD"/>
    <w:rsid w:val="0075312E"/>
    <w:rsid w:val="00753D4F"/>
    <w:rsid w:val="00755AE7"/>
    <w:rsid w:val="00756BC9"/>
    <w:rsid w:val="00757FC6"/>
    <w:rsid w:val="007600F7"/>
    <w:rsid w:val="007606C9"/>
    <w:rsid w:val="00760EC0"/>
    <w:rsid w:val="007646B5"/>
    <w:rsid w:val="007650E7"/>
    <w:rsid w:val="00765D55"/>
    <w:rsid w:val="00770B97"/>
    <w:rsid w:val="007711BD"/>
    <w:rsid w:val="00771498"/>
    <w:rsid w:val="00771FF1"/>
    <w:rsid w:val="00772C5E"/>
    <w:rsid w:val="0077392D"/>
    <w:rsid w:val="007749C0"/>
    <w:rsid w:val="00774B66"/>
    <w:rsid w:val="00774C05"/>
    <w:rsid w:val="0078003A"/>
    <w:rsid w:val="0078069A"/>
    <w:rsid w:val="00780771"/>
    <w:rsid w:val="007807C2"/>
    <w:rsid w:val="007818A8"/>
    <w:rsid w:val="00782257"/>
    <w:rsid w:val="00782CE8"/>
    <w:rsid w:val="00782DAD"/>
    <w:rsid w:val="00783083"/>
    <w:rsid w:val="00783442"/>
    <w:rsid w:val="00784871"/>
    <w:rsid w:val="00790966"/>
    <w:rsid w:val="0079106E"/>
    <w:rsid w:val="007929CF"/>
    <w:rsid w:val="00792BC7"/>
    <w:rsid w:val="00794DAC"/>
    <w:rsid w:val="00795F5E"/>
    <w:rsid w:val="00796FC0"/>
    <w:rsid w:val="00797BA8"/>
    <w:rsid w:val="007A022F"/>
    <w:rsid w:val="007A081D"/>
    <w:rsid w:val="007A2264"/>
    <w:rsid w:val="007A2D93"/>
    <w:rsid w:val="007A3893"/>
    <w:rsid w:val="007A42AD"/>
    <w:rsid w:val="007A4360"/>
    <w:rsid w:val="007A49E7"/>
    <w:rsid w:val="007A53F0"/>
    <w:rsid w:val="007A6F28"/>
    <w:rsid w:val="007B025A"/>
    <w:rsid w:val="007B02BE"/>
    <w:rsid w:val="007B03C6"/>
    <w:rsid w:val="007B0828"/>
    <w:rsid w:val="007B0DB1"/>
    <w:rsid w:val="007B0EB6"/>
    <w:rsid w:val="007B0F7F"/>
    <w:rsid w:val="007B3B5E"/>
    <w:rsid w:val="007B3B7D"/>
    <w:rsid w:val="007B3F3A"/>
    <w:rsid w:val="007B5596"/>
    <w:rsid w:val="007B5673"/>
    <w:rsid w:val="007B7238"/>
    <w:rsid w:val="007B76FF"/>
    <w:rsid w:val="007B7CF9"/>
    <w:rsid w:val="007C01BB"/>
    <w:rsid w:val="007C037A"/>
    <w:rsid w:val="007C3BF6"/>
    <w:rsid w:val="007C5A72"/>
    <w:rsid w:val="007C6031"/>
    <w:rsid w:val="007C67B3"/>
    <w:rsid w:val="007C72D2"/>
    <w:rsid w:val="007D036F"/>
    <w:rsid w:val="007D0FD2"/>
    <w:rsid w:val="007D1808"/>
    <w:rsid w:val="007D23DC"/>
    <w:rsid w:val="007D2973"/>
    <w:rsid w:val="007D29D3"/>
    <w:rsid w:val="007D2EF8"/>
    <w:rsid w:val="007D35E1"/>
    <w:rsid w:val="007D3876"/>
    <w:rsid w:val="007D4B53"/>
    <w:rsid w:val="007D561F"/>
    <w:rsid w:val="007D5D35"/>
    <w:rsid w:val="007D696C"/>
    <w:rsid w:val="007D7FD2"/>
    <w:rsid w:val="007E043B"/>
    <w:rsid w:val="007E0A63"/>
    <w:rsid w:val="007E13D9"/>
    <w:rsid w:val="007E263A"/>
    <w:rsid w:val="007E2AEC"/>
    <w:rsid w:val="007E415C"/>
    <w:rsid w:val="007E41BE"/>
    <w:rsid w:val="007E4976"/>
    <w:rsid w:val="007E4DB6"/>
    <w:rsid w:val="007E559A"/>
    <w:rsid w:val="007E6733"/>
    <w:rsid w:val="007E6F6C"/>
    <w:rsid w:val="007E77EC"/>
    <w:rsid w:val="007E7CD4"/>
    <w:rsid w:val="007F12AC"/>
    <w:rsid w:val="007F13C1"/>
    <w:rsid w:val="007F2222"/>
    <w:rsid w:val="007F4501"/>
    <w:rsid w:val="007F60DF"/>
    <w:rsid w:val="008000C1"/>
    <w:rsid w:val="00801548"/>
    <w:rsid w:val="00801697"/>
    <w:rsid w:val="00801800"/>
    <w:rsid w:val="00801861"/>
    <w:rsid w:val="00801A27"/>
    <w:rsid w:val="00801B5B"/>
    <w:rsid w:val="00801FC8"/>
    <w:rsid w:val="0080200A"/>
    <w:rsid w:val="00802A18"/>
    <w:rsid w:val="00802A50"/>
    <w:rsid w:val="00803127"/>
    <w:rsid w:val="00804B70"/>
    <w:rsid w:val="0080547A"/>
    <w:rsid w:val="00805A30"/>
    <w:rsid w:val="0080646A"/>
    <w:rsid w:val="00810903"/>
    <w:rsid w:val="008115A5"/>
    <w:rsid w:val="00811B78"/>
    <w:rsid w:val="00813601"/>
    <w:rsid w:val="00815E10"/>
    <w:rsid w:val="008177C0"/>
    <w:rsid w:val="008216E7"/>
    <w:rsid w:val="00821D51"/>
    <w:rsid w:val="00822100"/>
    <w:rsid w:val="008229F2"/>
    <w:rsid w:val="00824396"/>
    <w:rsid w:val="00825BE6"/>
    <w:rsid w:val="00825CF1"/>
    <w:rsid w:val="00827643"/>
    <w:rsid w:val="008276B4"/>
    <w:rsid w:val="008279AB"/>
    <w:rsid w:val="00830B46"/>
    <w:rsid w:val="00831927"/>
    <w:rsid w:val="00831CA4"/>
    <w:rsid w:val="00832289"/>
    <w:rsid w:val="00832C57"/>
    <w:rsid w:val="00833267"/>
    <w:rsid w:val="00833CEB"/>
    <w:rsid w:val="00834C45"/>
    <w:rsid w:val="00835F8D"/>
    <w:rsid w:val="008360E2"/>
    <w:rsid w:val="00837288"/>
    <w:rsid w:val="008400E7"/>
    <w:rsid w:val="00840DF7"/>
    <w:rsid w:val="00840F09"/>
    <w:rsid w:val="00841BD3"/>
    <w:rsid w:val="0084265B"/>
    <w:rsid w:val="0084273D"/>
    <w:rsid w:val="00842876"/>
    <w:rsid w:val="00844E3F"/>
    <w:rsid w:val="00845A83"/>
    <w:rsid w:val="00845B78"/>
    <w:rsid w:val="00846AB3"/>
    <w:rsid w:val="00846BB9"/>
    <w:rsid w:val="0085060D"/>
    <w:rsid w:val="008508BA"/>
    <w:rsid w:val="00852751"/>
    <w:rsid w:val="008528CC"/>
    <w:rsid w:val="00852B28"/>
    <w:rsid w:val="00852EBF"/>
    <w:rsid w:val="008559DE"/>
    <w:rsid w:val="00860203"/>
    <w:rsid w:val="00860C4B"/>
    <w:rsid w:val="00862A46"/>
    <w:rsid w:val="008649D5"/>
    <w:rsid w:val="00865391"/>
    <w:rsid w:val="008668FE"/>
    <w:rsid w:val="00866A8C"/>
    <w:rsid w:val="00867699"/>
    <w:rsid w:val="00867A42"/>
    <w:rsid w:val="00870A1A"/>
    <w:rsid w:val="008712BB"/>
    <w:rsid w:val="0087173D"/>
    <w:rsid w:val="0087449E"/>
    <w:rsid w:val="00874FF9"/>
    <w:rsid w:val="00875D52"/>
    <w:rsid w:val="00876317"/>
    <w:rsid w:val="008771A9"/>
    <w:rsid w:val="00877D6D"/>
    <w:rsid w:val="008807B8"/>
    <w:rsid w:val="00881158"/>
    <w:rsid w:val="00882AE8"/>
    <w:rsid w:val="00882DB1"/>
    <w:rsid w:val="008830E7"/>
    <w:rsid w:val="00890586"/>
    <w:rsid w:val="00890C7F"/>
    <w:rsid w:val="00890EDE"/>
    <w:rsid w:val="008912DF"/>
    <w:rsid w:val="008924EA"/>
    <w:rsid w:val="00892B38"/>
    <w:rsid w:val="00894FF0"/>
    <w:rsid w:val="00895AFA"/>
    <w:rsid w:val="0089609B"/>
    <w:rsid w:val="00896EDB"/>
    <w:rsid w:val="008A1037"/>
    <w:rsid w:val="008A1375"/>
    <w:rsid w:val="008A15DE"/>
    <w:rsid w:val="008A160E"/>
    <w:rsid w:val="008A1741"/>
    <w:rsid w:val="008A2484"/>
    <w:rsid w:val="008A52F3"/>
    <w:rsid w:val="008A660E"/>
    <w:rsid w:val="008B058F"/>
    <w:rsid w:val="008B225E"/>
    <w:rsid w:val="008B5F61"/>
    <w:rsid w:val="008B62A4"/>
    <w:rsid w:val="008B6DF4"/>
    <w:rsid w:val="008C001D"/>
    <w:rsid w:val="008C26D9"/>
    <w:rsid w:val="008C4CAB"/>
    <w:rsid w:val="008C660A"/>
    <w:rsid w:val="008C6D50"/>
    <w:rsid w:val="008C6E63"/>
    <w:rsid w:val="008C7167"/>
    <w:rsid w:val="008C7503"/>
    <w:rsid w:val="008D030D"/>
    <w:rsid w:val="008D1617"/>
    <w:rsid w:val="008D1DA8"/>
    <w:rsid w:val="008D2045"/>
    <w:rsid w:val="008D2F68"/>
    <w:rsid w:val="008D3293"/>
    <w:rsid w:val="008D330F"/>
    <w:rsid w:val="008D357A"/>
    <w:rsid w:val="008D48C1"/>
    <w:rsid w:val="008D55C9"/>
    <w:rsid w:val="008D64B2"/>
    <w:rsid w:val="008D69AE"/>
    <w:rsid w:val="008D7875"/>
    <w:rsid w:val="008E0214"/>
    <w:rsid w:val="008E1D06"/>
    <w:rsid w:val="008E25E5"/>
    <w:rsid w:val="008E2AF8"/>
    <w:rsid w:val="008E6134"/>
    <w:rsid w:val="008E6315"/>
    <w:rsid w:val="008E6524"/>
    <w:rsid w:val="008E72DF"/>
    <w:rsid w:val="008E7AEC"/>
    <w:rsid w:val="008F0480"/>
    <w:rsid w:val="008F07FC"/>
    <w:rsid w:val="008F11E0"/>
    <w:rsid w:val="008F13F2"/>
    <w:rsid w:val="008F21B2"/>
    <w:rsid w:val="008F2546"/>
    <w:rsid w:val="008F3DB1"/>
    <w:rsid w:val="008F3EA7"/>
    <w:rsid w:val="008F4F75"/>
    <w:rsid w:val="008F5274"/>
    <w:rsid w:val="008F6390"/>
    <w:rsid w:val="008F6B46"/>
    <w:rsid w:val="008F78BC"/>
    <w:rsid w:val="008F7B63"/>
    <w:rsid w:val="008F7D6A"/>
    <w:rsid w:val="009005B2"/>
    <w:rsid w:val="009007D1"/>
    <w:rsid w:val="00900F5B"/>
    <w:rsid w:val="00900FC7"/>
    <w:rsid w:val="00901C86"/>
    <w:rsid w:val="0090289C"/>
    <w:rsid w:val="009031A0"/>
    <w:rsid w:val="00903603"/>
    <w:rsid w:val="00903BFE"/>
    <w:rsid w:val="009054CB"/>
    <w:rsid w:val="00906C7A"/>
    <w:rsid w:val="00907078"/>
    <w:rsid w:val="00910782"/>
    <w:rsid w:val="00911F8D"/>
    <w:rsid w:val="00912F94"/>
    <w:rsid w:val="009152EB"/>
    <w:rsid w:val="00916C9D"/>
    <w:rsid w:val="009171BC"/>
    <w:rsid w:val="00920036"/>
    <w:rsid w:val="0092192E"/>
    <w:rsid w:val="00922D3F"/>
    <w:rsid w:val="009233D0"/>
    <w:rsid w:val="0092497E"/>
    <w:rsid w:val="00924A7C"/>
    <w:rsid w:val="0092590B"/>
    <w:rsid w:val="00925BF3"/>
    <w:rsid w:val="00925E1E"/>
    <w:rsid w:val="00925E60"/>
    <w:rsid w:val="00926487"/>
    <w:rsid w:val="009264B3"/>
    <w:rsid w:val="0093033E"/>
    <w:rsid w:val="00931E4C"/>
    <w:rsid w:val="0093255D"/>
    <w:rsid w:val="00933CBD"/>
    <w:rsid w:val="0093411D"/>
    <w:rsid w:val="009348B1"/>
    <w:rsid w:val="009365E0"/>
    <w:rsid w:val="00937250"/>
    <w:rsid w:val="0094237E"/>
    <w:rsid w:val="00942BA2"/>
    <w:rsid w:val="009432B7"/>
    <w:rsid w:val="00943F51"/>
    <w:rsid w:val="00944AD6"/>
    <w:rsid w:val="00944C86"/>
    <w:rsid w:val="00946062"/>
    <w:rsid w:val="009463FD"/>
    <w:rsid w:val="00947C02"/>
    <w:rsid w:val="00950BE6"/>
    <w:rsid w:val="00950DBD"/>
    <w:rsid w:val="009522A4"/>
    <w:rsid w:val="00952ADB"/>
    <w:rsid w:val="00952FD8"/>
    <w:rsid w:val="009547D5"/>
    <w:rsid w:val="00957DE8"/>
    <w:rsid w:val="00960A2B"/>
    <w:rsid w:val="00960ECB"/>
    <w:rsid w:val="009615D6"/>
    <w:rsid w:val="00961762"/>
    <w:rsid w:val="00961F2D"/>
    <w:rsid w:val="00963AD0"/>
    <w:rsid w:val="00966BBA"/>
    <w:rsid w:val="0096776F"/>
    <w:rsid w:val="00967855"/>
    <w:rsid w:val="00967B06"/>
    <w:rsid w:val="00970123"/>
    <w:rsid w:val="00970902"/>
    <w:rsid w:val="00970F64"/>
    <w:rsid w:val="0097150B"/>
    <w:rsid w:val="00971CD1"/>
    <w:rsid w:val="00974709"/>
    <w:rsid w:val="00974B0C"/>
    <w:rsid w:val="00975785"/>
    <w:rsid w:val="009801AE"/>
    <w:rsid w:val="00980736"/>
    <w:rsid w:val="00981078"/>
    <w:rsid w:val="00981A39"/>
    <w:rsid w:val="00982D56"/>
    <w:rsid w:val="00983DBF"/>
    <w:rsid w:val="00987097"/>
    <w:rsid w:val="00987359"/>
    <w:rsid w:val="00991123"/>
    <w:rsid w:val="00991BAE"/>
    <w:rsid w:val="00991CAB"/>
    <w:rsid w:val="00991DDF"/>
    <w:rsid w:val="00992175"/>
    <w:rsid w:val="0099549B"/>
    <w:rsid w:val="00995C9B"/>
    <w:rsid w:val="00997C79"/>
    <w:rsid w:val="009A29BB"/>
    <w:rsid w:val="009A3840"/>
    <w:rsid w:val="009A3917"/>
    <w:rsid w:val="009A3A9C"/>
    <w:rsid w:val="009A410D"/>
    <w:rsid w:val="009A55AF"/>
    <w:rsid w:val="009B0167"/>
    <w:rsid w:val="009B046C"/>
    <w:rsid w:val="009B0615"/>
    <w:rsid w:val="009B1091"/>
    <w:rsid w:val="009B13FA"/>
    <w:rsid w:val="009B1DA4"/>
    <w:rsid w:val="009B1E2D"/>
    <w:rsid w:val="009B64C6"/>
    <w:rsid w:val="009B6F7C"/>
    <w:rsid w:val="009C0366"/>
    <w:rsid w:val="009C0AD2"/>
    <w:rsid w:val="009C2BF8"/>
    <w:rsid w:val="009C4283"/>
    <w:rsid w:val="009C5507"/>
    <w:rsid w:val="009C59FB"/>
    <w:rsid w:val="009C6414"/>
    <w:rsid w:val="009C6F3B"/>
    <w:rsid w:val="009D1467"/>
    <w:rsid w:val="009D1FA7"/>
    <w:rsid w:val="009D328D"/>
    <w:rsid w:val="009D5AEB"/>
    <w:rsid w:val="009D7A9E"/>
    <w:rsid w:val="009D7C59"/>
    <w:rsid w:val="009E018A"/>
    <w:rsid w:val="009E069B"/>
    <w:rsid w:val="009E4C24"/>
    <w:rsid w:val="009E4FA6"/>
    <w:rsid w:val="009E6295"/>
    <w:rsid w:val="009E6A4F"/>
    <w:rsid w:val="009E6E01"/>
    <w:rsid w:val="009E6E95"/>
    <w:rsid w:val="009E7989"/>
    <w:rsid w:val="009E7A84"/>
    <w:rsid w:val="009E7D93"/>
    <w:rsid w:val="009F015C"/>
    <w:rsid w:val="009F0279"/>
    <w:rsid w:val="009F0440"/>
    <w:rsid w:val="009F0783"/>
    <w:rsid w:val="009F0A1D"/>
    <w:rsid w:val="009F143D"/>
    <w:rsid w:val="009F1907"/>
    <w:rsid w:val="009F229E"/>
    <w:rsid w:val="009F3C34"/>
    <w:rsid w:val="009F3E17"/>
    <w:rsid w:val="009F41C1"/>
    <w:rsid w:val="009F462C"/>
    <w:rsid w:val="009F48C3"/>
    <w:rsid w:val="009F5C33"/>
    <w:rsid w:val="009F5E38"/>
    <w:rsid w:val="009F7881"/>
    <w:rsid w:val="009F7D2A"/>
    <w:rsid w:val="00A01FEB"/>
    <w:rsid w:val="00A02544"/>
    <w:rsid w:val="00A026F0"/>
    <w:rsid w:val="00A02C15"/>
    <w:rsid w:val="00A03ACC"/>
    <w:rsid w:val="00A03EAC"/>
    <w:rsid w:val="00A04826"/>
    <w:rsid w:val="00A04DBB"/>
    <w:rsid w:val="00A06A0C"/>
    <w:rsid w:val="00A06D3F"/>
    <w:rsid w:val="00A07EA0"/>
    <w:rsid w:val="00A11CA6"/>
    <w:rsid w:val="00A125EB"/>
    <w:rsid w:val="00A138DA"/>
    <w:rsid w:val="00A13D07"/>
    <w:rsid w:val="00A145A7"/>
    <w:rsid w:val="00A14CE4"/>
    <w:rsid w:val="00A15B6D"/>
    <w:rsid w:val="00A16456"/>
    <w:rsid w:val="00A17193"/>
    <w:rsid w:val="00A20C49"/>
    <w:rsid w:val="00A22932"/>
    <w:rsid w:val="00A22AA1"/>
    <w:rsid w:val="00A24E43"/>
    <w:rsid w:val="00A25251"/>
    <w:rsid w:val="00A25908"/>
    <w:rsid w:val="00A263DB"/>
    <w:rsid w:val="00A268BD"/>
    <w:rsid w:val="00A269CA"/>
    <w:rsid w:val="00A26DD0"/>
    <w:rsid w:val="00A2719C"/>
    <w:rsid w:val="00A336EE"/>
    <w:rsid w:val="00A33F46"/>
    <w:rsid w:val="00A3427E"/>
    <w:rsid w:val="00A34666"/>
    <w:rsid w:val="00A35518"/>
    <w:rsid w:val="00A35936"/>
    <w:rsid w:val="00A359AC"/>
    <w:rsid w:val="00A37E49"/>
    <w:rsid w:val="00A40C43"/>
    <w:rsid w:val="00A40F83"/>
    <w:rsid w:val="00A410FB"/>
    <w:rsid w:val="00A41413"/>
    <w:rsid w:val="00A42E9C"/>
    <w:rsid w:val="00A431E6"/>
    <w:rsid w:val="00A432C9"/>
    <w:rsid w:val="00A436E8"/>
    <w:rsid w:val="00A444A3"/>
    <w:rsid w:val="00A45522"/>
    <w:rsid w:val="00A45FB1"/>
    <w:rsid w:val="00A46A0F"/>
    <w:rsid w:val="00A46CCC"/>
    <w:rsid w:val="00A47996"/>
    <w:rsid w:val="00A5060C"/>
    <w:rsid w:val="00A50DC1"/>
    <w:rsid w:val="00A5142D"/>
    <w:rsid w:val="00A51CFE"/>
    <w:rsid w:val="00A51F52"/>
    <w:rsid w:val="00A5204D"/>
    <w:rsid w:val="00A520D5"/>
    <w:rsid w:val="00A541C4"/>
    <w:rsid w:val="00A54D91"/>
    <w:rsid w:val="00A559C7"/>
    <w:rsid w:val="00A56E77"/>
    <w:rsid w:val="00A57A13"/>
    <w:rsid w:val="00A57C69"/>
    <w:rsid w:val="00A601F6"/>
    <w:rsid w:val="00A60EAB"/>
    <w:rsid w:val="00A61605"/>
    <w:rsid w:val="00A628C0"/>
    <w:rsid w:val="00A64513"/>
    <w:rsid w:val="00A6595B"/>
    <w:rsid w:val="00A65D0A"/>
    <w:rsid w:val="00A65F97"/>
    <w:rsid w:val="00A669B1"/>
    <w:rsid w:val="00A67F67"/>
    <w:rsid w:val="00A71019"/>
    <w:rsid w:val="00A710DB"/>
    <w:rsid w:val="00A712FB"/>
    <w:rsid w:val="00A73B04"/>
    <w:rsid w:val="00A7446E"/>
    <w:rsid w:val="00A7447C"/>
    <w:rsid w:val="00A76C13"/>
    <w:rsid w:val="00A80244"/>
    <w:rsid w:val="00A80D22"/>
    <w:rsid w:val="00A81286"/>
    <w:rsid w:val="00A83A0A"/>
    <w:rsid w:val="00A84059"/>
    <w:rsid w:val="00A8456B"/>
    <w:rsid w:val="00A84FD0"/>
    <w:rsid w:val="00A85925"/>
    <w:rsid w:val="00A866FC"/>
    <w:rsid w:val="00A909AD"/>
    <w:rsid w:val="00A9277A"/>
    <w:rsid w:val="00A92E79"/>
    <w:rsid w:val="00A944A7"/>
    <w:rsid w:val="00A950B6"/>
    <w:rsid w:val="00A95D45"/>
    <w:rsid w:val="00A962FD"/>
    <w:rsid w:val="00A96ED6"/>
    <w:rsid w:val="00A9798C"/>
    <w:rsid w:val="00AA08C8"/>
    <w:rsid w:val="00AA139F"/>
    <w:rsid w:val="00AA1948"/>
    <w:rsid w:val="00AA1C85"/>
    <w:rsid w:val="00AA252C"/>
    <w:rsid w:val="00AA304E"/>
    <w:rsid w:val="00AA3EA8"/>
    <w:rsid w:val="00AA45CA"/>
    <w:rsid w:val="00AA4B57"/>
    <w:rsid w:val="00AA71BD"/>
    <w:rsid w:val="00AB03B8"/>
    <w:rsid w:val="00AB055E"/>
    <w:rsid w:val="00AB07DF"/>
    <w:rsid w:val="00AB26F4"/>
    <w:rsid w:val="00AB380F"/>
    <w:rsid w:val="00AB3BD8"/>
    <w:rsid w:val="00AB41C1"/>
    <w:rsid w:val="00AB4ACC"/>
    <w:rsid w:val="00AB4B1C"/>
    <w:rsid w:val="00AB4CF2"/>
    <w:rsid w:val="00AB6A55"/>
    <w:rsid w:val="00AB6CCA"/>
    <w:rsid w:val="00AB7991"/>
    <w:rsid w:val="00AC0DC2"/>
    <w:rsid w:val="00AC223F"/>
    <w:rsid w:val="00AC30CB"/>
    <w:rsid w:val="00AC33B1"/>
    <w:rsid w:val="00AC7721"/>
    <w:rsid w:val="00AD12A8"/>
    <w:rsid w:val="00AD1701"/>
    <w:rsid w:val="00AD1CE3"/>
    <w:rsid w:val="00AD1EC4"/>
    <w:rsid w:val="00AD36B9"/>
    <w:rsid w:val="00AD387E"/>
    <w:rsid w:val="00AD3B67"/>
    <w:rsid w:val="00AD4379"/>
    <w:rsid w:val="00AD64B6"/>
    <w:rsid w:val="00AD6F92"/>
    <w:rsid w:val="00AD7342"/>
    <w:rsid w:val="00AE00F6"/>
    <w:rsid w:val="00AE023F"/>
    <w:rsid w:val="00AE0D33"/>
    <w:rsid w:val="00AE25E2"/>
    <w:rsid w:val="00AE2B43"/>
    <w:rsid w:val="00AE57E8"/>
    <w:rsid w:val="00AE5844"/>
    <w:rsid w:val="00AE5A28"/>
    <w:rsid w:val="00AE6F2B"/>
    <w:rsid w:val="00AE707F"/>
    <w:rsid w:val="00AF08C5"/>
    <w:rsid w:val="00AF10AC"/>
    <w:rsid w:val="00AF331B"/>
    <w:rsid w:val="00AF3577"/>
    <w:rsid w:val="00AF35F9"/>
    <w:rsid w:val="00AF395A"/>
    <w:rsid w:val="00AF4172"/>
    <w:rsid w:val="00AF4C46"/>
    <w:rsid w:val="00AF66FA"/>
    <w:rsid w:val="00B00B15"/>
    <w:rsid w:val="00B00D8C"/>
    <w:rsid w:val="00B0160A"/>
    <w:rsid w:val="00B02187"/>
    <w:rsid w:val="00B040A0"/>
    <w:rsid w:val="00B0424C"/>
    <w:rsid w:val="00B05C7D"/>
    <w:rsid w:val="00B061C1"/>
    <w:rsid w:val="00B118A8"/>
    <w:rsid w:val="00B12863"/>
    <w:rsid w:val="00B15D57"/>
    <w:rsid w:val="00B161FE"/>
    <w:rsid w:val="00B16347"/>
    <w:rsid w:val="00B17D6E"/>
    <w:rsid w:val="00B21778"/>
    <w:rsid w:val="00B23A3A"/>
    <w:rsid w:val="00B23B66"/>
    <w:rsid w:val="00B2435E"/>
    <w:rsid w:val="00B244BD"/>
    <w:rsid w:val="00B24860"/>
    <w:rsid w:val="00B24E2A"/>
    <w:rsid w:val="00B2533F"/>
    <w:rsid w:val="00B25916"/>
    <w:rsid w:val="00B2597E"/>
    <w:rsid w:val="00B279B1"/>
    <w:rsid w:val="00B30C06"/>
    <w:rsid w:val="00B32E18"/>
    <w:rsid w:val="00B33A47"/>
    <w:rsid w:val="00B346C3"/>
    <w:rsid w:val="00B3575C"/>
    <w:rsid w:val="00B362D8"/>
    <w:rsid w:val="00B36A9C"/>
    <w:rsid w:val="00B4005C"/>
    <w:rsid w:val="00B40795"/>
    <w:rsid w:val="00B41301"/>
    <w:rsid w:val="00B4227E"/>
    <w:rsid w:val="00B423EF"/>
    <w:rsid w:val="00B42D32"/>
    <w:rsid w:val="00B439D7"/>
    <w:rsid w:val="00B4471C"/>
    <w:rsid w:val="00B44A07"/>
    <w:rsid w:val="00B44CB8"/>
    <w:rsid w:val="00B451A6"/>
    <w:rsid w:val="00B456A1"/>
    <w:rsid w:val="00B46B3A"/>
    <w:rsid w:val="00B46F9B"/>
    <w:rsid w:val="00B4762E"/>
    <w:rsid w:val="00B51540"/>
    <w:rsid w:val="00B52653"/>
    <w:rsid w:val="00B5400E"/>
    <w:rsid w:val="00B54E74"/>
    <w:rsid w:val="00B55B83"/>
    <w:rsid w:val="00B56D6E"/>
    <w:rsid w:val="00B600C8"/>
    <w:rsid w:val="00B61BE6"/>
    <w:rsid w:val="00B62522"/>
    <w:rsid w:val="00B62750"/>
    <w:rsid w:val="00B64347"/>
    <w:rsid w:val="00B651E2"/>
    <w:rsid w:val="00B651E3"/>
    <w:rsid w:val="00B656E9"/>
    <w:rsid w:val="00B65DC6"/>
    <w:rsid w:val="00B665A0"/>
    <w:rsid w:val="00B67AC2"/>
    <w:rsid w:val="00B67DC4"/>
    <w:rsid w:val="00B71428"/>
    <w:rsid w:val="00B716C8"/>
    <w:rsid w:val="00B722A9"/>
    <w:rsid w:val="00B722DE"/>
    <w:rsid w:val="00B72766"/>
    <w:rsid w:val="00B73A87"/>
    <w:rsid w:val="00B751E3"/>
    <w:rsid w:val="00B7569A"/>
    <w:rsid w:val="00B75BA6"/>
    <w:rsid w:val="00B76C44"/>
    <w:rsid w:val="00B77365"/>
    <w:rsid w:val="00B8093E"/>
    <w:rsid w:val="00B8184A"/>
    <w:rsid w:val="00B81D24"/>
    <w:rsid w:val="00B82283"/>
    <w:rsid w:val="00B8261D"/>
    <w:rsid w:val="00B828D8"/>
    <w:rsid w:val="00B83013"/>
    <w:rsid w:val="00B83412"/>
    <w:rsid w:val="00B83F87"/>
    <w:rsid w:val="00B8477A"/>
    <w:rsid w:val="00B8560A"/>
    <w:rsid w:val="00B86319"/>
    <w:rsid w:val="00B87938"/>
    <w:rsid w:val="00B87CDC"/>
    <w:rsid w:val="00B902B4"/>
    <w:rsid w:val="00B90CA0"/>
    <w:rsid w:val="00B910C1"/>
    <w:rsid w:val="00B91BFF"/>
    <w:rsid w:val="00B91E7C"/>
    <w:rsid w:val="00B92852"/>
    <w:rsid w:val="00B93760"/>
    <w:rsid w:val="00B93CB2"/>
    <w:rsid w:val="00B9450F"/>
    <w:rsid w:val="00B94FA7"/>
    <w:rsid w:val="00B95BAC"/>
    <w:rsid w:val="00B964BB"/>
    <w:rsid w:val="00B96AAE"/>
    <w:rsid w:val="00B96EA7"/>
    <w:rsid w:val="00B97F11"/>
    <w:rsid w:val="00BA2CA4"/>
    <w:rsid w:val="00BA2EFA"/>
    <w:rsid w:val="00BA3DBC"/>
    <w:rsid w:val="00BA6B5A"/>
    <w:rsid w:val="00BA707A"/>
    <w:rsid w:val="00BA7F2A"/>
    <w:rsid w:val="00BB0B35"/>
    <w:rsid w:val="00BB1AFB"/>
    <w:rsid w:val="00BB2658"/>
    <w:rsid w:val="00BB27AE"/>
    <w:rsid w:val="00BB2DA2"/>
    <w:rsid w:val="00BB3461"/>
    <w:rsid w:val="00BB503C"/>
    <w:rsid w:val="00BB56DC"/>
    <w:rsid w:val="00BB5F9F"/>
    <w:rsid w:val="00BB6232"/>
    <w:rsid w:val="00BC07F8"/>
    <w:rsid w:val="00BC1EAF"/>
    <w:rsid w:val="00BC33B7"/>
    <w:rsid w:val="00BC3905"/>
    <w:rsid w:val="00BC3ACE"/>
    <w:rsid w:val="00BC41E9"/>
    <w:rsid w:val="00BC4322"/>
    <w:rsid w:val="00BC4C0E"/>
    <w:rsid w:val="00BC651D"/>
    <w:rsid w:val="00BC7E83"/>
    <w:rsid w:val="00BD0152"/>
    <w:rsid w:val="00BD104F"/>
    <w:rsid w:val="00BD168C"/>
    <w:rsid w:val="00BD1D12"/>
    <w:rsid w:val="00BD256C"/>
    <w:rsid w:val="00BD2E69"/>
    <w:rsid w:val="00BD4416"/>
    <w:rsid w:val="00BD4E5B"/>
    <w:rsid w:val="00BE183D"/>
    <w:rsid w:val="00BE2B94"/>
    <w:rsid w:val="00BE45A7"/>
    <w:rsid w:val="00BE4A10"/>
    <w:rsid w:val="00BE68A8"/>
    <w:rsid w:val="00BE7A92"/>
    <w:rsid w:val="00BF120D"/>
    <w:rsid w:val="00BF1F72"/>
    <w:rsid w:val="00BF2089"/>
    <w:rsid w:val="00BF24C2"/>
    <w:rsid w:val="00BF2922"/>
    <w:rsid w:val="00BF313C"/>
    <w:rsid w:val="00BF31BC"/>
    <w:rsid w:val="00BF338F"/>
    <w:rsid w:val="00BF3463"/>
    <w:rsid w:val="00BF3815"/>
    <w:rsid w:val="00BF38E4"/>
    <w:rsid w:val="00BF5D7A"/>
    <w:rsid w:val="00BF618A"/>
    <w:rsid w:val="00BF6E3F"/>
    <w:rsid w:val="00BF6F38"/>
    <w:rsid w:val="00BF6F84"/>
    <w:rsid w:val="00C001C6"/>
    <w:rsid w:val="00C00F98"/>
    <w:rsid w:val="00C01C2E"/>
    <w:rsid w:val="00C025C4"/>
    <w:rsid w:val="00C02D33"/>
    <w:rsid w:val="00C03762"/>
    <w:rsid w:val="00C04273"/>
    <w:rsid w:val="00C04B53"/>
    <w:rsid w:val="00C06307"/>
    <w:rsid w:val="00C06765"/>
    <w:rsid w:val="00C075AD"/>
    <w:rsid w:val="00C10C80"/>
    <w:rsid w:val="00C10D17"/>
    <w:rsid w:val="00C1232C"/>
    <w:rsid w:val="00C12A78"/>
    <w:rsid w:val="00C1320A"/>
    <w:rsid w:val="00C13401"/>
    <w:rsid w:val="00C15C8E"/>
    <w:rsid w:val="00C15EFA"/>
    <w:rsid w:val="00C16905"/>
    <w:rsid w:val="00C174A1"/>
    <w:rsid w:val="00C17511"/>
    <w:rsid w:val="00C20E12"/>
    <w:rsid w:val="00C211E9"/>
    <w:rsid w:val="00C21735"/>
    <w:rsid w:val="00C217C1"/>
    <w:rsid w:val="00C227DE"/>
    <w:rsid w:val="00C25586"/>
    <w:rsid w:val="00C26683"/>
    <w:rsid w:val="00C26793"/>
    <w:rsid w:val="00C27C6B"/>
    <w:rsid w:val="00C31F24"/>
    <w:rsid w:val="00C32445"/>
    <w:rsid w:val="00C332F1"/>
    <w:rsid w:val="00C3418E"/>
    <w:rsid w:val="00C343F7"/>
    <w:rsid w:val="00C346D8"/>
    <w:rsid w:val="00C348B7"/>
    <w:rsid w:val="00C34E24"/>
    <w:rsid w:val="00C3594D"/>
    <w:rsid w:val="00C36442"/>
    <w:rsid w:val="00C400CE"/>
    <w:rsid w:val="00C40659"/>
    <w:rsid w:val="00C410FD"/>
    <w:rsid w:val="00C42FCD"/>
    <w:rsid w:val="00C430A7"/>
    <w:rsid w:val="00C457DE"/>
    <w:rsid w:val="00C47D53"/>
    <w:rsid w:val="00C47DD3"/>
    <w:rsid w:val="00C50285"/>
    <w:rsid w:val="00C5236F"/>
    <w:rsid w:val="00C52DE3"/>
    <w:rsid w:val="00C5303A"/>
    <w:rsid w:val="00C5316F"/>
    <w:rsid w:val="00C53562"/>
    <w:rsid w:val="00C539FB"/>
    <w:rsid w:val="00C550F2"/>
    <w:rsid w:val="00C60E91"/>
    <w:rsid w:val="00C62EE2"/>
    <w:rsid w:val="00C63043"/>
    <w:rsid w:val="00C652A2"/>
    <w:rsid w:val="00C6588E"/>
    <w:rsid w:val="00C66AA3"/>
    <w:rsid w:val="00C66E57"/>
    <w:rsid w:val="00C70601"/>
    <w:rsid w:val="00C7182C"/>
    <w:rsid w:val="00C724D7"/>
    <w:rsid w:val="00C73483"/>
    <w:rsid w:val="00C74150"/>
    <w:rsid w:val="00C75257"/>
    <w:rsid w:val="00C75594"/>
    <w:rsid w:val="00C75B4B"/>
    <w:rsid w:val="00C77296"/>
    <w:rsid w:val="00C77B69"/>
    <w:rsid w:val="00C82169"/>
    <w:rsid w:val="00C84853"/>
    <w:rsid w:val="00C8524B"/>
    <w:rsid w:val="00C858F7"/>
    <w:rsid w:val="00C85982"/>
    <w:rsid w:val="00C911AD"/>
    <w:rsid w:val="00C9130D"/>
    <w:rsid w:val="00C916D2"/>
    <w:rsid w:val="00C9217A"/>
    <w:rsid w:val="00C93951"/>
    <w:rsid w:val="00C93B3B"/>
    <w:rsid w:val="00C93E70"/>
    <w:rsid w:val="00C96C0D"/>
    <w:rsid w:val="00C9774A"/>
    <w:rsid w:val="00C97C13"/>
    <w:rsid w:val="00CA0466"/>
    <w:rsid w:val="00CA1390"/>
    <w:rsid w:val="00CA246D"/>
    <w:rsid w:val="00CA3D56"/>
    <w:rsid w:val="00CA50D9"/>
    <w:rsid w:val="00CB00EB"/>
    <w:rsid w:val="00CB0199"/>
    <w:rsid w:val="00CB3054"/>
    <w:rsid w:val="00CB4187"/>
    <w:rsid w:val="00CB49C9"/>
    <w:rsid w:val="00CB519E"/>
    <w:rsid w:val="00CB5636"/>
    <w:rsid w:val="00CB5F30"/>
    <w:rsid w:val="00CB6592"/>
    <w:rsid w:val="00CB726E"/>
    <w:rsid w:val="00CB75F9"/>
    <w:rsid w:val="00CB7B9C"/>
    <w:rsid w:val="00CC2F61"/>
    <w:rsid w:val="00CC3732"/>
    <w:rsid w:val="00CC3A94"/>
    <w:rsid w:val="00CC3EE5"/>
    <w:rsid w:val="00CC4E70"/>
    <w:rsid w:val="00CC6102"/>
    <w:rsid w:val="00CC6E47"/>
    <w:rsid w:val="00CD1346"/>
    <w:rsid w:val="00CD2084"/>
    <w:rsid w:val="00CD2BD2"/>
    <w:rsid w:val="00CD358F"/>
    <w:rsid w:val="00CD5E57"/>
    <w:rsid w:val="00CD6D98"/>
    <w:rsid w:val="00CE10D4"/>
    <w:rsid w:val="00CE1A7D"/>
    <w:rsid w:val="00CE1F19"/>
    <w:rsid w:val="00CE2A8F"/>
    <w:rsid w:val="00CE425C"/>
    <w:rsid w:val="00CE55E7"/>
    <w:rsid w:val="00CE58AC"/>
    <w:rsid w:val="00CE7389"/>
    <w:rsid w:val="00CE77B1"/>
    <w:rsid w:val="00CE79B2"/>
    <w:rsid w:val="00CF0EA5"/>
    <w:rsid w:val="00CF17F2"/>
    <w:rsid w:val="00CF192B"/>
    <w:rsid w:val="00CF1B57"/>
    <w:rsid w:val="00CF2506"/>
    <w:rsid w:val="00CF4C63"/>
    <w:rsid w:val="00CF4C96"/>
    <w:rsid w:val="00CF4CF3"/>
    <w:rsid w:val="00CF4D74"/>
    <w:rsid w:val="00CF5A80"/>
    <w:rsid w:val="00D0237E"/>
    <w:rsid w:val="00D045EE"/>
    <w:rsid w:val="00D05091"/>
    <w:rsid w:val="00D072CE"/>
    <w:rsid w:val="00D074AA"/>
    <w:rsid w:val="00D10CA6"/>
    <w:rsid w:val="00D10CFA"/>
    <w:rsid w:val="00D10F21"/>
    <w:rsid w:val="00D1311F"/>
    <w:rsid w:val="00D134CF"/>
    <w:rsid w:val="00D136C4"/>
    <w:rsid w:val="00D14533"/>
    <w:rsid w:val="00D14D3B"/>
    <w:rsid w:val="00D1573B"/>
    <w:rsid w:val="00D15BD2"/>
    <w:rsid w:val="00D174CE"/>
    <w:rsid w:val="00D178E6"/>
    <w:rsid w:val="00D24806"/>
    <w:rsid w:val="00D24EEB"/>
    <w:rsid w:val="00D24F3C"/>
    <w:rsid w:val="00D27454"/>
    <w:rsid w:val="00D304FA"/>
    <w:rsid w:val="00D3142F"/>
    <w:rsid w:val="00D31D96"/>
    <w:rsid w:val="00D31F95"/>
    <w:rsid w:val="00D33701"/>
    <w:rsid w:val="00D33F33"/>
    <w:rsid w:val="00D34040"/>
    <w:rsid w:val="00D34E69"/>
    <w:rsid w:val="00D35A68"/>
    <w:rsid w:val="00D3638B"/>
    <w:rsid w:val="00D36C78"/>
    <w:rsid w:val="00D372CD"/>
    <w:rsid w:val="00D3738F"/>
    <w:rsid w:val="00D375EE"/>
    <w:rsid w:val="00D40923"/>
    <w:rsid w:val="00D44795"/>
    <w:rsid w:val="00D44A1C"/>
    <w:rsid w:val="00D454AF"/>
    <w:rsid w:val="00D45B8F"/>
    <w:rsid w:val="00D505E3"/>
    <w:rsid w:val="00D518DD"/>
    <w:rsid w:val="00D53E2E"/>
    <w:rsid w:val="00D546EB"/>
    <w:rsid w:val="00D55648"/>
    <w:rsid w:val="00D55AE8"/>
    <w:rsid w:val="00D56056"/>
    <w:rsid w:val="00D561A5"/>
    <w:rsid w:val="00D6085F"/>
    <w:rsid w:val="00D60F73"/>
    <w:rsid w:val="00D62699"/>
    <w:rsid w:val="00D62771"/>
    <w:rsid w:val="00D64D82"/>
    <w:rsid w:val="00D670DE"/>
    <w:rsid w:val="00D71705"/>
    <w:rsid w:val="00D72959"/>
    <w:rsid w:val="00D74160"/>
    <w:rsid w:val="00D74C9B"/>
    <w:rsid w:val="00D7716B"/>
    <w:rsid w:val="00D778E9"/>
    <w:rsid w:val="00D8025F"/>
    <w:rsid w:val="00D812BF"/>
    <w:rsid w:val="00D81312"/>
    <w:rsid w:val="00D824AA"/>
    <w:rsid w:val="00D82620"/>
    <w:rsid w:val="00D85707"/>
    <w:rsid w:val="00D864F2"/>
    <w:rsid w:val="00D86CDA"/>
    <w:rsid w:val="00D910C1"/>
    <w:rsid w:val="00D94447"/>
    <w:rsid w:val="00D959AB"/>
    <w:rsid w:val="00D969E7"/>
    <w:rsid w:val="00D969FD"/>
    <w:rsid w:val="00D9725F"/>
    <w:rsid w:val="00D97A35"/>
    <w:rsid w:val="00D97DCD"/>
    <w:rsid w:val="00DA01B1"/>
    <w:rsid w:val="00DA0475"/>
    <w:rsid w:val="00DA11A2"/>
    <w:rsid w:val="00DA1368"/>
    <w:rsid w:val="00DA14ED"/>
    <w:rsid w:val="00DA26D6"/>
    <w:rsid w:val="00DA28BB"/>
    <w:rsid w:val="00DA2E55"/>
    <w:rsid w:val="00DA336C"/>
    <w:rsid w:val="00DA3829"/>
    <w:rsid w:val="00DA3A25"/>
    <w:rsid w:val="00DA409F"/>
    <w:rsid w:val="00DA5539"/>
    <w:rsid w:val="00DA69CA"/>
    <w:rsid w:val="00DA72AB"/>
    <w:rsid w:val="00DA72C8"/>
    <w:rsid w:val="00DB04EB"/>
    <w:rsid w:val="00DB08BF"/>
    <w:rsid w:val="00DB1300"/>
    <w:rsid w:val="00DB18E4"/>
    <w:rsid w:val="00DB20B6"/>
    <w:rsid w:val="00DB24DE"/>
    <w:rsid w:val="00DB2EF1"/>
    <w:rsid w:val="00DB3DE1"/>
    <w:rsid w:val="00DB48A2"/>
    <w:rsid w:val="00DB59FA"/>
    <w:rsid w:val="00DB5DA0"/>
    <w:rsid w:val="00DB5F6D"/>
    <w:rsid w:val="00DB682D"/>
    <w:rsid w:val="00DB68E9"/>
    <w:rsid w:val="00DB716C"/>
    <w:rsid w:val="00DC19FE"/>
    <w:rsid w:val="00DC2C93"/>
    <w:rsid w:val="00DC2D2C"/>
    <w:rsid w:val="00DC32A1"/>
    <w:rsid w:val="00DC3563"/>
    <w:rsid w:val="00DC35E1"/>
    <w:rsid w:val="00DC47A8"/>
    <w:rsid w:val="00DC5C85"/>
    <w:rsid w:val="00DC737E"/>
    <w:rsid w:val="00DC7480"/>
    <w:rsid w:val="00DC7C5D"/>
    <w:rsid w:val="00DD07B1"/>
    <w:rsid w:val="00DD0A8E"/>
    <w:rsid w:val="00DD3487"/>
    <w:rsid w:val="00DD4236"/>
    <w:rsid w:val="00DD44F1"/>
    <w:rsid w:val="00DD54BE"/>
    <w:rsid w:val="00DD5987"/>
    <w:rsid w:val="00DD60DC"/>
    <w:rsid w:val="00DD6957"/>
    <w:rsid w:val="00DD6E7A"/>
    <w:rsid w:val="00DD6F09"/>
    <w:rsid w:val="00DD77E8"/>
    <w:rsid w:val="00DD79C1"/>
    <w:rsid w:val="00DE0255"/>
    <w:rsid w:val="00DE0A56"/>
    <w:rsid w:val="00DE3067"/>
    <w:rsid w:val="00DE4096"/>
    <w:rsid w:val="00DE49A4"/>
    <w:rsid w:val="00DE63B2"/>
    <w:rsid w:val="00DE7A00"/>
    <w:rsid w:val="00DF07E8"/>
    <w:rsid w:val="00DF2334"/>
    <w:rsid w:val="00DF274E"/>
    <w:rsid w:val="00DF2ACF"/>
    <w:rsid w:val="00DF3728"/>
    <w:rsid w:val="00DF3EEE"/>
    <w:rsid w:val="00DF4B47"/>
    <w:rsid w:val="00DF4D37"/>
    <w:rsid w:val="00DF7156"/>
    <w:rsid w:val="00DF75E1"/>
    <w:rsid w:val="00E01925"/>
    <w:rsid w:val="00E0253A"/>
    <w:rsid w:val="00E02661"/>
    <w:rsid w:val="00E02665"/>
    <w:rsid w:val="00E027BC"/>
    <w:rsid w:val="00E02931"/>
    <w:rsid w:val="00E045BE"/>
    <w:rsid w:val="00E04C46"/>
    <w:rsid w:val="00E079CC"/>
    <w:rsid w:val="00E10E08"/>
    <w:rsid w:val="00E10F0D"/>
    <w:rsid w:val="00E11985"/>
    <w:rsid w:val="00E13378"/>
    <w:rsid w:val="00E13938"/>
    <w:rsid w:val="00E149F4"/>
    <w:rsid w:val="00E14EA5"/>
    <w:rsid w:val="00E17263"/>
    <w:rsid w:val="00E2004B"/>
    <w:rsid w:val="00E2070E"/>
    <w:rsid w:val="00E21133"/>
    <w:rsid w:val="00E211F7"/>
    <w:rsid w:val="00E2327E"/>
    <w:rsid w:val="00E23577"/>
    <w:rsid w:val="00E24509"/>
    <w:rsid w:val="00E25E6C"/>
    <w:rsid w:val="00E266EF"/>
    <w:rsid w:val="00E271AC"/>
    <w:rsid w:val="00E317F2"/>
    <w:rsid w:val="00E317F5"/>
    <w:rsid w:val="00E326A8"/>
    <w:rsid w:val="00E330D0"/>
    <w:rsid w:val="00E33CB9"/>
    <w:rsid w:val="00E341B2"/>
    <w:rsid w:val="00E37CF0"/>
    <w:rsid w:val="00E37EA9"/>
    <w:rsid w:val="00E41D85"/>
    <w:rsid w:val="00E42FFC"/>
    <w:rsid w:val="00E46243"/>
    <w:rsid w:val="00E46C76"/>
    <w:rsid w:val="00E47428"/>
    <w:rsid w:val="00E50E7D"/>
    <w:rsid w:val="00E527B7"/>
    <w:rsid w:val="00E53DBF"/>
    <w:rsid w:val="00E54549"/>
    <w:rsid w:val="00E5508B"/>
    <w:rsid w:val="00E56C8E"/>
    <w:rsid w:val="00E5716B"/>
    <w:rsid w:val="00E57645"/>
    <w:rsid w:val="00E57F1F"/>
    <w:rsid w:val="00E61157"/>
    <w:rsid w:val="00E66602"/>
    <w:rsid w:val="00E66B9F"/>
    <w:rsid w:val="00E6759E"/>
    <w:rsid w:val="00E70A6A"/>
    <w:rsid w:val="00E70BE0"/>
    <w:rsid w:val="00E710D6"/>
    <w:rsid w:val="00E715BC"/>
    <w:rsid w:val="00E72EB7"/>
    <w:rsid w:val="00E73503"/>
    <w:rsid w:val="00E73DA4"/>
    <w:rsid w:val="00E7626A"/>
    <w:rsid w:val="00E76AC4"/>
    <w:rsid w:val="00E76E45"/>
    <w:rsid w:val="00E777C9"/>
    <w:rsid w:val="00E811A7"/>
    <w:rsid w:val="00E8127C"/>
    <w:rsid w:val="00E81DA6"/>
    <w:rsid w:val="00E81FEC"/>
    <w:rsid w:val="00E82490"/>
    <w:rsid w:val="00E837B9"/>
    <w:rsid w:val="00E8397B"/>
    <w:rsid w:val="00E83FAC"/>
    <w:rsid w:val="00E84212"/>
    <w:rsid w:val="00E84FBB"/>
    <w:rsid w:val="00E85113"/>
    <w:rsid w:val="00E8643B"/>
    <w:rsid w:val="00E9086C"/>
    <w:rsid w:val="00E90AAA"/>
    <w:rsid w:val="00E90D30"/>
    <w:rsid w:val="00E91530"/>
    <w:rsid w:val="00E91A0F"/>
    <w:rsid w:val="00E91BCE"/>
    <w:rsid w:val="00E92658"/>
    <w:rsid w:val="00E94206"/>
    <w:rsid w:val="00E9433B"/>
    <w:rsid w:val="00E943E6"/>
    <w:rsid w:val="00E94A71"/>
    <w:rsid w:val="00E94CBF"/>
    <w:rsid w:val="00E95B0B"/>
    <w:rsid w:val="00E95E5D"/>
    <w:rsid w:val="00E9613C"/>
    <w:rsid w:val="00EA03CE"/>
    <w:rsid w:val="00EA0C1F"/>
    <w:rsid w:val="00EA23E5"/>
    <w:rsid w:val="00EA375F"/>
    <w:rsid w:val="00EA405E"/>
    <w:rsid w:val="00EA4BCF"/>
    <w:rsid w:val="00EA4E2E"/>
    <w:rsid w:val="00EA6A88"/>
    <w:rsid w:val="00EA7E84"/>
    <w:rsid w:val="00EB08AC"/>
    <w:rsid w:val="00EB2417"/>
    <w:rsid w:val="00EB2CCB"/>
    <w:rsid w:val="00EB2F5D"/>
    <w:rsid w:val="00EB5EA9"/>
    <w:rsid w:val="00EB64A5"/>
    <w:rsid w:val="00EB70A0"/>
    <w:rsid w:val="00EB7A25"/>
    <w:rsid w:val="00EC03AB"/>
    <w:rsid w:val="00EC0F3E"/>
    <w:rsid w:val="00EC1580"/>
    <w:rsid w:val="00EC1B6B"/>
    <w:rsid w:val="00EC29F3"/>
    <w:rsid w:val="00EC439D"/>
    <w:rsid w:val="00EC511A"/>
    <w:rsid w:val="00EC57A7"/>
    <w:rsid w:val="00ED0817"/>
    <w:rsid w:val="00ED237C"/>
    <w:rsid w:val="00ED3AAF"/>
    <w:rsid w:val="00ED4809"/>
    <w:rsid w:val="00ED4876"/>
    <w:rsid w:val="00ED49F1"/>
    <w:rsid w:val="00ED7DD9"/>
    <w:rsid w:val="00ED7FCB"/>
    <w:rsid w:val="00EE0F3B"/>
    <w:rsid w:val="00EE28B2"/>
    <w:rsid w:val="00EE42A3"/>
    <w:rsid w:val="00EE440D"/>
    <w:rsid w:val="00EE445B"/>
    <w:rsid w:val="00EE55B9"/>
    <w:rsid w:val="00EE5F63"/>
    <w:rsid w:val="00EE6ADB"/>
    <w:rsid w:val="00EE76D1"/>
    <w:rsid w:val="00EF0309"/>
    <w:rsid w:val="00EF2409"/>
    <w:rsid w:val="00EF302D"/>
    <w:rsid w:val="00EF3113"/>
    <w:rsid w:val="00EF3F84"/>
    <w:rsid w:val="00EF4258"/>
    <w:rsid w:val="00EF5410"/>
    <w:rsid w:val="00EF5528"/>
    <w:rsid w:val="00EF5867"/>
    <w:rsid w:val="00EF6E18"/>
    <w:rsid w:val="00F00912"/>
    <w:rsid w:val="00F00A59"/>
    <w:rsid w:val="00F00B34"/>
    <w:rsid w:val="00F00BCD"/>
    <w:rsid w:val="00F01843"/>
    <w:rsid w:val="00F03338"/>
    <w:rsid w:val="00F03CC8"/>
    <w:rsid w:val="00F06DED"/>
    <w:rsid w:val="00F06E62"/>
    <w:rsid w:val="00F10BC4"/>
    <w:rsid w:val="00F11807"/>
    <w:rsid w:val="00F1463C"/>
    <w:rsid w:val="00F14922"/>
    <w:rsid w:val="00F154CF"/>
    <w:rsid w:val="00F15E57"/>
    <w:rsid w:val="00F16518"/>
    <w:rsid w:val="00F176AC"/>
    <w:rsid w:val="00F204C4"/>
    <w:rsid w:val="00F223A2"/>
    <w:rsid w:val="00F232C7"/>
    <w:rsid w:val="00F24C5E"/>
    <w:rsid w:val="00F24F88"/>
    <w:rsid w:val="00F264AE"/>
    <w:rsid w:val="00F26CC9"/>
    <w:rsid w:val="00F26F28"/>
    <w:rsid w:val="00F27714"/>
    <w:rsid w:val="00F279E4"/>
    <w:rsid w:val="00F32504"/>
    <w:rsid w:val="00F3276E"/>
    <w:rsid w:val="00F33D3C"/>
    <w:rsid w:val="00F33E23"/>
    <w:rsid w:val="00F3532D"/>
    <w:rsid w:val="00F37A91"/>
    <w:rsid w:val="00F37E60"/>
    <w:rsid w:val="00F402A0"/>
    <w:rsid w:val="00F408A0"/>
    <w:rsid w:val="00F4100F"/>
    <w:rsid w:val="00F411D3"/>
    <w:rsid w:val="00F43EF9"/>
    <w:rsid w:val="00F44C80"/>
    <w:rsid w:val="00F45CF5"/>
    <w:rsid w:val="00F47275"/>
    <w:rsid w:val="00F47DB0"/>
    <w:rsid w:val="00F50665"/>
    <w:rsid w:val="00F50C3F"/>
    <w:rsid w:val="00F50CE7"/>
    <w:rsid w:val="00F50E34"/>
    <w:rsid w:val="00F51AFB"/>
    <w:rsid w:val="00F52D0A"/>
    <w:rsid w:val="00F53EF7"/>
    <w:rsid w:val="00F54312"/>
    <w:rsid w:val="00F54BF2"/>
    <w:rsid w:val="00F5647E"/>
    <w:rsid w:val="00F564AD"/>
    <w:rsid w:val="00F62735"/>
    <w:rsid w:val="00F64246"/>
    <w:rsid w:val="00F64EAC"/>
    <w:rsid w:val="00F667FB"/>
    <w:rsid w:val="00F67F10"/>
    <w:rsid w:val="00F71675"/>
    <w:rsid w:val="00F75AFD"/>
    <w:rsid w:val="00F775AC"/>
    <w:rsid w:val="00F779A5"/>
    <w:rsid w:val="00F80054"/>
    <w:rsid w:val="00F80893"/>
    <w:rsid w:val="00F8263B"/>
    <w:rsid w:val="00F83E3D"/>
    <w:rsid w:val="00F857C4"/>
    <w:rsid w:val="00F85EB7"/>
    <w:rsid w:val="00F8792F"/>
    <w:rsid w:val="00F87D70"/>
    <w:rsid w:val="00F9016D"/>
    <w:rsid w:val="00F90CB2"/>
    <w:rsid w:val="00F90D99"/>
    <w:rsid w:val="00F9214D"/>
    <w:rsid w:val="00F9229A"/>
    <w:rsid w:val="00F92355"/>
    <w:rsid w:val="00F93963"/>
    <w:rsid w:val="00F940CC"/>
    <w:rsid w:val="00F94291"/>
    <w:rsid w:val="00F950DC"/>
    <w:rsid w:val="00F959A3"/>
    <w:rsid w:val="00FA0A54"/>
    <w:rsid w:val="00FA11ED"/>
    <w:rsid w:val="00FA1B92"/>
    <w:rsid w:val="00FA298A"/>
    <w:rsid w:val="00FA2BEA"/>
    <w:rsid w:val="00FA32FF"/>
    <w:rsid w:val="00FA5B66"/>
    <w:rsid w:val="00FA698A"/>
    <w:rsid w:val="00FB0B9C"/>
    <w:rsid w:val="00FB0BCA"/>
    <w:rsid w:val="00FB14CB"/>
    <w:rsid w:val="00FB30EB"/>
    <w:rsid w:val="00FB3B89"/>
    <w:rsid w:val="00FB3CC3"/>
    <w:rsid w:val="00FB4014"/>
    <w:rsid w:val="00FB42CE"/>
    <w:rsid w:val="00FB47C0"/>
    <w:rsid w:val="00FB71D1"/>
    <w:rsid w:val="00FB7982"/>
    <w:rsid w:val="00FB7BFB"/>
    <w:rsid w:val="00FC0734"/>
    <w:rsid w:val="00FC0FC5"/>
    <w:rsid w:val="00FC33BE"/>
    <w:rsid w:val="00FC4FC2"/>
    <w:rsid w:val="00FC5555"/>
    <w:rsid w:val="00FC588F"/>
    <w:rsid w:val="00FC6879"/>
    <w:rsid w:val="00FC6C78"/>
    <w:rsid w:val="00FC7644"/>
    <w:rsid w:val="00FC7E54"/>
    <w:rsid w:val="00FD02D8"/>
    <w:rsid w:val="00FD04C3"/>
    <w:rsid w:val="00FD36E3"/>
    <w:rsid w:val="00FD3D18"/>
    <w:rsid w:val="00FD43C2"/>
    <w:rsid w:val="00FD4A8E"/>
    <w:rsid w:val="00FD55E6"/>
    <w:rsid w:val="00FD57CC"/>
    <w:rsid w:val="00FD5908"/>
    <w:rsid w:val="00FD6564"/>
    <w:rsid w:val="00FD66DB"/>
    <w:rsid w:val="00FD7023"/>
    <w:rsid w:val="00FD7709"/>
    <w:rsid w:val="00FE11AF"/>
    <w:rsid w:val="00FE1B30"/>
    <w:rsid w:val="00FE2153"/>
    <w:rsid w:val="00FE3A95"/>
    <w:rsid w:val="00FE41E6"/>
    <w:rsid w:val="00FE4CB1"/>
    <w:rsid w:val="00FE4E75"/>
    <w:rsid w:val="00FE5066"/>
    <w:rsid w:val="00FE76FA"/>
    <w:rsid w:val="00FE78B3"/>
    <w:rsid w:val="00FE7B44"/>
    <w:rsid w:val="00FE7FC5"/>
    <w:rsid w:val="00FF09BF"/>
    <w:rsid w:val="00FF0DA8"/>
    <w:rsid w:val="00FF6014"/>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ind w:left="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6C0EEA"/>
    <w:rPr>
      <w:b/>
      <w:caps/>
      <w:kern w:val="28"/>
      <w:sz w:val="24"/>
      <w:lang w:eastAsia="en-US"/>
    </w:rPr>
  </w:style>
  <w:style w:type="paragraph" w:customStyle="1" w:styleId="Default">
    <w:name w:val="Default"/>
    <w:rsid w:val="0023194E"/>
    <w:pPr>
      <w:autoSpaceDE w:val="0"/>
      <w:autoSpaceDN w:val="0"/>
      <w:adjustRightInd w:val="0"/>
    </w:pPr>
    <w:rPr>
      <w:rFonts w:ascii="Arial" w:hAnsi="Arial" w:cs="Arial"/>
      <w:color w:val="000000"/>
      <w:sz w:val="24"/>
      <w:szCs w:val="24"/>
    </w:rPr>
  </w:style>
  <w:style w:type="paragraph" w:customStyle="1" w:styleId="subsection">
    <w:name w:val="subsection"/>
    <w:basedOn w:val="Normal"/>
    <w:rsid w:val="003A4D4F"/>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3A4D4F"/>
    <w:pPr>
      <w:spacing w:before="100" w:beforeAutospacing="1" w:after="100" w:afterAutospacing="1" w:line="240" w:lineRule="auto"/>
      <w:jc w:val="left"/>
    </w:pPr>
    <w:rPr>
      <w:rFonts w:eastAsia="Times New Roman"/>
      <w:szCs w:val="24"/>
      <w:lang w:eastAsia="en-AU"/>
    </w:rPr>
  </w:style>
  <w:style w:type="paragraph" w:customStyle="1" w:styleId="subsection2">
    <w:name w:val="subsection2"/>
    <w:basedOn w:val="Normal"/>
    <w:rsid w:val="003A4D4F"/>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237489"/>
  </w:style>
  <w:style w:type="paragraph" w:customStyle="1" w:styleId="acthead5">
    <w:name w:val="acthead5"/>
    <w:basedOn w:val="Normal"/>
    <w:rsid w:val="00FD66DB"/>
    <w:pPr>
      <w:spacing w:before="100" w:beforeAutospacing="1" w:after="100" w:afterAutospacing="1" w:line="240" w:lineRule="auto"/>
      <w:jc w:val="left"/>
    </w:pPr>
    <w:rPr>
      <w:rFonts w:eastAsia="Times New Roman"/>
      <w:szCs w:val="24"/>
      <w:lang w:eastAsia="en-AU"/>
    </w:rPr>
  </w:style>
  <w:style w:type="character" w:styleId="UnresolvedMention">
    <w:name w:val="Unresolved Mention"/>
    <w:basedOn w:val="DefaultParagraphFont"/>
    <w:uiPriority w:val="99"/>
    <w:semiHidden/>
    <w:unhideWhenUsed/>
    <w:rsid w:val="00211980"/>
    <w:rPr>
      <w:color w:val="605E5C"/>
      <w:shd w:val="clear" w:color="auto" w:fill="E1DFDD"/>
    </w:rPr>
  </w:style>
  <w:style w:type="table" w:styleId="TableGridLight">
    <w:name w:val="Grid Table Light"/>
    <w:basedOn w:val="TableNormal"/>
    <w:uiPriority w:val="40"/>
    <w:rsid w:val="00DB5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E6E01"/>
    <w:rPr>
      <w:sz w:val="24"/>
      <w:lang w:eastAsia="en-US"/>
    </w:rPr>
  </w:style>
  <w:style w:type="table" w:styleId="PlainTable2">
    <w:name w:val="Plain Table 2"/>
    <w:basedOn w:val="TableNormal"/>
    <w:uiPriority w:val="42"/>
    <w:rsid w:val="00C530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6">
      <w:bodyDiv w:val="1"/>
      <w:marLeft w:val="0"/>
      <w:marRight w:val="0"/>
      <w:marTop w:val="0"/>
      <w:marBottom w:val="0"/>
      <w:divBdr>
        <w:top w:val="none" w:sz="0" w:space="0" w:color="auto"/>
        <w:left w:val="none" w:sz="0" w:space="0" w:color="auto"/>
        <w:bottom w:val="none" w:sz="0" w:space="0" w:color="auto"/>
        <w:right w:val="none" w:sz="0" w:space="0" w:color="auto"/>
      </w:divBdr>
    </w:div>
    <w:div w:id="6905111">
      <w:bodyDiv w:val="1"/>
      <w:marLeft w:val="0"/>
      <w:marRight w:val="0"/>
      <w:marTop w:val="0"/>
      <w:marBottom w:val="0"/>
      <w:divBdr>
        <w:top w:val="none" w:sz="0" w:space="0" w:color="auto"/>
        <w:left w:val="none" w:sz="0" w:space="0" w:color="auto"/>
        <w:bottom w:val="none" w:sz="0" w:space="0" w:color="auto"/>
        <w:right w:val="none" w:sz="0" w:space="0" w:color="auto"/>
      </w:divBdr>
    </w:div>
    <w:div w:id="285082460">
      <w:bodyDiv w:val="1"/>
      <w:marLeft w:val="0"/>
      <w:marRight w:val="0"/>
      <w:marTop w:val="0"/>
      <w:marBottom w:val="0"/>
      <w:divBdr>
        <w:top w:val="none" w:sz="0" w:space="0" w:color="auto"/>
        <w:left w:val="none" w:sz="0" w:space="0" w:color="auto"/>
        <w:bottom w:val="none" w:sz="0" w:space="0" w:color="auto"/>
        <w:right w:val="none" w:sz="0" w:space="0" w:color="auto"/>
      </w:divBdr>
    </w:div>
    <w:div w:id="332877321">
      <w:bodyDiv w:val="1"/>
      <w:marLeft w:val="0"/>
      <w:marRight w:val="0"/>
      <w:marTop w:val="0"/>
      <w:marBottom w:val="0"/>
      <w:divBdr>
        <w:top w:val="none" w:sz="0" w:space="0" w:color="auto"/>
        <w:left w:val="none" w:sz="0" w:space="0" w:color="auto"/>
        <w:bottom w:val="none" w:sz="0" w:space="0" w:color="auto"/>
        <w:right w:val="none" w:sz="0" w:space="0" w:color="auto"/>
      </w:divBdr>
      <w:divsChild>
        <w:div w:id="1329601398">
          <w:marLeft w:val="0"/>
          <w:marRight w:val="0"/>
          <w:marTop w:val="0"/>
          <w:marBottom w:val="0"/>
          <w:divBdr>
            <w:top w:val="none" w:sz="0" w:space="0" w:color="auto"/>
            <w:left w:val="none" w:sz="0" w:space="0" w:color="auto"/>
            <w:bottom w:val="none" w:sz="0" w:space="0" w:color="auto"/>
            <w:right w:val="none" w:sz="0" w:space="0" w:color="auto"/>
          </w:divBdr>
          <w:divsChild>
            <w:div w:id="1206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7214">
      <w:bodyDiv w:val="1"/>
      <w:marLeft w:val="0"/>
      <w:marRight w:val="0"/>
      <w:marTop w:val="0"/>
      <w:marBottom w:val="0"/>
      <w:divBdr>
        <w:top w:val="none" w:sz="0" w:space="0" w:color="auto"/>
        <w:left w:val="none" w:sz="0" w:space="0" w:color="auto"/>
        <w:bottom w:val="none" w:sz="0" w:space="0" w:color="auto"/>
        <w:right w:val="none" w:sz="0" w:space="0" w:color="auto"/>
      </w:divBdr>
    </w:div>
    <w:div w:id="371539395">
      <w:bodyDiv w:val="1"/>
      <w:marLeft w:val="0"/>
      <w:marRight w:val="0"/>
      <w:marTop w:val="0"/>
      <w:marBottom w:val="0"/>
      <w:divBdr>
        <w:top w:val="none" w:sz="0" w:space="0" w:color="auto"/>
        <w:left w:val="none" w:sz="0" w:space="0" w:color="auto"/>
        <w:bottom w:val="none" w:sz="0" w:space="0" w:color="auto"/>
        <w:right w:val="none" w:sz="0" w:space="0" w:color="auto"/>
      </w:divBdr>
      <w:divsChild>
        <w:div w:id="1372994876">
          <w:marLeft w:val="0"/>
          <w:marRight w:val="0"/>
          <w:marTop w:val="0"/>
          <w:marBottom w:val="0"/>
          <w:divBdr>
            <w:top w:val="none" w:sz="0" w:space="0" w:color="auto"/>
            <w:left w:val="none" w:sz="0" w:space="0" w:color="auto"/>
            <w:bottom w:val="none" w:sz="0" w:space="0" w:color="auto"/>
            <w:right w:val="none" w:sz="0" w:space="0" w:color="auto"/>
          </w:divBdr>
          <w:divsChild>
            <w:div w:id="15955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5462">
      <w:bodyDiv w:val="1"/>
      <w:marLeft w:val="0"/>
      <w:marRight w:val="0"/>
      <w:marTop w:val="0"/>
      <w:marBottom w:val="0"/>
      <w:divBdr>
        <w:top w:val="none" w:sz="0" w:space="0" w:color="auto"/>
        <w:left w:val="none" w:sz="0" w:space="0" w:color="auto"/>
        <w:bottom w:val="none" w:sz="0" w:space="0" w:color="auto"/>
        <w:right w:val="none" w:sz="0" w:space="0" w:color="auto"/>
      </w:divBdr>
    </w:div>
    <w:div w:id="398793122">
      <w:bodyDiv w:val="1"/>
      <w:marLeft w:val="0"/>
      <w:marRight w:val="0"/>
      <w:marTop w:val="0"/>
      <w:marBottom w:val="0"/>
      <w:divBdr>
        <w:top w:val="none" w:sz="0" w:space="0" w:color="auto"/>
        <w:left w:val="none" w:sz="0" w:space="0" w:color="auto"/>
        <w:bottom w:val="none" w:sz="0" w:space="0" w:color="auto"/>
        <w:right w:val="none" w:sz="0" w:space="0" w:color="auto"/>
      </w:divBdr>
    </w:div>
    <w:div w:id="407071019">
      <w:bodyDiv w:val="1"/>
      <w:marLeft w:val="0"/>
      <w:marRight w:val="0"/>
      <w:marTop w:val="0"/>
      <w:marBottom w:val="0"/>
      <w:divBdr>
        <w:top w:val="none" w:sz="0" w:space="0" w:color="auto"/>
        <w:left w:val="none" w:sz="0" w:space="0" w:color="auto"/>
        <w:bottom w:val="none" w:sz="0" w:space="0" w:color="auto"/>
        <w:right w:val="none" w:sz="0" w:space="0" w:color="auto"/>
      </w:divBdr>
    </w:div>
    <w:div w:id="461774921">
      <w:bodyDiv w:val="1"/>
      <w:marLeft w:val="0"/>
      <w:marRight w:val="0"/>
      <w:marTop w:val="0"/>
      <w:marBottom w:val="0"/>
      <w:divBdr>
        <w:top w:val="none" w:sz="0" w:space="0" w:color="auto"/>
        <w:left w:val="none" w:sz="0" w:space="0" w:color="auto"/>
        <w:bottom w:val="none" w:sz="0" w:space="0" w:color="auto"/>
        <w:right w:val="none" w:sz="0" w:space="0" w:color="auto"/>
      </w:divBdr>
    </w:div>
    <w:div w:id="500200435">
      <w:bodyDiv w:val="1"/>
      <w:marLeft w:val="0"/>
      <w:marRight w:val="0"/>
      <w:marTop w:val="0"/>
      <w:marBottom w:val="0"/>
      <w:divBdr>
        <w:top w:val="none" w:sz="0" w:space="0" w:color="auto"/>
        <w:left w:val="none" w:sz="0" w:space="0" w:color="auto"/>
        <w:bottom w:val="none" w:sz="0" w:space="0" w:color="auto"/>
        <w:right w:val="none" w:sz="0" w:space="0" w:color="auto"/>
      </w:divBdr>
    </w:div>
    <w:div w:id="577247418">
      <w:bodyDiv w:val="1"/>
      <w:marLeft w:val="0"/>
      <w:marRight w:val="0"/>
      <w:marTop w:val="0"/>
      <w:marBottom w:val="0"/>
      <w:divBdr>
        <w:top w:val="none" w:sz="0" w:space="0" w:color="auto"/>
        <w:left w:val="none" w:sz="0" w:space="0" w:color="auto"/>
        <w:bottom w:val="none" w:sz="0" w:space="0" w:color="auto"/>
        <w:right w:val="none" w:sz="0" w:space="0" w:color="auto"/>
      </w:divBdr>
      <w:divsChild>
        <w:div w:id="323701993">
          <w:blockQuote w:val="1"/>
          <w:marLeft w:val="180"/>
          <w:marRight w:val="180"/>
          <w:marTop w:val="180"/>
          <w:marBottom w:val="180"/>
          <w:divBdr>
            <w:top w:val="none" w:sz="0" w:space="0" w:color="auto"/>
            <w:left w:val="none" w:sz="0" w:space="0" w:color="auto"/>
            <w:bottom w:val="none" w:sz="0" w:space="0" w:color="auto"/>
            <w:right w:val="none" w:sz="0" w:space="0" w:color="auto"/>
          </w:divBdr>
        </w:div>
        <w:div w:id="734278593">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627467108">
      <w:bodyDiv w:val="1"/>
      <w:marLeft w:val="0"/>
      <w:marRight w:val="0"/>
      <w:marTop w:val="0"/>
      <w:marBottom w:val="0"/>
      <w:divBdr>
        <w:top w:val="none" w:sz="0" w:space="0" w:color="auto"/>
        <w:left w:val="none" w:sz="0" w:space="0" w:color="auto"/>
        <w:bottom w:val="none" w:sz="0" w:space="0" w:color="auto"/>
        <w:right w:val="none" w:sz="0" w:space="0" w:color="auto"/>
      </w:divBdr>
    </w:div>
    <w:div w:id="962879611">
      <w:bodyDiv w:val="1"/>
      <w:marLeft w:val="0"/>
      <w:marRight w:val="0"/>
      <w:marTop w:val="0"/>
      <w:marBottom w:val="0"/>
      <w:divBdr>
        <w:top w:val="none" w:sz="0" w:space="0" w:color="auto"/>
        <w:left w:val="none" w:sz="0" w:space="0" w:color="auto"/>
        <w:bottom w:val="none" w:sz="0" w:space="0" w:color="auto"/>
        <w:right w:val="none" w:sz="0" w:space="0" w:color="auto"/>
      </w:divBdr>
    </w:div>
    <w:div w:id="1236088217">
      <w:bodyDiv w:val="1"/>
      <w:marLeft w:val="0"/>
      <w:marRight w:val="0"/>
      <w:marTop w:val="0"/>
      <w:marBottom w:val="0"/>
      <w:divBdr>
        <w:top w:val="none" w:sz="0" w:space="0" w:color="auto"/>
        <w:left w:val="none" w:sz="0" w:space="0" w:color="auto"/>
        <w:bottom w:val="none" w:sz="0" w:space="0" w:color="auto"/>
        <w:right w:val="none" w:sz="0" w:space="0" w:color="auto"/>
      </w:divBdr>
    </w:div>
    <w:div w:id="1266646058">
      <w:bodyDiv w:val="1"/>
      <w:marLeft w:val="0"/>
      <w:marRight w:val="0"/>
      <w:marTop w:val="0"/>
      <w:marBottom w:val="0"/>
      <w:divBdr>
        <w:top w:val="none" w:sz="0" w:space="0" w:color="auto"/>
        <w:left w:val="none" w:sz="0" w:space="0" w:color="auto"/>
        <w:bottom w:val="none" w:sz="0" w:space="0" w:color="auto"/>
        <w:right w:val="none" w:sz="0" w:space="0" w:color="auto"/>
      </w:divBdr>
    </w:div>
    <w:div w:id="1340934991">
      <w:bodyDiv w:val="1"/>
      <w:marLeft w:val="0"/>
      <w:marRight w:val="0"/>
      <w:marTop w:val="0"/>
      <w:marBottom w:val="0"/>
      <w:divBdr>
        <w:top w:val="none" w:sz="0" w:space="0" w:color="auto"/>
        <w:left w:val="none" w:sz="0" w:space="0" w:color="auto"/>
        <w:bottom w:val="none" w:sz="0" w:space="0" w:color="auto"/>
        <w:right w:val="none" w:sz="0" w:space="0" w:color="auto"/>
      </w:divBdr>
    </w:div>
    <w:div w:id="1358577865">
      <w:bodyDiv w:val="1"/>
      <w:marLeft w:val="0"/>
      <w:marRight w:val="0"/>
      <w:marTop w:val="0"/>
      <w:marBottom w:val="0"/>
      <w:divBdr>
        <w:top w:val="none" w:sz="0" w:space="0" w:color="auto"/>
        <w:left w:val="none" w:sz="0" w:space="0" w:color="auto"/>
        <w:bottom w:val="none" w:sz="0" w:space="0" w:color="auto"/>
        <w:right w:val="none" w:sz="0" w:space="0" w:color="auto"/>
      </w:divBdr>
    </w:div>
    <w:div w:id="1359431161">
      <w:bodyDiv w:val="1"/>
      <w:marLeft w:val="0"/>
      <w:marRight w:val="0"/>
      <w:marTop w:val="0"/>
      <w:marBottom w:val="0"/>
      <w:divBdr>
        <w:top w:val="none" w:sz="0" w:space="0" w:color="auto"/>
        <w:left w:val="none" w:sz="0" w:space="0" w:color="auto"/>
        <w:bottom w:val="none" w:sz="0" w:space="0" w:color="auto"/>
        <w:right w:val="none" w:sz="0" w:space="0" w:color="auto"/>
      </w:divBdr>
    </w:div>
    <w:div w:id="1452628602">
      <w:bodyDiv w:val="1"/>
      <w:marLeft w:val="0"/>
      <w:marRight w:val="0"/>
      <w:marTop w:val="0"/>
      <w:marBottom w:val="0"/>
      <w:divBdr>
        <w:top w:val="none" w:sz="0" w:space="0" w:color="auto"/>
        <w:left w:val="none" w:sz="0" w:space="0" w:color="auto"/>
        <w:bottom w:val="none" w:sz="0" w:space="0" w:color="auto"/>
        <w:right w:val="none" w:sz="0" w:space="0" w:color="auto"/>
      </w:divBdr>
    </w:div>
    <w:div w:id="1476996326">
      <w:bodyDiv w:val="1"/>
      <w:marLeft w:val="0"/>
      <w:marRight w:val="0"/>
      <w:marTop w:val="0"/>
      <w:marBottom w:val="0"/>
      <w:divBdr>
        <w:top w:val="none" w:sz="0" w:space="0" w:color="auto"/>
        <w:left w:val="none" w:sz="0" w:space="0" w:color="auto"/>
        <w:bottom w:val="none" w:sz="0" w:space="0" w:color="auto"/>
        <w:right w:val="none" w:sz="0" w:space="0" w:color="auto"/>
      </w:divBdr>
    </w:div>
    <w:div w:id="1479835298">
      <w:bodyDiv w:val="1"/>
      <w:marLeft w:val="0"/>
      <w:marRight w:val="0"/>
      <w:marTop w:val="0"/>
      <w:marBottom w:val="0"/>
      <w:divBdr>
        <w:top w:val="none" w:sz="0" w:space="0" w:color="auto"/>
        <w:left w:val="none" w:sz="0" w:space="0" w:color="auto"/>
        <w:bottom w:val="none" w:sz="0" w:space="0" w:color="auto"/>
        <w:right w:val="none" w:sz="0" w:space="0" w:color="auto"/>
      </w:divBdr>
      <w:divsChild>
        <w:div w:id="1295721647">
          <w:blockQuote w:val="1"/>
          <w:marLeft w:val="180"/>
          <w:marRight w:val="180"/>
          <w:marTop w:val="180"/>
          <w:marBottom w:val="180"/>
          <w:divBdr>
            <w:top w:val="none" w:sz="0" w:space="0" w:color="auto"/>
            <w:left w:val="none" w:sz="0" w:space="0" w:color="auto"/>
            <w:bottom w:val="none" w:sz="0" w:space="0" w:color="auto"/>
            <w:right w:val="none" w:sz="0" w:space="0" w:color="auto"/>
          </w:divBdr>
        </w:div>
        <w:div w:id="1723796456">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584796321">
      <w:bodyDiv w:val="1"/>
      <w:marLeft w:val="0"/>
      <w:marRight w:val="0"/>
      <w:marTop w:val="0"/>
      <w:marBottom w:val="0"/>
      <w:divBdr>
        <w:top w:val="none" w:sz="0" w:space="0" w:color="auto"/>
        <w:left w:val="none" w:sz="0" w:space="0" w:color="auto"/>
        <w:bottom w:val="none" w:sz="0" w:space="0" w:color="auto"/>
        <w:right w:val="none" w:sz="0" w:space="0" w:color="auto"/>
      </w:divBdr>
    </w:div>
    <w:div w:id="1625774236">
      <w:bodyDiv w:val="1"/>
      <w:marLeft w:val="0"/>
      <w:marRight w:val="0"/>
      <w:marTop w:val="0"/>
      <w:marBottom w:val="0"/>
      <w:divBdr>
        <w:top w:val="none" w:sz="0" w:space="0" w:color="auto"/>
        <w:left w:val="none" w:sz="0" w:space="0" w:color="auto"/>
        <w:bottom w:val="none" w:sz="0" w:space="0" w:color="auto"/>
        <w:right w:val="none" w:sz="0" w:space="0" w:color="auto"/>
      </w:divBdr>
    </w:div>
    <w:div w:id="1709915209">
      <w:bodyDiv w:val="1"/>
      <w:marLeft w:val="0"/>
      <w:marRight w:val="0"/>
      <w:marTop w:val="0"/>
      <w:marBottom w:val="0"/>
      <w:divBdr>
        <w:top w:val="none" w:sz="0" w:space="0" w:color="auto"/>
        <w:left w:val="none" w:sz="0" w:space="0" w:color="auto"/>
        <w:bottom w:val="none" w:sz="0" w:space="0" w:color="auto"/>
        <w:right w:val="none" w:sz="0" w:space="0" w:color="auto"/>
      </w:divBdr>
    </w:div>
    <w:div w:id="1743985933">
      <w:bodyDiv w:val="1"/>
      <w:marLeft w:val="0"/>
      <w:marRight w:val="0"/>
      <w:marTop w:val="0"/>
      <w:marBottom w:val="0"/>
      <w:divBdr>
        <w:top w:val="none" w:sz="0" w:space="0" w:color="auto"/>
        <w:left w:val="none" w:sz="0" w:space="0" w:color="auto"/>
        <w:bottom w:val="none" w:sz="0" w:space="0" w:color="auto"/>
        <w:right w:val="none" w:sz="0" w:space="0" w:color="auto"/>
      </w:divBdr>
    </w:div>
    <w:div w:id="1848207776">
      <w:bodyDiv w:val="1"/>
      <w:marLeft w:val="0"/>
      <w:marRight w:val="0"/>
      <w:marTop w:val="0"/>
      <w:marBottom w:val="0"/>
      <w:divBdr>
        <w:top w:val="none" w:sz="0" w:space="0" w:color="auto"/>
        <w:left w:val="none" w:sz="0" w:space="0" w:color="auto"/>
        <w:bottom w:val="none" w:sz="0" w:space="0" w:color="auto"/>
        <w:right w:val="none" w:sz="0" w:space="0" w:color="auto"/>
      </w:divBdr>
    </w:div>
    <w:div w:id="1929843962">
      <w:bodyDiv w:val="1"/>
      <w:marLeft w:val="0"/>
      <w:marRight w:val="0"/>
      <w:marTop w:val="0"/>
      <w:marBottom w:val="0"/>
      <w:divBdr>
        <w:top w:val="none" w:sz="0" w:space="0" w:color="auto"/>
        <w:left w:val="none" w:sz="0" w:space="0" w:color="auto"/>
        <w:bottom w:val="none" w:sz="0" w:space="0" w:color="auto"/>
        <w:right w:val="none" w:sz="0" w:space="0" w:color="auto"/>
      </w:divBdr>
    </w:div>
    <w:div w:id="1953855366">
      <w:bodyDiv w:val="1"/>
      <w:marLeft w:val="0"/>
      <w:marRight w:val="0"/>
      <w:marTop w:val="0"/>
      <w:marBottom w:val="0"/>
      <w:divBdr>
        <w:top w:val="none" w:sz="0" w:space="0" w:color="auto"/>
        <w:left w:val="none" w:sz="0" w:space="0" w:color="auto"/>
        <w:bottom w:val="none" w:sz="0" w:space="0" w:color="auto"/>
        <w:right w:val="none" w:sz="0" w:space="0" w:color="auto"/>
      </w:divBdr>
    </w:div>
    <w:div w:id="1993101225">
      <w:bodyDiv w:val="1"/>
      <w:marLeft w:val="0"/>
      <w:marRight w:val="0"/>
      <w:marTop w:val="0"/>
      <w:marBottom w:val="0"/>
      <w:divBdr>
        <w:top w:val="none" w:sz="0" w:space="0" w:color="auto"/>
        <w:left w:val="none" w:sz="0" w:space="0" w:color="auto"/>
        <w:bottom w:val="none" w:sz="0" w:space="0" w:color="auto"/>
        <w:right w:val="none" w:sz="0" w:space="0" w:color="auto"/>
      </w:divBdr>
    </w:div>
    <w:div w:id="19979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AE7EB95DA4FCA9726A12E742C90EA"/>
        <w:category>
          <w:name w:val="General"/>
          <w:gallery w:val="placeholder"/>
        </w:category>
        <w:types>
          <w:type w:val="bbPlcHdr"/>
        </w:types>
        <w:behaviors>
          <w:behavior w:val="content"/>
        </w:behaviors>
        <w:guid w:val="{631FFDE0-114E-4B3C-A727-33D22AE6E690}"/>
      </w:docPartPr>
      <w:docPartBody>
        <w:p w:rsidR="00F770C8" w:rsidRDefault="002B1935">
          <w:pPr>
            <w:pStyle w:val="B7CAE7EB95DA4FCA9726A12E742C90EA"/>
          </w:pPr>
          <w:r>
            <w:rPr>
              <w:rStyle w:val="PlaceholderText"/>
            </w:rPr>
            <w:t>MNC Text</w:t>
          </w:r>
        </w:p>
      </w:docPartBody>
    </w:docPart>
    <w:docPart>
      <w:docPartPr>
        <w:name w:val="7CF312A2AEF14F248385FE78E4F895A6"/>
        <w:category>
          <w:name w:val="General"/>
          <w:gallery w:val="placeholder"/>
        </w:category>
        <w:types>
          <w:type w:val="bbPlcHdr"/>
        </w:types>
        <w:behaviors>
          <w:behavior w:val="content"/>
        </w:behaviors>
        <w:guid w:val="{AF4E01C5-0A96-43E5-986C-CF60EA60EBA2}"/>
      </w:docPartPr>
      <w:docPartBody>
        <w:p w:rsidR="00F770C8" w:rsidRDefault="002B1935">
          <w:pPr>
            <w:pStyle w:val="7CF312A2AEF14F248385FE78E4F895A6"/>
          </w:pPr>
          <w:r w:rsidRPr="005C44BE">
            <w:rPr>
              <w:rStyle w:val="PlaceholderText"/>
            </w:rPr>
            <w:t>Click or tap here to enter text.</w:t>
          </w:r>
        </w:p>
      </w:docPartBody>
    </w:docPart>
    <w:docPart>
      <w:docPartPr>
        <w:name w:val="642006DEDF1B4409B4F69C117FA05470"/>
        <w:category>
          <w:name w:val="General"/>
          <w:gallery w:val="placeholder"/>
        </w:category>
        <w:types>
          <w:type w:val="bbPlcHdr"/>
        </w:types>
        <w:behaviors>
          <w:behavior w:val="content"/>
        </w:behaviors>
        <w:guid w:val="{223D69FF-F0EB-4D6A-9633-632292264781}"/>
      </w:docPartPr>
      <w:docPartBody>
        <w:p w:rsidR="00F770C8" w:rsidRDefault="002B1935">
          <w:pPr>
            <w:pStyle w:val="642006DEDF1B4409B4F69C117FA05470"/>
          </w:pPr>
          <w:r w:rsidRPr="005C44BE">
            <w:rPr>
              <w:rStyle w:val="PlaceholderText"/>
            </w:rPr>
            <w:t>Click or tap here to enter text.</w:t>
          </w:r>
        </w:p>
      </w:docPartBody>
    </w:docPart>
    <w:docPart>
      <w:docPartPr>
        <w:name w:val="F0F98266417F468AA267994744FB2E52"/>
        <w:category>
          <w:name w:val="General"/>
          <w:gallery w:val="placeholder"/>
        </w:category>
        <w:types>
          <w:type w:val="bbPlcHdr"/>
        </w:types>
        <w:behaviors>
          <w:behavior w:val="content"/>
        </w:behaviors>
        <w:guid w:val="{D1A6D36D-A22A-4A3E-993E-52BC0C344FC4}"/>
      </w:docPartPr>
      <w:docPartBody>
        <w:p w:rsidR="00F770C8" w:rsidRDefault="002B1935">
          <w:pPr>
            <w:pStyle w:val="F0F98266417F468AA267994744FB2E52"/>
          </w:pPr>
          <w:r w:rsidRPr="005C44BE">
            <w:rPr>
              <w:rStyle w:val="PlaceholderText"/>
            </w:rPr>
            <w:t>Click or tap here to enter text.</w:t>
          </w:r>
        </w:p>
      </w:docPartBody>
    </w:docPart>
    <w:docPart>
      <w:docPartPr>
        <w:name w:val="FCEED57EEA314195A6E1C4DAE52999CA"/>
        <w:category>
          <w:name w:val="General"/>
          <w:gallery w:val="placeholder"/>
        </w:category>
        <w:types>
          <w:type w:val="bbPlcHdr"/>
        </w:types>
        <w:behaviors>
          <w:behavior w:val="content"/>
        </w:behaviors>
        <w:guid w:val="{9E9760D0-A300-4957-8BB5-E7312E8D82A3}"/>
      </w:docPartPr>
      <w:docPartBody>
        <w:p w:rsidR="00F770C8" w:rsidRDefault="002B1935">
          <w:pPr>
            <w:pStyle w:val="FCEED57EEA314195A6E1C4DAE52999C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C8"/>
    <w:rsid w:val="000459B1"/>
    <w:rsid w:val="0028411F"/>
    <w:rsid w:val="002B1935"/>
    <w:rsid w:val="0034531A"/>
    <w:rsid w:val="00363FFB"/>
    <w:rsid w:val="0039464F"/>
    <w:rsid w:val="005016D3"/>
    <w:rsid w:val="00534115"/>
    <w:rsid w:val="005A0D15"/>
    <w:rsid w:val="006A1E8E"/>
    <w:rsid w:val="006A4F47"/>
    <w:rsid w:val="006C5AD1"/>
    <w:rsid w:val="006D35F2"/>
    <w:rsid w:val="007678A2"/>
    <w:rsid w:val="007D1FFF"/>
    <w:rsid w:val="008F2AFB"/>
    <w:rsid w:val="00B47F11"/>
    <w:rsid w:val="00C33339"/>
    <w:rsid w:val="00C61C9C"/>
    <w:rsid w:val="00D6182A"/>
    <w:rsid w:val="00E71EB2"/>
    <w:rsid w:val="00E8664D"/>
    <w:rsid w:val="00E87850"/>
    <w:rsid w:val="00F770C8"/>
    <w:rsid w:val="00FB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CAE7EB95DA4FCA9726A12E742C90EA">
    <w:name w:val="B7CAE7EB95DA4FCA9726A12E742C90EA"/>
  </w:style>
  <w:style w:type="paragraph" w:customStyle="1" w:styleId="7CF312A2AEF14F248385FE78E4F895A6">
    <w:name w:val="7CF312A2AEF14F248385FE78E4F895A6"/>
  </w:style>
  <w:style w:type="paragraph" w:customStyle="1" w:styleId="642006DEDF1B4409B4F69C117FA05470">
    <w:name w:val="642006DEDF1B4409B4F69C117FA05470"/>
  </w:style>
  <w:style w:type="paragraph" w:customStyle="1" w:styleId="F0F98266417F468AA267994744FB2E52">
    <w:name w:val="F0F98266417F468AA267994744FB2E52"/>
  </w:style>
  <w:style w:type="paragraph" w:customStyle="1" w:styleId="FCEED57EEA314195A6E1C4DAE52999CA">
    <w:name w:val="FCEED57EEA314195A6E1C4DAE5299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Fidge v Pfizer Australia Pty Ltd [2024] FCA 161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38</Pages>
  <Words>15057</Words>
  <Characters>76306</Characters>
  <Application>Microsoft Office Word</Application>
  <DocSecurity>0</DocSecurity>
  <PresentationFormat/>
  <Lines>1387</Lines>
  <Paragraphs>537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Fidge v Pfizer Australia Pty Ltd [2024] FCA 161  </vt:lpstr>
    </vt:vector>
  </TitlesOfParts>
  <Manager/>
  <Company/>
  <LinksUpToDate>false</LinksUpToDate>
  <CharactersWithSpaces>90826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2024-02-29T23:44:00Z</cp:lastPrinted>
  <dcterms:created xsi:type="dcterms:W3CDTF">2024-03-01T00:37:00Z</dcterms:created>
  <dcterms:modified xsi:type="dcterms:W3CDTF">2024-03-01T00:38:00Z</dcterms:modified>
  <cp:category/>
  <cp:contentStatus/>
  <dc:language/>
  <cp:version/>
</cp:coreProperties>
</file>